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202C" w:rsidP="008959A4" w:rsidRDefault="008959A4" w14:paraId="53992DC7" w14:textId="77777777">
      <w:pPr>
        <w:tabs>
          <w:tab w:val="center" w:pos="4680"/>
          <w:tab w:val="right" w:pos="9360"/>
        </w:tabs>
        <w:rPr>
          <w:rFonts w:ascii="Arial" w:hAnsi="Arial" w:cs="Arial"/>
          <w:b/>
          <w:sz w:val="32"/>
          <w:szCs w:val="32"/>
        </w:rPr>
      </w:pPr>
      <w:r>
        <w:t>ALJ/ATR/lil</w:t>
      </w:r>
      <w:r>
        <w:tab/>
      </w:r>
      <w:r>
        <w:rPr>
          <w:rFonts w:ascii="Arial" w:hAnsi="Arial" w:cs="Arial"/>
          <w:b/>
          <w:sz w:val="32"/>
          <w:szCs w:val="32"/>
        </w:rPr>
        <w:t>PROPOSED DECISION</w:t>
      </w:r>
    </w:p>
    <w:p w:rsidR="008959A4" w:rsidP="008959A4" w:rsidRDefault="008959A4" w14:paraId="7A50B1E0" w14:textId="1879B6D0">
      <w:pPr>
        <w:tabs>
          <w:tab w:val="center" w:pos="4680"/>
          <w:tab w:val="right" w:pos="9360"/>
        </w:tabs>
      </w:pPr>
      <w:r>
        <w:tab/>
      </w:r>
      <w:r w:rsidR="00FD202C">
        <w:tab/>
      </w:r>
      <w:r w:rsidRPr="00EE4315">
        <w:rPr>
          <w:b/>
        </w:rPr>
        <w:t xml:space="preserve">Agenda ID </w:t>
      </w:r>
      <w:r>
        <w:rPr>
          <w:b/>
        </w:rPr>
        <w:t>#</w:t>
      </w:r>
      <w:r w:rsidR="00617D2A">
        <w:rPr>
          <w:b/>
        </w:rPr>
        <w:t>19877</w:t>
      </w:r>
      <w:r w:rsidR="00FD202C">
        <w:rPr>
          <w:b/>
        </w:rPr>
        <w:t xml:space="preserve">  (Rev. 1)</w:t>
      </w:r>
    </w:p>
    <w:p w:rsidRPr="006C569D" w:rsidR="008959A4" w:rsidP="008959A4" w:rsidRDefault="008959A4" w14:paraId="04C4D54A" w14:textId="77777777">
      <w:pPr>
        <w:tabs>
          <w:tab w:val="center" w:pos="4680"/>
          <w:tab w:val="right" w:pos="9360"/>
        </w:tabs>
        <w:jc w:val="right"/>
      </w:pPr>
      <w:r>
        <w:rPr>
          <w:b/>
        </w:rPr>
        <w:t>Ratesetting</w:t>
      </w:r>
    </w:p>
    <w:p w:rsidRPr="00BC48EE" w:rsidR="008959A4" w:rsidP="00BC48EE" w:rsidRDefault="00BC48EE" w14:paraId="0E37358D" w14:textId="6844D379">
      <w:pPr>
        <w:jc w:val="right"/>
        <w:rPr>
          <w:b/>
        </w:rPr>
      </w:pPr>
      <w:r w:rsidRPr="00BC48EE">
        <w:rPr>
          <w:b/>
        </w:rPr>
        <w:t>10/21/2021  Item #11</w:t>
      </w:r>
    </w:p>
    <w:p w:rsidR="008959A4" w:rsidP="008959A4" w:rsidRDefault="008959A4" w14:paraId="770E2881" w14:textId="77777777"/>
    <w:p w:rsidRPr="006C569D" w:rsidR="008959A4" w:rsidP="008959A4" w:rsidRDefault="008959A4" w14:paraId="7534C53C" w14:textId="0A1359D1">
      <w:pPr>
        <w:ind w:left="1080" w:hanging="1080"/>
        <w:rPr>
          <w:b/>
          <w:bCs/>
        </w:rPr>
      </w:pPr>
      <w:r>
        <w:t xml:space="preserve">Decision </w:t>
      </w:r>
      <w:r>
        <w:rPr>
          <w:b/>
          <w:bCs/>
          <w:u w:val="single"/>
        </w:rPr>
        <w:t>PROPOSED DECISION OF ALJ TRAN</w:t>
      </w:r>
      <w:r w:rsidRPr="006C569D">
        <w:rPr>
          <w:b/>
          <w:bCs/>
        </w:rPr>
        <w:t xml:space="preserve">  (Mailed </w:t>
      </w:r>
      <w:r w:rsidR="00617D2A">
        <w:rPr>
          <w:b/>
          <w:bCs/>
        </w:rPr>
        <w:t>9/15/2021</w:t>
      </w:r>
      <w:r w:rsidRPr="006C569D">
        <w:rPr>
          <w:b/>
          <w:bCs/>
        </w:rPr>
        <w:t>)</w:t>
      </w:r>
    </w:p>
    <w:p w:rsidR="008959A4" w:rsidP="008959A4" w:rsidRDefault="008959A4" w14:paraId="047F900D" w14:textId="77777777">
      <w:pPr>
        <w:shd w:val="clear" w:color="auto" w:fill="FFFFFF" w:themeFill="background1"/>
      </w:pPr>
    </w:p>
    <w:p w:rsidRPr="00BC79F1" w:rsidR="008959A4" w:rsidP="008959A4" w:rsidRDefault="008959A4" w14:paraId="2CC602F0" w14:textId="77777777">
      <w:pPr>
        <w:keepNext/>
        <w:shd w:val="clear" w:color="auto" w:fill="FFFFFF" w:themeFill="background1"/>
        <w:jc w:val="center"/>
        <w:rPr>
          <w:rFonts w:ascii="Arial" w:hAnsi="Arial" w:cs="Arial"/>
          <w:b/>
          <w:bCs/>
          <w:spacing w:val="-8"/>
          <w:szCs w:val="26"/>
        </w:rPr>
      </w:pPr>
      <w:r w:rsidRPr="00D860EE">
        <w:rPr>
          <w:rFonts w:ascii="Arial" w:hAnsi="Arial" w:cs="Arial"/>
          <w:b/>
          <w:bCs/>
          <w:spacing w:val="-8"/>
          <w:szCs w:val="26"/>
        </w:rPr>
        <w:t>BEFORE THE PUBLIC UTILITIES COMMISSION OF THE STATE OF CALIFORNIA</w:t>
      </w:r>
    </w:p>
    <w:p w:rsidR="008959A4" w:rsidP="008959A4" w:rsidRDefault="008959A4" w14:paraId="436B7E37" w14:textId="77777777">
      <w:pPr>
        <w:shd w:val="clear" w:color="auto" w:fill="FFFFFF" w:themeFill="background1"/>
        <w:suppressAutoHyphens/>
        <w:jc w:val="center"/>
        <w:rPr>
          <w:rFonts w:ascii="Arial" w:hAnsi="Arial" w:cs="Arial"/>
        </w:rPr>
      </w:pPr>
    </w:p>
    <w:tbl>
      <w:tblPr>
        <w:tblStyle w:val="TableGrid"/>
        <w:tblW w:w="0" w:type="auto"/>
        <w:tblBorders>
          <w:top w:val="none" w:color="auto" w:sz="0" w:space="0"/>
          <w:left w:val="none" w:color="auto" w:sz="0" w:space="0"/>
          <w:right w:val="none" w:color="auto" w:sz="0" w:space="0"/>
          <w:insideH w:val="none" w:color="auto" w:sz="0" w:space="0"/>
        </w:tblBorders>
        <w:tblLook w:val="04A0" w:firstRow="1" w:lastRow="0" w:firstColumn="1" w:lastColumn="0" w:noHBand="0" w:noVBand="1"/>
      </w:tblPr>
      <w:tblGrid>
        <w:gridCol w:w="4770"/>
        <w:gridCol w:w="4590"/>
      </w:tblGrid>
      <w:tr w:rsidR="008959A4" w:rsidTr="00717A84" w14:paraId="0F00C451" w14:textId="77777777">
        <w:tc>
          <w:tcPr>
            <w:tcW w:w="4770" w:type="dxa"/>
            <w:tcBorders>
              <w:bottom w:val="single" w:color="auto" w:sz="4" w:space="0"/>
              <w:right w:val="single" w:color="auto" w:sz="4" w:space="0"/>
            </w:tcBorders>
          </w:tcPr>
          <w:p w:rsidR="008959A4" w:rsidP="00717A84" w:rsidRDefault="008959A4" w14:paraId="0DD5D355" w14:textId="77777777">
            <w:pPr>
              <w:shd w:val="clear" w:color="auto" w:fill="FFFFFF" w:themeFill="background1"/>
            </w:pPr>
            <w:r>
              <w:t xml:space="preserve">In the Matter of the </w:t>
            </w:r>
            <w:r w:rsidRPr="00320CCB">
              <w:t xml:space="preserve">Application of West Coast Gas Company Inc. (U910G) for Approval of Program </w:t>
            </w:r>
            <w:r>
              <w:t>Y</w:t>
            </w:r>
            <w:r w:rsidRPr="00320CCB">
              <w:t>ears, 2021-2026 Low</w:t>
            </w:r>
            <w:r>
              <w:noBreakHyphen/>
            </w:r>
            <w:r w:rsidRPr="00320CCB">
              <w:t xml:space="preserve">Income Assistance </w:t>
            </w:r>
            <w:r>
              <w:t>P</w:t>
            </w:r>
            <w:r w:rsidRPr="00320CCB">
              <w:t>rogram Budgets</w:t>
            </w:r>
            <w:r>
              <w:t xml:space="preserve">. </w:t>
            </w:r>
          </w:p>
          <w:p w:rsidR="008959A4" w:rsidP="00717A84" w:rsidRDefault="008959A4" w14:paraId="5F192511" w14:textId="77777777">
            <w:pPr>
              <w:pStyle w:val="ALJBodyText"/>
              <w:shd w:val="clear" w:color="auto" w:fill="FFFFFF" w:themeFill="background1"/>
              <w:spacing w:line="240" w:lineRule="auto"/>
              <w:ind w:firstLine="0"/>
            </w:pPr>
          </w:p>
        </w:tc>
        <w:tc>
          <w:tcPr>
            <w:tcW w:w="4590" w:type="dxa"/>
            <w:tcBorders>
              <w:left w:val="single" w:color="auto" w:sz="4" w:space="0"/>
            </w:tcBorders>
            <w:vAlign w:val="center"/>
          </w:tcPr>
          <w:p w:rsidR="008959A4" w:rsidP="00717A84" w:rsidRDefault="008959A4" w14:paraId="62AFD810" w14:textId="77777777">
            <w:pPr>
              <w:pStyle w:val="ALJBodyText"/>
              <w:shd w:val="clear" w:color="auto" w:fill="FFFFFF" w:themeFill="background1"/>
              <w:ind w:firstLine="0"/>
              <w:jc w:val="center"/>
            </w:pPr>
            <w:r w:rsidRPr="00E70E92">
              <w:t xml:space="preserve">Application </w:t>
            </w:r>
            <w:bookmarkStart w:name="_Hlk43820778" w:id="0"/>
            <w:r w:rsidRPr="00320CCB">
              <w:rPr>
                <w:szCs w:val="26"/>
              </w:rPr>
              <w:t>20-03-014</w:t>
            </w:r>
            <w:bookmarkEnd w:id="0"/>
          </w:p>
        </w:tc>
      </w:tr>
      <w:tr w:rsidR="008959A4" w:rsidTr="00717A84" w14:paraId="0E1C4A54" w14:textId="77777777">
        <w:tc>
          <w:tcPr>
            <w:tcW w:w="4770" w:type="dxa"/>
            <w:tcBorders>
              <w:top w:val="single" w:color="auto" w:sz="4" w:space="0"/>
              <w:bottom w:val="single" w:color="auto" w:sz="4" w:space="0"/>
              <w:right w:val="single" w:color="auto" w:sz="4" w:space="0"/>
            </w:tcBorders>
            <w:vAlign w:val="center"/>
          </w:tcPr>
          <w:p w:rsidR="008959A4" w:rsidP="00717A84" w:rsidRDefault="008959A4" w14:paraId="2B781D7C" w14:textId="77777777">
            <w:pPr>
              <w:pStyle w:val="ALJBodyText"/>
              <w:shd w:val="clear" w:color="auto" w:fill="FFFFFF" w:themeFill="background1"/>
              <w:spacing w:line="240" w:lineRule="auto"/>
              <w:ind w:firstLine="0"/>
            </w:pPr>
            <w:r>
              <w:t>And Related Matters.</w:t>
            </w:r>
          </w:p>
        </w:tc>
        <w:tc>
          <w:tcPr>
            <w:tcW w:w="4590" w:type="dxa"/>
            <w:tcBorders>
              <w:left w:val="single" w:color="auto" w:sz="4" w:space="0"/>
              <w:bottom w:val="nil"/>
            </w:tcBorders>
            <w:vAlign w:val="center"/>
          </w:tcPr>
          <w:p w:rsidRPr="005C3AD3" w:rsidR="008959A4" w:rsidP="00717A84" w:rsidRDefault="008959A4" w14:paraId="3A0FF185" w14:textId="77777777">
            <w:pPr>
              <w:shd w:val="clear" w:color="auto" w:fill="FFFFFF" w:themeFill="background1"/>
              <w:jc w:val="center"/>
            </w:pPr>
            <w:r w:rsidRPr="005C3AD3">
              <w:t>Application 20-05-014</w:t>
            </w:r>
          </w:p>
          <w:p w:rsidRPr="005C3AD3" w:rsidR="008959A4" w:rsidP="00717A84" w:rsidRDefault="008959A4" w14:paraId="10B13C22" w14:textId="77777777">
            <w:pPr>
              <w:shd w:val="clear" w:color="auto" w:fill="FFFFFF" w:themeFill="background1"/>
              <w:jc w:val="center"/>
            </w:pPr>
            <w:r w:rsidRPr="005C3AD3">
              <w:t>Application 20-05-015</w:t>
            </w:r>
          </w:p>
          <w:p w:rsidRPr="005C3AD3" w:rsidR="008959A4" w:rsidP="00717A84" w:rsidRDefault="008959A4" w14:paraId="7A5C9C65" w14:textId="77777777">
            <w:pPr>
              <w:shd w:val="clear" w:color="auto" w:fill="FFFFFF" w:themeFill="background1"/>
              <w:jc w:val="center"/>
            </w:pPr>
            <w:r w:rsidRPr="005C3AD3">
              <w:t>Application 20-05-016</w:t>
            </w:r>
          </w:p>
          <w:p w:rsidRPr="005C3AD3" w:rsidR="008959A4" w:rsidP="00717A84" w:rsidRDefault="008959A4" w14:paraId="4DE8C9CC" w14:textId="77777777">
            <w:pPr>
              <w:shd w:val="clear" w:color="auto" w:fill="FFFFFF" w:themeFill="background1"/>
              <w:jc w:val="center"/>
            </w:pPr>
            <w:r w:rsidRPr="005C3AD3">
              <w:t>Application 20-05-017</w:t>
            </w:r>
          </w:p>
          <w:p w:rsidR="008959A4" w:rsidP="00717A84" w:rsidRDefault="008959A4" w14:paraId="769281BB" w14:textId="77777777">
            <w:pPr>
              <w:shd w:val="clear" w:color="auto" w:fill="FFFFFF" w:themeFill="background1"/>
              <w:jc w:val="center"/>
            </w:pPr>
            <w:r w:rsidRPr="005C3AD3">
              <w:t>Application 20-06-004</w:t>
            </w:r>
          </w:p>
          <w:p w:rsidR="008959A4" w:rsidP="00717A84" w:rsidRDefault="008959A4" w14:paraId="6D87CEFA" w14:textId="77777777">
            <w:pPr>
              <w:shd w:val="clear" w:color="auto" w:fill="FFFFFF" w:themeFill="background1"/>
              <w:jc w:val="center"/>
            </w:pPr>
          </w:p>
        </w:tc>
      </w:tr>
    </w:tbl>
    <w:p w:rsidR="008959A4" w:rsidP="008959A4" w:rsidRDefault="008959A4" w14:paraId="6E5C3594" w14:textId="77777777">
      <w:pPr>
        <w:pStyle w:val="ALJBodyText"/>
        <w:shd w:val="clear" w:color="auto" w:fill="FFFFFF" w:themeFill="background1"/>
        <w:spacing w:line="240" w:lineRule="auto"/>
        <w:ind w:left="720" w:firstLine="0"/>
      </w:pPr>
    </w:p>
    <w:p w:rsidR="008959A4" w:rsidP="008959A4" w:rsidRDefault="008959A4" w14:paraId="62807064" w14:textId="77777777">
      <w:pPr>
        <w:pStyle w:val="ALJBodyText"/>
        <w:shd w:val="clear" w:color="auto" w:fill="FFFFFF" w:themeFill="background1"/>
        <w:spacing w:line="240" w:lineRule="auto"/>
        <w:ind w:left="720" w:firstLine="0"/>
      </w:pPr>
    </w:p>
    <w:p w:rsidRPr="00E70E92" w:rsidR="008959A4" w:rsidP="008959A4" w:rsidRDefault="008959A4" w14:paraId="74648F75" w14:textId="77777777">
      <w:pPr>
        <w:pStyle w:val="Main"/>
      </w:pPr>
      <w:bookmarkStart w:name="_Toc45616407" w:id="1"/>
      <w:bookmarkStart w:name="_Toc69733468" w:id="2"/>
      <w:bookmarkStart w:name="_Toc69733828" w:id="3"/>
      <w:bookmarkStart w:name="_Toc69734513" w:id="4"/>
      <w:bookmarkStart w:name="_Toc69947732" w:id="5"/>
      <w:bookmarkStart w:name="_Toc82159629" w:id="6"/>
      <w:r>
        <w:t xml:space="preserve">DECISION </w:t>
      </w:r>
      <w:bookmarkStart w:name="_Hlk38376456" w:id="7"/>
      <w:r>
        <w:t xml:space="preserve">ON </w:t>
      </w:r>
      <w:bookmarkStart w:name="_Toc323212922" w:id="8"/>
      <w:bookmarkStart w:name="_Toc323652286" w:id="9"/>
      <w:bookmarkStart w:name="_Toc331076733" w:id="10"/>
      <w:bookmarkStart w:name="_Toc331607815" w:id="11"/>
      <w:bookmarkStart w:name="_Toc467483549" w:id="12"/>
      <w:bookmarkStart w:name="_Hlk51234335" w:id="13"/>
      <w:bookmarkStart w:name="_Toc429737056" w:id="14"/>
      <w:bookmarkEnd w:id="1"/>
      <w:bookmarkEnd w:id="7"/>
      <w:r>
        <w:t xml:space="preserve">THE </w:t>
      </w:r>
      <w:r w:rsidRPr="00F72B38">
        <w:rPr>
          <w:iCs/>
        </w:rPr>
        <w:t>S</w:t>
      </w:r>
      <w:r>
        <w:rPr>
          <w:iCs/>
        </w:rPr>
        <w:t>MALL</w:t>
      </w:r>
      <w:r w:rsidRPr="00F72B38">
        <w:rPr>
          <w:iCs/>
        </w:rPr>
        <w:t xml:space="preserve"> </w:t>
      </w:r>
      <w:r>
        <w:rPr>
          <w:iCs/>
        </w:rPr>
        <w:t xml:space="preserve">AND </w:t>
      </w:r>
      <w:r>
        <w:t>MULTIJURISDICTIONAL</w:t>
      </w:r>
      <w:r w:rsidRPr="00F72B38">
        <w:rPr>
          <w:iCs/>
        </w:rPr>
        <w:t xml:space="preserve"> U</w:t>
      </w:r>
      <w:r>
        <w:rPr>
          <w:iCs/>
        </w:rPr>
        <w:t>TILITIES’</w:t>
      </w:r>
      <w:r w:rsidRPr="00E70E92">
        <w:t xml:space="preserve"> CALIFORNIA ALTERNATE RATES FOR ENERGY </w:t>
      </w:r>
      <w:r>
        <w:t xml:space="preserve">AND </w:t>
      </w:r>
      <w:bookmarkEnd w:id="8"/>
      <w:bookmarkEnd w:id="9"/>
      <w:bookmarkEnd w:id="10"/>
      <w:bookmarkEnd w:id="11"/>
      <w:r w:rsidRPr="00E70E92">
        <w:t xml:space="preserve">ENERGY </w:t>
      </w:r>
      <w:r>
        <w:br/>
      </w:r>
      <w:r w:rsidRPr="00E70E92">
        <w:t>SAVINGS ASSISTANCE</w:t>
      </w:r>
      <w:r>
        <w:t xml:space="preserve"> </w:t>
      </w:r>
      <w:r w:rsidRPr="00E70E92">
        <w:t>PROGRAM APPLICATIONS</w:t>
      </w:r>
      <w:bookmarkEnd w:id="12"/>
      <w:r w:rsidRPr="00E70E92">
        <w:t xml:space="preserve"> </w:t>
      </w:r>
      <w:r>
        <w:br/>
      </w:r>
      <w:r w:rsidRPr="00E70E92">
        <w:t>FOR PROGRAM YEARS 2021-2026</w:t>
      </w:r>
      <w:bookmarkEnd w:id="2"/>
      <w:bookmarkEnd w:id="3"/>
      <w:bookmarkEnd w:id="4"/>
      <w:bookmarkEnd w:id="5"/>
      <w:bookmarkEnd w:id="6"/>
      <w:bookmarkEnd w:id="13"/>
    </w:p>
    <w:bookmarkEnd w:id="14"/>
    <w:p w:rsidR="008959A4" w:rsidP="008959A4" w:rsidRDefault="008959A4" w14:paraId="50E06141" w14:textId="77777777">
      <w:pPr>
        <w:pStyle w:val="Dummy"/>
        <w:ind w:left="720"/>
        <w:jc w:val="center"/>
        <w:sectPr w:rsidR="008959A4" w:rsidSect="000C1980">
          <w:footerReference w:type="first" r:id="rId11"/>
          <w:pgSz w:w="12240" w:h="15840" w:code="1"/>
          <w:pgMar w:top="1440" w:right="1440" w:bottom="1440" w:left="1440" w:header="720" w:footer="720" w:gutter="0"/>
          <w:pgNumType w:start="1"/>
          <w:cols w:space="720"/>
          <w:titlePg/>
          <w:docGrid w:linePitch="360"/>
        </w:sectPr>
      </w:pPr>
    </w:p>
    <w:p w:rsidRPr="00DD6709" w:rsidR="008959A4" w:rsidP="008959A4" w:rsidRDefault="008959A4" w14:paraId="4AFFEE3A" w14:textId="77777777">
      <w:pPr>
        <w:suppressAutoHyphens/>
        <w:ind w:left="720"/>
        <w:jc w:val="center"/>
        <w:rPr>
          <w:b/>
        </w:rPr>
      </w:pPr>
      <w:bookmarkStart w:name="_Toc2523435" w:id="15"/>
      <w:r w:rsidRPr="00C80002">
        <w:rPr>
          <w:b/>
        </w:rPr>
        <w:lastRenderedPageBreak/>
        <w:t>TABLE OF CONTENTS</w:t>
      </w:r>
    </w:p>
    <w:p w:rsidR="008959A4" w:rsidP="008959A4" w:rsidRDefault="008959A4" w14:paraId="57630B53" w14:textId="77777777">
      <w:pPr>
        <w:suppressAutoHyphens/>
        <w:rPr>
          <w:b/>
        </w:rPr>
      </w:pPr>
      <w:r w:rsidRPr="00A95859">
        <w:rPr>
          <w:b/>
          <w:u w:val="single"/>
        </w:rPr>
        <w:t>Title</w:t>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Pr>
          <w:b/>
        </w:rPr>
        <w:t xml:space="preserve"> </w:t>
      </w:r>
      <w:r>
        <w:rPr>
          <w:b/>
        </w:rPr>
        <w:tab/>
        <w:t xml:space="preserve"> </w:t>
      </w:r>
      <w:r w:rsidRPr="00A95859">
        <w:rPr>
          <w:b/>
          <w:u w:val="single"/>
        </w:rPr>
        <w:t>Page</w:t>
      </w:r>
    </w:p>
    <w:p w:rsidRPr="003209E9" w:rsidR="008959A4" w:rsidP="008959A4" w:rsidRDefault="008959A4" w14:paraId="0DB64A58" w14:textId="77777777">
      <w:pPr>
        <w:suppressAutoHyphens/>
        <w:rPr>
          <w:b/>
        </w:rPr>
      </w:pPr>
    </w:p>
    <w:sdt>
      <w:sdtPr>
        <w:rPr>
          <w:rFonts w:ascii="Book Antiqua" w:hAnsi="Book Antiqua" w:cs="Times New Roman" w:eastAsiaTheme="minorHAnsi"/>
          <w:b w:val="0"/>
          <w:szCs w:val="20"/>
        </w:rPr>
        <w:id w:val="1067537867"/>
        <w:docPartObj>
          <w:docPartGallery w:val="Table of Contents"/>
          <w:docPartUnique/>
        </w:docPartObj>
      </w:sdtPr>
      <w:sdtEndPr>
        <w:rPr>
          <w:bCs/>
          <w:noProof/>
        </w:rPr>
      </w:sdtEndPr>
      <w:sdtContent>
        <w:p w:rsidRPr="00A95859" w:rsidR="008959A4" w:rsidP="008959A4" w:rsidRDefault="008959A4" w14:paraId="254EC79F" w14:textId="77777777">
          <w:pPr>
            <w:pStyle w:val="TOCHeading"/>
            <w:spacing w:after="0"/>
            <w:jc w:val="left"/>
            <w:rPr>
              <w:rStyle w:val="Hyperlink"/>
              <w:rFonts w:cs="Times New Roman" w:eastAsiaTheme="minorEastAsia"/>
              <w:noProof/>
              <w:sz w:val="16"/>
              <w:szCs w:val="16"/>
            </w:rPr>
          </w:pPr>
        </w:p>
        <w:p w:rsidR="008959A4" w:rsidP="008959A4" w:rsidRDefault="008959A4" w14:paraId="5A4CD456" w14:textId="7A94A656">
          <w:pPr>
            <w:pStyle w:val="TOC1"/>
            <w:tabs>
              <w:tab w:val="right" w:leader="dot" w:pos="9350"/>
            </w:tabs>
            <w:ind w:left="0" w:firstLine="0"/>
            <w:rPr>
              <w:rFonts w:asciiTheme="minorHAnsi" w:hAnsiTheme="minorHAnsi" w:cstheme="minorBidi"/>
              <w:noProof/>
              <w:sz w:val="22"/>
              <w:szCs w:val="22"/>
            </w:rPr>
          </w:pPr>
          <w:r>
            <w:fldChar w:fldCharType="begin"/>
          </w:r>
          <w:r>
            <w:instrText xml:space="preserve"> TOC \o "1-5" \h \z \t "Main,1,mainex,1" </w:instrText>
          </w:r>
          <w:r>
            <w:fldChar w:fldCharType="separate"/>
          </w:r>
          <w:hyperlink w:history="1" w:anchor="_Toc82159629">
            <w:r w:rsidRPr="0032220A">
              <w:rPr>
                <w:rStyle w:val="Hyperlink"/>
                <w:noProof/>
              </w:rPr>
              <w:t xml:space="preserve">DECISION ON THE </w:t>
            </w:r>
            <w:r w:rsidRPr="0032220A">
              <w:rPr>
                <w:rStyle w:val="Hyperlink"/>
                <w:iCs/>
                <w:noProof/>
              </w:rPr>
              <w:t xml:space="preserve">SMALL </w:t>
            </w:r>
            <w:r w:rsidR="00017B61">
              <w:rPr>
                <w:rStyle w:val="Hyperlink"/>
                <w:iCs/>
                <w:noProof/>
              </w:rPr>
              <w:t xml:space="preserve">AND </w:t>
            </w:r>
            <w:r w:rsidRPr="0032220A">
              <w:rPr>
                <w:rStyle w:val="Hyperlink"/>
                <w:noProof/>
              </w:rPr>
              <w:t>MULTIJURISDICTIONAL</w:t>
            </w:r>
            <w:r w:rsidRPr="0032220A">
              <w:rPr>
                <w:rStyle w:val="Hyperlink"/>
                <w:iCs/>
                <w:noProof/>
              </w:rPr>
              <w:t xml:space="preserve"> UTILITIES’</w:t>
            </w:r>
            <w:r w:rsidRPr="0032220A">
              <w:rPr>
                <w:rStyle w:val="Hyperlink"/>
                <w:noProof/>
              </w:rPr>
              <w:t xml:space="preserve"> CALIFORNIA ALTERNATE RATES FOR ENERGY AND ENERGY </w:t>
            </w:r>
            <w:r w:rsidR="00617D2A">
              <w:rPr>
                <w:rStyle w:val="Hyperlink"/>
                <w:noProof/>
              </w:rPr>
              <w:br/>
            </w:r>
            <w:r w:rsidRPr="0032220A">
              <w:rPr>
                <w:rStyle w:val="Hyperlink"/>
                <w:noProof/>
              </w:rPr>
              <w:t xml:space="preserve">SAVINGS ASSISTANCE PROGRAM APPLICATIONS FOR </w:t>
            </w:r>
            <w:r w:rsidR="00617D2A">
              <w:rPr>
                <w:rStyle w:val="Hyperlink"/>
                <w:noProof/>
              </w:rPr>
              <w:br/>
            </w:r>
            <w:r w:rsidRPr="0032220A">
              <w:rPr>
                <w:rStyle w:val="Hyperlink"/>
                <w:noProof/>
              </w:rPr>
              <w:t>PROGRAM YEARS 2021-2026</w:t>
            </w:r>
            <w:r>
              <w:rPr>
                <w:noProof/>
                <w:webHidden/>
              </w:rPr>
              <w:tab/>
            </w:r>
            <w:r>
              <w:rPr>
                <w:noProof/>
                <w:webHidden/>
              </w:rPr>
              <w:fldChar w:fldCharType="begin"/>
            </w:r>
            <w:r>
              <w:rPr>
                <w:noProof/>
                <w:webHidden/>
              </w:rPr>
              <w:instrText xml:space="preserve"> PAGEREF _Toc82159629 \h </w:instrText>
            </w:r>
            <w:r>
              <w:rPr>
                <w:noProof/>
                <w:webHidden/>
              </w:rPr>
            </w:r>
            <w:r>
              <w:rPr>
                <w:noProof/>
                <w:webHidden/>
              </w:rPr>
              <w:fldChar w:fldCharType="separate"/>
            </w:r>
            <w:r w:rsidR="00A643C3">
              <w:rPr>
                <w:noProof/>
                <w:webHidden/>
              </w:rPr>
              <w:t>1</w:t>
            </w:r>
            <w:r>
              <w:rPr>
                <w:noProof/>
                <w:webHidden/>
              </w:rPr>
              <w:fldChar w:fldCharType="end"/>
            </w:r>
          </w:hyperlink>
        </w:p>
        <w:p w:rsidR="008959A4" w:rsidP="008959A4" w:rsidRDefault="00ED6D61" w14:paraId="507ABC36" w14:textId="5D6D5B4F">
          <w:pPr>
            <w:pStyle w:val="TOC1"/>
            <w:tabs>
              <w:tab w:val="right" w:leader="dot" w:pos="9350"/>
            </w:tabs>
            <w:rPr>
              <w:rFonts w:asciiTheme="minorHAnsi" w:hAnsiTheme="minorHAnsi" w:cstheme="minorBidi"/>
              <w:noProof/>
              <w:sz w:val="22"/>
              <w:szCs w:val="22"/>
            </w:rPr>
          </w:pPr>
          <w:hyperlink w:history="1" w:anchor="_Toc82159630">
            <w:r w:rsidRPr="0032220A" w:rsidR="008959A4">
              <w:rPr>
                <w:rStyle w:val="Hyperlink"/>
                <w:noProof/>
              </w:rPr>
              <w:t>Summary</w:t>
            </w:r>
            <w:r w:rsidR="008959A4">
              <w:rPr>
                <w:noProof/>
                <w:webHidden/>
              </w:rPr>
              <w:tab/>
            </w:r>
            <w:r w:rsidR="008959A4">
              <w:rPr>
                <w:noProof/>
                <w:webHidden/>
              </w:rPr>
              <w:fldChar w:fldCharType="begin"/>
            </w:r>
            <w:r w:rsidR="008959A4">
              <w:rPr>
                <w:noProof/>
                <w:webHidden/>
              </w:rPr>
              <w:instrText xml:space="preserve"> PAGEREF _Toc82159630 \h </w:instrText>
            </w:r>
            <w:r w:rsidR="008959A4">
              <w:rPr>
                <w:noProof/>
                <w:webHidden/>
              </w:rPr>
            </w:r>
            <w:r w:rsidR="008959A4">
              <w:rPr>
                <w:noProof/>
                <w:webHidden/>
              </w:rPr>
              <w:fldChar w:fldCharType="separate"/>
            </w:r>
            <w:r w:rsidR="00A643C3">
              <w:rPr>
                <w:noProof/>
                <w:webHidden/>
              </w:rPr>
              <w:t>2</w:t>
            </w:r>
            <w:r w:rsidR="008959A4">
              <w:rPr>
                <w:noProof/>
                <w:webHidden/>
              </w:rPr>
              <w:fldChar w:fldCharType="end"/>
            </w:r>
          </w:hyperlink>
        </w:p>
        <w:p w:rsidR="008959A4" w:rsidP="008959A4" w:rsidRDefault="00ED6D61" w14:paraId="0F933CB6" w14:textId="001C3F86">
          <w:pPr>
            <w:pStyle w:val="TOC1"/>
            <w:tabs>
              <w:tab w:val="right" w:leader="dot" w:pos="9350"/>
            </w:tabs>
            <w:rPr>
              <w:rFonts w:asciiTheme="minorHAnsi" w:hAnsiTheme="minorHAnsi" w:cstheme="minorBidi"/>
              <w:noProof/>
              <w:sz w:val="22"/>
              <w:szCs w:val="22"/>
            </w:rPr>
          </w:pPr>
          <w:hyperlink w:history="1" w:anchor="_Toc82159631">
            <w:r w:rsidRPr="0032220A" w:rsidR="008959A4">
              <w:rPr>
                <w:rStyle w:val="Hyperlink"/>
                <w:noProof/>
              </w:rPr>
              <w:t>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_Toc82159631 \h </w:instrText>
            </w:r>
            <w:r w:rsidR="008959A4">
              <w:rPr>
                <w:noProof/>
                <w:webHidden/>
              </w:rPr>
            </w:r>
            <w:r w:rsidR="008959A4">
              <w:rPr>
                <w:noProof/>
                <w:webHidden/>
              </w:rPr>
              <w:fldChar w:fldCharType="separate"/>
            </w:r>
            <w:r w:rsidR="00A643C3">
              <w:rPr>
                <w:noProof/>
                <w:webHidden/>
              </w:rPr>
              <w:t>4</w:t>
            </w:r>
            <w:r w:rsidR="008959A4">
              <w:rPr>
                <w:noProof/>
                <w:webHidden/>
              </w:rPr>
              <w:fldChar w:fldCharType="end"/>
            </w:r>
          </w:hyperlink>
        </w:p>
        <w:p w:rsidR="008959A4" w:rsidP="008959A4" w:rsidRDefault="00ED6D61" w14:paraId="1E8CC479" w14:textId="7AAF3307">
          <w:pPr>
            <w:pStyle w:val="TOC2"/>
            <w:tabs>
              <w:tab w:val="right" w:leader="dot" w:pos="9350"/>
            </w:tabs>
            <w:ind w:left="1080" w:hanging="630"/>
            <w:rPr>
              <w:rFonts w:asciiTheme="minorHAnsi" w:hAnsiTheme="minorHAnsi" w:cstheme="minorBidi"/>
              <w:noProof/>
              <w:sz w:val="22"/>
              <w:szCs w:val="22"/>
            </w:rPr>
          </w:pPr>
          <w:hyperlink w:history="1" w:anchor="_Toc82159632">
            <w:r w:rsidRPr="0032220A" w:rsidR="008959A4">
              <w:rPr>
                <w:rStyle w:val="Hyperlink"/>
                <w:noProof/>
              </w:rPr>
              <w:t>1.1.</w:t>
            </w:r>
            <w:r w:rsidR="008959A4">
              <w:rPr>
                <w:rFonts w:asciiTheme="minorHAnsi" w:hAnsiTheme="minorHAnsi" w:cstheme="minorBidi"/>
                <w:noProof/>
                <w:sz w:val="22"/>
                <w:szCs w:val="22"/>
              </w:rPr>
              <w:tab/>
            </w:r>
            <w:r w:rsidRPr="0032220A" w:rsidR="008959A4">
              <w:rPr>
                <w:rStyle w:val="Hyperlink"/>
                <w:noProof/>
              </w:rPr>
              <w:t>The California Alternate Rates for Energy (CARE) Program</w:t>
            </w:r>
            <w:r w:rsidR="008959A4">
              <w:rPr>
                <w:noProof/>
                <w:webHidden/>
              </w:rPr>
              <w:tab/>
            </w:r>
            <w:r w:rsidR="008959A4">
              <w:rPr>
                <w:noProof/>
                <w:webHidden/>
              </w:rPr>
              <w:fldChar w:fldCharType="begin"/>
            </w:r>
            <w:r w:rsidR="008959A4">
              <w:rPr>
                <w:noProof/>
                <w:webHidden/>
              </w:rPr>
              <w:instrText xml:space="preserve"> PAGEREF _Toc82159632 \h </w:instrText>
            </w:r>
            <w:r w:rsidR="008959A4">
              <w:rPr>
                <w:noProof/>
                <w:webHidden/>
              </w:rPr>
            </w:r>
            <w:r w:rsidR="008959A4">
              <w:rPr>
                <w:noProof/>
                <w:webHidden/>
              </w:rPr>
              <w:fldChar w:fldCharType="separate"/>
            </w:r>
            <w:r w:rsidR="00A643C3">
              <w:rPr>
                <w:noProof/>
                <w:webHidden/>
              </w:rPr>
              <w:t>4</w:t>
            </w:r>
            <w:r w:rsidR="008959A4">
              <w:rPr>
                <w:noProof/>
                <w:webHidden/>
              </w:rPr>
              <w:fldChar w:fldCharType="end"/>
            </w:r>
          </w:hyperlink>
        </w:p>
        <w:p w:rsidR="008959A4" w:rsidP="008959A4" w:rsidRDefault="00ED6D61" w14:paraId="195A0BD5" w14:textId="42A27572">
          <w:pPr>
            <w:pStyle w:val="TOC2"/>
            <w:tabs>
              <w:tab w:val="right" w:leader="dot" w:pos="9350"/>
            </w:tabs>
            <w:ind w:left="1080" w:hanging="630"/>
            <w:rPr>
              <w:rFonts w:asciiTheme="minorHAnsi" w:hAnsiTheme="minorHAnsi" w:cstheme="minorBidi"/>
              <w:noProof/>
              <w:sz w:val="22"/>
              <w:szCs w:val="22"/>
            </w:rPr>
          </w:pPr>
          <w:hyperlink w:history="1" w:anchor="_Toc82159633">
            <w:r w:rsidRPr="0032220A" w:rsidR="008959A4">
              <w:rPr>
                <w:rStyle w:val="Hyperlink"/>
                <w:noProof/>
              </w:rPr>
              <w:t>1.2.</w:t>
            </w:r>
            <w:r w:rsidR="008959A4">
              <w:rPr>
                <w:rFonts w:asciiTheme="minorHAnsi" w:hAnsiTheme="minorHAnsi" w:cstheme="minorBidi"/>
                <w:noProof/>
                <w:sz w:val="22"/>
                <w:szCs w:val="22"/>
              </w:rPr>
              <w:tab/>
            </w:r>
            <w:r w:rsidRPr="0032220A" w:rsidR="008959A4">
              <w:rPr>
                <w:rStyle w:val="Hyperlink"/>
                <w:noProof/>
              </w:rPr>
              <w:t>The Energy Savings Assistance (ESA) Program</w:t>
            </w:r>
            <w:r w:rsidR="008959A4">
              <w:rPr>
                <w:noProof/>
                <w:webHidden/>
              </w:rPr>
              <w:tab/>
            </w:r>
            <w:r w:rsidR="008959A4">
              <w:rPr>
                <w:noProof/>
                <w:webHidden/>
              </w:rPr>
              <w:fldChar w:fldCharType="begin"/>
            </w:r>
            <w:r w:rsidR="008959A4">
              <w:rPr>
                <w:noProof/>
                <w:webHidden/>
              </w:rPr>
              <w:instrText xml:space="preserve"> PAGEREF _Toc82159633 \h </w:instrText>
            </w:r>
            <w:r w:rsidR="008959A4">
              <w:rPr>
                <w:noProof/>
                <w:webHidden/>
              </w:rPr>
            </w:r>
            <w:r w:rsidR="008959A4">
              <w:rPr>
                <w:noProof/>
                <w:webHidden/>
              </w:rPr>
              <w:fldChar w:fldCharType="separate"/>
            </w:r>
            <w:r w:rsidR="00A643C3">
              <w:rPr>
                <w:noProof/>
                <w:webHidden/>
              </w:rPr>
              <w:t>6</w:t>
            </w:r>
            <w:r w:rsidR="008959A4">
              <w:rPr>
                <w:noProof/>
                <w:webHidden/>
              </w:rPr>
              <w:fldChar w:fldCharType="end"/>
            </w:r>
          </w:hyperlink>
        </w:p>
        <w:p w:rsidR="008959A4" w:rsidP="008959A4" w:rsidRDefault="00ED6D61" w14:paraId="2E84B4DC" w14:textId="378107A2">
          <w:pPr>
            <w:pStyle w:val="TOC1"/>
            <w:tabs>
              <w:tab w:val="right" w:leader="dot" w:pos="9350"/>
            </w:tabs>
            <w:rPr>
              <w:rFonts w:asciiTheme="minorHAnsi" w:hAnsiTheme="minorHAnsi" w:cstheme="minorBidi"/>
              <w:noProof/>
              <w:sz w:val="22"/>
              <w:szCs w:val="22"/>
            </w:rPr>
          </w:pPr>
          <w:hyperlink w:history="1" w:anchor="_Toc82159634">
            <w:r w:rsidRPr="0032220A" w:rsidR="008959A4">
              <w:rPr>
                <w:rStyle w:val="Hyperlink"/>
                <w:noProof/>
              </w:rPr>
              <w:t>2.</w:t>
            </w:r>
            <w:r w:rsidR="008959A4">
              <w:rPr>
                <w:rFonts w:asciiTheme="minorHAnsi" w:hAnsiTheme="minorHAnsi" w:cstheme="minorBidi"/>
                <w:noProof/>
                <w:sz w:val="22"/>
                <w:szCs w:val="22"/>
              </w:rPr>
              <w:tab/>
            </w:r>
            <w:r w:rsidRPr="0032220A" w:rsidR="008959A4">
              <w:rPr>
                <w:rStyle w:val="Hyperlink"/>
                <w:noProof/>
              </w:rPr>
              <w:t>History and Procedural Issues</w:t>
            </w:r>
            <w:r w:rsidR="008959A4">
              <w:rPr>
                <w:noProof/>
                <w:webHidden/>
              </w:rPr>
              <w:tab/>
            </w:r>
            <w:r w:rsidR="008959A4">
              <w:rPr>
                <w:noProof/>
                <w:webHidden/>
              </w:rPr>
              <w:fldChar w:fldCharType="begin"/>
            </w:r>
            <w:r w:rsidR="008959A4">
              <w:rPr>
                <w:noProof/>
                <w:webHidden/>
              </w:rPr>
              <w:instrText xml:space="preserve"> PAGEREF _Toc82159634 \h </w:instrText>
            </w:r>
            <w:r w:rsidR="008959A4">
              <w:rPr>
                <w:noProof/>
                <w:webHidden/>
              </w:rPr>
            </w:r>
            <w:r w:rsidR="008959A4">
              <w:rPr>
                <w:noProof/>
                <w:webHidden/>
              </w:rPr>
              <w:fldChar w:fldCharType="separate"/>
            </w:r>
            <w:r w:rsidR="00A643C3">
              <w:rPr>
                <w:noProof/>
                <w:webHidden/>
              </w:rPr>
              <w:t>7</w:t>
            </w:r>
            <w:r w:rsidR="008959A4">
              <w:rPr>
                <w:noProof/>
                <w:webHidden/>
              </w:rPr>
              <w:fldChar w:fldCharType="end"/>
            </w:r>
          </w:hyperlink>
        </w:p>
        <w:p w:rsidR="008959A4" w:rsidP="008959A4" w:rsidRDefault="00ED6D61" w14:paraId="341B2487" w14:textId="7A45526F">
          <w:pPr>
            <w:pStyle w:val="TOC2"/>
            <w:tabs>
              <w:tab w:val="right" w:leader="dot" w:pos="9350"/>
            </w:tabs>
            <w:ind w:left="1080" w:hanging="630"/>
            <w:rPr>
              <w:rFonts w:asciiTheme="minorHAnsi" w:hAnsiTheme="minorHAnsi" w:cstheme="minorBidi"/>
              <w:noProof/>
              <w:sz w:val="22"/>
              <w:szCs w:val="22"/>
            </w:rPr>
          </w:pPr>
          <w:hyperlink w:history="1" w:anchor="_Toc82159635">
            <w:r w:rsidRPr="0032220A" w:rsidR="008959A4">
              <w:rPr>
                <w:rStyle w:val="Hyperlink"/>
                <w:noProof/>
              </w:rPr>
              <w:t>2.1.</w:t>
            </w:r>
            <w:r w:rsidR="008959A4">
              <w:rPr>
                <w:rFonts w:asciiTheme="minorHAnsi" w:hAnsiTheme="minorHAnsi" w:cstheme="minorBidi"/>
                <w:noProof/>
                <w:sz w:val="22"/>
                <w:szCs w:val="22"/>
              </w:rPr>
              <w:tab/>
            </w:r>
            <w:r w:rsidRPr="0032220A" w:rsidR="008959A4">
              <w:rPr>
                <w:rStyle w:val="Hyperlink"/>
                <w:noProof/>
              </w:rPr>
              <w:t>Commission Decision (D.) 19-11-005</w:t>
            </w:r>
            <w:r w:rsidR="008959A4">
              <w:rPr>
                <w:noProof/>
                <w:webHidden/>
              </w:rPr>
              <w:tab/>
            </w:r>
            <w:r w:rsidR="008959A4">
              <w:rPr>
                <w:noProof/>
                <w:webHidden/>
              </w:rPr>
              <w:fldChar w:fldCharType="begin"/>
            </w:r>
            <w:r w:rsidR="008959A4">
              <w:rPr>
                <w:noProof/>
                <w:webHidden/>
              </w:rPr>
              <w:instrText xml:space="preserve"> PAGEREF _Toc82159635 \h </w:instrText>
            </w:r>
            <w:r w:rsidR="008959A4">
              <w:rPr>
                <w:noProof/>
                <w:webHidden/>
              </w:rPr>
            </w:r>
            <w:r w:rsidR="008959A4">
              <w:rPr>
                <w:noProof/>
                <w:webHidden/>
              </w:rPr>
              <w:fldChar w:fldCharType="separate"/>
            </w:r>
            <w:r w:rsidR="00A643C3">
              <w:rPr>
                <w:noProof/>
                <w:webHidden/>
              </w:rPr>
              <w:t>7</w:t>
            </w:r>
            <w:r w:rsidR="008959A4">
              <w:rPr>
                <w:noProof/>
                <w:webHidden/>
              </w:rPr>
              <w:fldChar w:fldCharType="end"/>
            </w:r>
          </w:hyperlink>
        </w:p>
        <w:p w:rsidR="008959A4" w:rsidP="008959A4" w:rsidRDefault="00ED6D61" w14:paraId="10552943" w14:textId="687BAC69">
          <w:pPr>
            <w:pStyle w:val="TOC2"/>
            <w:tabs>
              <w:tab w:val="right" w:leader="dot" w:pos="9350"/>
            </w:tabs>
            <w:ind w:left="1080" w:hanging="630"/>
            <w:rPr>
              <w:rFonts w:asciiTheme="minorHAnsi" w:hAnsiTheme="minorHAnsi" w:cstheme="minorBidi"/>
              <w:noProof/>
              <w:sz w:val="22"/>
              <w:szCs w:val="22"/>
            </w:rPr>
          </w:pPr>
          <w:hyperlink w:history="1" w:anchor="_Toc82159636">
            <w:r w:rsidRPr="0032220A" w:rsidR="008959A4">
              <w:rPr>
                <w:rStyle w:val="Hyperlink"/>
                <w:noProof/>
              </w:rPr>
              <w:t>2.2.</w:t>
            </w:r>
            <w:r w:rsidR="008959A4">
              <w:rPr>
                <w:rFonts w:asciiTheme="minorHAnsi" w:hAnsiTheme="minorHAnsi" w:cstheme="minorBidi"/>
                <w:noProof/>
                <w:sz w:val="22"/>
                <w:szCs w:val="22"/>
              </w:rPr>
              <w:tab/>
            </w:r>
            <w:r w:rsidRPr="0032220A" w:rsidR="008959A4">
              <w:rPr>
                <w:rStyle w:val="Hyperlink"/>
                <w:noProof/>
              </w:rPr>
              <w:t>SMJU Applications</w:t>
            </w:r>
            <w:r w:rsidR="008959A4">
              <w:rPr>
                <w:noProof/>
                <w:webHidden/>
              </w:rPr>
              <w:tab/>
            </w:r>
            <w:r w:rsidR="008959A4">
              <w:rPr>
                <w:noProof/>
                <w:webHidden/>
              </w:rPr>
              <w:fldChar w:fldCharType="begin"/>
            </w:r>
            <w:r w:rsidR="008959A4">
              <w:rPr>
                <w:noProof/>
                <w:webHidden/>
              </w:rPr>
              <w:instrText xml:space="preserve"> PAGEREF _Toc82159636 \h </w:instrText>
            </w:r>
            <w:r w:rsidR="008959A4">
              <w:rPr>
                <w:noProof/>
                <w:webHidden/>
              </w:rPr>
            </w:r>
            <w:r w:rsidR="008959A4">
              <w:rPr>
                <w:noProof/>
                <w:webHidden/>
              </w:rPr>
              <w:fldChar w:fldCharType="separate"/>
            </w:r>
            <w:r w:rsidR="00A643C3">
              <w:rPr>
                <w:noProof/>
                <w:webHidden/>
              </w:rPr>
              <w:t>7</w:t>
            </w:r>
            <w:r w:rsidR="008959A4">
              <w:rPr>
                <w:noProof/>
                <w:webHidden/>
              </w:rPr>
              <w:fldChar w:fldCharType="end"/>
            </w:r>
          </w:hyperlink>
        </w:p>
        <w:p w:rsidR="008959A4" w:rsidP="008959A4" w:rsidRDefault="00ED6D61" w14:paraId="2E1C9721" w14:textId="341594B8">
          <w:pPr>
            <w:pStyle w:val="TOC2"/>
            <w:tabs>
              <w:tab w:val="right" w:leader="dot" w:pos="9350"/>
            </w:tabs>
            <w:ind w:left="1080" w:hanging="630"/>
            <w:rPr>
              <w:rFonts w:asciiTheme="minorHAnsi" w:hAnsiTheme="minorHAnsi" w:cstheme="minorBidi"/>
              <w:noProof/>
              <w:sz w:val="22"/>
              <w:szCs w:val="22"/>
            </w:rPr>
          </w:pPr>
          <w:hyperlink w:history="1" w:anchor="_Toc82159637">
            <w:r w:rsidRPr="0032220A" w:rsidR="008959A4">
              <w:rPr>
                <w:rStyle w:val="Hyperlink"/>
                <w:noProof/>
              </w:rPr>
              <w:t>2.3.</w:t>
            </w:r>
            <w:r w:rsidR="008959A4">
              <w:rPr>
                <w:rFonts w:asciiTheme="minorHAnsi" w:hAnsiTheme="minorHAnsi" w:cstheme="minorBidi"/>
                <w:noProof/>
                <w:sz w:val="22"/>
                <w:szCs w:val="22"/>
              </w:rPr>
              <w:tab/>
            </w:r>
            <w:r w:rsidRPr="0032220A" w:rsidR="008959A4">
              <w:rPr>
                <w:rStyle w:val="Hyperlink"/>
                <w:noProof/>
              </w:rPr>
              <w:t>Hearings and Rulings</w:t>
            </w:r>
            <w:r w:rsidR="008959A4">
              <w:rPr>
                <w:noProof/>
                <w:webHidden/>
              </w:rPr>
              <w:tab/>
            </w:r>
            <w:r w:rsidR="008959A4">
              <w:rPr>
                <w:noProof/>
                <w:webHidden/>
              </w:rPr>
              <w:fldChar w:fldCharType="begin"/>
            </w:r>
            <w:r w:rsidR="008959A4">
              <w:rPr>
                <w:noProof/>
                <w:webHidden/>
              </w:rPr>
              <w:instrText xml:space="preserve"> PAGEREF _Toc82159637 \h </w:instrText>
            </w:r>
            <w:r w:rsidR="008959A4">
              <w:rPr>
                <w:noProof/>
                <w:webHidden/>
              </w:rPr>
            </w:r>
            <w:r w:rsidR="008959A4">
              <w:rPr>
                <w:noProof/>
                <w:webHidden/>
              </w:rPr>
              <w:fldChar w:fldCharType="separate"/>
            </w:r>
            <w:r w:rsidR="00A643C3">
              <w:rPr>
                <w:noProof/>
                <w:webHidden/>
              </w:rPr>
              <w:t>8</w:t>
            </w:r>
            <w:r w:rsidR="008959A4">
              <w:rPr>
                <w:noProof/>
                <w:webHidden/>
              </w:rPr>
              <w:fldChar w:fldCharType="end"/>
            </w:r>
          </w:hyperlink>
        </w:p>
        <w:p w:rsidR="008959A4" w:rsidP="008959A4" w:rsidRDefault="00ED6D61" w14:paraId="19DE91C6" w14:textId="09D80D13">
          <w:pPr>
            <w:pStyle w:val="TOC2"/>
            <w:tabs>
              <w:tab w:val="right" w:leader="dot" w:pos="9350"/>
            </w:tabs>
            <w:ind w:left="1080" w:hanging="630"/>
            <w:rPr>
              <w:rFonts w:asciiTheme="minorHAnsi" w:hAnsiTheme="minorHAnsi" w:cstheme="minorBidi"/>
              <w:noProof/>
              <w:sz w:val="22"/>
              <w:szCs w:val="22"/>
            </w:rPr>
          </w:pPr>
          <w:hyperlink w:history="1" w:anchor="_Toc82159638">
            <w:r w:rsidRPr="0032220A" w:rsidR="008959A4">
              <w:rPr>
                <w:rStyle w:val="Hyperlink"/>
                <w:noProof/>
              </w:rPr>
              <w:t>2.4.</w:t>
            </w:r>
            <w:r w:rsidR="008959A4">
              <w:rPr>
                <w:rFonts w:asciiTheme="minorHAnsi" w:hAnsiTheme="minorHAnsi" w:cstheme="minorBidi"/>
                <w:noProof/>
                <w:sz w:val="22"/>
                <w:szCs w:val="22"/>
              </w:rPr>
              <w:tab/>
            </w:r>
            <w:r w:rsidRPr="0032220A" w:rsidR="008959A4">
              <w:rPr>
                <w:rStyle w:val="Hyperlink"/>
                <w:noProof/>
              </w:rPr>
              <w:t>Testimony and Briefs</w:t>
            </w:r>
            <w:r w:rsidR="008959A4">
              <w:rPr>
                <w:noProof/>
                <w:webHidden/>
              </w:rPr>
              <w:tab/>
            </w:r>
            <w:r w:rsidR="008959A4">
              <w:rPr>
                <w:noProof/>
                <w:webHidden/>
              </w:rPr>
              <w:fldChar w:fldCharType="begin"/>
            </w:r>
            <w:r w:rsidR="008959A4">
              <w:rPr>
                <w:noProof/>
                <w:webHidden/>
              </w:rPr>
              <w:instrText xml:space="preserve"> PAGEREF _Toc82159638 \h </w:instrText>
            </w:r>
            <w:r w:rsidR="008959A4">
              <w:rPr>
                <w:noProof/>
                <w:webHidden/>
              </w:rPr>
            </w:r>
            <w:r w:rsidR="008959A4">
              <w:rPr>
                <w:noProof/>
                <w:webHidden/>
              </w:rPr>
              <w:fldChar w:fldCharType="separate"/>
            </w:r>
            <w:r w:rsidR="00A643C3">
              <w:rPr>
                <w:noProof/>
                <w:webHidden/>
              </w:rPr>
              <w:t>8</w:t>
            </w:r>
            <w:r w:rsidR="008959A4">
              <w:rPr>
                <w:noProof/>
                <w:webHidden/>
              </w:rPr>
              <w:fldChar w:fldCharType="end"/>
            </w:r>
          </w:hyperlink>
        </w:p>
        <w:p w:rsidR="008959A4" w:rsidP="008959A4" w:rsidRDefault="00ED6D61" w14:paraId="0A8B2908" w14:textId="04BAB0FB">
          <w:pPr>
            <w:pStyle w:val="TOC1"/>
            <w:tabs>
              <w:tab w:val="right" w:leader="dot" w:pos="9350"/>
            </w:tabs>
            <w:rPr>
              <w:rFonts w:asciiTheme="minorHAnsi" w:hAnsiTheme="minorHAnsi" w:cstheme="minorBidi"/>
              <w:noProof/>
              <w:sz w:val="22"/>
              <w:szCs w:val="22"/>
            </w:rPr>
          </w:pPr>
          <w:hyperlink w:history="1" w:anchor="_Toc82159639">
            <w:r w:rsidRPr="0032220A" w:rsidR="008959A4">
              <w:rPr>
                <w:rStyle w:val="Hyperlink"/>
                <w:noProof/>
              </w:rPr>
              <w:t>3.</w:t>
            </w:r>
            <w:r w:rsidR="008959A4">
              <w:rPr>
                <w:rFonts w:asciiTheme="minorHAnsi" w:hAnsiTheme="minorHAnsi" w:cstheme="minorBidi"/>
                <w:noProof/>
                <w:sz w:val="22"/>
                <w:szCs w:val="22"/>
              </w:rPr>
              <w:tab/>
            </w:r>
            <w:r w:rsidRPr="0032220A" w:rsidR="008959A4">
              <w:rPr>
                <w:rStyle w:val="Hyperlink"/>
                <w:noProof/>
              </w:rPr>
              <w:t>Issues and Scope</w:t>
            </w:r>
            <w:r w:rsidR="008959A4">
              <w:rPr>
                <w:noProof/>
                <w:webHidden/>
              </w:rPr>
              <w:tab/>
            </w:r>
            <w:r w:rsidR="008959A4">
              <w:rPr>
                <w:noProof/>
                <w:webHidden/>
              </w:rPr>
              <w:fldChar w:fldCharType="begin"/>
            </w:r>
            <w:r w:rsidR="008959A4">
              <w:rPr>
                <w:noProof/>
                <w:webHidden/>
              </w:rPr>
              <w:instrText xml:space="preserve"> PAGEREF _Toc82159639 \h </w:instrText>
            </w:r>
            <w:r w:rsidR="008959A4">
              <w:rPr>
                <w:noProof/>
                <w:webHidden/>
              </w:rPr>
            </w:r>
            <w:r w:rsidR="008959A4">
              <w:rPr>
                <w:noProof/>
                <w:webHidden/>
              </w:rPr>
              <w:fldChar w:fldCharType="separate"/>
            </w:r>
            <w:r w:rsidR="00A643C3">
              <w:rPr>
                <w:noProof/>
                <w:webHidden/>
              </w:rPr>
              <w:t>9</w:t>
            </w:r>
            <w:r w:rsidR="008959A4">
              <w:rPr>
                <w:noProof/>
                <w:webHidden/>
              </w:rPr>
              <w:fldChar w:fldCharType="end"/>
            </w:r>
          </w:hyperlink>
        </w:p>
        <w:p w:rsidR="008959A4" w:rsidP="008959A4" w:rsidRDefault="00ED6D61" w14:paraId="17B1D20E" w14:textId="272F7733">
          <w:pPr>
            <w:pStyle w:val="TOC1"/>
            <w:tabs>
              <w:tab w:val="right" w:leader="dot" w:pos="9350"/>
            </w:tabs>
            <w:rPr>
              <w:rFonts w:asciiTheme="minorHAnsi" w:hAnsiTheme="minorHAnsi" w:cstheme="minorBidi"/>
              <w:noProof/>
              <w:sz w:val="22"/>
              <w:szCs w:val="22"/>
            </w:rPr>
          </w:pPr>
          <w:hyperlink w:history="1" w:anchor="_Toc82159640">
            <w:r w:rsidRPr="0032220A" w:rsidR="008959A4">
              <w:rPr>
                <w:rStyle w:val="Hyperlink"/>
                <w:noProof/>
              </w:rPr>
              <w:t>4.</w:t>
            </w:r>
            <w:r w:rsidR="008959A4">
              <w:rPr>
                <w:rFonts w:asciiTheme="minorHAnsi" w:hAnsiTheme="minorHAnsi" w:cstheme="minorBidi"/>
                <w:noProof/>
                <w:sz w:val="22"/>
                <w:szCs w:val="22"/>
              </w:rPr>
              <w:tab/>
            </w:r>
            <w:r w:rsidRPr="0032220A" w:rsidR="008959A4">
              <w:rPr>
                <w:rStyle w:val="Hyperlink"/>
                <w:noProof/>
              </w:rPr>
              <w:t>CARE Program</w:t>
            </w:r>
            <w:r w:rsidR="008959A4">
              <w:rPr>
                <w:noProof/>
                <w:webHidden/>
              </w:rPr>
              <w:tab/>
            </w:r>
            <w:r w:rsidR="008959A4">
              <w:rPr>
                <w:noProof/>
                <w:webHidden/>
              </w:rPr>
              <w:fldChar w:fldCharType="begin"/>
            </w:r>
            <w:r w:rsidR="008959A4">
              <w:rPr>
                <w:noProof/>
                <w:webHidden/>
              </w:rPr>
              <w:instrText xml:space="preserve"> PAGEREF _Toc82159640 \h </w:instrText>
            </w:r>
            <w:r w:rsidR="008959A4">
              <w:rPr>
                <w:noProof/>
                <w:webHidden/>
              </w:rPr>
            </w:r>
            <w:r w:rsidR="008959A4">
              <w:rPr>
                <w:noProof/>
                <w:webHidden/>
              </w:rPr>
              <w:fldChar w:fldCharType="separate"/>
            </w:r>
            <w:r w:rsidR="00A643C3">
              <w:rPr>
                <w:noProof/>
                <w:webHidden/>
              </w:rPr>
              <w:t>11</w:t>
            </w:r>
            <w:r w:rsidR="008959A4">
              <w:rPr>
                <w:noProof/>
                <w:webHidden/>
              </w:rPr>
              <w:fldChar w:fldCharType="end"/>
            </w:r>
          </w:hyperlink>
        </w:p>
        <w:p w:rsidR="008959A4" w:rsidP="008959A4" w:rsidRDefault="00ED6D61" w14:paraId="1BD414C4" w14:textId="4495D3D4">
          <w:pPr>
            <w:pStyle w:val="TOC2"/>
            <w:tabs>
              <w:tab w:val="right" w:leader="dot" w:pos="9350"/>
            </w:tabs>
            <w:ind w:left="1080" w:hanging="630"/>
            <w:rPr>
              <w:rFonts w:asciiTheme="minorHAnsi" w:hAnsiTheme="minorHAnsi" w:cstheme="minorBidi"/>
              <w:noProof/>
              <w:sz w:val="22"/>
              <w:szCs w:val="22"/>
            </w:rPr>
          </w:pPr>
          <w:hyperlink w:history="1" w:anchor="_Toc82159641">
            <w:r w:rsidRPr="0032220A" w:rsidR="008959A4">
              <w:rPr>
                <w:rStyle w:val="Hyperlink"/>
                <w:noProof/>
              </w:rPr>
              <w:t>4.1.</w:t>
            </w:r>
            <w:r w:rsidR="008959A4">
              <w:rPr>
                <w:rFonts w:asciiTheme="minorHAnsi" w:hAnsiTheme="minorHAnsi" w:cstheme="minorBidi"/>
                <w:noProof/>
                <w:sz w:val="22"/>
                <w:szCs w:val="22"/>
              </w:rPr>
              <w:tab/>
            </w:r>
            <w:r w:rsidRPr="0032220A" w:rsidR="008959A4">
              <w:rPr>
                <w:rStyle w:val="Hyperlink"/>
                <w:noProof/>
              </w:rPr>
              <w:t>CARE Goals</w:t>
            </w:r>
            <w:r w:rsidR="008959A4">
              <w:rPr>
                <w:noProof/>
                <w:webHidden/>
              </w:rPr>
              <w:tab/>
            </w:r>
            <w:r w:rsidR="008959A4">
              <w:rPr>
                <w:noProof/>
                <w:webHidden/>
              </w:rPr>
              <w:fldChar w:fldCharType="begin"/>
            </w:r>
            <w:r w:rsidR="008959A4">
              <w:rPr>
                <w:noProof/>
                <w:webHidden/>
              </w:rPr>
              <w:instrText xml:space="preserve"> PAGEREF _Toc82159641 \h </w:instrText>
            </w:r>
            <w:r w:rsidR="008959A4">
              <w:rPr>
                <w:noProof/>
                <w:webHidden/>
              </w:rPr>
            </w:r>
            <w:r w:rsidR="008959A4">
              <w:rPr>
                <w:noProof/>
                <w:webHidden/>
              </w:rPr>
              <w:fldChar w:fldCharType="separate"/>
            </w:r>
            <w:r w:rsidR="00A643C3">
              <w:rPr>
                <w:noProof/>
                <w:webHidden/>
              </w:rPr>
              <w:t>11</w:t>
            </w:r>
            <w:r w:rsidR="008959A4">
              <w:rPr>
                <w:noProof/>
                <w:webHidden/>
              </w:rPr>
              <w:fldChar w:fldCharType="end"/>
            </w:r>
          </w:hyperlink>
        </w:p>
        <w:p w:rsidR="008959A4" w:rsidP="008959A4" w:rsidRDefault="00ED6D61" w14:paraId="322D6717" w14:textId="03093690">
          <w:pPr>
            <w:pStyle w:val="TOC3"/>
            <w:tabs>
              <w:tab w:val="right" w:leader="dot" w:pos="9350"/>
            </w:tabs>
            <w:ind w:left="1980" w:hanging="900"/>
            <w:rPr>
              <w:rFonts w:asciiTheme="minorHAnsi" w:hAnsiTheme="minorHAnsi" w:cstheme="minorBidi"/>
              <w:noProof/>
              <w:sz w:val="22"/>
              <w:szCs w:val="22"/>
            </w:rPr>
          </w:pPr>
          <w:hyperlink w:history="1" w:anchor="_Toc82159642">
            <w:r w:rsidRPr="0032220A" w:rsidR="008959A4">
              <w:rPr>
                <w:rStyle w:val="Hyperlink"/>
                <w:noProof/>
              </w:rPr>
              <w:t>4.1.1.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_Toc82159642 \h </w:instrText>
            </w:r>
            <w:r w:rsidR="008959A4">
              <w:rPr>
                <w:noProof/>
                <w:webHidden/>
              </w:rPr>
            </w:r>
            <w:r w:rsidR="008959A4">
              <w:rPr>
                <w:noProof/>
                <w:webHidden/>
              </w:rPr>
              <w:fldChar w:fldCharType="separate"/>
            </w:r>
            <w:r w:rsidR="00A643C3">
              <w:rPr>
                <w:noProof/>
                <w:webHidden/>
              </w:rPr>
              <w:t>11</w:t>
            </w:r>
            <w:r w:rsidR="008959A4">
              <w:rPr>
                <w:noProof/>
                <w:webHidden/>
              </w:rPr>
              <w:fldChar w:fldCharType="end"/>
            </w:r>
          </w:hyperlink>
        </w:p>
        <w:p w:rsidR="008959A4" w:rsidP="008959A4" w:rsidRDefault="00ED6D61" w14:paraId="12D8A690" w14:textId="72D3BD1A">
          <w:pPr>
            <w:pStyle w:val="TOC3"/>
            <w:tabs>
              <w:tab w:val="right" w:leader="dot" w:pos="9350"/>
            </w:tabs>
            <w:ind w:left="1980" w:hanging="900"/>
            <w:rPr>
              <w:rFonts w:asciiTheme="minorHAnsi" w:hAnsiTheme="minorHAnsi" w:cstheme="minorBidi"/>
              <w:noProof/>
              <w:sz w:val="22"/>
              <w:szCs w:val="22"/>
            </w:rPr>
          </w:pPr>
          <w:hyperlink w:history="1" w:anchor="_Toc82159643">
            <w:r w:rsidRPr="0032220A" w:rsidR="008959A4">
              <w:rPr>
                <w:rStyle w:val="Hyperlink"/>
                <w:noProof/>
              </w:rPr>
              <w:t>4.1.2.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_Toc82159643 \h </w:instrText>
            </w:r>
            <w:r w:rsidR="008959A4">
              <w:rPr>
                <w:noProof/>
                <w:webHidden/>
              </w:rPr>
            </w:r>
            <w:r w:rsidR="008959A4">
              <w:rPr>
                <w:noProof/>
                <w:webHidden/>
              </w:rPr>
              <w:fldChar w:fldCharType="separate"/>
            </w:r>
            <w:r w:rsidR="00A643C3">
              <w:rPr>
                <w:noProof/>
                <w:webHidden/>
              </w:rPr>
              <w:t>12</w:t>
            </w:r>
            <w:r w:rsidR="008959A4">
              <w:rPr>
                <w:noProof/>
                <w:webHidden/>
              </w:rPr>
              <w:fldChar w:fldCharType="end"/>
            </w:r>
          </w:hyperlink>
        </w:p>
        <w:p w:rsidR="008959A4" w:rsidP="008959A4" w:rsidRDefault="00ED6D61" w14:paraId="1C7AA78C" w14:textId="58648B64">
          <w:pPr>
            <w:pStyle w:val="TOC3"/>
            <w:tabs>
              <w:tab w:val="right" w:leader="dot" w:pos="9350"/>
            </w:tabs>
            <w:ind w:left="1980" w:hanging="900"/>
            <w:rPr>
              <w:rFonts w:asciiTheme="minorHAnsi" w:hAnsiTheme="minorHAnsi" w:cstheme="minorBidi"/>
              <w:noProof/>
              <w:sz w:val="22"/>
              <w:szCs w:val="22"/>
            </w:rPr>
          </w:pPr>
          <w:hyperlink w:history="1" w:anchor="_Toc82159644">
            <w:r w:rsidRPr="0032220A" w:rsidR="008959A4">
              <w:rPr>
                <w:rStyle w:val="Hyperlink"/>
                <w:noProof/>
              </w:rPr>
              <w:t>4.1.3.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_Toc82159644 \h </w:instrText>
            </w:r>
            <w:r w:rsidR="008959A4">
              <w:rPr>
                <w:noProof/>
                <w:webHidden/>
              </w:rPr>
            </w:r>
            <w:r w:rsidR="008959A4">
              <w:rPr>
                <w:noProof/>
                <w:webHidden/>
              </w:rPr>
              <w:fldChar w:fldCharType="separate"/>
            </w:r>
            <w:r w:rsidR="00A643C3">
              <w:rPr>
                <w:noProof/>
                <w:webHidden/>
              </w:rPr>
              <w:t>12</w:t>
            </w:r>
            <w:r w:rsidR="008959A4">
              <w:rPr>
                <w:noProof/>
                <w:webHidden/>
              </w:rPr>
              <w:fldChar w:fldCharType="end"/>
            </w:r>
          </w:hyperlink>
        </w:p>
        <w:p w:rsidR="008959A4" w:rsidP="008959A4" w:rsidRDefault="00ED6D61" w14:paraId="287A7968" w14:textId="6789BAF1">
          <w:pPr>
            <w:pStyle w:val="TOC3"/>
            <w:tabs>
              <w:tab w:val="right" w:leader="dot" w:pos="9350"/>
            </w:tabs>
            <w:ind w:left="1980" w:hanging="900"/>
            <w:rPr>
              <w:rFonts w:asciiTheme="minorHAnsi" w:hAnsiTheme="minorHAnsi" w:cstheme="minorBidi"/>
              <w:noProof/>
              <w:sz w:val="22"/>
              <w:szCs w:val="22"/>
            </w:rPr>
          </w:pPr>
          <w:hyperlink w:history="1" w:anchor="_Toc82159645">
            <w:r w:rsidRPr="0032220A" w:rsidR="008959A4">
              <w:rPr>
                <w:rStyle w:val="Hyperlink"/>
                <w:noProof/>
              </w:rPr>
              <w:t>4.1.4.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_Toc82159645 \h </w:instrText>
            </w:r>
            <w:r w:rsidR="008959A4">
              <w:rPr>
                <w:noProof/>
                <w:webHidden/>
              </w:rPr>
            </w:r>
            <w:r w:rsidR="008959A4">
              <w:rPr>
                <w:noProof/>
                <w:webHidden/>
              </w:rPr>
              <w:fldChar w:fldCharType="separate"/>
            </w:r>
            <w:r w:rsidR="00A643C3">
              <w:rPr>
                <w:noProof/>
                <w:webHidden/>
              </w:rPr>
              <w:t>12</w:t>
            </w:r>
            <w:r w:rsidR="008959A4">
              <w:rPr>
                <w:noProof/>
                <w:webHidden/>
              </w:rPr>
              <w:fldChar w:fldCharType="end"/>
            </w:r>
          </w:hyperlink>
        </w:p>
        <w:p w:rsidR="008959A4" w:rsidP="008959A4" w:rsidRDefault="00ED6D61" w14:paraId="7D90528F" w14:textId="5D4EEED0">
          <w:pPr>
            <w:pStyle w:val="TOC3"/>
            <w:tabs>
              <w:tab w:val="right" w:leader="dot" w:pos="9350"/>
            </w:tabs>
            <w:ind w:left="1980" w:hanging="900"/>
            <w:rPr>
              <w:rFonts w:asciiTheme="minorHAnsi" w:hAnsiTheme="minorHAnsi" w:cstheme="minorBidi"/>
              <w:noProof/>
              <w:sz w:val="22"/>
              <w:szCs w:val="22"/>
            </w:rPr>
          </w:pPr>
          <w:hyperlink w:history="1" w:anchor="_Toc82159646">
            <w:r w:rsidRPr="0032220A" w:rsidR="008959A4">
              <w:rPr>
                <w:rStyle w:val="Hyperlink"/>
                <w:noProof/>
              </w:rPr>
              <w:t>4.1.5.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_Toc82159646 \h </w:instrText>
            </w:r>
            <w:r w:rsidR="008959A4">
              <w:rPr>
                <w:noProof/>
                <w:webHidden/>
              </w:rPr>
            </w:r>
            <w:r w:rsidR="008959A4">
              <w:rPr>
                <w:noProof/>
                <w:webHidden/>
              </w:rPr>
              <w:fldChar w:fldCharType="separate"/>
            </w:r>
            <w:r w:rsidR="00A643C3">
              <w:rPr>
                <w:noProof/>
                <w:webHidden/>
              </w:rPr>
              <w:t>12</w:t>
            </w:r>
            <w:r w:rsidR="008959A4">
              <w:rPr>
                <w:noProof/>
                <w:webHidden/>
              </w:rPr>
              <w:fldChar w:fldCharType="end"/>
            </w:r>
          </w:hyperlink>
        </w:p>
        <w:p w:rsidR="008959A4" w:rsidP="008959A4" w:rsidRDefault="00ED6D61" w14:paraId="24BC389A" w14:textId="42A5A6BD">
          <w:pPr>
            <w:pStyle w:val="TOC3"/>
            <w:tabs>
              <w:tab w:val="right" w:leader="dot" w:pos="9350"/>
            </w:tabs>
            <w:ind w:left="1980" w:hanging="900"/>
            <w:rPr>
              <w:rFonts w:asciiTheme="minorHAnsi" w:hAnsiTheme="minorHAnsi" w:cstheme="minorBidi"/>
              <w:noProof/>
              <w:sz w:val="22"/>
              <w:szCs w:val="22"/>
            </w:rPr>
          </w:pPr>
          <w:hyperlink w:history="1" w:anchor="_Toc82159647">
            <w:r w:rsidRPr="0032220A" w:rsidR="008959A4">
              <w:rPr>
                <w:rStyle w:val="Hyperlink"/>
                <w:noProof/>
              </w:rPr>
              <w:t>4.1.6.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_Toc82159647 \h </w:instrText>
            </w:r>
            <w:r w:rsidR="008959A4">
              <w:rPr>
                <w:noProof/>
                <w:webHidden/>
              </w:rPr>
            </w:r>
            <w:r w:rsidR="008959A4">
              <w:rPr>
                <w:noProof/>
                <w:webHidden/>
              </w:rPr>
              <w:fldChar w:fldCharType="separate"/>
            </w:r>
            <w:r w:rsidR="00A643C3">
              <w:rPr>
                <w:noProof/>
                <w:webHidden/>
              </w:rPr>
              <w:t>13</w:t>
            </w:r>
            <w:r w:rsidR="008959A4">
              <w:rPr>
                <w:noProof/>
                <w:webHidden/>
              </w:rPr>
              <w:fldChar w:fldCharType="end"/>
            </w:r>
          </w:hyperlink>
        </w:p>
        <w:p w:rsidR="008959A4" w:rsidP="008959A4" w:rsidRDefault="00ED6D61" w14:paraId="63D44123" w14:textId="6AD66540">
          <w:pPr>
            <w:pStyle w:val="TOC3"/>
            <w:tabs>
              <w:tab w:val="right" w:leader="dot" w:pos="9350"/>
            </w:tabs>
            <w:ind w:left="1980" w:hanging="900"/>
            <w:rPr>
              <w:rFonts w:asciiTheme="minorHAnsi" w:hAnsiTheme="minorHAnsi" w:cstheme="minorBidi"/>
              <w:noProof/>
              <w:sz w:val="22"/>
              <w:szCs w:val="22"/>
            </w:rPr>
          </w:pPr>
          <w:hyperlink w:history="1" w:anchor="_Toc82159648">
            <w:r w:rsidRPr="0032220A" w:rsidR="008959A4">
              <w:rPr>
                <w:rStyle w:val="Hyperlink"/>
                <w:noProof/>
              </w:rPr>
              <w:t>4.1.7.</w:t>
            </w:r>
            <w:r w:rsidR="008959A4">
              <w:rPr>
                <w:rFonts w:asciiTheme="minorHAnsi" w:hAnsiTheme="minorHAnsi" w:cstheme="minorBidi"/>
                <w:noProof/>
                <w:sz w:val="22"/>
                <w:szCs w:val="22"/>
              </w:rPr>
              <w:tab/>
            </w:r>
            <w:r w:rsidRPr="0032220A" w:rsidR="008959A4">
              <w:rPr>
                <w:rStyle w:val="Hyperlink"/>
                <w:noProof/>
              </w:rPr>
              <w:t>West Coast Gas Proposal</w:t>
            </w:r>
            <w:r w:rsidR="008959A4">
              <w:rPr>
                <w:noProof/>
                <w:webHidden/>
              </w:rPr>
              <w:tab/>
            </w:r>
            <w:r w:rsidR="008959A4">
              <w:rPr>
                <w:noProof/>
                <w:webHidden/>
              </w:rPr>
              <w:fldChar w:fldCharType="begin"/>
            </w:r>
            <w:r w:rsidR="008959A4">
              <w:rPr>
                <w:noProof/>
                <w:webHidden/>
              </w:rPr>
              <w:instrText xml:space="preserve"> PAGEREF _Toc82159648 \h </w:instrText>
            </w:r>
            <w:r w:rsidR="008959A4">
              <w:rPr>
                <w:noProof/>
                <w:webHidden/>
              </w:rPr>
            </w:r>
            <w:r w:rsidR="008959A4">
              <w:rPr>
                <w:noProof/>
                <w:webHidden/>
              </w:rPr>
              <w:fldChar w:fldCharType="separate"/>
            </w:r>
            <w:r w:rsidR="00A643C3">
              <w:rPr>
                <w:noProof/>
                <w:webHidden/>
              </w:rPr>
              <w:t>13</w:t>
            </w:r>
            <w:r w:rsidR="008959A4">
              <w:rPr>
                <w:noProof/>
                <w:webHidden/>
              </w:rPr>
              <w:fldChar w:fldCharType="end"/>
            </w:r>
          </w:hyperlink>
        </w:p>
        <w:p w:rsidR="008959A4" w:rsidP="008959A4" w:rsidRDefault="00ED6D61" w14:paraId="60D3C9B5" w14:textId="2B940044">
          <w:pPr>
            <w:pStyle w:val="TOC3"/>
            <w:tabs>
              <w:tab w:val="right" w:leader="dot" w:pos="9350"/>
            </w:tabs>
            <w:ind w:left="1980" w:hanging="900"/>
            <w:rPr>
              <w:rFonts w:asciiTheme="minorHAnsi" w:hAnsiTheme="minorHAnsi" w:cstheme="minorBidi"/>
              <w:noProof/>
              <w:sz w:val="22"/>
              <w:szCs w:val="22"/>
            </w:rPr>
          </w:pPr>
          <w:hyperlink w:history="1" w:anchor="_Toc82159649">
            <w:r w:rsidRPr="0032220A" w:rsidR="008959A4">
              <w:rPr>
                <w:rStyle w:val="Hyperlink"/>
                <w:noProof/>
              </w:rPr>
              <w:t>4.1.8.</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_Toc82159649 \h </w:instrText>
            </w:r>
            <w:r w:rsidR="008959A4">
              <w:rPr>
                <w:noProof/>
                <w:webHidden/>
              </w:rPr>
            </w:r>
            <w:r w:rsidR="008959A4">
              <w:rPr>
                <w:noProof/>
                <w:webHidden/>
              </w:rPr>
              <w:fldChar w:fldCharType="separate"/>
            </w:r>
            <w:r w:rsidR="00A643C3">
              <w:rPr>
                <w:noProof/>
                <w:webHidden/>
              </w:rPr>
              <w:t>13</w:t>
            </w:r>
            <w:r w:rsidR="008959A4">
              <w:rPr>
                <w:noProof/>
                <w:webHidden/>
              </w:rPr>
              <w:fldChar w:fldCharType="end"/>
            </w:r>
          </w:hyperlink>
        </w:p>
        <w:p w:rsidR="008959A4" w:rsidP="008959A4" w:rsidRDefault="00ED6D61" w14:paraId="37EE1778" w14:textId="14C0139B">
          <w:pPr>
            <w:pStyle w:val="TOC4"/>
            <w:tabs>
              <w:tab w:val="left" w:pos="3060"/>
            </w:tabs>
            <w:rPr>
              <w:rFonts w:asciiTheme="minorHAnsi" w:hAnsiTheme="minorHAnsi" w:eastAsiaTheme="minorEastAsia" w:cstheme="minorBidi"/>
              <w:noProof/>
              <w:sz w:val="22"/>
              <w:szCs w:val="22"/>
            </w:rPr>
          </w:pPr>
          <w:hyperlink w:history="1" w:anchor="_Toc82159650">
            <w:r w:rsidRPr="0032220A" w:rsidR="008959A4">
              <w:rPr>
                <w:rStyle w:val="Hyperlink"/>
                <w:noProof/>
              </w:rPr>
              <w:t>4.1.8.1.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_Toc82159650 \h </w:instrText>
            </w:r>
            <w:r w:rsidR="008959A4">
              <w:rPr>
                <w:noProof/>
                <w:webHidden/>
              </w:rPr>
            </w:r>
            <w:r w:rsidR="008959A4">
              <w:rPr>
                <w:noProof/>
                <w:webHidden/>
              </w:rPr>
              <w:fldChar w:fldCharType="separate"/>
            </w:r>
            <w:r w:rsidR="00A643C3">
              <w:rPr>
                <w:noProof/>
                <w:webHidden/>
              </w:rPr>
              <w:t>13</w:t>
            </w:r>
            <w:r w:rsidR="008959A4">
              <w:rPr>
                <w:noProof/>
                <w:webHidden/>
              </w:rPr>
              <w:fldChar w:fldCharType="end"/>
            </w:r>
          </w:hyperlink>
        </w:p>
        <w:p w:rsidR="008959A4" w:rsidP="008959A4" w:rsidRDefault="00ED6D61" w14:paraId="440733F4" w14:textId="7395D19D">
          <w:pPr>
            <w:pStyle w:val="TOC4"/>
            <w:tabs>
              <w:tab w:val="left" w:pos="3060"/>
            </w:tabs>
            <w:rPr>
              <w:rFonts w:asciiTheme="minorHAnsi" w:hAnsiTheme="minorHAnsi" w:eastAsiaTheme="minorEastAsia" w:cstheme="minorBidi"/>
              <w:noProof/>
              <w:sz w:val="22"/>
              <w:szCs w:val="22"/>
            </w:rPr>
          </w:pPr>
          <w:hyperlink w:history="1" w:anchor="_Toc82159651">
            <w:r w:rsidRPr="0032220A" w:rsidR="008959A4">
              <w:rPr>
                <w:rStyle w:val="Hyperlink"/>
                <w:noProof/>
              </w:rPr>
              <w:t>4.1.8.2.</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_Toc82159651 \h </w:instrText>
            </w:r>
            <w:r w:rsidR="008959A4">
              <w:rPr>
                <w:noProof/>
                <w:webHidden/>
              </w:rPr>
            </w:r>
            <w:r w:rsidR="008959A4">
              <w:rPr>
                <w:noProof/>
                <w:webHidden/>
              </w:rPr>
              <w:fldChar w:fldCharType="separate"/>
            </w:r>
            <w:r w:rsidR="00A643C3">
              <w:rPr>
                <w:noProof/>
                <w:webHidden/>
              </w:rPr>
              <w:t>14</w:t>
            </w:r>
            <w:r w:rsidR="008959A4">
              <w:rPr>
                <w:noProof/>
                <w:webHidden/>
              </w:rPr>
              <w:fldChar w:fldCharType="end"/>
            </w:r>
          </w:hyperlink>
        </w:p>
        <w:p w:rsidR="008959A4" w:rsidP="008959A4" w:rsidRDefault="00ED6D61" w14:paraId="6360FDEA" w14:textId="0FC9DA35">
          <w:pPr>
            <w:pStyle w:val="TOC3"/>
            <w:tabs>
              <w:tab w:val="right" w:leader="dot" w:pos="9350"/>
            </w:tabs>
            <w:ind w:left="1980" w:hanging="900"/>
            <w:rPr>
              <w:rFonts w:asciiTheme="minorHAnsi" w:hAnsiTheme="minorHAnsi" w:cstheme="minorBidi"/>
              <w:noProof/>
              <w:sz w:val="22"/>
              <w:szCs w:val="22"/>
            </w:rPr>
          </w:pPr>
          <w:hyperlink w:history="1" w:anchor="_Toc82159652">
            <w:r w:rsidRPr="0032220A" w:rsidR="008959A4">
              <w:rPr>
                <w:rStyle w:val="Hyperlink"/>
                <w:noProof/>
              </w:rPr>
              <w:t>4.1.9.</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_Toc82159652 \h </w:instrText>
            </w:r>
            <w:r w:rsidR="008959A4">
              <w:rPr>
                <w:noProof/>
                <w:webHidden/>
              </w:rPr>
            </w:r>
            <w:r w:rsidR="008959A4">
              <w:rPr>
                <w:noProof/>
                <w:webHidden/>
              </w:rPr>
              <w:fldChar w:fldCharType="separate"/>
            </w:r>
            <w:r w:rsidR="00A643C3">
              <w:rPr>
                <w:noProof/>
                <w:webHidden/>
              </w:rPr>
              <w:t>15</w:t>
            </w:r>
            <w:r w:rsidR="008959A4">
              <w:rPr>
                <w:noProof/>
                <w:webHidden/>
              </w:rPr>
              <w:fldChar w:fldCharType="end"/>
            </w:r>
          </w:hyperlink>
        </w:p>
        <w:p w:rsidR="008959A4" w:rsidP="008959A4" w:rsidRDefault="00ED6D61" w14:paraId="1AF9F7E4" w14:textId="142FFA7D">
          <w:pPr>
            <w:pStyle w:val="TOC4"/>
            <w:tabs>
              <w:tab w:val="left" w:pos="3060"/>
            </w:tabs>
            <w:rPr>
              <w:rFonts w:asciiTheme="minorHAnsi" w:hAnsiTheme="minorHAnsi" w:eastAsiaTheme="minorEastAsia" w:cstheme="minorBidi"/>
              <w:noProof/>
              <w:sz w:val="22"/>
              <w:szCs w:val="22"/>
            </w:rPr>
          </w:pPr>
          <w:hyperlink w:history="1" w:anchor="_Toc82159653">
            <w:r w:rsidRPr="0032220A" w:rsidR="008959A4">
              <w:rPr>
                <w:rStyle w:val="Hyperlink"/>
                <w:noProof/>
              </w:rPr>
              <w:t>4.1.9.1.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SMJUs) Response</w:t>
            </w:r>
            <w:r w:rsidR="008959A4">
              <w:rPr>
                <w:noProof/>
                <w:webHidden/>
              </w:rPr>
              <w:tab/>
            </w:r>
            <w:r w:rsidR="008959A4">
              <w:rPr>
                <w:noProof/>
                <w:webHidden/>
              </w:rPr>
              <w:fldChar w:fldCharType="begin"/>
            </w:r>
            <w:r w:rsidR="008959A4">
              <w:rPr>
                <w:noProof/>
                <w:webHidden/>
              </w:rPr>
              <w:instrText xml:space="preserve"> PAGEREF _Toc82159653 \h </w:instrText>
            </w:r>
            <w:r w:rsidR="008959A4">
              <w:rPr>
                <w:noProof/>
                <w:webHidden/>
              </w:rPr>
            </w:r>
            <w:r w:rsidR="008959A4">
              <w:rPr>
                <w:noProof/>
                <w:webHidden/>
              </w:rPr>
              <w:fldChar w:fldCharType="separate"/>
            </w:r>
            <w:r w:rsidR="00A643C3">
              <w:rPr>
                <w:noProof/>
                <w:webHidden/>
              </w:rPr>
              <w:t>15</w:t>
            </w:r>
            <w:r w:rsidR="008959A4">
              <w:rPr>
                <w:noProof/>
                <w:webHidden/>
              </w:rPr>
              <w:fldChar w:fldCharType="end"/>
            </w:r>
          </w:hyperlink>
        </w:p>
        <w:p w:rsidR="008959A4" w:rsidP="008959A4" w:rsidRDefault="00ED6D61" w14:paraId="02A79F4D" w14:textId="1C500DF7">
          <w:pPr>
            <w:pStyle w:val="TOC4"/>
            <w:tabs>
              <w:tab w:val="left" w:pos="3060"/>
            </w:tabs>
            <w:rPr>
              <w:rFonts w:asciiTheme="minorHAnsi" w:hAnsiTheme="minorHAnsi" w:eastAsiaTheme="minorEastAsia" w:cstheme="minorBidi"/>
              <w:noProof/>
              <w:sz w:val="22"/>
              <w:szCs w:val="22"/>
            </w:rPr>
          </w:pPr>
          <w:hyperlink w:history="1" w:anchor="_Toc82159654">
            <w:r w:rsidRPr="0032220A" w:rsidR="008959A4">
              <w:rPr>
                <w:rStyle w:val="Hyperlink"/>
                <w:noProof/>
              </w:rPr>
              <w:t>4.1.9.2.</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_Toc82159654 \h </w:instrText>
            </w:r>
            <w:r w:rsidR="008959A4">
              <w:rPr>
                <w:noProof/>
                <w:webHidden/>
              </w:rPr>
            </w:r>
            <w:r w:rsidR="008959A4">
              <w:rPr>
                <w:noProof/>
                <w:webHidden/>
              </w:rPr>
              <w:fldChar w:fldCharType="separate"/>
            </w:r>
            <w:r w:rsidR="00A643C3">
              <w:rPr>
                <w:noProof/>
                <w:webHidden/>
              </w:rPr>
              <w:t>16</w:t>
            </w:r>
            <w:r w:rsidR="008959A4">
              <w:rPr>
                <w:noProof/>
                <w:webHidden/>
              </w:rPr>
              <w:fldChar w:fldCharType="end"/>
            </w:r>
          </w:hyperlink>
        </w:p>
        <w:p w:rsidR="008959A4" w:rsidP="008959A4" w:rsidRDefault="00ED6D61" w14:paraId="73970CA9" w14:textId="173349C0">
          <w:pPr>
            <w:pStyle w:val="TOC4"/>
            <w:tabs>
              <w:tab w:val="left" w:pos="3060"/>
            </w:tabs>
            <w:rPr>
              <w:rFonts w:asciiTheme="minorHAnsi" w:hAnsiTheme="minorHAnsi" w:eastAsiaTheme="minorEastAsia" w:cstheme="minorBidi"/>
              <w:noProof/>
              <w:sz w:val="22"/>
              <w:szCs w:val="22"/>
            </w:rPr>
          </w:pPr>
          <w:hyperlink w:history="1" w:anchor="_Toc82159655">
            <w:r w:rsidRPr="0032220A" w:rsidR="008959A4">
              <w:rPr>
                <w:rStyle w:val="Hyperlink"/>
                <w:noProof/>
              </w:rPr>
              <w:t>4.1.9.3.</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_Toc82159655 \h </w:instrText>
            </w:r>
            <w:r w:rsidR="008959A4">
              <w:rPr>
                <w:noProof/>
                <w:webHidden/>
              </w:rPr>
            </w:r>
            <w:r w:rsidR="008959A4">
              <w:rPr>
                <w:noProof/>
                <w:webHidden/>
              </w:rPr>
              <w:fldChar w:fldCharType="separate"/>
            </w:r>
            <w:r w:rsidR="00A643C3">
              <w:rPr>
                <w:noProof/>
                <w:webHidden/>
              </w:rPr>
              <w:t>16</w:t>
            </w:r>
            <w:r w:rsidR="008959A4">
              <w:rPr>
                <w:noProof/>
                <w:webHidden/>
              </w:rPr>
              <w:fldChar w:fldCharType="end"/>
            </w:r>
          </w:hyperlink>
        </w:p>
        <w:p w:rsidR="008959A4" w:rsidP="008959A4" w:rsidRDefault="00ED6D61" w14:paraId="04CD9860" w14:textId="03FBD8A0">
          <w:pPr>
            <w:pStyle w:val="TOC3"/>
            <w:tabs>
              <w:tab w:val="right" w:leader="dot" w:pos="9350"/>
            </w:tabs>
            <w:ind w:left="1980" w:hanging="900"/>
            <w:rPr>
              <w:rFonts w:asciiTheme="minorHAnsi" w:hAnsiTheme="minorHAnsi" w:cstheme="minorBidi"/>
              <w:noProof/>
              <w:sz w:val="22"/>
              <w:szCs w:val="22"/>
            </w:rPr>
          </w:pPr>
          <w:hyperlink w:history="1" w:anchor="_Toc82159656">
            <w:r w:rsidRPr="0032220A" w:rsidR="008959A4">
              <w:rPr>
                <w:rStyle w:val="Hyperlink"/>
                <w:noProof/>
              </w:rPr>
              <w:t>4.1.10.</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_Toc82159656 \h </w:instrText>
            </w:r>
            <w:r w:rsidR="008959A4">
              <w:rPr>
                <w:noProof/>
                <w:webHidden/>
              </w:rPr>
            </w:r>
            <w:r w:rsidR="008959A4">
              <w:rPr>
                <w:noProof/>
                <w:webHidden/>
              </w:rPr>
              <w:fldChar w:fldCharType="separate"/>
            </w:r>
            <w:r w:rsidR="00A643C3">
              <w:rPr>
                <w:noProof/>
                <w:webHidden/>
              </w:rPr>
              <w:t>18</w:t>
            </w:r>
            <w:r w:rsidR="008959A4">
              <w:rPr>
                <w:noProof/>
                <w:webHidden/>
              </w:rPr>
              <w:fldChar w:fldCharType="end"/>
            </w:r>
          </w:hyperlink>
        </w:p>
        <w:p w:rsidR="008959A4" w:rsidP="008959A4" w:rsidRDefault="00ED6D61" w14:paraId="5E5B5159" w14:textId="23D336C5">
          <w:pPr>
            <w:pStyle w:val="TOC4"/>
            <w:tabs>
              <w:tab w:val="left" w:pos="4320"/>
            </w:tabs>
            <w:rPr>
              <w:rFonts w:asciiTheme="minorHAnsi" w:hAnsiTheme="minorHAnsi" w:eastAsiaTheme="minorEastAsia" w:cstheme="minorBidi"/>
              <w:noProof/>
              <w:sz w:val="22"/>
              <w:szCs w:val="22"/>
            </w:rPr>
          </w:pPr>
          <w:hyperlink w:history="1" w:anchor="_Toc82159657">
            <w:r w:rsidRPr="0032220A" w:rsidR="008959A4">
              <w:rPr>
                <w:rStyle w:val="Hyperlink"/>
                <w:noProof/>
              </w:rPr>
              <w:t>4.1.10.1.</w:t>
            </w:r>
            <w:r w:rsidR="008959A4">
              <w:rPr>
                <w:rFonts w:asciiTheme="minorHAnsi" w:hAnsiTheme="minorHAnsi" w:eastAsiaTheme="minorEastAsia" w:cstheme="minorBidi"/>
                <w:noProof/>
                <w:sz w:val="22"/>
                <w:szCs w:val="22"/>
              </w:rPr>
              <w:tab/>
            </w:r>
            <w:r w:rsidRPr="0032220A" w:rsidR="008959A4">
              <w:rPr>
                <w:rStyle w:val="Hyperlink"/>
                <w:noProof/>
              </w:rPr>
              <w:t xml:space="preserve">Maintaining a 90 Percent Enrollment Goal:  </w:t>
            </w:r>
            <w:r w:rsidR="008959A4">
              <w:rPr>
                <w:rStyle w:val="Hyperlink"/>
                <w:noProof/>
              </w:rPr>
              <w:br/>
            </w:r>
            <w:r w:rsidRPr="0032220A" w:rsidR="008959A4">
              <w:rPr>
                <w:rStyle w:val="Hyperlink"/>
                <w:noProof/>
              </w:rPr>
              <w:t>Approved</w:t>
            </w:r>
            <w:r w:rsidR="008959A4">
              <w:rPr>
                <w:noProof/>
                <w:webHidden/>
              </w:rPr>
              <w:tab/>
            </w:r>
            <w:r w:rsidR="008959A4">
              <w:rPr>
                <w:noProof/>
                <w:webHidden/>
              </w:rPr>
              <w:tab/>
            </w:r>
            <w:r w:rsidR="008959A4">
              <w:rPr>
                <w:noProof/>
                <w:webHidden/>
              </w:rPr>
              <w:fldChar w:fldCharType="begin"/>
            </w:r>
            <w:r w:rsidR="008959A4">
              <w:rPr>
                <w:noProof/>
                <w:webHidden/>
              </w:rPr>
              <w:instrText xml:space="preserve"> PAGEREF _Toc82159657 \h </w:instrText>
            </w:r>
            <w:r w:rsidR="008959A4">
              <w:rPr>
                <w:noProof/>
                <w:webHidden/>
              </w:rPr>
            </w:r>
            <w:r w:rsidR="008959A4">
              <w:rPr>
                <w:noProof/>
                <w:webHidden/>
              </w:rPr>
              <w:fldChar w:fldCharType="separate"/>
            </w:r>
            <w:r w:rsidR="00A643C3">
              <w:rPr>
                <w:noProof/>
                <w:webHidden/>
              </w:rPr>
              <w:t>18</w:t>
            </w:r>
            <w:r w:rsidR="008959A4">
              <w:rPr>
                <w:noProof/>
                <w:webHidden/>
              </w:rPr>
              <w:fldChar w:fldCharType="end"/>
            </w:r>
          </w:hyperlink>
        </w:p>
        <w:p w:rsidR="008959A4" w:rsidP="008959A4" w:rsidRDefault="00ED6D61" w14:paraId="704C9F31" w14:textId="10A41063">
          <w:pPr>
            <w:pStyle w:val="TOC4"/>
            <w:tabs>
              <w:tab w:val="left" w:pos="4320"/>
            </w:tabs>
            <w:rPr>
              <w:rFonts w:asciiTheme="minorHAnsi" w:hAnsiTheme="minorHAnsi" w:eastAsiaTheme="minorEastAsia" w:cstheme="minorBidi"/>
              <w:noProof/>
              <w:sz w:val="22"/>
              <w:szCs w:val="22"/>
            </w:rPr>
          </w:pPr>
          <w:hyperlink w:history="1" w:anchor="_Toc82159658">
            <w:r w:rsidRPr="0032220A" w:rsidR="008959A4">
              <w:rPr>
                <w:rStyle w:val="Hyperlink"/>
                <w:noProof/>
              </w:rPr>
              <w:t>4.1.10.2.</w:t>
            </w:r>
            <w:r w:rsidR="008959A4">
              <w:rPr>
                <w:rFonts w:asciiTheme="minorHAnsi" w:hAnsiTheme="minorHAnsi" w:eastAsiaTheme="minorEastAsia" w:cstheme="minorBidi"/>
                <w:noProof/>
                <w:sz w:val="22"/>
                <w:szCs w:val="22"/>
              </w:rPr>
              <w:tab/>
            </w:r>
            <w:r w:rsidRPr="0032220A" w:rsidR="008959A4">
              <w:rPr>
                <w:rStyle w:val="Hyperlink"/>
                <w:noProof/>
              </w:rPr>
              <w:t xml:space="preserve">Requiring a Mid Cycle Evaluation of  </w:t>
            </w:r>
            <w:r w:rsidR="008959A4">
              <w:rPr>
                <w:rStyle w:val="Hyperlink"/>
                <w:noProof/>
              </w:rPr>
              <w:br/>
            </w:r>
            <w:r w:rsidRPr="0032220A" w:rsidR="008959A4">
              <w:rPr>
                <w:rStyle w:val="Hyperlink"/>
                <w:noProof/>
              </w:rPr>
              <w:t>Liberty’s Goal:  Approved with Modifications</w:t>
            </w:r>
            <w:r w:rsidR="008959A4">
              <w:rPr>
                <w:noProof/>
                <w:webHidden/>
              </w:rPr>
              <w:tab/>
            </w:r>
            <w:r w:rsidR="008959A4">
              <w:rPr>
                <w:noProof/>
                <w:webHidden/>
              </w:rPr>
              <w:fldChar w:fldCharType="begin"/>
            </w:r>
            <w:r w:rsidR="008959A4">
              <w:rPr>
                <w:noProof/>
                <w:webHidden/>
              </w:rPr>
              <w:instrText xml:space="preserve"> PAGEREF _Toc82159658 \h </w:instrText>
            </w:r>
            <w:r w:rsidR="008959A4">
              <w:rPr>
                <w:noProof/>
                <w:webHidden/>
              </w:rPr>
            </w:r>
            <w:r w:rsidR="008959A4">
              <w:rPr>
                <w:noProof/>
                <w:webHidden/>
              </w:rPr>
              <w:fldChar w:fldCharType="separate"/>
            </w:r>
            <w:r w:rsidR="00A643C3">
              <w:rPr>
                <w:noProof/>
                <w:webHidden/>
              </w:rPr>
              <w:t>18</w:t>
            </w:r>
            <w:r w:rsidR="008959A4">
              <w:rPr>
                <w:noProof/>
                <w:webHidden/>
              </w:rPr>
              <w:fldChar w:fldCharType="end"/>
            </w:r>
          </w:hyperlink>
        </w:p>
        <w:p w:rsidR="008959A4" w:rsidP="008959A4" w:rsidRDefault="00ED6D61" w14:paraId="46840F2A" w14:textId="5F024E5D">
          <w:pPr>
            <w:pStyle w:val="TOC4"/>
            <w:tabs>
              <w:tab w:val="left" w:pos="4320"/>
            </w:tabs>
            <w:rPr>
              <w:rFonts w:asciiTheme="minorHAnsi" w:hAnsiTheme="minorHAnsi" w:eastAsiaTheme="minorEastAsia" w:cstheme="minorBidi"/>
              <w:noProof/>
              <w:sz w:val="22"/>
              <w:szCs w:val="22"/>
            </w:rPr>
          </w:pPr>
          <w:hyperlink w:history="1" w:anchor="_Toc82159659">
            <w:r w:rsidRPr="0032220A" w:rsidR="008959A4">
              <w:rPr>
                <w:rStyle w:val="Hyperlink"/>
                <w:iCs/>
                <w:noProof/>
              </w:rPr>
              <w:t>4.1.10.3.</w:t>
            </w:r>
            <w:r w:rsidR="008959A4">
              <w:rPr>
                <w:rFonts w:asciiTheme="minorHAnsi" w:hAnsiTheme="minorHAnsi" w:eastAsiaTheme="minorEastAsia" w:cstheme="minorBidi"/>
                <w:noProof/>
                <w:sz w:val="22"/>
                <w:szCs w:val="22"/>
              </w:rPr>
              <w:tab/>
            </w:r>
            <w:r w:rsidRPr="0032220A" w:rsidR="008959A4">
              <w:rPr>
                <w:rStyle w:val="Hyperlink"/>
                <w:noProof/>
              </w:rPr>
              <w:t xml:space="preserve">Increasing the Household Enrollment Goal:  </w:t>
            </w:r>
            <w:r w:rsidR="008959A4">
              <w:rPr>
                <w:rStyle w:val="Hyperlink"/>
                <w:noProof/>
              </w:rPr>
              <w:br/>
            </w:r>
            <w:r w:rsidRPr="0032220A" w:rsidR="008959A4">
              <w:rPr>
                <w:rStyle w:val="Hyperlink"/>
                <w:noProof/>
              </w:rPr>
              <w:t>Denied</w:t>
            </w:r>
            <w:r w:rsidR="008959A4">
              <w:rPr>
                <w:noProof/>
                <w:webHidden/>
              </w:rPr>
              <w:tab/>
            </w:r>
            <w:r w:rsidR="008959A4">
              <w:rPr>
                <w:noProof/>
                <w:webHidden/>
              </w:rPr>
              <w:tab/>
            </w:r>
            <w:r w:rsidR="008959A4">
              <w:rPr>
                <w:noProof/>
                <w:webHidden/>
              </w:rPr>
              <w:fldChar w:fldCharType="begin"/>
            </w:r>
            <w:r w:rsidR="008959A4">
              <w:rPr>
                <w:noProof/>
                <w:webHidden/>
              </w:rPr>
              <w:instrText xml:space="preserve"> PAGEREF _Toc82159659 \h </w:instrText>
            </w:r>
            <w:r w:rsidR="008959A4">
              <w:rPr>
                <w:noProof/>
                <w:webHidden/>
              </w:rPr>
            </w:r>
            <w:r w:rsidR="008959A4">
              <w:rPr>
                <w:noProof/>
                <w:webHidden/>
              </w:rPr>
              <w:fldChar w:fldCharType="separate"/>
            </w:r>
            <w:r w:rsidR="00A643C3">
              <w:rPr>
                <w:noProof/>
                <w:webHidden/>
              </w:rPr>
              <w:t>19</w:t>
            </w:r>
            <w:r w:rsidR="008959A4">
              <w:rPr>
                <w:noProof/>
                <w:webHidden/>
              </w:rPr>
              <w:fldChar w:fldCharType="end"/>
            </w:r>
          </w:hyperlink>
        </w:p>
        <w:p w:rsidR="008959A4" w:rsidP="008959A4" w:rsidRDefault="00ED6D61" w14:paraId="53469B8B" w14:textId="2C0AD86D">
          <w:pPr>
            <w:pStyle w:val="TOC2"/>
            <w:tabs>
              <w:tab w:val="right" w:leader="dot" w:pos="9350"/>
            </w:tabs>
            <w:ind w:left="1080" w:hanging="630"/>
            <w:rPr>
              <w:rFonts w:asciiTheme="minorHAnsi" w:hAnsiTheme="minorHAnsi" w:cstheme="minorBidi"/>
              <w:noProof/>
              <w:sz w:val="22"/>
              <w:szCs w:val="22"/>
            </w:rPr>
          </w:pPr>
          <w:hyperlink w:history="1" w:anchor="_Toc82159660">
            <w:r w:rsidRPr="0032220A" w:rsidR="008959A4">
              <w:rPr>
                <w:rStyle w:val="Hyperlink"/>
                <w:noProof/>
              </w:rPr>
              <w:t>4.2.</w:t>
            </w:r>
            <w:r w:rsidR="008959A4">
              <w:rPr>
                <w:rFonts w:asciiTheme="minorHAnsi" w:hAnsiTheme="minorHAnsi" w:cstheme="minorBidi"/>
                <w:noProof/>
                <w:sz w:val="22"/>
                <w:szCs w:val="22"/>
              </w:rPr>
              <w:tab/>
            </w:r>
            <w:r w:rsidRPr="0032220A" w:rsidR="008959A4">
              <w:rPr>
                <w:rStyle w:val="Hyperlink"/>
                <w:noProof/>
              </w:rPr>
              <w:t>CARE Program Design - Enrollment &amp; Eligibility</w:t>
            </w:r>
            <w:r w:rsidR="008959A4">
              <w:rPr>
                <w:noProof/>
                <w:webHidden/>
              </w:rPr>
              <w:tab/>
            </w:r>
            <w:r w:rsidR="008959A4">
              <w:rPr>
                <w:noProof/>
                <w:webHidden/>
              </w:rPr>
              <w:fldChar w:fldCharType="begin"/>
            </w:r>
            <w:r w:rsidR="008959A4">
              <w:rPr>
                <w:noProof/>
                <w:webHidden/>
              </w:rPr>
              <w:instrText xml:space="preserve"> PAGEREF _Toc82159660 \h </w:instrText>
            </w:r>
            <w:r w:rsidR="008959A4">
              <w:rPr>
                <w:noProof/>
                <w:webHidden/>
              </w:rPr>
            </w:r>
            <w:r w:rsidR="008959A4">
              <w:rPr>
                <w:noProof/>
                <w:webHidden/>
              </w:rPr>
              <w:fldChar w:fldCharType="separate"/>
            </w:r>
            <w:r w:rsidR="00A643C3">
              <w:rPr>
                <w:noProof/>
                <w:webHidden/>
              </w:rPr>
              <w:t>19</w:t>
            </w:r>
            <w:r w:rsidR="008959A4">
              <w:rPr>
                <w:noProof/>
                <w:webHidden/>
              </w:rPr>
              <w:fldChar w:fldCharType="end"/>
            </w:r>
          </w:hyperlink>
        </w:p>
        <w:p w:rsidR="008959A4" w:rsidP="008959A4" w:rsidRDefault="00ED6D61" w14:paraId="56CA02CE" w14:textId="1796079F">
          <w:pPr>
            <w:pStyle w:val="TOC3"/>
            <w:tabs>
              <w:tab w:val="right" w:leader="dot" w:pos="9350"/>
            </w:tabs>
            <w:ind w:left="1980" w:hanging="900"/>
            <w:rPr>
              <w:rFonts w:asciiTheme="minorHAnsi" w:hAnsiTheme="minorHAnsi" w:cstheme="minorBidi"/>
              <w:noProof/>
              <w:sz w:val="22"/>
              <w:szCs w:val="22"/>
            </w:rPr>
          </w:pPr>
          <w:hyperlink w:history="1" w:anchor="_Toc82159661">
            <w:r w:rsidRPr="0032220A" w:rsidR="008959A4">
              <w:rPr>
                <w:rStyle w:val="Hyperlink"/>
                <w:noProof/>
              </w:rPr>
              <w:t>4.2.1.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_Toc82159661 \h </w:instrText>
            </w:r>
            <w:r w:rsidR="008959A4">
              <w:rPr>
                <w:noProof/>
                <w:webHidden/>
              </w:rPr>
            </w:r>
            <w:r w:rsidR="008959A4">
              <w:rPr>
                <w:noProof/>
                <w:webHidden/>
              </w:rPr>
              <w:fldChar w:fldCharType="separate"/>
            </w:r>
            <w:r w:rsidR="00A643C3">
              <w:rPr>
                <w:noProof/>
                <w:webHidden/>
              </w:rPr>
              <w:t>19</w:t>
            </w:r>
            <w:r w:rsidR="008959A4">
              <w:rPr>
                <w:noProof/>
                <w:webHidden/>
              </w:rPr>
              <w:fldChar w:fldCharType="end"/>
            </w:r>
          </w:hyperlink>
        </w:p>
        <w:p w:rsidR="008959A4" w:rsidP="008959A4" w:rsidRDefault="00ED6D61" w14:paraId="1EDA747A" w14:textId="5DC1FDDF">
          <w:pPr>
            <w:pStyle w:val="TOC3"/>
            <w:tabs>
              <w:tab w:val="right" w:leader="dot" w:pos="9350"/>
            </w:tabs>
            <w:ind w:left="1980" w:hanging="900"/>
            <w:rPr>
              <w:rFonts w:asciiTheme="minorHAnsi" w:hAnsiTheme="minorHAnsi" w:cstheme="minorBidi"/>
              <w:noProof/>
              <w:sz w:val="22"/>
              <w:szCs w:val="22"/>
            </w:rPr>
          </w:pPr>
          <w:hyperlink w:history="1" w:anchor="_Toc82159662">
            <w:r w:rsidRPr="0032220A" w:rsidR="008959A4">
              <w:rPr>
                <w:rStyle w:val="Hyperlink"/>
                <w:noProof/>
              </w:rPr>
              <w:t>4.2.2.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_Toc82159662 \h </w:instrText>
            </w:r>
            <w:r w:rsidR="008959A4">
              <w:rPr>
                <w:noProof/>
                <w:webHidden/>
              </w:rPr>
            </w:r>
            <w:r w:rsidR="008959A4">
              <w:rPr>
                <w:noProof/>
                <w:webHidden/>
              </w:rPr>
              <w:fldChar w:fldCharType="separate"/>
            </w:r>
            <w:r w:rsidR="00A643C3">
              <w:rPr>
                <w:noProof/>
                <w:webHidden/>
              </w:rPr>
              <w:t>21</w:t>
            </w:r>
            <w:r w:rsidR="008959A4">
              <w:rPr>
                <w:noProof/>
                <w:webHidden/>
              </w:rPr>
              <w:fldChar w:fldCharType="end"/>
            </w:r>
          </w:hyperlink>
        </w:p>
        <w:p w:rsidR="008959A4" w:rsidP="008959A4" w:rsidRDefault="00ED6D61" w14:paraId="3DB3256B" w14:textId="1F02EFFA">
          <w:pPr>
            <w:pStyle w:val="TOC3"/>
            <w:tabs>
              <w:tab w:val="right" w:leader="dot" w:pos="9350"/>
            </w:tabs>
            <w:ind w:left="1980" w:hanging="900"/>
            <w:rPr>
              <w:rFonts w:asciiTheme="minorHAnsi" w:hAnsiTheme="minorHAnsi" w:cstheme="minorBidi"/>
              <w:noProof/>
              <w:sz w:val="22"/>
              <w:szCs w:val="22"/>
            </w:rPr>
          </w:pPr>
          <w:hyperlink w:history="1" w:anchor="_Toc82159663">
            <w:r w:rsidRPr="0032220A" w:rsidR="008959A4">
              <w:rPr>
                <w:rStyle w:val="Hyperlink"/>
                <w:noProof/>
              </w:rPr>
              <w:t>4.2.3.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_Toc82159663 \h </w:instrText>
            </w:r>
            <w:r w:rsidR="008959A4">
              <w:rPr>
                <w:noProof/>
                <w:webHidden/>
              </w:rPr>
            </w:r>
            <w:r w:rsidR="008959A4">
              <w:rPr>
                <w:noProof/>
                <w:webHidden/>
              </w:rPr>
              <w:fldChar w:fldCharType="separate"/>
            </w:r>
            <w:r w:rsidR="00A643C3">
              <w:rPr>
                <w:noProof/>
                <w:webHidden/>
              </w:rPr>
              <w:t>21</w:t>
            </w:r>
            <w:r w:rsidR="008959A4">
              <w:rPr>
                <w:noProof/>
                <w:webHidden/>
              </w:rPr>
              <w:fldChar w:fldCharType="end"/>
            </w:r>
          </w:hyperlink>
        </w:p>
        <w:p w:rsidR="008959A4" w:rsidP="008959A4" w:rsidRDefault="00ED6D61" w14:paraId="1CAF3D16" w14:textId="1AC88286">
          <w:pPr>
            <w:pStyle w:val="TOC3"/>
            <w:tabs>
              <w:tab w:val="right" w:leader="dot" w:pos="9350"/>
            </w:tabs>
            <w:ind w:left="1980" w:hanging="900"/>
            <w:rPr>
              <w:rFonts w:asciiTheme="minorHAnsi" w:hAnsiTheme="minorHAnsi" w:cstheme="minorBidi"/>
              <w:noProof/>
              <w:sz w:val="22"/>
              <w:szCs w:val="22"/>
            </w:rPr>
          </w:pPr>
          <w:hyperlink w:history="1" w:anchor="_Toc82159664">
            <w:r w:rsidRPr="0032220A" w:rsidR="008959A4">
              <w:rPr>
                <w:rStyle w:val="Hyperlink"/>
                <w:noProof/>
              </w:rPr>
              <w:t>4.2.4.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_Toc82159664 \h </w:instrText>
            </w:r>
            <w:r w:rsidR="008959A4">
              <w:rPr>
                <w:noProof/>
                <w:webHidden/>
              </w:rPr>
            </w:r>
            <w:r w:rsidR="008959A4">
              <w:rPr>
                <w:noProof/>
                <w:webHidden/>
              </w:rPr>
              <w:fldChar w:fldCharType="separate"/>
            </w:r>
            <w:r w:rsidR="00A643C3">
              <w:rPr>
                <w:noProof/>
                <w:webHidden/>
              </w:rPr>
              <w:t>22</w:t>
            </w:r>
            <w:r w:rsidR="008959A4">
              <w:rPr>
                <w:noProof/>
                <w:webHidden/>
              </w:rPr>
              <w:fldChar w:fldCharType="end"/>
            </w:r>
          </w:hyperlink>
        </w:p>
        <w:p w:rsidR="008959A4" w:rsidP="008959A4" w:rsidRDefault="00ED6D61" w14:paraId="09C725D9" w14:textId="377FBE16">
          <w:pPr>
            <w:pStyle w:val="TOC3"/>
            <w:tabs>
              <w:tab w:val="right" w:leader="dot" w:pos="9350"/>
            </w:tabs>
            <w:ind w:left="1980" w:hanging="900"/>
            <w:rPr>
              <w:rFonts w:asciiTheme="minorHAnsi" w:hAnsiTheme="minorHAnsi" w:cstheme="minorBidi"/>
              <w:noProof/>
              <w:sz w:val="22"/>
              <w:szCs w:val="22"/>
            </w:rPr>
          </w:pPr>
          <w:hyperlink w:history="1" w:anchor="_Toc82159665">
            <w:r w:rsidRPr="0032220A" w:rsidR="008959A4">
              <w:rPr>
                <w:rStyle w:val="Hyperlink"/>
                <w:noProof/>
              </w:rPr>
              <w:t>4.2.5.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_Toc82159665 \h </w:instrText>
            </w:r>
            <w:r w:rsidR="008959A4">
              <w:rPr>
                <w:noProof/>
                <w:webHidden/>
              </w:rPr>
            </w:r>
            <w:r w:rsidR="008959A4">
              <w:rPr>
                <w:noProof/>
                <w:webHidden/>
              </w:rPr>
              <w:fldChar w:fldCharType="separate"/>
            </w:r>
            <w:r w:rsidR="00A643C3">
              <w:rPr>
                <w:noProof/>
                <w:webHidden/>
              </w:rPr>
              <w:t>22</w:t>
            </w:r>
            <w:r w:rsidR="008959A4">
              <w:rPr>
                <w:noProof/>
                <w:webHidden/>
              </w:rPr>
              <w:fldChar w:fldCharType="end"/>
            </w:r>
          </w:hyperlink>
        </w:p>
        <w:p w:rsidR="008959A4" w:rsidP="008959A4" w:rsidRDefault="00ED6D61" w14:paraId="3803B9CB" w14:textId="3B2E620B">
          <w:pPr>
            <w:pStyle w:val="TOC3"/>
            <w:tabs>
              <w:tab w:val="right" w:leader="dot" w:pos="9350"/>
            </w:tabs>
            <w:ind w:left="1980" w:hanging="900"/>
            <w:rPr>
              <w:rFonts w:asciiTheme="minorHAnsi" w:hAnsiTheme="minorHAnsi" w:cstheme="minorBidi"/>
              <w:noProof/>
              <w:sz w:val="22"/>
              <w:szCs w:val="22"/>
            </w:rPr>
          </w:pPr>
          <w:hyperlink w:history="1" w:anchor="_Toc82159666">
            <w:r w:rsidRPr="0032220A" w:rsidR="008959A4">
              <w:rPr>
                <w:rStyle w:val="Hyperlink"/>
                <w:noProof/>
              </w:rPr>
              <w:t>4.2.6.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_Toc82159666 \h </w:instrText>
            </w:r>
            <w:r w:rsidR="008959A4">
              <w:rPr>
                <w:noProof/>
                <w:webHidden/>
              </w:rPr>
            </w:r>
            <w:r w:rsidR="008959A4">
              <w:rPr>
                <w:noProof/>
                <w:webHidden/>
              </w:rPr>
              <w:fldChar w:fldCharType="separate"/>
            </w:r>
            <w:r w:rsidR="00A643C3">
              <w:rPr>
                <w:noProof/>
                <w:webHidden/>
              </w:rPr>
              <w:t>23</w:t>
            </w:r>
            <w:r w:rsidR="008959A4">
              <w:rPr>
                <w:noProof/>
                <w:webHidden/>
              </w:rPr>
              <w:fldChar w:fldCharType="end"/>
            </w:r>
          </w:hyperlink>
        </w:p>
        <w:p w:rsidR="008959A4" w:rsidP="008959A4" w:rsidRDefault="00ED6D61" w14:paraId="01FB70EC" w14:textId="0B7A826F">
          <w:pPr>
            <w:pStyle w:val="TOC3"/>
            <w:tabs>
              <w:tab w:val="right" w:leader="dot" w:pos="9350"/>
            </w:tabs>
            <w:ind w:left="1980" w:hanging="900"/>
            <w:rPr>
              <w:rFonts w:asciiTheme="minorHAnsi" w:hAnsiTheme="minorHAnsi" w:cstheme="minorBidi"/>
              <w:noProof/>
              <w:sz w:val="22"/>
              <w:szCs w:val="22"/>
            </w:rPr>
          </w:pPr>
          <w:hyperlink w:history="1" w:anchor="_Toc82159667">
            <w:r w:rsidRPr="0032220A" w:rsidR="008959A4">
              <w:rPr>
                <w:rStyle w:val="Hyperlink"/>
                <w:noProof/>
              </w:rPr>
              <w:t>4.2.7.</w:t>
            </w:r>
            <w:r w:rsidR="008959A4">
              <w:rPr>
                <w:rFonts w:asciiTheme="minorHAnsi" w:hAnsiTheme="minorHAnsi" w:cstheme="minorBidi"/>
                <w:noProof/>
                <w:sz w:val="22"/>
                <w:szCs w:val="22"/>
              </w:rPr>
              <w:tab/>
            </w:r>
            <w:r w:rsidRPr="0032220A" w:rsidR="008959A4">
              <w:rPr>
                <w:rStyle w:val="Hyperlink"/>
                <w:noProof/>
              </w:rPr>
              <w:t>West Coast Gas Proposal</w:t>
            </w:r>
            <w:r w:rsidR="008959A4">
              <w:rPr>
                <w:noProof/>
                <w:webHidden/>
              </w:rPr>
              <w:tab/>
            </w:r>
            <w:r w:rsidR="008959A4">
              <w:rPr>
                <w:noProof/>
                <w:webHidden/>
              </w:rPr>
              <w:fldChar w:fldCharType="begin"/>
            </w:r>
            <w:r w:rsidR="008959A4">
              <w:rPr>
                <w:noProof/>
                <w:webHidden/>
              </w:rPr>
              <w:instrText xml:space="preserve"> PAGEREF _Toc82159667 \h </w:instrText>
            </w:r>
            <w:r w:rsidR="008959A4">
              <w:rPr>
                <w:noProof/>
                <w:webHidden/>
              </w:rPr>
            </w:r>
            <w:r w:rsidR="008959A4">
              <w:rPr>
                <w:noProof/>
                <w:webHidden/>
              </w:rPr>
              <w:fldChar w:fldCharType="separate"/>
            </w:r>
            <w:r w:rsidR="00A643C3">
              <w:rPr>
                <w:noProof/>
                <w:webHidden/>
              </w:rPr>
              <w:t>24</w:t>
            </w:r>
            <w:r w:rsidR="008959A4">
              <w:rPr>
                <w:noProof/>
                <w:webHidden/>
              </w:rPr>
              <w:fldChar w:fldCharType="end"/>
            </w:r>
          </w:hyperlink>
        </w:p>
        <w:p w:rsidR="008959A4" w:rsidP="008959A4" w:rsidRDefault="00ED6D61" w14:paraId="2627CED9" w14:textId="4E3E1985">
          <w:pPr>
            <w:pStyle w:val="TOC3"/>
            <w:tabs>
              <w:tab w:val="right" w:leader="dot" w:pos="9350"/>
            </w:tabs>
            <w:ind w:left="1980" w:hanging="900"/>
            <w:rPr>
              <w:rFonts w:asciiTheme="minorHAnsi" w:hAnsiTheme="minorHAnsi" w:cstheme="minorBidi"/>
              <w:noProof/>
              <w:sz w:val="22"/>
              <w:szCs w:val="22"/>
            </w:rPr>
          </w:pPr>
          <w:hyperlink w:history="1" w:anchor="_Toc82159668">
            <w:r w:rsidRPr="0032220A" w:rsidR="008959A4">
              <w:rPr>
                <w:rStyle w:val="Hyperlink"/>
                <w:noProof/>
              </w:rPr>
              <w:t>4.2.8.</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_Toc82159668 \h </w:instrText>
            </w:r>
            <w:r w:rsidR="008959A4">
              <w:rPr>
                <w:noProof/>
                <w:webHidden/>
              </w:rPr>
            </w:r>
            <w:r w:rsidR="008959A4">
              <w:rPr>
                <w:noProof/>
                <w:webHidden/>
              </w:rPr>
              <w:fldChar w:fldCharType="separate"/>
            </w:r>
            <w:r w:rsidR="00A643C3">
              <w:rPr>
                <w:noProof/>
                <w:webHidden/>
              </w:rPr>
              <w:t>25</w:t>
            </w:r>
            <w:r w:rsidR="008959A4">
              <w:rPr>
                <w:noProof/>
                <w:webHidden/>
              </w:rPr>
              <w:fldChar w:fldCharType="end"/>
            </w:r>
          </w:hyperlink>
        </w:p>
        <w:p w:rsidR="008959A4" w:rsidP="008959A4" w:rsidRDefault="00ED6D61" w14:paraId="60372EC1" w14:textId="74B2C61A">
          <w:pPr>
            <w:pStyle w:val="TOC4"/>
            <w:tabs>
              <w:tab w:val="left" w:pos="3060"/>
            </w:tabs>
            <w:rPr>
              <w:rFonts w:asciiTheme="minorHAnsi" w:hAnsiTheme="minorHAnsi" w:eastAsiaTheme="minorEastAsia" w:cstheme="minorBidi"/>
              <w:noProof/>
              <w:sz w:val="22"/>
              <w:szCs w:val="22"/>
            </w:rPr>
          </w:pPr>
          <w:hyperlink w:history="1" w:anchor="_Toc82159669">
            <w:r w:rsidRPr="0032220A" w:rsidR="008959A4">
              <w:rPr>
                <w:rStyle w:val="Hyperlink"/>
                <w:noProof/>
              </w:rPr>
              <w:t>4.2.8.1.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_Toc82159669 \h </w:instrText>
            </w:r>
            <w:r w:rsidR="008959A4">
              <w:rPr>
                <w:noProof/>
                <w:webHidden/>
              </w:rPr>
            </w:r>
            <w:r w:rsidR="008959A4">
              <w:rPr>
                <w:noProof/>
                <w:webHidden/>
              </w:rPr>
              <w:fldChar w:fldCharType="separate"/>
            </w:r>
            <w:r w:rsidR="00A643C3">
              <w:rPr>
                <w:noProof/>
                <w:webHidden/>
              </w:rPr>
              <w:t>25</w:t>
            </w:r>
            <w:r w:rsidR="008959A4">
              <w:rPr>
                <w:noProof/>
                <w:webHidden/>
              </w:rPr>
              <w:fldChar w:fldCharType="end"/>
            </w:r>
          </w:hyperlink>
        </w:p>
        <w:p w:rsidR="008959A4" w:rsidP="008959A4" w:rsidRDefault="00ED6D61" w14:paraId="40097D60" w14:textId="56BA132B">
          <w:pPr>
            <w:pStyle w:val="TOC4"/>
            <w:tabs>
              <w:tab w:val="left" w:pos="3060"/>
            </w:tabs>
            <w:rPr>
              <w:rFonts w:asciiTheme="minorHAnsi" w:hAnsiTheme="minorHAnsi" w:eastAsiaTheme="minorEastAsia" w:cstheme="minorBidi"/>
              <w:noProof/>
              <w:sz w:val="22"/>
              <w:szCs w:val="22"/>
            </w:rPr>
          </w:pPr>
          <w:hyperlink w:history="1" w:anchor="_Toc82159670">
            <w:r w:rsidRPr="0032220A" w:rsidR="008959A4">
              <w:rPr>
                <w:rStyle w:val="Hyperlink"/>
                <w:noProof/>
              </w:rPr>
              <w:t>4.2.8.2.</w:t>
            </w:r>
            <w:r w:rsidR="008959A4">
              <w:rPr>
                <w:rFonts w:asciiTheme="minorHAnsi" w:hAnsiTheme="minorHAnsi" w:eastAsiaTheme="minorEastAsia" w:cstheme="minorBidi"/>
                <w:noProof/>
                <w:sz w:val="22"/>
                <w:szCs w:val="22"/>
              </w:rPr>
              <w:tab/>
            </w:r>
            <w:r w:rsidRPr="0032220A" w:rsidR="008959A4">
              <w:rPr>
                <w:rStyle w:val="Hyperlink"/>
                <w:noProof/>
              </w:rPr>
              <w:t>EEC and Free Energy</w:t>
            </w:r>
            <w:r w:rsidR="008959A4">
              <w:rPr>
                <w:noProof/>
                <w:webHidden/>
              </w:rPr>
              <w:tab/>
            </w:r>
            <w:r w:rsidR="008959A4">
              <w:rPr>
                <w:noProof/>
                <w:webHidden/>
              </w:rPr>
              <w:fldChar w:fldCharType="begin"/>
            </w:r>
            <w:r w:rsidR="008959A4">
              <w:rPr>
                <w:noProof/>
                <w:webHidden/>
              </w:rPr>
              <w:instrText xml:space="preserve"> PAGEREF _Toc82159670 \h </w:instrText>
            </w:r>
            <w:r w:rsidR="008959A4">
              <w:rPr>
                <w:noProof/>
                <w:webHidden/>
              </w:rPr>
            </w:r>
            <w:r w:rsidR="008959A4">
              <w:rPr>
                <w:noProof/>
                <w:webHidden/>
              </w:rPr>
              <w:fldChar w:fldCharType="separate"/>
            </w:r>
            <w:r w:rsidR="00A643C3">
              <w:rPr>
                <w:noProof/>
                <w:webHidden/>
              </w:rPr>
              <w:t>25</w:t>
            </w:r>
            <w:r w:rsidR="008959A4">
              <w:rPr>
                <w:noProof/>
                <w:webHidden/>
              </w:rPr>
              <w:fldChar w:fldCharType="end"/>
            </w:r>
          </w:hyperlink>
        </w:p>
        <w:p w:rsidR="008959A4" w:rsidP="008959A4" w:rsidRDefault="00ED6D61" w14:paraId="471BAEDB" w14:textId="155093F8">
          <w:pPr>
            <w:pStyle w:val="TOC3"/>
            <w:tabs>
              <w:tab w:val="right" w:leader="dot" w:pos="9350"/>
            </w:tabs>
            <w:ind w:left="1980" w:hanging="900"/>
            <w:rPr>
              <w:rFonts w:asciiTheme="minorHAnsi" w:hAnsiTheme="minorHAnsi" w:cstheme="minorBidi"/>
              <w:noProof/>
              <w:sz w:val="22"/>
              <w:szCs w:val="22"/>
            </w:rPr>
          </w:pPr>
          <w:hyperlink w:history="1" w:anchor="_Toc82159671">
            <w:r w:rsidRPr="0032220A" w:rsidR="008959A4">
              <w:rPr>
                <w:rStyle w:val="Hyperlink"/>
                <w:noProof/>
              </w:rPr>
              <w:t>4.2.9.</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_Toc82159671 \h </w:instrText>
            </w:r>
            <w:r w:rsidR="008959A4">
              <w:rPr>
                <w:noProof/>
                <w:webHidden/>
              </w:rPr>
            </w:r>
            <w:r w:rsidR="008959A4">
              <w:rPr>
                <w:noProof/>
                <w:webHidden/>
              </w:rPr>
              <w:fldChar w:fldCharType="separate"/>
            </w:r>
            <w:r w:rsidR="00A643C3">
              <w:rPr>
                <w:noProof/>
                <w:webHidden/>
              </w:rPr>
              <w:t>25</w:t>
            </w:r>
            <w:r w:rsidR="008959A4">
              <w:rPr>
                <w:noProof/>
                <w:webHidden/>
              </w:rPr>
              <w:fldChar w:fldCharType="end"/>
            </w:r>
          </w:hyperlink>
        </w:p>
        <w:p w:rsidR="008959A4" w:rsidP="008959A4" w:rsidRDefault="00ED6D61" w14:paraId="0C0FDF61" w14:textId="60422689">
          <w:pPr>
            <w:pStyle w:val="TOC4"/>
            <w:tabs>
              <w:tab w:val="left" w:pos="3060"/>
            </w:tabs>
            <w:rPr>
              <w:rFonts w:asciiTheme="minorHAnsi" w:hAnsiTheme="minorHAnsi" w:eastAsiaTheme="minorEastAsia" w:cstheme="minorBidi"/>
              <w:noProof/>
              <w:sz w:val="22"/>
              <w:szCs w:val="22"/>
            </w:rPr>
          </w:pPr>
          <w:hyperlink w:history="1" w:anchor="_Toc82159672">
            <w:r w:rsidRPr="0032220A" w:rsidR="008959A4">
              <w:rPr>
                <w:rStyle w:val="Hyperlink"/>
                <w:noProof/>
              </w:rPr>
              <w:t>4.2.9.1.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 Response</w:t>
            </w:r>
            <w:r w:rsidR="008959A4">
              <w:rPr>
                <w:noProof/>
                <w:webHidden/>
              </w:rPr>
              <w:tab/>
            </w:r>
            <w:r w:rsidR="008959A4">
              <w:rPr>
                <w:noProof/>
                <w:webHidden/>
              </w:rPr>
              <w:fldChar w:fldCharType="begin"/>
            </w:r>
            <w:r w:rsidR="008959A4">
              <w:rPr>
                <w:noProof/>
                <w:webHidden/>
              </w:rPr>
              <w:instrText xml:space="preserve"> PAGEREF _Toc82159672 \h </w:instrText>
            </w:r>
            <w:r w:rsidR="008959A4">
              <w:rPr>
                <w:noProof/>
                <w:webHidden/>
              </w:rPr>
            </w:r>
            <w:r w:rsidR="008959A4">
              <w:rPr>
                <w:noProof/>
                <w:webHidden/>
              </w:rPr>
              <w:fldChar w:fldCharType="separate"/>
            </w:r>
            <w:r w:rsidR="00A643C3">
              <w:rPr>
                <w:noProof/>
                <w:webHidden/>
              </w:rPr>
              <w:t>25</w:t>
            </w:r>
            <w:r w:rsidR="008959A4">
              <w:rPr>
                <w:noProof/>
                <w:webHidden/>
              </w:rPr>
              <w:fldChar w:fldCharType="end"/>
            </w:r>
          </w:hyperlink>
        </w:p>
        <w:p w:rsidR="008959A4" w:rsidP="008959A4" w:rsidRDefault="00ED6D61" w14:paraId="57F93B38" w14:textId="3D67A279">
          <w:pPr>
            <w:pStyle w:val="TOC4"/>
            <w:tabs>
              <w:tab w:val="left" w:pos="3060"/>
            </w:tabs>
            <w:rPr>
              <w:rFonts w:asciiTheme="minorHAnsi" w:hAnsiTheme="minorHAnsi" w:eastAsiaTheme="minorEastAsia" w:cstheme="minorBidi"/>
              <w:noProof/>
              <w:sz w:val="22"/>
              <w:szCs w:val="22"/>
            </w:rPr>
          </w:pPr>
          <w:hyperlink w:history="1" w:anchor="_Toc82159673">
            <w:r w:rsidRPr="0032220A" w:rsidR="008959A4">
              <w:rPr>
                <w:rStyle w:val="Hyperlink"/>
                <w:noProof/>
              </w:rPr>
              <w:t>4.2.9.2.</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_Toc82159673 \h </w:instrText>
            </w:r>
            <w:r w:rsidR="008959A4">
              <w:rPr>
                <w:noProof/>
                <w:webHidden/>
              </w:rPr>
            </w:r>
            <w:r w:rsidR="008959A4">
              <w:rPr>
                <w:noProof/>
                <w:webHidden/>
              </w:rPr>
              <w:fldChar w:fldCharType="separate"/>
            </w:r>
            <w:r w:rsidR="00A643C3">
              <w:rPr>
                <w:noProof/>
                <w:webHidden/>
              </w:rPr>
              <w:t>26</w:t>
            </w:r>
            <w:r w:rsidR="008959A4">
              <w:rPr>
                <w:noProof/>
                <w:webHidden/>
              </w:rPr>
              <w:fldChar w:fldCharType="end"/>
            </w:r>
          </w:hyperlink>
        </w:p>
        <w:p w:rsidR="008959A4" w:rsidP="008959A4" w:rsidRDefault="00ED6D61" w14:paraId="0F61A8EA" w14:textId="410AC98B">
          <w:pPr>
            <w:pStyle w:val="TOC4"/>
            <w:tabs>
              <w:tab w:val="left" w:pos="3060"/>
            </w:tabs>
            <w:rPr>
              <w:rFonts w:asciiTheme="minorHAnsi" w:hAnsiTheme="minorHAnsi" w:eastAsiaTheme="minorEastAsia" w:cstheme="minorBidi"/>
              <w:noProof/>
              <w:sz w:val="22"/>
              <w:szCs w:val="22"/>
            </w:rPr>
          </w:pPr>
          <w:hyperlink w:history="1" w:anchor="_Toc82159674">
            <w:r w:rsidRPr="0032220A" w:rsidR="008959A4">
              <w:rPr>
                <w:rStyle w:val="Hyperlink"/>
                <w:noProof/>
              </w:rPr>
              <w:t>4.2.9.3.</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_Toc82159674 \h </w:instrText>
            </w:r>
            <w:r w:rsidR="008959A4">
              <w:rPr>
                <w:noProof/>
                <w:webHidden/>
              </w:rPr>
            </w:r>
            <w:r w:rsidR="008959A4">
              <w:rPr>
                <w:noProof/>
                <w:webHidden/>
              </w:rPr>
              <w:fldChar w:fldCharType="separate"/>
            </w:r>
            <w:r w:rsidR="00A643C3">
              <w:rPr>
                <w:noProof/>
                <w:webHidden/>
              </w:rPr>
              <w:t>26</w:t>
            </w:r>
            <w:r w:rsidR="008959A4">
              <w:rPr>
                <w:noProof/>
                <w:webHidden/>
              </w:rPr>
              <w:fldChar w:fldCharType="end"/>
            </w:r>
          </w:hyperlink>
        </w:p>
        <w:p w:rsidR="008959A4" w:rsidP="008959A4" w:rsidRDefault="00ED6D61" w14:paraId="3099DD1E" w14:textId="7A9355DB">
          <w:pPr>
            <w:pStyle w:val="TOC3"/>
            <w:tabs>
              <w:tab w:val="right" w:leader="dot" w:pos="9350"/>
            </w:tabs>
            <w:ind w:left="1980" w:hanging="900"/>
            <w:rPr>
              <w:rFonts w:asciiTheme="minorHAnsi" w:hAnsiTheme="minorHAnsi" w:cstheme="minorBidi"/>
              <w:noProof/>
              <w:sz w:val="22"/>
              <w:szCs w:val="22"/>
            </w:rPr>
          </w:pPr>
          <w:hyperlink w:history="1" w:anchor="_Toc82159675">
            <w:r w:rsidRPr="0032220A" w:rsidR="008959A4">
              <w:rPr>
                <w:rStyle w:val="Hyperlink"/>
                <w:noProof/>
              </w:rPr>
              <w:t>4.2.10.</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_Toc82159675 \h </w:instrText>
            </w:r>
            <w:r w:rsidR="008959A4">
              <w:rPr>
                <w:noProof/>
                <w:webHidden/>
              </w:rPr>
            </w:r>
            <w:r w:rsidR="008959A4">
              <w:rPr>
                <w:noProof/>
                <w:webHidden/>
              </w:rPr>
              <w:fldChar w:fldCharType="separate"/>
            </w:r>
            <w:r w:rsidR="00A643C3">
              <w:rPr>
                <w:noProof/>
                <w:webHidden/>
              </w:rPr>
              <w:t>27</w:t>
            </w:r>
            <w:r w:rsidR="008959A4">
              <w:rPr>
                <w:noProof/>
                <w:webHidden/>
              </w:rPr>
              <w:fldChar w:fldCharType="end"/>
            </w:r>
          </w:hyperlink>
        </w:p>
        <w:p w:rsidR="008959A4" w:rsidP="008959A4" w:rsidRDefault="00ED6D61" w14:paraId="19C4A603" w14:textId="29A453D8">
          <w:pPr>
            <w:pStyle w:val="TOC4"/>
            <w:tabs>
              <w:tab w:val="left" w:pos="4320"/>
            </w:tabs>
            <w:rPr>
              <w:rFonts w:asciiTheme="minorHAnsi" w:hAnsiTheme="minorHAnsi" w:eastAsiaTheme="minorEastAsia" w:cstheme="minorBidi"/>
              <w:noProof/>
              <w:sz w:val="22"/>
              <w:szCs w:val="22"/>
            </w:rPr>
          </w:pPr>
          <w:hyperlink w:history="1" w:anchor="_Toc82159676">
            <w:r w:rsidRPr="0032220A" w:rsidR="008959A4">
              <w:rPr>
                <w:rStyle w:val="Hyperlink"/>
                <w:noProof/>
              </w:rPr>
              <w:t>4.2.10.1.</w:t>
            </w:r>
            <w:r w:rsidR="008959A4">
              <w:rPr>
                <w:rFonts w:asciiTheme="minorHAnsi" w:hAnsiTheme="minorHAnsi" w:eastAsiaTheme="minorEastAsia" w:cstheme="minorBidi"/>
                <w:noProof/>
                <w:sz w:val="22"/>
                <w:szCs w:val="22"/>
              </w:rPr>
              <w:tab/>
            </w:r>
            <w:r w:rsidRPr="0032220A" w:rsidR="008959A4">
              <w:rPr>
                <w:rStyle w:val="Hyperlink"/>
                <w:noProof/>
              </w:rPr>
              <w:t xml:space="preserve">Implementing Categorical Eligibility: </w:t>
            </w:r>
            <w:r w:rsidR="008959A4">
              <w:rPr>
                <w:rStyle w:val="Hyperlink"/>
                <w:noProof/>
              </w:rPr>
              <w:br/>
            </w:r>
            <w:r w:rsidRPr="0032220A" w:rsidR="008959A4">
              <w:rPr>
                <w:rStyle w:val="Hyperlink"/>
                <w:noProof/>
              </w:rPr>
              <w:t>Approved with Modifications</w:t>
            </w:r>
            <w:r w:rsidR="008959A4">
              <w:rPr>
                <w:noProof/>
                <w:webHidden/>
              </w:rPr>
              <w:tab/>
            </w:r>
            <w:r w:rsidR="008959A4">
              <w:rPr>
                <w:noProof/>
                <w:webHidden/>
              </w:rPr>
              <w:fldChar w:fldCharType="begin"/>
            </w:r>
            <w:r w:rsidR="008959A4">
              <w:rPr>
                <w:noProof/>
                <w:webHidden/>
              </w:rPr>
              <w:instrText xml:space="preserve"> PAGEREF _Toc82159676 \h </w:instrText>
            </w:r>
            <w:r w:rsidR="008959A4">
              <w:rPr>
                <w:noProof/>
                <w:webHidden/>
              </w:rPr>
            </w:r>
            <w:r w:rsidR="008959A4">
              <w:rPr>
                <w:noProof/>
                <w:webHidden/>
              </w:rPr>
              <w:fldChar w:fldCharType="separate"/>
            </w:r>
            <w:r w:rsidR="00A643C3">
              <w:rPr>
                <w:noProof/>
                <w:webHidden/>
              </w:rPr>
              <w:t>27</w:t>
            </w:r>
            <w:r w:rsidR="008959A4">
              <w:rPr>
                <w:noProof/>
                <w:webHidden/>
              </w:rPr>
              <w:fldChar w:fldCharType="end"/>
            </w:r>
          </w:hyperlink>
        </w:p>
        <w:p w:rsidR="008959A4" w:rsidP="008959A4" w:rsidRDefault="00ED6D61" w14:paraId="282179F6" w14:textId="71F6CF14">
          <w:pPr>
            <w:pStyle w:val="TOC4"/>
            <w:tabs>
              <w:tab w:val="left" w:pos="4320"/>
            </w:tabs>
            <w:rPr>
              <w:rFonts w:asciiTheme="minorHAnsi" w:hAnsiTheme="minorHAnsi" w:eastAsiaTheme="minorEastAsia" w:cstheme="minorBidi"/>
              <w:noProof/>
              <w:sz w:val="22"/>
              <w:szCs w:val="22"/>
            </w:rPr>
          </w:pPr>
          <w:hyperlink w:history="1" w:anchor="_Toc82159677">
            <w:r w:rsidRPr="0032220A" w:rsidR="008959A4">
              <w:rPr>
                <w:rStyle w:val="Hyperlink"/>
                <w:noProof/>
              </w:rPr>
              <w:t>4.2.10.2.</w:t>
            </w:r>
            <w:r w:rsidR="008959A4">
              <w:rPr>
                <w:rFonts w:asciiTheme="minorHAnsi" w:hAnsiTheme="minorHAnsi" w:eastAsiaTheme="minorEastAsia" w:cstheme="minorBidi"/>
                <w:noProof/>
                <w:sz w:val="22"/>
                <w:szCs w:val="22"/>
              </w:rPr>
              <w:tab/>
            </w:r>
            <w:r w:rsidRPr="0032220A" w:rsidR="008959A4">
              <w:rPr>
                <w:rStyle w:val="Hyperlink"/>
                <w:noProof/>
              </w:rPr>
              <w:t xml:space="preserve">Increasing Capitation Program Fees:  </w:t>
            </w:r>
            <w:r w:rsidR="008959A4">
              <w:rPr>
                <w:rStyle w:val="Hyperlink"/>
                <w:noProof/>
              </w:rPr>
              <w:br/>
            </w:r>
            <w:r w:rsidRPr="0032220A" w:rsidR="008959A4">
              <w:rPr>
                <w:rStyle w:val="Hyperlink"/>
                <w:noProof/>
              </w:rPr>
              <w:t>Approved with Modification</w:t>
            </w:r>
            <w:r w:rsidR="008959A4">
              <w:rPr>
                <w:noProof/>
                <w:webHidden/>
              </w:rPr>
              <w:tab/>
            </w:r>
            <w:r w:rsidR="008959A4">
              <w:rPr>
                <w:noProof/>
                <w:webHidden/>
              </w:rPr>
              <w:fldChar w:fldCharType="begin"/>
            </w:r>
            <w:r w:rsidR="008959A4">
              <w:rPr>
                <w:noProof/>
                <w:webHidden/>
              </w:rPr>
              <w:instrText xml:space="preserve"> PAGEREF _Toc82159677 \h </w:instrText>
            </w:r>
            <w:r w:rsidR="008959A4">
              <w:rPr>
                <w:noProof/>
                <w:webHidden/>
              </w:rPr>
            </w:r>
            <w:r w:rsidR="008959A4">
              <w:rPr>
                <w:noProof/>
                <w:webHidden/>
              </w:rPr>
              <w:fldChar w:fldCharType="separate"/>
            </w:r>
            <w:r w:rsidR="00A643C3">
              <w:rPr>
                <w:noProof/>
                <w:webHidden/>
              </w:rPr>
              <w:t>28</w:t>
            </w:r>
            <w:r w:rsidR="008959A4">
              <w:rPr>
                <w:noProof/>
                <w:webHidden/>
              </w:rPr>
              <w:fldChar w:fldCharType="end"/>
            </w:r>
          </w:hyperlink>
        </w:p>
        <w:p w:rsidR="008959A4" w:rsidP="008959A4" w:rsidRDefault="00ED6D61" w14:paraId="2750A70A" w14:textId="62C19AE0">
          <w:pPr>
            <w:pStyle w:val="TOC4"/>
            <w:tabs>
              <w:tab w:val="left" w:pos="4320"/>
            </w:tabs>
            <w:rPr>
              <w:rFonts w:asciiTheme="minorHAnsi" w:hAnsiTheme="minorHAnsi" w:eastAsiaTheme="minorEastAsia" w:cstheme="minorBidi"/>
              <w:noProof/>
              <w:sz w:val="22"/>
              <w:szCs w:val="22"/>
            </w:rPr>
          </w:pPr>
          <w:hyperlink w:history="1" w:anchor="_Toc82159678">
            <w:r w:rsidRPr="0032220A" w:rsidR="008959A4">
              <w:rPr>
                <w:rStyle w:val="Hyperlink"/>
                <w:noProof/>
              </w:rPr>
              <w:t>4.2.10.3.</w:t>
            </w:r>
            <w:r w:rsidR="008959A4">
              <w:rPr>
                <w:rFonts w:asciiTheme="minorHAnsi" w:hAnsiTheme="minorHAnsi" w:eastAsiaTheme="minorEastAsia" w:cstheme="minorBidi"/>
                <w:noProof/>
                <w:sz w:val="22"/>
                <w:szCs w:val="22"/>
              </w:rPr>
              <w:tab/>
            </w:r>
            <w:r w:rsidRPr="0032220A" w:rsidR="008959A4">
              <w:rPr>
                <w:rStyle w:val="Hyperlink"/>
                <w:noProof/>
              </w:rPr>
              <w:t xml:space="preserve">Increasing the HU PEV Threshold:   </w:t>
            </w:r>
            <w:r w:rsidR="008959A4">
              <w:rPr>
                <w:rStyle w:val="Hyperlink"/>
                <w:noProof/>
              </w:rPr>
              <w:br/>
            </w:r>
            <w:r w:rsidRPr="0032220A" w:rsidR="008959A4">
              <w:rPr>
                <w:rStyle w:val="Hyperlink"/>
                <w:noProof/>
              </w:rPr>
              <w:t>Approved</w:t>
            </w:r>
            <w:r w:rsidR="008959A4">
              <w:rPr>
                <w:rStyle w:val="Hyperlink"/>
                <w:noProof/>
              </w:rPr>
              <w:tab/>
            </w:r>
            <w:r w:rsidR="008959A4">
              <w:rPr>
                <w:noProof/>
                <w:webHidden/>
              </w:rPr>
              <w:tab/>
            </w:r>
            <w:r w:rsidR="008959A4">
              <w:rPr>
                <w:noProof/>
                <w:webHidden/>
              </w:rPr>
              <w:fldChar w:fldCharType="begin"/>
            </w:r>
            <w:r w:rsidR="008959A4">
              <w:rPr>
                <w:noProof/>
                <w:webHidden/>
              </w:rPr>
              <w:instrText xml:space="preserve"> PAGEREF _Toc82159678 \h </w:instrText>
            </w:r>
            <w:r w:rsidR="008959A4">
              <w:rPr>
                <w:noProof/>
                <w:webHidden/>
              </w:rPr>
            </w:r>
            <w:r w:rsidR="008959A4">
              <w:rPr>
                <w:noProof/>
                <w:webHidden/>
              </w:rPr>
              <w:fldChar w:fldCharType="separate"/>
            </w:r>
            <w:r w:rsidR="00A643C3">
              <w:rPr>
                <w:noProof/>
                <w:webHidden/>
              </w:rPr>
              <w:t>29</w:t>
            </w:r>
            <w:r w:rsidR="008959A4">
              <w:rPr>
                <w:noProof/>
                <w:webHidden/>
              </w:rPr>
              <w:fldChar w:fldCharType="end"/>
            </w:r>
          </w:hyperlink>
        </w:p>
        <w:p w:rsidR="008959A4" w:rsidP="008959A4" w:rsidRDefault="00ED6D61" w14:paraId="5C24E7D9" w14:textId="1F8F580F">
          <w:pPr>
            <w:pStyle w:val="TOC4"/>
            <w:tabs>
              <w:tab w:val="left" w:pos="4320"/>
            </w:tabs>
            <w:rPr>
              <w:rFonts w:asciiTheme="minorHAnsi" w:hAnsiTheme="minorHAnsi" w:eastAsiaTheme="minorEastAsia" w:cstheme="minorBidi"/>
              <w:noProof/>
              <w:sz w:val="22"/>
              <w:szCs w:val="22"/>
            </w:rPr>
          </w:pPr>
          <w:hyperlink w:history="1" w:anchor="_Toc82159679">
            <w:r w:rsidRPr="0032220A" w:rsidR="008959A4">
              <w:rPr>
                <w:rStyle w:val="Hyperlink"/>
                <w:noProof/>
              </w:rPr>
              <w:t>4.2.10.4.</w:t>
            </w:r>
            <w:r w:rsidR="008959A4">
              <w:rPr>
                <w:rFonts w:asciiTheme="minorHAnsi" w:hAnsiTheme="minorHAnsi" w:eastAsiaTheme="minorEastAsia" w:cstheme="minorBidi"/>
                <w:noProof/>
                <w:sz w:val="22"/>
                <w:szCs w:val="22"/>
              </w:rPr>
              <w:tab/>
            </w:r>
            <w:r w:rsidRPr="0032220A" w:rsidR="008959A4">
              <w:rPr>
                <w:rStyle w:val="Hyperlink"/>
                <w:noProof/>
              </w:rPr>
              <w:t>Implementing Source Codes (Southwest Gas):  Approved</w:t>
            </w:r>
            <w:r w:rsidR="008959A4">
              <w:rPr>
                <w:rStyle w:val="Hyperlink"/>
                <w:noProof/>
              </w:rPr>
              <w:tab/>
            </w:r>
            <w:r w:rsidR="008959A4">
              <w:rPr>
                <w:noProof/>
                <w:webHidden/>
              </w:rPr>
              <w:tab/>
            </w:r>
            <w:r w:rsidR="008959A4">
              <w:rPr>
                <w:noProof/>
                <w:webHidden/>
              </w:rPr>
              <w:fldChar w:fldCharType="begin"/>
            </w:r>
            <w:r w:rsidR="008959A4">
              <w:rPr>
                <w:noProof/>
                <w:webHidden/>
              </w:rPr>
              <w:instrText xml:space="preserve"> PAGEREF _Toc82159679 \h </w:instrText>
            </w:r>
            <w:r w:rsidR="008959A4">
              <w:rPr>
                <w:noProof/>
                <w:webHidden/>
              </w:rPr>
            </w:r>
            <w:r w:rsidR="008959A4">
              <w:rPr>
                <w:noProof/>
                <w:webHidden/>
              </w:rPr>
              <w:fldChar w:fldCharType="separate"/>
            </w:r>
            <w:r w:rsidR="00A643C3">
              <w:rPr>
                <w:noProof/>
                <w:webHidden/>
              </w:rPr>
              <w:t>30</w:t>
            </w:r>
            <w:r w:rsidR="008959A4">
              <w:rPr>
                <w:noProof/>
                <w:webHidden/>
              </w:rPr>
              <w:fldChar w:fldCharType="end"/>
            </w:r>
          </w:hyperlink>
        </w:p>
        <w:p w:rsidR="008959A4" w:rsidP="008959A4" w:rsidRDefault="00ED6D61" w14:paraId="0EDF5909" w14:textId="687BA4EC">
          <w:pPr>
            <w:pStyle w:val="TOC4"/>
            <w:tabs>
              <w:tab w:val="left" w:pos="4320"/>
            </w:tabs>
            <w:rPr>
              <w:rFonts w:asciiTheme="minorHAnsi" w:hAnsiTheme="minorHAnsi" w:eastAsiaTheme="minorEastAsia" w:cstheme="minorBidi"/>
              <w:noProof/>
              <w:sz w:val="22"/>
              <w:szCs w:val="22"/>
            </w:rPr>
          </w:pPr>
          <w:hyperlink w:history="1" w:anchor="_Toc82159680">
            <w:r w:rsidRPr="0032220A" w:rsidR="008959A4">
              <w:rPr>
                <w:rStyle w:val="Hyperlink"/>
                <w:noProof/>
              </w:rPr>
              <w:t>4.2.10.5.</w:t>
            </w:r>
            <w:r w:rsidR="008959A4">
              <w:rPr>
                <w:rFonts w:asciiTheme="minorHAnsi" w:hAnsiTheme="minorHAnsi" w:eastAsiaTheme="minorEastAsia" w:cstheme="minorBidi"/>
                <w:noProof/>
                <w:sz w:val="22"/>
                <w:szCs w:val="22"/>
              </w:rPr>
              <w:tab/>
            </w:r>
            <w:r w:rsidRPr="0032220A" w:rsidR="008959A4">
              <w:rPr>
                <w:rStyle w:val="Hyperlink"/>
                <w:noProof/>
              </w:rPr>
              <w:t>Exempting Recertification for Fixed Income Households:  New</w:t>
            </w:r>
            <w:r w:rsidR="008959A4">
              <w:rPr>
                <w:noProof/>
                <w:webHidden/>
              </w:rPr>
              <w:tab/>
            </w:r>
            <w:r w:rsidR="008959A4">
              <w:rPr>
                <w:noProof/>
                <w:webHidden/>
              </w:rPr>
              <w:fldChar w:fldCharType="begin"/>
            </w:r>
            <w:r w:rsidR="008959A4">
              <w:rPr>
                <w:noProof/>
                <w:webHidden/>
              </w:rPr>
              <w:instrText xml:space="preserve"> PAGEREF _Toc82159680 \h </w:instrText>
            </w:r>
            <w:r w:rsidR="008959A4">
              <w:rPr>
                <w:noProof/>
                <w:webHidden/>
              </w:rPr>
            </w:r>
            <w:r w:rsidR="008959A4">
              <w:rPr>
                <w:noProof/>
                <w:webHidden/>
              </w:rPr>
              <w:fldChar w:fldCharType="separate"/>
            </w:r>
            <w:r w:rsidR="00A643C3">
              <w:rPr>
                <w:noProof/>
                <w:webHidden/>
              </w:rPr>
              <w:t>30</w:t>
            </w:r>
            <w:r w:rsidR="008959A4">
              <w:rPr>
                <w:noProof/>
                <w:webHidden/>
              </w:rPr>
              <w:fldChar w:fldCharType="end"/>
            </w:r>
          </w:hyperlink>
        </w:p>
        <w:p w:rsidR="008959A4" w:rsidP="008959A4" w:rsidRDefault="00ED6D61" w14:paraId="296762A5" w14:textId="46569FCC">
          <w:pPr>
            <w:pStyle w:val="TOC2"/>
            <w:tabs>
              <w:tab w:val="right" w:leader="dot" w:pos="9350"/>
            </w:tabs>
            <w:ind w:left="1080" w:hanging="630"/>
            <w:rPr>
              <w:rFonts w:asciiTheme="minorHAnsi" w:hAnsiTheme="minorHAnsi" w:cstheme="minorBidi"/>
              <w:noProof/>
              <w:sz w:val="22"/>
              <w:szCs w:val="22"/>
            </w:rPr>
          </w:pPr>
          <w:hyperlink w:history="1" w:anchor="_Toc82159681">
            <w:r w:rsidRPr="0032220A" w:rsidR="008959A4">
              <w:rPr>
                <w:rStyle w:val="Hyperlink"/>
                <w:noProof/>
              </w:rPr>
              <w:t>4.3.</w:t>
            </w:r>
            <w:r w:rsidR="008959A4">
              <w:rPr>
                <w:rFonts w:asciiTheme="minorHAnsi" w:hAnsiTheme="minorHAnsi" w:cstheme="minorBidi"/>
                <w:noProof/>
                <w:sz w:val="22"/>
                <w:szCs w:val="22"/>
              </w:rPr>
              <w:tab/>
            </w:r>
            <w:r w:rsidRPr="0032220A" w:rsidR="008959A4">
              <w:rPr>
                <w:rStyle w:val="Hyperlink"/>
                <w:noProof/>
              </w:rPr>
              <w:t xml:space="preserve">CARE Marketing, Education, and Outreach (ME&amp;O), and </w:t>
            </w:r>
            <w:r w:rsidR="008959A4">
              <w:rPr>
                <w:rStyle w:val="Hyperlink"/>
                <w:noProof/>
              </w:rPr>
              <w:br/>
            </w:r>
            <w:r w:rsidRPr="0032220A" w:rsidR="008959A4">
              <w:rPr>
                <w:rStyle w:val="Hyperlink"/>
                <w:noProof/>
              </w:rPr>
              <w:t>Leveraging Efforts</w:t>
            </w:r>
            <w:r w:rsidR="008959A4">
              <w:rPr>
                <w:noProof/>
                <w:webHidden/>
              </w:rPr>
              <w:tab/>
            </w:r>
            <w:r w:rsidR="008959A4">
              <w:rPr>
                <w:noProof/>
                <w:webHidden/>
              </w:rPr>
              <w:fldChar w:fldCharType="begin"/>
            </w:r>
            <w:r w:rsidR="008959A4">
              <w:rPr>
                <w:noProof/>
                <w:webHidden/>
              </w:rPr>
              <w:instrText xml:space="preserve"> PAGEREF _Toc82159681 \h </w:instrText>
            </w:r>
            <w:r w:rsidR="008959A4">
              <w:rPr>
                <w:noProof/>
                <w:webHidden/>
              </w:rPr>
            </w:r>
            <w:r w:rsidR="008959A4">
              <w:rPr>
                <w:noProof/>
                <w:webHidden/>
              </w:rPr>
              <w:fldChar w:fldCharType="separate"/>
            </w:r>
            <w:r w:rsidR="00A643C3">
              <w:rPr>
                <w:noProof/>
                <w:webHidden/>
              </w:rPr>
              <w:t>31</w:t>
            </w:r>
            <w:r w:rsidR="008959A4">
              <w:rPr>
                <w:noProof/>
                <w:webHidden/>
              </w:rPr>
              <w:fldChar w:fldCharType="end"/>
            </w:r>
          </w:hyperlink>
        </w:p>
        <w:p w:rsidR="008959A4" w:rsidP="008959A4" w:rsidRDefault="00ED6D61" w14:paraId="7E402C81" w14:textId="0E65771E">
          <w:pPr>
            <w:pStyle w:val="TOC3"/>
            <w:tabs>
              <w:tab w:val="right" w:leader="dot" w:pos="9350"/>
            </w:tabs>
            <w:ind w:left="1980" w:hanging="900"/>
            <w:rPr>
              <w:rFonts w:asciiTheme="minorHAnsi" w:hAnsiTheme="minorHAnsi" w:cstheme="minorBidi"/>
              <w:noProof/>
              <w:sz w:val="22"/>
              <w:szCs w:val="22"/>
            </w:rPr>
          </w:pPr>
          <w:hyperlink w:history="1" w:anchor="_Toc82159682">
            <w:r w:rsidRPr="0032220A" w:rsidR="008959A4">
              <w:rPr>
                <w:rStyle w:val="Hyperlink"/>
                <w:noProof/>
              </w:rPr>
              <w:t>4.3.1.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_Toc82159682 \h </w:instrText>
            </w:r>
            <w:r w:rsidR="008959A4">
              <w:rPr>
                <w:noProof/>
                <w:webHidden/>
              </w:rPr>
            </w:r>
            <w:r w:rsidR="008959A4">
              <w:rPr>
                <w:noProof/>
                <w:webHidden/>
              </w:rPr>
              <w:fldChar w:fldCharType="separate"/>
            </w:r>
            <w:r w:rsidR="00A643C3">
              <w:rPr>
                <w:noProof/>
                <w:webHidden/>
              </w:rPr>
              <w:t>31</w:t>
            </w:r>
            <w:r w:rsidR="008959A4">
              <w:rPr>
                <w:noProof/>
                <w:webHidden/>
              </w:rPr>
              <w:fldChar w:fldCharType="end"/>
            </w:r>
          </w:hyperlink>
        </w:p>
        <w:p w:rsidR="008959A4" w:rsidP="008959A4" w:rsidRDefault="00ED6D61" w14:paraId="7EF84586" w14:textId="71F20076">
          <w:pPr>
            <w:pStyle w:val="TOC3"/>
            <w:tabs>
              <w:tab w:val="right" w:leader="dot" w:pos="9350"/>
            </w:tabs>
            <w:ind w:left="1980" w:hanging="900"/>
            <w:rPr>
              <w:rFonts w:asciiTheme="minorHAnsi" w:hAnsiTheme="minorHAnsi" w:cstheme="minorBidi"/>
              <w:noProof/>
              <w:sz w:val="22"/>
              <w:szCs w:val="22"/>
            </w:rPr>
          </w:pPr>
          <w:hyperlink w:history="1" w:anchor="_Toc82159683">
            <w:r w:rsidRPr="0032220A" w:rsidR="008959A4">
              <w:rPr>
                <w:rStyle w:val="Hyperlink"/>
                <w:noProof/>
              </w:rPr>
              <w:t>4.3.2.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_Toc82159683 \h </w:instrText>
            </w:r>
            <w:r w:rsidR="008959A4">
              <w:rPr>
                <w:noProof/>
                <w:webHidden/>
              </w:rPr>
            </w:r>
            <w:r w:rsidR="008959A4">
              <w:rPr>
                <w:noProof/>
                <w:webHidden/>
              </w:rPr>
              <w:fldChar w:fldCharType="separate"/>
            </w:r>
            <w:r w:rsidR="00A643C3">
              <w:rPr>
                <w:noProof/>
                <w:webHidden/>
              </w:rPr>
              <w:t>31</w:t>
            </w:r>
            <w:r w:rsidR="008959A4">
              <w:rPr>
                <w:noProof/>
                <w:webHidden/>
              </w:rPr>
              <w:fldChar w:fldCharType="end"/>
            </w:r>
          </w:hyperlink>
        </w:p>
        <w:p w:rsidR="008959A4" w:rsidP="008959A4" w:rsidRDefault="00ED6D61" w14:paraId="15901ED7" w14:textId="1A0AC0E5">
          <w:pPr>
            <w:pStyle w:val="TOC3"/>
            <w:tabs>
              <w:tab w:val="right" w:leader="dot" w:pos="9350"/>
            </w:tabs>
            <w:ind w:left="1980" w:hanging="900"/>
            <w:rPr>
              <w:rFonts w:asciiTheme="minorHAnsi" w:hAnsiTheme="minorHAnsi" w:cstheme="minorBidi"/>
              <w:noProof/>
              <w:sz w:val="22"/>
              <w:szCs w:val="22"/>
            </w:rPr>
          </w:pPr>
          <w:hyperlink w:history="1" w:anchor="_Toc82159684">
            <w:r w:rsidRPr="0032220A" w:rsidR="008959A4">
              <w:rPr>
                <w:rStyle w:val="Hyperlink"/>
                <w:noProof/>
              </w:rPr>
              <w:t>4.3.3.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_Toc82159684 \h </w:instrText>
            </w:r>
            <w:r w:rsidR="008959A4">
              <w:rPr>
                <w:noProof/>
                <w:webHidden/>
              </w:rPr>
            </w:r>
            <w:r w:rsidR="008959A4">
              <w:rPr>
                <w:noProof/>
                <w:webHidden/>
              </w:rPr>
              <w:fldChar w:fldCharType="separate"/>
            </w:r>
            <w:r w:rsidR="00A643C3">
              <w:rPr>
                <w:noProof/>
                <w:webHidden/>
              </w:rPr>
              <w:t>32</w:t>
            </w:r>
            <w:r w:rsidR="008959A4">
              <w:rPr>
                <w:noProof/>
                <w:webHidden/>
              </w:rPr>
              <w:fldChar w:fldCharType="end"/>
            </w:r>
          </w:hyperlink>
        </w:p>
        <w:p w:rsidR="008959A4" w:rsidP="008959A4" w:rsidRDefault="00ED6D61" w14:paraId="54FBED01" w14:textId="474FB99F">
          <w:pPr>
            <w:pStyle w:val="TOC3"/>
            <w:tabs>
              <w:tab w:val="right" w:leader="dot" w:pos="9350"/>
            </w:tabs>
            <w:ind w:left="1980" w:hanging="900"/>
            <w:rPr>
              <w:rFonts w:asciiTheme="minorHAnsi" w:hAnsiTheme="minorHAnsi" w:cstheme="minorBidi"/>
              <w:noProof/>
              <w:sz w:val="22"/>
              <w:szCs w:val="22"/>
            </w:rPr>
          </w:pPr>
          <w:hyperlink w:history="1" w:anchor="_Toc82159685">
            <w:r w:rsidRPr="0032220A" w:rsidR="008959A4">
              <w:rPr>
                <w:rStyle w:val="Hyperlink"/>
                <w:noProof/>
              </w:rPr>
              <w:t>4.3.4.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_Toc82159685 \h </w:instrText>
            </w:r>
            <w:r w:rsidR="008959A4">
              <w:rPr>
                <w:noProof/>
                <w:webHidden/>
              </w:rPr>
            </w:r>
            <w:r w:rsidR="008959A4">
              <w:rPr>
                <w:noProof/>
                <w:webHidden/>
              </w:rPr>
              <w:fldChar w:fldCharType="separate"/>
            </w:r>
            <w:r w:rsidR="00A643C3">
              <w:rPr>
                <w:noProof/>
                <w:webHidden/>
              </w:rPr>
              <w:t>33</w:t>
            </w:r>
            <w:r w:rsidR="008959A4">
              <w:rPr>
                <w:noProof/>
                <w:webHidden/>
              </w:rPr>
              <w:fldChar w:fldCharType="end"/>
            </w:r>
          </w:hyperlink>
        </w:p>
        <w:p w:rsidR="008959A4" w:rsidP="008959A4" w:rsidRDefault="00ED6D61" w14:paraId="5FC02377" w14:textId="2EC79E2A">
          <w:pPr>
            <w:pStyle w:val="TOC3"/>
            <w:tabs>
              <w:tab w:val="right" w:leader="dot" w:pos="9350"/>
            </w:tabs>
            <w:ind w:left="1980" w:hanging="900"/>
            <w:rPr>
              <w:rFonts w:asciiTheme="minorHAnsi" w:hAnsiTheme="minorHAnsi" w:cstheme="minorBidi"/>
              <w:noProof/>
              <w:sz w:val="22"/>
              <w:szCs w:val="22"/>
            </w:rPr>
          </w:pPr>
          <w:hyperlink w:history="1" w:anchor="_Toc82159686">
            <w:r w:rsidRPr="0032220A" w:rsidR="008959A4">
              <w:rPr>
                <w:rStyle w:val="Hyperlink"/>
                <w:noProof/>
              </w:rPr>
              <w:t>4.3.5.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_Toc82159686 \h </w:instrText>
            </w:r>
            <w:r w:rsidR="008959A4">
              <w:rPr>
                <w:noProof/>
                <w:webHidden/>
              </w:rPr>
            </w:r>
            <w:r w:rsidR="008959A4">
              <w:rPr>
                <w:noProof/>
                <w:webHidden/>
              </w:rPr>
              <w:fldChar w:fldCharType="separate"/>
            </w:r>
            <w:r w:rsidR="00A643C3">
              <w:rPr>
                <w:noProof/>
                <w:webHidden/>
              </w:rPr>
              <w:t>34</w:t>
            </w:r>
            <w:r w:rsidR="008959A4">
              <w:rPr>
                <w:noProof/>
                <w:webHidden/>
              </w:rPr>
              <w:fldChar w:fldCharType="end"/>
            </w:r>
          </w:hyperlink>
        </w:p>
        <w:p w:rsidR="008959A4" w:rsidP="008959A4" w:rsidRDefault="00ED6D61" w14:paraId="691D7FD8" w14:textId="10986152">
          <w:pPr>
            <w:pStyle w:val="TOC3"/>
            <w:tabs>
              <w:tab w:val="right" w:leader="dot" w:pos="9350"/>
            </w:tabs>
            <w:ind w:left="1980" w:hanging="900"/>
            <w:rPr>
              <w:rFonts w:asciiTheme="minorHAnsi" w:hAnsiTheme="minorHAnsi" w:cstheme="minorBidi"/>
              <w:noProof/>
              <w:sz w:val="22"/>
              <w:szCs w:val="22"/>
            </w:rPr>
          </w:pPr>
          <w:hyperlink w:history="1" w:anchor="_Toc82159687">
            <w:r w:rsidRPr="0032220A" w:rsidR="008959A4">
              <w:rPr>
                <w:rStyle w:val="Hyperlink"/>
                <w:noProof/>
              </w:rPr>
              <w:t>4.3.6.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_Toc82159687 \h </w:instrText>
            </w:r>
            <w:r w:rsidR="008959A4">
              <w:rPr>
                <w:noProof/>
                <w:webHidden/>
              </w:rPr>
            </w:r>
            <w:r w:rsidR="008959A4">
              <w:rPr>
                <w:noProof/>
                <w:webHidden/>
              </w:rPr>
              <w:fldChar w:fldCharType="separate"/>
            </w:r>
            <w:r w:rsidR="00A643C3">
              <w:rPr>
                <w:noProof/>
                <w:webHidden/>
              </w:rPr>
              <w:t>35</w:t>
            </w:r>
            <w:r w:rsidR="008959A4">
              <w:rPr>
                <w:noProof/>
                <w:webHidden/>
              </w:rPr>
              <w:fldChar w:fldCharType="end"/>
            </w:r>
          </w:hyperlink>
        </w:p>
        <w:p w:rsidR="008959A4" w:rsidP="008959A4" w:rsidRDefault="00ED6D61" w14:paraId="2BBE65B9" w14:textId="7F614F5C">
          <w:pPr>
            <w:pStyle w:val="TOC3"/>
            <w:tabs>
              <w:tab w:val="right" w:leader="dot" w:pos="9350"/>
            </w:tabs>
            <w:ind w:left="1980" w:hanging="900"/>
            <w:rPr>
              <w:rFonts w:asciiTheme="minorHAnsi" w:hAnsiTheme="minorHAnsi" w:cstheme="minorBidi"/>
              <w:noProof/>
              <w:sz w:val="22"/>
              <w:szCs w:val="22"/>
            </w:rPr>
          </w:pPr>
          <w:hyperlink w:history="1" w:anchor="_Toc82159688">
            <w:r w:rsidRPr="0032220A" w:rsidR="008959A4">
              <w:rPr>
                <w:rStyle w:val="Hyperlink"/>
                <w:noProof/>
              </w:rPr>
              <w:t>4.3.7.</w:t>
            </w:r>
            <w:r w:rsidR="008959A4">
              <w:rPr>
                <w:rFonts w:asciiTheme="minorHAnsi" w:hAnsiTheme="minorHAnsi" w:cstheme="minorBidi"/>
                <w:noProof/>
                <w:sz w:val="22"/>
                <w:szCs w:val="22"/>
              </w:rPr>
              <w:tab/>
            </w:r>
            <w:r w:rsidRPr="0032220A" w:rsidR="008959A4">
              <w:rPr>
                <w:rStyle w:val="Hyperlink"/>
                <w:noProof/>
              </w:rPr>
              <w:t>West Coast Gas Proposal</w:t>
            </w:r>
            <w:r w:rsidR="008959A4">
              <w:rPr>
                <w:noProof/>
                <w:webHidden/>
              </w:rPr>
              <w:tab/>
            </w:r>
            <w:r w:rsidR="008959A4">
              <w:rPr>
                <w:noProof/>
                <w:webHidden/>
              </w:rPr>
              <w:fldChar w:fldCharType="begin"/>
            </w:r>
            <w:r w:rsidR="008959A4">
              <w:rPr>
                <w:noProof/>
                <w:webHidden/>
              </w:rPr>
              <w:instrText xml:space="preserve"> PAGEREF _Toc82159688 \h </w:instrText>
            </w:r>
            <w:r w:rsidR="008959A4">
              <w:rPr>
                <w:noProof/>
                <w:webHidden/>
              </w:rPr>
            </w:r>
            <w:r w:rsidR="008959A4">
              <w:rPr>
                <w:noProof/>
                <w:webHidden/>
              </w:rPr>
              <w:fldChar w:fldCharType="separate"/>
            </w:r>
            <w:r w:rsidR="00A643C3">
              <w:rPr>
                <w:noProof/>
                <w:webHidden/>
              </w:rPr>
              <w:t>35</w:t>
            </w:r>
            <w:r w:rsidR="008959A4">
              <w:rPr>
                <w:noProof/>
                <w:webHidden/>
              </w:rPr>
              <w:fldChar w:fldCharType="end"/>
            </w:r>
          </w:hyperlink>
        </w:p>
        <w:p w:rsidR="008959A4" w:rsidP="008959A4" w:rsidRDefault="00ED6D61" w14:paraId="42514565" w14:textId="678E6CA8">
          <w:pPr>
            <w:pStyle w:val="TOC3"/>
            <w:tabs>
              <w:tab w:val="right" w:leader="dot" w:pos="9350"/>
            </w:tabs>
            <w:ind w:left="1980" w:hanging="900"/>
            <w:rPr>
              <w:rFonts w:asciiTheme="minorHAnsi" w:hAnsiTheme="minorHAnsi" w:cstheme="minorBidi"/>
              <w:noProof/>
              <w:sz w:val="22"/>
              <w:szCs w:val="22"/>
            </w:rPr>
          </w:pPr>
          <w:hyperlink w:history="1" w:anchor="_Toc82159689">
            <w:r w:rsidRPr="0032220A" w:rsidR="008959A4">
              <w:rPr>
                <w:rStyle w:val="Hyperlink"/>
                <w:noProof/>
              </w:rPr>
              <w:t>4.3.8.</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_Toc82159689 \h </w:instrText>
            </w:r>
            <w:r w:rsidR="008959A4">
              <w:rPr>
                <w:noProof/>
                <w:webHidden/>
              </w:rPr>
            </w:r>
            <w:r w:rsidR="008959A4">
              <w:rPr>
                <w:noProof/>
                <w:webHidden/>
              </w:rPr>
              <w:fldChar w:fldCharType="separate"/>
            </w:r>
            <w:r w:rsidR="00A643C3">
              <w:rPr>
                <w:noProof/>
                <w:webHidden/>
              </w:rPr>
              <w:t>36</w:t>
            </w:r>
            <w:r w:rsidR="008959A4">
              <w:rPr>
                <w:noProof/>
                <w:webHidden/>
              </w:rPr>
              <w:fldChar w:fldCharType="end"/>
            </w:r>
          </w:hyperlink>
        </w:p>
        <w:p w:rsidR="008959A4" w:rsidP="008959A4" w:rsidRDefault="00ED6D61" w14:paraId="42E00FB4" w14:textId="1E2A6413">
          <w:pPr>
            <w:pStyle w:val="TOC4"/>
            <w:tabs>
              <w:tab w:val="left" w:pos="3060"/>
            </w:tabs>
            <w:rPr>
              <w:rFonts w:asciiTheme="minorHAnsi" w:hAnsiTheme="minorHAnsi" w:eastAsiaTheme="minorEastAsia" w:cstheme="minorBidi"/>
              <w:noProof/>
              <w:sz w:val="22"/>
              <w:szCs w:val="22"/>
            </w:rPr>
          </w:pPr>
          <w:hyperlink w:history="1" w:anchor="_Toc82159690">
            <w:r w:rsidRPr="0032220A" w:rsidR="008959A4">
              <w:rPr>
                <w:rStyle w:val="Hyperlink"/>
                <w:noProof/>
              </w:rPr>
              <w:t>4.3.8.1.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_Toc82159690 \h </w:instrText>
            </w:r>
            <w:r w:rsidR="008959A4">
              <w:rPr>
                <w:noProof/>
                <w:webHidden/>
              </w:rPr>
            </w:r>
            <w:r w:rsidR="008959A4">
              <w:rPr>
                <w:noProof/>
                <w:webHidden/>
              </w:rPr>
              <w:fldChar w:fldCharType="separate"/>
            </w:r>
            <w:r w:rsidR="00A643C3">
              <w:rPr>
                <w:noProof/>
                <w:webHidden/>
              </w:rPr>
              <w:t>36</w:t>
            </w:r>
            <w:r w:rsidR="008959A4">
              <w:rPr>
                <w:noProof/>
                <w:webHidden/>
              </w:rPr>
              <w:fldChar w:fldCharType="end"/>
            </w:r>
          </w:hyperlink>
        </w:p>
        <w:p w:rsidR="008959A4" w:rsidP="008959A4" w:rsidRDefault="00ED6D61" w14:paraId="28C74854" w14:textId="6D3C6076">
          <w:pPr>
            <w:pStyle w:val="TOC4"/>
            <w:tabs>
              <w:tab w:val="left" w:pos="3060"/>
            </w:tabs>
            <w:rPr>
              <w:rFonts w:asciiTheme="minorHAnsi" w:hAnsiTheme="minorHAnsi" w:eastAsiaTheme="minorEastAsia" w:cstheme="minorBidi"/>
              <w:noProof/>
              <w:sz w:val="22"/>
              <w:szCs w:val="22"/>
            </w:rPr>
          </w:pPr>
          <w:hyperlink w:history="1" w:anchor="_Toc82159691">
            <w:r w:rsidRPr="0032220A" w:rsidR="008959A4">
              <w:rPr>
                <w:rStyle w:val="Hyperlink"/>
                <w:noProof/>
              </w:rPr>
              <w:t>4.3.8.2.</w:t>
            </w:r>
            <w:r w:rsidR="008959A4">
              <w:rPr>
                <w:rFonts w:asciiTheme="minorHAnsi" w:hAnsiTheme="minorHAnsi" w:eastAsiaTheme="minorEastAsia" w:cstheme="minorBidi"/>
                <w:noProof/>
                <w:sz w:val="22"/>
                <w:szCs w:val="22"/>
              </w:rPr>
              <w:tab/>
            </w:r>
            <w:r w:rsidRPr="0032220A" w:rsidR="008959A4">
              <w:rPr>
                <w:rStyle w:val="Hyperlink"/>
                <w:noProof/>
              </w:rPr>
              <w:t>EEC and Free Energy</w:t>
            </w:r>
            <w:r w:rsidR="008959A4">
              <w:rPr>
                <w:noProof/>
                <w:webHidden/>
              </w:rPr>
              <w:tab/>
            </w:r>
            <w:r w:rsidR="008959A4">
              <w:rPr>
                <w:noProof/>
                <w:webHidden/>
              </w:rPr>
              <w:fldChar w:fldCharType="begin"/>
            </w:r>
            <w:r w:rsidR="008959A4">
              <w:rPr>
                <w:noProof/>
                <w:webHidden/>
              </w:rPr>
              <w:instrText xml:space="preserve"> PAGEREF _Toc82159691 \h </w:instrText>
            </w:r>
            <w:r w:rsidR="008959A4">
              <w:rPr>
                <w:noProof/>
                <w:webHidden/>
              </w:rPr>
            </w:r>
            <w:r w:rsidR="008959A4">
              <w:rPr>
                <w:noProof/>
                <w:webHidden/>
              </w:rPr>
              <w:fldChar w:fldCharType="separate"/>
            </w:r>
            <w:r w:rsidR="00A643C3">
              <w:rPr>
                <w:noProof/>
                <w:webHidden/>
              </w:rPr>
              <w:t>37</w:t>
            </w:r>
            <w:r w:rsidR="008959A4">
              <w:rPr>
                <w:noProof/>
                <w:webHidden/>
              </w:rPr>
              <w:fldChar w:fldCharType="end"/>
            </w:r>
          </w:hyperlink>
        </w:p>
        <w:p w:rsidR="008959A4" w:rsidP="008959A4" w:rsidRDefault="00ED6D61" w14:paraId="002E937D" w14:textId="57AD92EE">
          <w:pPr>
            <w:pStyle w:val="TOC3"/>
            <w:tabs>
              <w:tab w:val="right" w:leader="dot" w:pos="9350"/>
            </w:tabs>
            <w:ind w:left="1980" w:hanging="900"/>
            <w:rPr>
              <w:rFonts w:asciiTheme="minorHAnsi" w:hAnsiTheme="minorHAnsi" w:cstheme="minorBidi"/>
              <w:noProof/>
              <w:sz w:val="22"/>
              <w:szCs w:val="22"/>
            </w:rPr>
          </w:pPr>
          <w:hyperlink w:history="1" w:anchor="_Toc82159692">
            <w:r w:rsidRPr="0032220A" w:rsidR="008959A4">
              <w:rPr>
                <w:rStyle w:val="Hyperlink"/>
                <w:noProof/>
              </w:rPr>
              <w:t>4.3.9.</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_Toc82159692 \h </w:instrText>
            </w:r>
            <w:r w:rsidR="008959A4">
              <w:rPr>
                <w:noProof/>
                <w:webHidden/>
              </w:rPr>
            </w:r>
            <w:r w:rsidR="008959A4">
              <w:rPr>
                <w:noProof/>
                <w:webHidden/>
              </w:rPr>
              <w:fldChar w:fldCharType="separate"/>
            </w:r>
            <w:r w:rsidR="00A643C3">
              <w:rPr>
                <w:noProof/>
                <w:webHidden/>
              </w:rPr>
              <w:t>37</w:t>
            </w:r>
            <w:r w:rsidR="008959A4">
              <w:rPr>
                <w:noProof/>
                <w:webHidden/>
              </w:rPr>
              <w:fldChar w:fldCharType="end"/>
            </w:r>
          </w:hyperlink>
        </w:p>
        <w:p w:rsidR="008959A4" w:rsidP="008959A4" w:rsidRDefault="00ED6D61" w14:paraId="15DCD524" w14:textId="3C321264">
          <w:pPr>
            <w:pStyle w:val="TOC4"/>
            <w:tabs>
              <w:tab w:val="left" w:pos="3060"/>
            </w:tabs>
            <w:rPr>
              <w:rFonts w:asciiTheme="minorHAnsi" w:hAnsiTheme="minorHAnsi" w:eastAsiaTheme="minorEastAsia" w:cstheme="minorBidi"/>
              <w:noProof/>
              <w:sz w:val="22"/>
              <w:szCs w:val="22"/>
            </w:rPr>
          </w:pPr>
          <w:hyperlink w:history="1" w:anchor="_Toc82159693">
            <w:r w:rsidRPr="0032220A" w:rsidR="008959A4">
              <w:rPr>
                <w:rStyle w:val="Hyperlink"/>
                <w:noProof/>
              </w:rPr>
              <w:t>4.3.9.1.</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_Toc82159693 \h </w:instrText>
            </w:r>
            <w:r w:rsidR="008959A4">
              <w:rPr>
                <w:noProof/>
                <w:webHidden/>
              </w:rPr>
            </w:r>
            <w:r w:rsidR="008959A4">
              <w:rPr>
                <w:noProof/>
                <w:webHidden/>
              </w:rPr>
              <w:fldChar w:fldCharType="separate"/>
            </w:r>
            <w:r w:rsidR="00A643C3">
              <w:rPr>
                <w:noProof/>
                <w:webHidden/>
              </w:rPr>
              <w:t>37</w:t>
            </w:r>
            <w:r w:rsidR="008959A4">
              <w:rPr>
                <w:noProof/>
                <w:webHidden/>
              </w:rPr>
              <w:fldChar w:fldCharType="end"/>
            </w:r>
          </w:hyperlink>
        </w:p>
        <w:p w:rsidR="008959A4" w:rsidP="008959A4" w:rsidRDefault="00ED6D61" w14:paraId="53E9786E" w14:textId="0F9832E7">
          <w:pPr>
            <w:pStyle w:val="TOC3"/>
            <w:tabs>
              <w:tab w:val="right" w:leader="dot" w:pos="9350"/>
            </w:tabs>
            <w:ind w:left="1980" w:hanging="900"/>
            <w:rPr>
              <w:rFonts w:asciiTheme="minorHAnsi" w:hAnsiTheme="minorHAnsi" w:cstheme="minorBidi"/>
              <w:noProof/>
              <w:sz w:val="22"/>
              <w:szCs w:val="22"/>
            </w:rPr>
          </w:pPr>
          <w:hyperlink w:history="1" w:anchor="_Toc82159694">
            <w:r w:rsidRPr="0032220A" w:rsidR="008959A4">
              <w:rPr>
                <w:rStyle w:val="Hyperlink"/>
                <w:noProof/>
              </w:rPr>
              <w:t>4.3.10.</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_Toc82159694 \h </w:instrText>
            </w:r>
            <w:r w:rsidR="008959A4">
              <w:rPr>
                <w:noProof/>
                <w:webHidden/>
              </w:rPr>
            </w:r>
            <w:r w:rsidR="008959A4">
              <w:rPr>
                <w:noProof/>
                <w:webHidden/>
              </w:rPr>
              <w:fldChar w:fldCharType="separate"/>
            </w:r>
            <w:r w:rsidR="00A643C3">
              <w:rPr>
                <w:noProof/>
                <w:webHidden/>
              </w:rPr>
              <w:t>38</w:t>
            </w:r>
            <w:r w:rsidR="008959A4">
              <w:rPr>
                <w:noProof/>
                <w:webHidden/>
              </w:rPr>
              <w:fldChar w:fldCharType="end"/>
            </w:r>
          </w:hyperlink>
        </w:p>
        <w:p w:rsidR="008959A4" w:rsidP="008959A4" w:rsidRDefault="00ED6D61" w14:paraId="3EBDFE91" w14:textId="2C01A574">
          <w:pPr>
            <w:pStyle w:val="TOC4"/>
            <w:tabs>
              <w:tab w:val="left" w:pos="4320"/>
            </w:tabs>
            <w:rPr>
              <w:rFonts w:asciiTheme="minorHAnsi" w:hAnsiTheme="minorHAnsi" w:eastAsiaTheme="minorEastAsia" w:cstheme="minorBidi"/>
              <w:noProof/>
              <w:sz w:val="22"/>
              <w:szCs w:val="22"/>
            </w:rPr>
          </w:pPr>
          <w:hyperlink w:history="1" w:anchor="_Toc82159695">
            <w:r w:rsidRPr="0032220A" w:rsidR="008959A4">
              <w:rPr>
                <w:rStyle w:val="Hyperlink"/>
                <w:noProof/>
              </w:rPr>
              <w:t>4.3.10.1.</w:t>
            </w:r>
            <w:r w:rsidR="008959A4">
              <w:rPr>
                <w:rFonts w:asciiTheme="minorHAnsi" w:hAnsiTheme="minorHAnsi" w:eastAsiaTheme="minorEastAsia" w:cstheme="minorBidi"/>
                <w:noProof/>
                <w:sz w:val="22"/>
                <w:szCs w:val="22"/>
              </w:rPr>
              <w:tab/>
            </w:r>
            <w:r w:rsidRPr="0032220A" w:rsidR="008959A4">
              <w:rPr>
                <w:rStyle w:val="Hyperlink"/>
                <w:noProof/>
              </w:rPr>
              <w:t xml:space="preserve">SMJU Proposed ME&amp;O and Leveraging Efforts:  Approved with Additional Reporting </w:t>
            </w:r>
            <w:r w:rsidR="008959A4">
              <w:rPr>
                <w:rStyle w:val="Hyperlink"/>
                <w:noProof/>
              </w:rPr>
              <w:br/>
            </w:r>
            <w:r w:rsidRPr="0032220A" w:rsidR="008959A4">
              <w:rPr>
                <w:rStyle w:val="Hyperlink"/>
                <w:noProof/>
              </w:rPr>
              <w:t>Requirements</w:t>
            </w:r>
            <w:r w:rsidR="008959A4">
              <w:rPr>
                <w:noProof/>
                <w:webHidden/>
              </w:rPr>
              <w:tab/>
            </w:r>
            <w:r w:rsidR="008959A4">
              <w:rPr>
                <w:noProof/>
                <w:webHidden/>
              </w:rPr>
              <w:fldChar w:fldCharType="begin"/>
            </w:r>
            <w:r w:rsidR="008959A4">
              <w:rPr>
                <w:noProof/>
                <w:webHidden/>
              </w:rPr>
              <w:instrText xml:space="preserve"> PAGEREF _Toc82159695 \h </w:instrText>
            </w:r>
            <w:r w:rsidR="008959A4">
              <w:rPr>
                <w:noProof/>
                <w:webHidden/>
              </w:rPr>
            </w:r>
            <w:r w:rsidR="008959A4">
              <w:rPr>
                <w:noProof/>
                <w:webHidden/>
              </w:rPr>
              <w:fldChar w:fldCharType="separate"/>
            </w:r>
            <w:r w:rsidR="00A643C3">
              <w:rPr>
                <w:noProof/>
                <w:webHidden/>
              </w:rPr>
              <w:t>38</w:t>
            </w:r>
            <w:r w:rsidR="008959A4">
              <w:rPr>
                <w:noProof/>
                <w:webHidden/>
              </w:rPr>
              <w:fldChar w:fldCharType="end"/>
            </w:r>
          </w:hyperlink>
        </w:p>
        <w:p w:rsidR="008959A4" w:rsidP="008959A4" w:rsidRDefault="00ED6D61" w14:paraId="19DBCE3B" w14:textId="38F6124B">
          <w:pPr>
            <w:pStyle w:val="TOC4"/>
            <w:tabs>
              <w:tab w:val="left" w:pos="4320"/>
            </w:tabs>
            <w:rPr>
              <w:rFonts w:asciiTheme="minorHAnsi" w:hAnsiTheme="minorHAnsi" w:eastAsiaTheme="minorEastAsia" w:cstheme="minorBidi"/>
              <w:noProof/>
              <w:sz w:val="22"/>
              <w:szCs w:val="22"/>
            </w:rPr>
          </w:pPr>
          <w:hyperlink w:history="1" w:anchor="_Toc82159696">
            <w:r w:rsidRPr="0032220A" w:rsidR="008959A4">
              <w:rPr>
                <w:rStyle w:val="Hyperlink"/>
                <w:iCs/>
                <w:noProof/>
              </w:rPr>
              <w:t>4.3.10.2.</w:t>
            </w:r>
            <w:r w:rsidR="008959A4">
              <w:rPr>
                <w:rFonts w:asciiTheme="minorHAnsi" w:hAnsiTheme="minorHAnsi" w:eastAsiaTheme="minorEastAsia" w:cstheme="minorBidi"/>
                <w:noProof/>
                <w:sz w:val="22"/>
                <w:szCs w:val="22"/>
              </w:rPr>
              <w:tab/>
            </w:r>
            <w:r w:rsidRPr="0032220A" w:rsidR="008959A4">
              <w:rPr>
                <w:rStyle w:val="Hyperlink"/>
                <w:noProof/>
              </w:rPr>
              <w:t xml:space="preserve">Requiring a Mid Cycle Evaluation of Liberty’s </w:t>
            </w:r>
            <w:r w:rsidR="008959A4">
              <w:rPr>
                <w:rStyle w:val="Hyperlink"/>
                <w:noProof/>
              </w:rPr>
              <w:br/>
            </w:r>
            <w:r w:rsidRPr="0032220A" w:rsidR="008959A4">
              <w:rPr>
                <w:rStyle w:val="Hyperlink"/>
                <w:noProof/>
              </w:rPr>
              <w:t>ME&amp;O Efforts:  Approved with Modification</w:t>
            </w:r>
            <w:r w:rsidR="008959A4">
              <w:rPr>
                <w:noProof/>
                <w:webHidden/>
              </w:rPr>
              <w:tab/>
            </w:r>
            <w:r w:rsidR="008959A4">
              <w:rPr>
                <w:noProof/>
                <w:webHidden/>
              </w:rPr>
              <w:fldChar w:fldCharType="begin"/>
            </w:r>
            <w:r w:rsidR="008959A4">
              <w:rPr>
                <w:noProof/>
                <w:webHidden/>
              </w:rPr>
              <w:instrText xml:space="preserve"> PAGEREF _Toc82159696 \h </w:instrText>
            </w:r>
            <w:r w:rsidR="008959A4">
              <w:rPr>
                <w:noProof/>
                <w:webHidden/>
              </w:rPr>
            </w:r>
            <w:r w:rsidR="008959A4">
              <w:rPr>
                <w:noProof/>
                <w:webHidden/>
              </w:rPr>
              <w:fldChar w:fldCharType="separate"/>
            </w:r>
            <w:r w:rsidR="00A643C3">
              <w:rPr>
                <w:noProof/>
                <w:webHidden/>
              </w:rPr>
              <w:t>39</w:t>
            </w:r>
            <w:r w:rsidR="008959A4">
              <w:rPr>
                <w:noProof/>
                <w:webHidden/>
              </w:rPr>
              <w:fldChar w:fldCharType="end"/>
            </w:r>
          </w:hyperlink>
        </w:p>
        <w:p w:rsidR="008959A4" w:rsidP="008959A4" w:rsidRDefault="00ED6D61" w14:paraId="208360D6" w14:textId="1241C2E4">
          <w:pPr>
            <w:pStyle w:val="TOC4"/>
            <w:tabs>
              <w:tab w:val="left" w:pos="4320"/>
            </w:tabs>
            <w:rPr>
              <w:rFonts w:asciiTheme="minorHAnsi" w:hAnsiTheme="minorHAnsi" w:eastAsiaTheme="minorEastAsia" w:cstheme="minorBidi"/>
              <w:noProof/>
              <w:sz w:val="22"/>
              <w:szCs w:val="22"/>
            </w:rPr>
          </w:pPr>
          <w:hyperlink w:history="1" w:anchor="_Toc82159697">
            <w:r w:rsidRPr="0032220A" w:rsidR="008959A4">
              <w:rPr>
                <w:rStyle w:val="Hyperlink"/>
                <w:iCs/>
                <w:noProof/>
              </w:rPr>
              <w:t>4.3.10.3.</w:t>
            </w:r>
            <w:r w:rsidR="008959A4">
              <w:rPr>
                <w:rFonts w:asciiTheme="minorHAnsi" w:hAnsiTheme="minorHAnsi" w:eastAsiaTheme="minorEastAsia" w:cstheme="minorBidi"/>
                <w:noProof/>
                <w:sz w:val="22"/>
                <w:szCs w:val="22"/>
              </w:rPr>
              <w:tab/>
            </w:r>
            <w:r w:rsidRPr="0032220A" w:rsidR="008959A4">
              <w:rPr>
                <w:rStyle w:val="Hyperlink"/>
                <w:noProof/>
              </w:rPr>
              <w:t xml:space="preserve">Implementing Direct CBO One-On-One </w:t>
            </w:r>
            <w:r w:rsidR="008959A4">
              <w:rPr>
                <w:rStyle w:val="Hyperlink"/>
                <w:noProof/>
              </w:rPr>
              <w:br/>
            </w:r>
            <w:r w:rsidRPr="0032220A" w:rsidR="008959A4">
              <w:rPr>
                <w:rStyle w:val="Hyperlink"/>
                <w:noProof/>
              </w:rPr>
              <w:t>Outreach via ESA Contractors:  Denied</w:t>
            </w:r>
            <w:r w:rsidR="008959A4">
              <w:rPr>
                <w:noProof/>
                <w:webHidden/>
              </w:rPr>
              <w:tab/>
            </w:r>
            <w:r w:rsidR="008959A4">
              <w:rPr>
                <w:noProof/>
                <w:webHidden/>
              </w:rPr>
              <w:fldChar w:fldCharType="begin"/>
            </w:r>
            <w:r w:rsidR="008959A4">
              <w:rPr>
                <w:noProof/>
                <w:webHidden/>
              </w:rPr>
              <w:instrText xml:space="preserve"> PAGEREF _Toc82159697 \h </w:instrText>
            </w:r>
            <w:r w:rsidR="008959A4">
              <w:rPr>
                <w:noProof/>
                <w:webHidden/>
              </w:rPr>
            </w:r>
            <w:r w:rsidR="008959A4">
              <w:rPr>
                <w:noProof/>
                <w:webHidden/>
              </w:rPr>
              <w:fldChar w:fldCharType="separate"/>
            </w:r>
            <w:r w:rsidR="00A643C3">
              <w:rPr>
                <w:noProof/>
                <w:webHidden/>
              </w:rPr>
              <w:t>39</w:t>
            </w:r>
            <w:r w:rsidR="008959A4">
              <w:rPr>
                <w:noProof/>
                <w:webHidden/>
              </w:rPr>
              <w:fldChar w:fldCharType="end"/>
            </w:r>
          </w:hyperlink>
        </w:p>
        <w:p w:rsidR="008959A4" w:rsidP="008959A4" w:rsidRDefault="00ED6D61" w14:paraId="6B26BC72" w14:textId="569227E5">
          <w:pPr>
            <w:pStyle w:val="TOC2"/>
            <w:tabs>
              <w:tab w:val="right" w:leader="dot" w:pos="9350"/>
            </w:tabs>
            <w:ind w:left="1080" w:hanging="630"/>
            <w:rPr>
              <w:rFonts w:asciiTheme="minorHAnsi" w:hAnsiTheme="minorHAnsi" w:cstheme="minorBidi"/>
              <w:noProof/>
              <w:sz w:val="22"/>
              <w:szCs w:val="22"/>
            </w:rPr>
          </w:pPr>
          <w:hyperlink w:history="1" w:anchor="_Toc82159698">
            <w:r w:rsidRPr="0032220A" w:rsidR="008959A4">
              <w:rPr>
                <w:rStyle w:val="Hyperlink"/>
                <w:noProof/>
              </w:rPr>
              <w:t>4.4.</w:t>
            </w:r>
            <w:r w:rsidR="008959A4">
              <w:rPr>
                <w:rFonts w:asciiTheme="minorHAnsi" w:hAnsiTheme="minorHAnsi" w:cstheme="minorBidi"/>
                <w:noProof/>
                <w:sz w:val="22"/>
                <w:szCs w:val="22"/>
              </w:rPr>
              <w:tab/>
            </w:r>
            <w:r w:rsidRPr="0032220A" w:rsidR="008959A4">
              <w:rPr>
                <w:rStyle w:val="Hyperlink"/>
                <w:noProof/>
              </w:rPr>
              <w:t>CARE Budgets</w:t>
            </w:r>
            <w:r w:rsidR="008959A4">
              <w:rPr>
                <w:noProof/>
                <w:webHidden/>
              </w:rPr>
              <w:tab/>
            </w:r>
            <w:r w:rsidR="008959A4">
              <w:rPr>
                <w:noProof/>
                <w:webHidden/>
              </w:rPr>
              <w:fldChar w:fldCharType="begin"/>
            </w:r>
            <w:r w:rsidR="008959A4">
              <w:rPr>
                <w:noProof/>
                <w:webHidden/>
              </w:rPr>
              <w:instrText xml:space="preserve"> PAGEREF _Toc82159698 \h </w:instrText>
            </w:r>
            <w:r w:rsidR="008959A4">
              <w:rPr>
                <w:noProof/>
                <w:webHidden/>
              </w:rPr>
            </w:r>
            <w:r w:rsidR="008959A4">
              <w:rPr>
                <w:noProof/>
                <w:webHidden/>
              </w:rPr>
              <w:fldChar w:fldCharType="separate"/>
            </w:r>
            <w:r w:rsidR="00A643C3">
              <w:rPr>
                <w:noProof/>
                <w:webHidden/>
              </w:rPr>
              <w:t>40</w:t>
            </w:r>
            <w:r w:rsidR="008959A4">
              <w:rPr>
                <w:noProof/>
                <w:webHidden/>
              </w:rPr>
              <w:fldChar w:fldCharType="end"/>
            </w:r>
          </w:hyperlink>
        </w:p>
        <w:p w:rsidR="008959A4" w:rsidP="008959A4" w:rsidRDefault="00ED6D61" w14:paraId="48183EED" w14:textId="4DC0CA74">
          <w:pPr>
            <w:pStyle w:val="TOC3"/>
            <w:tabs>
              <w:tab w:val="right" w:leader="dot" w:pos="9350"/>
            </w:tabs>
            <w:ind w:left="1980" w:hanging="900"/>
            <w:rPr>
              <w:rFonts w:asciiTheme="minorHAnsi" w:hAnsiTheme="minorHAnsi" w:cstheme="minorBidi"/>
              <w:noProof/>
              <w:sz w:val="22"/>
              <w:szCs w:val="22"/>
            </w:rPr>
          </w:pPr>
          <w:hyperlink w:history="1" w:anchor="_Toc82159699">
            <w:r w:rsidRPr="0032220A" w:rsidR="008959A4">
              <w:rPr>
                <w:rStyle w:val="Hyperlink"/>
                <w:noProof/>
              </w:rPr>
              <w:t>4.4.1.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_Toc82159699 \h </w:instrText>
            </w:r>
            <w:r w:rsidR="008959A4">
              <w:rPr>
                <w:noProof/>
                <w:webHidden/>
              </w:rPr>
            </w:r>
            <w:r w:rsidR="008959A4">
              <w:rPr>
                <w:noProof/>
                <w:webHidden/>
              </w:rPr>
              <w:fldChar w:fldCharType="separate"/>
            </w:r>
            <w:r w:rsidR="00A643C3">
              <w:rPr>
                <w:noProof/>
                <w:webHidden/>
              </w:rPr>
              <w:t>40</w:t>
            </w:r>
            <w:r w:rsidR="008959A4">
              <w:rPr>
                <w:noProof/>
                <w:webHidden/>
              </w:rPr>
              <w:fldChar w:fldCharType="end"/>
            </w:r>
          </w:hyperlink>
        </w:p>
        <w:p w:rsidR="008959A4" w:rsidP="008959A4" w:rsidRDefault="00ED6D61" w14:paraId="6532D7F2" w14:textId="1333B78A">
          <w:pPr>
            <w:pStyle w:val="TOC3"/>
            <w:tabs>
              <w:tab w:val="right" w:leader="dot" w:pos="9350"/>
            </w:tabs>
            <w:ind w:left="1980" w:hanging="900"/>
            <w:rPr>
              <w:rFonts w:asciiTheme="minorHAnsi" w:hAnsiTheme="minorHAnsi" w:cstheme="minorBidi"/>
              <w:noProof/>
              <w:sz w:val="22"/>
              <w:szCs w:val="22"/>
            </w:rPr>
          </w:pPr>
          <w:hyperlink w:history="1" w:anchor="_Toc82159700">
            <w:r w:rsidRPr="0032220A" w:rsidR="008959A4">
              <w:rPr>
                <w:rStyle w:val="Hyperlink"/>
                <w:noProof/>
              </w:rPr>
              <w:t>4.4.2.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_Toc82159700 \h </w:instrText>
            </w:r>
            <w:r w:rsidR="008959A4">
              <w:rPr>
                <w:noProof/>
                <w:webHidden/>
              </w:rPr>
            </w:r>
            <w:r w:rsidR="008959A4">
              <w:rPr>
                <w:noProof/>
                <w:webHidden/>
              </w:rPr>
              <w:fldChar w:fldCharType="separate"/>
            </w:r>
            <w:r w:rsidR="00A643C3">
              <w:rPr>
                <w:noProof/>
                <w:webHidden/>
              </w:rPr>
              <w:t>41</w:t>
            </w:r>
            <w:r w:rsidR="008959A4">
              <w:rPr>
                <w:noProof/>
                <w:webHidden/>
              </w:rPr>
              <w:fldChar w:fldCharType="end"/>
            </w:r>
          </w:hyperlink>
        </w:p>
        <w:p w:rsidR="008959A4" w:rsidP="008959A4" w:rsidRDefault="00ED6D61" w14:paraId="6A93548D" w14:textId="5883D92B">
          <w:pPr>
            <w:pStyle w:val="TOC3"/>
            <w:tabs>
              <w:tab w:val="right" w:leader="dot" w:pos="9350"/>
            </w:tabs>
            <w:ind w:left="1980" w:hanging="900"/>
            <w:rPr>
              <w:rFonts w:asciiTheme="minorHAnsi" w:hAnsiTheme="minorHAnsi" w:cstheme="minorBidi"/>
              <w:noProof/>
              <w:sz w:val="22"/>
              <w:szCs w:val="22"/>
            </w:rPr>
          </w:pPr>
          <w:hyperlink w:history="1" w:anchor="_Toc82159701">
            <w:r w:rsidRPr="0032220A" w:rsidR="008959A4">
              <w:rPr>
                <w:rStyle w:val="Hyperlink"/>
                <w:noProof/>
              </w:rPr>
              <w:t>4.4.3.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_Toc82159701 \h </w:instrText>
            </w:r>
            <w:r w:rsidR="008959A4">
              <w:rPr>
                <w:noProof/>
                <w:webHidden/>
              </w:rPr>
            </w:r>
            <w:r w:rsidR="008959A4">
              <w:rPr>
                <w:noProof/>
                <w:webHidden/>
              </w:rPr>
              <w:fldChar w:fldCharType="separate"/>
            </w:r>
            <w:r w:rsidR="00A643C3">
              <w:rPr>
                <w:noProof/>
                <w:webHidden/>
              </w:rPr>
              <w:t>42</w:t>
            </w:r>
            <w:r w:rsidR="008959A4">
              <w:rPr>
                <w:noProof/>
                <w:webHidden/>
              </w:rPr>
              <w:fldChar w:fldCharType="end"/>
            </w:r>
          </w:hyperlink>
        </w:p>
        <w:p w:rsidR="008959A4" w:rsidP="008959A4" w:rsidRDefault="00ED6D61" w14:paraId="311F85CE" w14:textId="06EF4376">
          <w:pPr>
            <w:pStyle w:val="TOC3"/>
            <w:tabs>
              <w:tab w:val="right" w:leader="dot" w:pos="9350"/>
            </w:tabs>
            <w:ind w:left="1980" w:hanging="900"/>
            <w:rPr>
              <w:rFonts w:asciiTheme="minorHAnsi" w:hAnsiTheme="minorHAnsi" w:cstheme="minorBidi"/>
              <w:noProof/>
              <w:sz w:val="22"/>
              <w:szCs w:val="22"/>
            </w:rPr>
          </w:pPr>
          <w:hyperlink w:history="1" w:anchor="_Toc82159702">
            <w:r w:rsidRPr="0032220A" w:rsidR="008959A4">
              <w:rPr>
                <w:rStyle w:val="Hyperlink"/>
                <w:noProof/>
              </w:rPr>
              <w:t>4.4.4.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_Toc82159702 \h </w:instrText>
            </w:r>
            <w:r w:rsidR="008959A4">
              <w:rPr>
                <w:noProof/>
                <w:webHidden/>
              </w:rPr>
            </w:r>
            <w:r w:rsidR="008959A4">
              <w:rPr>
                <w:noProof/>
                <w:webHidden/>
              </w:rPr>
              <w:fldChar w:fldCharType="separate"/>
            </w:r>
            <w:r w:rsidR="00A643C3">
              <w:rPr>
                <w:noProof/>
                <w:webHidden/>
              </w:rPr>
              <w:t>43</w:t>
            </w:r>
            <w:r w:rsidR="008959A4">
              <w:rPr>
                <w:noProof/>
                <w:webHidden/>
              </w:rPr>
              <w:fldChar w:fldCharType="end"/>
            </w:r>
          </w:hyperlink>
        </w:p>
        <w:p w:rsidR="008959A4" w:rsidP="008959A4" w:rsidRDefault="00ED6D61" w14:paraId="215D0ED9" w14:textId="2DA6419E">
          <w:pPr>
            <w:pStyle w:val="TOC3"/>
            <w:tabs>
              <w:tab w:val="right" w:leader="dot" w:pos="9350"/>
            </w:tabs>
            <w:ind w:left="1980" w:hanging="900"/>
            <w:rPr>
              <w:rFonts w:asciiTheme="minorHAnsi" w:hAnsiTheme="minorHAnsi" w:cstheme="minorBidi"/>
              <w:noProof/>
              <w:sz w:val="22"/>
              <w:szCs w:val="22"/>
            </w:rPr>
          </w:pPr>
          <w:hyperlink w:history="1" w:anchor="_Toc82159703">
            <w:r w:rsidRPr="0032220A" w:rsidR="008959A4">
              <w:rPr>
                <w:rStyle w:val="Hyperlink"/>
                <w:noProof/>
              </w:rPr>
              <w:t>4.4.5.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_Toc82159703 \h </w:instrText>
            </w:r>
            <w:r w:rsidR="008959A4">
              <w:rPr>
                <w:noProof/>
                <w:webHidden/>
              </w:rPr>
            </w:r>
            <w:r w:rsidR="008959A4">
              <w:rPr>
                <w:noProof/>
                <w:webHidden/>
              </w:rPr>
              <w:fldChar w:fldCharType="separate"/>
            </w:r>
            <w:r w:rsidR="00A643C3">
              <w:rPr>
                <w:noProof/>
                <w:webHidden/>
              </w:rPr>
              <w:t>44</w:t>
            </w:r>
            <w:r w:rsidR="008959A4">
              <w:rPr>
                <w:noProof/>
                <w:webHidden/>
              </w:rPr>
              <w:fldChar w:fldCharType="end"/>
            </w:r>
          </w:hyperlink>
        </w:p>
        <w:p w:rsidR="008959A4" w:rsidP="008959A4" w:rsidRDefault="00ED6D61" w14:paraId="0A0F5A9A" w14:textId="6A076DE9">
          <w:pPr>
            <w:pStyle w:val="TOC3"/>
            <w:tabs>
              <w:tab w:val="right" w:leader="dot" w:pos="9350"/>
            </w:tabs>
            <w:ind w:left="1980" w:hanging="900"/>
            <w:rPr>
              <w:rFonts w:asciiTheme="minorHAnsi" w:hAnsiTheme="minorHAnsi" w:cstheme="minorBidi"/>
              <w:noProof/>
              <w:sz w:val="22"/>
              <w:szCs w:val="22"/>
            </w:rPr>
          </w:pPr>
          <w:hyperlink w:history="1" w:anchor="_Toc82159704">
            <w:r w:rsidRPr="0032220A" w:rsidR="008959A4">
              <w:rPr>
                <w:rStyle w:val="Hyperlink"/>
                <w:noProof/>
              </w:rPr>
              <w:t>4.4.6.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_Toc82159704 \h </w:instrText>
            </w:r>
            <w:r w:rsidR="008959A4">
              <w:rPr>
                <w:noProof/>
                <w:webHidden/>
              </w:rPr>
            </w:r>
            <w:r w:rsidR="008959A4">
              <w:rPr>
                <w:noProof/>
                <w:webHidden/>
              </w:rPr>
              <w:fldChar w:fldCharType="separate"/>
            </w:r>
            <w:r w:rsidR="00A643C3">
              <w:rPr>
                <w:noProof/>
                <w:webHidden/>
              </w:rPr>
              <w:t>45</w:t>
            </w:r>
            <w:r w:rsidR="008959A4">
              <w:rPr>
                <w:noProof/>
                <w:webHidden/>
              </w:rPr>
              <w:fldChar w:fldCharType="end"/>
            </w:r>
          </w:hyperlink>
        </w:p>
        <w:p w:rsidR="008959A4" w:rsidP="008959A4" w:rsidRDefault="00ED6D61" w14:paraId="0A13692A" w14:textId="51D5E0E0">
          <w:pPr>
            <w:pStyle w:val="TOC3"/>
            <w:tabs>
              <w:tab w:val="right" w:leader="dot" w:pos="9350"/>
            </w:tabs>
            <w:ind w:left="1980" w:hanging="900"/>
            <w:rPr>
              <w:rFonts w:asciiTheme="minorHAnsi" w:hAnsiTheme="minorHAnsi" w:cstheme="minorBidi"/>
              <w:noProof/>
              <w:sz w:val="22"/>
              <w:szCs w:val="22"/>
            </w:rPr>
          </w:pPr>
          <w:hyperlink w:history="1" w:anchor="_Toc82159705">
            <w:r w:rsidRPr="0032220A" w:rsidR="008959A4">
              <w:rPr>
                <w:rStyle w:val="Hyperlink"/>
                <w:noProof/>
              </w:rPr>
              <w:t>4.4.7.</w:t>
            </w:r>
            <w:r w:rsidR="008959A4">
              <w:rPr>
                <w:rFonts w:asciiTheme="minorHAnsi" w:hAnsiTheme="minorHAnsi" w:cstheme="minorBidi"/>
                <w:noProof/>
                <w:sz w:val="22"/>
                <w:szCs w:val="22"/>
              </w:rPr>
              <w:tab/>
            </w:r>
            <w:r w:rsidRPr="0032220A" w:rsidR="008959A4">
              <w:rPr>
                <w:rStyle w:val="Hyperlink"/>
                <w:noProof/>
              </w:rPr>
              <w:t>West Coast Gas Proposal</w:t>
            </w:r>
            <w:r w:rsidR="008959A4">
              <w:rPr>
                <w:noProof/>
                <w:webHidden/>
              </w:rPr>
              <w:tab/>
            </w:r>
            <w:r w:rsidR="008959A4">
              <w:rPr>
                <w:noProof/>
                <w:webHidden/>
              </w:rPr>
              <w:fldChar w:fldCharType="begin"/>
            </w:r>
            <w:r w:rsidR="008959A4">
              <w:rPr>
                <w:noProof/>
                <w:webHidden/>
              </w:rPr>
              <w:instrText xml:space="preserve"> PAGEREF _Toc82159705 \h </w:instrText>
            </w:r>
            <w:r w:rsidR="008959A4">
              <w:rPr>
                <w:noProof/>
                <w:webHidden/>
              </w:rPr>
            </w:r>
            <w:r w:rsidR="008959A4">
              <w:rPr>
                <w:noProof/>
                <w:webHidden/>
              </w:rPr>
              <w:fldChar w:fldCharType="separate"/>
            </w:r>
            <w:r w:rsidR="00A643C3">
              <w:rPr>
                <w:noProof/>
                <w:webHidden/>
              </w:rPr>
              <w:t>46</w:t>
            </w:r>
            <w:r w:rsidR="008959A4">
              <w:rPr>
                <w:noProof/>
                <w:webHidden/>
              </w:rPr>
              <w:fldChar w:fldCharType="end"/>
            </w:r>
          </w:hyperlink>
        </w:p>
        <w:p w:rsidR="008959A4" w:rsidP="008959A4" w:rsidRDefault="00ED6D61" w14:paraId="25B631F9" w14:textId="12D06123">
          <w:pPr>
            <w:pStyle w:val="TOC3"/>
            <w:tabs>
              <w:tab w:val="right" w:leader="dot" w:pos="9350"/>
            </w:tabs>
            <w:ind w:left="1980" w:hanging="900"/>
            <w:rPr>
              <w:rFonts w:asciiTheme="minorHAnsi" w:hAnsiTheme="minorHAnsi" w:cstheme="minorBidi"/>
              <w:noProof/>
              <w:sz w:val="22"/>
              <w:szCs w:val="22"/>
            </w:rPr>
          </w:pPr>
          <w:hyperlink w:history="1" w:anchor="_Toc82159706">
            <w:r w:rsidRPr="0032220A" w:rsidR="008959A4">
              <w:rPr>
                <w:rStyle w:val="Hyperlink"/>
                <w:noProof/>
              </w:rPr>
              <w:t>4.4.8.</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_Toc82159706 \h </w:instrText>
            </w:r>
            <w:r w:rsidR="008959A4">
              <w:rPr>
                <w:noProof/>
                <w:webHidden/>
              </w:rPr>
            </w:r>
            <w:r w:rsidR="008959A4">
              <w:rPr>
                <w:noProof/>
                <w:webHidden/>
              </w:rPr>
              <w:fldChar w:fldCharType="separate"/>
            </w:r>
            <w:r w:rsidR="00A643C3">
              <w:rPr>
                <w:noProof/>
                <w:webHidden/>
              </w:rPr>
              <w:t>46</w:t>
            </w:r>
            <w:r w:rsidR="008959A4">
              <w:rPr>
                <w:noProof/>
                <w:webHidden/>
              </w:rPr>
              <w:fldChar w:fldCharType="end"/>
            </w:r>
          </w:hyperlink>
        </w:p>
        <w:p w:rsidR="008959A4" w:rsidP="008959A4" w:rsidRDefault="00ED6D61" w14:paraId="59A7DC65" w14:textId="1F2EC9B1">
          <w:pPr>
            <w:pStyle w:val="TOC4"/>
            <w:tabs>
              <w:tab w:val="left" w:pos="3060"/>
            </w:tabs>
            <w:rPr>
              <w:rFonts w:asciiTheme="minorHAnsi" w:hAnsiTheme="minorHAnsi" w:eastAsiaTheme="minorEastAsia" w:cstheme="minorBidi"/>
              <w:noProof/>
              <w:sz w:val="22"/>
              <w:szCs w:val="22"/>
            </w:rPr>
          </w:pPr>
          <w:hyperlink w:history="1" w:anchor="_Toc82159707">
            <w:r w:rsidRPr="0032220A" w:rsidR="008959A4">
              <w:rPr>
                <w:rStyle w:val="Hyperlink"/>
                <w:iCs/>
                <w:noProof/>
              </w:rPr>
              <w:t>4.4.8.1.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_Toc82159707 \h </w:instrText>
            </w:r>
            <w:r w:rsidR="008959A4">
              <w:rPr>
                <w:noProof/>
                <w:webHidden/>
              </w:rPr>
            </w:r>
            <w:r w:rsidR="008959A4">
              <w:rPr>
                <w:noProof/>
                <w:webHidden/>
              </w:rPr>
              <w:fldChar w:fldCharType="separate"/>
            </w:r>
            <w:r w:rsidR="00A643C3">
              <w:rPr>
                <w:noProof/>
                <w:webHidden/>
              </w:rPr>
              <w:t>46</w:t>
            </w:r>
            <w:r w:rsidR="008959A4">
              <w:rPr>
                <w:noProof/>
                <w:webHidden/>
              </w:rPr>
              <w:fldChar w:fldCharType="end"/>
            </w:r>
          </w:hyperlink>
        </w:p>
        <w:p w:rsidR="008959A4" w:rsidP="008959A4" w:rsidRDefault="00ED6D61" w14:paraId="17BEFEB6" w14:textId="4C2178CB">
          <w:pPr>
            <w:pStyle w:val="TOC4"/>
            <w:tabs>
              <w:tab w:val="left" w:pos="3060"/>
            </w:tabs>
            <w:rPr>
              <w:rFonts w:asciiTheme="minorHAnsi" w:hAnsiTheme="minorHAnsi" w:eastAsiaTheme="minorEastAsia" w:cstheme="minorBidi"/>
              <w:noProof/>
              <w:sz w:val="22"/>
              <w:szCs w:val="22"/>
            </w:rPr>
          </w:pPr>
          <w:hyperlink w:history="1" w:anchor="_Toc82159708">
            <w:r w:rsidRPr="0032220A" w:rsidR="008959A4">
              <w:rPr>
                <w:rStyle w:val="Hyperlink"/>
                <w:noProof/>
              </w:rPr>
              <w:t>4.4.8.2.</w:t>
            </w:r>
            <w:r w:rsidR="008959A4">
              <w:rPr>
                <w:rFonts w:asciiTheme="minorHAnsi" w:hAnsiTheme="minorHAnsi" w:eastAsiaTheme="minorEastAsia" w:cstheme="minorBidi"/>
                <w:noProof/>
                <w:sz w:val="22"/>
                <w:szCs w:val="22"/>
              </w:rPr>
              <w:tab/>
            </w:r>
            <w:r w:rsidRPr="0032220A" w:rsidR="008959A4">
              <w:rPr>
                <w:rStyle w:val="Hyperlink"/>
                <w:noProof/>
              </w:rPr>
              <w:t>EEC and Free Energy</w:t>
            </w:r>
            <w:r w:rsidR="008959A4">
              <w:rPr>
                <w:noProof/>
                <w:webHidden/>
              </w:rPr>
              <w:tab/>
            </w:r>
            <w:r w:rsidR="008959A4">
              <w:rPr>
                <w:noProof/>
                <w:webHidden/>
              </w:rPr>
              <w:fldChar w:fldCharType="begin"/>
            </w:r>
            <w:r w:rsidR="008959A4">
              <w:rPr>
                <w:noProof/>
                <w:webHidden/>
              </w:rPr>
              <w:instrText xml:space="preserve"> PAGEREF _Toc82159708 \h </w:instrText>
            </w:r>
            <w:r w:rsidR="008959A4">
              <w:rPr>
                <w:noProof/>
                <w:webHidden/>
              </w:rPr>
            </w:r>
            <w:r w:rsidR="008959A4">
              <w:rPr>
                <w:noProof/>
                <w:webHidden/>
              </w:rPr>
              <w:fldChar w:fldCharType="separate"/>
            </w:r>
            <w:r w:rsidR="00A643C3">
              <w:rPr>
                <w:noProof/>
                <w:webHidden/>
              </w:rPr>
              <w:t>48</w:t>
            </w:r>
            <w:r w:rsidR="008959A4">
              <w:rPr>
                <w:noProof/>
                <w:webHidden/>
              </w:rPr>
              <w:fldChar w:fldCharType="end"/>
            </w:r>
          </w:hyperlink>
        </w:p>
        <w:p w:rsidR="008959A4" w:rsidP="008959A4" w:rsidRDefault="00ED6D61" w14:paraId="153E54CD" w14:textId="0A01B9F8">
          <w:pPr>
            <w:pStyle w:val="TOC3"/>
            <w:tabs>
              <w:tab w:val="right" w:leader="dot" w:pos="9350"/>
            </w:tabs>
            <w:ind w:left="1980" w:hanging="900"/>
            <w:rPr>
              <w:rFonts w:asciiTheme="minorHAnsi" w:hAnsiTheme="minorHAnsi" w:cstheme="minorBidi"/>
              <w:noProof/>
              <w:sz w:val="22"/>
              <w:szCs w:val="22"/>
            </w:rPr>
          </w:pPr>
          <w:hyperlink w:history="1" w:anchor="_Toc82159709">
            <w:r w:rsidRPr="0032220A" w:rsidR="008959A4">
              <w:rPr>
                <w:rStyle w:val="Hyperlink"/>
                <w:noProof/>
              </w:rPr>
              <w:t>4.4.9.</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_Toc82159709 \h </w:instrText>
            </w:r>
            <w:r w:rsidR="008959A4">
              <w:rPr>
                <w:noProof/>
                <w:webHidden/>
              </w:rPr>
            </w:r>
            <w:r w:rsidR="008959A4">
              <w:rPr>
                <w:noProof/>
                <w:webHidden/>
              </w:rPr>
              <w:fldChar w:fldCharType="separate"/>
            </w:r>
            <w:r w:rsidR="00A643C3">
              <w:rPr>
                <w:noProof/>
                <w:webHidden/>
              </w:rPr>
              <w:t>48</w:t>
            </w:r>
            <w:r w:rsidR="008959A4">
              <w:rPr>
                <w:noProof/>
                <w:webHidden/>
              </w:rPr>
              <w:fldChar w:fldCharType="end"/>
            </w:r>
          </w:hyperlink>
        </w:p>
        <w:p w:rsidR="008959A4" w:rsidP="008959A4" w:rsidRDefault="00ED6D61" w14:paraId="1347F74B" w14:textId="7C6BB5EB">
          <w:pPr>
            <w:pStyle w:val="TOC4"/>
            <w:tabs>
              <w:tab w:val="left" w:pos="3060"/>
            </w:tabs>
            <w:rPr>
              <w:rFonts w:asciiTheme="minorHAnsi" w:hAnsiTheme="minorHAnsi" w:eastAsiaTheme="minorEastAsia" w:cstheme="minorBidi"/>
              <w:noProof/>
              <w:sz w:val="22"/>
              <w:szCs w:val="22"/>
            </w:rPr>
          </w:pPr>
          <w:hyperlink w:history="1" w:anchor="_Toc82159710">
            <w:r w:rsidRPr="0032220A" w:rsidR="008959A4">
              <w:rPr>
                <w:rStyle w:val="Hyperlink"/>
                <w:iCs/>
                <w:noProof/>
              </w:rPr>
              <w:t>4.4.9.1.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 Response</w:t>
            </w:r>
            <w:r w:rsidR="008959A4">
              <w:rPr>
                <w:noProof/>
                <w:webHidden/>
              </w:rPr>
              <w:tab/>
            </w:r>
            <w:r w:rsidR="008959A4">
              <w:rPr>
                <w:noProof/>
                <w:webHidden/>
              </w:rPr>
              <w:fldChar w:fldCharType="begin"/>
            </w:r>
            <w:r w:rsidR="008959A4">
              <w:rPr>
                <w:noProof/>
                <w:webHidden/>
              </w:rPr>
              <w:instrText xml:space="preserve"> PAGEREF _Toc82159710 \h </w:instrText>
            </w:r>
            <w:r w:rsidR="008959A4">
              <w:rPr>
                <w:noProof/>
                <w:webHidden/>
              </w:rPr>
            </w:r>
            <w:r w:rsidR="008959A4">
              <w:rPr>
                <w:noProof/>
                <w:webHidden/>
              </w:rPr>
              <w:fldChar w:fldCharType="separate"/>
            </w:r>
            <w:r w:rsidR="00A643C3">
              <w:rPr>
                <w:noProof/>
                <w:webHidden/>
              </w:rPr>
              <w:t>48</w:t>
            </w:r>
            <w:r w:rsidR="008959A4">
              <w:rPr>
                <w:noProof/>
                <w:webHidden/>
              </w:rPr>
              <w:fldChar w:fldCharType="end"/>
            </w:r>
          </w:hyperlink>
        </w:p>
        <w:p w:rsidR="008959A4" w:rsidP="008959A4" w:rsidRDefault="00ED6D61" w14:paraId="4AE6C246" w14:textId="7F734603">
          <w:pPr>
            <w:pStyle w:val="TOC4"/>
            <w:tabs>
              <w:tab w:val="left" w:pos="3060"/>
            </w:tabs>
            <w:rPr>
              <w:rFonts w:asciiTheme="minorHAnsi" w:hAnsiTheme="minorHAnsi" w:eastAsiaTheme="minorEastAsia" w:cstheme="minorBidi"/>
              <w:noProof/>
              <w:sz w:val="22"/>
              <w:szCs w:val="22"/>
            </w:rPr>
          </w:pPr>
          <w:hyperlink w:history="1" w:anchor="_Toc82159711">
            <w:r w:rsidRPr="0032220A" w:rsidR="008959A4">
              <w:rPr>
                <w:rStyle w:val="Hyperlink"/>
                <w:iCs/>
                <w:noProof/>
              </w:rPr>
              <w:t>4.4.9.2.</w:t>
            </w:r>
            <w:r w:rsidR="008959A4">
              <w:rPr>
                <w:rFonts w:asciiTheme="minorHAnsi" w:hAnsiTheme="minorHAnsi" w:eastAsiaTheme="minorEastAsia" w:cstheme="minorBidi"/>
                <w:noProof/>
                <w:sz w:val="22"/>
                <w:szCs w:val="22"/>
              </w:rPr>
              <w:tab/>
            </w:r>
            <w:r w:rsidRPr="0032220A" w:rsidR="008959A4">
              <w:rPr>
                <w:rStyle w:val="Hyperlink"/>
                <w:noProof/>
              </w:rPr>
              <w:t>Liberty Response</w:t>
            </w:r>
            <w:r w:rsidR="008959A4">
              <w:rPr>
                <w:noProof/>
                <w:webHidden/>
              </w:rPr>
              <w:tab/>
            </w:r>
            <w:r w:rsidR="008959A4">
              <w:rPr>
                <w:noProof/>
                <w:webHidden/>
              </w:rPr>
              <w:fldChar w:fldCharType="begin"/>
            </w:r>
            <w:r w:rsidR="008959A4">
              <w:rPr>
                <w:noProof/>
                <w:webHidden/>
              </w:rPr>
              <w:instrText xml:space="preserve"> PAGEREF _Toc82159711 \h </w:instrText>
            </w:r>
            <w:r w:rsidR="008959A4">
              <w:rPr>
                <w:noProof/>
                <w:webHidden/>
              </w:rPr>
            </w:r>
            <w:r w:rsidR="008959A4">
              <w:rPr>
                <w:noProof/>
                <w:webHidden/>
              </w:rPr>
              <w:fldChar w:fldCharType="separate"/>
            </w:r>
            <w:r w:rsidR="00A643C3">
              <w:rPr>
                <w:noProof/>
                <w:webHidden/>
              </w:rPr>
              <w:t>49</w:t>
            </w:r>
            <w:r w:rsidR="008959A4">
              <w:rPr>
                <w:noProof/>
                <w:webHidden/>
              </w:rPr>
              <w:fldChar w:fldCharType="end"/>
            </w:r>
          </w:hyperlink>
        </w:p>
        <w:p w:rsidR="008959A4" w:rsidP="008959A4" w:rsidRDefault="00ED6D61" w14:paraId="11B7E2F4" w14:textId="3EFA3D8C">
          <w:pPr>
            <w:pStyle w:val="TOC4"/>
            <w:tabs>
              <w:tab w:val="left" w:pos="3060"/>
            </w:tabs>
            <w:rPr>
              <w:rFonts w:asciiTheme="minorHAnsi" w:hAnsiTheme="minorHAnsi" w:eastAsiaTheme="minorEastAsia" w:cstheme="minorBidi"/>
              <w:noProof/>
              <w:sz w:val="22"/>
              <w:szCs w:val="22"/>
            </w:rPr>
          </w:pPr>
          <w:hyperlink w:history="1" w:anchor="_Toc82159712">
            <w:r w:rsidRPr="0032220A" w:rsidR="008959A4">
              <w:rPr>
                <w:rStyle w:val="Hyperlink"/>
                <w:noProof/>
              </w:rPr>
              <w:t>4.4.9.3.</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_Toc82159712 \h </w:instrText>
            </w:r>
            <w:r w:rsidR="008959A4">
              <w:rPr>
                <w:noProof/>
                <w:webHidden/>
              </w:rPr>
            </w:r>
            <w:r w:rsidR="008959A4">
              <w:rPr>
                <w:noProof/>
                <w:webHidden/>
              </w:rPr>
              <w:fldChar w:fldCharType="separate"/>
            </w:r>
            <w:r w:rsidR="00A643C3">
              <w:rPr>
                <w:noProof/>
                <w:webHidden/>
              </w:rPr>
              <w:t>50</w:t>
            </w:r>
            <w:r w:rsidR="008959A4">
              <w:rPr>
                <w:noProof/>
                <w:webHidden/>
              </w:rPr>
              <w:fldChar w:fldCharType="end"/>
            </w:r>
          </w:hyperlink>
        </w:p>
        <w:p w:rsidR="008959A4" w:rsidP="008959A4" w:rsidRDefault="00ED6D61" w14:paraId="568A7737" w14:textId="51E83DE8">
          <w:pPr>
            <w:pStyle w:val="TOC4"/>
            <w:tabs>
              <w:tab w:val="left" w:pos="3060"/>
            </w:tabs>
            <w:rPr>
              <w:rFonts w:asciiTheme="minorHAnsi" w:hAnsiTheme="minorHAnsi" w:eastAsiaTheme="minorEastAsia" w:cstheme="minorBidi"/>
              <w:noProof/>
              <w:sz w:val="22"/>
              <w:szCs w:val="22"/>
            </w:rPr>
          </w:pPr>
          <w:hyperlink w:history="1" w:anchor="_Toc82159713">
            <w:r w:rsidRPr="0032220A" w:rsidR="008959A4">
              <w:rPr>
                <w:rStyle w:val="Hyperlink"/>
                <w:iCs/>
                <w:noProof/>
              </w:rPr>
              <w:t>4.4.9.4.</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_Toc82159713 \h </w:instrText>
            </w:r>
            <w:r w:rsidR="008959A4">
              <w:rPr>
                <w:noProof/>
                <w:webHidden/>
              </w:rPr>
            </w:r>
            <w:r w:rsidR="008959A4">
              <w:rPr>
                <w:noProof/>
                <w:webHidden/>
              </w:rPr>
              <w:fldChar w:fldCharType="separate"/>
            </w:r>
            <w:r w:rsidR="00A643C3">
              <w:rPr>
                <w:noProof/>
                <w:webHidden/>
              </w:rPr>
              <w:t>50</w:t>
            </w:r>
            <w:r w:rsidR="008959A4">
              <w:rPr>
                <w:noProof/>
                <w:webHidden/>
              </w:rPr>
              <w:fldChar w:fldCharType="end"/>
            </w:r>
          </w:hyperlink>
        </w:p>
        <w:p w:rsidR="008959A4" w:rsidP="008959A4" w:rsidRDefault="00ED6D61" w14:paraId="190C6B40" w14:textId="2810BCAE">
          <w:pPr>
            <w:pStyle w:val="TOC3"/>
            <w:tabs>
              <w:tab w:val="right" w:leader="dot" w:pos="9350"/>
            </w:tabs>
            <w:ind w:left="1980" w:hanging="900"/>
            <w:rPr>
              <w:rFonts w:asciiTheme="minorHAnsi" w:hAnsiTheme="minorHAnsi" w:cstheme="minorBidi"/>
              <w:noProof/>
              <w:sz w:val="22"/>
              <w:szCs w:val="22"/>
            </w:rPr>
          </w:pPr>
          <w:hyperlink w:history="1" w:anchor="_Toc82159714">
            <w:r w:rsidRPr="0032220A" w:rsidR="008959A4">
              <w:rPr>
                <w:rStyle w:val="Hyperlink"/>
                <w:noProof/>
              </w:rPr>
              <w:t>4.4.10.</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_Toc82159714 \h </w:instrText>
            </w:r>
            <w:r w:rsidR="008959A4">
              <w:rPr>
                <w:noProof/>
                <w:webHidden/>
              </w:rPr>
            </w:r>
            <w:r w:rsidR="008959A4">
              <w:rPr>
                <w:noProof/>
                <w:webHidden/>
              </w:rPr>
              <w:fldChar w:fldCharType="separate"/>
            </w:r>
            <w:r w:rsidR="00A643C3">
              <w:rPr>
                <w:noProof/>
                <w:webHidden/>
              </w:rPr>
              <w:t>51</w:t>
            </w:r>
            <w:r w:rsidR="008959A4">
              <w:rPr>
                <w:noProof/>
                <w:webHidden/>
              </w:rPr>
              <w:fldChar w:fldCharType="end"/>
            </w:r>
          </w:hyperlink>
        </w:p>
        <w:p w:rsidR="008959A4" w:rsidP="008959A4" w:rsidRDefault="00ED6D61" w14:paraId="0C7B29CE" w14:textId="0B22474A">
          <w:pPr>
            <w:pStyle w:val="TOC4"/>
            <w:tabs>
              <w:tab w:val="left" w:pos="4320"/>
            </w:tabs>
            <w:rPr>
              <w:rFonts w:asciiTheme="minorHAnsi" w:hAnsiTheme="minorHAnsi" w:eastAsiaTheme="minorEastAsia" w:cstheme="minorBidi"/>
              <w:noProof/>
              <w:sz w:val="22"/>
              <w:szCs w:val="22"/>
            </w:rPr>
          </w:pPr>
          <w:hyperlink w:history="1" w:anchor="_Toc82159715">
            <w:r w:rsidRPr="0032220A" w:rsidR="008959A4">
              <w:rPr>
                <w:rStyle w:val="Hyperlink"/>
                <w:noProof/>
              </w:rPr>
              <w:t>4.4.10.1.</w:t>
            </w:r>
            <w:r w:rsidR="008959A4">
              <w:rPr>
                <w:rFonts w:asciiTheme="minorHAnsi" w:hAnsiTheme="minorHAnsi" w:eastAsiaTheme="minorEastAsia" w:cstheme="minorBidi"/>
                <w:noProof/>
                <w:sz w:val="22"/>
                <w:szCs w:val="22"/>
              </w:rPr>
              <w:tab/>
            </w:r>
            <w:r w:rsidRPr="0032220A" w:rsidR="008959A4">
              <w:rPr>
                <w:rStyle w:val="Hyperlink"/>
                <w:noProof/>
              </w:rPr>
              <w:t xml:space="preserve">SMJU Proposed CARE Subsidy Budgets:  </w:t>
            </w:r>
            <w:r w:rsidR="008959A4">
              <w:rPr>
                <w:rStyle w:val="Hyperlink"/>
                <w:noProof/>
              </w:rPr>
              <w:br/>
            </w:r>
            <w:r w:rsidRPr="0032220A" w:rsidR="008959A4">
              <w:rPr>
                <w:rStyle w:val="Hyperlink"/>
                <w:noProof/>
              </w:rPr>
              <w:t>Approved</w:t>
            </w:r>
            <w:r w:rsidR="008959A4">
              <w:rPr>
                <w:noProof/>
                <w:webHidden/>
              </w:rPr>
              <w:tab/>
            </w:r>
            <w:r w:rsidR="008959A4">
              <w:rPr>
                <w:noProof/>
                <w:webHidden/>
              </w:rPr>
              <w:tab/>
            </w:r>
            <w:r w:rsidR="008959A4">
              <w:rPr>
                <w:noProof/>
                <w:webHidden/>
              </w:rPr>
              <w:fldChar w:fldCharType="begin"/>
            </w:r>
            <w:r w:rsidR="008959A4">
              <w:rPr>
                <w:noProof/>
                <w:webHidden/>
              </w:rPr>
              <w:instrText xml:space="preserve"> PAGEREF _Toc82159715 \h </w:instrText>
            </w:r>
            <w:r w:rsidR="008959A4">
              <w:rPr>
                <w:noProof/>
                <w:webHidden/>
              </w:rPr>
            </w:r>
            <w:r w:rsidR="008959A4">
              <w:rPr>
                <w:noProof/>
                <w:webHidden/>
              </w:rPr>
              <w:fldChar w:fldCharType="separate"/>
            </w:r>
            <w:r w:rsidR="00A643C3">
              <w:rPr>
                <w:noProof/>
                <w:webHidden/>
              </w:rPr>
              <w:t>51</w:t>
            </w:r>
            <w:r w:rsidR="008959A4">
              <w:rPr>
                <w:noProof/>
                <w:webHidden/>
              </w:rPr>
              <w:fldChar w:fldCharType="end"/>
            </w:r>
          </w:hyperlink>
        </w:p>
        <w:p w:rsidR="008959A4" w:rsidP="008959A4" w:rsidRDefault="00ED6D61" w14:paraId="6BFF761C" w14:textId="06827028">
          <w:pPr>
            <w:pStyle w:val="TOC4"/>
            <w:tabs>
              <w:tab w:val="left" w:pos="4320"/>
            </w:tabs>
            <w:rPr>
              <w:rFonts w:asciiTheme="minorHAnsi" w:hAnsiTheme="minorHAnsi" w:eastAsiaTheme="minorEastAsia" w:cstheme="minorBidi"/>
              <w:noProof/>
              <w:sz w:val="22"/>
              <w:szCs w:val="22"/>
            </w:rPr>
          </w:pPr>
          <w:hyperlink w:history="1" w:anchor="_Toc82159716">
            <w:r w:rsidRPr="0032220A" w:rsidR="008959A4">
              <w:rPr>
                <w:rStyle w:val="Hyperlink"/>
                <w:noProof/>
              </w:rPr>
              <w:t>4.4.10.2.</w:t>
            </w:r>
            <w:r w:rsidR="008959A4">
              <w:rPr>
                <w:rFonts w:asciiTheme="minorHAnsi" w:hAnsiTheme="minorHAnsi" w:eastAsiaTheme="minorEastAsia" w:cstheme="minorBidi"/>
                <w:noProof/>
                <w:sz w:val="22"/>
                <w:szCs w:val="22"/>
              </w:rPr>
              <w:tab/>
            </w:r>
            <w:r w:rsidRPr="0032220A" w:rsidR="008959A4">
              <w:rPr>
                <w:rStyle w:val="Hyperlink"/>
                <w:noProof/>
              </w:rPr>
              <w:t>SMJU Proposed CARE Program Management Budgets:  Approved</w:t>
            </w:r>
            <w:r w:rsidR="008959A4">
              <w:rPr>
                <w:noProof/>
                <w:webHidden/>
              </w:rPr>
              <w:tab/>
            </w:r>
            <w:r w:rsidR="008959A4">
              <w:rPr>
                <w:noProof/>
                <w:webHidden/>
              </w:rPr>
              <w:fldChar w:fldCharType="begin"/>
            </w:r>
            <w:r w:rsidR="008959A4">
              <w:rPr>
                <w:noProof/>
                <w:webHidden/>
              </w:rPr>
              <w:instrText xml:space="preserve"> PAGEREF _Toc82159716 \h </w:instrText>
            </w:r>
            <w:r w:rsidR="008959A4">
              <w:rPr>
                <w:noProof/>
                <w:webHidden/>
              </w:rPr>
            </w:r>
            <w:r w:rsidR="008959A4">
              <w:rPr>
                <w:noProof/>
                <w:webHidden/>
              </w:rPr>
              <w:fldChar w:fldCharType="separate"/>
            </w:r>
            <w:r w:rsidR="00A643C3">
              <w:rPr>
                <w:noProof/>
                <w:webHidden/>
              </w:rPr>
              <w:t>52</w:t>
            </w:r>
            <w:r w:rsidR="008959A4">
              <w:rPr>
                <w:noProof/>
                <w:webHidden/>
              </w:rPr>
              <w:fldChar w:fldCharType="end"/>
            </w:r>
          </w:hyperlink>
        </w:p>
        <w:p w:rsidR="008959A4" w:rsidP="008959A4" w:rsidRDefault="00ED6D61" w14:paraId="42630BCE" w14:textId="2DC71FA4">
          <w:pPr>
            <w:pStyle w:val="TOC5"/>
            <w:tabs>
              <w:tab w:val="left" w:pos="4385"/>
            </w:tabs>
            <w:rPr>
              <w:rFonts w:asciiTheme="minorHAnsi" w:hAnsiTheme="minorHAnsi" w:eastAsiaTheme="minorEastAsia" w:cstheme="minorBidi"/>
              <w:noProof/>
              <w:sz w:val="22"/>
              <w:szCs w:val="22"/>
            </w:rPr>
          </w:pPr>
          <w:hyperlink w:history="1" w:anchor="_Toc82159717">
            <w:r w:rsidRPr="0032220A" w:rsidR="008959A4">
              <w:rPr>
                <w:rStyle w:val="Hyperlink"/>
                <w:noProof/>
              </w:rPr>
              <w:t>4.4.10.2.1.</w:t>
            </w:r>
            <w:r w:rsidR="008959A4">
              <w:rPr>
                <w:rFonts w:asciiTheme="minorHAnsi" w:hAnsiTheme="minorHAnsi" w:eastAsiaTheme="minorEastAsia" w:cstheme="minorBidi"/>
                <w:noProof/>
                <w:sz w:val="22"/>
                <w:szCs w:val="22"/>
              </w:rPr>
              <w:tab/>
            </w:r>
            <w:r w:rsidRPr="0032220A" w:rsidR="008959A4">
              <w:rPr>
                <w:rStyle w:val="Hyperlink"/>
                <w:noProof/>
              </w:rPr>
              <w:t>Alpine’s Program Management Budget:  Approved</w:t>
            </w:r>
            <w:r w:rsidR="008959A4">
              <w:rPr>
                <w:noProof/>
                <w:webHidden/>
              </w:rPr>
              <w:tab/>
            </w:r>
            <w:r w:rsidR="008959A4">
              <w:rPr>
                <w:noProof/>
                <w:webHidden/>
              </w:rPr>
              <w:fldChar w:fldCharType="begin"/>
            </w:r>
            <w:r w:rsidR="008959A4">
              <w:rPr>
                <w:noProof/>
                <w:webHidden/>
              </w:rPr>
              <w:instrText xml:space="preserve"> PAGEREF _Toc82159717 \h </w:instrText>
            </w:r>
            <w:r w:rsidR="008959A4">
              <w:rPr>
                <w:noProof/>
                <w:webHidden/>
              </w:rPr>
            </w:r>
            <w:r w:rsidR="008959A4">
              <w:rPr>
                <w:noProof/>
                <w:webHidden/>
              </w:rPr>
              <w:fldChar w:fldCharType="separate"/>
            </w:r>
            <w:r w:rsidR="00A643C3">
              <w:rPr>
                <w:noProof/>
                <w:webHidden/>
              </w:rPr>
              <w:t>52</w:t>
            </w:r>
            <w:r w:rsidR="008959A4">
              <w:rPr>
                <w:noProof/>
                <w:webHidden/>
              </w:rPr>
              <w:fldChar w:fldCharType="end"/>
            </w:r>
          </w:hyperlink>
        </w:p>
        <w:p w:rsidR="008959A4" w:rsidP="008959A4" w:rsidRDefault="00ED6D61" w14:paraId="6CC8AC95" w14:textId="1A321CC4">
          <w:pPr>
            <w:pStyle w:val="TOC5"/>
            <w:tabs>
              <w:tab w:val="left" w:pos="4385"/>
            </w:tabs>
            <w:rPr>
              <w:rFonts w:asciiTheme="minorHAnsi" w:hAnsiTheme="minorHAnsi" w:eastAsiaTheme="minorEastAsia" w:cstheme="minorBidi"/>
              <w:noProof/>
              <w:sz w:val="22"/>
              <w:szCs w:val="22"/>
            </w:rPr>
          </w:pPr>
          <w:hyperlink w:history="1" w:anchor="_Toc82159718">
            <w:r w:rsidRPr="0032220A" w:rsidR="008959A4">
              <w:rPr>
                <w:rStyle w:val="Hyperlink"/>
                <w:noProof/>
              </w:rPr>
              <w:t>4.4.10.2.2.</w:t>
            </w:r>
            <w:r w:rsidR="008959A4">
              <w:rPr>
                <w:rFonts w:asciiTheme="minorHAnsi" w:hAnsiTheme="minorHAnsi" w:eastAsiaTheme="minorEastAsia" w:cstheme="minorBidi"/>
                <w:noProof/>
                <w:sz w:val="22"/>
                <w:szCs w:val="22"/>
              </w:rPr>
              <w:tab/>
            </w:r>
            <w:r w:rsidRPr="0032220A" w:rsidR="008959A4">
              <w:rPr>
                <w:rStyle w:val="Hyperlink"/>
                <w:noProof/>
              </w:rPr>
              <w:t>Bear Valley’s Program Management Budget:  Approved</w:t>
            </w:r>
            <w:r w:rsidR="008959A4">
              <w:rPr>
                <w:noProof/>
                <w:webHidden/>
              </w:rPr>
              <w:tab/>
            </w:r>
            <w:r w:rsidR="008959A4">
              <w:rPr>
                <w:noProof/>
                <w:webHidden/>
              </w:rPr>
              <w:fldChar w:fldCharType="begin"/>
            </w:r>
            <w:r w:rsidR="008959A4">
              <w:rPr>
                <w:noProof/>
                <w:webHidden/>
              </w:rPr>
              <w:instrText xml:space="preserve"> PAGEREF _Toc82159718 \h </w:instrText>
            </w:r>
            <w:r w:rsidR="008959A4">
              <w:rPr>
                <w:noProof/>
                <w:webHidden/>
              </w:rPr>
            </w:r>
            <w:r w:rsidR="008959A4">
              <w:rPr>
                <w:noProof/>
                <w:webHidden/>
              </w:rPr>
              <w:fldChar w:fldCharType="separate"/>
            </w:r>
            <w:r w:rsidR="00A643C3">
              <w:rPr>
                <w:noProof/>
                <w:webHidden/>
              </w:rPr>
              <w:t>52</w:t>
            </w:r>
            <w:r w:rsidR="008959A4">
              <w:rPr>
                <w:noProof/>
                <w:webHidden/>
              </w:rPr>
              <w:fldChar w:fldCharType="end"/>
            </w:r>
          </w:hyperlink>
        </w:p>
        <w:p w:rsidR="008959A4" w:rsidP="008959A4" w:rsidRDefault="00ED6D61" w14:paraId="6991CCA8" w14:textId="2A4B7CE9">
          <w:pPr>
            <w:pStyle w:val="TOC5"/>
            <w:tabs>
              <w:tab w:val="left" w:pos="4385"/>
            </w:tabs>
            <w:rPr>
              <w:rFonts w:asciiTheme="minorHAnsi" w:hAnsiTheme="minorHAnsi" w:eastAsiaTheme="minorEastAsia" w:cstheme="minorBidi"/>
              <w:noProof/>
              <w:sz w:val="22"/>
              <w:szCs w:val="22"/>
            </w:rPr>
          </w:pPr>
          <w:hyperlink w:history="1" w:anchor="_Toc82159719">
            <w:r w:rsidRPr="0032220A" w:rsidR="008959A4">
              <w:rPr>
                <w:rStyle w:val="Hyperlink"/>
                <w:noProof/>
              </w:rPr>
              <w:t>4.4.10.2.3.</w:t>
            </w:r>
            <w:r w:rsidR="008959A4">
              <w:rPr>
                <w:rFonts w:asciiTheme="minorHAnsi" w:hAnsiTheme="minorHAnsi" w:eastAsiaTheme="minorEastAsia" w:cstheme="minorBidi"/>
                <w:noProof/>
                <w:sz w:val="22"/>
                <w:szCs w:val="22"/>
              </w:rPr>
              <w:tab/>
            </w:r>
            <w:r w:rsidRPr="0032220A" w:rsidR="008959A4">
              <w:rPr>
                <w:rStyle w:val="Hyperlink"/>
                <w:noProof/>
              </w:rPr>
              <w:t xml:space="preserve">Liberty’s Management Budgets:  </w:t>
            </w:r>
            <w:r w:rsidR="00E4034F">
              <w:rPr>
                <w:rStyle w:val="Hyperlink"/>
                <w:noProof/>
              </w:rPr>
              <w:br/>
            </w:r>
            <w:r w:rsidRPr="0032220A" w:rsidR="008959A4">
              <w:rPr>
                <w:rStyle w:val="Hyperlink"/>
                <w:noProof/>
              </w:rPr>
              <w:t>Approved</w:t>
            </w:r>
            <w:r w:rsidR="008959A4">
              <w:rPr>
                <w:noProof/>
                <w:webHidden/>
              </w:rPr>
              <w:tab/>
            </w:r>
            <w:r w:rsidR="008959A4">
              <w:rPr>
                <w:noProof/>
                <w:webHidden/>
              </w:rPr>
              <w:fldChar w:fldCharType="begin"/>
            </w:r>
            <w:r w:rsidR="008959A4">
              <w:rPr>
                <w:noProof/>
                <w:webHidden/>
              </w:rPr>
              <w:instrText xml:space="preserve"> PAGEREF _Toc82159719 \h </w:instrText>
            </w:r>
            <w:r w:rsidR="008959A4">
              <w:rPr>
                <w:noProof/>
                <w:webHidden/>
              </w:rPr>
            </w:r>
            <w:r w:rsidR="008959A4">
              <w:rPr>
                <w:noProof/>
                <w:webHidden/>
              </w:rPr>
              <w:fldChar w:fldCharType="separate"/>
            </w:r>
            <w:r w:rsidR="00A643C3">
              <w:rPr>
                <w:noProof/>
                <w:webHidden/>
              </w:rPr>
              <w:t>53</w:t>
            </w:r>
            <w:r w:rsidR="008959A4">
              <w:rPr>
                <w:noProof/>
                <w:webHidden/>
              </w:rPr>
              <w:fldChar w:fldCharType="end"/>
            </w:r>
          </w:hyperlink>
        </w:p>
        <w:p w:rsidR="008959A4" w:rsidP="008959A4" w:rsidRDefault="00ED6D61" w14:paraId="1965450A" w14:textId="61F9A635">
          <w:pPr>
            <w:pStyle w:val="TOC5"/>
            <w:tabs>
              <w:tab w:val="left" w:pos="4385"/>
            </w:tabs>
            <w:rPr>
              <w:rFonts w:asciiTheme="minorHAnsi" w:hAnsiTheme="minorHAnsi" w:eastAsiaTheme="minorEastAsia" w:cstheme="minorBidi"/>
              <w:noProof/>
              <w:sz w:val="22"/>
              <w:szCs w:val="22"/>
            </w:rPr>
          </w:pPr>
          <w:hyperlink w:history="1" w:anchor="_Toc82159720">
            <w:r w:rsidRPr="0032220A" w:rsidR="008959A4">
              <w:rPr>
                <w:rStyle w:val="Hyperlink"/>
                <w:noProof/>
              </w:rPr>
              <w:t>4.4.10.2.4.</w:t>
            </w:r>
            <w:r w:rsidR="008959A4">
              <w:rPr>
                <w:rFonts w:asciiTheme="minorHAnsi" w:hAnsiTheme="minorHAnsi" w:eastAsiaTheme="minorEastAsia" w:cstheme="minorBidi"/>
                <w:noProof/>
                <w:sz w:val="22"/>
                <w:szCs w:val="22"/>
              </w:rPr>
              <w:tab/>
            </w:r>
            <w:r w:rsidRPr="0032220A" w:rsidR="008959A4">
              <w:rPr>
                <w:rStyle w:val="Hyperlink"/>
                <w:noProof/>
              </w:rPr>
              <w:t xml:space="preserve">PacifiCorp’s Program Management </w:t>
            </w:r>
            <w:r w:rsidR="008959A4">
              <w:rPr>
                <w:rStyle w:val="Hyperlink"/>
                <w:noProof/>
              </w:rPr>
              <w:br/>
            </w:r>
            <w:r w:rsidRPr="0032220A" w:rsidR="008959A4">
              <w:rPr>
                <w:rStyle w:val="Hyperlink"/>
                <w:noProof/>
              </w:rPr>
              <w:t>Budget:  Approved</w:t>
            </w:r>
            <w:r w:rsidR="008959A4">
              <w:rPr>
                <w:noProof/>
                <w:webHidden/>
              </w:rPr>
              <w:tab/>
            </w:r>
            <w:r w:rsidR="008959A4">
              <w:rPr>
                <w:noProof/>
                <w:webHidden/>
              </w:rPr>
              <w:fldChar w:fldCharType="begin"/>
            </w:r>
            <w:r w:rsidR="008959A4">
              <w:rPr>
                <w:noProof/>
                <w:webHidden/>
              </w:rPr>
              <w:instrText xml:space="preserve"> PAGEREF _Toc82159720 \h </w:instrText>
            </w:r>
            <w:r w:rsidR="008959A4">
              <w:rPr>
                <w:noProof/>
                <w:webHidden/>
              </w:rPr>
            </w:r>
            <w:r w:rsidR="008959A4">
              <w:rPr>
                <w:noProof/>
                <w:webHidden/>
              </w:rPr>
              <w:fldChar w:fldCharType="separate"/>
            </w:r>
            <w:r w:rsidR="00A643C3">
              <w:rPr>
                <w:noProof/>
                <w:webHidden/>
              </w:rPr>
              <w:t>53</w:t>
            </w:r>
            <w:r w:rsidR="008959A4">
              <w:rPr>
                <w:noProof/>
                <w:webHidden/>
              </w:rPr>
              <w:fldChar w:fldCharType="end"/>
            </w:r>
          </w:hyperlink>
        </w:p>
        <w:p w:rsidR="008959A4" w:rsidP="008959A4" w:rsidRDefault="00ED6D61" w14:paraId="5D165BB6" w14:textId="2EFC7F9C">
          <w:pPr>
            <w:pStyle w:val="TOC5"/>
            <w:tabs>
              <w:tab w:val="left" w:pos="4385"/>
            </w:tabs>
            <w:rPr>
              <w:rFonts w:asciiTheme="minorHAnsi" w:hAnsiTheme="minorHAnsi" w:eastAsiaTheme="minorEastAsia" w:cstheme="minorBidi"/>
              <w:noProof/>
              <w:sz w:val="22"/>
              <w:szCs w:val="22"/>
            </w:rPr>
          </w:pPr>
          <w:hyperlink w:history="1" w:anchor="_Toc82159721">
            <w:r w:rsidRPr="0032220A" w:rsidR="008959A4">
              <w:rPr>
                <w:rStyle w:val="Hyperlink"/>
                <w:noProof/>
              </w:rPr>
              <w:t>4.4.10.2.5.</w:t>
            </w:r>
            <w:r w:rsidR="008959A4">
              <w:rPr>
                <w:rFonts w:asciiTheme="minorHAnsi" w:hAnsiTheme="minorHAnsi" w:eastAsiaTheme="minorEastAsia" w:cstheme="minorBidi"/>
                <w:noProof/>
                <w:sz w:val="22"/>
                <w:szCs w:val="22"/>
              </w:rPr>
              <w:tab/>
            </w:r>
            <w:r w:rsidRPr="0032220A" w:rsidR="008959A4">
              <w:rPr>
                <w:rStyle w:val="Hyperlink"/>
                <w:noProof/>
              </w:rPr>
              <w:t>Southwest Gas’ Program Management Budget:</w:t>
            </w:r>
            <w:r w:rsidR="00617D2A">
              <w:rPr>
                <w:rStyle w:val="Hyperlink"/>
                <w:noProof/>
              </w:rPr>
              <w:t xml:space="preserve"> </w:t>
            </w:r>
            <w:r w:rsidRPr="0032220A" w:rsidR="008959A4">
              <w:rPr>
                <w:rStyle w:val="Hyperlink"/>
                <w:noProof/>
              </w:rPr>
              <w:t xml:space="preserve"> Approved</w:t>
            </w:r>
            <w:r w:rsidR="008959A4">
              <w:rPr>
                <w:noProof/>
                <w:webHidden/>
              </w:rPr>
              <w:tab/>
            </w:r>
            <w:r w:rsidR="008959A4">
              <w:rPr>
                <w:noProof/>
                <w:webHidden/>
              </w:rPr>
              <w:fldChar w:fldCharType="begin"/>
            </w:r>
            <w:r w:rsidR="008959A4">
              <w:rPr>
                <w:noProof/>
                <w:webHidden/>
              </w:rPr>
              <w:instrText xml:space="preserve"> PAGEREF _Toc82159721 \h </w:instrText>
            </w:r>
            <w:r w:rsidR="008959A4">
              <w:rPr>
                <w:noProof/>
                <w:webHidden/>
              </w:rPr>
            </w:r>
            <w:r w:rsidR="008959A4">
              <w:rPr>
                <w:noProof/>
                <w:webHidden/>
              </w:rPr>
              <w:fldChar w:fldCharType="separate"/>
            </w:r>
            <w:r w:rsidR="00A643C3">
              <w:rPr>
                <w:noProof/>
                <w:webHidden/>
              </w:rPr>
              <w:t>54</w:t>
            </w:r>
            <w:r w:rsidR="008959A4">
              <w:rPr>
                <w:noProof/>
                <w:webHidden/>
              </w:rPr>
              <w:fldChar w:fldCharType="end"/>
            </w:r>
          </w:hyperlink>
        </w:p>
        <w:p w:rsidR="008959A4" w:rsidP="008959A4" w:rsidRDefault="00ED6D61" w14:paraId="3DC92F1B" w14:textId="5385150B">
          <w:pPr>
            <w:pStyle w:val="TOC5"/>
            <w:tabs>
              <w:tab w:val="left" w:pos="4385"/>
            </w:tabs>
            <w:rPr>
              <w:rFonts w:asciiTheme="minorHAnsi" w:hAnsiTheme="minorHAnsi" w:eastAsiaTheme="minorEastAsia" w:cstheme="minorBidi"/>
              <w:noProof/>
              <w:sz w:val="22"/>
              <w:szCs w:val="22"/>
            </w:rPr>
          </w:pPr>
          <w:hyperlink w:history="1" w:anchor="_Toc82159722">
            <w:r w:rsidRPr="0032220A" w:rsidR="008959A4">
              <w:rPr>
                <w:rStyle w:val="Hyperlink"/>
                <w:noProof/>
              </w:rPr>
              <w:t>4.4.10.2.6.</w:t>
            </w:r>
            <w:r w:rsidR="008959A4">
              <w:rPr>
                <w:rFonts w:asciiTheme="minorHAnsi" w:hAnsiTheme="minorHAnsi" w:eastAsiaTheme="minorEastAsia" w:cstheme="minorBidi"/>
                <w:noProof/>
                <w:sz w:val="22"/>
                <w:szCs w:val="22"/>
              </w:rPr>
              <w:tab/>
            </w:r>
            <w:r w:rsidRPr="0032220A" w:rsidR="008959A4">
              <w:rPr>
                <w:rStyle w:val="Hyperlink"/>
                <w:noProof/>
              </w:rPr>
              <w:t>West Coast Gas’ Program Management Budget:  Approved</w:t>
            </w:r>
            <w:r w:rsidR="008959A4">
              <w:rPr>
                <w:noProof/>
                <w:webHidden/>
              </w:rPr>
              <w:tab/>
            </w:r>
            <w:r w:rsidR="008959A4">
              <w:rPr>
                <w:noProof/>
                <w:webHidden/>
              </w:rPr>
              <w:fldChar w:fldCharType="begin"/>
            </w:r>
            <w:r w:rsidR="008959A4">
              <w:rPr>
                <w:noProof/>
                <w:webHidden/>
              </w:rPr>
              <w:instrText xml:space="preserve"> PAGEREF _Toc82159722 \h </w:instrText>
            </w:r>
            <w:r w:rsidR="008959A4">
              <w:rPr>
                <w:noProof/>
                <w:webHidden/>
              </w:rPr>
            </w:r>
            <w:r w:rsidR="008959A4">
              <w:rPr>
                <w:noProof/>
                <w:webHidden/>
              </w:rPr>
              <w:fldChar w:fldCharType="separate"/>
            </w:r>
            <w:r w:rsidR="00A643C3">
              <w:rPr>
                <w:noProof/>
                <w:webHidden/>
              </w:rPr>
              <w:t>54</w:t>
            </w:r>
            <w:r w:rsidR="008959A4">
              <w:rPr>
                <w:noProof/>
                <w:webHidden/>
              </w:rPr>
              <w:fldChar w:fldCharType="end"/>
            </w:r>
          </w:hyperlink>
        </w:p>
        <w:p w:rsidR="008959A4" w:rsidP="008959A4" w:rsidRDefault="00ED6D61" w14:paraId="6A20FE6A" w14:textId="00BA5081">
          <w:pPr>
            <w:pStyle w:val="TOC4"/>
            <w:tabs>
              <w:tab w:val="left" w:pos="4320"/>
            </w:tabs>
            <w:rPr>
              <w:rFonts w:asciiTheme="minorHAnsi" w:hAnsiTheme="minorHAnsi" w:eastAsiaTheme="minorEastAsia" w:cstheme="minorBidi"/>
              <w:noProof/>
              <w:sz w:val="22"/>
              <w:szCs w:val="22"/>
            </w:rPr>
          </w:pPr>
          <w:hyperlink w:history="1" w:anchor="_Toc82159723">
            <w:r w:rsidRPr="0032220A" w:rsidR="008959A4">
              <w:rPr>
                <w:rStyle w:val="Hyperlink"/>
                <w:noProof/>
              </w:rPr>
              <w:t>4.4.10.3.</w:t>
            </w:r>
            <w:r w:rsidR="008959A4">
              <w:rPr>
                <w:rFonts w:asciiTheme="minorHAnsi" w:hAnsiTheme="minorHAnsi" w:eastAsiaTheme="minorEastAsia" w:cstheme="minorBidi"/>
                <w:noProof/>
                <w:sz w:val="22"/>
                <w:szCs w:val="22"/>
              </w:rPr>
              <w:tab/>
            </w:r>
            <w:r w:rsidRPr="0032220A" w:rsidR="008959A4">
              <w:rPr>
                <w:rStyle w:val="Hyperlink"/>
                <w:noProof/>
              </w:rPr>
              <w:t>Total Approved CARE Budgets:  Summary</w:t>
            </w:r>
            <w:r w:rsidR="008959A4">
              <w:rPr>
                <w:noProof/>
                <w:webHidden/>
              </w:rPr>
              <w:tab/>
            </w:r>
            <w:r w:rsidR="008959A4">
              <w:rPr>
                <w:noProof/>
                <w:webHidden/>
              </w:rPr>
              <w:fldChar w:fldCharType="begin"/>
            </w:r>
            <w:r w:rsidR="008959A4">
              <w:rPr>
                <w:noProof/>
                <w:webHidden/>
              </w:rPr>
              <w:instrText xml:space="preserve"> PAGEREF _Toc82159723 \h </w:instrText>
            </w:r>
            <w:r w:rsidR="008959A4">
              <w:rPr>
                <w:noProof/>
                <w:webHidden/>
              </w:rPr>
            </w:r>
            <w:r w:rsidR="008959A4">
              <w:rPr>
                <w:noProof/>
                <w:webHidden/>
              </w:rPr>
              <w:fldChar w:fldCharType="separate"/>
            </w:r>
            <w:r w:rsidR="00A643C3">
              <w:rPr>
                <w:noProof/>
                <w:webHidden/>
              </w:rPr>
              <w:t>55</w:t>
            </w:r>
            <w:r w:rsidR="008959A4">
              <w:rPr>
                <w:noProof/>
                <w:webHidden/>
              </w:rPr>
              <w:fldChar w:fldCharType="end"/>
            </w:r>
          </w:hyperlink>
        </w:p>
        <w:p w:rsidR="008959A4" w:rsidP="008959A4" w:rsidRDefault="00ED6D61" w14:paraId="0ECD2006" w14:textId="1A39369E">
          <w:pPr>
            <w:pStyle w:val="TOC4"/>
            <w:tabs>
              <w:tab w:val="left" w:pos="4320"/>
            </w:tabs>
            <w:rPr>
              <w:rFonts w:asciiTheme="minorHAnsi" w:hAnsiTheme="minorHAnsi" w:eastAsiaTheme="minorEastAsia" w:cstheme="minorBidi"/>
              <w:noProof/>
              <w:sz w:val="22"/>
              <w:szCs w:val="22"/>
            </w:rPr>
          </w:pPr>
          <w:hyperlink w:history="1" w:anchor="_Toc82159724">
            <w:r w:rsidRPr="0032220A" w:rsidR="008959A4">
              <w:rPr>
                <w:rStyle w:val="Hyperlink"/>
                <w:noProof/>
              </w:rPr>
              <w:t>4.4.10.4.</w:t>
            </w:r>
            <w:r w:rsidR="008959A4">
              <w:rPr>
                <w:rFonts w:asciiTheme="minorHAnsi" w:hAnsiTheme="minorHAnsi" w:eastAsiaTheme="minorEastAsia" w:cstheme="minorBidi"/>
                <w:noProof/>
                <w:sz w:val="22"/>
                <w:szCs w:val="22"/>
              </w:rPr>
              <w:tab/>
            </w:r>
            <w:r w:rsidRPr="0032220A" w:rsidR="008959A4">
              <w:rPr>
                <w:rStyle w:val="Hyperlink"/>
                <w:noProof/>
              </w:rPr>
              <w:t xml:space="preserve">Allowing for Budget Adjustments via </w:t>
            </w:r>
            <w:r w:rsidR="008959A4">
              <w:rPr>
                <w:rStyle w:val="Hyperlink"/>
                <w:noProof/>
              </w:rPr>
              <w:br/>
            </w:r>
            <w:r w:rsidRPr="0032220A" w:rsidR="008959A4">
              <w:rPr>
                <w:rStyle w:val="Hyperlink"/>
                <w:noProof/>
              </w:rPr>
              <w:t>Tier 2/3 Advice Letter:  Denied</w:t>
            </w:r>
            <w:r w:rsidR="008959A4">
              <w:rPr>
                <w:noProof/>
                <w:webHidden/>
              </w:rPr>
              <w:tab/>
            </w:r>
            <w:r w:rsidR="008959A4">
              <w:rPr>
                <w:noProof/>
                <w:webHidden/>
              </w:rPr>
              <w:fldChar w:fldCharType="begin"/>
            </w:r>
            <w:r w:rsidR="008959A4">
              <w:rPr>
                <w:noProof/>
                <w:webHidden/>
              </w:rPr>
              <w:instrText xml:space="preserve"> PAGEREF _Toc82159724 \h </w:instrText>
            </w:r>
            <w:r w:rsidR="008959A4">
              <w:rPr>
                <w:noProof/>
                <w:webHidden/>
              </w:rPr>
            </w:r>
            <w:r w:rsidR="008959A4">
              <w:rPr>
                <w:noProof/>
                <w:webHidden/>
              </w:rPr>
              <w:fldChar w:fldCharType="separate"/>
            </w:r>
            <w:r w:rsidR="00A643C3">
              <w:rPr>
                <w:noProof/>
                <w:webHidden/>
              </w:rPr>
              <w:t>56</w:t>
            </w:r>
            <w:r w:rsidR="008959A4">
              <w:rPr>
                <w:noProof/>
                <w:webHidden/>
              </w:rPr>
              <w:fldChar w:fldCharType="end"/>
            </w:r>
          </w:hyperlink>
        </w:p>
        <w:p w:rsidR="008959A4" w:rsidP="008959A4" w:rsidRDefault="00ED6D61" w14:paraId="6E522ECA" w14:textId="2C029DEF">
          <w:pPr>
            <w:pStyle w:val="TOC4"/>
            <w:tabs>
              <w:tab w:val="left" w:pos="4320"/>
            </w:tabs>
            <w:rPr>
              <w:rFonts w:asciiTheme="minorHAnsi" w:hAnsiTheme="minorHAnsi" w:eastAsiaTheme="minorEastAsia" w:cstheme="minorBidi"/>
              <w:noProof/>
              <w:sz w:val="22"/>
              <w:szCs w:val="22"/>
            </w:rPr>
          </w:pPr>
          <w:hyperlink w:history="1" w:anchor="_Toc82159725">
            <w:r w:rsidRPr="0032220A" w:rsidR="008959A4">
              <w:rPr>
                <w:rStyle w:val="Hyperlink"/>
                <w:noProof/>
              </w:rPr>
              <w:t>4.4.10.5.</w:t>
            </w:r>
            <w:r w:rsidR="008959A4">
              <w:rPr>
                <w:rFonts w:asciiTheme="minorHAnsi" w:hAnsiTheme="minorHAnsi" w:eastAsiaTheme="minorEastAsia" w:cstheme="minorBidi"/>
                <w:noProof/>
                <w:sz w:val="22"/>
                <w:szCs w:val="22"/>
              </w:rPr>
              <w:tab/>
            </w:r>
            <w:r w:rsidRPr="0032220A" w:rsidR="008959A4">
              <w:rPr>
                <w:rStyle w:val="Hyperlink"/>
                <w:noProof/>
              </w:rPr>
              <w:t xml:space="preserve">Requiring a Mid Cycle Evaluation of Liberty’s </w:t>
            </w:r>
            <w:r w:rsidR="00E4034F">
              <w:rPr>
                <w:rStyle w:val="Hyperlink"/>
                <w:noProof/>
              </w:rPr>
              <w:br/>
            </w:r>
            <w:r w:rsidRPr="0032220A" w:rsidR="008959A4">
              <w:rPr>
                <w:rStyle w:val="Hyperlink"/>
                <w:noProof/>
              </w:rPr>
              <w:t xml:space="preserve">CARE Program Management Budget:  </w:t>
            </w:r>
            <w:r w:rsidR="00E4034F">
              <w:rPr>
                <w:rStyle w:val="Hyperlink"/>
                <w:noProof/>
              </w:rPr>
              <w:br/>
            </w:r>
            <w:r w:rsidRPr="0032220A" w:rsidR="008959A4">
              <w:rPr>
                <w:rStyle w:val="Hyperlink"/>
                <w:noProof/>
              </w:rPr>
              <w:t>Approved with Modifications</w:t>
            </w:r>
            <w:r w:rsidR="008959A4">
              <w:rPr>
                <w:noProof/>
                <w:webHidden/>
              </w:rPr>
              <w:tab/>
            </w:r>
            <w:r w:rsidR="008959A4">
              <w:rPr>
                <w:noProof/>
                <w:webHidden/>
              </w:rPr>
              <w:fldChar w:fldCharType="begin"/>
            </w:r>
            <w:r w:rsidR="008959A4">
              <w:rPr>
                <w:noProof/>
                <w:webHidden/>
              </w:rPr>
              <w:instrText xml:space="preserve"> PAGEREF _Toc82159725 \h </w:instrText>
            </w:r>
            <w:r w:rsidR="008959A4">
              <w:rPr>
                <w:noProof/>
                <w:webHidden/>
              </w:rPr>
            </w:r>
            <w:r w:rsidR="008959A4">
              <w:rPr>
                <w:noProof/>
                <w:webHidden/>
              </w:rPr>
              <w:fldChar w:fldCharType="separate"/>
            </w:r>
            <w:r w:rsidR="00A643C3">
              <w:rPr>
                <w:noProof/>
                <w:webHidden/>
              </w:rPr>
              <w:t>57</w:t>
            </w:r>
            <w:r w:rsidR="008959A4">
              <w:rPr>
                <w:noProof/>
                <w:webHidden/>
              </w:rPr>
              <w:fldChar w:fldCharType="end"/>
            </w:r>
          </w:hyperlink>
        </w:p>
        <w:p w:rsidR="008959A4" w:rsidP="008959A4" w:rsidRDefault="00ED6D61" w14:paraId="61D9E674" w14:textId="64DDB92D">
          <w:pPr>
            <w:pStyle w:val="TOC1"/>
            <w:tabs>
              <w:tab w:val="right" w:leader="dot" w:pos="9350"/>
            </w:tabs>
            <w:rPr>
              <w:rFonts w:asciiTheme="minorHAnsi" w:hAnsiTheme="minorHAnsi" w:cstheme="minorBidi"/>
              <w:noProof/>
              <w:sz w:val="22"/>
              <w:szCs w:val="22"/>
            </w:rPr>
          </w:pPr>
          <w:hyperlink w:history="1" w:anchor="_Toc82159726">
            <w:r w:rsidRPr="0032220A" w:rsidR="008959A4">
              <w:rPr>
                <w:rStyle w:val="Hyperlink"/>
                <w:noProof/>
              </w:rPr>
              <w:t>5.</w:t>
            </w:r>
            <w:r w:rsidR="008959A4">
              <w:rPr>
                <w:rFonts w:asciiTheme="minorHAnsi" w:hAnsiTheme="minorHAnsi" w:cstheme="minorBidi"/>
                <w:noProof/>
                <w:sz w:val="22"/>
                <w:szCs w:val="22"/>
              </w:rPr>
              <w:tab/>
            </w:r>
            <w:r w:rsidRPr="0032220A" w:rsidR="008959A4">
              <w:rPr>
                <w:rStyle w:val="Hyperlink"/>
                <w:noProof/>
              </w:rPr>
              <w:t>ESA Program</w:t>
            </w:r>
            <w:r w:rsidR="008959A4">
              <w:rPr>
                <w:noProof/>
                <w:webHidden/>
              </w:rPr>
              <w:tab/>
            </w:r>
            <w:r w:rsidR="008959A4">
              <w:rPr>
                <w:noProof/>
                <w:webHidden/>
              </w:rPr>
              <w:fldChar w:fldCharType="begin"/>
            </w:r>
            <w:r w:rsidR="008959A4">
              <w:rPr>
                <w:noProof/>
                <w:webHidden/>
              </w:rPr>
              <w:instrText xml:space="preserve"> PAGEREF _Toc82159726 \h </w:instrText>
            </w:r>
            <w:r w:rsidR="008959A4">
              <w:rPr>
                <w:noProof/>
                <w:webHidden/>
              </w:rPr>
            </w:r>
            <w:r w:rsidR="008959A4">
              <w:rPr>
                <w:noProof/>
                <w:webHidden/>
              </w:rPr>
              <w:fldChar w:fldCharType="separate"/>
            </w:r>
            <w:r w:rsidR="00A643C3">
              <w:rPr>
                <w:noProof/>
                <w:webHidden/>
              </w:rPr>
              <w:t>57</w:t>
            </w:r>
            <w:r w:rsidR="008959A4">
              <w:rPr>
                <w:noProof/>
                <w:webHidden/>
              </w:rPr>
              <w:fldChar w:fldCharType="end"/>
            </w:r>
          </w:hyperlink>
        </w:p>
        <w:p w:rsidR="008959A4" w:rsidP="008959A4" w:rsidRDefault="00ED6D61" w14:paraId="7F6ADFB5" w14:textId="58AC429C">
          <w:pPr>
            <w:pStyle w:val="TOC2"/>
            <w:tabs>
              <w:tab w:val="right" w:leader="dot" w:pos="9350"/>
            </w:tabs>
            <w:ind w:left="1080" w:hanging="630"/>
            <w:rPr>
              <w:rFonts w:asciiTheme="minorHAnsi" w:hAnsiTheme="minorHAnsi" w:cstheme="minorBidi"/>
              <w:noProof/>
              <w:sz w:val="22"/>
              <w:szCs w:val="22"/>
            </w:rPr>
          </w:pPr>
          <w:hyperlink w:history="1" w:anchor="_Toc82159727">
            <w:r w:rsidRPr="0032220A" w:rsidR="008959A4">
              <w:rPr>
                <w:rStyle w:val="Hyperlink"/>
                <w:noProof/>
              </w:rPr>
              <w:t>5.1.</w:t>
            </w:r>
            <w:r w:rsidR="008959A4">
              <w:rPr>
                <w:rFonts w:asciiTheme="minorHAnsi" w:hAnsiTheme="minorHAnsi" w:cstheme="minorBidi"/>
                <w:noProof/>
                <w:sz w:val="22"/>
                <w:szCs w:val="22"/>
              </w:rPr>
              <w:tab/>
            </w:r>
            <w:r w:rsidRPr="0032220A" w:rsidR="008959A4">
              <w:rPr>
                <w:rStyle w:val="Hyperlink"/>
                <w:noProof/>
              </w:rPr>
              <w:t>2020 Statutory Goal and Completion of “First Touches”</w:t>
            </w:r>
            <w:r w:rsidR="008959A4">
              <w:rPr>
                <w:noProof/>
                <w:webHidden/>
              </w:rPr>
              <w:tab/>
            </w:r>
            <w:r w:rsidR="008959A4">
              <w:rPr>
                <w:noProof/>
                <w:webHidden/>
              </w:rPr>
              <w:fldChar w:fldCharType="begin"/>
            </w:r>
            <w:r w:rsidR="008959A4">
              <w:rPr>
                <w:noProof/>
                <w:webHidden/>
              </w:rPr>
              <w:instrText xml:space="preserve"> PAGEREF _Toc82159727 \h </w:instrText>
            </w:r>
            <w:r w:rsidR="008959A4">
              <w:rPr>
                <w:noProof/>
                <w:webHidden/>
              </w:rPr>
            </w:r>
            <w:r w:rsidR="008959A4">
              <w:rPr>
                <w:noProof/>
                <w:webHidden/>
              </w:rPr>
              <w:fldChar w:fldCharType="separate"/>
            </w:r>
            <w:r w:rsidR="00A643C3">
              <w:rPr>
                <w:noProof/>
                <w:webHidden/>
              </w:rPr>
              <w:t>57</w:t>
            </w:r>
            <w:r w:rsidR="008959A4">
              <w:rPr>
                <w:noProof/>
                <w:webHidden/>
              </w:rPr>
              <w:fldChar w:fldCharType="end"/>
            </w:r>
          </w:hyperlink>
        </w:p>
        <w:p w:rsidR="008959A4" w:rsidP="008959A4" w:rsidRDefault="00ED6D61" w14:paraId="42150E5A" w14:textId="32A338EB">
          <w:pPr>
            <w:pStyle w:val="TOC3"/>
            <w:tabs>
              <w:tab w:val="right" w:leader="dot" w:pos="9350"/>
            </w:tabs>
            <w:ind w:left="1980" w:hanging="900"/>
            <w:rPr>
              <w:rFonts w:asciiTheme="minorHAnsi" w:hAnsiTheme="minorHAnsi" w:cstheme="minorBidi"/>
              <w:noProof/>
              <w:sz w:val="22"/>
              <w:szCs w:val="22"/>
            </w:rPr>
          </w:pPr>
          <w:hyperlink w:history="1" w:anchor="_Toc82159728">
            <w:r w:rsidRPr="0032220A" w:rsidR="008959A4">
              <w:rPr>
                <w:rStyle w:val="Hyperlink"/>
                <w:noProof/>
              </w:rPr>
              <w:t>5.1.1.</w:t>
            </w:r>
            <w:r w:rsidR="008959A4">
              <w:rPr>
                <w:rFonts w:asciiTheme="minorHAnsi" w:hAnsiTheme="minorHAnsi" w:cstheme="minorBidi"/>
                <w:noProof/>
                <w:sz w:val="22"/>
                <w:szCs w:val="22"/>
              </w:rPr>
              <w:tab/>
            </w:r>
            <w:r w:rsidRPr="0032220A" w:rsidR="008959A4">
              <w:rPr>
                <w:rStyle w:val="Hyperlink"/>
                <w:noProof/>
              </w:rPr>
              <w:t>2020 Statutory Goal</w:t>
            </w:r>
            <w:r w:rsidR="008959A4">
              <w:rPr>
                <w:noProof/>
                <w:webHidden/>
              </w:rPr>
              <w:tab/>
            </w:r>
            <w:r w:rsidR="008959A4">
              <w:rPr>
                <w:noProof/>
                <w:webHidden/>
              </w:rPr>
              <w:fldChar w:fldCharType="begin"/>
            </w:r>
            <w:r w:rsidR="008959A4">
              <w:rPr>
                <w:noProof/>
                <w:webHidden/>
              </w:rPr>
              <w:instrText xml:space="preserve"> PAGEREF _Toc82159728 \h </w:instrText>
            </w:r>
            <w:r w:rsidR="008959A4">
              <w:rPr>
                <w:noProof/>
                <w:webHidden/>
              </w:rPr>
            </w:r>
            <w:r w:rsidR="008959A4">
              <w:rPr>
                <w:noProof/>
                <w:webHidden/>
              </w:rPr>
              <w:fldChar w:fldCharType="separate"/>
            </w:r>
            <w:r w:rsidR="00A643C3">
              <w:rPr>
                <w:noProof/>
                <w:webHidden/>
              </w:rPr>
              <w:t>57</w:t>
            </w:r>
            <w:r w:rsidR="008959A4">
              <w:rPr>
                <w:noProof/>
                <w:webHidden/>
              </w:rPr>
              <w:fldChar w:fldCharType="end"/>
            </w:r>
          </w:hyperlink>
        </w:p>
        <w:p w:rsidR="008959A4" w:rsidP="008959A4" w:rsidRDefault="00ED6D61" w14:paraId="3CD4663E" w14:textId="615D8C27">
          <w:pPr>
            <w:pStyle w:val="TOC3"/>
            <w:tabs>
              <w:tab w:val="right" w:leader="dot" w:pos="9350"/>
            </w:tabs>
            <w:ind w:left="1980" w:hanging="900"/>
            <w:rPr>
              <w:rFonts w:asciiTheme="minorHAnsi" w:hAnsiTheme="minorHAnsi" w:cstheme="minorBidi"/>
              <w:noProof/>
              <w:sz w:val="22"/>
              <w:szCs w:val="22"/>
            </w:rPr>
          </w:pPr>
          <w:hyperlink w:history="1" w:anchor="_Toc82159729">
            <w:r w:rsidRPr="0032220A" w:rsidR="008959A4">
              <w:rPr>
                <w:rStyle w:val="Hyperlink"/>
                <w:noProof/>
              </w:rPr>
              <w:t>5.1.2.</w:t>
            </w:r>
            <w:r w:rsidR="008959A4">
              <w:rPr>
                <w:rFonts w:asciiTheme="minorHAnsi" w:hAnsiTheme="minorHAnsi" w:cstheme="minorBidi"/>
                <w:noProof/>
                <w:sz w:val="22"/>
                <w:szCs w:val="22"/>
              </w:rPr>
              <w:tab/>
            </w:r>
            <w:r w:rsidRPr="0032220A" w:rsidR="008959A4">
              <w:rPr>
                <w:rStyle w:val="Hyperlink"/>
                <w:noProof/>
              </w:rPr>
              <w:t>Impacts from COVID-19 on the 2020 Statutory Goal</w:t>
            </w:r>
            <w:r w:rsidR="008959A4">
              <w:rPr>
                <w:noProof/>
                <w:webHidden/>
              </w:rPr>
              <w:tab/>
            </w:r>
            <w:r w:rsidR="008959A4">
              <w:rPr>
                <w:noProof/>
                <w:webHidden/>
              </w:rPr>
              <w:fldChar w:fldCharType="begin"/>
            </w:r>
            <w:r w:rsidR="008959A4">
              <w:rPr>
                <w:noProof/>
                <w:webHidden/>
              </w:rPr>
              <w:instrText xml:space="preserve"> PAGEREF _Toc82159729 \h </w:instrText>
            </w:r>
            <w:r w:rsidR="008959A4">
              <w:rPr>
                <w:noProof/>
                <w:webHidden/>
              </w:rPr>
            </w:r>
            <w:r w:rsidR="008959A4">
              <w:rPr>
                <w:noProof/>
                <w:webHidden/>
              </w:rPr>
              <w:fldChar w:fldCharType="separate"/>
            </w:r>
            <w:r w:rsidR="00A643C3">
              <w:rPr>
                <w:noProof/>
                <w:webHidden/>
              </w:rPr>
              <w:t>58</w:t>
            </w:r>
            <w:r w:rsidR="008959A4">
              <w:rPr>
                <w:noProof/>
                <w:webHidden/>
              </w:rPr>
              <w:fldChar w:fldCharType="end"/>
            </w:r>
          </w:hyperlink>
        </w:p>
        <w:p w:rsidR="008959A4" w:rsidP="008959A4" w:rsidRDefault="00ED6D61" w14:paraId="3B63204E" w14:textId="47C75EDB">
          <w:pPr>
            <w:pStyle w:val="TOC2"/>
            <w:tabs>
              <w:tab w:val="right" w:leader="dot" w:pos="9350"/>
            </w:tabs>
            <w:ind w:left="1080" w:hanging="630"/>
            <w:rPr>
              <w:rFonts w:asciiTheme="minorHAnsi" w:hAnsiTheme="minorHAnsi" w:cstheme="minorBidi"/>
              <w:noProof/>
              <w:sz w:val="22"/>
              <w:szCs w:val="22"/>
            </w:rPr>
          </w:pPr>
          <w:hyperlink w:history="1" w:anchor="_Toc82159730">
            <w:r w:rsidRPr="0032220A" w:rsidR="008959A4">
              <w:rPr>
                <w:rStyle w:val="Hyperlink"/>
                <w:noProof/>
              </w:rPr>
              <w:t>5.2.</w:t>
            </w:r>
            <w:r w:rsidR="008959A4">
              <w:rPr>
                <w:rFonts w:asciiTheme="minorHAnsi" w:hAnsiTheme="minorHAnsi" w:cstheme="minorBidi"/>
                <w:noProof/>
                <w:sz w:val="22"/>
                <w:szCs w:val="22"/>
              </w:rPr>
              <w:tab/>
            </w:r>
            <w:r w:rsidRPr="0032220A" w:rsidR="008959A4">
              <w:rPr>
                <w:rStyle w:val="Hyperlink"/>
                <w:noProof/>
              </w:rPr>
              <w:t>ESA Program Enrollment and Eligibility</w:t>
            </w:r>
            <w:r w:rsidR="008959A4">
              <w:rPr>
                <w:noProof/>
                <w:webHidden/>
              </w:rPr>
              <w:tab/>
            </w:r>
            <w:r w:rsidR="008959A4">
              <w:rPr>
                <w:noProof/>
                <w:webHidden/>
              </w:rPr>
              <w:fldChar w:fldCharType="begin"/>
            </w:r>
            <w:r w:rsidR="008959A4">
              <w:rPr>
                <w:noProof/>
                <w:webHidden/>
              </w:rPr>
              <w:instrText xml:space="preserve"> PAGEREF _Toc82159730 \h </w:instrText>
            </w:r>
            <w:r w:rsidR="008959A4">
              <w:rPr>
                <w:noProof/>
                <w:webHidden/>
              </w:rPr>
            </w:r>
            <w:r w:rsidR="008959A4">
              <w:rPr>
                <w:noProof/>
                <w:webHidden/>
              </w:rPr>
              <w:fldChar w:fldCharType="separate"/>
            </w:r>
            <w:r w:rsidR="00A643C3">
              <w:rPr>
                <w:noProof/>
                <w:webHidden/>
              </w:rPr>
              <w:t>60</w:t>
            </w:r>
            <w:r w:rsidR="008959A4">
              <w:rPr>
                <w:noProof/>
                <w:webHidden/>
              </w:rPr>
              <w:fldChar w:fldCharType="end"/>
            </w:r>
          </w:hyperlink>
        </w:p>
        <w:p w:rsidR="008959A4" w:rsidP="008959A4" w:rsidRDefault="00ED6D61" w14:paraId="64DB2A9F" w14:textId="61FA98F0">
          <w:pPr>
            <w:pStyle w:val="TOC3"/>
            <w:tabs>
              <w:tab w:val="right" w:leader="dot" w:pos="9350"/>
            </w:tabs>
            <w:ind w:left="1980" w:hanging="900"/>
            <w:rPr>
              <w:rFonts w:asciiTheme="minorHAnsi" w:hAnsiTheme="minorHAnsi" w:cstheme="minorBidi"/>
              <w:noProof/>
              <w:sz w:val="22"/>
              <w:szCs w:val="22"/>
            </w:rPr>
          </w:pPr>
          <w:hyperlink w:history="1" w:anchor="_Toc82159731">
            <w:r w:rsidRPr="0032220A" w:rsidR="008959A4">
              <w:rPr>
                <w:rStyle w:val="Hyperlink"/>
                <w:noProof/>
              </w:rPr>
              <w:t>5.2.1.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_Toc82159731 \h </w:instrText>
            </w:r>
            <w:r w:rsidR="008959A4">
              <w:rPr>
                <w:noProof/>
                <w:webHidden/>
              </w:rPr>
            </w:r>
            <w:r w:rsidR="008959A4">
              <w:rPr>
                <w:noProof/>
                <w:webHidden/>
              </w:rPr>
              <w:fldChar w:fldCharType="separate"/>
            </w:r>
            <w:r w:rsidR="00A643C3">
              <w:rPr>
                <w:noProof/>
                <w:webHidden/>
              </w:rPr>
              <w:t>60</w:t>
            </w:r>
            <w:r w:rsidR="008959A4">
              <w:rPr>
                <w:noProof/>
                <w:webHidden/>
              </w:rPr>
              <w:fldChar w:fldCharType="end"/>
            </w:r>
          </w:hyperlink>
        </w:p>
        <w:p w:rsidR="008959A4" w:rsidP="008959A4" w:rsidRDefault="00ED6D61" w14:paraId="46FF113E" w14:textId="0BF4EA41">
          <w:pPr>
            <w:pStyle w:val="TOC3"/>
            <w:tabs>
              <w:tab w:val="right" w:leader="dot" w:pos="9350"/>
            </w:tabs>
            <w:ind w:left="1980" w:hanging="900"/>
            <w:rPr>
              <w:rFonts w:asciiTheme="minorHAnsi" w:hAnsiTheme="minorHAnsi" w:cstheme="minorBidi"/>
              <w:noProof/>
              <w:sz w:val="22"/>
              <w:szCs w:val="22"/>
            </w:rPr>
          </w:pPr>
          <w:hyperlink w:history="1" w:anchor="_Toc82159732">
            <w:r w:rsidRPr="0032220A" w:rsidR="008959A4">
              <w:rPr>
                <w:rStyle w:val="Hyperlink"/>
                <w:noProof/>
              </w:rPr>
              <w:t>5.2.2.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_Toc82159732 \h </w:instrText>
            </w:r>
            <w:r w:rsidR="008959A4">
              <w:rPr>
                <w:noProof/>
                <w:webHidden/>
              </w:rPr>
            </w:r>
            <w:r w:rsidR="008959A4">
              <w:rPr>
                <w:noProof/>
                <w:webHidden/>
              </w:rPr>
              <w:fldChar w:fldCharType="separate"/>
            </w:r>
            <w:r w:rsidR="00A643C3">
              <w:rPr>
                <w:noProof/>
                <w:webHidden/>
              </w:rPr>
              <w:t>60</w:t>
            </w:r>
            <w:r w:rsidR="008959A4">
              <w:rPr>
                <w:noProof/>
                <w:webHidden/>
              </w:rPr>
              <w:fldChar w:fldCharType="end"/>
            </w:r>
          </w:hyperlink>
        </w:p>
        <w:p w:rsidR="008959A4" w:rsidP="008959A4" w:rsidRDefault="00ED6D61" w14:paraId="42455E8D" w14:textId="6B498B45">
          <w:pPr>
            <w:pStyle w:val="TOC3"/>
            <w:tabs>
              <w:tab w:val="right" w:leader="dot" w:pos="9350"/>
            </w:tabs>
            <w:ind w:left="1980" w:hanging="900"/>
            <w:rPr>
              <w:rFonts w:asciiTheme="minorHAnsi" w:hAnsiTheme="minorHAnsi" w:cstheme="minorBidi"/>
              <w:noProof/>
              <w:sz w:val="22"/>
              <w:szCs w:val="22"/>
            </w:rPr>
          </w:pPr>
          <w:hyperlink w:history="1" w:anchor="_Toc82159733">
            <w:r w:rsidRPr="0032220A" w:rsidR="008959A4">
              <w:rPr>
                <w:rStyle w:val="Hyperlink"/>
                <w:noProof/>
              </w:rPr>
              <w:t>5.2.3.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_Toc82159733 \h </w:instrText>
            </w:r>
            <w:r w:rsidR="008959A4">
              <w:rPr>
                <w:noProof/>
                <w:webHidden/>
              </w:rPr>
            </w:r>
            <w:r w:rsidR="008959A4">
              <w:rPr>
                <w:noProof/>
                <w:webHidden/>
              </w:rPr>
              <w:fldChar w:fldCharType="separate"/>
            </w:r>
            <w:r w:rsidR="00A643C3">
              <w:rPr>
                <w:noProof/>
                <w:webHidden/>
              </w:rPr>
              <w:t>60</w:t>
            </w:r>
            <w:r w:rsidR="008959A4">
              <w:rPr>
                <w:noProof/>
                <w:webHidden/>
              </w:rPr>
              <w:fldChar w:fldCharType="end"/>
            </w:r>
          </w:hyperlink>
        </w:p>
        <w:p w:rsidR="008959A4" w:rsidP="008959A4" w:rsidRDefault="00ED6D61" w14:paraId="7A4917B1" w14:textId="68EF6492">
          <w:pPr>
            <w:pStyle w:val="TOC3"/>
            <w:tabs>
              <w:tab w:val="right" w:leader="dot" w:pos="9350"/>
            </w:tabs>
            <w:ind w:left="1980" w:hanging="900"/>
            <w:rPr>
              <w:rFonts w:asciiTheme="minorHAnsi" w:hAnsiTheme="minorHAnsi" w:cstheme="minorBidi"/>
              <w:noProof/>
              <w:sz w:val="22"/>
              <w:szCs w:val="22"/>
            </w:rPr>
          </w:pPr>
          <w:hyperlink w:history="1" w:anchor="_Toc82159734">
            <w:r w:rsidRPr="0032220A" w:rsidR="008959A4">
              <w:rPr>
                <w:rStyle w:val="Hyperlink"/>
                <w:noProof/>
              </w:rPr>
              <w:t>5.2.4.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_Toc82159734 \h </w:instrText>
            </w:r>
            <w:r w:rsidR="008959A4">
              <w:rPr>
                <w:noProof/>
                <w:webHidden/>
              </w:rPr>
            </w:r>
            <w:r w:rsidR="008959A4">
              <w:rPr>
                <w:noProof/>
                <w:webHidden/>
              </w:rPr>
              <w:fldChar w:fldCharType="separate"/>
            </w:r>
            <w:r w:rsidR="00A643C3">
              <w:rPr>
                <w:noProof/>
                <w:webHidden/>
              </w:rPr>
              <w:t>61</w:t>
            </w:r>
            <w:r w:rsidR="008959A4">
              <w:rPr>
                <w:noProof/>
                <w:webHidden/>
              </w:rPr>
              <w:fldChar w:fldCharType="end"/>
            </w:r>
          </w:hyperlink>
        </w:p>
        <w:p w:rsidR="008959A4" w:rsidP="008959A4" w:rsidRDefault="00ED6D61" w14:paraId="611EE4A6" w14:textId="6DD4D04F">
          <w:pPr>
            <w:pStyle w:val="TOC3"/>
            <w:tabs>
              <w:tab w:val="right" w:leader="dot" w:pos="9350"/>
            </w:tabs>
            <w:ind w:left="1980" w:hanging="900"/>
            <w:rPr>
              <w:rFonts w:asciiTheme="minorHAnsi" w:hAnsiTheme="minorHAnsi" w:cstheme="minorBidi"/>
              <w:noProof/>
              <w:sz w:val="22"/>
              <w:szCs w:val="22"/>
            </w:rPr>
          </w:pPr>
          <w:hyperlink w:history="1" w:anchor="_Toc82159735">
            <w:r w:rsidRPr="0032220A" w:rsidR="008959A4">
              <w:rPr>
                <w:rStyle w:val="Hyperlink"/>
                <w:noProof/>
              </w:rPr>
              <w:t>5.2.5.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_Toc82159735 \h </w:instrText>
            </w:r>
            <w:r w:rsidR="008959A4">
              <w:rPr>
                <w:noProof/>
                <w:webHidden/>
              </w:rPr>
            </w:r>
            <w:r w:rsidR="008959A4">
              <w:rPr>
                <w:noProof/>
                <w:webHidden/>
              </w:rPr>
              <w:fldChar w:fldCharType="separate"/>
            </w:r>
            <w:r w:rsidR="00A643C3">
              <w:rPr>
                <w:noProof/>
                <w:webHidden/>
              </w:rPr>
              <w:t>61</w:t>
            </w:r>
            <w:r w:rsidR="008959A4">
              <w:rPr>
                <w:noProof/>
                <w:webHidden/>
              </w:rPr>
              <w:fldChar w:fldCharType="end"/>
            </w:r>
          </w:hyperlink>
        </w:p>
        <w:p w:rsidR="008959A4" w:rsidP="008959A4" w:rsidRDefault="00ED6D61" w14:paraId="79369E2D" w14:textId="5D59A4E4">
          <w:pPr>
            <w:pStyle w:val="TOC3"/>
            <w:tabs>
              <w:tab w:val="right" w:leader="dot" w:pos="9350"/>
            </w:tabs>
            <w:ind w:left="1980" w:hanging="900"/>
            <w:rPr>
              <w:rFonts w:asciiTheme="minorHAnsi" w:hAnsiTheme="minorHAnsi" w:cstheme="minorBidi"/>
              <w:noProof/>
              <w:sz w:val="22"/>
              <w:szCs w:val="22"/>
            </w:rPr>
          </w:pPr>
          <w:hyperlink w:history="1" w:anchor="_Toc82159736">
            <w:r w:rsidRPr="0032220A" w:rsidR="008959A4">
              <w:rPr>
                <w:rStyle w:val="Hyperlink"/>
                <w:noProof/>
              </w:rPr>
              <w:t>5.2.6.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_Toc82159736 \h </w:instrText>
            </w:r>
            <w:r w:rsidR="008959A4">
              <w:rPr>
                <w:noProof/>
                <w:webHidden/>
              </w:rPr>
            </w:r>
            <w:r w:rsidR="008959A4">
              <w:rPr>
                <w:noProof/>
                <w:webHidden/>
              </w:rPr>
              <w:fldChar w:fldCharType="separate"/>
            </w:r>
            <w:r w:rsidR="00A643C3">
              <w:rPr>
                <w:noProof/>
                <w:webHidden/>
              </w:rPr>
              <w:t>61</w:t>
            </w:r>
            <w:r w:rsidR="008959A4">
              <w:rPr>
                <w:noProof/>
                <w:webHidden/>
              </w:rPr>
              <w:fldChar w:fldCharType="end"/>
            </w:r>
          </w:hyperlink>
        </w:p>
        <w:p w:rsidR="008959A4" w:rsidP="008959A4" w:rsidRDefault="00ED6D61" w14:paraId="3F5F1770" w14:textId="0042C606">
          <w:pPr>
            <w:pStyle w:val="TOC3"/>
            <w:tabs>
              <w:tab w:val="right" w:leader="dot" w:pos="9350"/>
            </w:tabs>
            <w:ind w:left="1980" w:hanging="900"/>
            <w:rPr>
              <w:rFonts w:asciiTheme="minorHAnsi" w:hAnsiTheme="minorHAnsi" w:cstheme="minorBidi"/>
              <w:noProof/>
              <w:sz w:val="22"/>
              <w:szCs w:val="22"/>
            </w:rPr>
          </w:pPr>
          <w:hyperlink w:history="1" w:anchor="_Toc82159737">
            <w:r w:rsidRPr="0032220A" w:rsidR="008959A4">
              <w:rPr>
                <w:rStyle w:val="Hyperlink"/>
                <w:noProof/>
              </w:rPr>
              <w:t>5.2.7.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_Toc82159737 \h </w:instrText>
            </w:r>
            <w:r w:rsidR="008959A4">
              <w:rPr>
                <w:noProof/>
                <w:webHidden/>
              </w:rPr>
            </w:r>
            <w:r w:rsidR="008959A4">
              <w:rPr>
                <w:noProof/>
                <w:webHidden/>
              </w:rPr>
              <w:fldChar w:fldCharType="separate"/>
            </w:r>
            <w:r w:rsidR="00A643C3">
              <w:rPr>
                <w:noProof/>
                <w:webHidden/>
              </w:rPr>
              <w:t>61</w:t>
            </w:r>
            <w:r w:rsidR="008959A4">
              <w:rPr>
                <w:noProof/>
                <w:webHidden/>
              </w:rPr>
              <w:fldChar w:fldCharType="end"/>
            </w:r>
          </w:hyperlink>
        </w:p>
        <w:p w:rsidR="008959A4" w:rsidP="008959A4" w:rsidRDefault="00ED6D61" w14:paraId="3E12FD87" w14:textId="570C047C">
          <w:pPr>
            <w:pStyle w:val="TOC4"/>
            <w:tabs>
              <w:tab w:val="left" w:pos="3060"/>
            </w:tabs>
            <w:rPr>
              <w:rFonts w:asciiTheme="minorHAnsi" w:hAnsiTheme="minorHAnsi" w:eastAsiaTheme="minorEastAsia" w:cstheme="minorBidi"/>
              <w:noProof/>
              <w:sz w:val="22"/>
              <w:szCs w:val="22"/>
            </w:rPr>
          </w:pPr>
          <w:hyperlink w:history="1" w:anchor="_Toc82159738">
            <w:r w:rsidRPr="0032220A" w:rsidR="008959A4">
              <w:rPr>
                <w:rStyle w:val="Hyperlink"/>
                <w:noProof/>
              </w:rPr>
              <w:t>5.2.7.1.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_Toc82159738 \h </w:instrText>
            </w:r>
            <w:r w:rsidR="008959A4">
              <w:rPr>
                <w:noProof/>
                <w:webHidden/>
              </w:rPr>
            </w:r>
            <w:r w:rsidR="008959A4">
              <w:rPr>
                <w:noProof/>
                <w:webHidden/>
              </w:rPr>
              <w:fldChar w:fldCharType="separate"/>
            </w:r>
            <w:r w:rsidR="00A643C3">
              <w:rPr>
                <w:noProof/>
                <w:webHidden/>
              </w:rPr>
              <w:t>61</w:t>
            </w:r>
            <w:r w:rsidR="008959A4">
              <w:rPr>
                <w:noProof/>
                <w:webHidden/>
              </w:rPr>
              <w:fldChar w:fldCharType="end"/>
            </w:r>
          </w:hyperlink>
        </w:p>
        <w:p w:rsidR="008959A4" w:rsidP="008959A4" w:rsidRDefault="00ED6D61" w14:paraId="7994F5B6" w14:textId="5D2661B3">
          <w:pPr>
            <w:pStyle w:val="TOC4"/>
            <w:tabs>
              <w:tab w:val="left" w:pos="3060"/>
            </w:tabs>
            <w:rPr>
              <w:rFonts w:asciiTheme="minorHAnsi" w:hAnsiTheme="minorHAnsi" w:eastAsiaTheme="minorEastAsia" w:cstheme="minorBidi"/>
              <w:noProof/>
              <w:sz w:val="22"/>
              <w:szCs w:val="22"/>
            </w:rPr>
          </w:pPr>
          <w:hyperlink w:history="1" w:anchor="_Toc82159739">
            <w:r w:rsidRPr="0032220A" w:rsidR="008959A4">
              <w:rPr>
                <w:rStyle w:val="Hyperlink"/>
                <w:noProof/>
              </w:rPr>
              <w:t>5.2.7.2.</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_Toc82159739 \h </w:instrText>
            </w:r>
            <w:r w:rsidR="008959A4">
              <w:rPr>
                <w:noProof/>
                <w:webHidden/>
              </w:rPr>
            </w:r>
            <w:r w:rsidR="008959A4">
              <w:rPr>
                <w:noProof/>
                <w:webHidden/>
              </w:rPr>
              <w:fldChar w:fldCharType="separate"/>
            </w:r>
            <w:r w:rsidR="00A643C3">
              <w:rPr>
                <w:noProof/>
                <w:webHidden/>
              </w:rPr>
              <w:t>62</w:t>
            </w:r>
            <w:r w:rsidR="008959A4">
              <w:rPr>
                <w:noProof/>
                <w:webHidden/>
              </w:rPr>
              <w:fldChar w:fldCharType="end"/>
            </w:r>
          </w:hyperlink>
        </w:p>
        <w:p w:rsidR="008959A4" w:rsidP="008959A4" w:rsidRDefault="00ED6D61" w14:paraId="62A346DE" w14:textId="5ED57188">
          <w:pPr>
            <w:pStyle w:val="TOC3"/>
            <w:tabs>
              <w:tab w:val="right" w:leader="dot" w:pos="9350"/>
            </w:tabs>
            <w:ind w:left="1980" w:hanging="900"/>
            <w:rPr>
              <w:rFonts w:asciiTheme="minorHAnsi" w:hAnsiTheme="minorHAnsi" w:cstheme="minorBidi"/>
              <w:noProof/>
              <w:sz w:val="22"/>
              <w:szCs w:val="22"/>
            </w:rPr>
          </w:pPr>
          <w:hyperlink w:history="1" w:anchor="_Toc82159740">
            <w:r w:rsidRPr="0032220A" w:rsidR="008959A4">
              <w:rPr>
                <w:rStyle w:val="Hyperlink"/>
                <w:noProof/>
              </w:rPr>
              <w:t>5.2.8.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_Toc82159740 \h </w:instrText>
            </w:r>
            <w:r w:rsidR="008959A4">
              <w:rPr>
                <w:noProof/>
                <w:webHidden/>
              </w:rPr>
            </w:r>
            <w:r w:rsidR="008959A4">
              <w:rPr>
                <w:noProof/>
                <w:webHidden/>
              </w:rPr>
              <w:fldChar w:fldCharType="separate"/>
            </w:r>
            <w:r w:rsidR="00A643C3">
              <w:rPr>
                <w:noProof/>
                <w:webHidden/>
              </w:rPr>
              <w:t>63</w:t>
            </w:r>
            <w:r w:rsidR="008959A4">
              <w:rPr>
                <w:noProof/>
                <w:webHidden/>
              </w:rPr>
              <w:fldChar w:fldCharType="end"/>
            </w:r>
          </w:hyperlink>
        </w:p>
        <w:p w:rsidR="008959A4" w:rsidP="008959A4" w:rsidRDefault="00ED6D61" w14:paraId="2CE2A750" w14:textId="4625F904">
          <w:pPr>
            <w:pStyle w:val="TOC4"/>
            <w:tabs>
              <w:tab w:val="left" w:pos="3060"/>
            </w:tabs>
            <w:rPr>
              <w:rFonts w:asciiTheme="minorHAnsi" w:hAnsiTheme="minorHAnsi" w:eastAsiaTheme="minorEastAsia" w:cstheme="minorBidi"/>
              <w:noProof/>
              <w:sz w:val="22"/>
              <w:szCs w:val="22"/>
            </w:rPr>
          </w:pPr>
          <w:hyperlink w:history="1" w:anchor="_Toc82159741">
            <w:r w:rsidRPr="0032220A" w:rsidR="008959A4">
              <w:rPr>
                <w:rStyle w:val="Hyperlink"/>
                <w:noProof/>
              </w:rPr>
              <w:t>5.2.8.1.</w:t>
            </w:r>
            <w:r w:rsidR="008959A4">
              <w:rPr>
                <w:rFonts w:asciiTheme="minorHAnsi" w:hAnsiTheme="minorHAnsi" w:eastAsiaTheme="minorEastAsia" w:cstheme="minorBidi"/>
                <w:noProof/>
                <w:sz w:val="22"/>
                <w:szCs w:val="22"/>
              </w:rPr>
              <w:tab/>
            </w:r>
            <w:r w:rsidRPr="0032220A" w:rsidR="008959A4">
              <w:rPr>
                <w:rStyle w:val="Hyperlink"/>
                <w:noProof/>
              </w:rPr>
              <w:t>Southwest Gas, PacifiCorp, Liberty,</w:t>
            </w:r>
            <w:r w:rsidR="008959A4">
              <w:rPr>
                <w:rStyle w:val="Hyperlink"/>
                <w:noProof/>
              </w:rPr>
              <w:br/>
            </w:r>
            <w:r w:rsidRPr="0032220A" w:rsidR="008959A4">
              <w:rPr>
                <w:rStyle w:val="Hyperlink"/>
                <w:noProof/>
              </w:rPr>
              <w:t>Bear Valley (Joint SMJUs) Response</w:t>
            </w:r>
            <w:r w:rsidR="008959A4">
              <w:rPr>
                <w:noProof/>
                <w:webHidden/>
              </w:rPr>
              <w:tab/>
            </w:r>
            <w:r w:rsidR="008959A4">
              <w:rPr>
                <w:noProof/>
                <w:webHidden/>
              </w:rPr>
              <w:fldChar w:fldCharType="begin"/>
            </w:r>
            <w:r w:rsidR="008959A4">
              <w:rPr>
                <w:noProof/>
                <w:webHidden/>
              </w:rPr>
              <w:instrText xml:space="preserve"> PAGEREF _Toc82159741 \h </w:instrText>
            </w:r>
            <w:r w:rsidR="008959A4">
              <w:rPr>
                <w:noProof/>
                <w:webHidden/>
              </w:rPr>
            </w:r>
            <w:r w:rsidR="008959A4">
              <w:rPr>
                <w:noProof/>
                <w:webHidden/>
              </w:rPr>
              <w:fldChar w:fldCharType="separate"/>
            </w:r>
            <w:r w:rsidR="00A643C3">
              <w:rPr>
                <w:noProof/>
                <w:webHidden/>
              </w:rPr>
              <w:t>63</w:t>
            </w:r>
            <w:r w:rsidR="008959A4">
              <w:rPr>
                <w:noProof/>
                <w:webHidden/>
              </w:rPr>
              <w:fldChar w:fldCharType="end"/>
            </w:r>
          </w:hyperlink>
        </w:p>
        <w:p w:rsidR="008959A4" w:rsidP="008959A4" w:rsidRDefault="00ED6D61" w14:paraId="0E397AC9" w14:textId="16705813">
          <w:pPr>
            <w:pStyle w:val="TOC4"/>
            <w:tabs>
              <w:tab w:val="left" w:pos="3060"/>
            </w:tabs>
            <w:rPr>
              <w:rFonts w:asciiTheme="minorHAnsi" w:hAnsiTheme="minorHAnsi" w:eastAsiaTheme="minorEastAsia" w:cstheme="minorBidi"/>
              <w:noProof/>
              <w:sz w:val="22"/>
              <w:szCs w:val="22"/>
            </w:rPr>
          </w:pPr>
          <w:hyperlink w:history="1" w:anchor="_Toc82159742">
            <w:r w:rsidRPr="0032220A" w:rsidR="008959A4">
              <w:rPr>
                <w:rStyle w:val="Hyperlink"/>
                <w:noProof/>
              </w:rPr>
              <w:t>5.2.8.2.</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_Toc82159742 \h </w:instrText>
            </w:r>
            <w:r w:rsidR="008959A4">
              <w:rPr>
                <w:noProof/>
                <w:webHidden/>
              </w:rPr>
            </w:r>
            <w:r w:rsidR="008959A4">
              <w:rPr>
                <w:noProof/>
                <w:webHidden/>
              </w:rPr>
              <w:fldChar w:fldCharType="separate"/>
            </w:r>
            <w:r w:rsidR="00A643C3">
              <w:rPr>
                <w:noProof/>
                <w:webHidden/>
              </w:rPr>
              <w:t>64</w:t>
            </w:r>
            <w:r w:rsidR="008959A4">
              <w:rPr>
                <w:noProof/>
                <w:webHidden/>
              </w:rPr>
              <w:fldChar w:fldCharType="end"/>
            </w:r>
          </w:hyperlink>
        </w:p>
        <w:p w:rsidR="008959A4" w:rsidP="008959A4" w:rsidRDefault="00ED6D61" w14:paraId="4E2838E0" w14:textId="5DAEF3A2">
          <w:pPr>
            <w:pStyle w:val="TOC4"/>
            <w:tabs>
              <w:tab w:val="left" w:pos="3060"/>
            </w:tabs>
            <w:rPr>
              <w:rFonts w:asciiTheme="minorHAnsi" w:hAnsiTheme="minorHAnsi" w:eastAsiaTheme="minorEastAsia" w:cstheme="minorBidi"/>
              <w:noProof/>
              <w:sz w:val="22"/>
              <w:szCs w:val="22"/>
            </w:rPr>
          </w:pPr>
          <w:hyperlink w:history="1" w:anchor="_Toc82159743">
            <w:r w:rsidRPr="0032220A" w:rsidR="008959A4">
              <w:rPr>
                <w:rStyle w:val="Hyperlink"/>
                <w:noProof/>
              </w:rPr>
              <w:t>5.2.8.3.</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_Toc82159743 \h </w:instrText>
            </w:r>
            <w:r w:rsidR="008959A4">
              <w:rPr>
                <w:noProof/>
                <w:webHidden/>
              </w:rPr>
            </w:r>
            <w:r w:rsidR="008959A4">
              <w:rPr>
                <w:noProof/>
                <w:webHidden/>
              </w:rPr>
              <w:fldChar w:fldCharType="separate"/>
            </w:r>
            <w:r w:rsidR="00A643C3">
              <w:rPr>
                <w:noProof/>
                <w:webHidden/>
              </w:rPr>
              <w:t>64</w:t>
            </w:r>
            <w:r w:rsidR="008959A4">
              <w:rPr>
                <w:noProof/>
                <w:webHidden/>
              </w:rPr>
              <w:fldChar w:fldCharType="end"/>
            </w:r>
          </w:hyperlink>
        </w:p>
        <w:p w:rsidR="008959A4" w:rsidP="008959A4" w:rsidRDefault="00ED6D61" w14:paraId="781ACAA1" w14:textId="0175181E">
          <w:pPr>
            <w:pStyle w:val="TOC3"/>
            <w:tabs>
              <w:tab w:val="right" w:leader="dot" w:pos="9350"/>
            </w:tabs>
            <w:ind w:left="1980" w:hanging="900"/>
            <w:rPr>
              <w:rFonts w:asciiTheme="minorHAnsi" w:hAnsiTheme="minorHAnsi" w:cstheme="minorBidi"/>
              <w:noProof/>
              <w:sz w:val="22"/>
              <w:szCs w:val="22"/>
            </w:rPr>
          </w:pPr>
          <w:hyperlink w:history="1" w:anchor="_Toc82159744">
            <w:r w:rsidRPr="0032220A" w:rsidR="008959A4">
              <w:rPr>
                <w:rStyle w:val="Hyperlink"/>
                <w:noProof/>
              </w:rPr>
              <w:t>5.2.9.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_Toc82159744 \h </w:instrText>
            </w:r>
            <w:r w:rsidR="008959A4">
              <w:rPr>
                <w:noProof/>
                <w:webHidden/>
              </w:rPr>
            </w:r>
            <w:r w:rsidR="008959A4">
              <w:rPr>
                <w:noProof/>
                <w:webHidden/>
              </w:rPr>
              <w:fldChar w:fldCharType="separate"/>
            </w:r>
            <w:r w:rsidR="00A643C3">
              <w:rPr>
                <w:noProof/>
                <w:webHidden/>
              </w:rPr>
              <w:t>65</w:t>
            </w:r>
            <w:r w:rsidR="008959A4">
              <w:rPr>
                <w:noProof/>
                <w:webHidden/>
              </w:rPr>
              <w:fldChar w:fldCharType="end"/>
            </w:r>
          </w:hyperlink>
        </w:p>
        <w:p w:rsidR="008959A4" w:rsidP="008959A4" w:rsidRDefault="00ED6D61" w14:paraId="36DC79DA" w14:textId="165985F2">
          <w:pPr>
            <w:pStyle w:val="TOC4"/>
            <w:tabs>
              <w:tab w:val="left" w:pos="3060"/>
            </w:tabs>
            <w:rPr>
              <w:rFonts w:asciiTheme="minorHAnsi" w:hAnsiTheme="minorHAnsi" w:eastAsiaTheme="minorEastAsia" w:cstheme="minorBidi"/>
              <w:noProof/>
              <w:sz w:val="22"/>
              <w:szCs w:val="22"/>
            </w:rPr>
          </w:pPr>
          <w:hyperlink w:history="1" w:anchor="_Toc82159745">
            <w:r w:rsidRPr="0032220A" w:rsidR="008959A4">
              <w:rPr>
                <w:rStyle w:val="Hyperlink"/>
                <w:noProof/>
              </w:rPr>
              <w:t>5.2.9.1.</w:t>
            </w:r>
            <w:r w:rsidR="008959A4">
              <w:rPr>
                <w:rFonts w:asciiTheme="minorHAnsi" w:hAnsiTheme="minorHAnsi" w:eastAsiaTheme="minorEastAsia" w:cstheme="minorBidi"/>
                <w:noProof/>
                <w:sz w:val="22"/>
                <w:szCs w:val="22"/>
              </w:rPr>
              <w:tab/>
            </w:r>
            <w:r w:rsidRPr="0032220A" w:rsidR="008959A4">
              <w:rPr>
                <w:rStyle w:val="Hyperlink"/>
                <w:noProof/>
              </w:rPr>
              <w:t xml:space="preserve">Modifying the Income Eligibility Requirements:  </w:t>
            </w:r>
            <w:r w:rsidR="00A643C3">
              <w:rPr>
                <w:rStyle w:val="Hyperlink"/>
                <w:noProof/>
              </w:rPr>
              <w:t>Approved</w:t>
            </w:r>
            <w:r w:rsidR="008959A4">
              <w:rPr>
                <w:noProof/>
                <w:webHidden/>
              </w:rPr>
              <w:tab/>
            </w:r>
            <w:r w:rsidR="008959A4">
              <w:rPr>
                <w:noProof/>
                <w:webHidden/>
              </w:rPr>
              <w:fldChar w:fldCharType="begin"/>
            </w:r>
            <w:r w:rsidR="008959A4">
              <w:rPr>
                <w:noProof/>
                <w:webHidden/>
              </w:rPr>
              <w:instrText xml:space="preserve"> PAGEREF _Toc82159745 \h </w:instrText>
            </w:r>
            <w:r w:rsidR="008959A4">
              <w:rPr>
                <w:noProof/>
                <w:webHidden/>
              </w:rPr>
            </w:r>
            <w:r w:rsidR="008959A4">
              <w:rPr>
                <w:noProof/>
                <w:webHidden/>
              </w:rPr>
              <w:fldChar w:fldCharType="separate"/>
            </w:r>
            <w:r w:rsidR="00A643C3">
              <w:rPr>
                <w:noProof/>
                <w:webHidden/>
              </w:rPr>
              <w:t>65</w:t>
            </w:r>
            <w:r w:rsidR="008959A4">
              <w:rPr>
                <w:noProof/>
                <w:webHidden/>
              </w:rPr>
              <w:fldChar w:fldCharType="end"/>
            </w:r>
          </w:hyperlink>
        </w:p>
        <w:p w:rsidR="008959A4" w:rsidP="008959A4" w:rsidRDefault="00ED6D61" w14:paraId="433B614F" w14:textId="75E1B512">
          <w:pPr>
            <w:pStyle w:val="TOC4"/>
            <w:tabs>
              <w:tab w:val="left" w:pos="3060"/>
            </w:tabs>
            <w:rPr>
              <w:rFonts w:asciiTheme="minorHAnsi" w:hAnsiTheme="minorHAnsi" w:eastAsiaTheme="minorEastAsia" w:cstheme="minorBidi"/>
              <w:noProof/>
              <w:sz w:val="22"/>
              <w:szCs w:val="22"/>
            </w:rPr>
          </w:pPr>
          <w:hyperlink w:history="1" w:anchor="_Toc82159746">
            <w:r w:rsidRPr="0032220A" w:rsidR="008959A4">
              <w:rPr>
                <w:rStyle w:val="Hyperlink"/>
                <w:noProof/>
              </w:rPr>
              <w:t>5.2.9.2.</w:t>
            </w:r>
            <w:r w:rsidR="008959A4">
              <w:rPr>
                <w:rFonts w:asciiTheme="minorHAnsi" w:hAnsiTheme="minorHAnsi" w:eastAsiaTheme="minorEastAsia" w:cstheme="minorBidi"/>
                <w:noProof/>
                <w:sz w:val="22"/>
                <w:szCs w:val="22"/>
              </w:rPr>
              <w:tab/>
            </w:r>
            <w:r w:rsidRPr="0032220A" w:rsidR="008959A4">
              <w:rPr>
                <w:rStyle w:val="Hyperlink"/>
                <w:noProof/>
              </w:rPr>
              <w:t xml:space="preserve">Implementing Categorical Eligibility:  </w:t>
            </w:r>
            <w:r w:rsidR="008959A4">
              <w:rPr>
                <w:rStyle w:val="Hyperlink"/>
                <w:noProof/>
              </w:rPr>
              <w:br/>
            </w:r>
            <w:r w:rsidRPr="0032220A" w:rsidR="008959A4">
              <w:rPr>
                <w:rStyle w:val="Hyperlink"/>
                <w:noProof/>
              </w:rPr>
              <w:t>Approved</w:t>
            </w:r>
            <w:r w:rsidR="008959A4">
              <w:rPr>
                <w:noProof/>
                <w:webHidden/>
              </w:rPr>
              <w:tab/>
            </w:r>
            <w:r w:rsidR="008959A4">
              <w:rPr>
                <w:noProof/>
                <w:webHidden/>
              </w:rPr>
              <w:fldChar w:fldCharType="begin"/>
            </w:r>
            <w:r w:rsidR="008959A4">
              <w:rPr>
                <w:noProof/>
                <w:webHidden/>
              </w:rPr>
              <w:instrText xml:space="preserve"> PAGEREF _Toc82159746 \h </w:instrText>
            </w:r>
            <w:r w:rsidR="008959A4">
              <w:rPr>
                <w:noProof/>
                <w:webHidden/>
              </w:rPr>
            </w:r>
            <w:r w:rsidR="008959A4">
              <w:rPr>
                <w:noProof/>
                <w:webHidden/>
              </w:rPr>
              <w:fldChar w:fldCharType="separate"/>
            </w:r>
            <w:r w:rsidR="00A643C3">
              <w:rPr>
                <w:noProof/>
                <w:webHidden/>
              </w:rPr>
              <w:t>65</w:t>
            </w:r>
            <w:r w:rsidR="008959A4">
              <w:rPr>
                <w:noProof/>
                <w:webHidden/>
              </w:rPr>
              <w:fldChar w:fldCharType="end"/>
            </w:r>
          </w:hyperlink>
        </w:p>
        <w:p w:rsidR="008959A4" w:rsidP="008959A4" w:rsidRDefault="00ED6D61" w14:paraId="5810E79E" w14:textId="585ED286">
          <w:pPr>
            <w:pStyle w:val="TOC2"/>
            <w:tabs>
              <w:tab w:val="right" w:leader="dot" w:pos="9350"/>
            </w:tabs>
            <w:ind w:left="1080" w:hanging="630"/>
            <w:rPr>
              <w:rFonts w:asciiTheme="minorHAnsi" w:hAnsiTheme="minorHAnsi" w:cstheme="minorBidi"/>
              <w:noProof/>
              <w:sz w:val="22"/>
              <w:szCs w:val="22"/>
            </w:rPr>
          </w:pPr>
          <w:hyperlink w:history="1" w:anchor="_Toc82159747">
            <w:r w:rsidRPr="0032220A" w:rsidR="008959A4">
              <w:rPr>
                <w:rStyle w:val="Hyperlink"/>
                <w:noProof/>
              </w:rPr>
              <w:t>5.3.</w:t>
            </w:r>
            <w:r w:rsidR="008959A4">
              <w:rPr>
                <w:rFonts w:asciiTheme="minorHAnsi" w:hAnsiTheme="minorHAnsi" w:cstheme="minorBidi"/>
                <w:noProof/>
                <w:sz w:val="22"/>
                <w:szCs w:val="22"/>
              </w:rPr>
              <w:tab/>
            </w:r>
            <w:r w:rsidRPr="0032220A" w:rsidR="008959A4">
              <w:rPr>
                <w:rStyle w:val="Hyperlink"/>
                <w:noProof/>
              </w:rPr>
              <w:t>ESA Program Delivery and Design</w:t>
            </w:r>
            <w:r w:rsidR="008959A4">
              <w:rPr>
                <w:noProof/>
                <w:webHidden/>
              </w:rPr>
              <w:tab/>
            </w:r>
            <w:r w:rsidR="008959A4">
              <w:rPr>
                <w:noProof/>
                <w:webHidden/>
              </w:rPr>
              <w:fldChar w:fldCharType="begin"/>
            </w:r>
            <w:r w:rsidR="008959A4">
              <w:rPr>
                <w:noProof/>
                <w:webHidden/>
              </w:rPr>
              <w:instrText xml:space="preserve"> PAGEREF _Toc82159747 \h </w:instrText>
            </w:r>
            <w:r w:rsidR="008959A4">
              <w:rPr>
                <w:noProof/>
                <w:webHidden/>
              </w:rPr>
            </w:r>
            <w:r w:rsidR="008959A4">
              <w:rPr>
                <w:noProof/>
                <w:webHidden/>
              </w:rPr>
              <w:fldChar w:fldCharType="separate"/>
            </w:r>
            <w:r w:rsidR="00A643C3">
              <w:rPr>
                <w:noProof/>
                <w:webHidden/>
              </w:rPr>
              <w:t>66</w:t>
            </w:r>
            <w:r w:rsidR="008959A4">
              <w:rPr>
                <w:noProof/>
                <w:webHidden/>
              </w:rPr>
              <w:fldChar w:fldCharType="end"/>
            </w:r>
          </w:hyperlink>
        </w:p>
        <w:p w:rsidR="008959A4" w:rsidP="008959A4" w:rsidRDefault="00ED6D61" w14:paraId="1B928306" w14:textId="102A1A3F">
          <w:pPr>
            <w:pStyle w:val="TOC3"/>
            <w:tabs>
              <w:tab w:val="right" w:leader="dot" w:pos="9350"/>
            </w:tabs>
            <w:ind w:left="1980" w:hanging="900"/>
            <w:rPr>
              <w:rFonts w:asciiTheme="minorHAnsi" w:hAnsiTheme="minorHAnsi" w:cstheme="minorBidi"/>
              <w:noProof/>
              <w:sz w:val="22"/>
              <w:szCs w:val="22"/>
            </w:rPr>
          </w:pPr>
          <w:hyperlink w:history="1" w:anchor="_Toc82159748">
            <w:r w:rsidRPr="0032220A" w:rsidR="008959A4">
              <w:rPr>
                <w:rStyle w:val="Hyperlink"/>
                <w:noProof/>
              </w:rPr>
              <w:t>5.3.1.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_Toc82159748 \h </w:instrText>
            </w:r>
            <w:r w:rsidR="008959A4">
              <w:rPr>
                <w:noProof/>
                <w:webHidden/>
              </w:rPr>
            </w:r>
            <w:r w:rsidR="008959A4">
              <w:rPr>
                <w:noProof/>
                <w:webHidden/>
              </w:rPr>
              <w:fldChar w:fldCharType="separate"/>
            </w:r>
            <w:r w:rsidR="00A643C3">
              <w:rPr>
                <w:noProof/>
                <w:webHidden/>
              </w:rPr>
              <w:t>66</w:t>
            </w:r>
            <w:r w:rsidR="008959A4">
              <w:rPr>
                <w:noProof/>
                <w:webHidden/>
              </w:rPr>
              <w:fldChar w:fldCharType="end"/>
            </w:r>
          </w:hyperlink>
        </w:p>
        <w:p w:rsidR="008959A4" w:rsidP="008959A4" w:rsidRDefault="00ED6D61" w14:paraId="5EB942DD" w14:textId="1DDE68EB">
          <w:pPr>
            <w:pStyle w:val="TOC3"/>
            <w:tabs>
              <w:tab w:val="right" w:leader="dot" w:pos="9350"/>
            </w:tabs>
            <w:ind w:left="1980" w:hanging="900"/>
            <w:rPr>
              <w:rFonts w:asciiTheme="minorHAnsi" w:hAnsiTheme="minorHAnsi" w:cstheme="minorBidi"/>
              <w:noProof/>
              <w:sz w:val="22"/>
              <w:szCs w:val="22"/>
            </w:rPr>
          </w:pPr>
          <w:hyperlink w:history="1" w:anchor="_Toc82159749">
            <w:r w:rsidRPr="0032220A" w:rsidR="008959A4">
              <w:rPr>
                <w:rStyle w:val="Hyperlink"/>
                <w:noProof/>
              </w:rPr>
              <w:t>5.3.2.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_Toc82159749 \h </w:instrText>
            </w:r>
            <w:r w:rsidR="008959A4">
              <w:rPr>
                <w:noProof/>
                <w:webHidden/>
              </w:rPr>
            </w:r>
            <w:r w:rsidR="008959A4">
              <w:rPr>
                <w:noProof/>
                <w:webHidden/>
              </w:rPr>
              <w:fldChar w:fldCharType="separate"/>
            </w:r>
            <w:r w:rsidR="00A643C3">
              <w:rPr>
                <w:noProof/>
                <w:webHidden/>
              </w:rPr>
              <w:t>66</w:t>
            </w:r>
            <w:r w:rsidR="008959A4">
              <w:rPr>
                <w:noProof/>
                <w:webHidden/>
              </w:rPr>
              <w:fldChar w:fldCharType="end"/>
            </w:r>
          </w:hyperlink>
        </w:p>
        <w:p w:rsidR="008959A4" w:rsidP="008959A4" w:rsidRDefault="00ED6D61" w14:paraId="0446EF48" w14:textId="2B4CFD4C">
          <w:pPr>
            <w:pStyle w:val="TOC3"/>
            <w:tabs>
              <w:tab w:val="right" w:leader="dot" w:pos="9350"/>
            </w:tabs>
            <w:ind w:left="1980" w:hanging="900"/>
            <w:rPr>
              <w:rFonts w:asciiTheme="minorHAnsi" w:hAnsiTheme="minorHAnsi" w:cstheme="minorBidi"/>
              <w:noProof/>
              <w:sz w:val="22"/>
              <w:szCs w:val="22"/>
            </w:rPr>
          </w:pPr>
          <w:hyperlink w:history="1" w:anchor="_Toc82159750">
            <w:r w:rsidRPr="0032220A" w:rsidR="008959A4">
              <w:rPr>
                <w:rStyle w:val="Hyperlink"/>
                <w:noProof/>
              </w:rPr>
              <w:t>5.3.3.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_Toc82159750 \h </w:instrText>
            </w:r>
            <w:r w:rsidR="008959A4">
              <w:rPr>
                <w:noProof/>
                <w:webHidden/>
              </w:rPr>
            </w:r>
            <w:r w:rsidR="008959A4">
              <w:rPr>
                <w:noProof/>
                <w:webHidden/>
              </w:rPr>
              <w:fldChar w:fldCharType="separate"/>
            </w:r>
            <w:r w:rsidR="00A643C3">
              <w:rPr>
                <w:noProof/>
                <w:webHidden/>
              </w:rPr>
              <w:t>67</w:t>
            </w:r>
            <w:r w:rsidR="008959A4">
              <w:rPr>
                <w:noProof/>
                <w:webHidden/>
              </w:rPr>
              <w:fldChar w:fldCharType="end"/>
            </w:r>
          </w:hyperlink>
        </w:p>
        <w:p w:rsidR="008959A4" w:rsidP="008959A4" w:rsidRDefault="00ED6D61" w14:paraId="30564C36" w14:textId="2FEA3A47">
          <w:pPr>
            <w:pStyle w:val="TOC3"/>
            <w:tabs>
              <w:tab w:val="right" w:leader="dot" w:pos="9350"/>
            </w:tabs>
            <w:ind w:left="1980" w:hanging="900"/>
            <w:rPr>
              <w:rFonts w:asciiTheme="minorHAnsi" w:hAnsiTheme="minorHAnsi" w:cstheme="minorBidi"/>
              <w:noProof/>
              <w:sz w:val="22"/>
              <w:szCs w:val="22"/>
            </w:rPr>
          </w:pPr>
          <w:hyperlink w:history="1" w:anchor="_Toc82159751">
            <w:r w:rsidRPr="0032220A" w:rsidR="008959A4">
              <w:rPr>
                <w:rStyle w:val="Hyperlink"/>
                <w:noProof/>
              </w:rPr>
              <w:t>5.3.4.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_Toc82159751 \h </w:instrText>
            </w:r>
            <w:r w:rsidR="008959A4">
              <w:rPr>
                <w:noProof/>
                <w:webHidden/>
              </w:rPr>
            </w:r>
            <w:r w:rsidR="008959A4">
              <w:rPr>
                <w:noProof/>
                <w:webHidden/>
              </w:rPr>
              <w:fldChar w:fldCharType="separate"/>
            </w:r>
            <w:r w:rsidR="00A643C3">
              <w:rPr>
                <w:noProof/>
                <w:webHidden/>
              </w:rPr>
              <w:t>67</w:t>
            </w:r>
            <w:r w:rsidR="008959A4">
              <w:rPr>
                <w:noProof/>
                <w:webHidden/>
              </w:rPr>
              <w:fldChar w:fldCharType="end"/>
            </w:r>
          </w:hyperlink>
        </w:p>
        <w:p w:rsidR="008959A4" w:rsidP="008959A4" w:rsidRDefault="00ED6D61" w14:paraId="79B69027" w14:textId="27C5BE91">
          <w:pPr>
            <w:pStyle w:val="TOC3"/>
            <w:tabs>
              <w:tab w:val="right" w:leader="dot" w:pos="9350"/>
            </w:tabs>
            <w:ind w:left="1980" w:hanging="900"/>
            <w:rPr>
              <w:rFonts w:asciiTheme="minorHAnsi" w:hAnsiTheme="minorHAnsi" w:cstheme="minorBidi"/>
              <w:noProof/>
              <w:sz w:val="22"/>
              <w:szCs w:val="22"/>
            </w:rPr>
          </w:pPr>
          <w:hyperlink w:history="1" w:anchor="_Toc82159752">
            <w:r w:rsidRPr="0032220A" w:rsidR="008959A4">
              <w:rPr>
                <w:rStyle w:val="Hyperlink"/>
                <w:noProof/>
              </w:rPr>
              <w:t>5.3.5.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_Toc82159752 \h </w:instrText>
            </w:r>
            <w:r w:rsidR="008959A4">
              <w:rPr>
                <w:noProof/>
                <w:webHidden/>
              </w:rPr>
            </w:r>
            <w:r w:rsidR="008959A4">
              <w:rPr>
                <w:noProof/>
                <w:webHidden/>
              </w:rPr>
              <w:fldChar w:fldCharType="separate"/>
            </w:r>
            <w:r w:rsidR="00A643C3">
              <w:rPr>
                <w:noProof/>
                <w:webHidden/>
              </w:rPr>
              <w:t>67</w:t>
            </w:r>
            <w:r w:rsidR="008959A4">
              <w:rPr>
                <w:noProof/>
                <w:webHidden/>
              </w:rPr>
              <w:fldChar w:fldCharType="end"/>
            </w:r>
          </w:hyperlink>
        </w:p>
        <w:p w:rsidR="008959A4" w:rsidP="008959A4" w:rsidRDefault="00ED6D61" w14:paraId="6BC50E85" w14:textId="179014F4">
          <w:pPr>
            <w:pStyle w:val="TOC3"/>
            <w:tabs>
              <w:tab w:val="right" w:leader="dot" w:pos="9350"/>
            </w:tabs>
            <w:ind w:left="1980" w:hanging="900"/>
            <w:rPr>
              <w:rFonts w:asciiTheme="minorHAnsi" w:hAnsiTheme="minorHAnsi" w:cstheme="minorBidi"/>
              <w:noProof/>
              <w:sz w:val="22"/>
              <w:szCs w:val="22"/>
            </w:rPr>
          </w:pPr>
          <w:hyperlink w:history="1" w:anchor="_Toc82159753">
            <w:r w:rsidRPr="0032220A" w:rsidR="008959A4">
              <w:rPr>
                <w:rStyle w:val="Hyperlink"/>
                <w:noProof/>
              </w:rPr>
              <w:t>5.3.6.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_Toc82159753 \h </w:instrText>
            </w:r>
            <w:r w:rsidR="008959A4">
              <w:rPr>
                <w:noProof/>
                <w:webHidden/>
              </w:rPr>
            </w:r>
            <w:r w:rsidR="008959A4">
              <w:rPr>
                <w:noProof/>
                <w:webHidden/>
              </w:rPr>
              <w:fldChar w:fldCharType="separate"/>
            </w:r>
            <w:r w:rsidR="00A643C3">
              <w:rPr>
                <w:noProof/>
                <w:webHidden/>
              </w:rPr>
              <w:t>69</w:t>
            </w:r>
            <w:r w:rsidR="008959A4">
              <w:rPr>
                <w:noProof/>
                <w:webHidden/>
              </w:rPr>
              <w:fldChar w:fldCharType="end"/>
            </w:r>
          </w:hyperlink>
        </w:p>
        <w:p w:rsidR="008959A4" w:rsidP="008959A4" w:rsidRDefault="00ED6D61" w14:paraId="01CAE2F4" w14:textId="50E229A7">
          <w:pPr>
            <w:pStyle w:val="TOC3"/>
            <w:tabs>
              <w:tab w:val="right" w:leader="dot" w:pos="9350"/>
            </w:tabs>
            <w:ind w:left="1980" w:hanging="900"/>
            <w:rPr>
              <w:rFonts w:asciiTheme="minorHAnsi" w:hAnsiTheme="minorHAnsi" w:cstheme="minorBidi"/>
              <w:noProof/>
              <w:sz w:val="22"/>
              <w:szCs w:val="22"/>
            </w:rPr>
          </w:pPr>
          <w:hyperlink w:history="1" w:anchor="_Toc82159754">
            <w:r w:rsidRPr="0032220A" w:rsidR="008959A4">
              <w:rPr>
                <w:rStyle w:val="Hyperlink"/>
                <w:noProof/>
              </w:rPr>
              <w:t>5.3.7.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_Toc82159754 \h </w:instrText>
            </w:r>
            <w:r w:rsidR="008959A4">
              <w:rPr>
                <w:noProof/>
                <w:webHidden/>
              </w:rPr>
            </w:r>
            <w:r w:rsidR="008959A4">
              <w:rPr>
                <w:noProof/>
                <w:webHidden/>
              </w:rPr>
              <w:fldChar w:fldCharType="separate"/>
            </w:r>
            <w:r w:rsidR="00A643C3">
              <w:rPr>
                <w:noProof/>
                <w:webHidden/>
              </w:rPr>
              <w:t>70</w:t>
            </w:r>
            <w:r w:rsidR="008959A4">
              <w:rPr>
                <w:noProof/>
                <w:webHidden/>
              </w:rPr>
              <w:fldChar w:fldCharType="end"/>
            </w:r>
          </w:hyperlink>
        </w:p>
        <w:p w:rsidR="008959A4" w:rsidP="008959A4" w:rsidRDefault="00ED6D61" w14:paraId="5F716E00" w14:textId="1F99A901">
          <w:pPr>
            <w:pStyle w:val="TOC4"/>
            <w:tabs>
              <w:tab w:val="left" w:pos="3060"/>
            </w:tabs>
            <w:rPr>
              <w:rFonts w:asciiTheme="minorHAnsi" w:hAnsiTheme="minorHAnsi" w:eastAsiaTheme="minorEastAsia" w:cstheme="minorBidi"/>
              <w:noProof/>
              <w:sz w:val="22"/>
              <w:szCs w:val="22"/>
            </w:rPr>
          </w:pPr>
          <w:hyperlink w:history="1" w:anchor="_Toc82159755">
            <w:r w:rsidRPr="0032220A" w:rsidR="008959A4">
              <w:rPr>
                <w:rStyle w:val="Hyperlink"/>
                <w:noProof/>
              </w:rPr>
              <w:t>5.3.7.1.</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_Toc82159755 \h </w:instrText>
            </w:r>
            <w:r w:rsidR="008959A4">
              <w:rPr>
                <w:noProof/>
                <w:webHidden/>
              </w:rPr>
            </w:r>
            <w:r w:rsidR="008959A4">
              <w:rPr>
                <w:noProof/>
                <w:webHidden/>
              </w:rPr>
              <w:fldChar w:fldCharType="separate"/>
            </w:r>
            <w:r w:rsidR="00A643C3">
              <w:rPr>
                <w:noProof/>
                <w:webHidden/>
              </w:rPr>
              <w:t>70</w:t>
            </w:r>
            <w:r w:rsidR="008959A4">
              <w:rPr>
                <w:noProof/>
                <w:webHidden/>
              </w:rPr>
              <w:fldChar w:fldCharType="end"/>
            </w:r>
          </w:hyperlink>
        </w:p>
        <w:p w:rsidR="008959A4" w:rsidP="008959A4" w:rsidRDefault="00ED6D61" w14:paraId="1D95DB28" w14:textId="681A3CE0">
          <w:pPr>
            <w:pStyle w:val="TOC3"/>
            <w:tabs>
              <w:tab w:val="right" w:leader="dot" w:pos="9350"/>
            </w:tabs>
            <w:ind w:left="1980" w:hanging="900"/>
            <w:rPr>
              <w:rFonts w:asciiTheme="minorHAnsi" w:hAnsiTheme="minorHAnsi" w:cstheme="minorBidi"/>
              <w:noProof/>
              <w:sz w:val="22"/>
              <w:szCs w:val="22"/>
            </w:rPr>
          </w:pPr>
          <w:hyperlink w:history="1" w:anchor="_Toc82159756">
            <w:r w:rsidRPr="0032220A" w:rsidR="008959A4">
              <w:rPr>
                <w:rStyle w:val="Hyperlink"/>
                <w:noProof/>
              </w:rPr>
              <w:t>5.3.8.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_Toc82159756 \h </w:instrText>
            </w:r>
            <w:r w:rsidR="008959A4">
              <w:rPr>
                <w:noProof/>
                <w:webHidden/>
              </w:rPr>
            </w:r>
            <w:r w:rsidR="008959A4">
              <w:rPr>
                <w:noProof/>
                <w:webHidden/>
              </w:rPr>
              <w:fldChar w:fldCharType="separate"/>
            </w:r>
            <w:r w:rsidR="00A643C3">
              <w:rPr>
                <w:noProof/>
                <w:webHidden/>
              </w:rPr>
              <w:t>73</w:t>
            </w:r>
            <w:r w:rsidR="008959A4">
              <w:rPr>
                <w:noProof/>
                <w:webHidden/>
              </w:rPr>
              <w:fldChar w:fldCharType="end"/>
            </w:r>
          </w:hyperlink>
        </w:p>
        <w:p w:rsidR="008959A4" w:rsidP="008959A4" w:rsidRDefault="00ED6D61" w14:paraId="19056041" w14:textId="79F4B3F7">
          <w:pPr>
            <w:pStyle w:val="TOC4"/>
            <w:tabs>
              <w:tab w:val="left" w:pos="3060"/>
            </w:tabs>
            <w:rPr>
              <w:rFonts w:asciiTheme="minorHAnsi" w:hAnsiTheme="minorHAnsi" w:eastAsiaTheme="minorEastAsia" w:cstheme="minorBidi"/>
              <w:noProof/>
              <w:sz w:val="22"/>
              <w:szCs w:val="22"/>
            </w:rPr>
          </w:pPr>
          <w:hyperlink w:history="1" w:anchor="_Toc82159757">
            <w:r w:rsidRPr="0032220A" w:rsidR="008959A4">
              <w:rPr>
                <w:rStyle w:val="Hyperlink"/>
                <w:noProof/>
              </w:rPr>
              <w:t>5.3.8.1.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Bear Valley </w:t>
            </w:r>
            <w:r w:rsidR="008959A4">
              <w:rPr>
                <w:rStyle w:val="Hyperlink"/>
                <w:noProof/>
              </w:rPr>
              <w:br/>
            </w:r>
            <w:r w:rsidRPr="0032220A" w:rsidR="008959A4">
              <w:rPr>
                <w:rStyle w:val="Hyperlink"/>
                <w:noProof/>
              </w:rPr>
              <w:t>(Joint SMJUs) Response</w:t>
            </w:r>
            <w:r w:rsidR="008959A4">
              <w:rPr>
                <w:noProof/>
                <w:webHidden/>
              </w:rPr>
              <w:tab/>
            </w:r>
            <w:r w:rsidR="008959A4">
              <w:rPr>
                <w:noProof/>
                <w:webHidden/>
              </w:rPr>
              <w:fldChar w:fldCharType="begin"/>
            </w:r>
            <w:r w:rsidR="008959A4">
              <w:rPr>
                <w:noProof/>
                <w:webHidden/>
              </w:rPr>
              <w:instrText xml:space="preserve"> PAGEREF _Toc82159757 \h </w:instrText>
            </w:r>
            <w:r w:rsidR="008959A4">
              <w:rPr>
                <w:noProof/>
                <w:webHidden/>
              </w:rPr>
            </w:r>
            <w:r w:rsidR="008959A4">
              <w:rPr>
                <w:noProof/>
                <w:webHidden/>
              </w:rPr>
              <w:fldChar w:fldCharType="separate"/>
            </w:r>
            <w:r w:rsidR="00A643C3">
              <w:rPr>
                <w:noProof/>
                <w:webHidden/>
              </w:rPr>
              <w:t>73</w:t>
            </w:r>
            <w:r w:rsidR="008959A4">
              <w:rPr>
                <w:noProof/>
                <w:webHidden/>
              </w:rPr>
              <w:fldChar w:fldCharType="end"/>
            </w:r>
          </w:hyperlink>
        </w:p>
        <w:p w:rsidR="008959A4" w:rsidP="008959A4" w:rsidRDefault="00ED6D61" w14:paraId="7E4A6577" w14:textId="30B269CC">
          <w:pPr>
            <w:pStyle w:val="TOC4"/>
            <w:tabs>
              <w:tab w:val="left" w:pos="3060"/>
            </w:tabs>
            <w:rPr>
              <w:rFonts w:asciiTheme="minorHAnsi" w:hAnsiTheme="minorHAnsi" w:eastAsiaTheme="minorEastAsia" w:cstheme="minorBidi"/>
              <w:noProof/>
              <w:sz w:val="22"/>
              <w:szCs w:val="22"/>
            </w:rPr>
          </w:pPr>
          <w:hyperlink w:history="1" w:anchor="_Toc82159758">
            <w:r w:rsidRPr="0032220A" w:rsidR="008959A4">
              <w:rPr>
                <w:rStyle w:val="Hyperlink"/>
                <w:noProof/>
              </w:rPr>
              <w:t>5.3.8.2.</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_Toc82159758 \h </w:instrText>
            </w:r>
            <w:r w:rsidR="008959A4">
              <w:rPr>
                <w:noProof/>
                <w:webHidden/>
              </w:rPr>
            </w:r>
            <w:r w:rsidR="008959A4">
              <w:rPr>
                <w:noProof/>
                <w:webHidden/>
              </w:rPr>
              <w:fldChar w:fldCharType="separate"/>
            </w:r>
            <w:r w:rsidR="00A643C3">
              <w:rPr>
                <w:noProof/>
                <w:webHidden/>
              </w:rPr>
              <w:t>74</w:t>
            </w:r>
            <w:r w:rsidR="008959A4">
              <w:rPr>
                <w:noProof/>
                <w:webHidden/>
              </w:rPr>
              <w:fldChar w:fldCharType="end"/>
            </w:r>
          </w:hyperlink>
        </w:p>
        <w:p w:rsidR="008959A4" w:rsidP="008959A4" w:rsidRDefault="00ED6D61" w14:paraId="07238DDB" w14:textId="750A3BAB">
          <w:pPr>
            <w:pStyle w:val="TOC3"/>
            <w:tabs>
              <w:tab w:val="right" w:leader="dot" w:pos="9350"/>
            </w:tabs>
            <w:ind w:left="1980" w:hanging="900"/>
            <w:rPr>
              <w:rFonts w:asciiTheme="minorHAnsi" w:hAnsiTheme="minorHAnsi" w:cstheme="minorBidi"/>
              <w:noProof/>
              <w:sz w:val="22"/>
              <w:szCs w:val="22"/>
            </w:rPr>
          </w:pPr>
          <w:hyperlink w:history="1" w:anchor="_Toc82159759">
            <w:r w:rsidRPr="0032220A" w:rsidR="008959A4">
              <w:rPr>
                <w:rStyle w:val="Hyperlink"/>
                <w:noProof/>
              </w:rPr>
              <w:t>5.3.9.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_Toc82159759 \h </w:instrText>
            </w:r>
            <w:r w:rsidR="008959A4">
              <w:rPr>
                <w:noProof/>
                <w:webHidden/>
              </w:rPr>
            </w:r>
            <w:r w:rsidR="008959A4">
              <w:rPr>
                <w:noProof/>
                <w:webHidden/>
              </w:rPr>
              <w:fldChar w:fldCharType="separate"/>
            </w:r>
            <w:r w:rsidR="00A643C3">
              <w:rPr>
                <w:noProof/>
                <w:webHidden/>
              </w:rPr>
              <w:t>74</w:t>
            </w:r>
            <w:r w:rsidR="008959A4">
              <w:rPr>
                <w:noProof/>
                <w:webHidden/>
              </w:rPr>
              <w:fldChar w:fldCharType="end"/>
            </w:r>
          </w:hyperlink>
        </w:p>
        <w:p w:rsidR="008959A4" w:rsidP="008959A4" w:rsidRDefault="00ED6D61" w14:paraId="7A05B557" w14:textId="574C53FB">
          <w:pPr>
            <w:pStyle w:val="TOC4"/>
            <w:tabs>
              <w:tab w:val="left" w:pos="3060"/>
            </w:tabs>
            <w:rPr>
              <w:rFonts w:asciiTheme="minorHAnsi" w:hAnsiTheme="minorHAnsi" w:eastAsiaTheme="minorEastAsia" w:cstheme="minorBidi"/>
              <w:noProof/>
              <w:sz w:val="22"/>
              <w:szCs w:val="22"/>
            </w:rPr>
          </w:pPr>
          <w:hyperlink w:history="1" w:anchor="_Toc82159760">
            <w:r w:rsidRPr="0032220A" w:rsidR="008959A4">
              <w:rPr>
                <w:rStyle w:val="Hyperlink"/>
                <w:noProof/>
              </w:rPr>
              <w:t>5.3.9.1.</w:t>
            </w:r>
            <w:r w:rsidR="008959A4">
              <w:rPr>
                <w:rFonts w:asciiTheme="minorHAnsi" w:hAnsiTheme="minorHAnsi" w:eastAsiaTheme="minorEastAsia" w:cstheme="minorBidi"/>
                <w:noProof/>
                <w:sz w:val="22"/>
                <w:szCs w:val="22"/>
              </w:rPr>
              <w:tab/>
            </w:r>
            <w:r w:rsidRPr="0032220A" w:rsidR="008959A4">
              <w:rPr>
                <w:rStyle w:val="Hyperlink"/>
                <w:noProof/>
              </w:rPr>
              <w:t>SMJU Proposed Program Delivery and Design:  Approved with Modifications</w:t>
            </w:r>
            <w:r w:rsidR="008959A4">
              <w:rPr>
                <w:noProof/>
                <w:webHidden/>
              </w:rPr>
              <w:tab/>
            </w:r>
            <w:r w:rsidR="008959A4">
              <w:rPr>
                <w:noProof/>
                <w:webHidden/>
              </w:rPr>
              <w:fldChar w:fldCharType="begin"/>
            </w:r>
            <w:r w:rsidR="008959A4">
              <w:rPr>
                <w:noProof/>
                <w:webHidden/>
              </w:rPr>
              <w:instrText xml:space="preserve"> PAGEREF _Toc82159760 \h </w:instrText>
            </w:r>
            <w:r w:rsidR="008959A4">
              <w:rPr>
                <w:noProof/>
                <w:webHidden/>
              </w:rPr>
            </w:r>
            <w:r w:rsidR="008959A4">
              <w:rPr>
                <w:noProof/>
                <w:webHidden/>
              </w:rPr>
              <w:fldChar w:fldCharType="separate"/>
            </w:r>
            <w:r w:rsidR="00A643C3">
              <w:rPr>
                <w:noProof/>
                <w:webHidden/>
              </w:rPr>
              <w:t>74</w:t>
            </w:r>
            <w:r w:rsidR="008959A4">
              <w:rPr>
                <w:noProof/>
                <w:webHidden/>
              </w:rPr>
              <w:fldChar w:fldCharType="end"/>
            </w:r>
          </w:hyperlink>
        </w:p>
        <w:p w:rsidR="008959A4" w:rsidP="008959A4" w:rsidRDefault="00ED6D61" w14:paraId="480ABFF1" w14:textId="2B986850">
          <w:pPr>
            <w:pStyle w:val="TOC4"/>
            <w:tabs>
              <w:tab w:val="left" w:pos="3060"/>
            </w:tabs>
            <w:rPr>
              <w:rFonts w:asciiTheme="minorHAnsi" w:hAnsiTheme="minorHAnsi" w:eastAsiaTheme="minorEastAsia" w:cstheme="minorBidi"/>
              <w:noProof/>
              <w:sz w:val="22"/>
              <w:szCs w:val="22"/>
            </w:rPr>
          </w:pPr>
          <w:hyperlink w:history="1" w:anchor="_Toc82159761">
            <w:r w:rsidRPr="0032220A" w:rsidR="008959A4">
              <w:rPr>
                <w:rStyle w:val="Hyperlink"/>
                <w:noProof/>
              </w:rPr>
              <w:t>5.3.9.2.</w:t>
            </w:r>
            <w:r w:rsidR="008959A4">
              <w:rPr>
                <w:rFonts w:asciiTheme="minorHAnsi" w:hAnsiTheme="minorHAnsi" w:eastAsiaTheme="minorEastAsia" w:cstheme="minorBidi"/>
                <w:noProof/>
                <w:sz w:val="22"/>
                <w:szCs w:val="22"/>
              </w:rPr>
              <w:tab/>
            </w:r>
            <w:r w:rsidRPr="0032220A" w:rsidR="008959A4">
              <w:rPr>
                <w:rStyle w:val="Hyperlink"/>
                <w:noProof/>
              </w:rPr>
              <w:t>Basic and Plus Level Delivery:  New</w:t>
            </w:r>
            <w:r w:rsidR="008959A4">
              <w:rPr>
                <w:noProof/>
                <w:webHidden/>
              </w:rPr>
              <w:tab/>
            </w:r>
            <w:r w:rsidR="008959A4">
              <w:rPr>
                <w:noProof/>
                <w:webHidden/>
              </w:rPr>
              <w:fldChar w:fldCharType="begin"/>
            </w:r>
            <w:r w:rsidR="008959A4">
              <w:rPr>
                <w:noProof/>
                <w:webHidden/>
              </w:rPr>
              <w:instrText xml:space="preserve"> PAGEREF _Toc82159761 \h </w:instrText>
            </w:r>
            <w:r w:rsidR="008959A4">
              <w:rPr>
                <w:noProof/>
                <w:webHidden/>
              </w:rPr>
            </w:r>
            <w:r w:rsidR="008959A4">
              <w:rPr>
                <w:noProof/>
                <w:webHidden/>
              </w:rPr>
              <w:fldChar w:fldCharType="separate"/>
            </w:r>
            <w:r w:rsidR="00A643C3">
              <w:rPr>
                <w:noProof/>
                <w:webHidden/>
              </w:rPr>
              <w:t>75</w:t>
            </w:r>
            <w:r w:rsidR="008959A4">
              <w:rPr>
                <w:noProof/>
                <w:webHidden/>
              </w:rPr>
              <w:fldChar w:fldCharType="end"/>
            </w:r>
          </w:hyperlink>
        </w:p>
        <w:p w:rsidR="008959A4" w:rsidP="008959A4" w:rsidRDefault="00ED6D61" w14:paraId="5F726BC6" w14:textId="5E91F3C7">
          <w:pPr>
            <w:pStyle w:val="TOC4"/>
            <w:tabs>
              <w:tab w:val="left" w:pos="3060"/>
            </w:tabs>
            <w:rPr>
              <w:rFonts w:asciiTheme="minorHAnsi" w:hAnsiTheme="minorHAnsi" w:eastAsiaTheme="minorEastAsia" w:cstheme="minorBidi"/>
              <w:noProof/>
              <w:sz w:val="22"/>
              <w:szCs w:val="22"/>
            </w:rPr>
          </w:pPr>
          <w:hyperlink w:history="1" w:anchor="_Toc82159762">
            <w:r w:rsidRPr="0032220A" w:rsidR="008959A4">
              <w:rPr>
                <w:rStyle w:val="Hyperlink"/>
                <w:noProof/>
              </w:rPr>
              <w:t>5.3.9.3.</w:t>
            </w:r>
            <w:r w:rsidR="008959A4">
              <w:rPr>
                <w:rFonts w:asciiTheme="minorHAnsi" w:hAnsiTheme="minorHAnsi" w:eastAsiaTheme="minorEastAsia" w:cstheme="minorBidi"/>
                <w:noProof/>
                <w:sz w:val="22"/>
                <w:szCs w:val="22"/>
              </w:rPr>
              <w:tab/>
            </w:r>
            <w:r w:rsidRPr="0032220A" w:rsidR="008959A4">
              <w:rPr>
                <w:rStyle w:val="Hyperlink"/>
                <w:noProof/>
              </w:rPr>
              <w:t>Allowing for Self-Certification for Basic Measures:  New</w:t>
            </w:r>
            <w:r w:rsidR="008959A4">
              <w:rPr>
                <w:noProof/>
                <w:webHidden/>
              </w:rPr>
              <w:tab/>
            </w:r>
            <w:r w:rsidR="008959A4">
              <w:rPr>
                <w:noProof/>
                <w:webHidden/>
              </w:rPr>
              <w:fldChar w:fldCharType="begin"/>
            </w:r>
            <w:r w:rsidR="008959A4">
              <w:rPr>
                <w:noProof/>
                <w:webHidden/>
              </w:rPr>
              <w:instrText xml:space="preserve"> PAGEREF _Toc82159762 \h </w:instrText>
            </w:r>
            <w:r w:rsidR="008959A4">
              <w:rPr>
                <w:noProof/>
                <w:webHidden/>
              </w:rPr>
            </w:r>
            <w:r w:rsidR="008959A4">
              <w:rPr>
                <w:noProof/>
                <w:webHidden/>
              </w:rPr>
              <w:fldChar w:fldCharType="separate"/>
            </w:r>
            <w:r w:rsidR="00A643C3">
              <w:rPr>
                <w:noProof/>
                <w:webHidden/>
              </w:rPr>
              <w:t>76</w:t>
            </w:r>
            <w:r w:rsidR="008959A4">
              <w:rPr>
                <w:noProof/>
                <w:webHidden/>
              </w:rPr>
              <w:fldChar w:fldCharType="end"/>
            </w:r>
          </w:hyperlink>
        </w:p>
        <w:p w:rsidR="008959A4" w:rsidP="008959A4" w:rsidRDefault="00ED6D61" w14:paraId="439D61FF" w14:textId="042D0A42">
          <w:pPr>
            <w:pStyle w:val="TOC4"/>
            <w:tabs>
              <w:tab w:val="left" w:pos="3060"/>
            </w:tabs>
            <w:rPr>
              <w:rFonts w:asciiTheme="minorHAnsi" w:hAnsiTheme="minorHAnsi" w:eastAsiaTheme="minorEastAsia" w:cstheme="minorBidi"/>
              <w:noProof/>
              <w:sz w:val="22"/>
              <w:szCs w:val="22"/>
            </w:rPr>
          </w:pPr>
          <w:hyperlink w:history="1" w:anchor="_Toc82159763">
            <w:r w:rsidRPr="0032220A" w:rsidR="008959A4">
              <w:rPr>
                <w:rStyle w:val="Hyperlink"/>
                <w:noProof/>
              </w:rPr>
              <w:t>5.3.9.4.</w:t>
            </w:r>
            <w:r w:rsidR="008959A4">
              <w:rPr>
                <w:rFonts w:asciiTheme="minorHAnsi" w:hAnsiTheme="minorHAnsi" w:eastAsiaTheme="minorEastAsia" w:cstheme="minorBidi"/>
                <w:noProof/>
                <w:sz w:val="22"/>
                <w:szCs w:val="22"/>
              </w:rPr>
              <w:tab/>
            </w:r>
            <w:r w:rsidRPr="0032220A" w:rsidR="008959A4">
              <w:rPr>
                <w:rStyle w:val="Hyperlink"/>
                <w:noProof/>
              </w:rPr>
              <w:t xml:space="preserve">Allowing ESA Contractors to Offer Other </w:t>
            </w:r>
            <w:r w:rsidR="008959A4">
              <w:rPr>
                <w:rStyle w:val="Hyperlink"/>
                <w:noProof/>
              </w:rPr>
              <w:br/>
            </w:r>
            <w:r w:rsidRPr="0032220A" w:rsidR="008959A4">
              <w:rPr>
                <w:rStyle w:val="Hyperlink"/>
                <w:noProof/>
              </w:rPr>
              <w:t xml:space="preserve">Programs, Including Affordable Internet </w:t>
            </w:r>
            <w:r w:rsidR="008959A4">
              <w:rPr>
                <w:rStyle w:val="Hyperlink"/>
                <w:noProof/>
              </w:rPr>
              <w:br/>
            </w:r>
            <w:r w:rsidRPr="0032220A" w:rsidR="008959A4">
              <w:rPr>
                <w:rStyle w:val="Hyperlink"/>
                <w:noProof/>
              </w:rPr>
              <w:t xml:space="preserve">and Solar:  </w:t>
            </w:r>
            <w:bookmarkStart w:name="_Hlk85527086" w:id="16"/>
            <w:r w:rsidR="00A643C3">
              <w:rPr>
                <w:rStyle w:val="Hyperlink"/>
                <w:noProof/>
              </w:rPr>
              <w:t>Requires Further Study</w:t>
            </w:r>
            <w:bookmarkEnd w:id="16"/>
            <w:r w:rsidR="008959A4">
              <w:rPr>
                <w:noProof/>
                <w:webHidden/>
              </w:rPr>
              <w:tab/>
            </w:r>
            <w:r w:rsidR="008959A4">
              <w:rPr>
                <w:noProof/>
                <w:webHidden/>
              </w:rPr>
              <w:fldChar w:fldCharType="begin"/>
            </w:r>
            <w:r w:rsidR="008959A4">
              <w:rPr>
                <w:noProof/>
                <w:webHidden/>
              </w:rPr>
              <w:instrText xml:space="preserve"> PAGEREF _Toc82159763 \h </w:instrText>
            </w:r>
            <w:r w:rsidR="008959A4">
              <w:rPr>
                <w:noProof/>
                <w:webHidden/>
              </w:rPr>
            </w:r>
            <w:r w:rsidR="008959A4">
              <w:rPr>
                <w:noProof/>
                <w:webHidden/>
              </w:rPr>
              <w:fldChar w:fldCharType="separate"/>
            </w:r>
            <w:r w:rsidR="00A643C3">
              <w:rPr>
                <w:noProof/>
                <w:webHidden/>
              </w:rPr>
              <w:t>77</w:t>
            </w:r>
            <w:r w:rsidR="008959A4">
              <w:rPr>
                <w:noProof/>
                <w:webHidden/>
              </w:rPr>
              <w:fldChar w:fldCharType="end"/>
            </w:r>
          </w:hyperlink>
        </w:p>
        <w:p w:rsidR="008959A4" w:rsidP="008959A4" w:rsidRDefault="00ED6D61" w14:paraId="07C55007" w14:textId="574D6C58">
          <w:pPr>
            <w:pStyle w:val="TOC4"/>
            <w:tabs>
              <w:tab w:val="left" w:pos="3060"/>
            </w:tabs>
            <w:rPr>
              <w:rFonts w:asciiTheme="minorHAnsi" w:hAnsiTheme="minorHAnsi" w:eastAsiaTheme="minorEastAsia" w:cstheme="minorBidi"/>
              <w:noProof/>
              <w:sz w:val="22"/>
              <w:szCs w:val="22"/>
            </w:rPr>
          </w:pPr>
          <w:hyperlink w:history="1" w:anchor="_Toc82159764">
            <w:r w:rsidRPr="0032220A" w:rsidR="008959A4">
              <w:rPr>
                <w:rStyle w:val="Hyperlink"/>
                <w:noProof/>
              </w:rPr>
              <w:t>5.3.9.5.</w:t>
            </w:r>
            <w:r w:rsidR="008959A4">
              <w:rPr>
                <w:rFonts w:asciiTheme="minorHAnsi" w:hAnsiTheme="minorHAnsi" w:eastAsiaTheme="minorEastAsia" w:cstheme="minorBidi"/>
                <w:noProof/>
                <w:sz w:val="22"/>
                <w:szCs w:val="22"/>
              </w:rPr>
              <w:tab/>
            </w:r>
            <w:r w:rsidRPr="0032220A" w:rsidR="008959A4">
              <w:rPr>
                <w:rStyle w:val="Hyperlink"/>
                <w:noProof/>
              </w:rPr>
              <w:t xml:space="preserve">Allowing ESA Contractors to Offer </w:t>
            </w:r>
            <w:r w:rsidR="008959A4">
              <w:rPr>
                <w:rStyle w:val="Hyperlink"/>
                <w:noProof/>
              </w:rPr>
              <w:br/>
            </w:r>
            <w:r w:rsidRPr="0032220A" w:rsidR="008959A4">
              <w:rPr>
                <w:rStyle w:val="Hyperlink"/>
                <w:noProof/>
              </w:rPr>
              <w:t>Decarbonization, Safety and Other</w:t>
            </w:r>
            <w:r w:rsidR="008959A4">
              <w:rPr>
                <w:rStyle w:val="Hyperlink"/>
                <w:noProof/>
              </w:rPr>
              <w:br/>
            </w:r>
            <w:r w:rsidRPr="0032220A" w:rsidR="008959A4">
              <w:rPr>
                <w:rStyle w:val="Hyperlink"/>
                <w:noProof/>
              </w:rPr>
              <w:t xml:space="preserve">Improvements Through Budget </w:t>
            </w:r>
            <w:r w:rsidR="008959A4">
              <w:rPr>
                <w:rStyle w:val="Hyperlink"/>
                <w:noProof/>
              </w:rPr>
              <w:br/>
            </w:r>
            <w:r w:rsidRPr="0032220A" w:rsidR="008959A4">
              <w:rPr>
                <w:rStyle w:val="Hyperlink"/>
                <w:noProof/>
              </w:rPr>
              <w:t xml:space="preserve">“Layering”: </w:t>
            </w:r>
            <w:r w:rsidR="002602AB">
              <w:rPr>
                <w:rStyle w:val="Hyperlink"/>
                <w:noProof/>
              </w:rPr>
              <w:t xml:space="preserve"> </w:t>
            </w:r>
            <w:r w:rsidRPr="00A643C3" w:rsidR="00A643C3">
              <w:rPr>
                <w:rStyle w:val="Hyperlink"/>
                <w:noProof/>
              </w:rPr>
              <w:t>Requires Further Study</w:t>
            </w:r>
            <w:r w:rsidR="008959A4">
              <w:rPr>
                <w:noProof/>
                <w:webHidden/>
              </w:rPr>
              <w:tab/>
            </w:r>
            <w:r w:rsidR="008959A4">
              <w:rPr>
                <w:noProof/>
                <w:webHidden/>
              </w:rPr>
              <w:fldChar w:fldCharType="begin"/>
            </w:r>
            <w:r w:rsidR="008959A4">
              <w:rPr>
                <w:noProof/>
                <w:webHidden/>
              </w:rPr>
              <w:instrText xml:space="preserve"> PAGEREF _Toc82159764 \h </w:instrText>
            </w:r>
            <w:r w:rsidR="008959A4">
              <w:rPr>
                <w:noProof/>
                <w:webHidden/>
              </w:rPr>
            </w:r>
            <w:r w:rsidR="008959A4">
              <w:rPr>
                <w:noProof/>
                <w:webHidden/>
              </w:rPr>
              <w:fldChar w:fldCharType="separate"/>
            </w:r>
            <w:r w:rsidR="00A643C3">
              <w:rPr>
                <w:noProof/>
                <w:webHidden/>
              </w:rPr>
              <w:t>78</w:t>
            </w:r>
            <w:r w:rsidR="008959A4">
              <w:rPr>
                <w:noProof/>
                <w:webHidden/>
              </w:rPr>
              <w:fldChar w:fldCharType="end"/>
            </w:r>
          </w:hyperlink>
        </w:p>
        <w:p w:rsidR="008959A4" w:rsidP="008959A4" w:rsidRDefault="00ED6D61" w14:paraId="379BCE99" w14:textId="0E9CAF53">
          <w:pPr>
            <w:pStyle w:val="TOC4"/>
            <w:tabs>
              <w:tab w:val="left" w:pos="3060"/>
            </w:tabs>
            <w:rPr>
              <w:rFonts w:asciiTheme="minorHAnsi" w:hAnsiTheme="minorHAnsi" w:eastAsiaTheme="minorEastAsia" w:cstheme="minorBidi"/>
              <w:noProof/>
              <w:sz w:val="22"/>
              <w:szCs w:val="22"/>
            </w:rPr>
          </w:pPr>
          <w:hyperlink w:history="1" w:anchor="_Toc82159765">
            <w:r w:rsidRPr="0032220A" w:rsidR="008959A4">
              <w:rPr>
                <w:rStyle w:val="Hyperlink"/>
                <w:noProof/>
              </w:rPr>
              <w:t>5.3.9.6.</w:t>
            </w:r>
            <w:r w:rsidR="008959A4">
              <w:rPr>
                <w:rFonts w:asciiTheme="minorHAnsi" w:hAnsiTheme="minorHAnsi" w:eastAsiaTheme="minorEastAsia" w:cstheme="minorBidi"/>
                <w:noProof/>
                <w:sz w:val="22"/>
                <w:szCs w:val="22"/>
              </w:rPr>
              <w:tab/>
            </w:r>
            <w:r w:rsidRPr="0032220A" w:rsidR="008959A4">
              <w:rPr>
                <w:rStyle w:val="Hyperlink"/>
                <w:noProof/>
              </w:rPr>
              <w:t>Removing Property Owner Waivers/Approvals:  Approved with Modifications</w:t>
            </w:r>
            <w:r w:rsidR="008959A4">
              <w:rPr>
                <w:noProof/>
                <w:webHidden/>
              </w:rPr>
              <w:tab/>
            </w:r>
            <w:r w:rsidR="008959A4">
              <w:rPr>
                <w:noProof/>
                <w:webHidden/>
              </w:rPr>
              <w:fldChar w:fldCharType="begin"/>
            </w:r>
            <w:r w:rsidR="008959A4">
              <w:rPr>
                <w:noProof/>
                <w:webHidden/>
              </w:rPr>
              <w:instrText xml:space="preserve"> PAGEREF _Toc82159765 \h </w:instrText>
            </w:r>
            <w:r w:rsidR="008959A4">
              <w:rPr>
                <w:noProof/>
                <w:webHidden/>
              </w:rPr>
            </w:r>
            <w:r w:rsidR="008959A4">
              <w:rPr>
                <w:noProof/>
                <w:webHidden/>
              </w:rPr>
              <w:fldChar w:fldCharType="separate"/>
            </w:r>
            <w:r w:rsidR="00A643C3">
              <w:rPr>
                <w:noProof/>
                <w:webHidden/>
              </w:rPr>
              <w:t>78</w:t>
            </w:r>
            <w:r w:rsidR="008959A4">
              <w:rPr>
                <w:noProof/>
                <w:webHidden/>
              </w:rPr>
              <w:fldChar w:fldCharType="end"/>
            </w:r>
          </w:hyperlink>
        </w:p>
        <w:p w:rsidR="008959A4" w:rsidP="008959A4" w:rsidRDefault="00ED6D61" w14:paraId="6F5183F1" w14:textId="2B7ED8C5">
          <w:pPr>
            <w:pStyle w:val="TOC4"/>
            <w:tabs>
              <w:tab w:val="left" w:pos="3060"/>
            </w:tabs>
            <w:rPr>
              <w:rFonts w:asciiTheme="minorHAnsi" w:hAnsiTheme="minorHAnsi" w:eastAsiaTheme="minorEastAsia" w:cstheme="minorBidi"/>
              <w:noProof/>
              <w:sz w:val="22"/>
              <w:szCs w:val="22"/>
            </w:rPr>
          </w:pPr>
          <w:hyperlink w:history="1" w:anchor="_Toc82159766">
            <w:r w:rsidRPr="0032220A" w:rsidR="008959A4">
              <w:rPr>
                <w:rStyle w:val="Hyperlink"/>
                <w:noProof/>
              </w:rPr>
              <w:t>5.3.9.7.</w:t>
            </w:r>
            <w:r w:rsidR="008959A4">
              <w:rPr>
                <w:rFonts w:asciiTheme="minorHAnsi" w:hAnsiTheme="minorHAnsi" w:eastAsiaTheme="minorEastAsia" w:cstheme="minorBidi"/>
                <w:noProof/>
                <w:sz w:val="22"/>
                <w:szCs w:val="22"/>
              </w:rPr>
              <w:tab/>
            </w:r>
            <w:r w:rsidRPr="0032220A" w:rsidR="008959A4">
              <w:rPr>
                <w:rStyle w:val="Hyperlink"/>
                <w:noProof/>
              </w:rPr>
              <w:t>Revising the Go Back Policy:  Denied</w:t>
            </w:r>
            <w:r w:rsidR="008959A4">
              <w:rPr>
                <w:noProof/>
                <w:webHidden/>
              </w:rPr>
              <w:tab/>
            </w:r>
            <w:r w:rsidR="008959A4">
              <w:rPr>
                <w:noProof/>
                <w:webHidden/>
              </w:rPr>
              <w:fldChar w:fldCharType="begin"/>
            </w:r>
            <w:r w:rsidR="008959A4">
              <w:rPr>
                <w:noProof/>
                <w:webHidden/>
              </w:rPr>
              <w:instrText xml:space="preserve"> PAGEREF _Toc82159766 \h </w:instrText>
            </w:r>
            <w:r w:rsidR="008959A4">
              <w:rPr>
                <w:noProof/>
                <w:webHidden/>
              </w:rPr>
            </w:r>
            <w:r w:rsidR="008959A4">
              <w:rPr>
                <w:noProof/>
                <w:webHidden/>
              </w:rPr>
              <w:fldChar w:fldCharType="separate"/>
            </w:r>
            <w:r w:rsidR="00A643C3">
              <w:rPr>
                <w:noProof/>
                <w:webHidden/>
              </w:rPr>
              <w:t>79</w:t>
            </w:r>
            <w:r w:rsidR="008959A4">
              <w:rPr>
                <w:noProof/>
                <w:webHidden/>
              </w:rPr>
              <w:fldChar w:fldCharType="end"/>
            </w:r>
          </w:hyperlink>
        </w:p>
        <w:p w:rsidR="008959A4" w:rsidP="008959A4" w:rsidRDefault="00ED6D61" w14:paraId="253FB5E1" w14:textId="10568CE5">
          <w:pPr>
            <w:pStyle w:val="TOC4"/>
            <w:tabs>
              <w:tab w:val="left" w:pos="3060"/>
            </w:tabs>
            <w:rPr>
              <w:rFonts w:asciiTheme="minorHAnsi" w:hAnsiTheme="minorHAnsi" w:eastAsiaTheme="minorEastAsia" w:cstheme="minorBidi"/>
              <w:noProof/>
              <w:sz w:val="22"/>
              <w:szCs w:val="22"/>
            </w:rPr>
          </w:pPr>
          <w:hyperlink w:history="1" w:anchor="_Toc82159767">
            <w:r w:rsidRPr="0032220A" w:rsidR="008959A4">
              <w:rPr>
                <w:rStyle w:val="Hyperlink"/>
                <w:noProof/>
              </w:rPr>
              <w:t>5.3.9.8.</w:t>
            </w:r>
            <w:r w:rsidR="008959A4">
              <w:rPr>
                <w:rFonts w:asciiTheme="minorHAnsi" w:hAnsiTheme="minorHAnsi" w:eastAsiaTheme="minorEastAsia" w:cstheme="minorBidi"/>
                <w:noProof/>
                <w:sz w:val="22"/>
                <w:szCs w:val="22"/>
              </w:rPr>
              <w:tab/>
            </w:r>
            <w:r w:rsidRPr="0032220A" w:rsidR="008959A4">
              <w:rPr>
                <w:rStyle w:val="Hyperlink"/>
                <w:noProof/>
              </w:rPr>
              <w:t>Mid Cycle Review:  New</w:t>
            </w:r>
            <w:r w:rsidR="008959A4">
              <w:rPr>
                <w:noProof/>
                <w:webHidden/>
              </w:rPr>
              <w:tab/>
            </w:r>
            <w:r w:rsidR="008959A4">
              <w:rPr>
                <w:noProof/>
                <w:webHidden/>
              </w:rPr>
              <w:fldChar w:fldCharType="begin"/>
            </w:r>
            <w:r w:rsidR="008959A4">
              <w:rPr>
                <w:noProof/>
                <w:webHidden/>
              </w:rPr>
              <w:instrText xml:space="preserve"> PAGEREF _Toc82159767 \h </w:instrText>
            </w:r>
            <w:r w:rsidR="008959A4">
              <w:rPr>
                <w:noProof/>
                <w:webHidden/>
              </w:rPr>
            </w:r>
            <w:r w:rsidR="008959A4">
              <w:rPr>
                <w:noProof/>
                <w:webHidden/>
              </w:rPr>
              <w:fldChar w:fldCharType="separate"/>
            </w:r>
            <w:r w:rsidR="00A643C3">
              <w:rPr>
                <w:noProof/>
                <w:webHidden/>
              </w:rPr>
              <w:t>79</w:t>
            </w:r>
            <w:r w:rsidR="008959A4">
              <w:rPr>
                <w:noProof/>
                <w:webHidden/>
              </w:rPr>
              <w:fldChar w:fldCharType="end"/>
            </w:r>
          </w:hyperlink>
        </w:p>
        <w:p w:rsidR="008959A4" w:rsidP="008959A4" w:rsidRDefault="00ED6D61" w14:paraId="18313FFF" w14:textId="196BA9F8">
          <w:pPr>
            <w:pStyle w:val="TOC4"/>
            <w:tabs>
              <w:tab w:val="left" w:pos="3060"/>
            </w:tabs>
            <w:rPr>
              <w:rFonts w:asciiTheme="minorHAnsi" w:hAnsiTheme="minorHAnsi" w:eastAsiaTheme="minorEastAsia" w:cstheme="minorBidi"/>
              <w:noProof/>
              <w:sz w:val="22"/>
              <w:szCs w:val="22"/>
            </w:rPr>
          </w:pPr>
          <w:hyperlink w:history="1" w:anchor="_Toc82159768">
            <w:r w:rsidRPr="0032220A" w:rsidR="008959A4">
              <w:rPr>
                <w:rStyle w:val="Hyperlink"/>
                <w:noProof/>
              </w:rPr>
              <w:t>5.3.9.9.</w:t>
            </w:r>
            <w:r w:rsidR="008959A4">
              <w:rPr>
                <w:rFonts w:asciiTheme="minorHAnsi" w:hAnsiTheme="minorHAnsi" w:eastAsiaTheme="minorEastAsia" w:cstheme="minorBidi"/>
                <w:noProof/>
                <w:sz w:val="22"/>
                <w:szCs w:val="22"/>
              </w:rPr>
              <w:tab/>
            </w:r>
            <w:r w:rsidRPr="0032220A" w:rsidR="008959A4">
              <w:rPr>
                <w:rStyle w:val="Hyperlink"/>
                <w:noProof/>
              </w:rPr>
              <w:t xml:space="preserve">Tier 1 Advice Letter on SMJU Practices for ESA Contractor Selection and/or Contract </w:t>
            </w:r>
            <w:r w:rsidR="008959A4">
              <w:rPr>
                <w:rStyle w:val="Hyperlink"/>
                <w:noProof/>
              </w:rPr>
              <w:br/>
            </w:r>
            <w:r w:rsidRPr="0032220A" w:rsidR="008959A4">
              <w:rPr>
                <w:rStyle w:val="Hyperlink"/>
                <w:noProof/>
              </w:rPr>
              <w:t>Amendment</w:t>
            </w:r>
            <w:r w:rsidR="00B577CC">
              <w:rPr>
                <w:rStyle w:val="Hyperlink"/>
                <w:noProof/>
              </w:rPr>
              <w:t>s</w:t>
            </w:r>
            <w:r w:rsidRPr="0032220A" w:rsidR="008959A4">
              <w:rPr>
                <w:rStyle w:val="Hyperlink"/>
                <w:noProof/>
              </w:rPr>
              <w:t xml:space="preserve">: </w:t>
            </w:r>
            <w:r w:rsidR="00E4034F">
              <w:rPr>
                <w:rStyle w:val="Hyperlink"/>
                <w:noProof/>
              </w:rPr>
              <w:t xml:space="preserve"> </w:t>
            </w:r>
            <w:r w:rsidRPr="0032220A" w:rsidR="008959A4">
              <w:rPr>
                <w:rStyle w:val="Hyperlink"/>
                <w:noProof/>
              </w:rPr>
              <w:t>New</w:t>
            </w:r>
            <w:r w:rsidR="008959A4">
              <w:rPr>
                <w:noProof/>
                <w:webHidden/>
              </w:rPr>
              <w:tab/>
            </w:r>
            <w:r w:rsidR="008959A4">
              <w:rPr>
                <w:noProof/>
                <w:webHidden/>
              </w:rPr>
              <w:fldChar w:fldCharType="begin"/>
            </w:r>
            <w:r w:rsidR="008959A4">
              <w:rPr>
                <w:noProof/>
                <w:webHidden/>
              </w:rPr>
              <w:instrText xml:space="preserve"> PAGEREF _Toc82159768 \h </w:instrText>
            </w:r>
            <w:r w:rsidR="008959A4">
              <w:rPr>
                <w:noProof/>
                <w:webHidden/>
              </w:rPr>
            </w:r>
            <w:r w:rsidR="008959A4">
              <w:rPr>
                <w:noProof/>
                <w:webHidden/>
              </w:rPr>
              <w:fldChar w:fldCharType="separate"/>
            </w:r>
            <w:r w:rsidR="00A643C3">
              <w:rPr>
                <w:noProof/>
                <w:webHidden/>
              </w:rPr>
              <w:t>80</w:t>
            </w:r>
            <w:r w:rsidR="008959A4">
              <w:rPr>
                <w:noProof/>
                <w:webHidden/>
              </w:rPr>
              <w:fldChar w:fldCharType="end"/>
            </w:r>
          </w:hyperlink>
        </w:p>
        <w:p w:rsidR="008959A4" w:rsidP="008959A4" w:rsidRDefault="00ED6D61" w14:paraId="3470E983" w14:textId="19E4D59D">
          <w:pPr>
            <w:pStyle w:val="TOC2"/>
            <w:tabs>
              <w:tab w:val="right" w:leader="dot" w:pos="9350"/>
            </w:tabs>
            <w:ind w:left="1080" w:hanging="630"/>
            <w:rPr>
              <w:rFonts w:asciiTheme="minorHAnsi" w:hAnsiTheme="minorHAnsi" w:cstheme="minorBidi"/>
              <w:noProof/>
              <w:sz w:val="22"/>
              <w:szCs w:val="22"/>
            </w:rPr>
          </w:pPr>
          <w:hyperlink w:history="1" w:anchor="_Toc82159769">
            <w:r w:rsidRPr="0032220A" w:rsidR="008959A4">
              <w:rPr>
                <w:rStyle w:val="Hyperlink"/>
                <w:noProof/>
              </w:rPr>
              <w:t>5.4.</w:t>
            </w:r>
            <w:r w:rsidR="008959A4">
              <w:rPr>
                <w:rFonts w:asciiTheme="minorHAnsi" w:hAnsiTheme="minorHAnsi" w:cstheme="minorBidi"/>
                <w:noProof/>
                <w:sz w:val="22"/>
                <w:szCs w:val="22"/>
              </w:rPr>
              <w:tab/>
            </w:r>
            <w:r w:rsidRPr="0032220A" w:rsidR="008959A4">
              <w:rPr>
                <w:rStyle w:val="Hyperlink"/>
                <w:noProof/>
              </w:rPr>
              <w:t>ESA Program Measures</w:t>
            </w:r>
            <w:r w:rsidR="008959A4">
              <w:rPr>
                <w:noProof/>
                <w:webHidden/>
              </w:rPr>
              <w:tab/>
            </w:r>
            <w:r w:rsidR="008959A4">
              <w:rPr>
                <w:noProof/>
                <w:webHidden/>
              </w:rPr>
              <w:fldChar w:fldCharType="begin"/>
            </w:r>
            <w:r w:rsidR="008959A4">
              <w:rPr>
                <w:noProof/>
                <w:webHidden/>
              </w:rPr>
              <w:instrText xml:space="preserve"> PAGEREF _Toc82159769 \h </w:instrText>
            </w:r>
            <w:r w:rsidR="008959A4">
              <w:rPr>
                <w:noProof/>
                <w:webHidden/>
              </w:rPr>
            </w:r>
            <w:r w:rsidR="008959A4">
              <w:rPr>
                <w:noProof/>
                <w:webHidden/>
              </w:rPr>
              <w:fldChar w:fldCharType="separate"/>
            </w:r>
            <w:r w:rsidR="00A643C3">
              <w:rPr>
                <w:noProof/>
                <w:webHidden/>
              </w:rPr>
              <w:t>81</w:t>
            </w:r>
            <w:r w:rsidR="008959A4">
              <w:rPr>
                <w:noProof/>
                <w:webHidden/>
              </w:rPr>
              <w:fldChar w:fldCharType="end"/>
            </w:r>
          </w:hyperlink>
        </w:p>
        <w:p w:rsidR="008959A4" w:rsidP="008959A4" w:rsidRDefault="00ED6D61" w14:paraId="6ABB1231" w14:textId="30683D35">
          <w:pPr>
            <w:pStyle w:val="TOC3"/>
            <w:tabs>
              <w:tab w:val="right" w:leader="dot" w:pos="9350"/>
            </w:tabs>
            <w:ind w:left="1980" w:hanging="900"/>
            <w:rPr>
              <w:rFonts w:asciiTheme="minorHAnsi" w:hAnsiTheme="minorHAnsi" w:cstheme="minorBidi"/>
              <w:noProof/>
              <w:sz w:val="22"/>
              <w:szCs w:val="22"/>
            </w:rPr>
          </w:pPr>
          <w:hyperlink w:history="1" w:anchor="_Toc82159770">
            <w:r w:rsidRPr="0032220A" w:rsidR="008959A4">
              <w:rPr>
                <w:rStyle w:val="Hyperlink"/>
                <w:noProof/>
              </w:rPr>
              <w:t>5.4.1.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_Toc82159770 \h </w:instrText>
            </w:r>
            <w:r w:rsidR="008959A4">
              <w:rPr>
                <w:noProof/>
                <w:webHidden/>
              </w:rPr>
            </w:r>
            <w:r w:rsidR="008959A4">
              <w:rPr>
                <w:noProof/>
                <w:webHidden/>
              </w:rPr>
              <w:fldChar w:fldCharType="separate"/>
            </w:r>
            <w:r w:rsidR="00A643C3">
              <w:rPr>
                <w:noProof/>
                <w:webHidden/>
              </w:rPr>
              <w:t>81</w:t>
            </w:r>
            <w:r w:rsidR="008959A4">
              <w:rPr>
                <w:noProof/>
                <w:webHidden/>
              </w:rPr>
              <w:fldChar w:fldCharType="end"/>
            </w:r>
          </w:hyperlink>
        </w:p>
        <w:p w:rsidR="008959A4" w:rsidP="008959A4" w:rsidRDefault="00ED6D61" w14:paraId="25B5C635" w14:textId="7982FAE1">
          <w:pPr>
            <w:pStyle w:val="TOC3"/>
            <w:tabs>
              <w:tab w:val="right" w:leader="dot" w:pos="9350"/>
            </w:tabs>
            <w:ind w:left="1980" w:hanging="900"/>
            <w:rPr>
              <w:rFonts w:asciiTheme="minorHAnsi" w:hAnsiTheme="minorHAnsi" w:cstheme="minorBidi"/>
              <w:noProof/>
              <w:sz w:val="22"/>
              <w:szCs w:val="22"/>
            </w:rPr>
          </w:pPr>
          <w:hyperlink w:history="1" w:anchor="_Toc82159771">
            <w:r w:rsidRPr="0032220A" w:rsidR="008959A4">
              <w:rPr>
                <w:rStyle w:val="Hyperlink"/>
                <w:noProof/>
              </w:rPr>
              <w:t>5.4.2.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_Toc82159771 \h </w:instrText>
            </w:r>
            <w:r w:rsidR="008959A4">
              <w:rPr>
                <w:noProof/>
                <w:webHidden/>
              </w:rPr>
            </w:r>
            <w:r w:rsidR="008959A4">
              <w:rPr>
                <w:noProof/>
                <w:webHidden/>
              </w:rPr>
              <w:fldChar w:fldCharType="separate"/>
            </w:r>
            <w:r w:rsidR="00A643C3">
              <w:rPr>
                <w:noProof/>
                <w:webHidden/>
              </w:rPr>
              <w:t>82</w:t>
            </w:r>
            <w:r w:rsidR="008959A4">
              <w:rPr>
                <w:noProof/>
                <w:webHidden/>
              </w:rPr>
              <w:fldChar w:fldCharType="end"/>
            </w:r>
          </w:hyperlink>
        </w:p>
        <w:p w:rsidR="008959A4" w:rsidP="008959A4" w:rsidRDefault="00ED6D61" w14:paraId="4981A204" w14:textId="0D1B66C9">
          <w:pPr>
            <w:pStyle w:val="TOC3"/>
            <w:tabs>
              <w:tab w:val="right" w:leader="dot" w:pos="9350"/>
            </w:tabs>
            <w:ind w:left="1980" w:hanging="900"/>
            <w:rPr>
              <w:rFonts w:asciiTheme="minorHAnsi" w:hAnsiTheme="minorHAnsi" w:cstheme="minorBidi"/>
              <w:noProof/>
              <w:sz w:val="22"/>
              <w:szCs w:val="22"/>
            </w:rPr>
          </w:pPr>
          <w:hyperlink w:history="1" w:anchor="_Toc82159772">
            <w:r w:rsidRPr="0032220A" w:rsidR="008959A4">
              <w:rPr>
                <w:rStyle w:val="Hyperlink"/>
                <w:noProof/>
              </w:rPr>
              <w:t>5.4.3.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_Toc82159772 \h </w:instrText>
            </w:r>
            <w:r w:rsidR="008959A4">
              <w:rPr>
                <w:noProof/>
                <w:webHidden/>
              </w:rPr>
            </w:r>
            <w:r w:rsidR="008959A4">
              <w:rPr>
                <w:noProof/>
                <w:webHidden/>
              </w:rPr>
              <w:fldChar w:fldCharType="separate"/>
            </w:r>
            <w:r w:rsidR="00A643C3">
              <w:rPr>
                <w:noProof/>
                <w:webHidden/>
              </w:rPr>
              <w:t>82</w:t>
            </w:r>
            <w:r w:rsidR="008959A4">
              <w:rPr>
                <w:noProof/>
                <w:webHidden/>
              </w:rPr>
              <w:fldChar w:fldCharType="end"/>
            </w:r>
          </w:hyperlink>
        </w:p>
        <w:p w:rsidR="008959A4" w:rsidP="008959A4" w:rsidRDefault="00ED6D61" w14:paraId="0D31473A" w14:textId="009870A2">
          <w:pPr>
            <w:pStyle w:val="TOC3"/>
            <w:tabs>
              <w:tab w:val="right" w:leader="dot" w:pos="9350"/>
            </w:tabs>
            <w:ind w:left="1980" w:hanging="900"/>
            <w:rPr>
              <w:rFonts w:asciiTheme="minorHAnsi" w:hAnsiTheme="minorHAnsi" w:cstheme="minorBidi"/>
              <w:noProof/>
              <w:sz w:val="22"/>
              <w:szCs w:val="22"/>
            </w:rPr>
          </w:pPr>
          <w:hyperlink w:history="1" w:anchor="_Toc82159773">
            <w:r w:rsidRPr="0032220A" w:rsidR="008959A4">
              <w:rPr>
                <w:rStyle w:val="Hyperlink"/>
                <w:noProof/>
              </w:rPr>
              <w:t>5.4.4.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_Toc82159773 \h </w:instrText>
            </w:r>
            <w:r w:rsidR="008959A4">
              <w:rPr>
                <w:noProof/>
                <w:webHidden/>
              </w:rPr>
            </w:r>
            <w:r w:rsidR="008959A4">
              <w:rPr>
                <w:noProof/>
                <w:webHidden/>
              </w:rPr>
              <w:fldChar w:fldCharType="separate"/>
            </w:r>
            <w:r w:rsidR="00A643C3">
              <w:rPr>
                <w:noProof/>
                <w:webHidden/>
              </w:rPr>
              <w:t>83</w:t>
            </w:r>
            <w:r w:rsidR="008959A4">
              <w:rPr>
                <w:noProof/>
                <w:webHidden/>
              </w:rPr>
              <w:fldChar w:fldCharType="end"/>
            </w:r>
          </w:hyperlink>
        </w:p>
        <w:p w:rsidR="008959A4" w:rsidP="008959A4" w:rsidRDefault="00ED6D61" w14:paraId="36863265" w14:textId="229E665D">
          <w:pPr>
            <w:pStyle w:val="TOC3"/>
            <w:tabs>
              <w:tab w:val="right" w:leader="dot" w:pos="9350"/>
            </w:tabs>
            <w:ind w:left="1980" w:hanging="900"/>
            <w:rPr>
              <w:rFonts w:asciiTheme="minorHAnsi" w:hAnsiTheme="minorHAnsi" w:cstheme="minorBidi"/>
              <w:noProof/>
              <w:sz w:val="22"/>
              <w:szCs w:val="22"/>
            </w:rPr>
          </w:pPr>
          <w:hyperlink w:history="1" w:anchor="_Toc82159774">
            <w:r w:rsidRPr="0032220A" w:rsidR="008959A4">
              <w:rPr>
                <w:rStyle w:val="Hyperlink"/>
                <w:noProof/>
              </w:rPr>
              <w:t>5.4.5.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_Toc82159774 \h </w:instrText>
            </w:r>
            <w:r w:rsidR="008959A4">
              <w:rPr>
                <w:noProof/>
                <w:webHidden/>
              </w:rPr>
            </w:r>
            <w:r w:rsidR="008959A4">
              <w:rPr>
                <w:noProof/>
                <w:webHidden/>
              </w:rPr>
              <w:fldChar w:fldCharType="separate"/>
            </w:r>
            <w:r w:rsidR="00A643C3">
              <w:rPr>
                <w:noProof/>
                <w:webHidden/>
              </w:rPr>
              <w:t>84</w:t>
            </w:r>
            <w:r w:rsidR="008959A4">
              <w:rPr>
                <w:noProof/>
                <w:webHidden/>
              </w:rPr>
              <w:fldChar w:fldCharType="end"/>
            </w:r>
          </w:hyperlink>
        </w:p>
        <w:p w:rsidR="008959A4" w:rsidP="008959A4" w:rsidRDefault="00ED6D61" w14:paraId="55481A9E" w14:textId="022F1FFA">
          <w:pPr>
            <w:pStyle w:val="TOC3"/>
            <w:tabs>
              <w:tab w:val="right" w:leader="dot" w:pos="9350"/>
            </w:tabs>
            <w:ind w:left="1980" w:hanging="900"/>
            <w:rPr>
              <w:rFonts w:asciiTheme="minorHAnsi" w:hAnsiTheme="minorHAnsi" w:cstheme="minorBidi"/>
              <w:noProof/>
              <w:sz w:val="22"/>
              <w:szCs w:val="22"/>
            </w:rPr>
          </w:pPr>
          <w:hyperlink w:history="1" w:anchor="_Toc82159775">
            <w:r w:rsidRPr="0032220A" w:rsidR="008959A4">
              <w:rPr>
                <w:rStyle w:val="Hyperlink"/>
                <w:noProof/>
              </w:rPr>
              <w:t>5.4.6.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_Toc82159775 \h </w:instrText>
            </w:r>
            <w:r w:rsidR="008959A4">
              <w:rPr>
                <w:noProof/>
                <w:webHidden/>
              </w:rPr>
            </w:r>
            <w:r w:rsidR="008959A4">
              <w:rPr>
                <w:noProof/>
                <w:webHidden/>
              </w:rPr>
              <w:fldChar w:fldCharType="separate"/>
            </w:r>
            <w:r w:rsidR="00A643C3">
              <w:rPr>
                <w:noProof/>
                <w:webHidden/>
              </w:rPr>
              <w:t>85</w:t>
            </w:r>
            <w:r w:rsidR="008959A4">
              <w:rPr>
                <w:noProof/>
                <w:webHidden/>
              </w:rPr>
              <w:fldChar w:fldCharType="end"/>
            </w:r>
          </w:hyperlink>
        </w:p>
        <w:p w:rsidR="008959A4" w:rsidP="008959A4" w:rsidRDefault="00ED6D61" w14:paraId="4A31F5A4" w14:textId="5FAE8BEB">
          <w:pPr>
            <w:pStyle w:val="TOC3"/>
            <w:tabs>
              <w:tab w:val="right" w:leader="dot" w:pos="9350"/>
            </w:tabs>
            <w:ind w:left="1980" w:hanging="900"/>
            <w:rPr>
              <w:rFonts w:asciiTheme="minorHAnsi" w:hAnsiTheme="minorHAnsi" w:cstheme="minorBidi"/>
              <w:noProof/>
              <w:sz w:val="22"/>
              <w:szCs w:val="22"/>
            </w:rPr>
          </w:pPr>
          <w:hyperlink w:history="1" w:anchor="_Toc82159776">
            <w:r w:rsidRPr="0032220A" w:rsidR="008959A4">
              <w:rPr>
                <w:rStyle w:val="Hyperlink"/>
                <w:noProof/>
              </w:rPr>
              <w:t>5.4.7.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_Toc82159776 \h </w:instrText>
            </w:r>
            <w:r w:rsidR="008959A4">
              <w:rPr>
                <w:noProof/>
                <w:webHidden/>
              </w:rPr>
            </w:r>
            <w:r w:rsidR="008959A4">
              <w:rPr>
                <w:noProof/>
                <w:webHidden/>
              </w:rPr>
              <w:fldChar w:fldCharType="separate"/>
            </w:r>
            <w:r w:rsidR="00A643C3">
              <w:rPr>
                <w:noProof/>
                <w:webHidden/>
              </w:rPr>
              <w:t>86</w:t>
            </w:r>
            <w:r w:rsidR="008959A4">
              <w:rPr>
                <w:noProof/>
                <w:webHidden/>
              </w:rPr>
              <w:fldChar w:fldCharType="end"/>
            </w:r>
          </w:hyperlink>
        </w:p>
        <w:p w:rsidR="008959A4" w:rsidP="008959A4" w:rsidRDefault="00ED6D61" w14:paraId="79A97109" w14:textId="1347F459">
          <w:pPr>
            <w:pStyle w:val="TOC4"/>
            <w:tabs>
              <w:tab w:val="left" w:pos="3060"/>
            </w:tabs>
            <w:rPr>
              <w:rFonts w:asciiTheme="minorHAnsi" w:hAnsiTheme="minorHAnsi" w:eastAsiaTheme="minorEastAsia" w:cstheme="minorBidi"/>
              <w:noProof/>
              <w:sz w:val="22"/>
              <w:szCs w:val="22"/>
            </w:rPr>
          </w:pPr>
          <w:hyperlink w:history="1" w:anchor="_Toc82159777">
            <w:r w:rsidRPr="0032220A" w:rsidR="008959A4">
              <w:rPr>
                <w:rStyle w:val="Hyperlink"/>
                <w:noProof/>
              </w:rPr>
              <w:t>5.4.7.1.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_Toc82159777 \h </w:instrText>
            </w:r>
            <w:r w:rsidR="008959A4">
              <w:rPr>
                <w:noProof/>
                <w:webHidden/>
              </w:rPr>
            </w:r>
            <w:r w:rsidR="008959A4">
              <w:rPr>
                <w:noProof/>
                <w:webHidden/>
              </w:rPr>
              <w:fldChar w:fldCharType="separate"/>
            </w:r>
            <w:r w:rsidR="00A643C3">
              <w:rPr>
                <w:noProof/>
                <w:webHidden/>
              </w:rPr>
              <w:t>86</w:t>
            </w:r>
            <w:r w:rsidR="008959A4">
              <w:rPr>
                <w:noProof/>
                <w:webHidden/>
              </w:rPr>
              <w:fldChar w:fldCharType="end"/>
            </w:r>
          </w:hyperlink>
        </w:p>
        <w:p w:rsidR="008959A4" w:rsidP="008959A4" w:rsidRDefault="00ED6D61" w14:paraId="74626C03" w14:textId="1942B5AB">
          <w:pPr>
            <w:pStyle w:val="TOC4"/>
            <w:tabs>
              <w:tab w:val="left" w:pos="3060"/>
            </w:tabs>
            <w:rPr>
              <w:rFonts w:asciiTheme="minorHAnsi" w:hAnsiTheme="minorHAnsi" w:eastAsiaTheme="minorEastAsia" w:cstheme="minorBidi"/>
              <w:noProof/>
              <w:sz w:val="22"/>
              <w:szCs w:val="22"/>
            </w:rPr>
          </w:pPr>
          <w:hyperlink w:history="1" w:anchor="_Toc82159778">
            <w:r w:rsidRPr="0032220A" w:rsidR="008959A4">
              <w:rPr>
                <w:rStyle w:val="Hyperlink"/>
                <w:noProof/>
              </w:rPr>
              <w:t>5.4.7.2.</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_Toc82159778 \h </w:instrText>
            </w:r>
            <w:r w:rsidR="008959A4">
              <w:rPr>
                <w:noProof/>
                <w:webHidden/>
              </w:rPr>
            </w:r>
            <w:r w:rsidR="008959A4">
              <w:rPr>
                <w:noProof/>
                <w:webHidden/>
              </w:rPr>
              <w:fldChar w:fldCharType="separate"/>
            </w:r>
            <w:r w:rsidR="00A643C3">
              <w:rPr>
                <w:noProof/>
                <w:webHidden/>
              </w:rPr>
              <w:t>86</w:t>
            </w:r>
            <w:r w:rsidR="008959A4">
              <w:rPr>
                <w:noProof/>
                <w:webHidden/>
              </w:rPr>
              <w:fldChar w:fldCharType="end"/>
            </w:r>
          </w:hyperlink>
        </w:p>
        <w:p w:rsidR="008959A4" w:rsidP="008959A4" w:rsidRDefault="00ED6D61" w14:paraId="7ED6B821" w14:textId="620FB04A">
          <w:pPr>
            <w:pStyle w:val="TOC3"/>
            <w:tabs>
              <w:tab w:val="right" w:leader="dot" w:pos="9350"/>
            </w:tabs>
            <w:ind w:left="1980" w:hanging="900"/>
            <w:rPr>
              <w:rFonts w:asciiTheme="minorHAnsi" w:hAnsiTheme="minorHAnsi" w:cstheme="minorBidi"/>
              <w:noProof/>
              <w:sz w:val="22"/>
              <w:szCs w:val="22"/>
            </w:rPr>
          </w:pPr>
          <w:hyperlink w:history="1" w:anchor="_Toc82159779">
            <w:r w:rsidRPr="0032220A" w:rsidR="008959A4">
              <w:rPr>
                <w:rStyle w:val="Hyperlink"/>
                <w:noProof/>
              </w:rPr>
              <w:t>5.4.8.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_Toc82159779 \h </w:instrText>
            </w:r>
            <w:r w:rsidR="008959A4">
              <w:rPr>
                <w:noProof/>
                <w:webHidden/>
              </w:rPr>
            </w:r>
            <w:r w:rsidR="008959A4">
              <w:rPr>
                <w:noProof/>
                <w:webHidden/>
              </w:rPr>
              <w:fldChar w:fldCharType="separate"/>
            </w:r>
            <w:r w:rsidR="00A643C3">
              <w:rPr>
                <w:noProof/>
                <w:webHidden/>
              </w:rPr>
              <w:t>86</w:t>
            </w:r>
            <w:r w:rsidR="008959A4">
              <w:rPr>
                <w:noProof/>
                <w:webHidden/>
              </w:rPr>
              <w:fldChar w:fldCharType="end"/>
            </w:r>
          </w:hyperlink>
        </w:p>
        <w:p w:rsidR="008959A4" w:rsidP="008959A4" w:rsidRDefault="00ED6D61" w14:paraId="0E62D2BC" w14:textId="5483B97E">
          <w:pPr>
            <w:pStyle w:val="TOC4"/>
            <w:tabs>
              <w:tab w:val="left" w:pos="3060"/>
            </w:tabs>
            <w:rPr>
              <w:rFonts w:asciiTheme="minorHAnsi" w:hAnsiTheme="minorHAnsi" w:eastAsiaTheme="minorEastAsia" w:cstheme="minorBidi"/>
              <w:noProof/>
              <w:sz w:val="22"/>
              <w:szCs w:val="22"/>
            </w:rPr>
          </w:pPr>
          <w:hyperlink w:history="1" w:anchor="_Toc82159780">
            <w:r w:rsidRPr="0032220A" w:rsidR="008959A4">
              <w:rPr>
                <w:rStyle w:val="Hyperlink"/>
                <w:noProof/>
              </w:rPr>
              <w:t>5.4.8.1.</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_Toc82159780 \h </w:instrText>
            </w:r>
            <w:r w:rsidR="008959A4">
              <w:rPr>
                <w:noProof/>
                <w:webHidden/>
              </w:rPr>
            </w:r>
            <w:r w:rsidR="008959A4">
              <w:rPr>
                <w:noProof/>
                <w:webHidden/>
              </w:rPr>
              <w:fldChar w:fldCharType="separate"/>
            </w:r>
            <w:r w:rsidR="00A643C3">
              <w:rPr>
                <w:noProof/>
                <w:webHidden/>
              </w:rPr>
              <w:t>86</w:t>
            </w:r>
            <w:r w:rsidR="008959A4">
              <w:rPr>
                <w:noProof/>
                <w:webHidden/>
              </w:rPr>
              <w:fldChar w:fldCharType="end"/>
            </w:r>
          </w:hyperlink>
        </w:p>
        <w:p w:rsidR="008959A4" w:rsidP="008959A4" w:rsidRDefault="00ED6D61" w14:paraId="003B3CCF" w14:textId="51B33BE5">
          <w:pPr>
            <w:pStyle w:val="TOC3"/>
            <w:tabs>
              <w:tab w:val="right" w:leader="dot" w:pos="9350"/>
            </w:tabs>
            <w:ind w:left="1980" w:hanging="900"/>
            <w:rPr>
              <w:rFonts w:asciiTheme="minorHAnsi" w:hAnsiTheme="minorHAnsi" w:cstheme="minorBidi"/>
              <w:noProof/>
              <w:sz w:val="22"/>
              <w:szCs w:val="22"/>
            </w:rPr>
          </w:pPr>
          <w:hyperlink w:history="1" w:anchor="_Toc82159781">
            <w:r w:rsidRPr="0032220A" w:rsidR="008959A4">
              <w:rPr>
                <w:rStyle w:val="Hyperlink"/>
                <w:iCs/>
                <w:noProof/>
              </w:rPr>
              <w:t>5.4.9.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_Toc82159781 \h </w:instrText>
            </w:r>
            <w:r w:rsidR="008959A4">
              <w:rPr>
                <w:noProof/>
                <w:webHidden/>
              </w:rPr>
            </w:r>
            <w:r w:rsidR="008959A4">
              <w:rPr>
                <w:noProof/>
                <w:webHidden/>
              </w:rPr>
              <w:fldChar w:fldCharType="separate"/>
            </w:r>
            <w:r w:rsidR="00A643C3">
              <w:rPr>
                <w:noProof/>
                <w:webHidden/>
              </w:rPr>
              <w:t>87</w:t>
            </w:r>
            <w:r w:rsidR="008959A4">
              <w:rPr>
                <w:noProof/>
                <w:webHidden/>
              </w:rPr>
              <w:fldChar w:fldCharType="end"/>
            </w:r>
          </w:hyperlink>
        </w:p>
        <w:p w:rsidR="008959A4" w:rsidP="008959A4" w:rsidRDefault="00ED6D61" w14:paraId="7B9881C0" w14:textId="20938DDD">
          <w:pPr>
            <w:pStyle w:val="TOC4"/>
            <w:tabs>
              <w:tab w:val="left" w:pos="3060"/>
            </w:tabs>
            <w:rPr>
              <w:rFonts w:asciiTheme="minorHAnsi" w:hAnsiTheme="minorHAnsi" w:eastAsiaTheme="minorEastAsia" w:cstheme="minorBidi"/>
              <w:noProof/>
              <w:sz w:val="22"/>
              <w:szCs w:val="22"/>
            </w:rPr>
          </w:pPr>
          <w:hyperlink w:history="1" w:anchor="_Toc82159782">
            <w:r w:rsidRPr="0032220A" w:rsidR="008959A4">
              <w:rPr>
                <w:rStyle w:val="Hyperlink"/>
                <w:noProof/>
              </w:rPr>
              <w:t>5.4.9.1.</w:t>
            </w:r>
            <w:r w:rsidR="008959A4">
              <w:rPr>
                <w:rFonts w:asciiTheme="minorHAnsi" w:hAnsiTheme="minorHAnsi" w:eastAsiaTheme="minorEastAsia" w:cstheme="minorBidi"/>
                <w:noProof/>
                <w:sz w:val="22"/>
                <w:szCs w:val="22"/>
              </w:rPr>
              <w:tab/>
            </w:r>
            <w:r w:rsidRPr="0032220A" w:rsidR="008959A4">
              <w:rPr>
                <w:rStyle w:val="Hyperlink"/>
                <w:noProof/>
              </w:rPr>
              <w:t xml:space="preserve">SMJUs’ Proposed </w:t>
            </w:r>
            <w:r w:rsidRPr="0032220A" w:rsidR="008959A4">
              <w:rPr>
                <w:rStyle w:val="Hyperlink"/>
                <w:bCs/>
                <w:noProof/>
              </w:rPr>
              <w:t>PY</w:t>
            </w:r>
            <w:r w:rsidR="001F602E">
              <w:rPr>
                <w:rStyle w:val="Hyperlink"/>
                <w:bCs/>
                <w:noProof/>
              </w:rPr>
              <w:t>s</w:t>
            </w:r>
            <w:r w:rsidRPr="0032220A" w:rsidR="008959A4">
              <w:rPr>
                <w:rStyle w:val="Hyperlink"/>
                <w:bCs/>
                <w:noProof/>
              </w:rPr>
              <w:t xml:space="preserve"> 2021-2026 Measure </w:t>
            </w:r>
            <w:r w:rsidR="00BA5DD1">
              <w:rPr>
                <w:rStyle w:val="Hyperlink"/>
                <w:bCs/>
                <w:noProof/>
              </w:rPr>
              <w:br/>
            </w:r>
            <w:r w:rsidRPr="0032220A" w:rsidR="008959A4">
              <w:rPr>
                <w:rStyle w:val="Hyperlink"/>
                <w:bCs/>
                <w:noProof/>
              </w:rPr>
              <w:t>Portfolio</w:t>
            </w:r>
            <w:r w:rsidRPr="0032220A" w:rsidR="008959A4">
              <w:rPr>
                <w:rStyle w:val="Hyperlink"/>
                <w:noProof/>
              </w:rPr>
              <w:t>:  Approved with Modifications</w:t>
            </w:r>
            <w:r w:rsidR="008959A4">
              <w:rPr>
                <w:noProof/>
                <w:webHidden/>
              </w:rPr>
              <w:tab/>
            </w:r>
            <w:r w:rsidR="008959A4">
              <w:rPr>
                <w:noProof/>
                <w:webHidden/>
              </w:rPr>
              <w:fldChar w:fldCharType="begin"/>
            </w:r>
            <w:r w:rsidR="008959A4">
              <w:rPr>
                <w:noProof/>
                <w:webHidden/>
              </w:rPr>
              <w:instrText xml:space="preserve"> PAGEREF _Toc82159782 \h </w:instrText>
            </w:r>
            <w:r w:rsidR="008959A4">
              <w:rPr>
                <w:noProof/>
                <w:webHidden/>
              </w:rPr>
            </w:r>
            <w:r w:rsidR="008959A4">
              <w:rPr>
                <w:noProof/>
                <w:webHidden/>
              </w:rPr>
              <w:fldChar w:fldCharType="separate"/>
            </w:r>
            <w:r w:rsidR="00A643C3">
              <w:rPr>
                <w:noProof/>
                <w:webHidden/>
              </w:rPr>
              <w:t>87</w:t>
            </w:r>
            <w:r w:rsidR="008959A4">
              <w:rPr>
                <w:noProof/>
                <w:webHidden/>
              </w:rPr>
              <w:fldChar w:fldCharType="end"/>
            </w:r>
          </w:hyperlink>
        </w:p>
        <w:p w:rsidR="008959A4" w:rsidP="008959A4" w:rsidRDefault="00ED6D61" w14:paraId="24B69791" w14:textId="1B02793E">
          <w:pPr>
            <w:pStyle w:val="TOC4"/>
            <w:tabs>
              <w:tab w:val="left" w:pos="3060"/>
            </w:tabs>
            <w:rPr>
              <w:rFonts w:asciiTheme="minorHAnsi" w:hAnsiTheme="minorHAnsi" w:eastAsiaTheme="minorEastAsia" w:cstheme="minorBidi"/>
              <w:noProof/>
              <w:sz w:val="22"/>
              <w:szCs w:val="22"/>
            </w:rPr>
          </w:pPr>
          <w:hyperlink w:history="1" w:anchor="_Toc82159783">
            <w:r w:rsidRPr="0032220A" w:rsidR="008959A4">
              <w:rPr>
                <w:rStyle w:val="Hyperlink"/>
                <w:noProof/>
              </w:rPr>
              <w:t>5.4.9.2.</w:t>
            </w:r>
            <w:r w:rsidR="008959A4">
              <w:rPr>
                <w:rFonts w:asciiTheme="minorHAnsi" w:hAnsiTheme="minorHAnsi" w:eastAsiaTheme="minorEastAsia" w:cstheme="minorBidi"/>
                <w:noProof/>
                <w:sz w:val="22"/>
                <w:szCs w:val="22"/>
              </w:rPr>
              <w:tab/>
            </w:r>
            <w:r w:rsidRPr="0032220A" w:rsidR="008959A4">
              <w:rPr>
                <w:rStyle w:val="Hyperlink"/>
                <w:noProof/>
              </w:rPr>
              <w:t>Post Decision Compliance Filing:  New</w:t>
            </w:r>
            <w:r w:rsidR="008959A4">
              <w:rPr>
                <w:noProof/>
                <w:webHidden/>
              </w:rPr>
              <w:tab/>
            </w:r>
            <w:r w:rsidR="008959A4">
              <w:rPr>
                <w:noProof/>
                <w:webHidden/>
              </w:rPr>
              <w:fldChar w:fldCharType="begin"/>
            </w:r>
            <w:r w:rsidR="008959A4">
              <w:rPr>
                <w:noProof/>
                <w:webHidden/>
              </w:rPr>
              <w:instrText xml:space="preserve"> PAGEREF _Toc82159783 \h </w:instrText>
            </w:r>
            <w:r w:rsidR="008959A4">
              <w:rPr>
                <w:noProof/>
                <w:webHidden/>
              </w:rPr>
            </w:r>
            <w:r w:rsidR="008959A4">
              <w:rPr>
                <w:noProof/>
                <w:webHidden/>
              </w:rPr>
              <w:fldChar w:fldCharType="separate"/>
            </w:r>
            <w:r w:rsidR="00A643C3">
              <w:rPr>
                <w:noProof/>
                <w:webHidden/>
              </w:rPr>
              <w:t>88</w:t>
            </w:r>
            <w:r w:rsidR="008959A4">
              <w:rPr>
                <w:noProof/>
                <w:webHidden/>
              </w:rPr>
              <w:fldChar w:fldCharType="end"/>
            </w:r>
          </w:hyperlink>
        </w:p>
        <w:p w:rsidR="008959A4" w:rsidP="008959A4" w:rsidRDefault="00ED6D61" w14:paraId="0BE15E6F" w14:textId="02B57246">
          <w:pPr>
            <w:pStyle w:val="TOC4"/>
            <w:tabs>
              <w:tab w:val="left" w:pos="3060"/>
            </w:tabs>
            <w:rPr>
              <w:rFonts w:asciiTheme="minorHAnsi" w:hAnsiTheme="minorHAnsi" w:eastAsiaTheme="minorEastAsia" w:cstheme="minorBidi"/>
              <w:noProof/>
              <w:sz w:val="22"/>
              <w:szCs w:val="22"/>
            </w:rPr>
          </w:pPr>
          <w:hyperlink w:history="1" w:anchor="_Toc82159784">
            <w:r w:rsidRPr="0032220A" w:rsidR="008959A4">
              <w:rPr>
                <w:rStyle w:val="Hyperlink"/>
                <w:noProof/>
              </w:rPr>
              <w:t>5.4.9.3.</w:t>
            </w:r>
            <w:r w:rsidR="008959A4">
              <w:rPr>
                <w:rFonts w:asciiTheme="minorHAnsi" w:hAnsiTheme="minorHAnsi" w:eastAsiaTheme="minorEastAsia" w:cstheme="minorBidi"/>
                <w:noProof/>
                <w:sz w:val="22"/>
                <w:szCs w:val="22"/>
              </w:rPr>
              <w:tab/>
            </w:r>
            <w:r w:rsidRPr="0032220A" w:rsidR="008959A4">
              <w:rPr>
                <w:rStyle w:val="Hyperlink"/>
                <w:noProof/>
              </w:rPr>
              <w:t xml:space="preserve">Adding All Commission Approved Measures:  </w:t>
            </w:r>
            <w:r w:rsidR="00617D2A">
              <w:rPr>
                <w:rStyle w:val="Hyperlink"/>
                <w:noProof/>
              </w:rPr>
              <w:br/>
            </w:r>
            <w:r w:rsidRPr="0032220A" w:rsidR="008959A4">
              <w:rPr>
                <w:rStyle w:val="Hyperlink"/>
                <w:noProof/>
              </w:rPr>
              <w:t>Denied</w:t>
            </w:r>
            <w:r w:rsidR="008959A4">
              <w:rPr>
                <w:noProof/>
                <w:webHidden/>
              </w:rPr>
              <w:tab/>
            </w:r>
            <w:r w:rsidR="008959A4">
              <w:rPr>
                <w:noProof/>
                <w:webHidden/>
              </w:rPr>
              <w:fldChar w:fldCharType="begin"/>
            </w:r>
            <w:r w:rsidR="008959A4">
              <w:rPr>
                <w:noProof/>
                <w:webHidden/>
              </w:rPr>
              <w:instrText xml:space="preserve"> PAGEREF _Toc82159784 \h </w:instrText>
            </w:r>
            <w:r w:rsidR="008959A4">
              <w:rPr>
                <w:noProof/>
                <w:webHidden/>
              </w:rPr>
            </w:r>
            <w:r w:rsidR="008959A4">
              <w:rPr>
                <w:noProof/>
                <w:webHidden/>
              </w:rPr>
              <w:fldChar w:fldCharType="separate"/>
            </w:r>
            <w:r w:rsidR="00A643C3">
              <w:rPr>
                <w:noProof/>
                <w:webHidden/>
              </w:rPr>
              <w:t>88</w:t>
            </w:r>
            <w:r w:rsidR="008959A4">
              <w:rPr>
                <w:noProof/>
                <w:webHidden/>
              </w:rPr>
              <w:fldChar w:fldCharType="end"/>
            </w:r>
          </w:hyperlink>
        </w:p>
        <w:p w:rsidR="008959A4" w:rsidP="008959A4" w:rsidRDefault="00ED6D61" w14:paraId="5FF08A1C" w14:textId="29329C4F">
          <w:pPr>
            <w:pStyle w:val="TOC4"/>
            <w:tabs>
              <w:tab w:val="left" w:pos="3060"/>
            </w:tabs>
            <w:rPr>
              <w:rFonts w:asciiTheme="minorHAnsi" w:hAnsiTheme="minorHAnsi" w:eastAsiaTheme="minorEastAsia" w:cstheme="minorBidi"/>
              <w:noProof/>
              <w:sz w:val="22"/>
              <w:szCs w:val="22"/>
            </w:rPr>
          </w:pPr>
          <w:hyperlink w:history="1" w:anchor="_Toc82159785">
            <w:r w:rsidRPr="0032220A" w:rsidR="008959A4">
              <w:rPr>
                <w:rStyle w:val="Hyperlink"/>
                <w:noProof/>
              </w:rPr>
              <w:t>5.4.9.4.</w:t>
            </w:r>
            <w:r w:rsidR="008959A4">
              <w:rPr>
                <w:rFonts w:asciiTheme="minorHAnsi" w:hAnsiTheme="minorHAnsi" w:eastAsiaTheme="minorEastAsia" w:cstheme="minorBidi"/>
                <w:noProof/>
                <w:sz w:val="22"/>
                <w:szCs w:val="22"/>
              </w:rPr>
              <w:tab/>
            </w:r>
            <w:r w:rsidRPr="0032220A" w:rsidR="008959A4">
              <w:rPr>
                <w:rStyle w:val="Hyperlink"/>
                <w:noProof/>
              </w:rPr>
              <w:t>Retiring CAM Pilot:  Denied with Modifications</w:t>
            </w:r>
            <w:r w:rsidR="008959A4">
              <w:rPr>
                <w:noProof/>
                <w:webHidden/>
              </w:rPr>
              <w:tab/>
            </w:r>
            <w:r w:rsidR="008959A4">
              <w:rPr>
                <w:noProof/>
                <w:webHidden/>
              </w:rPr>
              <w:fldChar w:fldCharType="begin"/>
            </w:r>
            <w:r w:rsidR="008959A4">
              <w:rPr>
                <w:noProof/>
                <w:webHidden/>
              </w:rPr>
              <w:instrText xml:space="preserve"> PAGEREF _Toc82159785 \h </w:instrText>
            </w:r>
            <w:r w:rsidR="008959A4">
              <w:rPr>
                <w:noProof/>
                <w:webHidden/>
              </w:rPr>
            </w:r>
            <w:r w:rsidR="008959A4">
              <w:rPr>
                <w:noProof/>
                <w:webHidden/>
              </w:rPr>
              <w:fldChar w:fldCharType="separate"/>
            </w:r>
            <w:r w:rsidR="00A643C3">
              <w:rPr>
                <w:noProof/>
                <w:webHidden/>
              </w:rPr>
              <w:t>89</w:t>
            </w:r>
            <w:r w:rsidR="008959A4">
              <w:rPr>
                <w:noProof/>
                <w:webHidden/>
              </w:rPr>
              <w:fldChar w:fldCharType="end"/>
            </w:r>
          </w:hyperlink>
        </w:p>
        <w:p w:rsidR="008959A4" w:rsidP="008959A4" w:rsidRDefault="00ED6D61" w14:paraId="29EF4072" w14:textId="4B76A0D0">
          <w:pPr>
            <w:pStyle w:val="TOC4"/>
            <w:tabs>
              <w:tab w:val="left" w:pos="3060"/>
            </w:tabs>
            <w:rPr>
              <w:rFonts w:asciiTheme="minorHAnsi" w:hAnsiTheme="minorHAnsi" w:eastAsiaTheme="minorEastAsia" w:cstheme="minorBidi"/>
              <w:noProof/>
              <w:sz w:val="22"/>
              <w:szCs w:val="22"/>
            </w:rPr>
          </w:pPr>
          <w:hyperlink w:history="1" w:anchor="_Toc82159786">
            <w:r w:rsidRPr="0032220A" w:rsidR="008959A4">
              <w:rPr>
                <w:rStyle w:val="Hyperlink"/>
                <w:noProof/>
              </w:rPr>
              <w:t>5.4.9.</w:t>
            </w:r>
            <w:r w:rsidR="00B577CC">
              <w:rPr>
                <w:rStyle w:val="Hyperlink"/>
                <w:noProof/>
              </w:rPr>
              <w:t>5</w:t>
            </w:r>
            <w:r w:rsidRPr="0032220A" w:rsidR="008959A4">
              <w:rPr>
                <w:rStyle w:val="Hyperlink"/>
                <w:noProof/>
              </w:rPr>
              <w:t>.</w:t>
            </w:r>
            <w:r w:rsidR="008959A4">
              <w:rPr>
                <w:rFonts w:asciiTheme="minorHAnsi" w:hAnsiTheme="minorHAnsi" w:eastAsiaTheme="minorEastAsia" w:cstheme="minorBidi"/>
                <w:noProof/>
                <w:sz w:val="22"/>
                <w:szCs w:val="22"/>
              </w:rPr>
              <w:tab/>
            </w:r>
            <w:r w:rsidRPr="0032220A" w:rsidR="008959A4">
              <w:rPr>
                <w:rStyle w:val="Hyperlink"/>
                <w:noProof/>
              </w:rPr>
              <w:t>Focus on Electrification Measures:  New</w:t>
            </w:r>
            <w:r w:rsidR="008959A4">
              <w:rPr>
                <w:noProof/>
                <w:webHidden/>
              </w:rPr>
              <w:tab/>
            </w:r>
            <w:r w:rsidR="008959A4">
              <w:rPr>
                <w:noProof/>
                <w:webHidden/>
              </w:rPr>
              <w:fldChar w:fldCharType="begin"/>
            </w:r>
            <w:r w:rsidR="008959A4">
              <w:rPr>
                <w:noProof/>
                <w:webHidden/>
              </w:rPr>
              <w:instrText xml:space="preserve"> PAGEREF _Toc82159786 \h </w:instrText>
            </w:r>
            <w:r w:rsidR="008959A4">
              <w:rPr>
                <w:noProof/>
                <w:webHidden/>
              </w:rPr>
            </w:r>
            <w:r w:rsidR="008959A4">
              <w:rPr>
                <w:noProof/>
                <w:webHidden/>
              </w:rPr>
              <w:fldChar w:fldCharType="separate"/>
            </w:r>
            <w:r w:rsidR="00A643C3">
              <w:rPr>
                <w:noProof/>
                <w:webHidden/>
              </w:rPr>
              <w:t>89</w:t>
            </w:r>
            <w:r w:rsidR="008959A4">
              <w:rPr>
                <w:noProof/>
                <w:webHidden/>
              </w:rPr>
              <w:fldChar w:fldCharType="end"/>
            </w:r>
          </w:hyperlink>
        </w:p>
        <w:p w:rsidR="008959A4" w:rsidP="008959A4" w:rsidRDefault="00ED6D61" w14:paraId="5A881AF2" w14:textId="7D7F67C6">
          <w:pPr>
            <w:pStyle w:val="TOC2"/>
            <w:tabs>
              <w:tab w:val="right" w:leader="dot" w:pos="9350"/>
            </w:tabs>
            <w:ind w:left="1080" w:hanging="630"/>
            <w:rPr>
              <w:rFonts w:asciiTheme="minorHAnsi" w:hAnsiTheme="minorHAnsi" w:cstheme="minorBidi"/>
              <w:noProof/>
              <w:sz w:val="22"/>
              <w:szCs w:val="22"/>
            </w:rPr>
          </w:pPr>
          <w:hyperlink w:history="1" w:anchor="_Toc82159787">
            <w:r w:rsidRPr="0032220A" w:rsidR="008959A4">
              <w:rPr>
                <w:rStyle w:val="Hyperlink"/>
                <w:noProof/>
              </w:rPr>
              <w:t>5.5.</w:t>
            </w:r>
            <w:r w:rsidR="008959A4">
              <w:rPr>
                <w:rFonts w:asciiTheme="minorHAnsi" w:hAnsiTheme="minorHAnsi" w:cstheme="minorBidi"/>
                <w:noProof/>
                <w:sz w:val="22"/>
                <w:szCs w:val="22"/>
              </w:rPr>
              <w:tab/>
            </w:r>
            <w:r w:rsidRPr="0032220A" w:rsidR="008959A4">
              <w:rPr>
                <w:rStyle w:val="Hyperlink"/>
                <w:noProof/>
              </w:rPr>
              <w:t>ESA Program Goals (Household Treatments, Energy Savings, HCS)</w:t>
            </w:r>
            <w:r w:rsidR="008959A4">
              <w:rPr>
                <w:noProof/>
                <w:webHidden/>
              </w:rPr>
              <w:tab/>
            </w:r>
            <w:r w:rsidR="008959A4">
              <w:rPr>
                <w:noProof/>
                <w:webHidden/>
              </w:rPr>
              <w:fldChar w:fldCharType="begin"/>
            </w:r>
            <w:r w:rsidR="008959A4">
              <w:rPr>
                <w:noProof/>
                <w:webHidden/>
              </w:rPr>
              <w:instrText xml:space="preserve"> PAGEREF _Toc82159787 \h </w:instrText>
            </w:r>
            <w:r w:rsidR="008959A4">
              <w:rPr>
                <w:noProof/>
                <w:webHidden/>
              </w:rPr>
            </w:r>
            <w:r w:rsidR="008959A4">
              <w:rPr>
                <w:noProof/>
                <w:webHidden/>
              </w:rPr>
              <w:fldChar w:fldCharType="separate"/>
            </w:r>
            <w:r w:rsidR="00A643C3">
              <w:rPr>
                <w:noProof/>
                <w:webHidden/>
              </w:rPr>
              <w:t>90</w:t>
            </w:r>
            <w:r w:rsidR="008959A4">
              <w:rPr>
                <w:noProof/>
                <w:webHidden/>
              </w:rPr>
              <w:fldChar w:fldCharType="end"/>
            </w:r>
          </w:hyperlink>
        </w:p>
        <w:p w:rsidR="008959A4" w:rsidP="008959A4" w:rsidRDefault="00ED6D61" w14:paraId="327EA555" w14:textId="23E2AD6B">
          <w:pPr>
            <w:pStyle w:val="TOC3"/>
            <w:tabs>
              <w:tab w:val="right" w:leader="dot" w:pos="9350"/>
            </w:tabs>
            <w:ind w:left="1980" w:hanging="900"/>
            <w:rPr>
              <w:rFonts w:asciiTheme="minorHAnsi" w:hAnsiTheme="minorHAnsi" w:cstheme="minorBidi"/>
              <w:noProof/>
              <w:sz w:val="22"/>
              <w:szCs w:val="22"/>
            </w:rPr>
          </w:pPr>
          <w:hyperlink w:history="1" w:anchor="_Toc82159788">
            <w:r w:rsidRPr="0032220A" w:rsidR="008959A4">
              <w:rPr>
                <w:rStyle w:val="Hyperlink"/>
                <w:noProof/>
              </w:rPr>
              <w:t>5.5.1.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_Toc82159788 \h </w:instrText>
            </w:r>
            <w:r w:rsidR="008959A4">
              <w:rPr>
                <w:noProof/>
                <w:webHidden/>
              </w:rPr>
            </w:r>
            <w:r w:rsidR="008959A4">
              <w:rPr>
                <w:noProof/>
                <w:webHidden/>
              </w:rPr>
              <w:fldChar w:fldCharType="separate"/>
            </w:r>
            <w:r w:rsidR="00A643C3">
              <w:rPr>
                <w:noProof/>
                <w:webHidden/>
              </w:rPr>
              <w:t>90</w:t>
            </w:r>
            <w:r w:rsidR="008959A4">
              <w:rPr>
                <w:noProof/>
                <w:webHidden/>
              </w:rPr>
              <w:fldChar w:fldCharType="end"/>
            </w:r>
          </w:hyperlink>
        </w:p>
        <w:p w:rsidR="008959A4" w:rsidP="008959A4" w:rsidRDefault="00ED6D61" w14:paraId="3F998B8A" w14:textId="6ECE094C">
          <w:pPr>
            <w:pStyle w:val="TOC3"/>
            <w:tabs>
              <w:tab w:val="right" w:leader="dot" w:pos="9350"/>
            </w:tabs>
            <w:ind w:left="1980" w:hanging="900"/>
            <w:rPr>
              <w:rFonts w:asciiTheme="minorHAnsi" w:hAnsiTheme="minorHAnsi" w:cstheme="minorBidi"/>
              <w:noProof/>
              <w:sz w:val="22"/>
              <w:szCs w:val="22"/>
            </w:rPr>
          </w:pPr>
          <w:hyperlink w:history="1" w:anchor="_Toc82159789">
            <w:r w:rsidRPr="0032220A" w:rsidR="008959A4">
              <w:rPr>
                <w:rStyle w:val="Hyperlink"/>
                <w:noProof/>
              </w:rPr>
              <w:t>5.5.2.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_Toc82159789 \h </w:instrText>
            </w:r>
            <w:r w:rsidR="008959A4">
              <w:rPr>
                <w:noProof/>
                <w:webHidden/>
              </w:rPr>
            </w:r>
            <w:r w:rsidR="008959A4">
              <w:rPr>
                <w:noProof/>
                <w:webHidden/>
              </w:rPr>
              <w:fldChar w:fldCharType="separate"/>
            </w:r>
            <w:r w:rsidR="00A643C3">
              <w:rPr>
                <w:noProof/>
                <w:webHidden/>
              </w:rPr>
              <w:t>90</w:t>
            </w:r>
            <w:r w:rsidR="008959A4">
              <w:rPr>
                <w:noProof/>
                <w:webHidden/>
              </w:rPr>
              <w:fldChar w:fldCharType="end"/>
            </w:r>
          </w:hyperlink>
        </w:p>
        <w:p w:rsidR="008959A4" w:rsidP="008959A4" w:rsidRDefault="00ED6D61" w14:paraId="008B08ED" w14:textId="7ADBC19C">
          <w:pPr>
            <w:pStyle w:val="TOC3"/>
            <w:tabs>
              <w:tab w:val="right" w:leader="dot" w:pos="9350"/>
            </w:tabs>
            <w:ind w:left="1980" w:hanging="900"/>
            <w:rPr>
              <w:rFonts w:asciiTheme="minorHAnsi" w:hAnsiTheme="minorHAnsi" w:cstheme="minorBidi"/>
              <w:noProof/>
              <w:sz w:val="22"/>
              <w:szCs w:val="22"/>
            </w:rPr>
          </w:pPr>
          <w:hyperlink w:history="1" w:anchor="_Toc82159790">
            <w:r w:rsidRPr="0032220A" w:rsidR="008959A4">
              <w:rPr>
                <w:rStyle w:val="Hyperlink"/>
                <w:noProof/>
              </w:rPr>
              <w:t>5.5.3.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_Toc82159790 \h </w:instrText>
            </w:r>
            <w:r w:rsidR="008959A4">
              <w:rPr>
                <w:noProof/>
                <w:webHidden/>
              </w:rPr>
            </w:r>
            <w:r w:rsidR="008959A4">
              <w:rPr>
                <w:noProof/>
                <w:webHidden/>
              </w:rPr>
              <w:fldChar w:fldCharType="separate"/>
            </w:r>
            <w:r w:rsidR="00A643C3">
              <w:rPr>
                <w:noProof/>
                <w:webHidden/>
              </w:rPr>
              <w:t>91</w:t>
            </w:r>
            <w:r w:rsidR="008959A4">
              <w:rPr>
                <w:noProof/>
                <w:webHidden/>
              </w:rPr>
              <w:fldChar w:fldCharType="end"/>
            </w:r>
          </w:hyperlink>
        </w:p>
        <w:p w:rsidR="008959A4" w:rsidP="008959A4" w:rsidRDefault="00ED6D61" w14:paraId="70E20CC4" w14:textId="25711C57">
          <w:pPr>
            <w:pStyle w:val="TOC3"/>
            <w:tabs>
              <w:tab w:val="right" w:leader="dot" w:pos="9350"/>
            </w:tabs>
            <w:ind w:left="1980" w:hanging="900"/>
            <w:rPr>
              <w:rFonts w:asciiTheme="minorHAnsi" w:hAnsiTheme="minorHAnsi" w:cstheme="minorBidi"/>
              <w:noProof/>
              <w:sz w:val="22"/>
              <w:szCs w:val="22"/>
            </w:rPr>
          </w:pPr>
          <w:hyperlink w:history="1" w:anchor="_Toc82159791">
            <w:r w:rsidRPr="0032220A" w:rsidR="008959A4">
              <w:rPr>
                <w:rStyle w:val="Hyperlink"/>
                <w:noProof/>
              </w:rPr>
              <w:t>5.5.4.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_Toc82159791 \h </w:instrText>
            </w:r>
            <w:r w:rsidR="008959A4">
              <w:rPr>
                <w:noProof/>
                <w:webHidden/>
              </w:rPr>
            </w:r>
            <w:r w:rsidR="008959A4">
              <w:rPr>
                <w:noProof/>
                <w:webHidden/>
              </w:rPr>
              <w:fldChar w:fldCharType="separate"/>
            </w:r>
            <w:r w:rsidR="00A643C3">
              <w:rPr>
                <w:noProof/>
                <w:webHidden/>
              </w:rPr>
              <w:t>91</w:t>
            </w:r>
            <w:r w:rsidR="008959A4">
              <w:rPr>
                <w:noProof/>
                <w:webHidden/>
              </w:rPr>
              <w:fldChar w:fldCharType="end"/>
            </w:r>
          </w:hyperlink>
        </w:p>
        <w:p w:rsidR="008959A4" w:rsidP="008959A4" w:rsidRDefault="00ED6D61" w14:paraId="2B109C8A" w14:textId="7D5798A5">
          <w:pPr>
            <w:pStyle w:val="TOC3"/>
            <w:tabs>
              <w:tab w:val="right" w:leader="dot" w:pos="9350"/>
            </w:tabs>
            <w:ind w:left="1980" w:hanging="900"/>
            <w:rPr>
              <w:rFonts w:asciiTheme="minorHAnsi" w:hAnsiTheme="minorHAnsi" w:cstheme="minorBidi"/>
              <w:noProof/>
              <w:sz w:val="22"/>
              <w:szCs w:val="22"/>
            </w:rPr>
          </w:pPr>
          <w:hyperlink w:history="1" w:anchor="_Toc82159792">
            <w:r w:rsidRPr="0032220A" w:rsidR="008959A4">
              <w:rPr>
                <w:rStyle w:val="Hyperlink"/>
                <w:noProof/>
              </w:rPr>
              <w:t>5.5.5.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_Toc82159792 \h </w:instrText>
            </w:r>
            <w:r w:rsidR="008959A4">
              <w:rPr>
                <w:noProof/>
                <w:webHidden/>
              </w:rPr>
            </w:r>
            <w:r w:rsidR="008959A4">
              <w:rPr>
                <w:noProof/>
                <w:webHidden/>
              </w:rPr>
              <w:fldChar w:fldCharType="separate"/>
            </w:r>
            <w:r w:rsidR="00A643C3">
              <w:rPr>
                <w:noProof/>
                <w:webHidden/>
              </w:rPr>
              <w:t>92</w:t>
            </w:r>
            <w:r w:rsidR="008959A4">
              <w:rPr>
                <w:noProof/>
                <w:webHidden/>
              </w:rPr>
              <w:fldChar w:fldCharType="end"/>
            </w:r>
          </w:hyperlink>
        </w:p>
        <w:p w:rsidR="008959A4" w:rsidP="008959A4" w:rsidRDefault="00ED6D61" w14:paraId="3752175A" w14:textId="06488606">
          <w:pPr>
            <w:pStyle w:val="TOC3"/>
            <w:tabs>
              <w:tab w:val="right" w:leader="dot" w:pos="9350"/>
            </w:tabs>
            <w:ind w:left="1980" w:hanging="900"/>
            <w:rPr>
              <w:rFonts w:asciiTheme="minorHAnsi" w:hAnsiTheme="minorHAnsi" w:cstheme="minorBidi"/>
              <w:noProof/>
              <w:sz w:val="22"/>
              <w:szCs w:val="22"/>
            </w:rPr>
          </w:pPr>
          <w:hyperlink w:history="1" w:anchor="_Toc82159793">
            <w:r w:rsidRPr="0032220A" w:rsidR="008959A4">
              <w:rPr>
                <w:rStyle w:val="Hyperlink"/>
                <w:noProof/>
              </w:rPr>
              <w:t>5.5.6.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_Toc82159793 \h </w:instrText>
            </w:r>
            <w:r w:rsidR="008959A4">
              <w:rPr>
                <w:noProof/>
                <w:webHidden/>
              </w:rPr>
            </w:r>
            <w:r w:rsidR="008959A4">
              <w:rPr>
                <w:noProof/>
                <w:webHidden/>
              </w:rPr>
              <w:fldChar w:fldCharType="separate"/>
            </w:r>
            <w:r w:rsidR="00A643C3">
              <w:rPr>
                <w:noProof/>
                <w:webHidden/>
              </w:rPr>
              <w:t>93</w:t>
            </w:r>
            <w:r w:rsidR="008959A4">
              <w:rPr>
                <w:noProof/>
                <w:webHidden/>
              </w:rPr>
              <w:fldChar w:fldCharType="end"/>
            </w:r>
          </w:hyperlink>
        </w:p>
        <w:p w:rsidR="008959A4" w:rsidP="008959A4" w:rsidRDefault="00ED6D61" w14:paraId="63569A88" w14:textId="7DBDB98E">
          <w:pPr>
            <w:pStyle w:val="TOC3"/>
            <w:tabs>
              <w:tab w:val="right" w:leader="dot" w:pos="9350"/>
            </w:tabs>
            <w:ind w:left="1980" w:hanging="900"/>
            <w:rPr>
              <w:rFonts w:asciiTheme="minorHAnsi" w:hAnsiTheme="minorHAnsi" w:cstheme="minorBidi"/>
              <w:noProof/>
              <w:sz w:val="22"/>
              <w:szCs w:val="22"/>
            </w:rPr>
          </w:pPr>
          <w:hyperlink w:history="1" w:anchor="_Toc82159794">
            <w:r w:rsidRPr="0032220A" w:rsidR="008959A4">
              <w:rPr>
                <w:rStyle w:val="Hyperlink"/>
                <w:noProof/>
              </w:rPr>
              <w:t>5.5.7.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_Toc82159794 \h </w:instrText>
            </w:r>
            <w:r w:rsidR="008959A4">
              <w:rPr>
                <w:noProof/>
                <w:webHidden/>
              </w:rPr>
            </w:r>
            <w:r w:rsidR="008959A4">
              <w:rPr>
                <w:noProof/>
                <w:webHidden/>
              </w:rPr>
              <w:fldChar w:fldCharType="separate"/>
            </w:r>
            <w:r w:rsidR="00A643C3">
              <w:rPr>
                <w:noProof/>
                <w:webHidden/>
              </w:rPr>
              <w:t>94</w:t>
            </w:r>
            <w:r w:rsidR="008959A4">
              <w:rPr>
                <w:noProof/>
                <w:webHidden/>
              </w:rPr>
              <w:fldChar w:fldCharType="end"/>
            </w:r>
          </w:hyperlink>
        </w:p>
        <w:p w:rsidR="008959A4" w:rsidP="008959A4" w:rsidRDefault="00ED6D61" w14:paraId="0C732E26" w14:textId="03A07D25">
          <w:pPr>
            <w:pStyle w:val="TOC4"/>
            <w:tabs>
              <w:tab w:val="left" w:pos="3060"/>
            </w:tabs>
            <w:rPr>
              <w:rFonts w:asciiTheme="minorHAnsi" w:hAnsiTheme="minorHAnsi" w:eastAsiaTheme="minorEastAsia" w:cstheme="minorBidi"/>
              <w:noProof/>
              <w:sz w:val="22"/>
              <w:szCs w:val="22"/>
            </w:rPr>
          </w:pPr>
          <w:hyperlink w:history="1" w:anchor="_Toc82159795">
            <w:r w:rsidRPr="0032220A" w:rsidR="008959A4">
              <w:rPr>
                <w:rStyle w:val="Hyperlink"/>
                <w:noProof/>
              </w:rPr>
              <w:t>5.5.7.1.</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_Toc82159795 \h </w:instrText>
            </w:r>
            <w:r w:rsidR="008959A4">
              <w:rPr>
                <w:noProof/>
                <w:webHidden/>
              </w:rPr>
            </w:r>
            <w:r w:rsidR="008959A4">
              <w:rPr>
                <w:noProof/>
                <w:webHidden/>
              </w:rPr>
              <w:fldChar w:fldCharType="separate"/>
            </w:r>
            <w:r w:rsidR="00A643C3">
              <w:rPr>
                <w:noProof/>
                <w:webHidden/>
              </w:rPr>
              <w:t>94</w:t>
            </w:r>
            <w:r w:rsidR="008959A4">
              <w:rPr>
                <w:noProof/>
                <w:webHidden/>
              </w:rPr>
              <w:fldChar w:fldCharType="end"/>
            </w:r>
          </w:hyperlink>
        </w:p>
        <w:p w:rsidR="008959A4" w:rsidP="008959A4" w:rsidRDefault="00ED6D61" w14:paraId="39BE1A02" w14:textId="2474797F">
          <w:pPr>
            <w:pStyle w:val="TOC3"/>
            <w:tabs>
              <w:tab w:val="right" w:leader="dot" w:pos="9350"/>
            </w:tabs>
            <w:ind w:left="1980" w:hanging="900"/>
            <w:rPr>
              <w:rFonts w:asciiTheme="minorHAnsi" w:hAnsiTheme="minorHAnsi" w:cstheme="minorBidi"/>
              <w:noProof/>
              <w:sz w:val="22"/>
              <w:szCs w:val="22"/>
            </w:rPr>
          </w:pPr>
          <w:hyperlink w:history="1" w:anchor="_Toc82159796">
            <w:r w:rsidRPr="0032220A" w:rsidR="008959A4">
              <w:rPr>
                <w:rStyle w:val="Hyperlink"/>
                <w:noProof/>
              </w:rPr>
              <w:t>5.5.8.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_Toc82159796 \h </w:instrText>
            </w:r>
            <w:r w:rsidR="008959A4">
              <w:rPr>
                <w:noProof/>
                <w:webHidden/>
              </w:rPr>
            </w:r>
            <w:r w:rsidR="008959A4">
              <w:rPr>
                <w:noProof/>
                <w:webHidden/>
              </w:rPr>
              <w:fldChar w:fldCharType="separate"/>
            </w:r>
            <w:r w:rsidR="00A643C3">
              <w:rPr>
                <w:noProof/>
                <w:webHidden/>
              </w:rPr>
              <w:t>95</w:t>
            </w:r>
            <w:r w:rsidR="008959A4">
              <w:rPr>
                <w:noProof/>
                <w:webHidden/>
              </w:rPr>
              <w:fldChar w:fldCharType="end"/>
            </w:r>
          </w:hyperlink>
        </w:p>
        <w:p w:rsidR="008959A4" w:rsidP="008959A4" w:rsidRDefault="00ED6D61" w14:paraId="4CF88D07" w14:textId="2B04BAA9">
          <w:pPr>
            <w:pStyle w:val="TOC4"/>
            <w:tabs>
              <w:tab w:val="left" w:pos="3060"/>
            </w:tabs>
            <w:rPr>
              <w:rFonts w:asciiTheme="minorHAnsi" w:hAnsiTheme="minorHAnsi" w:eastAsiaTheme="minorEastAsia" w:cstheme="minorBidi"/>
              <w:noProof/>
              <w:sz w:val="22"/>
              <w:szCs w:val="22"/>
            </w:rPr>
          </w:pPr>
          <w:hyperlink w:history="1" w:anchor="_Toc82159797">
            <w:r w:rsidRPr="0032220A" w:rsidR="008959A4">
              <w:rPr>
                <w:rStyle w:val="Hyperlink"/>
                <w:noProof/>
              </w:rPr>
              <w:t>5.5.8.1.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SMJUs) Response</w:t>
            </w:r>
            <w:r w:rsidR="008959A4">
              <w:rPr>
                <w:noProof/>
                <w:webHidden/>
              </w:rPr>
              <w:tab/>
            </w:r>
            <w:r w:rsidR="008959A4">
              <w:rPr>
                <w:noProof/>
                <w:webHidden/>
              </w:rPr>
              <w:fldChar w:fldCharType="begin"/>
            </w:r>
            <w:r w:rsidR="008959A4">
              <w:rPr>
                <w:noProof/>
                <w:webHidden/>
              </w:rPr>
              <w:instrText xml:space="preserve"> PAGEREF _Toc82159797 \h </w:instrText>
            </w:r>
            <w:r w:rsidR="008959A4">
              <w:rPr>
                <w:noProof/>
                <w:webHidden/>
              </w:rPr>
            </w:r>
            <w:r w:rsidR="008959A4">
              <w:rPr>
                <w:noProof/>
                <w:webHidden/>
              </w:rPr>
              <w:fldChar w:fldCharType="separate"/>
            </w:r>
            <w:r w:rsidR="00A643C3">
              <w:rPr>
                <w:noProof/>
                <w:webHidden/>
              </w:rPr>
              <w:t>95</w:t>
            </w:r>
            <w:r w:rsidR="008959A4">
              <w:rPr>
                <w:noProof/>
                <w:webHidden/>
              </w:rPr>
              <w:fldChar w:fldCharType="end"/>
            </w:r>
          </w:hyperlink>
        </w:p>
        <w:p w:rsidR="008959A4" w:rsidP="008959A4" w:rsidRDefault="00ED6D61" w14:paraId="76471843" w14:textId="4485C17F">
          <w:pPr>
            <w:pStyle w:val="TOC4"/>
            <w:tabs>
              <w:tab w:val="left" w:pos="3060"/>
            </w:tabs>
            <w:rPr>
              <w:rFonts w:asciiTheme="minorHAnsi" w:hAnsiTheme="minorHAnsi" w:eastAsiaTheme="minorEastAsia" w:cstheme="minorBidi"/>
              <w:noProof/>
              <w:sz w:val="22"/>
              <w:szCs w:val="22"/>
            </w:rPr>
          </w:pPr>
          <w:hyperlink w:history="1" w:anchor="_Toc82159798">
            <w:r w:rsidRPr="0032220A" w:rsidR="008959A4">
              <w:rPr>
                <w:rStyle w:val="Hyperlink"/>
                <w:noProof/>
              </w:rPr>
              <w:t>5.5.8.2.</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_Toc82159798 \h </w:instrText>
            </w:r>
            <w:r w:rsidR="008959A4">
              <w:rPr>
                <w:noProof/>
                <w:webHidden/>
              </w:rPr>
            </w:r>
            <w:r w:rsidR="008959A4">
              <w:rPr>
                <w:noProof/>
                <w:webHidden/>
              </w:rPr>
              <w:fldChar w:fldCharType="separate"/>
            </w:r>
            <w:r w:rsidR="00A643C3">
              <w:rPr>
                <w:noProof/>
                <w:webHidden/>
              </w:rPr>
              <w:t>96</w:t>
            </w:r>
            <w:r w:rsidR="008959A4">
              <w:rPr>
                <w:noProof/>
                <w:webHidden/>
              </w:rPr>
              <w:fldChar w:fldCharType="end"/>
            </w:r>
          </w:hyperlink>
        </w:p>
        <w:p w:rsidR="008959A4" w:rsidP="008959A4" w:rsidRDefault="00ED6D61" w14:paraId="207AB090" w14:textId="6AA09833">
          <w:pPr>
            <w:pStyle w:val="TOC4"/>
            <w:tabs>
              <w:tab w:val="left" w:pos="3060"/>
            </w:tabs>
            <w:rPr>
              <w:rFonts w:asciiTheme="minorHAnsi" w:hAnsiTheme="minorHAnsi" w:eastAsiaTheme="minorEastAsia" w:cstheme="minorBidi"/>
              <w:noProof/>
              <w:sz w:val="22"/>
              <w:szCs w:val="22"/>
            </w:rPr>
          </w:pPr>
          <w:hyperlink w:history="1" w:anchor="_Toc82159799">
            <w:r w:rsidRPr="0032220A" w:rsidR="008959A4">
              <w:rPr>
                <w:rStyle w:val="Hyperlink"/>
                <w:noProof/>
              </w:rPr>
              <w:t>5.5.8.3.</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_Toc82159799 \h </w:instrText>
            </w:r>
            <w:r w:rsidR="008959A4">
              <w:rPr>
                <w:noProof/>
                <w:webHidden/>
              </w:rPr>
            </w:r>
            <w:r w:rsidR="008959A4">
              <w:rPr>
                <w:noProof/>
                <w:webHidden/>
              </w:rPr>
              <w:fldChar w:fldCharType="separate"/>
            </w:r>
            <w:r w:rsidR="00A643C3">
              <w:rPr>
                <w:noProof/>
                <w:webHidden/>
              </w:rPr>
              <w:t>98</w:t>
            </w:r>
            <w:r w:rsidR="008959A4">
              <w:rPr>
                <w:noProof/>
                <w:webHidden/>
              </w:rPr>
              <w:fldChar w:fldCharType="end"/>
            </w:r>
          </w:hyperlink>
        </w:p>
        <w:p w:rsidR="008959A4" w:rsidP="008959A4" w:rsidRDefault="00ED6D61" w14:paraId="1DD43F49" w14:textId="5525C0E0">
          <w:pPr>
            <w:pStyle w:val="TOC3"/>
            <w:tabs>
              <w:tab w:val="right" w:leader="dot" w:pos="9350"/>
            </w:tabs>
            <w:ind w:left="1980" w:hanging="900"/>
            <w:rPr>
              <w:rFonts w:asciiTheme="minorHAnsi" w:hAnsiTheme="minorHAnsi" w:cstheme="minorBidi"/>
              <w:noProof/>
              <w:sz w:val="22"/>
              <w:szCs w:val="22"/>
            </w:rPr>
          </w:pPr>
          <w:hyperlink w:history="1" w:anchor="_Toc82159800">
            <w:r w:rsidRPr="0032220A" w:rsidR="008959A4">
              <w:rPr>
                <w:rStyle w:val="Hyperlink"/>
                <w:noProof/>
              </w:rPr>
              <w:t>5.5.9.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_Toc82159800 \h </w:instrText>
            </w:r>
            <w:r w:rsidR="008959A4">
              <w:rPr>
                <w:noProof/>
                <w:webHidden/>
              </w:rPr>
            </w:r>
            <w:r w:rsidR="008959A4">
              <w:rPr>
                <w:noProof/>
                <w:webHidden/>
              </w:rPr>
              <w:fldChar w:fldCharType="separate"/>
            </w:r>
            <w:r w:rsidR="00A643C3">
              <w:rPr>
                <w:noProof/>
                <w:webHidden/>
              </w:rPr>
              <w:t>99</w:t>
            </w:r>
            <w:r w:rsidR="008959A4">
              <w:rPr>
                <w:noProof/>
                <w:webHidden/>
              </w:rPr>
              <w:fldChar w:fldCharType="end"/>
            </w:r>
          </w:hyperlink>
        </w:p>
        <w:p w:rsidR="008959A4" w:rsidP="008959A4" w:rsidRDefault="00ED6D61" w14:paraId="728C851F" w14:textId="597A7FF2">
          <w:pPr>
            <w:pStyle w:val="TOC4"/>
            <w:tabs>
              <w:tab w:val="left" w:pos="3060"/>
            </w:tabs>
            <w:rPr>
              <w:rFonts w:asciiTheme="minorHAnsi" w:hAnsiTheme="minorHAnsi" w:eastAsiaTheme="minorEastAsia" w:cstheme="minorBidi"/>
              <w:noProof/>
              <w:sz w:val="22"/>
              <w:szCs w:val="22"/>
            </w:rPr>
          </w:pPr>
          <w:hyperlink w:history="1" w:anchor="_Toc82159801">
            <w:r w:rsidRPr="0032220A" w:rsidR="008959A4">
              <w:rPr>
                <w:rStyle w:val="Hyperlink"/>
                <w:noProof/>
              </w:rPr>
              <w:t>5.5.9.1.</w:t>
            </w:r>
            <w:r w:rsidR="008959A4">
              <w:rPr>
                <w:rFonts w:asciiTheme="minorHAnsi" w:hAnsiTheme="minorHAnsi" w:eastAsiaTheme="minorEastAsia" w:cstheme="minorBidi"/>
                <w:noProof/>
                <w:sz w:val="22"/>
                <w:szCs w:val="22"/>
              </w:rPr>
              <w:tab/>
            </w:r>
            <w:r w:rsidRPr="0032220A" w:rsidR="008959A4">
              <w:rPr>
                <w:rStyle w:val="Hyperlink"/>
                <w:noProof/>
              </w:rPr>
              <w:t xml:space="preserve">SMJUs Proposed Household Goals:  </w:t>
            </w:r>
            <w:r w:rsidR="008959A4">
              <w:rPr>
                <w:rStyle w:val="Hyperlink"/>
                <w:noProof/>
              </w:rPr>
              <w:br/>
            </w:r>
            <w:r w:rsidRPr="0032220A" w:rsidR="008959A4">
              <w:rPr>
                <w:rStyle w:val="Hyperlink"/>
                <w:noProof/>
              </w:rPr>
              <w:t>Approved with Modification</w:t>
            </w:r>
            <w:r w:rsidR="008959A4">
              <w:rPr>
                <w:noProof/>
                <w:webHidden/>
              </w:rPr>
              <w:tab/>
            </w:r>
            <w:r w:rsidR="008959A4">
              <w:rPr>
                <w:noProof/>
                <w:webHidden/>
              </w:rPr>
              <w:fldChar w:fldCharType="begin"/>
            </w:r>
            <w:r w:rsidR="008959A4">
              <w:rPr>
                <w:noProof/>
                <w:webHidden/>
              </w:rPr>
              <w:instrText xml:space="preserve"> PAGEREF _Toc82159801 \h </w:instrText>
            </w:r>
            <w:r w:rsidR="008959A4">
              <w:rPr>
                <w:noProof/>
                <w:webHidden/>
              </w:rPr>
            </w:r>
            <w:r w:rsidR="008959A4">
              <w:rPr>
                <w:noProof/>
                <w:webHidden/>
              </w:rPr>
              <w:fldChar w:fldCharType="separate"/>
            </w:r>
            <w:r w:rsidR="00A643C3">
              <w:rPr>
                <w:noProof/>
                <w:webHidden/>
              </w:rPr>
              <w:t>99</w:t>
            </w:r>
            <w:r w:rsidR="008959A4">
              <w:rPr>
                <w:noProof/>
                <w:webHidden/>
              </w:rPr>
              <w:fldChar w:fldCharType="end"/>
            </w:r>
          </w:hyperlink>
        </w:p>
        <w:p w:rsidR="008959A4" w:rsidP="008959A4" w:rsidRDefault="00ED6D61" w14:paraId="13DBD98B" w14:textId="79899DD3">
          <w:pPr>
            <w:pStyle w:val="TOC4"/>
            <w:tabs>
              <w:tab w:val="left" w:pos="3060"/>
            </w:tabs>
            <w:rPr>
              <w:rFonts w:asciiTheme="minorHAnsi" w:hAnsiTheme="minorHAnsi" w:eastAsiaTheme="minorEastAsia" w:cstheme="minorBidi"/>
              <w:noProof/>
              <w:sz w:val="22"/>
              <w:szCs w:val="22"/>
            </w:rPr>
          </w:pPr>
          <w:hyperlink w:history="1" w:anchor="_Toc82159802">
            <w:r w:rsidRPr="0032220A" w:rsidR="008959A4">
              <w:rPr>
                <w:rStyle w:val="Hyperlink"/>
                <w:noProof/>
              </w:rPr>
              <w:t>5.5.9.2.</w:t>
            </w:r>
            <w:r w:rsidR="008959A4">
              <w:rPr>
                <w:rFonts w:asciiTheme="minorHAnsi" w:hAnsiTheme="minorHAnsi" w:eastAsiaTheme="minorEastAsia" w:cstheme="minorBidi"/>
                <w:noProof/>
                <w:sz w:val="22"/>
                <w:szCs w:val="22"/>
              </w:rPr>
              <w:tab/>
            </w:r>
            <w:r w:rsidRPr="0032220A" w:rsidR="008959A4">
              <w:rPr>
                <w:rStyle w:val="Hyperlink"/>
                <w:noProof/>
              </w:rPr>
              <w:t xml:space="preserve">Separate MF Household Treatment Goals: </w:t>
            </w:r>
            <w:r w:rsidR="008959A4">
              <w:rPr>
                <w:rStyle w:val="Hyperlink"/>
                <w:noProof/>
              </w:rPr>
              <w:br/>
            </w:r>
            <w:r w:rsidRPr="0032220A" w:rsidR="008959A4">
              <w:rPr>
                <w:rStyle w:val="Hyperlink"/>
                <w:noProof/>
              </w:rPr>
              <w:t>Denied</w:t>
            </w:r>
            <w:r w:rsidR="008959A4">
              <w:rPr>
                <w:noProof/>
                <w:webHidden/>
              </w:rPr>
              <w:tab/>
            </w:r>
            <w:r w:rsidR="008959A4">
              <w:rPr>
                <w:noProof/>
                <w:webHidden/>
              </w:rPr>
              <w:fldChar w:fldCharType="begin"/>
            </w:r>
            <w:r w:rsidR="008959A4">
              <w:rPr>
                <w:noProof/>
                <w:webHidden/>
              </w:rPr>
              <w:instrText xml:space="preserve"> PAGEREF _Toc82159802 \h </w:instrText>
            </w:r>
            <w:r w:rsidR="008959A4">
              <w:rPr>
                <w:noProof/>
                <w:webHidden/>
              </w:rPr>
            </w:r>
            <w:r w:rsidR="008959A4">
              <w:rPr>
                <w:noProof/>
                <w:webHidden/>
              </w:rPr>
              <w:fldChar w:fldCharType="separate"/>
            </w:r>
            <w:r w:rsidR="00A643C3">
              <w:rPr>
                <w:noProof/>
                <w:webHidden/>
              </w:rPr>
              <w:t>100</w:t>
            </w:r>
            <w:r w:rsidR="008959A4">
              <w:rPr>
                <w:noProof/>
                <w:webHidden/>
              </w:rPr>
              <w:fldChar w:fldCharType="end"/>
            </w:r>
          </w:hyperlink>
        </w:p>
        <w:p w:rsidR="008959A4" w:rsidP="008959A4" w:rsidRDefault="00ED6D61" w14:paraId="743576E5" w14:textId="75A2FF8D">
          <w:pPr>
            <w:pStyle w:val="TOC4"/>
            <w:tabs>
              <w:tab w:val="left" w:pos="3060"/>
            </w:tabs>
            <w:rPr>
              <w:rFonts w:asciiTheme="minorHAnsi" w:hAnsiTheme="minorHAnsi" w:eastAsiaTheme="minorEastAsia" w:cstheme="minorBidi"/>
              <w:noProof/>
              <w:sz w:val="22"/>
              <w:szCs w:val="22"/>
            </w:rPr>
          </w:pPr>
          <w:hyperlink w:history="1" w:anchor="_Toc82159803">
            <w:r w:rsidRPr="0032220A" w:rsidR="008959A4">
              <w:rPr>
                <w:rStyle w:val="Hyperlink"/>
                <w:noProof/>
              </w:rPr>
              <w:t>5.5.9.3.</w:t>
            </w:r>
            <w:r w:rsidR="008959A4">
              <w:rPr>
                <w:rFonts w:asciiTheme="minorHAnsi" w:hAnsiTheme="minorHAnsi" w:eastAsiaTheme="minorEastAsia" w:cstheme="minorBidi"/>
                <w:noProof/>
                <w:sz w:val="22"/>
                <w:szCs w:val="22"/>
              </w:rPr>
              <w:tab/>
            </w:r>
            <w:r w:rsidRPr="0032220A" w:rsidR="008959A4">
              <w:rPr>
                <w:rStyle w:val="Hyperlink"/>
                <w:noProof/>
              </w:rPr>
              <w:t xml:space="preserve">SMJU Proposed Energy Savings Goals:  </w:t>
            </w:r>
            <w:r w:rsidR="008959A4">
              <w:rPr>
                <w:rStyle w:val="Hyperlink"/>
                <w:noProof/>
              </w:rPr>
              <w:br/>
            </w:r>
            <w:r w:rsidRPr="0032220A" w:rsidR="008959A4">
              <w:rPr>
                <w:rStyle w:val="Hyperlink"/>
                <w:noProof/>
              </w:rPr>
              <w:t>Approved with Modifications</w:t>
            </w:r>
            <w:r w:rsidR="008959A4">
              <w:rPr>
                <w:noProof/>
                <w:webHidden/>
              </w:rPr>
              <w:tab/>
            </w:r>
            <w:r w:rsidR="008959A4">
              <w:rPr>
                <w:noProof/>
                <w:webHidden/>
              </w:rPr>
              <w:fldChar w:fldCharType="begin"/>
            </w:r>
            <w:r w:rsidR="008959A4">
              <w:rPr>
                <w:noProof/>
                <w:webHidden/>
              </w:rPr>
              <w:instrText xml:space="preserve"> PAGEREF _Toc82159803 \h </w:instrText>
            </w:r>
            <w:r w:rsidR="008959A4">
              <w:rPr>
                <w:noProof/>
                <w:webHidden/>
              </w:rPr>
            </w:r>
            <w:r w:rsidR="008959A4">
              <w:rPr>
                <w:noProof/>
                <w:webHidden/>
              </w:rPr>
              <w:fldChar w:fldCharType="separate"/>
            </w:r>
            <w:r w:rsidR="00A643C3">
              <w:rPr>
                <w:noProof/>
                <w:webHidden/>
              </w:rPr>
              <w:t>101</w:t>
            </w:r>
            <w:r w:rsidR="008959A4">
              <w:rPr>
                <w:noProof/>
                <w:webHidden/>
              </w:rPr>
              <w:fldChar w:fldCharType="end"/>
            </w:r>
          </w:hyperlink>
        </w:p>
        <w:p w:rsidR="008959A4" w:rsidP="008959A4" w:rsidRDefault="00ED6D61" w14:paraId="421F2162" w14:textId="51FBD73A">
          <w:pPr>
            <w:pStyle w:val="TOC4"/>
            <w:tabs>
              <w:tab w:val="left" w:pos="3060"/>
            </w:tabs>
            <w:rPr>
              <w:rFonts w:asciiTheme="minorHAnsi" w:hAnsiTheme="minorHAnsi" w:eastAsiaTheme="minorEastAsia" w:cstheme="minorBidi"/>
              <w:noProof/>
              <w:sz w:val="22"/>
              <w:szCs w:val="22"/>
            </w:rPr>
          </w:pPr>
          <w:hyperlink w:history="1" w:anchor="_Toc82159804">
            <w:r w:rsidRPr="0032220A" w:rsidR="008959A4">
              <w:rPr>
                <w:rStyle w:val="Hyperlink"/>
                <w:noProof/>
              </w:rPr>
              <w:t>5.5.9.4.</w:t>
            </w:r>
            <w:r w:rsidR="008959A4">
              <w:rPr>
                <w:rFonts w:asciiTheme="minorHAnsi" w:hAnsiTheme="minorHAnsi" w:eastAsiaTheme="minorEastAsia" w:cstheme="minorBidi"/>
                <w:noProof/>
                <w:sz w:val="22"/>
                <w:szCs w:val="22"/>
              </w:rPr>
              <w:tab/>
            </w:r>
            <w:r w:rsidRPr="0032220A" w:rsidR="008959A4">
              <w:rPr>
                <w:rStyle w:val="Hyperlink"/>
                <w:noProof/>
              </w:rPr>
              <w:t xml:space="preserve">Adjustments via Tier 2 Advice Letter:  </w:t>
            </w:r>
            <w:r w:rsidR="008959A4">
              <w:rPr>
                <w:rStyle w:val="Hyperlink"/>
                <w:noProof/>
              </w:rPr>
              <w:br/>
            </w:r>
            <w:r w:rsidRPr="0032220A" w:rsidR="008959A4">
              <w:rPr>
                <w:rStyle w:val="Hyperlink"/>
                <w:noProof/>
              </w:rPr>
              <w:t>Approved with Modification</w:t>
            </w:r>
            <w:r w:rsidR="008959A4">
              <w:rPr>
                <w:noProof/>
                <w:webHidden/>
              </w:rPr>
              <w:tab/>
            </w:r>
            <w:r w:rsidR="008959A4">
              <w:rPr>
                <w:noProof/>
                <w:webHidden/>
              </w:rPr>
              <w:fldChar w:fldCharType="begin"/>
            </w:r>
            <w:r w:rsidR="008959A4">
              <w:rPr>
                <w:noProof/>
                <w:webHidden/>
              </w:rPr>
              <w:instrText xml:space="preserve"> PAGEREF _Toc82159804 \h </w:instrText>
            </w:r>
            <w:r w:rsidR="008959A4">
              <w:rPr>
                <w:noProof/>
                <w:webHidden/>
              </w:rPr>
            </w:r>
            <w:r w:rsidR="008959A4">
              <w:rPr>
                <w:noProof/>
                <w:webHidden/>
              </w:rPr>
              <w:fldChar w:fldCharType="separate"/>
            </w:r>
            <w:r w:rsidR="00A643C3">
              <w:rPr>
                <w:noProof/>
                <w:webHidden/>
              </w:rPr>
              <w:t>103</w:t>
            </w:r>
            <w:r w:rsidR="008959A4">
              <w:rPr>
                <w:noProof/>
                <w:webHidden/>
              </w:rPr>
              <w:fldChar w:fldCharType="end"/>
            </w:r>
          </w:hyperlink>
        </w:p>
        <w:p w:rsidR="008959A4" w:rsidP="008959A4" w:rsidRDefault="00ED6D61" w14:paraId="3F507F8C" w14:textId="669F204F">
          <w:pPr>
            <w:pStyle w:val="TOC4"/>
            <w:tabs>
              <w:tab w:val="left" w:pos="3060"/>
            </w:tabs>
            <w:rPr>
              <w:rFonts w:asciiTheme="minorHAnsi" w:hAnsiTheme="minorHAnsi" w:eastAsiaTheme="minorEastAsia" w:cstheme="minorBidi"/>
              <w:noProof/>
              <w:sz w:val="22"/>
              <w:szCs w:val="22"/>
            </w:rPr>
          </w:pPr>
          <w:hyperlink w:history="1" w:anchor="_Toc82159805">
            <w:r w:rsidRPr="0032220A" w:rsidR="008959A4">
              <w:rPr>
                <w:rStyle w:val="Hyperlink"/>
                <w:noProof/>
              </w:rPr>
              <w:t>5.5.9.5.</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2020 Statutory Goal Update: </w:t>
            </w:r>
            <w:r w:rsidR="008959A4">
              <w:rPr>
                <w:rStyle w:val="Hyperlink"/>
                <w:noProof/>
              </w:rPr>
              <w:br/>
            </w:r>
            <w:r w:rsidRPr="0032220A" w:rsidR="008959A4">
              <w:rPr>
                <w:rStyle w:val="Hyperlink"/>
                <w:noProof/>
              </w:rPr>
              <w:t>New</w:t>
            </w:r>
            <w:r w:rsidR="008959A4">
              <w:rPr>
                <w:noProof/>
                <w:webHidden/>
              </w:rPr>
              <w:tab/>
            </w:r>
            <w:r w:rsidR="008959A4">
              <w:rPr>
                <w:noProof/>
                <w:webHidden/>
              </w:rPr>
              <w:fldChar w:fldCharType="begin"/>
            </w:r>
            <w:r w:rsidR="008959A4">
              <w:rPr>
                <w:noProof/>
                <w:webHidden/>
              </w:rPr>
              <w:instrText xml:space="preserve"> PAGEREF _Toc82159805 \h </w:instrText>
            </w:r>
            <w:r w:rsidR="008959A4">
              <w:rPr>
                <w:noProof/>
                <w:webHidden/>
              </w:rPr>
            </w:r>
            <w:r w:rsidR="008959A4">
              <w:rPr>
                <w:noProof/>
                <w:webHidden/>
              </w:rPr>
              <w:fldChar w:fldCharType="separate"/>
            </w:r>
            <w:r w:rsidR="00A643C3">
              <w:rPr>
                <w:noProof/>
                <w:webHidden/>
              </w:rPr>
              <w:t>103</w:t>
            </w:r>
            <w:r w:rsidR="008959A4">
              <w:rPr>
                <w:noProof/>
                <w:webHidden/>
              </w:rPr>
              <w:fldChar w:fldCharType="end"/>
            </w:r>
          </w:hyperlink>
        </w:p>
        <w:p w:rsidR="008959A4" w:rsidP="008959A4" w:rsidRDefault="00ED6D61" w14:paraId="0E39FAA0" w14:textId="029D92B3">
          <w:pPr>
            <w:pStyle w:val="TOC2"/>
            <w:tabs>
              <w:tab w:val="right" w:leader="dot" w:pos="9350"/>
            </w:tabs>
            <w:ind w:left="1080" w:hanging="630"/>
            <w:rPr>
              <w:rFonts w:asciiTheme="minorHAnsi" w:hAnsiTheme="minorHAnsi" w:cstheme="minorBidi"/>
              <w:noProof/>
              <w:sz w:val="22"/>
              <w:szCs w:val="22"/>
            </w:rPr>
          </w:pPr>
          <w:hyperlink w:history="1" w:anchor="_Toc82159806">
            <w:r w:rsidRPr="0032220A" w:rsidR="008959A4">
              <w:rPr>
                <w:rStyle w:val="Hyperlink"/>
                <w:noProof/>
              </w:rPr>
              <w:t>5.6.</w:t>
            </w:r>
            <w:r w:rsidR="008959A4">
              <w:rPr>
                <w:rFonts w:asciiTheme="minorHAnsi" w:hAnsiTheme="minorHAnsi" w:cstheme="minorBidi"/>
                <w:noProof/>
                <w:sz w:val="22"/>
                <w:szCs w:val="22"/>
              </w:rPr>
              <w:tab/>
            </w:r>
            <w:r w:rsidRPr="0032220A" w:rsidR="008959A4">
              <w:rPr>
                <w:rStyle w:val="Hyperlink"/>
                <w:noProof/>
              </w:rPr>
              <w:t>ESA Program Cost Effectiveness</w:t>
            </w:r>
            <w:r w:rsidR="008959A4">
              <w:rPr>
                <w:noProof/>
                <w:webHidden/>
              </w:rPr>
              <w:tab/>
            </w:r>
            <w:r w:rsidR="008959A4">
              <w:rPr>
                <w:noProof/>
                <w:webHidden/>
              </w:rPr>
              <w:fldChar w:fldCharType="begin"/>
            </w:r>
            <w:r w:rsidR="008959A4">
              <w:rPr>
                <w:noProof/>
                <w:webHidden/>
              </w:rPr>
              <w:instrText xml:space="preserve"> PAGEREF _Toc82159806 \h </w:instrText>
            </w:r>
            <w:r w:rsidR="008959A4">
              <w:rPr>
                <w:noProof/>
                <w:webHidden/>
              </w:rPr>
            </w:r>
            <w:r w:rsidR="008959A4">
              <w:rPr>
                <w:noProof/>
                <w:webHidden/>
              </w:rPr>
              <w:fldChar w:fldCharType="separate"/>
            </w:r>
            <w:r w:rsidR="00A643C3">
              <w:rPr>
                <w:noProof/>
                <w:webHidden/>
              </w:rPr>
              <w:t>103</w:t>
            </w:r>
            <w:r w:rsidR="008959A4">
              <w:rPr>
                <w:noProof/>
                <w:webHidden/>
              </w:rPr>
              <w:fldChar w:fldCharType="end"/>
            </w:r>
          </w:hyperlink>
        </w:p>
        <w:p w:rsidR="008959A4" w:rsidP="008959A4" w:rsidRDefault="00ED6D61" w14:paraId="61507AA7" w14:textId="2ECF1CB4">
          <w:pPr>
            <w:pStyle w:val="TOC3"/>
            <w:tabs>
              <w:tab w:val="right" w:leader="dot" w:pos="9350"/>
            </w:tabs>
            <w:ind w:left="1980" w:hanging="900"/>
            <w:rPr>
              <w:rFonts w:asciiTheme="minorHAnsi" w:hAnsiTheme="minorHAnsi" w:cstheme="minorBidi"/>
              <w:noProof/>
              <w:sz w:val="22"/>
              <w:szCs w:val="22"/>
            </w:rPr>
          </w:pPr>
          <w:hyperlink w:history="1" w:anchor="_Toc82159807">
            <w:r w:rsidRPr="0032220A" w:rsidR="008959A4">
              <w:rPr>
                <w:rStyle w:val="Hyperlink"/>
                <w:noProof/>
              </w:rPr>
              <w:t>5.6.1.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_Toc82159807 \h </w:instrText>
            </w:r>
            <w:r w:rsidR="008959A4">
              <w:rPr>
                <w:noProof/>
                <w:webHidden/>
              </w:rPr>
            </w:r>
            <w:r w:rsidR="008959A4">
              <w:rPr>
                <w:noProof/>
                <w:webHidden/>
              </w:rPr>
              <w:fldChar w:fldCharType="separate"/>
            </w:r>
            <w:r w:rsidR="00A643C3">
              <w:rPr>
                <w:noProof/>
                <w:webHidden/>
              </w:rPr>
              <w:t>103</w:t>
            </w:r>
            <w:r w:rsidR="008959A4">
              <w:rPr>
                <w:noProof/>
                <w:webHidden/>
              </w:rPr>
              <w:fldChar w:fldCharType="end"/>
            </w:r>
          </w:hyperlink>
        </w:p>
        <w:p w:rsidR="008959A4" w:rsidP="008959A4" w:rsidRDefault="00ED6D61" w14:paraId="677E5127" w14:textId="0223CF44">
          <w:pPr>
            <w:pStyle w:val="TOC3"/>
            <w:tabs>
              <w:tab w:val="right" w:leader="dot" w:pos="9350"/>
            </w:tabs>
            <w:ind w:left="1980" w:hanging="900"/>
            <w:rPr>
              <w:rFonts w:asciiTheme="minorHAnsi" w:hAnsiTheme="minorHAnsi" w:cstheme="minorBidi"/>
              <w:noProof/>
              <w:sz w:val="22"/>
              <w:szCs w:val="22"/>
            </w:rPr>
          </w:pPr>
          <w:hyperlink w:history="1" w:anchor="_Toc82159808">
            <w:r w:rsidRPr="0032220A" w:rsidR="008959A4">
              <w:rPr>
                <w:rStyle w:val="Hyperlink"/>
                <w:noProof/>
              </w:rPr>
              <w:t>5.6.2.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_Toc82159808 \h </w:instrText>
            </w:r>
            <w:r w:rsidR="008959A4">
              <w:rPr>
                <w:noProof/>
                <w:webHidden/>
              </w:rPr>
            </w:r>
            <w:r w:rsidR="008959A4">
              <w:rPr>
                <w:noProof/>
                <w:webHidden/>
              </w:rPr>
              <w:fldChar w:fldCharType="separate"/>
            </w:r>
            <w:r w:rsidR="00A643C3">
              <w:rPr>
                <w:noProof/>
                <w:webHidden/>
              </w:rPr>
              <w:t>105</w:t>
            </w:r>
            <w:r w:rsidR="008959A4">
              <w:rPr>
                <w:noProof/>
                <w:webHidden/>
              </w:rPr>
              <w:fldChar w:fldCharType="end"/>
            </w:r>
          </w:hyperlink>
        </w:p>
        <w:p w:rsidR="008959A4" w:rsidP="008959A4" w:rsidRDefault="00ED6D61" w14:paraId="73FC2200" w14:textId="39725655">
          <w:pPr>
            <w:pStyle w:val="TOC3"/>
            <w:tabs>
              <w:tab w:val="right" w:leader="dot" w:pos="9350"/>
            </w:tabs>
            <w:ind w:left="1980" w:hanging="900"/>
            <w:rPr>
              <w:rFonts w:asciiTheme="minorHAnsi" w:hAnsiTheme="minorHAnsi" w:cstheme="minorBidi"/>
              <w:noProof/>
              <w:sz w:val="22"/>
              <w:szCs w:val="22"/>
            </w:rPr>
          </w:pPr>
          <w:hyperlink w:history="1" w:anchor="_Toc82159809">
            <w:r w:rsidRPr="0032220A" w:rsidR="008959A4">
              <w:rPr>
                <w:rStyle w:val="Hyperlink"/>
                <w:noProof/>
              </w:rPr>
              <w:t>5.6.3.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_Toc82159809 \h </w:instrText>
            </w:r>
            <w:r w:rsidR="008959A4">
              <w:rPr>
                <w:noProof/>
                <w:webHidden/>
              </w:rPr>
            </w:r>
            <w:r w:rsidR="008959A4">
              <w:rPr>
                <w:noProof/>
                <w:webHidden/>
              </w:rPr>
              <w:fldChar w:fldCharType="separate"/>
            </w:r>
            <w:r w:rsidR="00A643C3">
              <w:rPr>
                <w:noProof/>
                <w:webHidden/>
              </w:rPr>
              <w:t>105</w:t>
            </w:r>
            <w:r w:rsidR="008959A4">
              <w:rPr>
                <w:noProof/>
                <w:webHidden/>
              </w:rPr>
              <w:fldChar w:fldCharType="end"/>
            </w:r>
          </w:hyperlink>
        </w:p>
        <w:p w:rsidR="008959A4" w:rsidP="008959A4" w:rsidRDefault="00ED6D61" w14:paraId="2AB15C3A" w14:textId="52DA7E41">
          <w:pPr>
            <w:pStyle w:val="TOC3"/>
            <w:tabs>
              <w:tab w:val="right" w:leader="dot" w:pos="9350"/>
            </w:tabs>
            <w:ind w:left="1980" w:hanging="900"/>
            <w:rPr>
              <w:rFonts w:asciiTheme="minorHAnsi" w:hAnsiTheme="minorHAnsi" w:cstheme="minorBidi"/>
              <w:noProof/>
              <w:sz w:val="22"/>
              <w:szCs w:val="22"/>
            </w:rPr>
          </w:pPr>
          <w:hyperlink w:history="1" w:anchor="_Toc82159810">
            <w:r w:rsidRPr="0032220A" w:rsidR="008959A4">
              <w:rPr>
                <w:rStyle w:val="Hyperlink"/>
                <w:noProof/>
              </w:rPr>
              <w:t>5.6.4.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_Toc82159810 \h </w:instrText>
            </w:r>
            <w:r w:rsidR="008959A4">
              <w:rPr>
                <w:noProof/>
                <w:webHidden/>
              </w:rPr>
            </w:r>
            <w:r w:rsidR="008959A4">
              <w:rPr>
                <w:noProof/>
                <w:webHidden/>
              </w:rPr>
              <w:fldChar w:fldCharType="separate"/>
            </w:r>
            <w:r w:rsidR="00A643C3">
              <w:rPr>
                <w:noProof/>
                <w:webHidden/>
              </w:rPr>
              <w:t>105</w:t>
            </w:r>
            <w:r w:rsidR="008959A4">
              <w:rPr>
                <w:noProof/>
                <w:webHidden/>
              </w:rPr>
              <w:fldChar w:fldCharType="end"/>
            </w:r>
          </w:hyperlink>
        </w:p>
        <w:p w:rsidR="008959A4" w:rsidP="008959A4" w:rsidRDefault="00ED6D61" w14:paraId="712BEB38" w14:textId="0D3C7E55">
          <w:pPr>
            <w:pStyle w:val="TOC3"/>
            <w:tabs>
              <w:tab w:val="right" w:leader="dot" w:pos="9350"/>
            </w:tabs>
            <w:ind w:left="1980" w:hanging="900"/>
            <w:rPr>
              <w:rFonts w:asciiTheme="minorHAnsi" w:hAnsiTheme="minorHAnsi" w:cstheme="minorBidi"/>
              <w:noProof/>
              <w:sz w:val="22"/>
              <w:szCs w:val="22"/>
            </w:rPr>
          </w:pPr>
          <w:hyperlink w:history="1" w:anchor="_Toc82159811">
            <w:r w:rsidRPr="0032220A" w:rsidR="008959A4">
              <w:rPr>
                <w:rStyle w:val="Hyperlink"/>
                <w:noProof/>
              </w:rPr>
              <w:t>5.6.5.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_Toc82159811 \h </w:instrText>
            </w:r>
            <w:r w:rsidR="008959A4">
              <w:rPr>
                <w:noProof/>
                <w:webHidden/>
              </w:rPr>
            </w:r>
            <w:r w:rsidR="008959A4">
              <w:rPr>
                <w:noProof/>
                <w:webHidden/>
              </w:rPr>
              <w:fldChar w:fldCharType="separate"/>
            </w:r>
            <w:r w:rsidR="00A643C3">
              <w:rPr>
                <w:noProof/>
                <w:webHidden/>
              </w:rPr>
              <w:t>106</w:t>
            </w:r>
            <w:r w:rsidR="008959A4">
              <w:rPr>
                <w:noProof/>
                <w:webHidden/>
              </w:rPr>
              <w:fldChar w:fldCharType="end"/>
            </w:r>
          </w:hyperlink>
        </w:p>
        <w:p w:rsidR="008959A4" w:rsidP="008959A4" w:rsidRDefault="00ED6D61" w14:paraId="3CEBAE7E" w14:textId="4AA3EF26">
          <w:pPr>
            <w:pStyle w:val="TOC3"/>
            <w:tabs>
              <w:tab w:val="right" w:leader="dot" w:pos="9350"/>
            </w:tabs>
            <w:ind w:left="1980" w:hanging="900"/>
            <w:rPr>
              <w:rFonts w:asciiTheme="minorHAnsi" w:hAnsiTheme="minorHAnsi" w:cstheme="minorBidi"/>
              <w:noProof/>
              <w:sz w:val="22"/>
              <w:szCs w:val="22"/>
            </w:rPr>
          </w:pPr>
          <w:hyperlink w:history="1" w:anchor="_Toc82159812">
            <w:r w:rsidRPr="0032220A" w:rsidR="008959A4">
              <w:rPr>
                <w:rStyle w:val="Hyperlink"/>
                <w:noProof/>
              </w:rPr>
              <w:t>5.6.6.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_Toc82159812 \h </w:instrText>
            </w:r>
            <w:r w:rsidR="008959A4">
              <w:rPr>
                <w:noProof/>
                <w:webHidden/>
              </w:rPr>
            </w:r>
            <w:r w:rsidR="008959A4">
              <w:rPr>
                <w:noProof/>
                <w:webHidden/>
              </w:rPr>
              <w:fldChar w:fldCharType="separate"/>
            </w:r>
            <w:r w:rsidR="00A643C3">
              <w:rPr>
                <w:noProof/>
                <w:webHidden/>
              </w:rPr>
              <w:t>106</w:t>
            </w:r>
            <w:r w:rsidR="008959A4">
              <w:rPr>
                <w:noProof/>
                <w:webHidden/>
              </w:rPr>
              <w:fldChar w:fldCharType="end"/>
            </w:r>
          </w:hyperlink>
        </w:p>
        <w:p w:rsidR="008959A4" w:rsidP="008959A4" w:rsidRDefault="00ED6D61" w14:paraId="3891E806" w14:textId="1C92F587">
          <w:pPr>
            <w:pStyle w:val="TOC3"/>
            <w:tabs>
              <w:tab w:val="right" w:leader="dot" w:pos="9350"/>
            </w:tabs>
            <w:ind w:left="1980" w:hanging="900"/>
            <w:rPr>
              <w:rFonts w:asciiTheme="minorHAnsi" w:hAnsiTheme="minorHAnsi" w:cstheme="minorBidi"/>
              <w:noProof/>
              <w:sz w:val="22"/>
              <w:szCs w:val="22"/>
            </w:rPr>
          </w:pPr>
          <w:hyperlink w:history="1" w:anchor="_Toc82159813">
            <w:r w:rsidRPr="0032220A" w:rsidR="008959A4">
              <w:rPr>
                <w:rStyle w:val="Hyperlink"/>
                <w:noProof/>
              </w:rPr>
              <w:t>5.6.7.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_Toc82159813 \h </w:instrText>
            </w:r>
            <w:r w:rsidR="008959A4">
              <w:rPr>
                <w:noProof/>
                <w:webHidden/>
              </w:rPr>
            </w:r>
            <w:r w:rsidR="008959A4">
              <w:rPr>
                <w:noProof/>
                <w:webHidden/>
              </w:rPr>
              <w:fldChar w:fldCharType="separate"/>
            </w:r>
            <w:r w:rsidR="00A643C3">
              <w:rPr>
                <w:noProof/>
                <w:webHidden/>
              </w:rPr>
              <w:t>106</w:t>
            </w:r>
            <w:r w:rsidR="008959A4">
              <w:rPr>
                <w:noProof/>
                <w:webHidden/>
              </w:rPr>
              <w:fldChar w:fldCharType="end"/>
            </w:r>
          </w:hyperlink>
        </w:p>
        <w:p w:rsidR="008959A4" w:rsidP="008959A4" w:rsidRDefault="00ED6D61" w14:paraId="507EF643" w14:textId="7B2050BA">
          <w:pPr>
            <w:pStyle w:val="TOC4"/>
            <w:tabs>
              <w:tab w:val="left" w:pos="3060"/>
            </w:tabs>
            <w:rPr>
              <w:rFonts w:asciiTheme="minorHAnsi" w:hAnsiTheme="minorHAnsi" w:eastAsiaTheme="minorEastAsia" w:cstheme="minorBidi"/>
              <w:noProof/>
              <w:sz w:val="22"/>
              <w:szCs w:val="22"/>
            </w:rPr>
          </w:pPr>
          <w:hyperlink w:history="1" w:anchor="_Toc82159814">
            <w:r w:rsidRPr="0032220A" w:rsidR="008959A4">
              <w:rPr>
                <w:rStyle w:val="Hyperlink"/>
                <w:noProof/>
              </w:rPr>
              <w:t>5.6.7.1.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_Toc82159814 \h </w:instrText>
            </w:r>
            <w:r w:rsidR="008959A4">
              <w:rPr>
                <w:noProof/>
                <w:webHidden/>
              </w:rPr>
            </w:r>
            <w:r w:rsidR="008959A4">
              <w:rPr>
                <w:noProof/>
                <w:webHidden/>
              </w:rPr>
              <w:fldChar w:fldCharType="separate"/>
            </w:r>
            <w:r w:rsidR="00A643C3">
              <w:rPr>
                <w:noProof/>
                <w:webHidden/>
              </w:rPr>
              <w:t>106</w:t>
            </w:r>
            <w:r w:rsidR="008959A4">
              <w:rPr>
                <w:noProof/>
                <w:webHidden/>
              </w:rPr>
              <w:fldChar w:fldCharType="end"/>
            </w:r>
          </w:hyperlink>
        </w:p>
        <w:p w:rsidR="008959A4" w:rsidP="008959A4" w:rsidRDefault="00ED6D61" w14:paraId="31BA3824" w14:textId="40E6C145">
          <w:pPr>
            <w:pStyle w:val="TOC4"/>
            <w:tabs>
              <w:tab w:val="left" w:pos="3060"/>
            </w:tabs>
            <w:rPr>
              <w:rFonts w:asciiTheme="minorHAnsi" w:hAnsiTheme="minorHAnsi" w:eastAsiaTheme="minorEastAsia" w:cstheme="minorBidi"/>
              <w:noProof/>
              <w:sz w:val="22"/>
              <w:szCs w:val="22"/>
            </w:rPr>
          </w:pPr>
          <w:hyperlink w:history="1" w:anchor="_Toc82159815">
            <w:r w:rsidRPr="0032220A" w:rsidR="008959A4">
              <w:rPr>
                <w:rStyle w:val="Hyperlink"/>
                <w:noProof/>
              </w:rPr>
              <w:t>5.6.7.2.</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_Toc82159815 \h </w:instrText>
            </w:r>
            <w:r w:rsidR="008959A4">
              <w:rPr>
                <w:noProof/>
                <w:webHidden/>
              </w:rPr>
            </w:r>
            <w:r w:rsidR="008959A4">
              <w:rPr>
                <w:noProof/>
                <w:webHidden/>
              </w:rPr>
              <w:fldChar w:fldCharType="separate"/>
            </w:r>
            <w:r w:rsidR="00A643C3">
              <w:rPr>
                <w:noProof/>
                <w:webHidden/>
              </w:rPr>
              <w:t>107</w:t>
            </w:r>
            <w:r w:rsidR="008959A4">
              <w:rPr>
                <w:noProof/>
                <w:webHidden/>
              </w:rPr>
              <w:fldChar w:fldCharType="end"/>
            </w:r>
          </w:hyperlink>
        </w:p>
        <w:p w:rsidR="008959A4" w:rsidP="008959A4" w:rsidRDefault="00ED6D61" w14:paraId="500881B6" w14:textId="7146974F">
          <w:pPr>
            <w:pStyle w:val="TOC3"/>
            <w:tabs>
              <w:tab w:val="right" w:leader="dot" w:pos="9350"/>
            </w:tabs>
            <w:ind w:left="1980" w:hanging="900"/>
            <w:rPr>
              <w:rFonts w:asciiTheme="minorHAnsi" w:hAnsiTheme="minorHAnsi" w:cstheme="minorBidi"/>
              <w:noProof/>
              <w:sz w:val="22"/>
              <w:szCs w:val="22"/>
            </w:rPr>
          </w:pPr>
          <w:hyperlink w:history="1" w:anchor="_Toc82159816">
            <w:r w:rsidRPr="0032220A" w:rsidR="008959A4">
              <w:rPr>
                <w:rStyle w:val="Hyperlink"/>
                <w:noProof/>
              </w:rPr>
              <w:t>5.6.8.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_Toc82159816 \h </w:instrText>
            </w:r>
            <w:r w:rsidR="008959A4">
              <w:rPr>
                <w:noProof/>
                <w:webHidden/>
              </w:rPr>
            </w:r>
            <w:r w:rsidR="008959A4">
              <w:rPr>
                <w:noProof/>
                <w:webHidden/>
              </w:rPr>
              <w:fldChar w:fldCharType="separate"/>
            </w:r>
            <w:r w:rsidR="00A643C3">
              <w:rPr>
                <w:noProof/>
                <w:webHidden/>
              </w:rPr>
              <w:t>108</w:t>
            </w:r>
            <w:r w:rsidR="008959A4">
              <w:rPr>
                <w:noProof/>
                <w:webHidden/>
              </w:rPr>
              <w:fldChar w:fldCharType="end"/>
            </w:r>
          </w:hyperlink>
        </w:p>
        <w:p w:rsidR="008959A4" w:rsidP="008959A4" w:rsidRDefault="00ED6D61" w14:paraId="71650BA4" w14:textId="3BD15D56">
          <w:pPr>
            <w:pStyle w:val="TOC4"/>
            <w:tabs>
              <w:tab w:val="left" w:pos="3060"/>
            </w:tabs>
            <w:rPr>
              <w:rFonts w:asciiTheme="minorHAnsi" w:hAnsiTheme="minorHAnsi" w:eastAsiaTheme="minorEastAsia" w:cstheme="minorBidi"/>
              <w:noProof/>
              <w:sz w:val="22"/>
              <w:szCs w:val="22"/>
            </w:rPr>
          </w:pPr>
          <w:hyperlink w:history="1" w:anchor="_Toc82159817">
            <w:r w:rsidRPr="0032220A" w:rsidR="008959A4">
              <w:rPr>
                <w:rStyle w:val="Hyperlink"/>
                <w:noProof/>
              </w:rPr>
              <w:t>5.6.8.1.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SMJUs) Response</w:t>
            </w:r>
            <w:r w:rsidR="008959A4">
              <w:rPr>
                <w:noProof/>
                <w:webHidden/>
              </w:rPr>
              <w:tab/>
            </w:r>
            <w:r w:rsidR="008959A4">
              <w:rPr>
                <w:noProof/>
                <w:webHidden/>
              </w:rPr>
              <w:fldChar w:fldCharType="begin"/>
            </w:r>
            <w:r w:rsidR="008959A4">
              <w:rPr>
                <w:noProof/>
                <w:webHidden/>
              </w:rPr>
              <w:instrText xml:space="preserve"> PAGEREF _Toc82159817 \h </w:instrText>
            </w:r>
            <w:r w:rsidR="008959A4">
              <w:rPr>
                <w:noProof/>
                <w:webHidden/>
              </w:rPr>
            </w:r>
            <w:r w:rsidR="008959A4">
              <w:rPr>
                <w:noProof/>
                <w:webHidden/>
              </w:rPr>
              <w:fldChar w:fldCharType="separate"/>
            </w:r>
            <w:r w:rsidR="00A643C3">
              <w:rPr>
                <w:noProof/>
                <w:webHidden/>
              </w:rPr>
              <w:t>108</w:t>
            </w:r>
            <w:r w:rsidR="008959A4">
              <w:rPr>
                <w:noProof/>
                <w:webHidden/>
              </w:rPr>
              <w:fldChar w:fldCharType="end"/>
            </w:r>
          </w:hyperlink>
        </w:p>
        <w:p w:rsidR="008959A4" w:rsidP="008959A4" w:rsidRDefault="00ED6D61" w14:paraId="4C7C7B54" w14:textId="122F4423">
          <w:pPr>
            <w:pStyle w:val="TOC4"/>
            <w:tabs>
              <w:tab w:val="left" w:pos="3060"/>
            </w:tabs>
            <w:rPr>
              <w:rFonts w:asciiTheme="minorHAnsi" w:hAnsiTheme="minorHAnsi" w:eastAsiaTheme="minorEastAsia" w:cstheme="minorBidi"/>
              <w:noProof/>
              <w:sz w:val="22"/>
              <w:szCs w:val="22"/>
            </w:rPr>
          </w:pPr>
          <w:hyperlink w:history="1" w:anchor="_Toc82159818">
            <w:r w:rsidRPr="0032220A" w:rsidR="008959A4">
              <w:rPr>
                <w:rStyle w:val="Hyperlink"/>
                <w:noProof/>
              </w:rPr>
              <w:t>5.6.8.2.</w:t>
            </w:r>
            <w:r w:rsidR="008959A4">
              <w:rPr>
                <w:rFonts w:asciiTheme="minorHAnsi" w:hAnsiTheme="minorHAnsi" w:eastAsiaTheme="minorEastAsia" w:cstheme="minorBidi"/>
                <w:noProof/>
                <w:sz w:val="22"/>
                <w:szCs w:val="22"/>
              </w:rPr>
              <w:tab/>
            </w:r>
            <w:r w:rsidRPr="0032220A" w:rsidR="008959A4">
              <w:rPr>
                <w:rStyle w:val="Hyperlink"/>
                <w:noProof/>
              </w:rPr>
              <w:t>Alpine Response</w:t>
            </w:r>
            <w:r w:rsidR="008959A4">
              <w:rPr>
                <w:noProof/>
                <w:webHidden/>
              </w:rPr>
              <w:tab/>
            </w:r>
            <w:r w:rsidR="008959A4">
              <w:rPr>
                <w:noProof/>
                <w:webHidden/>
              </w:rPr>
              <w:fldChar w:fldCharType="begin"/>
            </w:r>
            <w:r w:rsidR="008959A4">
              <w:rPr>
                <w:noProof/>
                <w:webHidden/>
              </w:rPr>
              <w:instrText xml:space="preserve"> PAGEREF _Toc82159818 \h </w:instrText>
            </w:r>
            <w:r w:rsidR="008959A4">
              <w:rPr>
                <w:noProof/>
                <w:webHidden/>
              </w:rPr>
            </w:r>
            <w:r w:rsidR="008959A4">
              <w:rPr>
                <w:noProof/>
                <w:webHidden/>
              </w:rPr>
              <w:fldChar w:fldCharType="separate"/>
            </w:r>
            <w:r w:rsidR="00A643C3">
              <w:rPr>
                <w:noProof/>
                <w:webHidden/>
              </w:rPr>
              <w:t>109</w:t>
            </w:r>
            <w:r w:rsidR="008959A4">
              <w:rPr>
                <w:noProof/>
                <w:webHidden/>
              </w:rPr>
              <w:fldChar w:fldCharType="end"/>
            </w:r>
          </w:hyperlink>
        </w:p>
        <w:p w:rsidR="008959A4" w:rsidP="008959A4" w:rsidRDefault="00ED6D61" w14:paraId="5E941CF5" w14:textId="22DD2036">
          <w:pPr>
            <w:pStyle w:val="TOC3"/>
            <w:tabs>
              <w:tab w:val="right" w:leader="dot" w:pos="9350"/>
            </w:tabs>
            <w:ind w:left="1980" w:hanging="900"/>
            <w:rPr>
              <w:rFonts w:asciiTheme="minorHAnsi" w:hAnsiTheme="minorHAnsi" w:cstheme="minorBidi"/>
              <w:noProof/>
              <w:sz w:val="22"/>
              <w:szCs w:val="22"/>
            </w:rPr>
          </w:pPr>
          <w:hyperlink w:history="1" w:anchor="_Toc82159819">
            <w:r w:rsidRPr="0032220A" w:rsidR="008959A4">
              <w:rPr>
                <w:rStyle w:val="Hyperlink"/>
                <w:noProof/>
              </w:rPr>
              <w:t>5.6.9.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_Toc82159819 \h </w:instrText>
            </w:r>
            <w:r w:rsidR="008959A4">
              <w:rPr>
                <w:noProof/>
                <w:webHidden/>
              </w:rPr>
            </w:r>
            <w:r w:rsidR="008959A4">
              <w:rPr>
                <w:noProof/>
                <w:webHidden/>
              </w:rPr>
              <w:fldChar w:fldCharType="separate"/>
            </w:r>
            <w:r w:rsidR="00A643C3">
              <w:rPr>
                <w:noProof/>
                <w:webHidden/>
              </w:rPr>
              <w:t>109</w:t>
            </w:r>
            <w:r w:rsidR="008959A4">
              <w:rPr>
                <w:noProof/>
                <w:webHidden/>
              </w:rPr>
              <w:fldChar w:fldCharType="end"/>
            </w:r>
          </w:hyperlink>
        </w:p>
        <w:p w:rsidR="008959A4" w:rsidP="008959A4" w:rsidRDefault="00ED6D61" w14:paraId="7327BBDE" w14:textId="0F57CEFC">
          <w:pPr>
            <w:pStyle w:val="TOC4"/>
            <w:tabs>
              <w:tab w:val="left" w:pos="3060"/>
            </w:tabs>
            <w:rPr>
              <w:rFonts w:asciiTheme="minorHAnsi" w:hAnsiTheme="minorHAnsi" w:eastAsiaTheme="minorEastAsia" w:cstheme="minorBidi"/>
              <w:noProof/>
              <w:sz w:val="22"/>
              <w:szCs w:val="22"/>
            </w:rPr>
          </w:pPr>
          <w:hyperlink w:history="1" w:anchor="_Toc82159820">
            <w:r w:rsidRPr="0032220A" w:rsidR="008959A4">
              <w:rPr>
                <w:rStyle w:val="Hyperlink"/>
                <w:noProof/>
              </w:rPr>
              <w:t>5.6.9.1.</w:t>
            </w:r>
            <w:r w:rsidR="008959A4">
              <w:rPr>
                <w:rFonts w:asciiTheme="minorHAnsi" w:hAnsiTheme="minorHAnsi" w:eastAsiaTheme="minorEastAsia" w:cstheme="minorBidi"/>
                <w:noProof/>
                <w:sz w:val="22"/>
                <w:szCs w:val="22"/>
              </w:rPr>
              <w:tab/>
            </w:r>
            <w:r w:rsidRPr="0032220A" w:rsidR="008959A4">
              <w:rPr>
                <w:rStyle w:val="Hyperlink"/>
                <w:noProof/>
              </w:rPr>
              <w:t xml:space="preserve">Establishing an ESACET Threshold of 1.0 for the Resource Measures at the Portfolio Level:  </w:t>
            </w:r>
            <w:r w:rsidR="008959A4">
              <w:rPr>
                <w:rStyle w:val="Hyperlink"/>
                <w:noProof/>
              </w:rPr>
              <w:br/>
            </w:r>
            <w:r w:rsidRPr="0032220A" w:rsidR="008959A4">
              <w:rPr>
                <w:rStyle w:val="Hyperlink"/>
                <w:noProof/>
              </w:rPr>
              <w:t>Denied</w:t>
            </w:r>
            <w:r w:rsidR="008959A4">
              <w:rPr>
                <w:noProof/>
                <w:webHidden/>
              </w:rPr>
              <w:tab/>
            </w:r>
            <w:r w:rsidR="008959A4">
              <w:rPr>
                <w:noProof/>
                <w:webHidden/>
              </w:rPr>
              <w:fldChar w:fldCharType="begin"/>
            </w:r>
            <w:r w:rsidR="008959A4">
              <w:rPr>
                <w:noProof/>
                <w:webHidden/>
              </w:rPr>
              <w:instrText xml:space="preserve"> PAGEREF _Toc82159820 \h </w:instrText>
            </w:r>
            <w:r w:rsidR="008959A4">
              <w:rPr>
                <w:noProof/>
                <w:webHidden/>
              </w:rPr>
            </w:r>
            <w:r w:rsidR="008959A4">
              <w:rPr>
                <w:noProof/>
                <w:webHidden/>
              </w:rPr>
              <w:fldChar w:fldCharType="separate"/>
            </w:r>
            <w:r w:rsidR="00A643C3">
              <w:rPr>
                <w:noProof/>
                <w:webHidden/>
              </w:rPr>
              <w:t>109</w:t>
            </w:r>
            <w:r w:rsidR="008959A4">
              <w:rPr>
                <w:noProof/>
                <w:webHidden/>
              </w:rPr>
              <w:fldChar w:fldCharType="end"/>
            </w:r>
          </w:hyperlink>
        </w:p>
        <w:p w:rsidR="008959A4" w:rsidP="008959A4" w:rsidRDefault="00ED6D61" w14:paraId="565F1DD2" w14:textId="287244CD">
          <w:pPr>
            <w:pStyle w:val="TOC4"/>
            <w:tabs>
              <w:tab w:val="left" w:pos="3060"/>
            </w:tabs>
            <w:rPr>
              <w:rFonts w:asciiTheme="minorHAnsi" w:hAnsiTheme="minorHAnsi" w:eastAsiaTheme="minorEastAsia" w:cstheme="minorBidi"/>
              <w:noProof/>
              <w:sz w:val="22"/>
              <w:szCs w:val="22"/>
            </w:rPr>
          </w:pPr>
          <w:hyperlink w:history="1" w:anchor="_Toc82159821">
            <w:r w:rsidRPr="0032220A" w:rsidR="008959A4">
              <w:rPr>
                <w:rStyle w:val="Hyperlink"/>
                <w:noProof/>
              </w:rPr>
              <w:t>5.6.9.2.</w:t>
            </w:r>
            <w:r w:rsidR="008959A4">
              <w:rPr>
                <w:rFonts w:asciiTheme="minorHAnsi" w:hAnsiTheme="minorHAnsi" w:eastAsiaTheme="minorEastAsia" w:cstheme="minorBidi"/>
                <w:noProof/>
                <w:sz w:val="22"/>
                <w:szCs w:val="22"/>
              </w:rPr>
              <w:tab/>
            </w:r>
            <w:r w:rsidRPr="0032220A" w:rsidR="008959A4">
              <w:rPr>
                <w:rStyle w:val="Hyperlink"/>
                <w:noProof/>
              </w:rPr>
              <w:t xml:space="preserve">Establishing an ESACET Threshold of 0.3 </w:t>
            </w:r>
            <w:r w:rsidR="008959A4">
              <w:rPr>
                <w:rStyle w:val="Hyperlink"/>
                <w:noProof/>
              </w:rPr>
              <w:br/>
            </w:r>
            <w:r w:rsidRPr="0032220A" w:rsidR="008959A4">
              <w:rPr>
                <w:rStyle w:val="Hyperlink"/>
                <w:noProof/>
              </w:rPr>
              <w:t xml:space="preserve">for the Resource Measures at the Portfolio </w:t>
            </w:r>
            <w:r w:rsidR="008959A4">
              <w:rPr>
                <w:rStyle w:val="Hyperlink"/>
                <w:noProof/>
              </w:rPr>
              <w:br/>
            </w:r>
            <w:r w:rsidRPr="0032220A" w:rsidR="008959A4">
              <w:rPr>
                <w:rStyle w:val="Hyperlink"/>
                <w:noProof/>
              </w:rPr>
              <w:t>Level for Alpine:  Denied</w:t>
            </w:r>
            <w:r w:rsidR="008959A4">
              <w:rPr>
                <w:noProof/>
                <w:webHidden/>
              </w:rPr>
              <w:tab/>
            </w:r>
            <w:r w:rsidR="008959A4">
              <w:rPr>
                <w:noProof/>
                <w:webHidden/>
              </w:rPr>
              <w:fldChar w:fldCharType="begin"/>
            </w:r>
            <w:r w:rsidR="008959A4">
              <w:rPr>
                <w:noProof/>
                <w:webHidden/>
              </w:rPr>
              <w:instrText xml:space="preserve"> PAGEREF _Toc82159821 \h </w:instrText>
            </w:r>
            <w:r w:rsidR="008959A4">
              <w:rPr>
                <w:noProof/>
                <w:webHidden/>
              </w:rPr>
            </w:r>
            <w:r w:rsidR="008959A4">
              <w:rPr>
                <w:noProof/>
                <w:webHidden/>
              </w:rPr>
              <w:fldChar w:fldCharType="separate"/>
            </w:r>
            <w:r w:rsidR="00A643C3">
              <w:rPr>
                <w:noProof/>
                <w:webHidden/>
              </w:rPr>
              <w:t>110</w:t>
            </w:r>
            <w:r w:rsidR="008959A4">
              <w:rPr>
                <w:noProof/>
                <w:webHidden/>
              </w:rPr>
              <w:fldChar w:fldCharType="end"/>
            </w:r>
          </w:hyperlink>
        </w:p>
        <w:p w:rsidR="008959A4" w:rsidP="008959A4" w:rsidRDefault="00ED6D61" w14:paraId="1A07E9F7" w14:textId="46F26DA6">
          <w:pPr>
            <w:pStyle w:val="TOC2"/>
            <w:tabs>
              <w:tab w:val="right" w:leader="dot" w:pos="9350"/>
            </w:tabs>
            <w:ind w:left="1080" w:hanging="630"/>
            <w:rPr>
              <w:rFonts w:asciiTheme="minorHAnsi" w:hAnsiTheme="minorHAnsi" w:cstheme="minorBidi"/>
              <w:noProof/>
              <w:sz w:val="22"/>
              <w:szCs w:val="22"/>
            </w:rPr>
          </w:pPr>
          <w:hyperlink w:history="1" w:anchor="_Toc82159822">
            <w:r w:rsidRPr="0032220A" w:rsidR="008959A4">
              <w:rPr>
                <w:rStyle w:val="Hyperlink"/>
                <w:noProof/>
              </w:rPr>
              <w:t>5.7.</w:t>
            </w:r>
            <w:r w:rsidR="008959A4">
              <w:rPr>
                <w:rFonts w:asciiTheme="minorHAnsi" w:hAnsiTheme="minorHAnsi" w:cstheme="minorBidi"/>
                <w:noProof/>
                <w:sz w:val="22"/>
                <w:szCs w:val="22"/>
              </w:rPr>
              <w:tab/>
            </w:r>
            <w:r w:rsidRPr="0032220A" w:rsidR="008959A4">
              <w:rPr>
                <w:rStyle w:val="Hyperlink"/>
                <w:noProof/>
              </w:rPr>
              <w:t>ESA Program ME&amp;O and Leveraging Efforts</w:t>
            </w:r>
            <w:r w:rsidR="008959A4">
              <w:rPr>
                <w:noProof/>
                <w:webHidden/>
              </w:rPr>
              <w:tab/>
            </w:r>
            <w:r w:rsidR="008959A4">
              <w:rPr>
                <w:noProof/>
                <w:webHidden/>
              </w:rPr>
              <w:fldChar w:fldCharType="begin"/>
            </w:r>
            <w:r w:rsidR="008959A4">
              <w:rPr>
                <w:noProof/>
                <w:webHidden/>
              </w:rPr>
              <w:instrText xml:space="preserve"> PAGEREF _Toc82159822 \h </w:instrText>
            </w:r>
            <w:r w:rsidR="008959A4">
              <w:rPr>
                <w:noProof/>
                <w:webHidden/>
              </w:rPr>
            </w:r>
            <w:r w:rsidR="008959A4">
              <w:rPr>
                <w:noProof/>
                <w:webHidden/>
              </w:rPr>
              <w:fldChar w:fldCharType="separate"/>
            </w:r>
            <w:r w:rsidR="00A643C3">
              <w:rPr>
                <w:noProof/>
                <w:webHidden/>
              </w:rPr>
              <w:t>111</w:t>
            </w:r>
            <w:r w:rsidR="008959A4">
              <w:rPr>
                <w:noProof/>
                <w:webHidden/>
              </w:rPr>
              <w:fldChar w:fldCharType="end"/>
            </w:r>
          </w:hyperlink>
        </w:p>
        <w:p w:rsidR="008959A4" w:rsidP="008959A4" w:rsidRDefault="00ED6D61" w14:paraId="3CA7790E" w14:textId="1A9BA4BB">
          <w:pPr>
            <w:pStyle w:val="TOC3"/>
            <w:tabs>
              <w:tab w:val="right" w:leader="dot" w:pos="9350"/>
            </w:tabs>
            <w:ind w:left="1980" w:hanging="900"/>
            <w:rPr>
              <w:rFonts w:asciiTheme="minorHAnsi" w:hAnsiTheme="minorHAnsi" w:cstheme="minorBidi"/>
              <w:noProof/>
              <w:sz w:val="22"/>
              <w:szCs w:val="22"/>
            </w:rPr>
          </w:pPr>
          <w:hyperlink w:history="1" w:anchor="_Toc82159823">
            <w:r w:rsidRPr="0032220A" w:rsidR="008959A4">
              <w:rPr>
                <w:rStyle w:val="Hyperlink"/>
                <w:noProof/>
              </w:rPr>
              <w:t>5.7.1.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_Toc82159823 \h </w:instrText>
            </w:r>
            <w:r w:rsidR="008959A4">
              <w:rPr>
                <w:noProof/>
                <w:webHidden/>
              </w:rPr>
            </w:r>
            <w:r w:rsidR="008959A4">
              <w:rPr>
                <w:noProof/>
                <w:webHidden/>
              </w:rPr>
              <w:fldChar w:fldCharType="separate"/>
            </w:r>
            <w:r w:rsidR="00A643C3">
              <w:rPr>
                <w:noProof/>
                <w:webHidden/>
              </w:rPr>
              <w:t>111</w:t>
            </w:r>
            <w:r w:rsidR="008959A4">
              <w:rPr>
                <w:noProof/>
                <w:webHidden/>
              </w:rPr>
              <w:fldChar w:fldCharType="end"/>
            </w:r>
          </w:hyperlink>
        </w:p>
        <w:p w:rsidR="008959A4" w:rsidP="008959A4" w:rsidRDefault="00ED6D61" w14:paraId="7FDBDD22" w14:textId="74E56E40">
          <w:pPr>
            <w:pStyle w:val="TOC3"/>
            <w:tabs>
              <w:tab w:val="right" w:leader="dot" w:pos="9350"/>
            </w:tabs>
            <w:ind w:left="1980" w:hanging="900"/>
            <w:rPr>
              <w:rFonts w:asciiTheme="minorHAnsi" w:hAnsiTheme="minorHAnsi" w:cstheme="minorBidi"/>
              <w:noProof/>
              <w:sz w:val="22"/>
              <w:szCs w:val="22"/>
            </w:rPr>
          </w:pPr>
          <w:hyperlink w:history="1" w:anchor="_Toc82159824">
            <w:r w:rsidRPr="0032220A" w:rsidR="008959A4">
              <w:rPr>
                <w:rStyle w:val="Hyperlink"/>
                <w:noProof/>
              </w:rPr>
              <w:t>5.7.2.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_Toc82159824 \h </w:instrText>
            </w:r>
            <w:r w:rsidR="008959A4">
              <w:rPr>
                <w:noProof/>
                <w:webHidden/>
              </w:rPr>
            </w:r>
            <w:r w:rsidR="008959A4">
              <w:rPr>
                <w:noProof/>
                <w:webHidden/>
              </w:rPr>
              <w:fldChar w:fldCharType="separate"/>
            </w:r>
            <w:r w:rsidR="00A643C3">
              <w:rPr>
                <w:noProof/>
                <w:webHidden/>
              </w:rPr>
              <w:t>111</w:t>
            </w:r>
            <w:r w:rsidR="008959A4">
              <w:rPr>
                <w:noProof/>
                <w:webHidden/>
              </w:rPr>
              <w:fldChar w:fldCharType="end"/>
            </w:r>
          </w:hyperlink>
        </w:p>
        <w:p w:rsidR="008959A4" w:rsidP="008959A4" w:rsidRDefault="00ED6D61" w14:paraId="30BF5365" w14:textId="46390C98">
          <w:pPr>
            <w:pStyle w:val="TOC3"/>
            <w:tabs>
              <w:tab w:val="right" w:leader="dot" w:pos="9350"/>
            </w:tabs>
            <w:ind w:left="1980" w:hanging="900"/>
            <w:rPr>
              <w:rFonts w:asciiTheme="minorHAnsi" w:hAnsiTheme="minorHAnsi" w:cstheme="minorBidi"/>
              <w:noProof/>
              <w:sz w:val="22"/>
              <w:szCs w:val="22"/>
            </w:rPr>
          </w:pPr>
          <w:hyperlink w:history="1" w:anchor="_Toc82159825">
            <w:r w:rsidRPr="0032220A" w:rsidR="008959A4">
              <w:rPr>
                <w:rStyle w:val="Hyperlink"/>
                <w:noProof/>
              </w:rPr>
              <w:t>5.7.3.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_Toc82159825 \h </w:instrText>
            </w:r>
            <w:r w:rsidR="008959A4">
              <w:rPr>
                <w:noProof/>
                <w:webHidden/>
              </w:rPr>
            </w:r>
            <w:r w:rsidR="008959A4">
              <w:rPr>
                <w:noProof/>
                <w:webHidden/>
              </w:rPr>
              <w:fldChar w:fldCharType="separate"/>
            </w:r>
            <w:r w:rsidR="00A643C3">
              <w:rPr>
                <w:noProof/>
                <w:webHidden/>
              </w:rPr>
              <w:t>112</w:t>
            </w:r>
            <w:r w:rsidR="008959A4">
              <w:rPr>
                <w:noProof/>
                <w:webHidden/>
              </w:rPr>
              <w:fldChar w:fldCharType="end"/>
            </w:r>
          </w:hyperlink>
        </w:p>
        <w:p w:rsidR="008959A4" w:rsidP="008959A4" w:rsidRDefault="00ED6D61" w14:paraId="36EF0EDA" w14:textId="29212DCD">
          <w:pPr>
            <w:pStyle w:val="TOC3"/>
            <w:tabs>
              <w:tab w:val="right" w:leader="dot" w:pos="9350"/>
            </w:tabs>
            <w:ind w:left="1980" w:hanging="900"/>
            <w:rPr>
              <w:rFonts w:asciiTheme="minorHAnsi" w:hAnsiTheme="minorHAnsi" w:cstheme="minorBidi"/>
              <w:noProof/>
              <w:sz w:val="22"/>
              <w:szCs w:val="22"/>
            </w:rPr>
          </w:pPr>
          <w:hyperlink w:history="1" w:anchor="_Toc82159826">
            <w:r w:rsidRPr="0032220A" w:rsidR="008959A4">
              <w:rPr>
                <w:rStyle w:val="Hyperlink"/>
                <w:noProof/>
              </w:rPr>
              <w:t>5.7.4.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_Toc82159826 \h </w:instrText>
            </w:r>
            <w:r w:rsidR="008959A4">
              <w:rPr>
                <w:noProof/>
                <w:webHidden/>
              </w:rPr>
            </w:r>
            <w:r w:rsidR="008959A4">
              <w:rPr>
                <w:noProof/>
                <w:webHidden/>
              </w:rPr>
              <w:fldChar w:fldCharType="separate"/>
            </w:r>
            <w:r w:rsidR="00A643C3">
              <w:rPr>
                <w:noProof/>
                <w:webHidden/>
              </w:rPr>
              <w:t>112</w:t>
            </w:r>
            <w:r w:rsidR="008959A4">
              <w:rPr>
                <w:noProof/>
                <w:webHidden/>
              </w:rPr>
              <w:fldChar w:fldCharType="end"/>
            </w:r>
          </w:hyperlink>
        </w:p>
        <w:p w:rsidR="008959A4" w:rsidP="008959A4" w:rsidRDefault="00ED6D61" w14:paraId="0C198DC7" w14:textId="42898D73">
          <w:pPr>
            <w:pStyle w:val="TOC3"/>
            <w:tabs>
              <w:tab w:val="right" w:leader="dot" w:pos="9350"/>
            </w:tabs>
            <w:ind w:left="1980" w:hanging="900"/>
            <w:rPr>
              <w:rFonts w:asciiTheme="minorHAnsi" w:hAnsiTheme="minorHAnsi" w:cstheme="minorBidi"/>
              <w:noProof/>
              <w:sz w:val="22"/>
              <w:szCs w:val="22"/>
            </w:rPr>
          </w:pPr>
          <w:hyperlink w:history="1" w:anchor="_Toc82159827">
            <w:r w:rsidRPr="0032220A" w:rsidR="008959A4">
              <w:rPr>
                <w:rStyle w:val="Hyperlink"/>
                <w:noProof/>
              </w:rPr>
              <w:t>5.7.5.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_Toc82159827 \h </w:instrText>
            </w:r>
            <w:r w:rsidR="008959A4">
              <w:rPr>
                <w:noProof/>
                <w:webHidden/>
              </w:rPr>
            </w:r>
            <w:r w:rsidR="008959A4">
              <w:rPr>
                <w:noProof/>
                <w:webHidden/>
              </w:rPr>
              <w:fldChar w:fldCharType="separate"/>
            </w:r>
            <w:r w:rsidR="00A643C3">
              <w:rPr>
                <w:noProof/>
                <w:webHidden/>
              </w:rPr>
              <w:t>113</w:t>
            </w:r>
            <w:r w:rsidR="008959A4">
              <w:rPr>
                <w:noProof/>
                <w:webHidden/>
              </w:rPr>
              <w:fldChar w:fldCharType="end"/>
            </w:r>
          </w:hyperlink>
        </w:p>
        <w:p w:rsidR="008959A4" w:rsidP="008959A4" w:rsidRDefault="00ED6D61" w14:paraId="4B60B0D5" w14:textId="771200AB">
          <w:pPr>
            <w:pStyle w:val="TOC3"/>
            <w:tabs>
              <w:tab w:val="right" w:leader="dot" w:pos="9350"/>
            </w:tabs>
            <w:ind w:left="1980" w:hanging="900"/>
            <w:rPr>
              <w:rFonts w:asciiTheme="minorHAnsi" w:hAnsiTheme="minorHAnsi" w:cstheme="minorBidi"/>
              <w:noProof/>
              <w:sz w:val="22"/>
              <w:szCs w:val="22"/>
            </w:rPr>
          </w:pPr>
          <w:hyperlink w:history="1" w:anchor="_Toc82159828">
            <w:r w:rsidRPr="0032220A" w:rsidR="008959A4">
              <w:rPr>
                <w:rStyle w:val="Hyperlink"/>
                <w:noProof/>
              </w:rPr>
              <w:t>5.7.6.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_Toc82159828 \h </w:instrText>
            </w:r>
            <w:r w:rsidR="008959A4">
              <w:rPr>
                <w:noProof/>
                <w:webHidden/>
              </w:rPr>
            </w:r>
            <w:r w:rsidR="008959A4">
              <w:rPr>
                <w:noProof/>
                <w:webHidden/>
              </w:rPr>
              <w:fldChar w:fldCharType="separate"/>
            </w:r>
            <w:r w:rsidR="00A643C3">
              <w:rPr>
                <w:noProof/>
                <w:webHidden/>
              </w:rPr>
              <w:t>114</w:t>
            </w:r>
            <w:r w:rsidR="008959A4">
              <w:rPr>
                <w:noProof/>
                <w:webHidden/>
              </w:rPr>
              <w:fldChar w:fldCharType="end"/>
            </w:r>
          </w:hyperlink>
        </w:p>
        <w:p w:rsidR="008959A4" w:rsidP="008959A4" w:rsidRDefault="00ED6D61" w14:paraId="576CB54B" w14:textId="1D314A87">
          <w:pPr>
            <w:pStyle w:val="TOC3"/>
            <w:tabs>
              <w:tab w:val="right" w:leader="dot" w:pos="9350"/>
            </w:tabs>
            <w:ind w:left="1980" w:hanging="900"/>
            <w:rPr>
              <w:rFonts w:asciiTheme="minorHAnsi" w:hAnsiTheme="minorHAnsi" w:cstheme="minorBidi"/>
              <w:noProof/>
              <w:sz w:val="22"/>
              <w:szCs w:val="22"/>
            </w:rPr>
          </w:pPr>
          <w:hyperlink w:history="1" w:anchor="_Toc82159829">
            <w:r w:rsidRPr="0032220A" w:rsidR="008959A4">
              <w:rPr>
                <w:rStyle w:val="Hyperlink"/>
                <w:noProof/>
              </w:rPr>
              <w:t>5.7.7.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_Toc82159829 \h </w:instrText>
            </w:r>
            <w:r w:rsidR="008959A4">
              <w:rPr>
                <w:noProof/>
                <w:webHidden/>
              </w:rPr>
            </w:r>
            <w:r w:rsidR="008959A4">
              <w:rPr>
                <w:noProof/>
                <w:webHidden/>
              </w:rPr>
              <w:fldChar w:fldCharType="separate"/>
            </w:r>
            <w:r w:rsidR="00A643C3">
              <w:rPr>
                <w:noProof/>
                <w:webHidden/>
              </w:rPr>
              <w:t>116</w:t>
            </w:r>
            <w:r w:rsidR="008959A4">
              <w:rPr>
                <w:noProof/>
                <w:webHidden/>
              </w:rPr>
              <w:fldChar w:fldCharType="end"/>
            </w:r>
          </w:hyperlink>
        </w:p>
        <w:p w:rsidR="008959A4" w:rsidP="008959A4" w:rsidRDefault="00ED6D61" w14:paraId="0073D6E4" w14:textId="43CB192E">
          <w:pPr>
            <w:pStyle w:val="TOC3"/>
            <w:tabs>
              <w:tab w:val="right" w:leader="dot" w:pos="9350"/>
            </w:tabs>
            <w:ind w:left="1980" w:hanging="900"/>
            <w:rPr>
              <w:rFonts w:asciiTheme="minorHAnsi" w:hAnsiTheme="minorHAnsi" w:cstheme="minorBidi"/>
              <w:noProof/>
              <w:sz w:val="22"/>
              <w:szCs w:val="22"/>
            </w:rPr>
          </w:pPr>
          <w:hyperlink w:history="1" w:anchor="_Toc82159830">
            <w:r w:rsidRPr="0032220A" w:rsidR="008959A4">
              <w:rPr>
                <w:rStyle w:val="Hyperlink"/>
                <w:noProof/>
              </w:rPr>
              <w:t>5.7.8.</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_Toc82159830 \h </w:instrText>
            </w:r>
            <w:r w:rsidR="008959A4">
              <w:rPr>
                <w:noProof/>
                <w:webHidden/>
              </w:rPr>
            </w:r>
            <w:r w:rsidR="008959A4">
              <w:rPr>
                <w:noProof/>
                <w:webHidden/>
              </w:rPr>
              <w:fldChar w:fldCharType="separate"/>
            </w:r>
            <w:r w:rsidR="00A643C3">
              <w:rPr>
                <w:noProof/>
                <w:webHidden/>
              </w:rPr>
              <w:t>116</w:t>
            </w:r>
            <w:r w:rsidR="008959A4">
              <w:rPr>
                <w:noProof/>
                <w:webHidden/>
              </w:rPr>
              <w:fldChar w:fldCharType="end"/>
            </w:r>
          </w:hyperlink>
        </w:p>
        <w:p w:rsidR="008959A4" w:rsidP="008959A4" w:rsidRDefault="00ED6D61" w14:paraId="770797BB" w14:textId="554808E8">
          <w:pPr>
            <w:pStyle w:val="TOC4"/>
            <w:tabs>
              <w:tab w:val="left" w:pos="3060"/>
            </w:tabs>
            <w:rPr>
              <w:rFonts w:asciiTheme="minorHAnsi" w:hAnsiTheme="minorHAnsi" w:eastAsiaTheme="minorEastAsia" w:cstheme="minorBidi"/>
              <w:noProof/>
              <w:sz w:val="22"/>
              <w:szCs w:val="22"/>
            </w:rPr>
          </w:pPr>
          <w:hyperlink w:history="1" w:anchor="_Toc82159831">
            <w:r w:rsidRPr="0032220A" w:rsidR="008959A4">
              <w:rPr>
                <w:rStyle w:val="Hyperlink"/>
                <w:noProof/>
              </w:rPr>
              <w:t>5.7.8.1.</w:t>
            </w:r>
            <w:r w:rsidR="008959A4">
              <w:rPr>
                <w:rFonts w:asciiTheme="minorHAnsi" w:hAnsiTheme="minorHAnsi" w:eastAsiaTheme="minorEastAsia" w:cstheme="minorBidi"/>
                <w:noProof/>
                <w:sz w:val="22"/>
                <w:szCs w:val="22"/>
              </w:rPr>
              <w:tab/>
            </w:r>
            <w:r w:rsidRPr="0032220A" w:rsidR="008959A4">
              <w:rPr>
                <w:rStyle w:val="Hyperlink"/>
                <w:noProof/>
              </w:rPr>
              <w:t xml:space="preserve">SMJU Proposed ME&amp;O Strategies:  </w:t>
            </w:r>
            <w:r w:rsidR="008959A4">
              <w:rPr>
                <w:rStyle w:val="Hyperlink"/>
                <w:noProof/>
              </w:rPr>
              <w:br/>
            </w:r>
            <w:r w:rsidRPr="0032220A" w:rsidR="008959A4">
              <w:rPr>
                <w:rStyle w:val="Hyperlink"/>
                <w:noProof/>
              </w:rPr>
              <w:t>Approved with Additional Reporting</w:t>
            </w:r>
            <w:r w:rsidR="008959A4">
              <w:rPr>
                <w:noProof/>
                <w:webHidden/>
              </w:rPr>
              <w:tab/>
            </w:r>
            <w:r w:rsidR="008959A4">
              <w:rPr>
                <w:noProof/>
                <w:webHidden/>
              </w:rPr>
              <w:fldChar w:fldCharType="begin"/>
            </w:r>
            <w:r w:rsidR="008959A4">
              <w:rPr>
                <w:noProof/>
                <w:webHidden/>
              </w:rPr>
              <w:instrText xml:space="preserve"> PAGEREF _Toc82159831 \h </w:instrText>
            </w:r>
            <w:r w:rsidR="008959A4">
              <w:rPr>
                <w:noProof/>
                <w:webHidden/>
              </w:rPr>
            </w:r>
            <w:r w:rsidR="008959A4">
              <w:rPr>
                <w:noProof/>
                <w:webHidden/>
              </w:rPr>
              <w:fldChar w:fldCharType="separate"/>
            </w:r>
            <w:r w:rsidR="00A643C3">
              <w:rPr>
                <w:noProof/>
                <w:webHidden/>
              </w:rPr>
              <w:t>116</w:t>
            </w:r>
            <w:r w:rsidR="008959A4">
              <w:rPr>
                <w:noProof/>
                <w:webHidden/>
              </w:rPr>
              <w:fldChar w:fldCharType="end"/>
            </w:r>
          </w:hyperlink>
        </w:p>
        <w:p w:rsidR="008959A4" w:rsidP="008959A4" w:rsidRDefault="00ED6D61" w14:paraId="7954D5E5" w14:textId="6CCAD7CE">
          <w:pPr>
            <w:pStyle w:val="TOC4"/>
            <w:tabs>
              <w:tab w:val="left" w:pos="3060"/>
            </w:tabs>
            <w:rPr>
              <w:rFonts w:asciiTheme="minorHAnsi" w:hAnsiTheme="minorHAnsi" w:eastAsiaTheme="minorEastAsia" w:cstheme="minorBidi"/>
              <w:noProof/>
              <w:sz w:val="22"/>
              <w:szCs w:val="22"/>
            </w:rPr>
          </w:pPr>
          <w:hyperlink w:history="1" w:anchor="_Toc82159832">
            <w:r w:rsidRPr="0032220A" w:rsidR="008959A4">
              <w:rPr>
                <w:rStyle w:val="Hyperlink"/>
                <w:noProof/>
              </w:rPr>
              <w:t>5.7.8.2.</w:t>
            </w:r>
            <w:r w:rsidR="008959A4">
              <w:rPr>
                <w:rFonts w:asciiTheme="minorHAnsi" w:hAnsiTheme="minorHAnsi" w:eastAsiaTheme="minorEastAsia" w:cstheme="minorBidi"/>
                <w:noProof/>
                <w:sz w:val="22"/>
                <w:szCs w:val="22"/>
              </w:rPr>
              <w:tab/>
            </w:r>
            <w:r w:rsidRPr="0032220A" w:rsidR="008959A4">
              <w:rPr>
                <w:rStyle w:val="Hyperlink"/>
                <w:noProof/>
              </w:rPr>
              <w:t>Targeting Specific Customer Segments:  New</w:t>
            </w:r>
            <w:r w:rsidR="008959A4">
              <w:rPr>
                <w:noProof/>
                <w:webHidden/>
              </w:rPr>
              <w:tab/>
            </w:r>
            <w:r w:rsidR="008959A4">
              <w:rPr>
                <w:noProof/>
                <w:webHidden/>
              </w:rPr>
              <w:fldChar w:fldCharType="begin"/>
            </w:r>
            <w:r w:rsidR="008959A4">
              <w:rPr>
                <w:noProof/>
                <w:webHidden/>
              </w:rPr>
              <w:instrText xml:space="preserve"> PAGEREF _Toc82159832 \h </w:instrText>
            </w:r>
            <w:r w:rsidR="008959A4">
              <w:rPr>
                <w:noProof/>
                <w:webHidden/>
              </w:rPr>
            </w:r>
            <w:r w:rsidR="008959A4">
              <w:rPr>
                <w:noProof/>
                <w:webHidden/>
              </w:rPr>
              <w:fldChar w:fldCharType="separate"/>
            </w:r>
            <w:r w:rsidR="00A643C3">
              <w:rPr>
                <w:noProof/>
                <w:webHidden/>
              </w:rPr>
              <w:t>117</w:t>
            </w:r>
            <w:r w:rsidR="008959A4">
              <w:rPr>
                <w:noProof/>
                <w:webHidden/>
              </w:rPr>
              <w:fldChar w:fldCharType="end"/>
            </w:r>
          </w:hyperlink>
        </w:p>
        <w:p w:rsidR="008959A4" w:rsidP="008959A4" w:rsidRDefault="00ED6D61" w14:paraId="469EAC66" w14:textId="13FA6364">
          <w:pPr>
            <w:pStyle w:val="TOC4"/>
            <w:tabs>
              <w:tab w:val="left" w:pos="3060"/>
            </w:tabs>
            <w:rPr>
              <w:rFonts w:asciiTheme="minorHAnsi" w:hAnsiTheme="minorHAnsi" w:eastAsiaTheme="minorEastAsia" w:cstheme="minorBidi"/>
              <w:noProof/>
              <w:sz w:val="22"/>
              <w:szCs w:val="22"/>
            </w:rPr>
          </w:pPr>
          <w:hyperlink w:history="1" w:anchor="_Toc82159833">
            <w:r w:rsidRPr="0032220A" w:rsidR="008959A4">
              <w:rPr>
                <w:rStyle w:val="Hyperlink"/>
                <w:noProof/>
              </w:rPr>
              <w:t>5.7.8.3.</w:t>
            </w:r>
            <w:r w:rsidR="008959A4">
              <w:rPr>
                <w:rFonts w:asciiTheme="minorHAnsi" w:hAnsiTheme="minorHAnsi" w:eastAsiaTheme="minorEastAsia" w:cstheme="minorBidi"/>
                <w:noProof/>
                <w:sz w:val="22"/>
                <w:szCs w:val="22"/>
              </w:rPr>
              <w:tab/>
            </w:r>
            <w:r w:rsidRPr="0032220A" w:rsidR="008959A4">
              <w:rPr>
                <w:rStyle w:val="Hyperlink"/>
                <w:noProof/>
              </w:rPr>
              <w:t>Public Workshop on Leveraging:  New</w:t>
            </w:r>
            <w:r w:rsidR="008959A4">
              <w:rPr>
                <w:noProof/>
                <w:webHidden/>
              </w:rPr>
              <w:tab/>
            </w:r>
            <w:r w:rsidR="008959A4">
              <w:rPr>
                <w:noProof/>
                <w:webHidden/>
              </w:rPr>
              <w:fldChar w:fldCharType="begin"/>
            </w:r>
            <w:r w:rsidR="008959A4">
              <w:rPr>
                <w:noProof/>
                <w:webHidden/>
              </w:rPr>
              <w:instrText xml:space="preserve"> PAGEREF _Toc82159833 \h </w:instrText>
            </w:r>
            <w:r w:rsidR="008959A4">
              <w:rPr>
                <w:noProof/>
                <w:webHidden/>
              </w:rPr>
            </w:r>
            <w:r w:rsidR="008959A4">
              <w:rPr>
                <w:noProof/>
                <w:webHidden/>
              </w:rPr>
              <w:fldChar w:fldCharType="separate"/>
            </w:r>
            <w:r w:rsidR="00A643C3">
              <w:rPr>
                <w:noProof/>
                <w:webHidden/>
              </w:rPr>
              <w:t>118</w:t>
            </w:r>
            <w:r w:rsidR="008959A4">
              <w:rPr>
                <w:noProof/>
                <w:webHidden/>
              </w:rPr>
              <w:fldChar w:fldCharType="end"/>
            </w:r>
          </w:hyperlink>
        </w:p>
        <w:p w:rsidR="008959A4" w:rsidP="008959A4" w:rsidRDefault="00ED6D61" w14:paraId="5048A8C9" w14:textId="5457B436">
          <w:pPr>
            <w:pStyle w:val="TOC2"/>
            <w:tabs>
              <w:tab w:val="right" w:leader="dot" w:pos="9350"/>
            </w:tabs>
            <w:ind w:left="1080" w:hanging="630"/>
            <w:rPr>
              <w:rFonts w:asciiTheme="minorHAnsi" w:hAnsiTheme="minorHAnsi" w:cstheme="minorBidi"/>
              <w:noProof/>
              <w:sz w:val="22"/>
              <w:szCs w:val="22"/>
            </w:rPr>
          </w:pPr>
          <w:hyperlink w:history="1" w:anchor="_Toc82159834">
            <w:r w:rsidRPr="0032220A" w:rsidR="008959A4">
              <w:rPr>
                <w:rStyle w:val="Hyperlink"/>
                <w:noProof/>
              </w:rPr>
              <w:t>5.8.</w:t>
            </w:r>
            <w:r w:rsidR="008959A4">
              <w:rPr>
                <w:rFonts w:asciiTheme="minorHAnsi" w:hAnsiTheme="minorHAnsi" w:cstheme="minorBidi"/>
                <w:noProof/>
                <w:sz w:val="22"/>
                <w:szCs w:val="22"/>
              </w:rPr>
              <w:tab/>
            </w:r>
            <w:r w:rsidRPr="0032220A" w:rsidR="008959A4">
              <w:rPr>
                <w:rStyle w:val="Hyperlink"/>
                <w:noProof/>
              </w:rPr>
              <w:t>ESA Program Workforce, Education and Training (WE&amp;T)</w:t>
            </w:r>
            <w:r w:rsidR="008959A4">
              <w:rPr>
                <w:noProof/>
                <w:webHidden/>
              </w:rPr>
              <w:tab/>
            </w:r>
            <w:r w:rsidR="008959A4">
              <w:rPr>
                <w:noProof/>
                <w:webHidden/>
              </w:rPr>
              <w:fldChar w:fldCharType="begin"/>
            </w:r>
            <w:r w:rsidR="008959A4">
              <w:rPr>
                <w:noProof/>
                <w:webHidden/>
              </w:rPr>
              <w:instrText xml:space="preserve"> PAGEREF _Toc82159834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0E7FF7CC" w14:textId="1110D38D">
          <w:pPr>
            <w:pStyle w:val="TOC3"/>
            <w:tabs>
              <w:tab w:val="right" w:leader="dot" w:pos="9350"/>
            </w:tabs>
            <w:ind w:left="1980" w:hanging="900"/>
            <w:rPr>
              <w:rFonts w:asciiTheme="minorHAnsi" w:hAnsiTheme="minorHAnsi" w:cstheme="minorBidi"/>
              <w:noProof/>
              <w:sz w:val="22"/>
              <w:szCs w:val="22"/>
            </w:rPr>
          </w:pPr>
          <w:hyperlink w:history="1" w:anchor="_Toc82159835">
            <w:r w:rsidRPr="0032220A" w:rsidR="008959A4">
              <w:rPr>
                <w:rStyle w:val="Hyperlink"/>
                <w:noProof/>
              </w:rPr>
              <w:t>5.8.1.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_Toc82159835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5E51F93E" w14:textId="34D47E70">
          <w:pPr>
            <w:pStyle w:val="TOC3"/>
            <w:tabs>
              <w:tab w:val="right" w:leader="dot" w:pos="9350"/>
            </w:tabs>
            <w:ind w:left="1980" w:hanging="900"/>
            <w:rPr>
              <w:rFonts w:asciiTheme="minorHAnsi" w:hAnsiTheme="minorHAnsi" w:cstheme="minorBidi"/>
              <w:noProof/>
              <w:sz w:val="22"/>
              <w:szCs w:val="22"/>
            </w:rPr>
          </w:pPr>
          <w:hyperlink w:history="1" w:anchor="_Toc82159836">
            <w:r w:rsidRPr="0032220A" w:rsidR="008959A4">
              <w:rPr>
                <w:rStyle w:val="Hyperlink"/>
                <w:noProof/>
              </w:rPr>
              <w:t>5.8.2.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_Toc82159836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09D398D7" w14:textId="0C59BBE8">
          <w:pPr>
            <w:pStyle w:val="TOC3"/>
            <w:tabs>
              <w:tab w:val="right" w:leader="dot" w:pos="9350"/>
            </w:tabs>
            <w:ind w:left="1980" w:hanging="900"/>
            <w:rPr>
              <w:rFonts w:asciiTheme="minorHAnsi" w:hAnsiTheme="minorHAnsi" w:cstheme="minorBidi"/>
              <w:noProof/>
              <w:sz w:val="22"/>
              <w:szCs w:val="22"/>
            </w:rPr>
          </w:pPr>
          <w:hyperlink w:history="1" w:anchor="_Toc82159837">
            <w:r w:rsidRPr="0032220A" w:rsidR="008959A4">
              <w:rPr>
                <w:rStyle w:val="Hyperlink"/>
                <w:noProof/>
              </w:rPr>
              <w:t>5.8.3.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_Toc82159837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159B375D" w14:textId="5639924D">
          <w:pPr>
            <w:pStyle w:val="TOC3"/>
            <w:tabs>
              <w:tab w:val="right" w:leader="dot" w:pos="9350"/>
            </w:tabs>
            <w:ind w:left="1980" w:hanging="900"/>
            <w:rPr>
              <w:rFonts w:asciiTheme="minorHAnsi" w:hAnsiTheme="minorHAnsi" w:cstheme="minorBidi"/>
              <w:noProof/>
              <w:sz w:val="22"/>
              <w:szCs w:val="22"/>
            </w:rPr>
          </w:pPr>
          <w:hyperlink w:history="1" w:anchor="_Toc82159838">
            <w:r w:rsidRPr="0032220A" w:rsidR="008959A4">
              <w:rPr>
                <w:rStyle w:val="Hyperlink"/>
                <w:noProof/>
              </w:rPr>
              <w:t>5.8.4.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_Toc82159838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7EA7BAA8" w14:textId="6DD891D6">
          <w:pPr>
            <w:pStyle w:val="TOC3"/>
            <w:tabs>
              <w:tab w:val="right" w:leader="dot" w:pos="9350"/>
            </w:tabs>
            <w:ind w:left="1980" w:hanging="900"/>
            <w:rPr>
              <w:rFonts w:asciiTheme="minorHAnsi" w:hAnsiTheme="minorHAnsi" w:cstheme="minorBidi"/>
              <w:noProof/>
              <w:sz w:val="22"/>
              <w:szCs w:val="22"/>
            </w:rPr>
          </w:pPr>
          <w:hyperlink w:history="1" w:anchor="_Toc82159839">
            <w:r w:rsidRPr="0032220A" w:rsidR="008959A4">
              <w:rPr>
                <w:rStyle w:val="Hyperlink"/>
                <w:noProof/>
              </w:rPr>
              <w:t>5.8.5.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_Toc82159839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03B0B100" w14:textId="23431BB9">
          <w:pPr>
            <w:pStyle w:val="TOC3"/>
            <w:tabs>
              <w:tab w:val="right" w:leader="dot" w:pos="9350"/>
            </w:tabs>
            <w:ind w:left="1980" w:hanging="900"/>
            <w:rPr>
              <w:rFonts w:asciiTheme="minorHAnsi" w:hAnsiTheme="minorHAnsi" w:cstheme="minorBidi"/>
              <w:noProof/>
              <w:sz w:val="22"/>
              <w:szCs w:val="22"/>
            </w:rPr>
          </w:pPr>
          <w:hyperlink w:history="1" w:anchor="_Toc82159840">
            <w:r w:rsidRPr="0032220A" w:rsidR="008959A4">
              <w:rPr>
                <w:rStyle w:val="Hyperlink"/>
                <w:noProof/>
              </w:rPr>
              <w:t>5.8.6.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_Toc82159840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2C830B1E" w14:textId="6A4A1098">
          <w:pPr>
            <w:pStyle w:val="TOC3"/>
            <w:tabs>
              <w:tab w:val="right" w:leader="dot" w:pos="9350"/>
            </w:tabs>
            <w:ind w:left="1980" w:hanging="900"/>
            <w:rPr>
              <w:rFonts w:asciiTheme="minorHAnsi" w:hAnsiTheme="minorHAnsi" w:cstheme="minorBidi"/>
              <w:noProof/>
              <w:sz w:val="22"/>
              <w:szCs w:val="22"/>
            </w:rPr>
          </w:pPr>
          <w:hyperlink w:history="1" w:anchor="_Toc82159841">
            <w:r w:rsidRPr="0032220A" w:rsidR="008959A4">
              <w:rPr>
                <w:rStyle w:val="Hyperlink"/>
                <w:noProof/>
              </w:rPr>
              <w:t>5.8.7.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_Toc82159841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3A4E47A1" w14:textId="65EFC52C">
          <w:pPr>
            <w:pStyle w:val="TOC4"/>
            <w:tabs>
              <w:tab w:val="left" w:pos="3060"/>
            </w:tabs>
            <w:rPr>
              <w:rFonts w:asciiTheme="minorHAnsi" w:hAnsiTheme="minorHAnsi" w:eastAsiaTheme="minorEastAsia" w:cstheme="minorBidi"/>
              <w:noProof/>
              <w:sz w:val="22"/>
              <w:szCs w:val="22"/>
            </w:rPr>
          </w:pPr>
          <w:hyperlink w:history="1" w:anchor="_Toc82159842">
            <w:r w:rsidRPr="0032220A" w:rsidR="008959A4">
              <w:rPr>
                <w:rStyle w:val="Hyperlink"/>
                <w:noProof/>
              </w:rPr>
              <w:t>5.8.7.1.</w:t>
            </w:r>
            <w:r w:rsidR="008959A4">
              <w:rPr>
                <w:rFonts w:asciiTheme="minorHAnsi" w:hAnsiTheme="minorHAnsi" w:eastAsiaTheme="minorEastAsia" w:cstheme="minorBidi"/>
                <w:noProof/>
                <w:sz w:val="22"/>
                <w:szCs w:val="22"/>
              </w:rPr>
              <w:tab/>
            </w:r>
            <w:r w:rsidRPr="0032220A" w:rsidR="008959A4">
              <w:rPr>
                <w:rStyle w:val="Hyperlink"/>
                <w:noProof/>
              </w:rPr>
              <w:t>EEC and Free Energy</w:t>
            </w:r>
            <w:r w:rsidR="008959A4">
              <w:rPr>
                <w:noProof/>
                <w:webHidden/>
              </w:rPr>
              <w:tab/>
            </w:r>
            <w:r w:rsidR="008959A4">
              <w:rPr>
                <w:noProof/>
                <w:webHidden/>
              </w:rPr>
              <w:fldChar w:fldCharType="begin"/>
            </w:r>
            <w:r w:rsidR="008959A4">
              <w:rPr>
                <w:noProof/>
                <w:webHidden/>
              </w:rPr>
              <w:instrText xml:space="preserve"> PAGEREF _Toc82159842 \h </w:instrText>
            </w:r>
            <w:r w:rsidR="008959A4">
              <w:rPr>
                <w:noProof/>
                <w:webHidden/>
              </w:rPr>
            </w:r>
            <w:r w:rsidR="008959A4">
              <w:rPr>
                <w:noProof/>
                <w:webHidden/>
              </w:rPr>
              <w:fldChar w:fldCharType="separate"/>
            </w:r>
            <w:r w:rsidR="00A643C3">
              <w:rPr>
                <w:noProof/>
                <w:webHidden/>
              </w:rPr>
              <w:t>119</w:t>
            </w:r>
            <w:r w:rsidR="008959A4">
              <w:rPr>
                <w:noProof/>
                <w:webHidden/>
              </w:rPr>
              <w:fldChar w:fldCharType="end"/>
            </w:r>
          </w:hyperlink>
        </w:p>
        <w:p w:rsidR="008959A4" w:rsidP="008959A4" w:rsidRDefault="00ED6D61" w14:paraId="681EBB23" w14:textId="321F8918">
          <w:pPr>
            <w:pStyle w:val="TOC3"/>
            <w:tabs>
              <w:tab w:val="right" w:leader="dot" w:pos="9350"/>
            </w:tabs>
            <w:ind w:left="1980" w:hanging="900"/>
            <w:rPr>
              <w:rFonts w:asciiTheme="minorHAnsi" w:hAnsiTheme="minorHAnsi" w:cstheme="minorBidi"/>
              <w:noProof/>
              <w:sz w:val="22"/>
              <w:szCs w:val="22"/>
            </w:rPr>
          </w:pPr>
          <w:hyperlink w:history="1" w:anchor="_Toc82159843">
            <w:r w:rsidRPr="0032220A" w:rsidR="008959A4">
              <w:rPr>
                <w:rStyle w:val="Hyperlink"/>
                <w:noProof/>
              </w:rPr>
              <w:t>5.8.8.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_Toc82159843 \h </w:instrText>
            </w:r>
            <w:r w:rsidR="008959A4">
              <w:rPr>
                <w:noProof/>
                <w:webHidden/>
              </w:rPr>
            </w:r>
            <w:r w:rsidR="008959A4">
              <w:rPr>
                <w:noProof/>
                <w:webHidden/>
              </w:rPr>
              <w:fldChar w:fldCharType="separate"/>
            </w:r>
            <w:r w:rsidR="00A643C3">
              <w:rPr>
                <w:noProof/>
                <w:webHidden/>
              </w:rPr>
              <w:t>121</w:t>
            </w:r>
            <w:r w:rsidR="008959A4">
              <w:rPr>
                <w:noProof/>
                <w:webHidden/>
              </w:rPr>
              <w:fldChar w:fldCharType="end"/>
            </w:r>
          </w:hyperlink>
        </w:p>
        <w:p w:rsidR="008959A4" w:rsidP="008959A4" w:rsidRDefault="00ED6D61" w14:paraId="7DFE0AC6" w14:textId="1AC5ADD4">
          <w:pPr>
            <w:pStyle w:val="TOC4"/>
            <w:tabs>
              <w:tab w:val="left" w:pos="3060"/>
            </w:tabs>
            <w:rPr>
              <w:rFonts w:asciiTheme="minorHAnsi" w:hAnsiTheme="minorHAnsi" w:eastAsiaTheme="minorEastAsia" w:cstheme="minorBidi"/>
              <w:noProof/>
              <w:sz w:val="22"/>
              <w:szCs w:val="22"/>
            </w:rPr>
          </w:pPr>
          <w:hyperlink w:history="1" w:anchor="_Toc82159844">
            <w:r w:rsidRPr="0032220A" w:rsidR="008959A4">
              <w:rPr>
                <w:rStyle w:val="Hyperlink"/>
                <w:noProof/>
              </w:rPr>
              <w:t>5.8.8.1.</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_Toc82159844 \h </w:instrText>
            </w:r>
            <w:r w:rsidR="008959A4">
              <w:rPr>
                <w:noProof/>
                <w:webHidden/>
              </w:rPr>
            </w:r>
            <w:r w:rsidR="008959A4">
              <w:rPr>
                <w:noProof/>
                <w:webHidden/>
              </w:rPr>
              <w:fldChar w:fldCharType="separate"/>
            </w:r>
            <w:r w:rsidR="00A643C3">
              <w:rPr>
                <w:noProof/>
                <w:webHidden/>
              </w:rPr>
              <w:t>121</w:t>
            </w:r>
            <w:r w:rsidR="008959A4">
              <w:rPr>
                <w:noProof/>
                <w:webHidden/>
              </w:rPr>
              <w:fldChar w:fldCharType="end"/>
            </w:r>
          </w:hyperlink>
        </w:p>
        <w:p w:rsidR="008959A4" w:rsidP="008959A4" w:rsidRDefault="00ED6D61" w14:paraId="15F03EB3" w14:textId="3EB8EAA5">
          <w:pPr>
            <w:pStyle w:val="TOC4"/>
            <w:tabs>
              <w:tab w:val="left" w:pos="3060"/>
            </w:tabs>
            <w:rPr>
              <w:rFonts w:asciiTheme="minorHAnsi" w:hAnsiTheme="minorHAnsi" w:eastAsiaTheme="minorEastAsia" w:cstheme="minorBidi"/>
              <w:noProof/>
              <w:sz w:val="22"/>
              <w:szCs w:val="22"/>
            </w:rPr>
          </w:pPr>
          <w:hyperlink w:history="1" w:anchor="_Toc82159845">
            <w:r w:rsidRPr="0032220A" w:rsidR="008959A4">
              <w:rPr>
                <w:rStyle w:val="Hyperlink"/>
                <w:noProof/>
              </w:rPr>
              <w:t>5.8.8.2.</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_Toc82159845 \h </w:instrText>
            </w:r>
            <w:r w:rsidR="008959A4">
              <w:rPr>
                <w:noProof/>
                <w:webHidden/>
              </w:rPr>
            </w:r>
            <w:r w:rsidR="008959A4">
              <w:rPr>
                <w:noProof/>
                <w:webHidden/>
              </w:rPr>
              <w:fldChar w:fldCharType="separate"/>
            </w:r>
            <w:r w:rsidR="00A643C3">
              <w:rPr>
                <w:noProof/>
                <w:webHidden/>
              </w:rPr>
              <w:t>121</w:t>
            </w:r>
            <w:r w:rsidR="008959A4">
              <w:rPr>
                <w:noProof/>
                <w:webHidden/>
              </w:rPr>
              <w:fldChar w:fldCharType="end"/>
            </w:r>
          </w:hyperlink>
        </w:p>
        <w:p w:rsidR="008959A4" w:rsidP="008959A4" w:rsidRDefault="00ED6D61" w14:paraId="3CA21ABD" w14:textId="5FEF2500">
          <w:pPr>
            <w:pStyle w:val="TOC3"/>
            <w:tabs>
              <w:tab w:val="right" w:leader="dot" w:pos="9350"/>
            </w:tabs>
            <w:ind w:left="1980" w:hanging="900"/>
            <w:rPr>
              <w:rFonts w:asciiTheme="minorHAnsi" w:hAnsiTheme="minorHAnsi" w:cstheme="minorBidi"/>
              <w:noProof/>
              <w:sz w:val="22"/>
              <w:szCs w:val="22"/>
            </w:rPr>
          </w:pPr>
          <w:hyperlink w:history="1" w:anchor="_Toc82159846">
            <w:r w:rsidRPr="0032220A" w:rsidR="008959A4">
              <w:rPr>
                <w:rStyle w:val="Hyperlink"/>
                <w:noProof/>
              </w:rPr>
              <w:t>5.8.9.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_Toc82159846 \h </w:instrText>
            </w:r>
            <w:r w:rsidR="008959A4">
              <w:rPr>
                <w:noProof/>
                <w:webHidden/>
              </w:rPr>
            </w:r>
            <w:r w:rsidR="008959A4">
              <w:rPr>
                <w:noProof/>
                <w:webHidden/>
              </w:rPr>
              <w:fldChar w:fldCharType="separate"/>
            </w:r>
            <w:r w:rsidR="00A643C3">
              <w:rPr>
                <w:noProof/>
                <w:webHidden/>
              </w:rPr>
              <w:t>122</w:t>
            </w:r>
            <w:r w:rsidR="008959A4">
              <w:rPr>
                <w:noProof/>
                <w:webHidden/>
              </w:rPr>
              <w:fldChar w:fldCharType="end"/>
            </w:r>
          </w:hyperlink>
        </w:p>
        <w:p w:rsidR="008959A4" w:rsidP="008959A4" w:rsidRDefault="00ED6D61" w14:paraId="31E8A9F7" w14:textId="075D9C30">
          <w:pPr>
            <w:pStyle w:val="TOC4"/>
            <w:tabs>
              <w:tab w:val="left" w:pos="3060"/>
            </w:tabs>
            <w:rPr>
              <w:rFonts w:asciiTheme="minorHAnsi" w:hAnsiTheme="minorHAnsi" w:eastAsiaTheme="minorEastAsia" w:cstheme="minorBidi"/>
              <w:noProof/>
              <w:sz w:val="22"/>
              <w:szCs w:val="22"/>
            </w:rPr>
          </w:pPr>
          <w:hyperlink w:history="1" w:anchor="_Toc82159847">
            <w:r w:rsidRPr="0032220A" w:rsidR="008959A4">
              <w:rPr>
                <w:rStyle w:val="Hyperlink"/>
                <w:noProof/>
              </w:rPr>
              <w:t>5.8.9.1.</w:t>
            </w:r>
            <w:r w:rsidR="008959A4">
              <w:rPr>
                <w:rFonts w:asciiTheme="minorHAnsi" w:hAnsiTheme="minorHAnsi" w:eastAsiaTheme="minorEastAsia" w:cstheme="minorBidi"/>
                <w:noProof/>
                <w:sz w:val="22"/>
                <w:szCs w:val="22"/>
              </w:rPr>
              <w:tab/>
            </w:r>
            <w:r w:rsidRPr="0032220A" w:rsidR="008959A4">
              <w:rPr>
                <w:rStyle w:val="Hyperlink"/>
                <w:noProof/>
              </w:rPr>
              <w:t xml:space="preserve">Modifying Restrictions on Ex-Offenders:  </w:t>
            </w:r>
            <w:r w:rsidR="00E4034F">
              <w:rPr>
                <w:rStyle w:val="Hyperlink"/>
                <w:noProof/>
              </w:rPr>
              <w:br/>
            </w:r>
            <w:r w:rsidRPr="0032220A" w:rsidR="008959A4">
              <w:rPr>
                <w:rStyle w:val="Hyperlink"/>
                <w:noProof/>
              </w:rPr>
              <w:t>Approved with Modifications</w:t>
            </w:r>
            <w:r w:rsidR="008959A4">
              <w:rPr>
                <w:noProof/>
                <w:webHidden/>
              </w:rPr>
              <w:tab/>
            </w:r>
            <w:r w:rsidR="008959A4">
              <w:rPr>
                <w:noProof/>
                <w:webHidden/>
              </w:rPr>
              <w:fldChar w:fldCharType="begin"/>
            </w:r>
            <w:r w:rsidR="008959A4">
              <w:rPr>
                <w:noProof/>
                <w:webHidden/>
              </w:rPr>
              <w:instrText xml:space="preserve"> PAGEREF _Toc82159847 \h </w:instrText>
            </w:r>
            <w:r w:rsidR="008959A4">
              <w:rPr>
                <w:noProof/>
                <w:webHidden/>
              </w:rPr>
            </w:r>
            <w:r w:rsidR="008959A4">
              <w:rPr>
                <w:noProof/>
                <w:webHidden/>
              </w:rPr>
              <w:fldChar w:fldCharType="separate"/>
            </w:r>
            <w:r w:rsidR="00A643C3">
              <w:rPr>
                <w:noProof/>
                <w:webHidden/>
              </w:rPr>
              <w:t>122</w:t>
            </w:r>
            <w:r w:rsidR="008959A4">
              <w:rPr>
                <w:noProof/>
                <w:webHidden/>
              </w:rPr>
              <w:fldChar w:fldCharType="end"/>
            </w:r>
          </w:hyperlink>
        </w:p>
        <w:p w:rsidR="008959A4" w:rsidP="008959A4" w:rsidRDefault="00ED6D61" w14:paraId="45CD3263" w14:textId="6E04807D">
          <w:pPr>
            <w:pStyle w:val="TOC4"/>
            <w:tabs>
              <w:tab w:val="left" w:pos="3060"/>
            </w:tabs>
            <w:rPr>
              <w:rFonts w:asciiTheme="minorHAnsi" w:hAnsiTheme="minorHAnsi" w:eastAsiaTheme="minorEastAsia" w:cstheme="minorBidi"/>
              <w:noProof/>
              <w:sz w:val="22"/>
              <w:szCs w:val="22"/>
            </w:rPr>
          </w:pPr>
          <w:hyperlink w:history="1" w:anchor="_Toc82159848">
            <w:r w:rsidRPr="0032220A" w:rsidR="008959A4">
              <w:rPr>
                <w:rStyle w:val="Hyperlink"/>
                <w:noProof/>
              </w:rPr>
              <w:t>5.8.9.2.</w:t>
            </w:r>
            <w:r w:rsidR="008959A4">
              <w:rPr>
                <w:rFonts w:asciiTheme="minorHAnsi" w:hAnsiTheme="minorHAnsi" w:eastAsiaTheme="minorEastAsia" w:cstheme="minorBidi"/>
                <w:noProof/>
                <w:sz w:val="22"/>
                <w:szCs w:val="22"/>
              </w:rPr>
              <w:tab/>
            </w:r>
            <w:r w:rsidR="00B577CC">
              <w:rPr>
                <w:rStyle w:val="Hyperlink"/>
                <w:noProof/>
              </w:rPr>
              <w:t>Fina</w:t>
            </w:r>
            <w:r w:rsidR="001F602E">
              <w:rPr>
                <w:rStyle w:val="Hyperlink"/>
                <w:noProof/>
              </w:rPr>
              <w:t>n</w:t>
            </w:r>
            <w:r w:rsidR="00B577CC">
              <w:rPr>
                <w:rStyle w:val="Hyperlink"/>
                <w:noProof/>
              </w:rPr>
              <w:t>cial A</w:t>
            </w:r>
            <w:r w:rsidRPr="0032220A" w:rsidR="008959A4">
              <w:rPr>
                <w:rStyle w:val="Hyperlink"/>
                <w:noProof/>
              </w:rPr>
              <w:t>ssistance with Pre-Hiring:  Denied</w:t>
            </w:r>
            <w:r w:rsidR="008959A4">
              <w:rPr>
                <w:noProof/>
                <w:webHidden/>
              </w:rPr>
              <w:tab/>
            </w:r>
            <w:r w:rsidR="008959A4">
              <w:rPr>
                <w:noProof/>
                <w:webHidden/>
              </w:rPr>
              <w:fldChar w:fldCharType="begin"/>
            </w:r>
            <w:r w:rsidR="008959A4">
              <w:rPr>
                <w:noProof/>
                <w:webHidden/>
              </w:rPr>
              <w:instrText xml:space="preserve"> PAGEREF _Toc82159848 \h </w:instrText>
            </w:r>
            <w:r w:rsidR="008959A4">
              <w:rPr>
                <w:noProof/>
                <w:webHidden/>
              </w:rPr>
            </w:r>
            <w:r w:rsidR="008959A4">
              <w:rPr>
                <w:noProof/>
                <w:webHidden/>
              </w:rPr>
              <w:fldChar w:fldCharType="separate"/>
            </w:r>
            <w:r w:rsidR="00A643C3">
              <w:rPr>
                <w:noProof/>
                <w:webHidden/>
              </w:rPr>
              <w:t>122</w:t>
            </w:r>
            <w:r w:rsidR="008959A4">
              <w:rPr>
                <w:noProof/>
                <w:webHidden/>
              </w:rPr>
              <w:fldChar w:fldCharType="end"/>
            </w:r>
          </w:hyperlink>
        </w:p>
        <w:p w:rsidR="008959A4" w:rsidP="008959A4" w:rsidRDefault="00ED6D61" w14:paraId="6C12C8A5" w14:textId="273C186B">
          <w:pPr>
            <w:pStyle w:val="TOC2"/>
            <w:tabs>
              <w:tab w:val="right" w:leader="dot" w:pos="9350"/>
            </w:tabs>
            <w:ind w:left="1080" w:hanging="630"/>
            <w:rPr>
              <w:rFonts w:asciiTheme="minorHAnsi" w:hAnsiTheme="minorHAnsi" w:cstheme="minorBidi"/>
              <w:noProof/>
              <w:sz w:val="22"/>
              <w:szCs w:val="22"/>
            </w:rPr>
          </w:pPr>
          <w:hyperlink w:history="1" w:anchor="_Toc82159849">
            <w:r w:rsidRPr="0032220A" w:rsidR="008959A4">
              <w:rPr>
                <w:rStyle w:val="Hyperlink"/>
                <w:noProof/>
              </w:rPr>
              <w:t>5.9.</w:t>
            </w:r>
            <w:r w:rsidR="008959A4">
              <w:rPr>
                <w:rFonts w:asciiTheme="minorHAnsi" w:hAnsiTheme="minorHAnsi" w:cstheme="minorBidi"/>
                <w:noProof/>
                <w:sz w:val="22"/>
                <w:szCs w:val="22"/>
              </w:rPr>
              <w:tab/>
            </w:r>
            <w:r w:rsidRPr="0032220A" w:rsidR="008959A4">
              <w:rPr>
                <w:rStyle w:val="Hyperlink"/>
                <w:noProof/>
              </w:rPr>
              <w:t>ESA Program Budgets</w:t>
            </w:r>
            <w:r w:rsidR="008959A4">
              <w:rPr>
                <w:noProof/>
                <w:webHidden/>
              </w:rPr>
              <w:tab/>
            </w:r>
            <w:r w:rsidR="008959A4">
              <w:rPr>
                <w:noProof/>
                <w:webHidden/>
              </w:rPr>
              <w:fldChar w:fldCharType="begin"/>
            </w:r>
            <w:r w:rsidR="008959A4">
              <w:rPr>
                <w:noProof/>
                <w:webHidden/>
              </w:rPr>
              <w:instrText xml:space="preserve"> PAGEREF _Toc82159849 \h </w:instrText>
            </w:r>
            <w:r w:rsidR="008959A4">
              <w:rPr>
                <w:noProof/>
                <w:webHidden/>
              </w:rPr>
            </w:r>
            <w:r w:rsidR="008959A4">
              <w:rPr>
                <w:noProof/>
                <w:webHidden/>
              </w:rPr>
              <w:fldChar w:fldCharType="separate"/>
            </w:r>
            <w:r w:rsidR="00A643C3">
              <w:rPr>
                <w:noProof/>
                <w:webHidden/>
              </w:rPr>
              <w:t>122</w:t>
            </w:r>
            <w:r w:rsidR="008959A4">
              <w:rPr>
                <w:noProof/>
                <w:webHidden/>
              </w:rPr>
              <w:fldChar w:fldCharType="end"/>
            </w:r>
          </w:hyperlink>
        </w:p>
        <w:p w:rsidR="008959A4" w:rsidP="008959A4" w:rsidRDefault="00ED6D61" w14:paraId="27A84320" w14:textId="2A6014C2">
          <w:pPr>
            <w:pStyle w:val="TOC3"/>
            <w:tabs>
              <w:tab w:val="right" w:leader="dot" w:pos="9350"/>
            </w:tabs>
            <w:ind w:left="1980" w:hanging="900"/>
            <w:rPr>
              <w:rFonts w:asciiTheme="minorHAnsi" w:hAnsiTheme="minorHAnsi" w:cstheme="minorBidi"/>
              <w:noProof/>
              <w:sz w:val="22"/>
              <w:szCs w:val="22"/>
            </w:rPr>
          </w:pPr>
          <w:hyperlink w:history="1" w:anchor="_Toc82159850">
            <w:r w:rsidRPr="0032220A" w:rsidR="008959A4">
              <w:rPr>
                <w:rStyle w:val="Hyperlink"/>
                <w:noProof/>
              </w:rPr>
              <w:t>5.9.1.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_Toc82159850 \h </w:instrText>
            </w:r>
            <w:r w:rsidR="008959A4">
              <w:rPr>
                <w:noProof/>
                <w:webHidden/>
              </w:rPr>
            </w:r>
            <w:r w:rsidR="008959A4">
              <w:rPr>
                <w:noProof/>
                <w:webHidden/>
              </w:rPr>
              <w:fldChar w:fldCharType="separate"/>
            </w:r>
            <w:r w:rsidR="00A643C3">
              <w:rPr>
                <w:noProof/>
                <w:webHidden/>
              </w:rPr>
              <w:t>122</w:t>
            </w:r>
            <w:r w:rsidR="008959A4">
              <w:rPr>
                <w:noProof/>
                <w:webHidden/>
              </w:rPr>
              <w:fldChar w:fldCharType="end"/>
            </w:r>
          </w:hyperlink>
        </w:p>
        <w:p w:rsidR="008959A4" w:rsidP="008959A4" w:rsidRDefault="00ED6D61" w14:paraId="7D23ECBA" w14:textId="68B4C169">
          <w:pPr>
            <w:pStyle w:val="TOC3"/>
            <w:tabs>
              <w:tab w:val="right" w:leader="dot" w:pos="9350"/>
            </w:tabs>
            <w:ind w:left="1980" w:hanging="900"/>
            <w:rPr>
              <w:rFonts w:asciiTheme="minorHAnsi" w:hAnsiTheme="minorHAnsi" w:cstheme="minorBidi"/>
              <w:noProof/>
              <w:sz w:val="22"/>
              <w:szCs w:val="22"/>
            </w:rPr>
          </w:pPr>
          <w:hyperlink w:history="1" w:anchor="_Toc82159851">
            <w:r w:rsidRPr="0032220A" w:rsidR="008959A4">
              <w:rPr>
                <w:rStyle w:val="Hyperlink"/>
                <w:noProof/>
              </w:rPr>
              <w:t>5.9.2.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_Toc82159851 \h </w:instrText>
            </w:r>
            <w:r w:rsidR="008959A4">
              <w:rPr>
                <w:noProof/>
                <w:webHidden/>
              </w:rPr>
            </w:r>
            <w:r w:rsidR="008959A4">
              <w:rPr>
                <w:noProof/>
                <w:webHidden/>
              </w:rPr>
              <w:fldChar w:fldCharType="separate"/>
            </w:r>
            <w:r w:rsidR="00A643C3">
              <w:rPr>
                <w:noProof/>
                <w:webHidden/>
              </w:rPr>
              <w:t>124</w:t>
            </w:r>
            <w:r w:rsidR="008959A4">
              <w:rPr>
                <w:noProof/>
                <w:webHidden/>
              </w:rPr>
              <w:fldChar w:fldCharType="end"/>
            </w:r>
          </w:hyperlink>
        </w:p>
        <w:p w:rsidR="008959A4" w:rsidP="008959A4" w:rsidRDefault="00ED6D61" w14:paraId="663D8E0F" w14:textId="71CA7B75">
          <w:pPr>
            <w:pStyle w:val="TOC3"/>
            <w:tabs>
              <w:tab w:val="right" w:leader="dot" w:pos="9350"/>
            </w:tabs>
            <w:ind w:left="1980" w:hanging="900"/>
            <w:rPr>
              <w:rFonts w:asciiTheme="minorHAnsi" w:hAnsiTheme="minorHAnsi" w:cstheme="minorBidi"/>
              <w:noProof/>
              <w:sz w:val="22"/>
              <w:szCs w:val="22"/>
            </w:rPr>
          </w:pPr>
          <w:hyperlink w:history="1" w:anchor="_Toc82159852">
            <w:r w:rsidRPr="0032220A" w:rsidR="008959A4">
              <w:rPr>
                <w:rStyle w:val="Hyperlink"/>
                <w:noProof/>
              </w:rPr>
              <w:t>5.9.3.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_Toc82159852 \h </w:instrText>
            </w:r>
            <w:r w:rsidR="008959A4">
              <w:rPr>
                <w:noProof/>
                <w:webHidden/>
              </w:rPr>
            </w:r>
            <w:r w:rsidR="008959A4">
              <w:rPr>
                <w:noProof/>
                <w:webHidden/>
              </w:rPr>
              <w:fldChar w:fldCharType="separate"/>
            </w:r>
            <w:r w:rsidR="00A643C3">
              <w:rPr>
                <w:noProof/>
                <w:webHidden/>
              </w:rPr>
              <w:t>124</w:t>
            </w:r>
            <w:r w:rsidR="008959A4">
              <w:rPr>
                <w:noProof/>
                <w:webHidden/>
              </w:rPr>
              <w:fldChar w:fldCharType="end"/>
            </w:r>
          </w:hyperlink>
        </w:p>
        <w:p w:rsidR="008959A4" w:rsidP="008959A4" w:rsidRDefault="00ED6D61" w14:paraId="627FC444" w14:textId="6CD9C355">
          <w:pPr>
            <w:pStyle w:val="TOC3"/>
            <w:tabs>
              <w:tab w:val="right" w:leader="dot" w:pos="9350"/>
            </w:tabs>
            <w:ind w:left="1980" w:hanging="900"/>
            <w:rPr>
              <w:rFonts w:asciiTheme="minorHAnsi" w:hAnsiTheme="minorHAnsi" w:cstheme="minorBidi"/>
              <w:noProof/>
              <w:sz w:val="22"/>
              <w:szCs w:val="22"/>
            </w:rPr>
          </w:pPr>
          <w:hyperlink w:history="1" w:anchor="_Toc82159853">
            <w:r w:rsidRPr="0032220A" w:rsidR="008959A4">
              <w:rPr>
                <w:rStyle w:val="Hyperlink"/>
                <w:noProof/>
              </w:rPr>
              <w:t>5.9.4.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_Toc82159853 \h </w:instrText>
            </w:r>
            <w:r w:rsidR="008959A4">
              <w:rPr>
                <w:noProof/>
                <w:webHidden/>
              </w:rPr>
            </w:r>
            <w:r w:rsidR="008959A4">
              <w:rPr>
                <w:noProof/>
                <w:webHidden/>
              </w:rPr>
              <w:fldChar w:fldCharType="separate"/>
            </w:r>
            <w:r w:rsidR="00A643C3">
              <w:rPr>
                <w:noProof/>
                <w:webHidden/>
              </w:rPr>
              <w:t>125</w:t>
            </w:r>
            <w:r w:rsidR="008959A4">
              <w:rPr>
                <w:noProof/>
                <w:webHidden/>
              </w:rPr>
              <w:fldChar w:fldCharType="end"/>
            </w:r>
          </w:hyperlink>
        </w:p>
        <w:p w:rsidR="008959A4" w:rsidP="008959A4" w:rsidRDefault="00ED6D61" w14:paraId="5A995758" w14:textId="59F187B9">
          <w:pPr>
            <w:pStyle w:val="TOC3"/>
            <w:tabs>
              <w:tab w:val="right" w:leader="dot" w:pos="9350"/>
            </w:tabs>
            <w:ind w:left="1980" w:hanging="900"/>
            <w:rPr>
              <w:rFonts w:asciiTheme="minorHAnsi" w:hAnsiTheme="minorHAnsi" w:cstheme="minorBidi"/>
              <w:noProof/>
              <w:sz w:val="22"/>
              <w:szCs w:val="22"/>
            </w:rPr>
          </w:pPr>
          <w:hyperlink w:history="1" w:anchor="_Toc82159854">
            <w:r w:rsidRPr="0032220A" w:rsidR="008959A4">
              <w:rPr>
                <w:rStyle w:val="Hyperlink"/>
                <w:noProof/>
              </w:rPr>
              <w:t>5.9.5.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_Toc82159854 \h </w:instrText>
            </w:r>
            <w:r w:rsidR="008959A4">
              <w:rPr>
                <w:noProof/>
                <w:webHidden/>
              </w:rPr>
            </w:r>
            <w:r w:rsidR="008959A4">
              <w:rPr>
                <w:noProof/>
                <w:webHidden/>
              </w:rPr>
              <w:fldChar w:fldCharType="separate"/>
            </w:r>
            <w:r w:rsidR="00A643C3">
              <w:rPr>
                <w:noProof/>
                <w:webHidden/>
              </w:rPr>
              <w:t>126</w:t>
            </w:r>
            <w:r w:rsidR="008959A4">
              <w:rPr>
                <w:noProof/>
                <w:webHidden/>
              </w:rPr>
              <w:fldChar w:fldCharType="end"/>
            </w:r>
          </w:hyperlink>
        </w:p>
        <w:p w:rsidR="008959A4" w:rsidP="008959A4" w:rsidRDefault="00ED6D61" w14:paraId="47B8A15C" w14:textId="0E49D8BD">
          <w:pPr>
            <w:pStyle w:val="TOC3"/>
            <w:tabs>
              <w:tab w:val="right" w:leader="dot" w:pos="9350"/>
            </w:tabs>
            <w:ind w:left="1980" w:hanging="900"/>
            <w:rPr>
              <w:rFonts w:asciiTheme="minorHAnsi" w:hAnsiTheme="minorHAnsi" w:cstheme="minorBidi"/>
              <w:noProof/>
              <w:sz w:val="22"/>
              <w:szCs w:val="22"/>
            </w:rPr>
          </w:pPr>
          <w:hyperlink w:history="1" w:anchor="_Toc82159855">
            <w:r w:rsidRPr="0032220A" w:rsidR="008959A4">
              <w:rPr>
                <w:rStyle w:val="Hyperlink"/>
                <w:noProof/>
              </w:rPr>
              <w:t>5.9.6.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_Toc82159855 \h </w:instrText>
            </w:r>
            <w:r w:rsidR="008959A4">
              <w:rPr>
                <w:noProof/>
                <w:webHidden/>
              </w:rPr>
            </w:r>
            <w:r w:rsidR="008959A4">
              <w:rPr>
                <w:noProof/>
                <w:webHidden/>
              </w:rPr>
              <w:fldChar w:fldCharType="separate"/>
            </w:r>
            <w:r w:rsidR="00A643C3">
              <w:rPr>
                <w:noProof/>
                <w:webHidden/>
              </w:rPr>
              <w:t>126</w:t>
            </w:r>
            <w:r w:rsidR="008959A4">
              <w:rPr>
                <w:noProof/>
                <w:webHidden/>
              </w:rPr>
              <w:fldChar w:fldCharType="end"/>
            </w:r>
          </w:hyperlink>
        </w:p>
        <w:p w:rsidR="008959A4" w:rsidP="008959A4" w:rsidRDefault="00ED6D61" w14:paraId="111330D3" w14:textId="53BE0A7D">
          <w:pPr>
            <w:pStyle w:val="TOC3"/>
            <w:tabs>
              <w:tab w:val="right" w:leader="dot" w:pos="9350"/>
            </w:tabs>
            <w:ind w:left="1980" w:hanging="900"/>
            <w:rPr>
              <w:rFonts w:asciiTheme="minorHAnsi" w:hAnsiTheme="minorHAnsi" w:cstheme="minorBidi"/>
              <w:noProof/>
              <w:sz w:val="22"/>
              <w:szCs w:val="22"/>
            </w:rPr>
          </w:pPr>
          <w:hyperlink w:history="1" w:anchor="_Toc82159856">
            <w:r w:rsidRPr="0032220A" w:rsidR="008959A4">
              <w:rPr>
                <w:rStyle w:val="Hyperlink"/>
                <w:noProof/>
              </w:rPr>
              <w:t>5.9.7.</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_Toc82159856 \h </w:instrText>
            </w:r>
            <w:r w:rsidR="008959A4">
              <w:rPr>
                <w:noProof/>
                <w:webHidden/>
              </w:rPr>
            </w:r>
            <w:r w:rsidR="008959A4">
              <w:rPr>
                <w:noProof/>
                <w:webHidden/>
              </w:rPr>
              <w:fldChar w:fldCharType="separate"/>
            </w:r>
            <w:r w:rsidR="00A643C3">
              <w:rPr>
                <w:noProof/>
                <w:webHidden/>
              </w:rPr>
              <w:t>127</w:t>
            </w:r>
            <w:r w:rsidR="008959A4">
              <w:rPr>
                <w:noProof/>
                <w:webHidden/>
              </w:rPr>
              <w:fldChar w:fldCharType="end"/>
            </w:r>
          </w:hyperlink>
        </w:p>
        <w:p w:rsidR="008959A4" w:rsidP="008959A4" w:rsidRDefault="00ED6D61" w14:paraId="2844BF6F" w14:textId="2CFD8690">
          <w:pPr>
            <w:pStyle w:val="TOC4"/>
            <w:tabs>
              <w:tab w:val="left" w:pos="3060"/>
            </w:tabs>
            <w:rPr>
              <w:rFonts w:asciiTheme="minorHAnsi" w:hAnsiTheme="minorHAnsi" w:eastAsiaTheme="minorEastAsia" w:cstheme="minorBidi"/>
              <w:noProof/>
              <w:sz w:val="22"/>
              <w:szCs w:val="22"/>
            </w:rPr>
          </w:pPr>
          <w:hyperlink w:history="1" w:anchor="_Toc82159857">
            <w:r w:rsidRPr="0032220A" w:rsidR="008959A4">
              <w:rPr>
                <w:rStyle w:val="Hyperlink"/>
                <w:noProof/>
              </w:rPr>
              <w:t>5.9.7.1.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_Toc82159857 \h </w:instrText>
            </w:r>
            <w:r w:rsidR="008959A4">
              <w:rPr>
                <w:noProof/>
                <w:webHidden/>
              </w:rPr>
            </w:r>
            <w:r w:rsidR="008959A4">
              <w:rPr>
                <w:noProof/>
                <w:webHidden/>
              </w:rPr>
              <w:fldChar w:fldCharType="separate"/>
            </w:r>
            <w:r w:rsidR="00A643C3">
              <w:rPr>
                <w:noProof/>
                <w:webHidden/>
              </w:rPr>
              <w:t>127</w:t>
            </w:r>
            <w:r w:rsidR="008959A4">
              <w:rPr>
                <w:noProof/>
                <w:webHidden/>
              </w:rPr>
              <w:fldChar w:fldCharType="end"/>
            </w:r>
          </w:hyperlink>
        </w:p>
        <w:p w:rsidR="008959A4" w:rsidP="008959A4" w:rsidRDefault="00ED6D61" w14:paraId="7070C250" w14:textId="02CA0FA2">
          <w:pPr>
            <w:pStyle w:val="TOC4"/>
            <w:tabs>
              <w:tab w:val="left" w:pos="3060"/>
            </w:tabs>
            <w:rPr>
              <w:rFonts w:asciiTheme="minorHAnsi" w:hAnsiTheme="minorHAnsi" w:eastAsiaTheme="minorEastAsia" w:cstheme="minorBidi"/>
              <w:noProof/>
              <w:sz w:val="22"/>
              <w:szCs w:val="22"/>
            </w:rPr>
          </w:pPr>
          <w:hyperlink w:history="1" w:anchor="_Toc82159858">
            <w:r w:rsidRPr="0032220A" w:rsidR="008959A4">
              <w:rPr>
                <w:rStyle w:val="Hyperlink"/>
                <w:noProof/>
              </w:rPr>
              <w:t>5.9.7.2.</w:t>
            </w:r>
            <w:r w:rsidR="008959A4">
              <w:rPr>
                <w:rFonts w:asciiTheme="minorHAnsi" w:hAnsiTheme="minorHAnsi" w:eastAsiaTheme="minorEastAsia" w:cstheme="minorBidi"/>
                <w:noProof/>
                <w:sz w:val="22"/>
                <w:szCs w:val="22"/>
              </w:rPr>
              <w:tab/>
            </w:r>
            <w:r w:rsidRPr="0032220A" w:rsidR="008959A4">
              <w:rPr>
                <w:rStyle w:val="Hyperlink"/>
                <w:noProof/>
              </w:rPr>
              <w:t>EEC and Free Energy</w:t>
            </w:r>
            <w:r w:rsidR="008959A4">
              <w:rPr>
                <w:noProof/>
                <w:webHidden/>
              </w:rPr>
              <w:tab/>
            </w:r>
            <w:r w:rsidR="008959A4">
              <w:rPr>
                <w:noProof/>
                <w:webHidden/>
              </w:rPr>
              <w:fldChar w:fldCharType="begin"/>
            </w:r>
            <w:r w:rsidR="008959A4">
              <w:rPr>
                <w:noProof/>
                <w:webHidden/>
              </w:rPr>
              <w:instrText xml:space="preserve"> PAGEREF _Toc82159858 \h </w:instrText>
            </w:r>
            <w:r w:rsidR="008959A4">
              <w:rPr>
                <w:noProof/>
                <w:webHidden/>
              </w:rPr>
            </w:r>
            <w:r w:rsidR="008959A4">
              <w:rPr>
                <w:noProof/>
                <w:webHidden/>
              </w:rPr>
              <w:fldChar w:fldCharType="separate"/>
            </w:r>
            <w:r w:rsidR="00A643C3">
              <w:rPr>
                <w:noProof/>
                <w:webHidden/>
              </w:rPr>
              <w:t>127</w:t>
            </w:r>
            <w:r w:rsidR="008959A4">
              <w:rPr>
                <w:noProof/>
                <w:webHidden/>
              </w:rPr>
              <w:fldChar w:fldCharType="end"/>
            </w:r>
          </w:hyperlink>
        </w:p>
        <w:p w:rsidR="008959A4" w:rsidP="008959A4" w:rsidRDefault="00ED6D61" w14:paraId="30DB71B9" w14:textId="0C5D037D">
          <w:pPr>
            <w:pStyle w:val="TOC3"/>
            <w:tabs>
              <w:tab w:val="right" w:leader="dot" w:pos="9350"/>
            </w:tabs>
            <w:ind w:left="1980" w:hanging="900"/>
            <w:rPr>
              <w:rFonts w:asciiTheme="minorHAnsi" w:hAnsiTheme="minorHAnsi" w:cstheme="minorBidi"/>
              <w:noProof/>
              <w:sz w:val="22"/>
              <w:szCs w:val="22"/>
            </w:rPr>
          </w:pPr>
          <w:hyperlink w:history="1" w:anchor="_Toc82159859">
            <w:r w:rsidRPr="0032220A" w:rsidR="008959A4">
              <w:rPr>
                <w:rStyle w:val="Hyperlink"/>
                <w:noProof/>
              </w:rPr>
              <w:t>5.9.8.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_Toc82159859 \h </w:instrText>
            </w:r>
            <w:r w:rsidR="008959A4">
              <w:rPr>
                <w:noProof/>
                <w:webHidden/>
              </w:rPr>
            </w:r>
            <w:r w:rsidR="008959A4">
              <w:rPr>
                <w:noProof/>
                <w:webHidden/>
              </w:rPr>
              <w:fldChar w:fldCharType="separate"/>
            </w:r>
            <w:r w:rsidR="00A643C3">
              <w:rPr>
                <w:noProof/>
                <w:webHidden/>
              </w:rPr>
              <w:t>128</w:t>
            </w:r>
            <w:r w:rsidR="008959A4">
              <w:rPr>
                <w:noProof/>
                <w:webHidden/>
              </w:rPr>
              <w:fldChar w:fldCharType="end"/>
            </w:r>
          </w:hyperlink>
        </w:p>
        <w:p w:rsidR="008959A4" w:rsidP="008959A4" w:rsidRDefault="00ED6D61" w14:paraId="6DA68704" w14:textId="220194DE">
          <w:pPr>
            <w:pStyle w:val="TOC4"/>
            <w:tabs>
              <w:tab w:val="left" w:pos="3060"/>
            </w:tabs>
            <w:rPr>
              <w:rFonts w:asciiTheme="minorHAnsi" w:hAnsiTheme="minorHAnsi" w:eastAsiaTheme="minorEastAsia" w:cstheme="minorBidi"/>
              <w:noProof/>
              <w:sz w:val="22"/>
              <w:szCs w:val="22"/>
            </w:rPr>
          </w:pPr>
          <w:hyperlink w:history="1" w:anchor="_Toc82159860">
            <w:r w:rsidRPr="0032220A" w:rsidR="008959A4">
              <w:rPr>
                <w:rStyle w:val="Hyperlink"/>
                <w:noProof/>
              </w:rPr>
              <w:t>5.9.8.1.</w:t>
            </w:r>
            <w:r w:rsidR="008959A4">
              <w:rPr>
                <w:rFonts w:asciiTheme="minorHAnsi" w:hAnsiTheme="minorHAnsi" w:eastAsiaTheme="minorEastAsia" w:cstheme="minorBidi"/>
                <w:noProof/>
                <w:sz w:val="22"/>
                <w:szCs w:val="22"/>
              </w:rPr>
              <w:tab/>
            </w:r>
            <w:r w:rsidRPr="0032220A" w:rsidR="008959A4">
              <w:rPr>
                <w:rStyle w:val="Hyperlink"/>
                <w:noProof/>
              </w:rPr>
              <w:t xml:space="preserve">Southwest Gas, PacifiCorp, Liberty,  </w:t>
            </w:r>
            <w:r w:rsidR="008959A4">
              <w:rPr>
                <w:rStyle w:val="Hyperlink"/>
                <w:noProof/>
              </w:rPr>
              <w:br/>
            </w:r>
            <w:r w:rsidRPr="0032220A" w:rsidR="008959A4">
              <w:rPr>
                <w:rStyle w:val="Hyperlink"/>
                <w:noProof/>
              </w:rPr>
              <w:t>Bear Valley (Joint SMJUs) Response</w:t>
            </w:r>
            <w:r w:rsidR="008959A4">
              <w:rPr>
                <w:noProof/>
                <w:webHidden/>
              </w:rPr>
              <w:tab/>
            </w:r>
            <w:r w:rsidR="008959A4">
              <w:rPr>
                <w:noProof/>
                <w:webHidden/>
              </w:rPr>
              <w:fldChar w:fldCharType="begin"/>
            </w:r>
            <w:r w:rsidR="008959A4">
              <w:rPr>
                <w:noProof/>
                <w:webHidden/>
              </w:rPr>
              <w:instrText xml:space="preserve"> PAGEREF _Toc82159860 \h </w:instrText>
            </w:r>
            <w:r w:rsidR="008959A4">
              <w:rPr>
                <w:noProof/>
                <w:webHidden/>
              </w:rPr>
            </w:r>
            <w:r w:rsidR="008959A4">
              <w:rPr>
                <w:noProof/>
                <w:webHidden/>
              </w:rPr>
              <w:fldChar w:fldCharType="separate"/>
            </w:r>
            <w:r w:rsidR="00A643C3">
              <w:rPr>
                <w:noProof/>
                <w:webHidden/>
              </w:rPr>
              <w:t>128</w:t>
            </w:r>
            <w:r w:rsidR="008959A4">
              <w:rPr>
                <w:noProof/>
                <w:webHidden/>
              </w:rPr>
              <w:fldChar w:fldCharType="end"/>
            </w:r>
          </w:hyperlink>
        </w:p>
        <w:p w:rsidR="008959A4" w:rsidP="008959A4" w:rsidRDefault="00ED6D61" w14:paraId="2896A93A" w14:textId="49CF002B">
          <w:pPr>
            <w:pStyle w:val="TOC4"/>
            <w:tabs>
              <w:tab w:val="left" w:pos="3060"/>
            </w:tabs>
            <w:rPr>
              <w:rFonts w:asciiTheme="minorHAnsi" w:hAnsiTheme="minorHAnsi" w:eastAsiaTheme="minorEastAsia" w:cstheme="minorBidi"/>
              <w:noProof/>
              <w:sz w:val="22"/>
              <w:szCs w:val="22"/>
            </w:rPr>
          </w:pPr>
          <w:hyperlink w:history="1" w:anchor="_Toc82159861">
            <w:r w:rsidRPr="0032220A" w:rsidR="008959A4">
              <w:rPr>
                <w:rStyle w:val="Hyperlink"/>
                <w:noProof/>
              </w:rPr>
              <w:t>5.9.8.2.</w:t>
            </w:r>
            <w:r w:rsidR="008959A4">
              <w:rPr>
                <w:rFonts w:asciiTheme="minorHAnsi" w:hAnsiTheme="minorHAnsi" w:eastAsiaTheme="minorEastAsia"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_Toc82159861 \h </w:instrText>
            </w:r>
            <w:r w:rsidR="008959A4">
              <w:rPr>
                <w:noProof/>
                <w:webHidden/>
              </w:rPr>
            </w:r>
            <w:r w:rsidR="008959A4">
              <w:rPr>
                <w:noProof/>
                <w:webHidden/>
              </w:rPr>
              <w:fldChar w:fldCharType="separate"/>
            </w:r>
            <w:r w:rsidR="00A643C3">
              <w:rPr>
                <w:noProof/>
                <w:webHidden/>
              </w:rPr>
              <w:t>130</w:t>
            </w:r>
            <w:r w:rsidR="008959A4">
              <w:rPr>
                <w:noProof/>
                <w:webHidden/>
              </w:rPr>
              <w:fldChar w:fldCharType="end"/>
            </w:r>
          </w:hyperlink>
        </w:p>
        <w:p w:rsidR="008959A4" w:rsidP="008959A4" w:rsidRDefault="00ED6D61" w14:paraId="36E6EAD1" w14:textId="67800C42">
          <w:pPr>
            <w:pStyle w:val="TOC4"/>
            <w:tabs>
              <w:tab w:val="left" w:pos="3060"/>
            </w:tabs>
            <w:rPr>
              <w:rFonts w:asciiTheme="minorHAnsi" w:hAnsiTheme="minorHAnsi" w:eastAsiaTheme="minorEastAsia" w:cstheme="minorBidi"/>
              <w:noProof/>
              <w:sz w:val="22"/>
              <w:szCs w:val="22"/>
            </w:rPr>
          </w:pPr>
          <w:hyperlink w:history="1" w:anchor="_Toc82159862">
            <w:r w:rsidRPr="0032220A" w:rsidR="008959A4">
              <w:rPr>
                <w:rStyle w:val="Hyperlink"/>
                <w:noProof/>
              </w:rPr>
              <w:t>5.9.8.3.</w:t>
            </w:r>
            <w:r w:rsidR="008959A4">
              <w:rPr>
                <w:rFonts w:asciiTheme="minorHAnsi" w:hAnsiTheme="minorHAnsi" w:eastAsiaTheme="minorEastAsia" w:cstheme="minorBidi"/>
                <w:noProof/>
                <w:sz w:val="22"/>
                <w:szCs w:val="22"/>
              </w:rPr>
              <w:tab/>
            </w:r>
            <w:r w:rsidRPr="0032220A" w:rsidR="008959A4">
              <w:rPr>
                <w:rStyle w:val="Hyperlink"/>
                <w:noProof/>
              </w:rPr>
              <w:t>Southwest Gas Response</w:t>
            </w:r>
            <w:r w:rsidR="008959A4">
              <w:rPr>
                <w:noProof/>
                <w:webHidden/>
              </w:rPr>
              <w:tab/>
            </w:r>
            <w:r w:rsidR="008959A4">
              <w:rPr>
                <w:noProof/>
                <w:webHidden/>
              </w:rPr>
              <w:fldChar w:fldCharType="begin"/>
            </w:r>
            <w:r w:rsidR="008959A4">
              <w:rPr>
                <w:noProof/>
                <w:webHidden/>
              </w:rPr>
              <w:instrText xml:space="preserve"> PAGEREF _Toc82159862 \h </w:instrText>
            </w:r>
            <w:r w:rsidR="008959A4">
              <w:rPr>
                <w:noProof/>
                <w:webHidden/>
              </w:rPr>
            </w:r>
            <w:r w:rsidR="008959A4">
              <w:rPr>
                <w:noProof/>
                <w:webHidden/>
              </w:rPr>
              <w:fldChar w:fldCharType="separate"/>
            </w:r>
            <w:r w:rsidR="00A643C3">
              <w:rPr>
                <w:noProof/>
                <w:webHidden/>
              </w:rPr>
              <w:t>130</w:t>
            </w:r>
            <w:r w:rsidR="008959A4">
              <w:rPr>
                <w:noProof/>
                <w:webHidden/>
              </w:rPr>
              <w:fldChar w:fldCharType="end"/>
            </w:r>
          </w:hyperlink>
        </w:p>
        <w:p w:rsidR="008959A4" w:rsidP="008959A4" w:rsidRDefault="00ED6D61" w14:paraId="53CB181C" w14:textId="46A2AA99">
          <w:pPr>
            <w:pStyle w:val="TOC3"/>
            <w:tabs>
              <w:tab w:val="right" w:leader="dot" w:pos="9350"/>
            </w:tabs>
            <w:ind w:left="1980" w:hanging="900"/>
            <w:rPr>
              <w:rFonts w:asciiTheme="minorHAnsi" w:hAnsiTheme="minorHAnsi" w:cstheme="minorBidi"/>
              <w:noProof/>
              <w:sz w:val="22"/>
              <w:szCs w:val="22"/>
            </w:rPr>
          </w:pPr>
          <w:hyperlink w:history="1" w:anchor="_Toc82159863">
            <w:r w:rsidRPr="0032220A" w:rsidR="008959A4">
              <w:rPr>
                <w:rStyle w:val="Hyperlink"/>
                <w:noProof/>
              </w:rPr>
              <w:t>5.9.9.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_Toc82159863 \h </w:instrText>
            </w:r>
            <w:r w:rsidR="008959A4">
              <w:rPr>
                <w:noProof/>
                <w:webHidden/>
              </w:rPr>
            </w:r>
            <w:r w:rsidR="008959A4">
              <w:rPr>
                <w:noProof/>
                <w:webHidden/>
              </w:rPr>
              <w:fldChar w:fldCharType="separate"/>
            </w:r>
            <w:r w:rsidR="00A643C3">
              <w:rPr>
                <w:noProof/>
                <w:webHidden/>
              </w:rPr>
              <w:t>131</w:t>
            </w:r>
            <w:r w:rsidR="008959A4">
              <w:rPr>
                <w:noProof/>
                <w:webHidden/>
              </w:rPr>
              <w:fldChar w:fldCharType="end"/>
            </w:r>
          </w:hyperlink>
        </w:p>
        <w:p w:rsidR="008959A4" w:rsidP="008959A4" w:rsidRDefault="00ED6D61" w14:paraId="3168CF40" w14:textId="6B18CBC0">
          <w:pPr>
            <w:pStyle w:val="TOC4"/>
            <w:tabs>
              <w:tab w:val="left" w:pos="3060"/>
            </w:tabs>
            <w:rPr>
              <w:rFonts w:asciiTheme="minorHAnsi" w:hAnsiTheme="minorHAnsi" w:eastAsiaTheme="minorEastAsia" w:cstheme="minorBidi"/>
              <w:noProof/>
              <w:sz w:val="22"/>
              <w:szCs w:val="22"/>
            </w:rPr>
          </w:pPr>
          <w:hyperlink w:history="1" w:anchor="_Toc82159864">
            <w:r w:rsidRPr="0032220A" w:rsidR="008959A4">
              <w:rPr>
                <w:rStyle w:val="Hyperlink"/>
                <w:noProof/>
              </w:rPr>
              <w:t>5.9.9.1.</w:t>
            </w:r>
            <w:r w:rsidR="008959A4">
              <w:rPr>
                <w:rFonts w:asciiTheme="minorHAnsi" w:hAnsiTheme="minorHAnsi" w:eastAsiaTheme="minorEastAsia" w:cstheme="minorBidi"/>
                <w:noProof/>
                <w:sz w:val="22"/>
                <w:szCs w:val="22"/>
              </w:rPr>
              <w:tab/>
            </w:r>
            <w:r w:rsidRPr="0032220A" w:rsidR="008959A4">
              <w:rPr>
                <w:rStyle w:val="Hyperlink"/>
                <w:noProof/>
              </w:rPr>
              <w:t>SMJU Proposed Budgets:  Approved with Modifications</w:t>
            </w:r>
            <w:r w:rsidR="008959A4">
              <w:rPr>
                <w:noProof/>
                <w:webHidden/>
              </w:rPr>
              <w:tab/>
            </w:r>
            <w:r w:rsidR="008959A4">
              <w:rPr>
                <w:noProof/>
                <w:webHidden/>
              </w:rPr>
              <w:fldChar w:fldCharType="begin"/>
            </w:r>
            <w:r w:rsidR="008959A4">
              <w:rPr>
                <w:noProof/>
                <w:webHidden/>
              </w:rPr>
              <w:instrText xml:space="preserve"> PAGEREF _Toc82159864 \h </w:instrText>
            </w:r>
            <w:r w:rsidR="008959A4">
              <w:rPr>
                <w:noProof/>
                <w:webHidden/>
              </w:rPr>
            </w:r>
            <w:r w:rsidR="008959A4">
              <w:rPr>
                <w:noProof/>
                <w:webHidden/>
              </w:rPr>
              <w:fldChar w:fldCharType="separate"/>
            </w:r>
            <w:r w:rsidR="00A643C3">
              <w:rPr>
                <w:noProof/>
                <w:webHidden/>
              </w:rPr>
              <w:t>131</w:t>
            </w:r>
            <w:r w:rsidR="008959A4">
              <w:rPr>
                <w:noProof/>
                <w:webHidden/>
              </w:rPr>
              <w:fldChar w:fldCharType="end"/>
            </w:r>
          </w:hyperlink>
        </w:p>
        <w:p w:rsidR="008959A4" w:rsidP="008959A4" w:rsidRDefault="00ED6D61" w14:paraId="1CE3A55E" w14:textId="575620A6">
          <w:pPr>
            <w:pStyle w:val="TOC4"/>
            <w:tabs>
              <w:tab w:val="left" w:pos="3060"/>
            </w:tabs>
            <w:rPr>
              <w:rFonts w:asciiTheme="minorHAnsi" w:hAnsiTheme="minorHAnsi" w:eastAsiaTheme="minorEastAsia" w:cstheme="minorBidi"/>
              <w:noProof/>
              <w:sz w:val="22"/>
              <w:szCs w:val="22"/>
            </w:rPr>
          </w:pPr>
          <w:hyperlink w:history="1" w:anchor="_Toc82159865">
            <w:r w:rsidRPr="0032220A" w:rsidR="008959A4">
              <w:rPr>
                <w:rStyle w:val="Hyperlink"/>
                <w:noProof/>
              </w:rPr>
              <w:t>5.9.9.2.</w:t>
            </w:r>
            <w:r w:rsidR="008959A4">
              <w:rPr>
                <w:rFonts w:asciiTheme="minorHAnsi" w:hAnsiTheme="minorHAnsi" w:eastAsiaTheme="minorEastAsia" w:cstheme="minorBidi"/>
                <w:noProof/>
                <w:sz w:val="22"/>
                <w:szCs w:val="22"/>
              </w:rPr>
              <w:tab/>
            </w:r>
            <w:r w:rsidRPr="0032220A" w:rsidR="008959A4">
              <w:rPr>
                <w:rStyle w:val="Hyperlink"/>
                <w:noProof/>
              </w:rPr>
              <w:t>Budget Adjustments via Advice Letter:  Denied</w:t>
            </w:r>
            <w:r w:rsidR="008959A4">
              <w:rPr>
                <w:noProof/>
                <w:webHidden/>
              </w:rPr>
              <w:tab/>
            </w:r>
            <w:r w:rsidR="008959A4">
              <w:rPr>
                <w:noProof/>
                <w:webHidden/>
              </w:rPr>
              <w:fldChar w:fldCharType="begin"/>
            </w:r>
            <w:r w:rsidR="008959A4">
              <w:rPr>
                <w:noProof/>
                <w:webHidden/>
              </w:rPr>
              <w:instrText xml:space="preserve"> PAGEREF _Toc82159865 \h </w:instrText>
            </w:r>
            <w:r w:rsidR="008959A4">
              <w:rPr>
                <w:noProof/>
                <w:webHidden/>
              </w:rPr>
            </w:r>
            <w:r w:rsidR="008959A4">
              <w:rPr>
                <w:noProof/>
                <w:webHidden/>
              </w:rPr>
              <w:fldChar w:fldCharType="separate"/>
            </w:r>
            <w:r w:rsidR="00A643C3">
              <w:rPr>
                <w:noProof/>
                <w:webHidden/>
              </w:rPr>
              <w:t>133</w:t>
            </w:r>
            <w:r w:rsidR="008959A4">
              <w:rPr>
                <w:noProof/>
                <w:webHidden/>
              </w:rPr>
              <w:fldChar w:fldCharType="end"/>
            </w:r>
          </w:hyperlink>
        </w:p>
        <w:p w:rsidR="008959A4" w:rsidP="008959A4" w:rsidRDefault="00ED6D61" w14:paraId="644BB5D4" w14:textId="496459D5">
          <w:pPr>
            <w:pStyle w:val="TOC4"/>
            <w:tabs>
              <w:tab w:val="left" w:pos="3060"/>
            </w:tabs>
            <w:rPr>
              <w:rFonts w:asciiTheme="minorHAnsi" w:hAnsiTheme="minorHAnsi" w:eastAsiaTheme="minorEastAsia" w:cstheme="minorBidi"/>
              <w:noProof/>
              <w:sz w:val="22"/>
              <w:szCs w:val="22"/>
            </w:rPr>
          </w:pPr>
          <w:hyperlink w:history="1" w:anchor="_Toc82159866">
            <w:r w:rsidRPr="0032220A" w:rsidR="008959A4">
              <w:rPr>
                <w:rStyle w:val="Hyperlink"/>
                <w:noProof/>
              </w:rPr>
              <w:t>5.9.9.3.</w:t>
            </w:r>
            <w:r w:rsidR="008959A4">
              <w:rPr>
                <w:rFonts w:asciiTheme="minorHAnsi" w:hAnsiTheme="minorHAnsi" w:eastAsiaTheme="minorEastAsia" w:cstheme="minorBidi"/>
                <w:noProof/>
                <w:sz w:val="22"/>
                <w:szCs w:val="22"/>
              </w:rPr>
              <w:tab/>
            </w:r>
            <w:r w:rsidRPr="0032220A" w:rsidR="008959A4">
              <w:rPr>
                <w:rStyle w:val="Hyperlink"/>
                <w:noProof/>
              </w:rPr>
              <w:t>Budget Certainty for ESA Contractors:  Denied</w:t>
            </w:r>
            <w:r w:rsidR="008959A4">
              <w:rPr>
                <w:noProof/>
                <w:webHidden/>
              </w:rPr>
              <w:tab/>
            </w:r>
            <w:r w:rsidR="008959A4">
              <w:rPr>
                <w:noProof/>
                <w:webHidden/>
              </w:rPr>
              <w:fldChar w:fldCharType="begin"/>
            </w:r>
            <w:r w:rsidR="008959A4">
              <w:rPr>
                <w:noProof/>
                <w:webHidden/>
              </w:rPr>
              <w:instrText xml:space="preserve"> PAGEREF _Toc82159866 \h </w:instrText>
            </w:r>
            <w:r w:rsidR="008959A4">
              <w:rPr>
                <w:noProof/>
                <w:webHidden/>
              </w:rPr>
            </w:r>
            <w:r w:rsidR="008959A4">
              <w:rPr>
                <w:noProof/>
                <w:webHidden/>
              </w:rPr>
              <w:fldChar w:fldCharType="separate"/>
            </w:r>
            <w:r w:rsidR="00A643C3">
              <w:rPr>
                <w:noProof/>
                <w:webHidden/>
              </w:rPr>
              <w:t>133</w:t>
            </w:r>
            <w:r w:rsidR="008959A4">
              <w:rPr>
                <w:noProof/>
                <w:webHidden/>
              </w:rPr>
              <w:fldChar w:fldCharType="end"/>
            </w:r>
          </w:hyperlink>
        </w:p>
        <w:p w:rsidR="008959A4" w:rsidP="008959A4" w:rsidRDefault="00ED6D61" w14:paraId="478B6613" w14:textId="4D98E39E">
          <w:pPr>
            <w:pStyle w:val="TOC1"/>
            <w:tabs>
              <w:tab w:val="right" w:leader="dot" w:pos="9350"/>
            </w:tabs>
            <w:rPr>
              <w:rFonts w:asciiTheme="minorHAnsi" w:hAnsiTheme="minorHAnsi" w:cstheme="minorBidi"/>
              <w:noProof/>
              <w:sz w:val="22"/>
              <w:szCs w:val="22"/>
            </w:rPr>
          </w:pPr>
          <w:hyperlink w:history="1" w:anchor="_Toc82159867">
            <w:r w:rsidRPr="0032220A" w:rsidR="008959A4">
              <w:rPr>
                <w:rStyle w:val="Hyperlink"/>
                <w:noProof/>
              </w:rPr>
              <w:t>6.</w:t>
            </w:r>
            <w:r w:rsidR="008959A4">
              <w:rPr>
                <w:rFonts w:asciiTheme="minorHAnsi" w:hAnsiTheme="minorHAnsi" w:cstheme="minorBidi"/>
                <w:noProof/>
                <w:sz w:val="22"/>
                <w:szCs w:val="22"/>
              </w:rPr>
              <w:tab/>
            </w:r>
            <w:r w:rsidRPr="0032220A" w:rsidR="008959A4">
              <w:rPr>
                <w:rStyle w:val="Hyperlink"/>
                <w:noProof/>
              </w:rPr>
              <w:t>Fund Shifting and Unpent Funds</w:t>
            </w:r>
            <w:r w:rsidR="008959A4">
              <w:rPr>
                <w:noProof/>
                <w:webHidden/>
              </w:rPr>
              <w:tab/>
            </w:r>
            <w:r w:rsidR="008959A4">
              <w:rPr>
                <w:noProof/>
                <w:webHidden/>
              </w:rPr>
              <w:fldChar w:fldCharType="begin"/>
            </w:r>
            <w:r w:rsidR="008959A4">
              <w:rPr>
                <w:noProof/>
                <w:webHidden/>
              </w:rPr>
              <w:instrText xml:space="preserve"> PAGEREF _Toc82159867 \h </w:instrText>
            </w:r>
            <w:r w:rsidR="008959A4">
              <w:rPr>
                <w:noProof/>
                <w:webHidden/>
              </w:rPr>
            </w:r>
            <w:r w:rsidR="008959A4">
              <w:rPr>
                <w:noProof/>
                <w:webHidden/>
              </w:rPr>
              <w:fldChar w:fldCharType="separate"/>
            </w:r>
            <w:r w:rsidR="00A643C3">
              <w:rPr>
                <w:noProof/>
                <w:webHidden/>
              </w:rPr>
              <w:t>134</w:t>
            </w:r>
            <w:r w:rsidR="008959A4">
              <w:rPr>
                <w:noProof/>
                <w:webHidden/>
              </w:rPr>
              <w:fldChar w:fldCharType="end"/>
            </w:r>
          </w:hyperlink>
        </w:p>
        <w:p w:rsidR="008959A4" w:rsidP="008959A4" w:rsidRDefault="00ED6D61" w14:paraId="49D7BB7F" w14:textId="5EEAB2B3">
          <w:pPr>
            <w:pStyle w:val="TOC2"/>
            <w:tabs>
              <w:tab w:val="right" w:leader="dot" w:pos="9350"/>
            </w:tabs>
            <w:ind w:left="1080" w:hanging="630"/>
            <w:rPr>
              <w:rFonts w:asciiTheme="minorHAnsi" w:hAnsiTheme="minorHAnsi" w:cstheme="minorBidi"/>
              <w:noProof/>
              <w:sz w:val="22"/>
              <w:szCs w:val="22"/>
            </w:rPr>
          </w:pPr>
          <w:hyperlink w:history="1" w:anchor="_Toc82159868">
            <w:r w:rsidRPr="0032220A" w:rsidR="008959A4">
              <w:rPr>
                <w:rStyle w:val="Hyperlink"/>
                <w:noProof/>
              </w:rPr>
              <w:t>6.1.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_Toc82159868 \h </w:instrText>
            </w:r>
            <w:r w:rsidR="008959A4">
              <w:rPr>
                <w:noProof/>
                <w:webHidden/>
              </w:rPr>
            </w:r>
            <w:r w:rsidR="008959A4">
              <w:rPr>
                <w:noProof/>
                <w:webHidden/>
              </w:rPr>
              <w:fldChar w:fldCharType="separate"/>
            </w:r>
            <w:r w:rsidR="00A643C3">
              <w:rPr>
                <w:noProof/>
                <w:webHidden/>
              </w:rPr>
              <w:t>134</w:t>
            </w:r>
            <w:r w:rsidR="008959A4">
              <w:rPr>
                <w:noProof/>
                <w:webHidden/>
              </w:rPr>
              <w:fldChar w:fldCharType="end"/>
            </w:r>
          </w:hyperlink>
        </w:p>
        <w:p w:rsidR="008959A4" w:rsidP="008959A4" w:rsidRDefault="00ED6D61" w14:paraId="7440D3BF" w14:textId="10434456">
          <w:pPr>
            <w:pStyle w:val="TOC2"/>
            <w:tabs>
              <w:tab w:val="right" w:leader="dot" w:pos="9350"/>
            </w:tabs>
            <w:ind w:left="1080" w:hanging="630"/>
            <w:rPr>
              <w:rFonts w:asciiTheme="minorHAnsi" w:hAnsiTheme="minorHAnsi" w:cstheme="minorBidi"/>
              <w:noProof/>
              <w:sz w:val="22"/>
              <w:szCs w:val="22"/>
            </w:rPr>
          </w:pPr>
          <w:hyperlink w:history="1" w:anchor="_Toc82159869">
            <w:r w:rsidRPr="0032220A" w:rsidR="008959A4">
              <w:rPr>
                <w:rStyle w:val="Hyperlink"/>
                <w:noProof/>
              </w:rPr>
              <w:t>6.2.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_Toc82159869 \h </w:instrText>
            </w:r>
            <w:r w:rsidR="008959A4">
              <w:rPr>
                <w:noProof/>
                <w:webHidden/>
              </w:rPr>
            </w:r>
            <w:r w:rsidR="008959A4">
              <w:rPr>
                <w:noProof/>
                <w:webHidden/>
              </w:rPr>
              <w:fldChar w:fldCharType="separate"/>
            </w:r>
            <w:r w:rsidR="00A643C3">
              <w:rPr>
                <w:noProof/>
                <w:webHidden/>
              </w:rPr>
              <w:t>134</w:t>
            </w:r>
            <w:r w:rsidR="008959A4">
              <w:rPr>
                <w:noProof/>
                <w:webHidden/>
              </w:rPr>
              <w:fldChar w:fldCharType="end"/>
            </w:r>
          </w:hyperlink>
        </w:p>
        <w:p w:rsidR="008959A4" w:rsidP="008959A4" w:rsidRDefault="00ED6D61" w14:paraId="760833B4" w14:textId="1C05E590">
          <w:pPr>
            <w:pStyle w:val="TOC2"/>
            <w:tabs>
              <w:tab w:val="right" w:leader="dot" w:pos="9350"/>
            </w:tabs>
            <w:ind w:left="1080" w:hanging="630"/>
            <w:rPr>
              <w:rFonts w:asciiTheme="minorHAnsi" w:hAnsiTheme="minorHAnsi" w:cstheme="minorBidi"/>
              <w:noProof/>
              <w:sz w:val="22"/>
              <w:szCs w:val="22"/>
            </w:rPr>
          </w:pPr>
          <w:hyperlink w:history="1" w:anchor="_Toc82159870">
            <w:r w:rsidRPr="0032220A" w:rsidR="008959A4">
              <w:rPr>
                <w:rStyle w:val="Hyperlink"/>
                <w:noProof/>
              </w:rPr>
              <w:t>6.3.</w:t>
            </w:r>
            <w:r w:rsidR="008959A4">
              <w:rPr>
                <w:rFonts w:asciiTheme="minorHAnsi" w:hAnsiTheme="minorHAnsi" w:cstheme="minorBidi"/>
                <w:noProof/>
                <w:sz w:val="22"/>
                <w:szCs w:val="22"/>
              </w:rPr>
              <w:tab/>
            </w:r>
            <w:r w:rsidRPr="0032220A" w:rsidR="008959A4">
              <w:rPr>
                <w:rStyle w:val="Hyperlink"/>
                <w:noProof/>
              </w:rPr>
              <w:t>Bear Valley Proposal</w:t>
            </w:r>
            <w:r w:rsidR="008959A4">
              <w:rPr>
                <w:noProof/>
                <w:webHidden/>
              </w:rPr>
              <w:tab/>
            </w:r>
            <w:r w:rsidR="008959A4">
              <w:rPr>
                <w:noProof/>
                <w:webHidden/>
              </w:rPr>
              <w:fldChar w:fldCharType="begin"/>
            </w:r>
            <w:r w:rsidR="008959A4">
              <w:rPr>
                <w:noProof/>
                <w:webHidden/>
              </w:rPr>
              <w:instrText xml:space="preserve"> PAGEREF _Toc82159870 \h </w:instrText>
            </w:r>
            <w:r w:rsidR="008959A4">
              <w:rPr>
                <w:noProof/>
                <w:webHidden/>
              </w:rPr>
            </w:r>
            <w:r w:rsidR="008959A4">
              <w:rPr>
                <w:noProof/>
                <w:webHidden/>
              </w:rPr>
              <w:fldChar w:fldCharType="separate"/>
            </w:r>
            <w:r w:rsidR="00A643C3">
              <w:rPr>
                <w:noProof/>
                <w:webHidden/>
              </w:rPr>
              <w:t>134</w:t>
            </w:r>
            <w:r w:rsidR="008959A4">
              <w:rPr>
                <w:noProof/>
                <w:webHidden/>
              </w:rPr>
              <w:fldChar w:fldCharType="end"/>
            </w:r>
          </w:hyperlink>
        </w:p>
        <w:p w:rsidR="008959A4" w:rsidP="008959A4" w:rsidRDefault="00ED6D61" w14:paraId="33B48132" w14:textId="4FFF284D">
          <w:pPr>
            <w:pStyle w:val="TOC2"/>
            <w:tabs>
              <w:tab w:val="right" w:leader="dot" w:pos="9350"/>
            </w:tabs>
            <w:ind w:left="1080" w:hanging="630"/>
            <w:rPr>
              <w:rFonts w:asciiTheme="minorHAnsi" w:hAnsiTheme="minorHAnsi" w:cstheme="minorBidi"/>
              <w:noProof/>
              <w:sz w:val="22"/>
              <w:szCs w:val="22"/>
            </w:rPr>
          </w:pPr>
          <w:hyperlink w:history="1" w:anchor="_Toc82159871">
            <w:r w:rsidRPr="0032220A" w:rsidR="008959A4">
              <w:rPr>
                <w:rStyle w:val="Hyperlink"/>
                <w:noProof/>
              </w:rPr>
              <w:t>6.4.</w:t>
            </w:r>
            <w:r w:rsidR="008959A4">
              <w:rPr>
                <w:rFonts w:asciiTheme="minorHAnsi" w:hAnsiTheme="minorHAnsi" w:cstheme="minorBidi"/>
                <w:noProof/>
                <w:sz w:val="22"/>
                <w:szCs w:val="22"/>
              </w:rPr>
              <w:tab/>
            </w:r>
            <w:r w:rsidRPr="0032220A" w:rsidR="008959A4">
              <w:rPr>
                <w:rStyle w:val="Hyperlink"/>
                <w:noProof/>
              </w:rPr>
              <w:t>Liberty Proposal</w:t>
            </w:r>
            <w:r w:rsidR="008959A4">
              <w:rPr>
                <w:noProof/>
                <w:webHidden/>
              </w:rPr>
              <w:tab/>
            </w:r>
            <w:r w:rsidR="008959A4">
              <w:rPr>
                <w:noProof/>
                <w:webHidden/>
              </w:rPr>
              <w:fldChar w:fldCharType="begin"/>
            </w:r>
            <w:r w:rsidR="008959A4">
              <w:rPr>
                <w:noProof/>
                <w:webHidden/>
              </w:rPr>
              <w:instrText xml:space="preserve"> PAGEREF _Toc82159871 \h </w:instrText>
            </w:r>
            <w:r w:rsidR="008959A4">
              <w:rPr>
                <w:noProof/>
                <w:webHidden/>
              </w:rPr>
            </w:r>
            <w:r w:rsidR="008959A4">
              <w:rPr>
                <w:noProof/>
                <w:webHidden/>
              </w:rPr>
              <w:fldChar w:fldCharType="separate"/>
            </w:r>
            <w:r w:rsidR="00A643C3">
              <w:rPr>
                <w:noProof/>
                <w:webHidden/>
              </w:rPr>
              <w:t>135</w:t>
            </w:r>
            <w:r w:rsidR="008959A4">
              <w:rPr>
                <w:noProof/>
                <w:webHidden/>
              </w:rPr>
              <w:fldChar w:fldCharType="end"/>
            </w:r>
          </w:hyperlink>
        </w:p>
        <w:p w:rsidR="008959A4" w:rsidP="008959A4" w:rsidRDefault="00ED6D61" w14:paraId="2ECD17EF" w14:textId="6590FC33">
          <w:pPr>
            <w:pStyle w:val="TOC2"/>
            <w:tabs>
              <w:tab w:val="right" w:leader="dot" w:pos="9350"/>
            </w:tabs>
            <w:ind w:left="1080" w:hanging="630"/>
            <w:rPr>
              <w:rFonts w:asciiTheme="minorHAnsi" w:hAnsiTheme="minorHAnsi" w:cstheme="minorBidi"/>
              <w:noProof/>
              <w:sz w:val="22"/>
              <w:szCs w:val="22"/>
            </w:rPr>
          </w:pPr>
          <w:hyperlink w:history="1" w:anchor="_Toc82159872">
            <w:r w:rsidRPr="0032220A" w:rsidR="008959A4">
              <w:rPr>
                <w:rStyle w:val="Hyperlink"/>
                <w:noProof/>
              </w:rPr>
              <w:t>6.5.</w:t>
            </w:r>
            <w:r w:rsidR="008959A4">
              <w:rPr>
                <w:rFonts w:asciiTheme="minorHAnsi" w:hAnsiTheme="minorHAnsi" w:cstheme="minorBidi"/>
                <w:noProof/>
                <w:sz w:val="22"/>
                <w:szCs w:val="22"/>
              </w:rPr>
              <w:tab/>
            </w:r>
            <w:r w:rsidRPr="0032220A" w:rsidR="008959A4">
              <w:rPr>
                <w:rStyle w:val="Hyperlink"/>
                <w:noProof/>
              </w:rPr>
              <w:t>PacifiCorp Proposal</w:t>
            </w:r>
            <w:r w:rsidR="008959A4">
              <w:rPr>
                <w:noProof/>
                <w:webHidden/>
              </w:rPr>
              <w:tab/>
            </w:r>
            <w:r w:rsidR="008959A4">
              <w:rPr>
                <w:noProof/>
                <w:webHidden/>
              </w:rPr>
              <w:fldChar w:fldCharType="begin"/>
            </w:r>
            <w:r w:rsidR="008959A4">
              <w:rPr>
                <w:noProof/>
                <w:webHidden/>
              </w:rPr>
              <w:instrText xml:space="preserve"> PAGEREF _Toc82159872 \h </w:instrText>
            </w:r>
            <w:r w:rsidR="008959A4">
              <w:rPr>
                <w:noProof/>
                <w:webHidden/>
              </w:rPr>
            </w:r>
            <w:r w:rsidR="008959A4">
              <w:rPr>
                <w:noProof/>
                <w:webHidden/>
              </w:rPr>
              <w:fldChar w:fldCharType="separate"/>
            </w:r>
            <w:r w:rsidR="00A643C3">
              <w:rPr>
                <w:noProof/>
                <w:webHidden/>
              </w:rPr>
              <w:t>135</w:t>
            </w:r>
            <w:r w:rsidR="008959A4">
              <w:rPr>
                <w:noProof/>
                <w:webHidden/>
              </w:rPr>
              <w:fldChar w:fldCharType="end"/>
            </w:r>
          </w:hyperlink>
        </w:p>
        <w:p w:rsidR="008959A4" w:rsidP="008959A4" w:rsidRDefault="00ED6D61" w14:paraId="0D1BEB38" w14:textId="77A05EB9">
          <w:pPr>
            <w:pStyle w:val="TOC2"/>
            <w:tabs>
              <w:tab w:val="right" w:leader="dot" w:pos="9350"/>
            </w:tabs>
            <w:ind w:left="1080" w:hanging="630"/>
            <w:rPr>
              <w:rFonts w:asciiTheme="minorHAnsi" w:hAnsiTheme="minorHAnsi" w:cstheme="minorBidi"/>
              <w:noProof/>
              <w:sz w:val="22"/>
              <w:szCs w:val="22"/>
            </w:rPr>
          </w:pPr>
          <w:hyperlink w:history="1" w:anchor="_Toc82159873">
            <w:r w:rsidRPr="0032220A" w:rsidR="008959A4">
              <w:rPr>
                <w:rStyle w:val="Hyperlink"/>
                <w:noProof/>
              </w:rPr>
              <w:t>6.6.</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_Toc82159873 \h </w:instrText>
            </w:r>
            <w:r w:rsidR="008959A4">
              <w:rPr>
                <w:noProof/>
                <w:webHidden/>
              </w:rPr>
            </w:r>
            <w:r w:rsidR="008959A4">
              <w:rPr>
                <w:noProof/>
                <w:webHidden/>
              </w:rPr>
              <w:fldChar w:fldCharType="separate"/>
            </w:r>
            <w:r w:rsidR="00A643C3">
              <w:rPr>
                <w:noProof/>
                <w:webHidden/>
              </w:rPr>
              <w:t>135</w:t>
            </w:r>
            <w:r w:rsidR="008959A4">
              <w:rPr>
                <w:noProof/>
                <w:webHidden/>
              </w:rPr>
              <w:fldChar w:fldCharType="end"/>
            </w:r>
          </w:hyperlink>
        </w:p>
        <w:p w:rsidR="008959A4" w:rsidP="008959A4" w:rsidRDefault="00ED6D61" w14:paraId="031B6A16" w14:textId="12896629">
          <w:pPr>
            <w:pStyle w:val="TOC2"/>
            <w:tabs>
              <w:tab w:val="right" w:leader="dot" w:pos="9350"/>
            </w:tabs>
            <w:ind w:left="1080" w:hanging="630"/>
            <w:rPr>
              <w:rFonts w:asciiTheme="minorHAnsi" w:hAnsiTheme="minorHAnsi" w:cstheme="minorBidi"/>
              <w:noProof/>
              <w:sz w:val="22"/>
              <w:szCs w:val="22"/>
            </w:rPr>
          </w:pPr>
          <w:hyperlink w:history="1" w:anchor="_Toc82159874">
            <w:r w:rsidRPr="0032220A" w:rsidR="008959A4">
              <w:rPr>
                <w:rStyle w:val="Hyperlink"/>
                <w:noProof/>
              </w:rPr>
              <w:t>6.7.</w:t>
            </w:r>
            <w:r w:rsidR="008959A4">
              <w:rPr>
                <w:rFonts w:asciiTheme="minorHAnsi" w:hAnsiTheme="minorHAnsi" w:cstheme="minorBidi"/>
                <w:noProof/>
                <w:sz w:val="22"/>
                <w:szCs w:val="22"/>
              </w:rPr>
              <w:tab/>
            </w:r>
            <w:r w:rsidRPr="0032220A" w:rsidR="008959A4">
              <w:rPr>
                <w:rStyle w:val="Hyperlink"/>
                <w:noProof/>
              </w:rPr>
              <w:t>EEC &amp; Free Energy Proposal</w:t>
            </w:r>
            <w:r w:rsidR="008959A4">
              <w:rPr>
                <w:noProof/>
                <w:webHidden/>
              </w:rPr>
              <w:tab/>
            </w:r>
            <w:r w:rsidR="008959A4">
              <w:rPr>
                <w:noProof/>
                <w:webHidden/>
              </w:rPr>
              <w:fldChar w:fldCharType="begin"/>
            </w:r>
            <w:r w:rsidR="008959A4">
              <w:rPr>
                <w:noProof/>
                <w:webHidden/>
              </w:rPr>
              <w:instrText xml:space="preserve"> PAGEREF _Toc82159874 \h </w:instrText>
            </w:r>
            <w:r w:rsidR="008959A4">
              <w:rPr>
                <w:noProof/>
                <w:webHidden/>
              </w:rPr>
            </w:r>
            <w:r w:rsidR="008959A4">
              <w:rPr>
                <w:noProof/>
                <w:webHidden/>
              </w:rPr>
              <w:fldChar w:fldCharType="separate"/>
            </w:r>
            <w:r w:rsidR="00A643C3">
              <w:rPr>
                <w:noProof/>
                <w:webHidden/>
              </w:rPr>
              <w:t>136</w:t>
            </w:r>
            <w:r w:rsidR="008959A4">
              <w:rPr>
                <w:noProof/>
                <w:webHidden/>
              </w:rPr>
              <w:fldChar w:fldCharType="end"/>
            </w:r>
          </w:hyperlink>
        </w:p>
        <w:p w:rsidR="008959A4" w:rsidP="008959A4" w:rsidRDefault="00ED6D61" w14:paraId="4DC17DF2" w14:textId="3E55F6CA">
          <w:pPr>
            <w:pStyle w:val="TOC2"/>
            <w:tabs>
              <w:tab w:val="right" w:leader="dot" w:pos="9350"/>
            </w:tabs>
            <w:ind w:left="1080" w:hanging="630"/>
            <w:rPr>
              <w:rFonts w:asciiTheme="minorHAnsi" w:hAnsiTheme="minorHAnsi" w:cstheme="minorBidi"/>
              <w:noProof/>
              <w:sz w:val="22"/>
              <w:szCs w:val="22"/>
            </w:rPr>
          </w:pPr>
          <w:hyperlink w:history="1" w:anchor="_Toc82159875">
            <w:r w:rsidRPr="0032220A" w:rsidR="008959A4">
              <w:rPr>
                <w:rStyle w:val="Hyperlink"/>
                <w:noProof/>
              </w:rPr>
              <w:t>6.8.</w:t>
            </w:r>
            <w:r w:rsidR="008959A4">
              <w:rPr>
                <w:rFonts w:asciiTheme="minorHAnsi" w:hAnsiTheme="minorHAnsi" w:cstheme="minorBidi"/>
                <w:noProof/>
                <w:sz w:val="22"/>
                <w:szCs w:val="22"/>
              </w:rPr>
              <w:tab/>
            </w:r>
            <w:r w:rsidRPr="0032220A" w:rsidR="008959A4">
              <w:rPr>
                <w:rStyle w:val="Hyperlink"/>
                <w:noProof/>
              </w:rPr>
              <w:t>SMJU Responses</w:t>
            </w:r>
            <w:r w:rsidR="008959A4">
              <w:rPr>
                <w:noProof/>
                <w:webHidden/>
              </w:rPr>
              <w:tab/>
            </w:r>
            <w:r w:rsidR="008959A4">
              <w:rPr>
                <w:noProof/>
                <w:webHidden/>
              </w:rPr>
              <w:fldChar w:fldCharType="begin"/>
            </w:r>
            <w:r w:rsidR="008959A4">
              <w:rPr>
                <w:noProof/>
                <w:webHidden/>
              </w:rPr>
              <w:instrText xml:space="preserve"> PAGEREF _Toc82159875 \h </w:instrText>
            </w:r>
            <w:r w:rsidR="008959A4">
              <w:rPr>
                <w:noProof/>
                <w:webHidden/>
              </w:rPr>
            </w:r>
            <w:r w:rsidR="008959A4">
              <w:rPr>
                <w:noProof/>
                <w:webHidden/>
              </w:rPr>
              <w:fldChar w:fldCharType="separate"/>
            </w:r>
            <w:r w:rsidR="00A643C3">
              <w:rPr>
                <w:noProof/>
                <w:webHidden/>
              </w:rPr>
              <w:t>137</w:t>
            </w:r>
            <w:r w:rsidR="008959A4">
              <w:rPr>
                <w:noProof/>
                <w:webHidden/>
              </w:rPr>
              <w:fldChar w:fldCharType="end"/>
            </w:r>
          </w:hyperlink>
        </w:p>
        <w:p w:rsidR="008959A4" w:rsidP="008959A4" w:rsidRDefault="00ED6D61" w14:paraId="13099059" w14:textId="7F997E23">
          <w:pPr>
            <w:pStyle w:val="TOC3"/>
            <w:tabs>
              <w:tab w:val="right" w:leader="dot" w:pos="9350"/>
            </w:tabs>
            <w:ind w:left="1980" w:hanging="900"/>
            <w:rPr>
              <w:rFonts w:asciiTheme="minorHAnsi" w:hAnsiTheme="minorHAnsi" w:cstheme="minorBidi"/>
              <w:noProof/>
              <w:sz w:val="22"/>
              <w:szCs w:val="22"/>
            </w:rPr>
          </w:pPr>
          <w:hyperlink w:history="1" w:anchor="_Toc82159876">
            <w:r w:rsidRPr="0032220A" w:rsidR="008959A4">
              <w:rPr>
                <w:rStyle w:val="Hyperlink"/>
                <w:noProof/>
              </w:rPr>
              <w:t>6.8.1.</w:t>
            </w:r>
            <w:r w:rsidR="008959A4">
              <w:rPr>
                <w:rFonts w:asciiTheme="minorHAnsi" w:hAnsiTheme="minorHAnsi" w:cstheme="minorBidi"/>
                <w:noProof/>
                <w:sz w:val="22"/>
                <w:szCs w:val="22"/>
              </w:rPr>
              <w:tab/>
            </w:r>
            <w:r w:rsidRPr="0032220A" w:rsidR="008959A4">
              <w:rPr>
                <w:rStyle w:val="Hyperlink"/>
                <w:noProof/>
              </w:rPr>
              <w:t xml:space="preserve">Southwest Gas, PacifiCorp, Liberty, Bear Valley </w:t>
            </w:r>
            <w:r w:rsidR="008959A4">
              <w:rPr>
                <w:rStyle w:val="Hyperlink"/>
                <w:noProof/>
              </w:rPr>
              <w:br/>
            </w:r>
            <w:r w:rsidRPr="0032220A" w:rsidR="008959A4">
              <w:rPr>
                <w:rStyle w:val="Hyperlink"/>
                <w:noProof/>
              </w:rPr>
              <w:t>(Joint SMJUs) Response</w:t>
            </w:r>
            <w:r w:rsidR="008959A4">
              <w:rPr>
                <w:noProof/>
                <w:webHidden/>
              </w:rPr>
              <w:tab/>
            </w:r>
            <w:r w:rsidR="008959A4">
              <w:rPr>
                <w:noProof/>
                <w:webHidden/>
              </w:rPr>
              <w:fldChar w:fldCharType="begin"/>
            </w:r>
            <w:r w:rsidR="008959A4">
              <w:rPr>
                <w:noProof/>
                <w:webHidden/>
              </w:rPr>
              <w:instrText xml:space="preserve"> PAGEREF _Toc82159876 \h </w:instrText>
            </w:r>
            <w:r w:rsidR="008959A4">
              <w:rPr>
                <w:noProof/>
                <w:webHidden/>
              </w:rPr>
            </w:r>
            <w:r w:rsidR="008959A4">
              <w:rPr>
                <w:noProof/>
                <w:webHidden/>
              </w:rPr>
              <w:fldChar w:fldCharType="separate"/>
            </w:r>
            <w:r w:rsidR="00A643C3">
              <w:rPr>
                <w:noProof/>
                <w:webHidden/>
              </w:rPr>
              <w:t>137</w:t>
            </w:r>
            <w:r w:rsidR="008959A4">
              <w:rPr>
                <w:noProof/>
                <w:webHidden/>
              </w:rPr>
              <w:fldChar w:fldCharType="end"/>
            </w:r>
          </w:hyperlink>
        </w:p>
        <w:p w:rsidR="008959A4" w:rsidP="008959A4" w:rsidRDefault="00ED6D61" w14:paraId="70F3723B" w14:textId="27584456">
          <w:pPr>
            <w:pStyle w:val="TOC3"/>
            <w:tabs>
              <w:tab w:val="right" w:leader="dot" w:pos="9350"/>
            </w:tabs>
            <w:ind w:left="1980" w:hanging="900"/>
            <w:rPr>
              <w:rFonts w:asciiTheme="minorHAnsi" w:hAnsiTheme="minorHAnsi" w:cstheme="minorBidi"/>
              <w:noProof/>
              <w:sz w:val="22"/>
              <w:szCs w:val="22"/>
            </w:rPr>
          </w:pPr>
          <w:hyperlink w:history="1" w:anchor="_Toc82159877">
            <w:r w:rsidRPr="0032220A" w:rsidR="008959A4">
              <w:rPr>
                <w:rStyle w:val="Hyperlink"/>
                <w:noProof/>
              </w:rPr>
              <w:t>6.8.2.</w:t>
            </w:r>
            <w:r w:rsidR="008959A4">
              <w:rPr>
                <w:rFonts w:asciiTheme="minorHAnsi" w:hAnsiTheme="minorHAnsi" w:cstheme="minorBidi"/>
                <w:noProof/>
                <w:sz w:val="22"/>
                <w:szCs w:val="22"/>
              </w:rPr>
              <w:tab/>
            </w:r>
            <w:r w:rsidRPr="0032220A" w:rsidR="008959A4">
              <w:rPr>
                <w:rStyle w:val="Hyperlink"/>
                <w:noProof/>
              </w:rPr>
              <w:t>PacifiCorp Response</w:t>
            </w:r>
            <w:r w:rsidR="008959A4">
              <w:rPr>
                <w:noProof/>
                <w:webHidden/>
              </w:rPr>
              <w:tab/>
            </w:r>
            <w:r w:rsidR="008959A4">
              <w:rPr>
                <w:noProof/>
                <w:webHidden/>
              </w:rPr>
              <w:fldChar w:fldCharType="begin"/>
            </w:r>
            <w:r w:rsidR="008959A4">
              <w:rPr>
                <w:noProof/>
                <w:webHidden/>
              </w:rPr>
              <w:instrText xml:space="preserve"> PAGEREF _Toc82159877 \h </w:instrText>
            </w:r>
            <w:r w:rsidR="008959A4">
              <w:rPr>
                <w:noProof/>
                <w:webHidden/>
              </w:rPr>
            </w:r>
            <w:r w:rsidR="008959A4">
              <w:rPr>
                <w:noProof/>
                <w:webHidden/>
              </w:rPr>
              <w:fldChar w:fldCharType="separate"/>
            </w:r>
            <w:r w:rsidR="00A643C3">
              <w:rPr>
                <w:noProof/>
                <w:webHidden/>
              </w:rPr>
              <w:t>137</w:t>
            </w:r>
            <w:r w:rsidR="008959A4">
              <w:rPr>
                <w:noProof/>
                <w:webHidden/>
              </w:rPr>
              <w:fldChar w:fldCharType="end"/>
            </w:r>
          </w:hyperlink>
        </w:p>
        <w:p w:rsidR="008959A4" w:rsidP="008959A4" w:rsidRDefault="00ED6D61" w14:paraId="467241B6" w14:textId="28324E15">
          <w:pPr>
            <w:pStyle w:val="TOC2"/>
            <w:tabs>
              <w:tab w:val="right" w:leader="dot" w:pos="9350"/>
            </w:tabs>
            <w:ind w:left="1080" w:hanging="630"/>
            <w:rPr>
              <w:rFonts w:asciiTheme="minorHAnsi" w:hAnsiTheme="minorHAnsi" w:cstheme="minorBidi"/>
              <w:noProof/>
              <w:sz w:val="22"/>
              <w:szCs w:val="22"/>
            </w:rPr>
          </w:pPr>
          <w:hyperlink w:history="1" w:anchor="_Toc82159878">
            <w:r w:rsidRPr="0032220A" w:rsidR="008959A4">
              <w:rPr>
                <w:rStyle w:val="Hyperlink"/>
                <w:noProof/>
              </w:rPr>
              <w:t>6.9.</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_Toc82159878 \h </w:instrText>
            </w:r>
            <w:r w:rsidR="008959A4">
              <w:rPr>
                <w:noProof/>
                <w:webHidden/>
              </w:rPr>
            </w:r>
            <w:r w:rsidR="008959A4">
              <w:rPr>
                <w:noProof/>
                <w:webHidden/>
              </w:rPr>
              <w:fldChar w:fldCharType="separate"/>
            </w:r>
            <w:r w:rsidR="00A643C3">
              <w:rPr>
                <w:noProof/>
                <w:webHidden/>
              </w:rPr>
              <w:t>137</w:t>
            </w:r>
            <w:r w:rsidR="008959A4">
              <w:rPr>
                <w:noProof/>
                <w:webHidden/>
              </w:rPr>
              <w:fldChar w:fldCharType="end"/>
            </w:r>
          </w:hyperlink>
        </w:p>
        <w:p w:rsidR="008959A4" w:rsidP="008959A4" w:rsidRDefault="00ED6D61" w14:paraId="284FBBC2" w14:textId="7948FD1D">
          <w:pPr>
            <w:pStyle w:val="TOC3"/>
            <w:tabs>
              <w:tab w:val="right" w:leader="dot" w:pos="9350"/>
            </w:tabs>
            <w:ind w:left="1980" w:hanging="900"/>
            <w:rPr>
              <w:rFonts w:asciiTheme="minorHAnsi" w:hAnsiTheme="minorHAnsi" w:cstheme="minorBidi"/>
              <w:noProof/>
              <w:sz w:val="22"/>
              <w:szCs w:val="22"/>
            </w:rPr>
          </w:pPr>
          <w:hyperlink w:history="1" w:anchor="_Toc82159879">
            <w:r w:rsidRPr="0032220A" w:rsidR="008959A4">
              <w:rPr>
                <w:rStyle w:val="Hyperlink"/>
                <w:noProof/>
              </w:rPr>
              <w:t>6.9.1.</w:t>
            </w:r>
            <w:r w:rsidR="008959A4">
              <w:rPr>
                <w:rFonts w:asciiTheme="minorHAnsi" w:hAnsiTheme="minorHAnsi" w:cstheme="minorBidi"/>
                <w:noProof/>
                <w:sz w:val="22"/>
                <w:szCs w:val="22"/>
              </w:rPr>
              <w:tab/>
            </w:r>
            <w:r w:rsidRPr="0032220A" w:rsidR="008959A4">
              <w:rPr>
                <w:rStyle w:val="Hyperlink"/>
                <w:noProof/>
              </w:rPr>
              <w:t>Fund Shifting Rules:  New</w:t>
            </w:r>
            <w:r w:rsidR="008959A4">
              <w:rPr>
                <w:noProof/>
                <w:webHidden/>
              </w:rPr>
              <w:tab/>
            </w:r>
            <w:r w:rsidR="008959A4">
              <w:rPr>
                <w:noProof/>
                <w:webHidden/>
              </w:rPr>
              <w:fldChar w:fldCharType="begin"/>
            </w:r>
            <w:r w:rsidR="008959A4">
              <w:rPr>
                <w:noProof/>
                <w:webHidden/>
              </w:rPr>
              <w:instrText xml:space="preserve"> PAGEREF _Toc82159879 \h </w:instrText>
            </w:r>
            <w:r w:rsidR="008959A4">
              <w:rPr>
                <w:noProof/>
                <w:webHidden/>
              </w:rPr>
            </w:r>
            <w:r w:rsidR="008959A4">
              <w:rPr>
                <w:noProof/>
                <w:webHidden/>
              </w:rPr>
              <w:fldChar w:fldCharType="separate"/>
            </w:r>
            <w:r w:rsidR="00A643C3">
              <w:rPr>
                <w:noProof/>
                <w:webHidden/>
              </w:rPr>
              <w:t>137</w:t>
            </w:r>
            <w:r w:rsidR="008959A4">
              <w:rPr>
                <w:noProof/>
                <w:webHidden/>
              </w:rPr>
              <w:fldChar w:fldCharType="end"/>
            </w:r>
          </w:hyperlink>
        </w:p>
        <w:p w:rsidR="008959A4" w:rsidP="008959A4" w:rsidRDefault="00ED6D61" w14:paraId="15E2D6BF" w14:textId="6B3B7598">
          <w:pPr>
            <w:pStyle w:val="TOC3"/>
            <w:tabs>
              <w:tab w:val="right" w:leader="dot" w:pos="9350"/>
            </w:tabs>
            <w:ind w:left="1980" w:hanging="900"/>
            <w:rPr>
              <w:rFonts w:asciiTheme="minorHAnsi" w:hAnsiTheme="minorHAnsi" w:cstheme="minorBidi"/>
              <w:noProof/>
              <w:sz w:val="22"/>
              <w:szCs w:val="22"/>
            </w:rPr>
          </w:pPr>
          <w:hyperlink w:history="1" w:anchor="_Toc82159880">
            <w:r w:rsidRPr="0032220A" w:rsidR="008959A4">
              <w:rPr>
                <w:rStyle w:val="Hyperlink"/>
                <w:noProof/>
              </w:rPr>
              <w:t>6.9.2.</w:t>
            </w:r>
            <w:r w:rsidR="008959A4">
              <w:rPr>
                <w:rFonts w:asciiTheme="minorHAnsi" w:hAnsiTheme="minorHAnsi" w:cstheme="minorBidi"/>
                <w:noProof/>
                <w:sz w:val="22"/>
                <w:szCs w:val="22"/>
              </w:rPr>
              <w:tab/>
            </w:r>
            <w:r w:rsidRPr="0032220A" w:rsidR="008959A4">
              <w:rPr>
                <w:rStyle w:val="Hyperlink"/>
                <w:noProof/>
              </w:rPr>
              <w:t>Use of Unspent Funds:  New</w:t>
            </w:r>
            <w:r w:rsidR="008959A4">
              <w:rPr>
                <w:noProof/>
                <w:webHidden/>
              </w:rPr>
              <w:tab/>
            </w:r>
            <w:r w:rsidR="008959A4">
              <w:rPr>
                <w:noProof/>
                <w:webHidden/>
              </w:rPr>
              <w:fldChar w:fldCharType="begin"/>
            </w:r>
            <w:r w:rsidR="008959A4">
              <w:rPr>
                <w:noProof/>
                <w:webHidden/>
              </w:rPr>
              <w:instrText xml:space="preserve"> PAGEREF _Toc82159880 \h </w:instrText>
            </w:r>
            <w:r w:rsidR="008959A4">
              <w:rPr>
                <w:noProof/>
                <w:webHidden/>
              </w:rPr>
            </w:r>
            <w:r w:rsidR="008959A4">
              <w:rPr>
                <w:noProof/>
                <w:webHidden/>
              </w:rPr>
              <w:fldChar w:fldCharType="separate"/>
            </w:r>
            <w:r w:rsidR="00A643C3">
              <w:rPr>
                <w:noProof/>
                <w:webHidden/>
              </w:rPr>
              <w:t>138</w:t>
            </w:r>
            <w:r w:rsidR="008959A4">
              <w:rPr>
                <w:noProof/>
                <w:webHidden/>
              </w:rPr>
              <w:fldChar w:fldCharType="end"/>
            </w:r>
          </w:hyperlink>
        </w:p>
        <w:p w:rsidR="008959A4" w:rsidP="008959A4" w:rsidRDefault="00ED6D61" w14:paraId="3A552BFD" w14:textId="695C1F22">
          <w:pPr>
            <w:pStyle w:val="TOC1"/>
            <w:tabs>
              <w:tab w:val="right" w:leader="dot" w:pos="9350"/>
            </w:tabs>
            <w:rPr>
              <w:rFonts w:asciiTheme="minorHAnsi" w:hAnsiTheme="minorHAnsi" w:cstheme="minorBidi"/>
              <w:noProof/>
              <w:sz w:val="22"/>
              <w:szCs w:val="22"/>
            </w:rPr>
          </w:pPr>
          <w:hyperlink w:history="1" w:anchor="_Toc82159881">
            <w:r w:rsidRPr="0032220A" w:rsidR="008959A4">
              <w:rPr>
                <w:rStyle w:val="Hyperlink"/>
                <w:noProof/>
              </w:rPr>
              <w:t>7.</w:t>
            </w:r>
            <w:r w:rsidR="008959A4">
              <w:rPr>
                <w:rFonts w:asciiTheme="minorHAnsi" w:hAnsiTheme="minorHAnsi" w:cstheme="minorBidi"/>
                <w:noProof/>
                <w:sz w:val="22"/>
                <w:szCs w:val="22"/>
              </w:rPr>
              <w:tab/>
            </w:r>
            <w:r w:rsidRPr="0032220A" w:rsidR="008959A4">
              <w:rPr>
                <w:rStyle w:val="Hyperlink"/>
                <w:noProof/>
              </w:rPr>
              <w:t>Studies and Pilots</w:t>
            </w:r>
            <w:r w:rsidR="008959A4">
              <w:rPr>
                <w:noProof/>
                <w:webHidden/>
              </w:rPr>
              <w:tab/>
            </w:r>
            <w:r w:rsidR="008959A4">
              <w:rPr>
                <w:noProof/>
                <w:webHidden/>
              </w:rPr>
              <w:fldChar w:fldCharType="begin"/>
            </w:r>
            <w:r w:rsidR="008959A4">
              <w:rPr>
                <w:noProof/>
                <w:webHidden/>
              </w:rPr>
              <w:instrText xml:space="preserve"> PAGEREF _Toc82159881 \h </w:instrText>
            </w:r>
            <w:r w:rsidR="008959A4">
              <w:rPr>
                <w:noProof/>
                <w:webHidden/>
              </w:rPr>
            </w:r>
            <w:r w:rsidR="008959A4">
              <w:rPr>
                <w:noProof/>
                <w:webHidden/>
              </w:rPr>
              <w:fldChar w:fldCharType="separate"/>
            </w:r>
            <w:r w:rsidR="00A643C3">
              <w:rPr>
                <w:noProof/>
                <w:webHidden/>
              </w:rPr>
              <w:t>139</w:t>
            </w:r>
            <w:r w:rsidR="008959A4">
              <w:rPr>
                <w:noProof/>
                <w:webHidden/>
              </w:rPr>
              <w:fldChar w:fldCharType="end"/>
            </w:r>
          </w:hyperlink>
        </w:p>
        <w:p w:rsidR="008959A4" w:rsidP="008959A4" w:rsidRDefault="00ED6D61" w14:paraId="70855123" w14:textId="0B9FE84E">
          <w:pPr>
            <w:pStyle w:val="TOC2"/>
            <w:tabs>
              <w:tab w:val="right" w:leader="dot" w:pos="9350"/>
            </w:tabs>
            <w:ind w:left="1080" w:hanging="630"/>
            <w:rPr>
              <w:rFonts w:asciiTheme="minorHAnsi" w:hAnsiTheme="minorHAnsi" w:cstheme="minorBidi"/>
              <w:noProof/>
              <w:sz w:val="22"/>
              <w:szCs w:val="22"/>
            </w:rPr>
          </w:pPr>
          <w:hyperlink w:history="1" w:anchor="_Toc82159882">
            <w:r w:rsidRPr="0032220A" w:rsidR="008959A4">
              <w:rPr>
                <w:rStyle w:val="Hyperlink"/>
                <w:noProof/>
              </w:rPr>
              <w:t>7.1.</w:t>
            </w:r>
            <w:r w:rsidR="008959A4">
              <w:rPr>
                <w:rFonts w:asciiTheme="minorHAnsi" w:hAnsiTheme="minorHAnsi" w:cstheme="minorBidi"/>
                <w:noProof/>
                <w:sz w:val="22"/>
                <w:szCs w:val="22"/>
              </w:rPr>
              <w:tab/>
            </w:r>
            <w:r w:rsidRPr="0032220A" w:rsidR="008959A4">
              <w:rPr>
                <w:rStyle w:val="Hyperlink"/>
                <w:noProof/>
              </w:rPr>
              <w:t>Liberty’s Electrification Pilot</w:t>
            </w:r>
            <w:r w:rsidR="008959A4">
              <w:rPr>
                <w:noProof/>
                <w:webHidden/>
              </w:rPr>
              <w:tab/>
            </w:r>
            <w:r w:rsidR="008959A4">
              <w:rPr>
                <w:noProof/>
                <w:webHidden/>
              </w:rPr>
              <w:fldChar w:fldCharType="begin"/>
            </w:r>
            <w:r w:rsidR="008959A4">
              <w:rPr>
                <w:noProof/>
                <w:webHidden/>
              </w:rPr>
              <w:instrText xml:space="preserve"> PAGEREF _Toc82159882 \h </w:instrText>
            </w:r>
            <w:r w:rsidR="008959A4">
              <w:rPr>
                <w:noProof/>
                <w:webHidden/>
              </w:rPr>
            </w:r>
            <w:r w:rsidR="008959A4">
              <w:rPr>
                <w:noProof/>
                <w:webHidden/>
              </w:rPr>
              <w:fldChar w:fldCharType="separate"/>
            </w:r>
            <w:r w:rsidR="00A643C3">
              <w:rPr>
                <w:noProof/>
                <w:webHidden/>
              </w:rPr>
              <w:t>139</w:t>
            </w:r>
            <w:r w:rsidR="008959A4">
              <w:rPr>
                <w:noProof/>
                <w:webHidden/>
              </w:rPr>
              <w:fldChar w:fldCharType="end"/>
            </w:r>
          </w:hyperlink>
        </w:p>
        <w:p w:rsidR="008959A4" w:rsidP="008959A4" w:rsidRDefault="00ED6D61" w14:paraId="4586AFD0" w14:textId="5A2C46B6">
          <w:pPr>
            <w:pStyle w:val="TOC3"/>
            <w:tabs>
              <w:tab w:val="right" w:leader="dot" w:pos="9350"/>
            </w:tabs>
            <w:ind w:left="1980" w:hanging="900"/>
            <w:rPr>
              <w:rFonts w:asciiTheme="minorHAnsi" w:hAnsiTheme="minorHAnsi" w:cstheme="minorBidi"/>
              <w:noProof/>
              <w:sz w:val="22"/>
              <w:szCs w:val="22"/>
            </w:rPr>
          </w:pPr>
          <w:hyperlink w:history="1" w:anchor="_Toc82159883">
            <w:r w:rsidRPr="0032220A" w:rsidR="008959A4">
              <w:rPr>
                <w:rStyle w:val="Hyperlink"/>
                <w:noProof/>
              </w:rPr>
              <w:t>7.1.1.</w:t>
            </w:r>
            <w:r w:rsidR="008959A4">
              <w:rPr>
                <w:rFonts w:asciiTheme="minorHAnsi" w:hAnsiTheme="minorHAnsi" w:cstheme="minorBidi"/>
                <w:noProof/>
                <w:sz w:val="22"/>
                <w:szCs w:val="22"/>
              </w:rPr>
              <w:tab/>
            </w:r>
            <w:r w:rsidRPr="0032220A" w:rsidR="008959A4">
              <w:rPr>
                <w:rStyle w:val="Hyperlink"/>
                <w:noProof/>
              </w:rPr>
              <w:t>Party Comments</w:t>
            </w:r>
            <w:r w:rsidR="008959A4">
              <w:rPr>
                <w:noProof/>
                <w:webHidden/>
              </w:rPr>
              <w:tab/>
            </w:r>
            <w:r w:rsidR="008959A4">
              <w:rPr>
                <w:noProof/>
                <w:webHidden/>
              </w:rPr>
              <w:fldChar w:fldCharType="begin"/>
            </w:r>
            <w:r w:rsidR="008959A4">
              <w:rPr>
                <w:noProof/>
                <w:webHidden/>
              </w:rPr>
              <w:instrText xml:space="preserve"> PAGEREF _Toc82159883 \h </w:instrText>
            </w:r>
            <w:r w:rsidR="008959A4">
              <w:rPr>
                <w:noProof/>
                <w:webHidden/>
              </w:rPr>
            </w:r>
            <w:r w:rsidR="008959A4">
              <w:rPr>
                <w:noProof/>
                <w:webHidden/>
              </w:rPr>
              <w:fldChar w:fldCharType="separate"/>
            </w:r>
            <w:r w:rsidR="00A643C3">
              <w:rPr>
                <w:noProof/>
                <w:webHidden/>
              </w:rPr>
              <w:t>139</w:t>
            </w:r>
            <w:r w:rsidR="008959A4">
              <w:rPr>
                <w:noProof/>
                <w:webHidden/>
              </w:rPr>
              <w:fldChar w:fldCharType="end"/>
            </w:r>
          </w:hyperlink>
        </w:p>
        <w:p w:rsidR="008959A4" w:rsidP="008959A4" w:rsidRDefault="00ED6D61" w14:paraId="5B13A164" w14:textId="7201A7ED">
          <w:pPr>
            <w:pStyle w:val="TOC4"/>
            <w:tabs>
              <w:tab w:val="left" w:pos="3060"/>
            </w:tabs>
            <w:rPr>
              <w:rFonts w:asciiTheme="minorHAnsi" w:hAnsiTheme="minorHAnsi" w:eastAsiaTheme="minorEastAsia" w:cstheme="minorBidi"/>
              <w:noProof/>
              <w:sz w:val="22"/>
              <w:szCs w:val="22"/>
            </w:rPr>
          </w:pPr>
          <w:hyperlink w:history="1" w:anchor="_Toc82159884">
            <w:r w:rsidRPr="0032220A" w:rsidR="008959A4">
              <w:rPr>
                <w:rStyle w:val="Hyperlink"/>
                <w:noProof/>
              </w:rPr>
              <w:t>7.1.1.1.</w:t>
            </w:r>
            <w:r w:rsidR="008959A4">
              <w:rPr>
                <w:rFonts w:asciiTheme="minorHAnsi" w:hAnsiTheme="minorHAnsi" w:eastAsiaTheme="minorEastAsia" w:cstheme="minorBidi"/>
                <w:noProof/>
                <w:sz w:val="22"/>
                <w:szCs w:val="22"/>
              </w:rPr>
              <w:tab/>
            </w:r>
            <w:r w:rsidRPr="0032220A" w:rsidR="008959A4">
              <w:rPr>
                <w:rStyle w:val="Hyperlink"/>
                <w:noProof/>
              </w:rPr>
              <w:t>Cal Advocates</w:t>
            </w:r>
            <w:r w:rsidR="008959A4">
              <w:rPr>
                <w:noProof/>
                <w:webHidden/>
              </w:rPr>
              <w:tab/>
            </w:r>
            <w:r w:rsidR="008959A4">
              <w:rPr>
                <w:noProof/>
                <w:webHidden/>
              </w:rPr>
              <w:fldChar w:fldCharType="begin"/>
            </w:r>
            <w:r w:rsidR="008959A4">
              <w:rPr>
                <w:noProof/>
                <w:webHidden/>
              </w:rPr>
              <w:instrText xml:space="preserve"> PAGEREF _Toc82159884 \h </w:instrText>
            </w:r>
            <w:r w:rsidR="008959A4">
              <w:rPr>
                <w:noProof/>
                <w:webHidden/>
              </w:rPr>
            </w:r>
            <w:r w:rsidR="008959A4">
              <w:rPr>
                <w:noProof/>
                <w:webHidden/>
              </w:rPr>
              <w:fldChar w:fldCharType="separate"/>
            </w:r>
            <w:r w:rsidR="00A643C3">
              <w:rPr>
                <w:noProof/>
                <w:webHidden/>
              </w:rPr>
              <w:t>139</w:t>
            </w:r>
            <w:r w:rsidR="008959A4">
              <w:rPr>
                <w:noProof/>
                <w:webHidden/>
              </w:rPr>
              <w:fldChar w:fldCharType="end"/>
            </w:r>
          </w:hyperlink>
        </w:p>
        <w:p w:rsidR="008959A4" w:rsidP="008959A4" w:rsidRDefault="00ED6D61" w14:paraId="1B236993" w14:textId="06822B27">
          <w:pPr>
            <w:pStyle w:val="TOC4"/>
            <w:tabs>
              <w:tab w:val="left" w:pos="3060"/>
            </w:tabs>
            <w:rPr>
              <w:rFonts w:asciiTheme="minorHAnsi" w:hAnsiTheme="minorHAnsi" w:eastAsiaTheme="minorEastAsia" w:cstheme="minorBidi"/>
              <w:noProof/>
              <w:sz w:val="22"/>
              <w:szCs w:val="22"/>
            </w:rPr>
          </w:pPr>
          <w:hyperlink w:history="1" w:anchor="_Toc82159885">
            <w:r w:rsidRPr="0032220A" w:rsidR="008959A4">
              <w:rPr>
                <w:rStyle w:val="Hyperlink"/>
                <w:noProof/>
              </w:rPr>
              <w:t>7.1.1.2.</w:t>
            </w:r>
            <w:r w:rsidR="008959A4">
              <w:rPr>
                <w:rFonts w:asciiTheme="minorHAnsi" w:hAnsiTheme="minorHAnsi" w:eastAsiaTheme="minorEastAsia" w:cstheme="minorBidi"/>
                <w:noProof/>
                <w:sz w:val="22"/>
                <w:szCs w:val="22"/>
              </w:rPr>
              <w:tab/>
            </w:r>
            <w:r w:rsidRPr="0032220A" w:rsidR="008959A4">
              <w:rPr>
                <w:rStyle w:val="Hyperlink"/>
                <w:noProof/>
              </w:rPr>
              <w:t>EEC &amp; Free Energy</w:t>
            </w:r>
            <w:r w:rsidR="008959A4">
              <w:rPr>
                <w:noProof/>
                <w:webHidden/>
              </w:rPr>
              <w:tab/>
            </w:r>
            <w:r w:rsidR="008959A4">
              <w:rPr>
                <w:noProof/>
                <w:webHidden/>
              </w:rPr>
              <w:fldChar w:fldCharType="begin"/>
            </w:r>
            <w:r w:rsidR="008959A4">
              <w:rPr>
                <w:noProof/>
                <w:webHidden/>
              </w:rPr>
              <w:instrText xml:space="preserve"> PAGEREF _Toc82159885 \h </w:instrText>
            </w:r>
            <w:r w:rsidR="008959A4">
              <w:rPr>
                <w:noProof/>
                <w:webHidden/>
              </w:rPr>
            </w:r>
            <w:r w:rsidR="008959A4">
              <w:rPr>
                <w:noProof/>
                <w:webHidden/>
              </w:rPr>
              <w:fldChar w:fldCharType="separate"/>
            </w:r>
            <w:r w:rsidR="00A643C3">
              <w:rPr>
                <w:noProof/>
                <w:webHidden/>
              </w:rPr>
              <w:t>140</w:t>
            </w:r>
            <w:r w:rsidR="008959A4">
              <w:rPr>
                <w:noProof/>
                <w:webHidden/>
              </w:rPr>
              <w:fldChar w:fldCharType="end"/>
            </w:r>
          </w:hyperlink>
        </w:p>
        <w:p w:rsidR="008959A4" w:rsidP="008959A4" w:rsidRDefault="00ED6D61" w14:paraId="3895E3A0" w14:textId="16194BB3">
          <w:pPr>
            <w:pStyle w:val="TOC3"/>
            <w:tabs>
              <w:tab w:val="right" w:leader="dot" w:pos="9350"/>
            </w:tabs>
            <w:ind w:left="1980" w:hanging="900"/>
            <w:rPr>
              <w:rFonts w:asciiTheme="minorHAnsi" w:hAnsiTheme="minorHAnsi" w:cstheme="minorBidi"/>
              <w:noProof/>
              <w:sz w:val="22"/>
              <w:szCs w:val="22"/>
            </w:rPr>
          </w:pPr>
          <w:hyperlink w:history="1" w:anchor="_Toc82159886">
            <w:r w:rsidRPr="0032220A" w:rsidR="008959A4">
              <w:rPr>
                <w:rStyle w:val="Hyperlink"/>
                <w:noProof/>
              </w:rPr>
              <w:t>7.1.2.</w:t>
            </w:r>
            <w:r w:rsidR="008959A4">
              <w:rPr>
                <w:rFonts w:asciiTheme="minorHAnsi" w:hAnsiTheme="minorHAnsi" w:cstheme="minorBidi"/>
                <w:noProof/>
                <w:sz w:val="22"/>
                <w:szCs w:val="22"/>
              </w:rPr>
              <w:tab/>
            </w:r>
            <w:r w:rsidRPr="0032220A" w:rsidR="008959A4">
              <w:rPr>
                <w:rStyle w:val="Hyperlink"/>
                <w:noProof/>
              </w:rPr>
              <w:t>Joint SMJU Response</w:t>
            </w:r>
            <w:r w:rsidR="008959A4">
              <w:rPr>
                <w:noProof/>
                <w:webHidden/>
              </w:rPr>
              <w:tab/>
            </w:r>
            <w:r w:rsidR="008959A4">
              <w:rPr>
                <w:noProof/>
                <w:webHidden/>
              </w:rPr>
              <w:fldChar w:fldCharType="begin"/>
            </w:r>
            <w:r w:rsidR="008959A4">
              <w:rPr>
                <w:noProof/>
                <w:webHidden/>
              </w:rPr>
              <w:instrText xml:space="preserve"> PAGEREF _Toc82159886 \h </w:instrText>
            </w:r>
            <w:r w:rsidR="008959A4">
              <w:rPr>
                <w:noProof/>
                <w:webHidden/>
              </w:rPr>
            </w:r>
            <w:r w:rsidR="008959A4">
              <w:rPr>
                <w:noProof/>
                <w:webHidden/>
              </w:rPr>
              <w:fldChar w:fldCharType="separate"/>
            </w:r>
            <w:r w:rsidR="00A643C3">
              <w:rPr>
                <w:noProof/>
                <w:webHidden/>
              </w:rPr>
              <w:t>141</w:t>
            </w:r>
            <w:r w:rsidR="008959A4">
              <w:rPr>
                <w:noProof/>
                <w:webHidden/>
              </w:rPr>
              <w:fldChar w:fldCharType="end"/>
            </w:r>
          </w:hyperlink>
        </w:p>
        <w:p w:rsidR="008959A4" w:rsidP="008959A4" w:rsidRDefault="00ED6D61" w14:paraId="694A45F1" w14:textId="6AA69D50">
          <w:pPr>
            <w:pStyle w:val="TOC3"/>
            <w:tabs>
              <w:tab w:val="right" w:leader="dot" w:pos="9350"/>
            </w:tabs>
            <w:ind w:left="1980" w:hanging="900"/>
            <w:rPr>
              <w:rFonts w:asciiTheme="minorHAnsi" w:hAnsiTheme="minorHAnsi" w:cstheme="minorBidi"/>
              <w:noProof/>
              <w:sz w:val="22"/>
              <w:szCs w:val="22"/>
            </w:rPr>
          </w:pPr>
          <w:hyperlink w:history="1" w:anchor="_Toc82159887">
            <w:r w:rsidRPr="0032220A" w:rsidR="008959A4">
              <w:rPr>
                <w:rStyle w:val="Hyperlink"/>
                <w:noProof/>
              </w:rPr>
              <w:t>7.1.3.</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_Toc82159887 \h </w:instrText>
            </w:r>
            <w:r w:rsidR="008959A4">
              <w:rPr>
                <w:noProof/>
                <w:webHidden/>
              </w:rPr>
            </w:r>
            <w:r w:rsidR="008959A4">
              <w:rPr>
                <w:noProof/>
                <w:webHidden/>
              </w:rPr>
              <w:fldChar w:fldCharType="separate"/>
            </w:r>
            <w:r w:rsidR="00A643C3">
              <w:rPr>
                <w:noProof/>
                <w:webHidden/>
              </w:rPr>
              <w:t>141</w:t>
            </w:r>
            <w:r w:rsidR="008959A4">
              <w:rPr>
                <w:noProof/>
                <w:webHidden/>
              </w:rPr>
              <w:fldChar w:fldCharType="end"/>
            </w:r>
          </w:hyperlink>
        </w:p>
        <w:p w:rsidR="008959A4" w:rsidP="008959A4" w:rsidRDefault="00ED6D61" w14:paraId="616A2011" w14:textId="3B335500">
          <w:pPr>
            <w:pStyle w:val="TOC4"/>
            <w:tabs>
              <w:tab w:val="left" w:pos="3060"/>
            </w:tabs>
            <w:rPr>
              <w:rFonts w:asciiTheme="minorHAnsi" w:hAnsiTheme="minorHAnsi" w:eastAsiaTheme="minorEastAsia" w:cstheme="minorBidi"/>
              <w:noProof/>
              <w:sz w:val="22"/>
              <w:szCs w:val="22"/>
            </w:rPr>
          </w:pPr>
          <w:hyperlink w:history="1" w:anchor="_Toc82159888">
            <w:r w:rsidRPr="0032220A" w:rsidR="008959A4">
              <w:rPr>
                <w:rStyle w:val="Hyperlink"/>
                <w:noProof/>
              </w:rPr>
              <w:t>7.1.3.1.</w:t>
            </w:r>
            <w:r w:rsidR="008959A4">
              <w:rPr>
                <w:rFonts w:asciiTheme="minorHAnsi" w:hAnsiTheme="minorHAnsi" w:eastAsiaTheme="minorEastAsia" w:cstheme="minorBidi"/>
                <w:noProof/>
                <w:sz w:val="22"/>
                <w:szCs w:val="22"/>
              </w:rPr>
              <w:tab/>
            </w:r>
            <w:r w:rsidRPr="0032220A" w:rsidR="008959A4">
              <w:rPr>
                <w:rStyle w:val="Hyperlink"/>
                <w:noProof/>
              </w:rPr>
              <w:t xml:space="preserve">Liberty’s Electrification Pilot:  </w:t>
            </w:r>
            <w:r w:rsidR="008959A4">
              <w:rPr>
                <w:rStyle w:val="Hyperlink"/>
                <w:noProof/>
              </w:rPr>
              <w:br/>
            </w:r>
            <w:r w:rsidRPr="0032220A" w:rsidR="008959A4">
              <w:rPr>
                <w:rStyle w:val="Hyperlink"/>
                <w:noProof/>
              </w:rPr>
              <w:t>Approved Pending Advice Letter</w:t>
            </w:r>
            <w:r w:rsidR="008959A4">
              <w:rPr>
                <w:noProof/>
                <w:webHidden/>
              </w:rPr>
              <w:tab/>
            </w:r>
            <w:r w:rsidR="008959A4">
              <w:rPr>
                <w:noProof/>
                <w:webHidden/>
              </w:rPr>
              <w:fldChar w:fldCharType="begin"/>
            </w:r>
            <w:r w:rsidR="008959A4">
              <w:rPr>
                <w:noProof/>
                <w:webHidden/>
              </w:rPr>
              <w:instrText xml:space="preserve"> PAGEREF _Toc82159888 \h </w:instrText>
            </w:r>
            <w:r w:rsidR="008959A4">
              <w:rPr>
                <w:noProof/>
                <w:webHidden/>
              </w:rPr>
            </w:r>
            <w:r w:rsidR="008959A4">
              <w:rPr>
                <w:noProof/>
                <w:webHidden/>
              </w:rPr>
              <w:fldChar w:fldCharType="separate"/>
            </w:r>
            <w:r w:rsidR="00A643C3">
              <w:rPr>
                <w:noProof/>
                <w:webHidden/>
              </w:rPr>
              <w:t>141</w:t>
            </w:r>
            <w:r w:rsidR="008959A4">
              <w:rPr>
                <w:noProof/>
                <w:webHidden/>
              </w:rPr>
              <w:fldChar w:fldCharType="end"/>
            </w:r>
          </w:hyperlink>
        </w:p>
        <w:p w:rsidR="008959A4" w:rsidP="008959A4" w:rsidRDefault="00ED6D61" w14:paraId="3F5D0D22" w14:textId="7E8D294B">
          <w:pPr>
            <w:pStyle w:val="TOC2"/>
            <w:tabs>
              <w:tab w:val="right" w:leader="dot" w:pos="9350"/>
            </w:tabs>
            <w:ind w:left="1080" w:hanging="630"/>
            <w:rPr>
              <w:rFonts w:asciiTheme="minorHAnsi" w:hAnsiTheme="minorHAnsi" w:cstheme="minorBidi"/>
              <w:noProof/>
              <w:sz w:val="22"/>
              <w:szCs w:val="22"/>
            </w:rPr>
          </w:pPr>
          <w:hyperlink w:history="1" w:anchor="_Toc82159889">
            <w:r w:rsidRPr="0032220A" w:rsidR="008959A4">
              <w:rPr>
                <w:rStyle w:val="Hyperlink"/>
                <w:noProof/>
              </w:rPr>
              <w:t>7.2.</w:t>
            </w:r>
            <w:r w:rsidR="008959A4">
              <w:rPr>
                <w:rFonts w:asciiTheme="minorHAnsi" w:hAnsiTheme="minorHAnsi" w:cstheme="minorBidi"/>
                <w:noProof/>
                <w:sz w:val="22"/>
                <w:szCs w:val="22"/>
              </w:rPr>
              <w:tab/>
            </w:r>
            <w:r w:rsidRPr="0032220A" w:rsidR="008959A4">
              <w:rPr>
                <w:rStyle w:val="Hyperlink"/>
                <w:noProof/>
              </w:rPr>
              <w:t>Annual SMJU CARE Eligibility Report</w:t>
            </w:r>
            <w:r w:rsidR="008959A4">
              <w:rPr>
                <w:noProof/>
                <w:webHidden/>
              </w:rPr>
              <w:tab/>
            </w:r>
            <w:r w:rsidR="008959A4">
              <w:rPr>
                <w:noProof/>
                <w:webHidden/>
              </w:rPr>
              <w:fldChar w:fldCharType="begin"/>
            </w:r>
            <w:r w:rsidR="008959A4">
              <w:rPr>
                <w:noProof/>
                <w:webHidden/>
              </w:rPr>
              <w:instrText xml:space="preserve"> PAGEREF _Toc82159889 \h </w:instrText>
            </w:r>
            <w:r w:rsidR="008959A4">
              <w:rPr>
                <w:noProof/>
                <w:webHidden/>
              </w:rPr>
            </w:r>
            <w:r w:rsidR="008959A4">
              <w:rPr>
                <w:noProof/>
                <w:webHidden/>
              </w:rPr>
              <w:fldChar w:fldCharType="separate"/>
            </w:r>
            <w:r w:rsidR="00A643C3">
              <w:rPr>
                <w:noProof/>
                <w:webHidden/>
              </w:rPr>
              <w:t>144</w:t>
            </w:r>
            <w:r w:rsidR="008959A4">
              <w:rPr>
                <w:noProof/>
                <w:webHidden/>
              </w:rPr>
              <w:fldChar w:fldCharType="end"/>
            </w:r>
          </w:hyperlink>
        </w:p>
        <w:p w:rsidR="008959A4" w:rsidP="008959A4" w:rsidRDefault="00ED6D61" w14:paraId="6FCDACD6" w14:textId="7597A43E">
          <w:pPr>
            <w:pStyle w:val="TOC3"/>
            <w:tabs>
              <w:tab w:val="right" w:leader="dot" w:pos="9350"/>
            </w:tabs>
            <w:ind w:left="1980" w:hanging="900"/>
            <w:rPr>
              <w:rFonts w:asciiTheme="minorHAnsi" w:hAnsiTheme="minorHAnsi" w:cstheme="minorBidi"/>
              <w:noProof/>
              <w:sz w:val="22"/>
              <w:szCs w:val="22"/>
            </w:rPr>
          </w:pPr>
          <w:hyperlink w:history="1" w:anchor="_Toc82159890">
            <w:r w:rsidRPr="0032220A" w:rsidR="008959A4">
              <w:rPr>
                <w:rStyle w:val="Hyperlink"/>
                <w:noProof/>
              </w:rPr>
              <w:t>7.2.1.</w:t>
            </w:r>
            <w:r w:rsidR="008959A4">
              <w:rPr>
                <w:rFonts w:asciiTheme="minorHAnsi" w:hAnsiTheme="minorHAnsi" w:cstheme="minorBidi"/>
                <w:noProof/>
                <w:sz w:val="22"/>
                <w:szCs w:val="22"/>
              </w:rPr>
              <w:tab/>
            </w:r>
            <w:r w:rsidRPr="0032220A" w:rsidR="008959A4">
              <w:rPr>
                <w:rStyle w:val="Hyperlink"/>
                <w:noProof/>
              </w:rPr>
              <w:t>Party Positions</w:t>
            </w:r>
            <w:r w:rsidR="008959A4">
              <w:rPr>
                <w:noProof/>
                <w:webHidden/>
              </w:rPr>
              <w:tab/>
            </w:r>
            <w:r w:rsidR="008959A4">
              <w:rPr>
                <w:noProof/>
                <w:webHidden/>
              </w:rPr>
              <w:fldChar w:fldCharType="begin"/>
            </w:r>
            <w:r w:rsidR="008959A4">
              <w:rPr>
                <w:noProof/>
                <w:webHidden/>
              </w:rPr>
              <w:instrText xml:space="preserve"> PAGEREF _Toc82159890 \h </w:instrText>
            </w:r>
            <w:r w:rsidR="008959A4">
              <w:rPr>
                <w:noProof/>
                <w:webHidden/>
              </w:rPr>
            </w:r>
            <w:r w:rsidR="008959A4">
              <w:rPr>
                <w:noProof/>
                <w:webHidden/>
              </w:rPr>
              <w:fldChar w:fldCharType="separate"/>
            </w:r>
            <w:r w:rsidR="00A643C3">
              <w:rPr>
                <w:noProof/>
                <w:webHidden/>
              </w:rPr>
              <w:t>144</w:t>
            </w:r>
            <w:r w:rsidR="008959A4">
              <w:rPr>
                <w:noProof/>
                <w:webHidden/>
              </w:rPr>
              <w:fldChar w:fldCharType="end"/>
            </w:r>
          </w:hyperlink>
        </w:p>
        <w:p w:rsidR="008959A4" w:rsidP="008959A4" w:rsidRDefault="00ED6D61" w14:paraId="406C85A1" w14:textId="319C361E">
          <w:pPr>
            <w:pStyle w:val="TOC3"/>
            <w:tabs>
              <w:tab w:val="right" w:leader="dot" w:pos="9350"/>
            </w:tabs>
            <w:ind w:left="1980" w:hanging="900"/>
            <w:rPr>
              <w:rFonts w:asciiTheme="minorHAnsi" w:hAnsiTheme="minorHAnsi" w:cstheme="minorBidi"/>
              <w:noProof/>
              <w:sz w:val="22"/>
              <w:szCs w:val="22"/>
            </w:rPr>
          </w:pPr>
          <w:hyperlink w:history="1" w:anchor="_Toc82159891">
            <w:r w:rsidRPr="0032220A" w:rsidR="008959A4">
              <w:rPr>
                <w:rStyle w:val="Hyperlink"/>
                <w:noProof/>
              </w:rPr>
              <w:t>7.2.2.</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_Toc82159891 \h </w:instrText>
            </w:r>
            <w:r w:rsidR="008959A4">
              <w:rPr>
                <w:noProof/>
                <w:webHidden/>
              </w:rPr>
            </w:r>
            <w:r w:rsidR="008959A4">
              <w:rPr>
                <w:noProof/>
                <w:webHidden/>
              </w:rPr>
              <w:fldChar w:fldCharType="separate"/>
            </w:r>
            <w:r w:rsidR="00A643C3">
              <w:rPr>
                <w:noProof/>
                <w:webHidden/>
              </w:rPr>
              <w:t>145</w:t>
            </w:r>
            <w:r w:rsidR="008959A4">
              <w:rPr>
                <w:noProof/>
                <w:webHidden/>
              </w:rPr>
              <w:fldChar w:fldCharType="end"/>
            </w:r>
          </w:hyperlink>
        </w:p>
        <w:p w:rsidR="008959A4" w:rsidP="008959A4" w:rsidRDefault="00ED6D61" w14:paraId="1E4F3CF2" w14:textId="0C1E3FF6">
          <w:pPr>
            <w:pStyle w:val="TOC4"/>
            <w:tabs>
              <w:tab w:val="left" w:pos="3060"/>
            </w:tabs>
            <w:rPr>
              <w:rFonts w:asciiTheme="minorHAnsi" w:hAnsiTheme="minorHAnsi" w:eastAsiaTheme="minorEastAsia" w:cstheme="minorBidi"/>
              <w:noProof/>
              <w:sz w:val="22"/>
              <w:szCs w:val="22"/>
            </w:rPr>
          </w:pPr>
          <w:hyperlink w:history="1" w:anchor="_Toc82159892">
            <w:r w:rsidRPr="0032220A" w:rsidR="008959A4">
              <w:rPr>
                <w:rStyle w:val="Hyperlink"/>
                <w:noProof/>
              </w:rPr>
              <w:t>7.2.2.1.</w:t>
            </w:r>
            <w:r w:rsidR="008959A4">
              <w:rPr>
                <w:rFonts w:asciiTheme="minorHAnsi" w:hAnsiTheme="minorHAnsi" w:eastAsiaTheme="minorEastAsia" w:cstheme="minorBidi"/>
                <w:noProof/>
                <w:sz w:val="22"/>
                <w:szCs w:val="22"/>
              </w:rPr>
              <w:tab/>
            </w:r>
            <w:r w:rsidRPr="0032220A" w:rsidR="008959A4">
              <w:rPr>
                <w:rStyle w:val="Hyperlink"/>
                <w:noProof/>
              </w:rPr>
              <w:t xml:space="preserve">Annual SMJU CARE Eligibility Report:  </w:t>
            </w:r>
            <w:r w:rsidR="008959A4">
              <w:rPr>
                <w:rStyle w:val="Hyperlink"/>
                <w:noProof/>
              </w:rPr>
              <w:br/>
            </w:r>
            <w:r w:rsidRPr="0032220A" w:rsidR="008959A4">
              <w:rPr>
                <w:rStyle w:val="Hyperlink"/>
                <w:noProof/>
              </w:rPr>
              <w:t>Approved with Modification</w:t>
            </w:r>
            <w:r w:rsidR="008959A4">
              <w:rPr>
                <w:noProof/>
                <w:webHidden/>
              </w:rPr>
              <w:tab/>
            </w:r>
            <w:r w:rsidR="008959A4">
              <w:rPr>
                <w:noProof/>
                <w:webHidden/>
              </w:rPr>
              <w:fldChar w:fldCharType="begin"/>
            </w:r>
            <w:r w:rsidR="008959A4">
              <w:rPr>
                <w:noProof/>
                <w:webHidden/>
              </w:rPr>
              <w:instrText xml:space="preserve"> PAGEREF _Toc82159892 \h </w:instrText>
            </w:r>
            <w:r w:rsidR="008959A4">
              <w:rPr>
                <w:noProof/>
                <w:webHidden/>
              </w:rPr>
            </w:r>
            <w:r w:rsidR="008959A4">
              <w:rPr>
                <w:noProof/>
                <w:webHidden/>
              </w:rPr>
              <w:fldChar w:fldCharType="separate"/>
            </w:r>
            <w:r w:rsidR="00A643C3">
              <w:rPr>
                <w:noProof/>
                <w:webHidden/>
              </w:rPr>
              <w:t>145</w:t>
            </w:r>
            <w:r w:rsidR="008959A4">
              <w:rPr>
                <w:noProof/>
                <w:webHidden/>
              </w:rPr>
              <w:fldChar w:fldCharType="end"/>
            </w:r>
          </w:hyperlink>
        </w:p>
        <w:p w:rsidR="008959A4" w:rsidP="008959A4" w:rsidRDefault="00ED6D61" w14:paraId="60E1C004" w14:textId="47890AF1">
          <w:pPr>
            <w:pStyle w:val="TOC1"/>
            <w:tabs>
              <w:tab w:val="right" w:leader="dot" w:pos="9350"/>
            </w:tabs>
            <w:rPr>
              <w:rFonts w:asciiTheme="minorHAnsi" w:hAnsiTheme="minorHAnsi" w:cstheme="minorBidi"/>
              <w:noProof/>
              <w:sz w:val="22"/>
              <w:szCs w:val="22"/>
            </w:rPr>
          </w:pPr>
          <w:hyperlink w:history="1" w:anchor="_Toc82159893">
            <w:r w:rsidRPr="0032220A" w:rsidR="008959A4">
              <w:rPr>
                <w:rStyle w:val="Hyperlink"/>
                <w:noProof/>
              </w:rPr>
              <w:t>8.</w:t>
            </w:r>
            <w:r w:rsidR="008959A4">
              <w:rPr>
                <w:rFonts w:asciiTheme="minorHAnsi" w:hAnsiTheme="minorHAnsi" w:cstheme="minorBidi"/>
                <w:noProof/>
                <w:sz w:val="22"/>
                <w:szCs w:val="22"/>
              </w:rPr>
              <w:tab/>
            </w:r>
            <w:r w:rsidRPr="0032220A" w:rsidR="008959A4">
              <w:rPr>
                <w:rStyle w:val="Hyperlink"/>
                <w:noProof/>
              </w:rPr>
              <w:t>Environmental and Social Justice</w:t>
            </w:r>
            <w:r w:rsidR="008959A4">
              <w:rPr>
                <w:noProof/>
                <w:webHidden/>
              </w:rPr>
              <w:tab/>
            </w:r>
            <w:r w:rsidR="008959A4">
              <w:rPr>
                <w:noProof/>
                <w:webHidden/>
              </w:rPr>
              <w:fldChar w:fldCharType="begin"/>
            </w:r>
            <w:r w:rsidR="008959A4">
              <w:rPr>
                <w:noProof/>
                <w:webHidden/>
              </w:rPr>
              <w:instrText xml:space="preserve"> PAGEREF _Toc82159893 \h </w:instrText>
            </w:r>
            <w:r w:rsidR="008959A4">
              <w:rPr>
                <w:noProof/>
                <w:webHidden/>
              </w:rPr>
            </w:r>
            <w:r w:rsidR="008959A4">
              <w:rPr>
                <w:noProof/>
                <w:webHidden/>
              </w:rPr>
              <w:fldChar w:fldCharType="separate"/>
            </w:r>
            <w:r w:rsidR="00A643C3">
              <w:rPr>
                <w:noProof/>
                <w:webHidden/>
              </w:rPr>
              <w:t>146</w:t>
            </w:r>
            <w:r w:rsidR="008959A4">
              <w:rPr>
                <w:noProof/>
                <w:webHidden/>
              </w:rPr>
              <w:fldChar w:fldCharType="end"/>
            </w:r>
          </w:hyperlink>
        </w:p>
        <w:p w:rsidR="008959A4" w:rsidP="008959A4" w:rsidRDefault="00ED6D61" w14:paraId="4F904AD2" w14:textId="5DBEF233">
          <w:pPr>
            <w:pStyle w:val="TOC2"/>
            <w:tabs>
              <w:tab w:val="right" w:leader="dot" w:pos="9350"/>
            </w:tabs>
            <w:ind w:left="1080" w:hanging="630"/>
            <w:rPr>
              <w:rFonts w:asciiTheme="minorHAnsi" w:hAnsiTheme="minorHAnsi" w:cstheme="minorBidi"/>
              <w:noProof/>
              <w:sz w:val="22"/>
              <w:szCs w:val="22"/>
            </w:rPr>
          </w:pPr>
          <w:hyperlink w:history="1" w:anchor="_Toc82159894">
            <w:r w:rsidRPr="0032220A" w:rsidR="008959A4">
              <w:rPr>
                <w:rStyle w:val="Hyperlink"/>
                <w:noProof/>
              </w:rPr>
              <w:t>8.1.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_Toc82159894 \h </w:instrText>
            </w:r>
            <w:r w:rsidR="008959A4">
              <w:rPr>
                <w:noProof/>
                <w:webHidden/>
              </w:rPr>
            </w:r>
            <w:r w:rsidR="008959A4">
              <w:rPr>
                <w:noProof/>
                <w:webHidden/>
              </w:rPr>
              <w:fldChar w:fldCharType="separate"/>
            </w:r>
            <w:r w:rsidR="00A643C3">
              <w:rPr>
                <w:noProof/>
                <w:webHidden/>
              </w:rPr>
              <w:t>146</w:t>
            </w:r>
            <w:r w:rsidR="008959A4">
              <w:rPr>
                <w:noProof/>
                <w:webHidden/>
              </w:rPr>
              <w:fldChar w:fldCharType="end"/>
            </w:r>
          </w:hyperlink>
        </w:p>
        <w:p w:rsidR="008959A4" w:rsidP="008959A4" w:rsidRDefault="00ED6D61" w14:paraId="6D932D4F" w14:textId="1AB8E824">
          <w:pPr>
            <w:pStyle w:val="TOC2"/>
            <w:tabs>
              <w:tab w:val="right" w:leader="dot" w:pos="9350"/>
            </w:tabs>
            <w:ind w:left="1080" w:hanging="630"/>
            <w:rPr>
              <w:rFonts w:asciiTheme="minorHAnsi" w:hAnsiTheme="minorHAnsi" w:cstheme="minorBidi"/>
              <w:noProof/>
              <w:sz w:val="22"/>
              <w:szCs w:val="22"/>
            </w:rPr>
          </w:pPr>
          <w:hyperlink w:history="1" w:anchor="_Toc82159895">
            <w:r w:rsidRPr="0032220A" w:rsidR="008959A4">
              <w:rPr>
                <w:rStyle w:val="Hyperlink"/>
                <w:noProof/>
              </w:rPr>
              <w:t>8.2.</w:t>
            </w:r>
            <w:r w:rsidR="008959A4">
              <w:rPr>
                <w:rFonts w:asciiTheme="minorHAnsi" w:hAnsiTheme="minorHAnsi" w:cstheme="minorBidi"/>
                <w:noProof/>
                <w:sz w:val="22"/>
                <w:szCs w:val="22"/>
              </w:rPr>
              <w:tab/>
            </w:r>
            <w:r w:rsidRPr="0032220A" w:rsidR="008959A4">
              <w:rPr>
                <w:rStyle w:val="Hyperlink"/>
                <w:noProof/>
              </w:rPr>
              <w:t>Incorporating ESJ Goals and Efforts into CARE and ESA</w:t>
            </w:r>
            <w:r w:rsidR="008959A4">
              <w:rPr>
                <w:noProof/>
                <w:webHidden/>
              </w:rPr>
              <w:tab/>
            </w:r>
            <w:r w:rsidR="008959A4">
              <w:rPr>
                <w:noProof/>
                <w:webHidden/>
              </w:rPr>
              <w:fldChar w:fldCharType="begin"/>
            </w:r>
            <w:r w:rsidR="008959A4">
              <w:rPr>
                <w:noProof/>
                <w:webHidden/>
              </w:rPr>
              <w:instrText xml:space="preserve"> PAGEREF _Toc82159895 \h </w:instrText>
            </w:r>
            <w:r w:rsidR="008959A4">
              <w:rPr>
                <w:noProof/>
                <w:webHidden/>
              </w:rPr>
            </w:r>
            <w:r w:rsidR="008959A4">
              <w:rPr>
                <w:noProof/>
                <w:webHidden/>
              </w:rPr>
              <w:fldChar w:fldCharType="separate"/>
            </w:r>
            <w:r w:rsidR="00A643C3">
              <w:rPr>
                <w:noProof/>
                <w:webHidden/>
              </w:rPr>
              <w:t>147</w:t>
            </w:r>
            <w:r w:rsidR="008959A4">
              <w:rPr>
                <w:noProof/>
                <w:webHidden/>
              </w:rPr>
              <w:fldChar w:fldCharType="end"/>
            </w:r>
          </w:hyperlink>
        </w:p>
        <w:p w:rsidR="008959A4" w:rsidP="008959A4" w:rsidRDefault="00ED6D61" w14:paraId="423E136E" w14:textId="00A4DCC5">
          <w:pPr>
            <w:pStyle w:val="TOC1"/>
            <w:tabs>
              <w:tab w:val="right" w:leader="dot" w:pos="9350"/>
            </w:tabs>
            <w:rPr>
              <w:rFonts w:asciiTheme="minorHAnsi" w:hAnsiTheme="minorHAnsi" w:cstheme="minorBidi"/>
              <w:noProof/>
              <w:sz w:val="22"/>
              <w:szCs w:val="22"/>
            </w:rPr>
          </w:pPr>
          <w:hyperlink w:history="1" w:anchor="_Toc82159896">
            <w:r w:rsidRPr="0032220A" w:rsidR="008959A4">
              <w:rPr>
                <w:rStyle w:val="Hyperlink"/>
                <w:noProof/>
              </w:rPr>
              <w:t>9.</w:t>
            </w:r>
            <w:r w:rsidR="008959A4">
              <w:rPr>
                <w:rFonts w:asciiTheme="minorHAnsi" w:hAnsiTheme="minorHAnsi" w:cstheme="minorBidi"/>
                <w:noProof/>
                <w:sz w:val="22"/>
                <w:szCs w:val="22"/>
              </w:rPr>
              <w:tab/>
            </w:r>
            <w:r w:rsidRPr="0032220A" w:rsidR="008959A4">
              <w:rPr>
                <w:rStyle w:val="Hyperlink"/>
                <w:noProof/>
              </w:rPr>
              <w:t>Reporting</w:t>
            </w:r>
            <w:r w:rsidR="008959A4">
              <w:rPr>
                <w:noProof/>
                <w:webHidden/>
              </w:rPr>
              <w:tab/>
            </w:r>
            <w:r w:rsidR="008959A4">
              <w:rPr>
                <w:noProof/>
                <w:webHidden/>
              </w:rPr>
              <w:fldChar w:fldCharType="begin"/>
            </w:r>
            <w:r w:rsidR="008959A4">
              <w:rPr>
                <w:noProof/>
                <w:webHidden/>
              </w:rPr>
              <w:instrText xml:space="preserve"> PAGEREF _Toc82159896 \h </w:instrText>
            </w:r>
            <w:r w:rsidR="008959A4">
              <w:rPr>
                <w:noProof/>
                <w:webHidden/>
              </w:rPr>
            </w:r>
            <w:r w:rsidR="008959A4">
              <w:rPr>
                <w:noProof/>
                <w:webHidden/>
              </w:rPr>
              <w:fldChar w:fldCharType="separate"/>
            </w:r>
            <w:r w:rsidR="00A643C3">
              <w:rPr>
                <w:noProof/>
                <w:webHidden/>
              </w:rPr>
              <w:t>148</w:t>
            </w:r>
            <w:r w:rsidR="008959A4">
              <w:rPr>
                <w:noProof/>
                <w:webHidden/>
              </w:rPr>
              <w:fldChar w:fldCharType="end"/>
            </w:r>
          </w:hyperlink>
        </w:p>
        <w:p w:rsidR="008959A4" w:rsidP="008959A4" w:rsidRDefault="00ED6D61" w14:paraId="627C33CF" w14:textId="6D161C27">
          <w:pPr>
            <w:pStyle w:val="TOC2"/>
            <w:tabs>
              <w:tab w:val="right" w:leader="dot" w:pos="9350"/>
            </w:tabs>
            <w:ind w:left="1080" w:hanging="630"/>
            <w:rPr>
              <w:rFonts w:asciiTheme="minorHAnsi" w:hAnsiTheme="minorHAnsi" w:cstheme="minorBidi"/>
              <w:noProof/>
              <w:sz w:val="22"/>
              <w:szCs w:val="22"/>
            </w:rPr>
          </w:pPr>
          <w:hyperlink w:history="1" w:anchor="_Toc82159897">
            <w:r w:rsidRPr="0032220A" w:rsidR="008959A4">
              <w:rPr>
                <w:rStyle w:val="Hyperlink"/>
                <w:noProof/>
              </w:rPr>
              <w:t>9.1.</w:t>
            </w:r>
            <w:r w:rsidR="008959A4">
              <w:rPr>
                <w:rFonts w:asciiTheme="minorHAnsi" w:hAnsiTheme="minorHAnsi" w:cstheme="minorBidi"/>
                <w:noProof/>
                <w:sz w:val="22"/>
                <w:szCs w:val="22"/>
              </w:rPr>
              <w:tab/>
            </w:r>
            <w:r w:rsidRPr="0032220A" w:rsidR="008959A4">
              <w:rPr>
                <w:rStyle w:val="Hyperlink"/>
                <w:noProof/>
              </w:rPr>
              <w:t>Background</w:t>
            </w:r>
            <w:r w:rsidR="008959A4">
              <w:rPr>
                <w:noProof/>
                <w:webHidden/>
              </w:rPr>
              <w:tab/>
            </w:r>
            <w:r w:rsidR="008959A4">
              <w:rPr>
                <w:noProof/>
                <w:webHidden/>
              </w:rPr>
              <w:fldChar w:fldCharType="begin"/>
            </w:r>
            <w:r w:rsidR="008959A4">
              <w:rPr>
                <w:noProof/>
                <w:webHidden/>
              </w:rPr>
              <w:instrText xml:space="preserve"> PAGEREF _Toc82159897 \h </w:instrText>
            </w:r>
            <w:r w:rsidR="008959A4">
              <w:rPr>
                <w:noProof/>
                <w:webHidden/>
              </w:rPr>
            </w:r>
            <w:r w:rsidR="008959A4">
              <w:rPr>
                <w:noProof/>
                <w:webHidden/>
              </w:rPr>
              <w:fldChar w:fldCharType="separate"/>
            </w:r>
            <w:r w:rsidR="00A643C3">
              <w:rPr>
                <w:noProof/>
                <w:webHidden/>
              </w:rPr>
              <w:t>148</w:t>
            </w:r>
            <w:r w:rsidR="008959A4">
              <w:rPr>
                <w:noProof/>
                <w:webHidden/>
              </w:rPr>
              <w:fldChar w:fldCharType="end"/>
            </w:r>
          </w:hyperlink>
        </w:p>
        <w:p w:rsidR="008959A4" w:rsidP="008959A4" w:rsidRDefault="00ED6D61" w14:paraId="51DC65AA" w14:textId="6899BAEA">
          <w:pPr>
            <w:pStyle w:val="TOC2"/>
            <w:tabs>
              <w:tab w:val="right" w:leader="dot" w:pos="9350"/>
            </w:tabs>
            <w:ind w:left="1080" w:hanging="630"/>
            <w:rPr>
              <w:rFonts w:asciiTheme="minorHAnsi" w:hAnsiTheme="minorHAnsi" w:cstheme="minorBidi"/>
              <w:noProof/>
              <w:sz w:val="22"/>
              <w:szCs w:val="22"/>
            </w:rPr>
          </w:pPr>
          <w:hyperlink w:history="1" w:anchor="_Toc82159898">
            <w:r w:rsidRPr="0032220A" w:rsidR="008959A4">
              <w:rPr>
                <w:rStyle w:val="Hyperlink"/>
                <w:noProof/>
              </w:rPr>
              <w:t>9.2.</w:t>
            </w:r>
            <w:r w:rsidR="008959A4">
              <w:rPr>
                <w:rFonts w:asciiTheme="minorHAnsi" w:hAnsiTheme="minorHAnsi" w:cstheme="minorBidi"/>
                <w:noProof/>
                <w:sz w:val="22"/>
                <w:szCs w:val="22"/>
              </w:rPr>
              <w:tab/>
            </w:r>
            <w:r w:rsidRPr="0032220A" w:rsidR="008959A4">
              <w:rPr>
                <w:rStyle w:val="Hyperlink"/>
                <w:noProof/>
              </w:rPr>
              <w:t>Alpine Proposal</w:t>
            </w:r>
            <w:r w:rsidR="008959A4">
              <w:rPr>
                <w:noProof/>
                <w:webHidden/>
              </w:rPr>
              <w:tab/>
            </w:r>
            <w:r w:rsidR="008959A4">
              <w:rPr>
                <w:noProof/>
                <w:webHidden/>
              </w:rPr>
              <w:fldChar w:fldCharType="begin"/>
            </w:r>
            <w:r w:rsidR="008959A4">
              <w:rPr>
                <w:noProof/>
                <w:webHidden/>
              </w:rPr>
              <w:instrText xml:space="preserve"> PAGEREF _Toc82159898 \h </w:instrText>
            </w:r>
            <w:r w:rsidR="008959A4">
              <w:rPr>
                <w:noProof/>
                <w:webHidden/>
              </w:rPr>
            </w:r>
            <w:r w:rsidR="008959A4">
              <w:rPr>
                <w:noProof/>
                <w:webHidden/>
              </w:rPr>
              <w:fldChar w:fldCharType="separate"/>
            </w:r>
            <w:r w:rsidR="00A643C3">
              <w:rPr>
                <w:noProof/>
                <w:webHidden/>
              </w:rPr>
              <w:t>149</w:t>
            </w:r>
            <w:r w:rsidR="008959A4">
              <w:rPr>
                <w:noProof/>
                <w:webHidden/>
              </w:rPr>
              <w:fldChar w:fldCharType="end"/>
            </w:r>
          </w:hyperlink>
        </w:p>
        <w:p w:rsidR="008959A4" w:rsidP="008959A4" w:rsidRDefault="00ED6D61" w14:paraId="0F34FFF4" w14:textId="5DC5BA5A">
          <w:pPr>
            <w:pStyle w:val="TOC2"/>
            <w:tabs>
              <w:tab w:val="right" w:leader="dot" w:pos="9350"/>
            </w:tabs>
            <w:ind w:left="1080" w:hanging="630"/>
            <w:rPr>
              <w:rFonts w:asciiTheme="minorHAnsi" w:hAnsiTheme="minorHAnsi" w:cstheme="minorBidi"/>
              <w:noProof/>
              <w:sz w:val="22"/>
              <w:szCs w:val="22"/>
            </w:rPr>
          </w:pPr>
          <w:hyperlink w:history="1" w:anchor="_Toc82159899">
            <w:r w:rsidRPr="0032220A" w:rsidR="008959A4">
              <w:rPr>
                <w:rStyle w:val="Hyperlink"/>
                <w:noProof/>
              </w:rPr>
              <w:t>9.3.</w:t>
            </w:r>
            <w:r w:rsidR="008959A4">
              <w:rPr>
                <w:rFonts w:asciiTheme="minorHAnsi" w:hAnsiTheme="minorHAnsi" w:cstheme="minorBidi"/>
                <w:noProof/>
                <w:sz w:val="22"/>
                <w:szCs w:val="22"/>
              </w:rPr>
              <w:tab/>
            </w:r>
            <w:r w:rsidRPr="0032220A" w:rsidR="008959A4">
              <w:rPr>
                <w:rStyle w:val="Hyperlink"/>
                <w:noProof/>
              </w:rPr>
              <w:t>Southwest Gas Proposal</w:t>
            </w:r>
            <w:r w:rsidR="008959A4">
              <w:rPr>
                <w:noProof/>
                <w:webHidden/>
              </w:rPr>
              <w:tab/>
            </w:r>
            <w:r w:rsidR="008959A4">
              <w:rPr>
                <w:noProof/>
                <w:webHidden/>
              </w:rPr>
              <w:fldChar w:fldCharType="begin"/>
            </w:r>
            <w:r w:rsidR="008959A4">
              <w:rPr>
                <w:noProof/>
                <w:webHidden/>
              </w:rPr>
              <w:instrText xml:space="preserve"> PAGEREF _Toc82159899 \h </w:instrText>
            </w:r>
            <w:r w:rsidR="008959A4">
              <w:rPr>
                <w:noProof/>
                <w:webHidden/>
              </w:rPr>
            </w:r>
            <w:r w:rsidR="008959A4">
              <w:rPr>
                <w:noProof/>
                <w:webHidden/>
              </w:rPr>
              <w:fldChar w:fldCharType="separate"/>
            </w:r>
            <w:r w:rsidR="00A643C3">
              <w:rPr>
                <w:noProof/>
                <w:webHidden/>
              </w:rPr>
              <w:t>149</w:t>
            </w:r>
            <w:r w:rsidR="008959A4">
              <w:rPr>
                <w:noProof/>
                <w:webHidden/>
              </w:rPr>
              <w:fldChar w:fldCharType="end"/>
            </w:r>
          </w:hyperlink>
        </w:p>
        <w:p w:rsidR="008959A4" w:rsidP="008959A4" w:rsidRDefault="00ED6D61" w14:paraId="7F4BFB45" w14:textId="252445F6">
          <w:pPr>
            <w:pStyle w:val="TOC2"/>
            <w:tabs>
              <w:tab w:val="right" w:leader="dot" w:pos="9350"/>
            </w:tabs>
            <w:ind w:left="1080" w:hanging="630"/>
            <w:rPr>
              <w:rFonts w:asciiTheme="minorHAnsi" w:hAnsiTheme="minorHAnsi" w:cstheme="minorBidi"/>
              <w:noProof/>
              <w:sz w:val="22"/>
              <w:szCs w:val="22"/>
            </w:rPr>
          </w:pPr>
          <w:hyperlink w:history="1" w:anchor="_Toc82159900">
            <w:r w:rsidRPr="0032220A" w:rsidR="008959A4">
              <w:rPr>
                <w:rStyle w:val="Hyperlink"/>
                <w:noProof/>
              </w:rPr>
              <w:t>9.4.</w:t>
            </w:r>
            <w:r w:rsidR="008959A4">
              <w:rPr>
                <w:rFonts w:asciiTheme="minorHAnsi" w:hAnsiTheme="minorHAnsi" w:cstheme="minorBidi"/>
                <w:noProof/>
                <w:sz w:val="22"/>
                <w:szCs w:val="22"/>
              </w:rPr>
              <w:tab/>
            </w:r>
            <w:r w:rsidRPr="0032220A" w:rsidR="008959A4">
              <w:rPr>
                <w:rStyle w:val="Hyperlink"/>
                <w:noProof/>
              </w:rPr>
              <w:t>EEC &amp; Free Energy Proposal</w:t>
            </w:r>
            <w:r w:rsidR="008959A4">
              <w:rPr>
                <w:noProof/>
                <w:webHidden/>
              </w:rPr>
              <w:tab/>
            </w:r>
            <w:r w:rsidR="008959A4">
              <w:rPr>
                <w:noProof/>
                <w:webHidden/>
              </w:rPr>
              <w:fldChar w:fldCharType="begin"/>
            </w:r>
            <w:r w:rsidR="008959A4">
              <w:rPr>
                <w:noProof/>
                <w:webHidden/>
              </w:rPr>
              <w:instrText xml:space="preserve"> PAGEREF _Toc82159900 \h </w:instrText>
            </w:r>
            <w:r w:rsidR="008959A4">
              <w:rPr>
                <w:noProof/>
                <w:webHidden/>
              </w:rPr>
            </w:r>
            <w:r w:rsidR="008959A4">
              <w:rPr>
                <w:noProof/>
                <w:webHidden/>
              </w:rPr>
              <w:fldChar w:fldCharType="separate"/>
            </w:r>
            <w:r w:rsidR="00A643C3">
              <w:rPr>
                <w:noProof/>
                <w:webHidden/>
              </w:rPr>
              <w:t>149</w:t>
            </w:r>
            <w:r w:rsidR="008959A4">
              <w:rPr>
                <w:noProof/>
                <w:webHidden/>
              </w:rPr>
              <w:fldChar w:fldCharType="end"/>
            </w:r>
          </w:hyperlink>
        </w:p>
        <w:p w:rsidR="008959A4" w:rsidP="008959A4" w:rsidRDefault="00ED6D61" w14:paraId="20F378C9" w14:textId="43D7FA62">
          <w:pPr>
            <w:pStyle w:val="TOC2"/>
            <w:tabs>
              <w:tab w:val="right" w:leader="dot" w:pos="9350"/>
            </w:tabs>
            <w:ind w:left="1080" w:hanging="630"/>
            <w:rPr>
              <w:rFonts w:asciiTheme="minorHAnsi" w:hAnsiTheme="minorHAnsi" w:cstheme="minorBidi"/>
              <w:noProof/>
              <w:sz w:val="22"/>
              <w:szCs w:val="22"/>
            </w:rPr>
          </w:pPr>
          <w:hyperlink w:history="1" w:anchor="_Toc82159901">
            <w:r w:rsidRPr="0032220A" w:rsidR="008959A4">
              <w:rPr>
                <w:rStyle w:val="Hyperlink"/>
                <w:noProof/>
              </w:rPr>
              <w:t>9.5.</w:t>
            </w:r>
            <w:r w:rsidR="008959A4">
              <w:rPr>
                <w:rFonts w:asciiTheme="minorHAnsi" w:hAnsiTheme="minorHAnsi" w:cstheme="minorBidi"/>
                <w:noProof/>
                <w:sz w:val="22"/>
                <w:szCs w:val="22"/>
              </w:rPr>
              <w:tab/>
            </w:r>
            <w:r w:rsidRPr="0032220A" w:rsidR="008959A4">
              <w:rPr>
                <w:rStyle w:val="Hyperlink"/>
                <w:noProof/>
              </w:rPr>
              <w:t xml:space="preserve">Southwest Gas, PacifiCorp, Liberty, Bear Valley (Joint SMJUs) </w:t>
            </w:r>
            <w:r w:rsidR="008959A4">
              <w:rPr>
                <w:rStyle w:val="Hyperlink"/>
                <w:noProof/>
              </w:rPr>
              <w:br/>
            </w:r>
            <w:r w:rsidRPr="0032220A" w:rsidR="008959A4">
              <w:rPr>
                <w:rStyle w:val="Hyperlink"/>
                <w:noProof/>
              </w:rPr>
              <w:t>Response</w:t>
            </w:r>
            <w:r w:rsidR="008959A4">
              <w:rPr>
                <w:noProof/>
                <w:webHidden/>
              </w:rPr>
              <w:tab/>
            </w:r>
            <w:r w:rsidR="008959A4">
              <w:rPr>
                <w:noProof/>
                <w:webHidden/>
              </w:rPr>
              <w:fldChar w:fldCharType="begin"/>
            </w:r>
            <w:r w:rsidR="008959A4">
              <w:rPr>
                <w:noProof/>
                <w:webHidden/>
              </w:rPr>
              <w:instrText xml:space="preserve"> PAGEREF _Toc82159901 \h </w:instrText>
            </w:r>
            <w:r w:rsidR="008959A4">
              <w:rPr>
                <w:noProof/>
                <w:webHidden/>
              </w:rPr>
            </w:r>
            <w:r w:rsidR="008959A4">
              <w:rPr>
                <w:noProof/>
                <w:webHidden/>
              </w:rPr>
              <w:fldChar w:fldCharType="separate"/>
            </w:r>
            <w:r w:rsidR="00A643C3">
              <w:rPr>
                <w:noProof/>
                <w:webHidden/>
              </w:rPr>
              <w:t>150</w:t>
            </w:r>
            <w:r w:rsidR="008959A4">
              <w:rPr>
                <w:noProof/>
                <w:webHidden/>
              </w:rPr>
              <w:fldChar w:fldCharType="end"/>
            </w:r>
          </w:hyperlink>
        </w:p>
        <w:p w:rsidR="008959A4" w:rsidP="008959A4" w:rsidRDefault="00ED6D61" w14:paraId="376D6E18" w14:textId="4A2D3683">
          <w:pPr>
            <w:pStyle w:val="TOC2"/>
            <w:tabs>
              <w:tab w:val="right" w:leader="dot" w:pos="9350"/>
            </w:tabs>
            <w:ind w:left="1080" w:hanging="630"/>
            <w:rPr>
              <w:rFonts w:asciiTheme="minorHAnsi" w:hAnsiTheme="minorHAnsi" w:cstheme="minorBidi"/>
              <w:noProof/>
              <w:sz w:val="22"/>
              <w:szCs w:val="22"/>
            </w:rPr>
          </w:pPr>
          <w:hyperlink w:history="1" w:anchor="_Toc82159902">
            <w:r w:rsidRPr="0032220A" w:rsidR="008959A4">
              <w:rPr>
                <w:rStyle w:val="Hyperlink"/>
                <w:noProof/>
              </w:rPr>
              <w:t>9.6.</w:t>
            </w:r>
            <w:r w:rsidR="008959A4">
              <w:rPr>
                <w:rFonts w:asciiTheme="minorHAnsi" w:hAnsiTheme="minorHAnsi" w:cstheme="minorBidi"/>
                <w:noProof/>
                <w:sz w:val="22"/>
                <w:szCs w:val="22"/>
              </w:rPr>
              <w:tab/>
            </w:r>
            <w:r w:rsidRPr="0032220A" w:rsidR="008959A4">
              <w:rPr>
                <w:rStyle w:val="Hyperlink"/>
                <w:noProof/>
              </w:rPr>
              <w:t>Discussion</w:t>
            </w:r>
            <w:r w:rsidR="008959A4">
              <w:rPr>
                <w:noProof/>
                <w:webHidden/>
              </w:rPr>
              <w:tab/>
            </w:r>
            <w:r w:rsidR="008959A4">
              <w:rPr>
                <w:noProof/>
                <w:webHidden/>
              </w:rPr>
              <w:fldChar w:fldCharType="begin"/>
            </w:r>
            <w:r w:rsidR="008959A4">
              <w:rPr>
                <w:noProof/>
                <w:webHidden/>
              </w:rPr>
              <w:instrText xml:space="preserve"> PAGEREF _Toc82159902 \h </w:instrText>
            </w:r>
            <w:r w:rsidR="008959A4">
              <w:rPr>
                <w:noProof/>
                <w:webHidden/>
              </w:rPr>
            </w:r>
            <w:r w:rsidR="008959A4">
              <w:rPr>
                <w:noProof/>
                <w:webHidden/>
              </w:rPr>
              <w:fldChar w:fldCharType="separate"/>
            </w:r>
            <w:r w:rsidR="00A643C3">
              <w:rPr>
                <w:noProof/>
                <w:webHidden/>
              </w:rPr>
              <w:t>150</w:t>
            </w:r>
            <w:r w:rsidR="008959A4">
              <w:rPr>
                <w:noProof/>
                <w:webHidden/>
              </w:rPr>
              <w:fldChar w:fldCharType="end"/>
            </w:r>
          </w:hyperlink>
        </w:p>
        <w:p w:rsidR="008959A4" w:rsidP="008959A4" w:rsidRDefault="00ED6D61" w14:paraId="7C255599" w14:textId="5AB361CD">
          <w:pPr>
            <w:pStyle w:val="TOC3"/>
            <w:tabs>
              <w:tab w:val="right" w:leader="dot" w:pos="9350"/>
            </w:tabs>
            <w:ind w:left="1980" w:hanging="900"/>
            <w:rPr>
              <w:rFonts w:asciiTheme="minorHAnsi" w:hAnsiTheme="minorHAnsi" w:cstheme="minorBidi"/>
              <w:noProof/>
              <w:sz w:val="22"/>
              <w:szCs w:val="22"/>
            </w:rPr>
          </w:pPr>
          <w:hyperlink w:history="1" w:anchor="_Toc82159903">
            <w:r w:rsidRPr="0032220A" w:rsidR="008959A4">
              <w:rPr>
                <w:rStyle w:val="Hyperlink"/>
                <w:noProof/>
              </w:rPr>
              <w:t>9.6.1.</w:t>
            </w:r>
            <w:r w:rsidR="008959A4">
              <w:rPr>
                <w:rFonts w:asciiTheme="minorHAnsi" w:hAnsiTheme="minorHAnsi" w:cstheme="minorBidi"/>
                <w:noProof/>
                <w:sz w:val="22"/>
                <w:szCs w:val="22"/>
              </w:rPr>
              <w:tab/>
            </w:r>
            <w:r w:rsidRPr="0032220A" w:rsidR="008959A4">
              <w:rPr>
                <w:rStyle w:val="Hyperlink"/>
                <w:noProof/>
              </w:rPr>
              <w:t>Program Updates via Annual Reports:  Approved with Modifications</w:t>
            </w:r>
            <w:r w:rsidR="008959A4">
              <w:rPr>
                <w:noProof/>
                <w:webHidden/>
              </w:rPr>
              <w:tab/>
            </w:r>
            <w:r w:rsidR="008959A4">
              <w:rPr>
                <w:noProof/>
                <w:webHidden/>
              </w:rPr>
              <w:fldChar w:fldCharType="begin"/>
            </w:r>
            <w:r w:rsidR="008959A4">
              <w:rPr>
                <w:noProof/>
                <w:webHidden/>
              </w:rPr>
              <w:instrText xml:space="preserve"> PAGEREF _Toc82159903 \h </w:instrText>
            </w:r>
            <w:r w:rsidR="008959A4">
              <w:rPr>
                <w:noProof/>
                <w:webHidden/>
              </w:rPr>
            </w:r>
            <w:r w:rsidR="008959A4">
              <w:rPr>
                <w:noProof/>
                <w:webHidden/>
              </w:rPr>
              <w:fldChar w:fldCharType="separate"/>
            </w:r>
            <w:r w:rsidR="00A643C3">
              <w:rPr>
                <w:noProof/>
                <w:webHidden/>
              </w:rPr>
              <w:t>150</w:t>
            </w:r>
            <w:r w:rsidR="008959A4">
              <w:rPr>
                <w:noProof/>
                <w:webHidden/>
              </w:rPr>
              <w:fldChar w:fldCharType="end"/>
            </w:r>
          </w:hyperlink>
        </w:p>
        <w:p w:rsidR="008959A4" w:rsidP="008959A4" w:rsidRDefault="00ED6D61" w14:paraId="3F51C857" w14:textId="51BA5377">
          <w:pPr>
            <w:pStyle w:val="TOC3"/>
            <w:tabs>
              <w:tab w:val="right" w:leader="dot" w:pos="9350"/>
            </w:tabs>
            <w:ind w:left="1980" w:hanging="900"/>
            <w:rPr>
              <w:rFonts w:asciiTheme="minorHAnsi" w:hAnsiTheme="minorHAnsi" w:cstheme="minorBidi"/>
              <w:noProof/>
              <w:sz w:val="22"/>
              <w:szCs w:val="22"/>
            </w:rPr>
          </w:pPr>
          <w:hyperlink w:history="1" w:anchor="_Toc82159904">
            <w:r w:rsidRPr="0032220A" w:rsidR="008959A4">
              <w:rPr>
                <w:rStyle w:val="Hyperlink"/>
                <w:noProof/>
              </w:rPr>
              <w:t>9.6.2.</w:t>
            </w:r>
            <w:r w:rsidR="008959A4">
              <w:rPr>
                <w:rFonts w:asciiTheme="minorHAnsi" w:hAnsiTheme="minorHAnsi" w:cstheme="minorBidi"/>
                <w:noProof/>
                <w:sz w:val="22"/>
                <w:szCs w:val="22"/>
              </w:rPr>
              <w:tab/>
            </w:r>
            <w:r w:rsidRPr="0032220A" w:rsidR="008959A4">
              <w:rPr>
                <w:rStyle w:val="Hyperlink"/>
                <w:noProof/>
              </w:rPr>
              <w:t>Mid Cycle Review:  New</w:t>
            </w:r>
            <w:r w:rsidR="008959A4">
              <w:rPr>
                <w:noProof/>
                <w:webHidden/>
              </w:rPr>
              <w:tab/>
            </w:r>
            <w:r w:rsidR="008959A4">
              <w:rPr>
                <w:noProof/>
                <w:webHidden/>
              </w:rPr>
              <w:fldChar w:fldCharType="begin"/>
            </w:r>
            <w:r w:rsidR="008959A4">
              <w:rPr>
                <w:noProof/>
                <w:webHidden/>
              </w:rPr>
              <w:instrText xml:space="preserve"> PAGEREF _Toc82159904 \h </w:instrText>
            </w:r>
            <w:r w:rsidR="008959A4">
              <w:rPr>
                <w:noProof/>
                <w:webHidden/>
              </w:rPr>
            </w:r>
            <w:r w:rsidR="008959A4">
              <w:rPr>
                <w:noProof/>
                <w:webHidden/>
              </w:rPr>
              <w:fldChar w:fldCharType="separate"/>
            </w:r>
            <w:r w:rsidR="00A643C3">
              <w:rPr>
                <w:noProof/>
                <w:webHidden/>
              </w:rPr>
              <w:t>151</w:t>
            </w:r>
            <w:r w:rsidR="008959A4">
              <w:rPr>
                <w:noProof/>
                <w:webHidden/>
              </w:rPr>
              <w:fldChar w:fldCharType="end"/>
            </w:r>
          </w:hyperlink>
        </w:p>
        <w:p w:rsidR="008959A4" w:rsidP="008959A4" w:rsidRDefault="00ED6D61" w14:paraId="3F7F91E4" w14:textId="40FEFDBA">
          <w:pPr>
            <w:pStyle w:val="TOC3"/>
            <w:tabs>
              <w:tab w:val="right" w:leader="dot" w:pos="9350"/>
            </w:tabs>
            <w:ind w:left="1980" w:hanging="900"/>
            <w:rPr>
              <w:rFonts w:asciiTheme="minorHAnsi" w:hAnsiTheme="minorHAnsi" w:cstheme="minorBidi"/>
              <w:noProof/>
              <w:sz w:val="22"/>
              <w:szCs w:val="22"/>
            </w:rPr>
          </w:pPr>
          <w:hyperlink w:history="1" w:anchor="_Toc82159905">
            <w:r w:rsidRPr="0032220A" w:rsidR="008959A4">
              <w:rPr>
                <w:rStyle w:val="Hyperlink"/>
                <w:noProof/>
              </w:rPr>
              <w:t>9.6.3.</w:t>
            </w:r>
            <w:r w:rsidR="008959A4">
              <w:rPr>
                <w:rFonts w:asciiTheme="minorHAnsi" w:hAnsiTheme="minorHAnsi" w:cstheme="minorBidi"/>
                <w:noProof/>
                <w:sz w:val="22"/>
                <w:szCs w:val="22"/>
              </w:rPr>
              <w:tab/>
            </w:r>
            <w:r w:rsidRPr="0032220A" w:rsidR="008959A4">
              <w:rPr>
                <w:rStyle w:val="Hyperlink"/>
                <w:noProof/>
              </w:rPr>
              <w:t>Monthly Reporting:  Denied but Replaced with Quarterly Reporting</w:t>
            </w:r>
            <w:r w:rsidR="008959A4">
              <w:rPr>
                <w:noProof/>
                <w:webHidden/>
              </w:rPr>
              <w:tab/>
            </w:r>
            <w:r w:rsidR="008959A4">
              <w:rPr>
                <w:noProof/>
                <w:webHidden/>
              </w:rPr>
              <w:fldChar w:fldCharType="begin"/>
            </w:r>
            <w:r w:rsidR="008959A4">
              <w:rPr>
                <w:noProof/>
                <w:webHidden/>
              </w:rPr>
              <w:instrText xml:space="preserve"> PAGEREF _Toc82159905 \h </w:instrText>
            </w:r>
            <w:r w:rsidR="008959A4">
              <w:rPr>
                <w:noProof/>
                <w:webHidden/>
              </w:rPr>
            </w:r>
            <w:r w:rsidR="008959A4">
              <w:rPr>
                <w:noProof/>
                <w:webHidden/>
              </w:rPr>
              <w:fldChar w:fldCharType="separate"/>
            </w:r>
            <w:r w:rsidR="00A643C3">
              <w:rPr>
                <w:noProof/>
                <w:webHidden/>
              </w:rPr>
              <w:t>151</w:t>
            </w:r>
            <w:r w:rsidR="008959A4">
              <w:rPr>
                <w:noProof/>
                <w:webHidden/>
              </w:rPr>
              <w:fldChar w:fldCharType="end"/>
            </w:r>
          </w:hyperlink>
        </w:p>
        <w:p w:rsidR="008959A4" w:rsidP="008959A4" w:rsidRDefault="00ED6D61" w14:paraId="1C0C9AF7" w14:textId="041735BE">
          <w:pPr>
            <w:pStyle w:val="TOC3"/>
            <w:tabs>
              <w:tab w:val="right" w:leader="dot" w:pos="9350"/>
            </w:tabs>
            <w:ind w:left="1980" w:hanging="900"/>
            <w:rPr>
              <w:rFonts w:asciiTheme="minorHAnsi" w:hAnsiTheme="minorHAnsi" w:cstheme="minorBidi"/>
              <w:noProof/>
              <w:sz w:val="22"/>
              <w:szCs w:val="22"/>
            </w:rPr>
          </w:pPr>
          <w:hyperlink w:history="1" w:anchor="_Toc82159906">
            <w:r w:rsidRPr="0032220A" w:rsidR="008959A4">
              <w:rPr>
                <w:rStyle w:val="Hyperlink"/>
                <w:noProof/>
              </w:rPr>
              <w:t>9.6.4.</w:t>
            </w:r>
            <w:r w:rsidR="008959A4">
              <w:rPr>
                <w:rFonts w:asciiTheme="minorHAnsi" w:hAnsiTheme="minorHAnsi" w:cstheme="minorBidi"/>
                <w:noProof/>
                <w:sz w:val="22"/>
                <w:szCs w:val="22"/>
              </w:rPr>
              <w:tab/>
            </w:r>
            <w:r w:rsidR="00B577CC">
              <w:rPr>
                <w:rStyle w:val="Hyperlink"/>
                <w:noProof/>
              </w:rPr>
              <w:t>Updating the P</w:t>
            </w:r>
            <w:r w:rsidRPr="0032220A" w:rsidR="008959A4">
              <w:rPr>
                <w:rStyle w:val="Hyperlink"/>
                <w:noProof/>
              </w:rPr>
              <w:t>olicy and Procedures Manual:  New</w:t>
            </w:r>
            <w:r w:rsidR="008959A4">
              <w:rPr>
                <w:noProof/>
                <w:webHidden/>
              </w:rPr>
              <w:tab/>
            </w:r>
            <w:r w:rsidR="008959A4">
              <w:rPr>
                <w:noProof/>
                <w:webHidden/>
              </w:rPr>
              <w:fldChar w:fldCharType="begin"/>
            </w:r>
            <w:r w:rsidR="008959A4">
              <w:rPr>
                <w:noProof/>
                <w:webHidden/>
              </w:rPr>
              <w:instrText xml:space="preserve"> PAGEREF _Toc82159906 \h </w:instrText>
            </w:r>
            <w:r w:rsidR="008959A4">
              <w:rPr>
                <w:noProof/>
                <w:webHidden/>
              </w:rPr>
            </w:r>
            <w:r w:rsidR="008959A4">
              <w:rPr>
                <w:noProof/>
                <w:webHidden/>
              </w:rPr>
              <w:fldChar w:fldCharType="separate"/>
            </w:r>
            <w:r w:rsidR="00A643C3">
              <w:rPr>
                <w:noProof/>
                <w:webHidden/>
              </w:rPr>
              <w:t>151</w:t>
            </w:r>
            <w:r w:rsidR="008959A4">
              <w:rPr>
                <w:noProof/>
                <w:webHidden/>
              </w:rPr>
              <w:fldChar w:fldCharType="end"/>
            </w:r>
          </w:hyperlink>
        </w:p>
        <w:p w:rsidR="008959A4" w:rsidP="008959A4" w:rsidRDefault="00ED6D61" w14:paraId="2AA1C5FB" w14:textId="62DC066D">
          <w:pPr>
            <w:pStyle w:val="TOC1"/>
            <w:tabs>
              <w:tab w:val="right" w:leader="dot" w:pos="9350"/>
            </w:tabs>
            <w:rPr>
              <w:rFonts w:asciiTheme="minorHAnsi" w:hAnsiTheme="minorHAnsi" w:cstheme="minorBidi"/>
              <w:noProof/>
              <w:sz w:val="22"/>
              <w:szCs w:val="22"/>
            </w:rPr>
          </w:pPr>
          <w:hyperlink w:history="1" w:anchor="_Toc82159907">
            <w:r w:rsidRPr="0032220A" w:rsidR="008959A4">
              <w:rPr>
                <w:rStyle w:val="Hyperlink"/>
                <w:noProof/>
              </w:rPr>
              <w:t>10.</w:t>
            </w:r>
            <w:r w:rsidR="008959A4">
              <w:rPr>
                <w:rFonts w:asciiTheme="minorHAnsi" w:hAnsiTheme="minorHAnsi" w:cstheme="minorBidi"/>
                <w:noProof/>
                <w:sz w:val="22"/>
                <w:szCs w:val="22"/>
              </w:rPr>
              <w:tab/>
            </w:r>
            <w:r w:rsidRPr="0032220A" w:rsidR="008959A4">
              <w:rPr>
                <w:rStyle w:val="Hyperlink"/>
                <w:noProof/>
              </w:rPr>
              <w:t>Comments on Proposed Decision</w:t>
            </w:r>
            <w:r w:rsidR="008959A4">
              <w:rPr>
                <w:noProof/>
                <w:webHidden/>
              </w:rPr>
              <w:tab/>
            </w:r>
            <w:r w:rsidR="008959A4">
              <w:rPr>
                <w:noProof/>
                <w:webHidden/>
              </w:rPr>
              <w:fldChar w:fldCharType="begin"/>
            </w:r>
            <w:r w:rsidR="008959A4">
              <w:rPr>
                <w:noProof/>
                <w:webHidden/>
              </w:rPr>
              <w:instrText xml:space="preserve"> PAGEREF _Toc82159907 \h </w:instrText>
            </w:r>
            <w:r w:rsidR="008959A4">
              <w:rPr>
                <w:noProof/>
                <w:webHidden/>
              </w:rPr>
            </w:r>
            <w:r w:rsidR="008959A4">
              <w:rPr>
                <w:noProof/>
                <w:webHidden/>
              </w:rPr>
              <w:fldChar w:fldCharType="separate"/>
            </w:r>
            <w:r w:rsidR="00A643C3">
              <w:rPr>
                <w:noProof/>
                <w:webHidden/>
              </w:rPr>
              <w:t>152</w:t>
            </w:r>
            <w:r w:rsidR="008959A4">
              <w:rPr>
                <w:noProof/>
                <w:webHidden/>
              </w:rPr>
              <w:fldChar w:fldCharType="end"/>
            </w:r>
          </w:hyperlink>
        </w:p>
        <w:p w:rsidR="008959A4" w:rsidP="008959A4" w:rsidRDefault="00ED6D61" w14:paraId="1B34F644" w14:textId="7EE13EFA">
          <w:pPr>
            <w:pStyle w:val="TOC1"/>
            <w:tabs>
              <w:tab w:val="right" w:leader="dot" w:pos="9350"/>
            </w:tabs>
            <w:rPr>
              <w:rFonts w:asciiTheme="minorHAnsi" w:hAnsiTheme="minorHAnsi" w:cstheme="minorBidi"/>
              <w:noProof/>
              <w:sz w:val="22"/>
              <w:szCs w:val="22"/>
            </w:rPr>
          </w:pPr>
          <w:hyperlink w:history="1" w:anchor="_Toc82159908">
            <w:r w:rsidRPr="0032220A" w:rsidR="008959A4">
              <w:rPr>
                <w:rStyle w:val="Hyperlink"/>
                <w:noProof/>
              </w:rPr>
              <w:t>11.</w:t>
            </w:r>
            <w:r w:rsidR="008959A4">
              <w:rPr>
                <w:rFonts w:asciiTheme="minorHAnsi" w:hAnsiTheme="minorHAnsi" w:cstheme="minorBidi"/>
                <w:noProof/>
                <w:sz w:val="22"/>
                <w:szCs w:val="22"/>
              </w:rPr>
              <w:tab/>
            </w:r>
            <w:r w:rsidRPr="0032220A" w:rsidR="008959A4">
              <w:rPr>
                <w:rStyle w:val="Hyperlink"/>
                <w:noProof/>
              </w:rPr>
              <w:t>Assignment of Proceeding</w:t>
            </w:r>
            <w:r w:rsidR="008959A4">
              <w:rPr>
                <w:noProof/>
                <w:webHidden/>
              </w:rPr>
              <w:tab/>
            </w:r>
            <w:r w:rsidR="008959A4">
              <w:rPr>
                <w:noProof/>
                <w:webHidden/>
              </w:rPr>
              <w:fldChar w:fldCharType="begin"/>
            </w:r>
            <w:r w:rsidR="008959A4">
              <w:rPr>
                <w:noProof/>
                <w:webHidden/>
              </w:rPr>
              <w:instrText xml:space="preserve"> PAGEREF _Toc82159908 \h </w:instrText>
            </w:r>
            <w:r w:rsidR="008959A4">
              <w:rPr>
                <w:noProof/>
                <w:webHidden/>
              </w:rPr>
            </w:r>
            <w:r w:rsidR="008959A4">
              <w:rPr>
                <w:noProof/>
                <w:webHidden/>
              </w:rPr>
              <w:fldChar w:fldCharType="separate"/>
            </w:r>
            <w:r w:rsidR="00A643C3">
              <w:rPr>
                <w:noProof/>
                <w:webHidden/>
              </w:rPr>
              <w:t>153</w:t>
            </w:r>
            <w:r w:rsidR="008959A4">
              <w:rPr>
                <w:noProof/>
                <w:webHidden/>
              </w:rPr>
              <w:fldChar w:fldCharType="end"/>
            </w:r>
          </w:hyperlink>
        </w:p>
        <w:p w:rsidR="008959A4" w:rsidP="008959A4" w:rsidRDefault="00ED6D61" w14:paraId="59D85E80" w14:textId="5F5F290C">
          <w:pPr>
            <w:pStyle w:val="TOC1"/>
            <w:tabs>
              <w:tab w:val="right" w:leader="dot" w:pos="9350"/>
            </w:tabs>
            <w:rPr>
              <w:rFonts w:asciiTheme="minorHAnsi" w:hAnsiTheme="minorHAnsi" w:cstheme="minorBidi"/>
              <w:noProof/>
              <w:sz w:val="22"/>
              <w:szCs w:val="22"/>
            </w:rPr>
          </w:pPr>
          <w:hyperlink w:history="1" w:anchor="_Toc82159909">
            <w:r w:rsidRPr="0032220A" w:rsidR="008959A4">
              <w:rPr>
                <w:rStyle w:val="Hyperlink"/>
                <w:noProof/>
              </w:rPr>
              <w:t>Findings of Fact</w:t>
            </w:r>
            <w:r w:rsidR="008959A4">
              <w:rPr>
                <w:noProof/>
                <w:webHidden/>
              </w:rPr>
              <w:tab/>
            </w:r>
            <w:r w:rsidR="008959A4">
              <w:rPr>
                <w:noProof/>
                <w:webHidden/>
              </w:rPr>
              <w:fldChar w:fldCharType="begin"/>
            </w:r>
            <w:r w:rsidR="008959A4">
              <w:rPr>
                <w:noProof/>
                <w:webHidden/>
              </w:rPr>
              <w:instrText xml:space="preserve"> PAGEREF _Toc82159909 \h </w:instrText>
            </w:r>
            <w:r w:rsidR="008959A4">
              <w:rPr>
                <w:noProof/>
                <w:webHidden/>
              </w:rPr>
            </w:r>
            <w:r w:rsidR="008959A4">
              <w:rPr>
                <w:noProof/>
                <w:webHidden/>
              </w:rPr>
              <w:fldChar w:fldCharType="separate"/>
            </w:r>
            <w:r w:rsidR="00A643C3">
              <w:rPr>
                <w:noProof/>
                <w:webHidden/>
              </w:rPr>
              <w:t>153</w:t>
            </w:r>
            <w:r w:rsidR="008959A4">
              <w:rPr>
                <w:noProof/>
                <w:webHidden/>
              </w:rPr>
              <w:fldChar w:fldCharType="end"/>
            </w:r>
          </w:hyperlink>
        </w:p>
        <w:p w:rsidR="008959A4" w:rsidP="008959A4" w:rsidRDefault="00ED6D61" w14:paraId="5CAE3F7F" w14:textId="37F1D997">
          <w:pPr>
            <w:pStyle w:val="TOC1"/>
            <w:tabs>
              <w:tab w:val="right" w:leader="dot" w:pos="9350"/>
            </w:tabs>
            <w:rPr>
              <w:rFonts w:asciiTheme="minorHAnsi" w:hAnsiTheme="minorHAnsi" w:cstheme="minorBidi"/>
              <w:noProof/>
              <w:sz w:val="22"/>
              <w:szCs w:val="22"/>
            </w:rPr>
          </w:pPr>
          <w:hyperlink w:history="1" w:anchor="_Toc82159910">
            <w:r w:rsidRPr="0032220A" w:rsidR="008959A4">
              <w:rPr>
                <w:rStyle w:val="Hyperlink"/>
                <w:noProof/>
              </w:rPr>
              <w:t>Conclusions of Law</w:t>
            </w:r>
            <w:r w:rsidR="008959A4">
              <w:rPr>
                <w:noProof/>
                <w:webHidden/>
              </w:rPr>
              <w:tab/>
            </w:r>
            <w:r w:rsidR="008959A4">
              <w:rPr>
                <w:noProof/>
                <w:webHidden/>
              </w:rPr>
              <w:fldChar w:fldCharType="begin"/>
            </w:r>
            <w:r w:rsidR="008959A4">
              <w:rPr>
                <w:noProof/>
                <w:webHidden/>
              </w:rPr>
              <w:instrText xml:space="preserve"> PAGEREF _Toc82159910 \h </w:instrText>
            </w:r>
            <w:r w:rsidR="008959A4">
              <w:rPr>
                <w:noProof/>
                <w:webHidden/>
              </w:rPr>
            </w:r>
            <w:r w:rsidR="008959A4">
              <w:rPr>
                <w:noProof/>
                <w:webHidden/>
              </w:rPr>
              <w:fldChar w:fldCharType="separate"/>
            </w:r>
            <w:r w:rsidR="00A643C3">
              <w:rPr>
                <w:noProof/>
                <w:webHidden/>
              </w:rPr>
              <w:t>156</w:t>
            </w:r>
            <w:r w:rsidR="008959A4">
              <w:rPr>
                <w:noProof/>
                <w:webHidden/>
              </w:rPr>
              <w:fldChar w:fldCharType="end"/>
            </w:r>
          </w:hyperlink>
        </w:p>
        <w:p w:rsidR="008959A4" w:rsidP="008959A4" w:rsidRDefault="00ED6D61" w14:paraId="23C6D3AA" w14:textId="6B3D11DA">
          <w:pPr>
            <w:pStyle w:val="TOC1"/>
            <w:tabs>
              <w:tab w:val="right" w:leader="dot" w:pos="9350"/>
            </w:tabs>
            <w:rPr>
              <w:rFonts w:asciiTheme="minorHAnsi" w:hAnsiTheme="minorHAnsi" w:cstheme="minorBidi"/>
              <w:noProof/>
              <w:sz w:val="22"/>
              <w:szCs w:val="22"/>
            </w:rPr>
          </w:pPr>
          <w:hyperlink w:history="1" w:anchor="_Toc82159911">
            <w:r w:rsidRPr="0032220A" w:rsidR="008959A4">
              <w:rPr>
                <w:rStyle w:val="Hyperlink"/>
                <w:noProof/>
              </w:rPr>
              <w:t>ORDER</w:t>
            </w:r>
            <w:r w:rsidR="008959A4">
              <w:rPr>
                <w:noProof/>
                <w:webHidden/>
              </w:rPr>
              <w:tab/>
            </w:r>
            <w:r w:rsidR="008959A4">
              <w:rPr>
                <w:noProof/>
                <w:webHidden/>
              </w:rPr>
              <w:fldChar w:fldCharType="begin"/>
            </w:r>
            <w:r w:rsidR="008959A4">
              <w:rPr>
                <w:noProof/>
                <w:webHidden/>
              </w:rPr>
              <w:instrText xml:space="preserve"> PAGEREF _Toc82159911 \h </w:instrText>
            </w:r>
            <w:r w:rsidR="008959A4">
              <w:rPr>
                <w:noProof/>
                <w:webHidden/>
              </w:rPr>
            </w:r>
            <w:r w:rsidR="008959A4">
              <w:rPr>
                <w:noProof/>
                <w:webHidden/>
              </w:rPr>
              <w:fldChar w:fldCharType="separate"/>
            </w:r>
            <w:r w:rsidR="00A643C3">
              <w:rPr>
                <w:noProof/>
                <w:webHidden/>
              </w:rPr>
              <w:t>159</w:t>
            </w:r>
            <w:r w:rsidR="008959A4">
              <w:rPr>
                <w:noProof/>
                <w:webHidden/>
              </w:rPr>
              <w:fldChar w:fldCharType="end"/>
            </w:r>
          </w:hyperlink>
        </w:p>
        <w:p w:rsidR="008959A4" w:rsidP="008959A4" w:rsidRDefault="008959A4" w14:paraId="1DB2E326" w14:textId="390444CC">
          <w:pPr>
            <w:ind w:left="720"/>
          </w:pPr>
          <w:r>
            <w:fldChar w:fldCharType="end"/>
          </w:r>
        </w:p>
      </w:sdtContent>
    </w:sdt>
    <w:p w:rsidRPr="000E2065" w:rsidR="008959A4" w:rsidP="008959A4" w:rsidRDefault="008959A4" w14:paraId="72C0D9BB" w14:textId="77777777">
      <w:pPr>
        <w:pStyle w:val="ALJBodyText"/>
        <w:shd w:val="clear" w:color="auto" w:fill="FFFFFF" w:themeFill="background1"/>
        <w:spacing w:line="240" w:lineRule="auto"/>
        <w:ind w:left="720" w:firstLine="0"/>
      </w:pPr>
      <w:r w:rsidRPr="009B118D">
        <w:rPr>
          <w:b/>
          <w:bCs/>
        </w:rPr>
        <w:t>Attachment 1</w:t>
      </w:r>
      <w:r>
        <w:rPr>
          <w:b/>
          <w:bCs/>
        </w:rPr>
        <w:t xml:space="preserve"> </w:t>
      </w:r>
      <w:r w:rsidRPr="000E2065">
        <w:t xml:space="preserve">- </w:t>
      </w:r>
      <w:r w:rsidRPr="00897CD4">
        <w:t>ESA Program Compliance Filing Requiremen</w:t>
      </w:r>
      <w:r>
        <w:t>ts</w:t>
      </w:r>
    </w:p>
    <w:p w:rsidRPr="000E2065" w:rsidR="008959A4" w:rsidP="008959A4" w:rsidRDefault="008959A4" w14:paraId="6B6DCC39" w14:textId="77777777">
      <w:pPr>
        <w:pStyle w:val="ALJBodyText"/>
        <w:shd w:val="clear" w:color="auto" w:fill="FFFFFF" w:themeFill="background1"/>
        <w:spacing w:line="240" w:lineRule="auto"/>
        <w:ind w:left="720" w:firstLine="0"/>
      </w:pPr>
      <w:r w:rsidRPr="009B118D">
        <w:rPr>
          <w:b/>
          <w:bCs/>
        </w:rPr>
        <w:t xml:space="preserve">Attachment </w:t>
      </w:r>
      <w:r>
        <w:rPr>
          <w:b/>
          <w:bCs/>
        </w:rPr>
        <w:t xml:space="preserve">2 </w:t>
      </w:r>
      <w:r w:rsidRPr="000E2065">
        <w:t>- Exhibit List</w:t>
      </w:r>
    </w:p>
    <w:p w:rsidR="008959A4" w:rsidP="008959A4" w:rsidRDefault="008959A4" w14:paraId="6E40991F" w14:textId="77777777">
      <w:pPr>
        <w:pStyle w:val="ALJBodyText"/>
        <w:shd w:val="clear" w:color="auto" w:fill="FFFFFF" w:themeFill="background1"/>
        <w:ind w:left="720" w:firstLine="0"/>
        <w:jc w:val="both"/>
      </w:pPr>
    </w:p>
    <w:p w:rsidR="008959A4" w:rsidP="008959A4" w:rsidRDefault="008959A4" w14:paraId="3F3F2230" w14:textId="77777777">
      <w:pPr>
        <w:pStyle w:val="ALJBodyText"/>
        <w:shd w:val="clear" w:color="auto" w:fill="FFFFFF" w:themeFill="background1"/>
        <w:ind w:left="720"/>
        <w:jc w:val="both"/>
        <w:sectPr w:rsidR="008959A4" w:rsidSect="006C569D">
          <w:headerReference w:type="even" r:id="rId12"/>
          <w:headerReference w:type="default" r:id="rId13"/>
          <w:footerReference w:type="default" r:id="rId14"/>
          <w:headerReference w:type="first" r:id="rId15"/>
          <w:footerReference w:type="first" r:id="rId16"/>
          <w:pgSz w:w="12240" w:h="15840" w:code="1"/>
          <w:pgMar w:top="1728" w:right="1440" w:bottom="1440" w:left="1440" w:header="720" w:footer="720" w:gutter="0"/>
          <w:pgNumType w:fmt="lowerRoman" w:start="1"/>
          <w:cols w:space="720"/>
          <w:titlePg/>
          <w:docGrid w:linePitch="360"/>
        </w:sectPr>
      </w:pPr>
    </w:p>
    <w:p w:rsidR="008959A4" w:rsidP="008959A4" w:rsidRDefault="008959A4" w14:paraId="740F62E0" w14:textId="77777777">
      <w:pPr>
        <w:pStyle w:val="ALJTitle"/>
        <w:ind w:left="720"/>
      </w:pPr>
      <w:r>
        <w:lastRenderedPageBreak/>
        <w:t xml:space="preserve">DECISION </w:t>
      </w:r>
      <w:r w:rsidRPr="00784C42">
        <w:t xml:space="preserve">ON </w:t>
      </w:r>
      <w:r w:rsidRPr="00A63649">
        <w:t xml:space="preserve">THE </w:t>
      </w:r>
      <w:r w:rsidRPr="00A63649">
        <w:rPr>
          <w:iCs/>
        </w:rPr>
        <w:t>SMALL</w:t>
      </w:r>
      <w:r>
        <w:rPr>
          <w:iCs/>
        </w:rPr>
        <w:t xml:space="preserve"> AND</w:t>
      </w:r>
      <w:r w:rsidRPr="00A63649">
        <w:rPr>
          <w:iCs/>
        </w:rPr>
        <w:t xml:space="preserve"> </w:t>
      </w:r>
      <w:r>
        <w:t>MULTIJURISDICTIONAL</w:t>
      </w:r>
      <w:r w:rsidRPr="00F72B38">
        <w:rPr>
          <w:iCs/>
        </w:rPr>
        <w:t xml:space="preserve"> </w:t>
      </w:r>
      <w:r w:rsidRPr="00A63649">
        <w:rPr>
          <w:iCs/>
        </w:rPr>
        <w:t>UTILITIES’</w:t>
      </w:r>
      <w:r w:rsidRPr="00A63649">
        <w:t xml:space="preserve"> CALIFORNIA ALTERNATE RATES FOR ENERGY AND ENERGY SAVINGS ASSISTANCE PROGRAM APPLICATIONS </w:t>
      </w:r>
      <w:r>
        <w:br/>
      </w:r>
      <w:r w:rsidRPr="00A63649">
        <w:t xml:space="preserve">FOR PROGRAM YEARS </w:t>
      </w:r>
      <w:r w:rsidRPr="00207479">
        <w:t>2021-2026</w:t>
      </w:r>
    </w:p>
    <w:p w:rsidRPr="003871CE" w:rsidR="008959A4" w:rsidP="008959A4" w:rsidRDefault="008959A4" w14:paraId="0D512A9B" w14:textId="77777777">
      <w:pPr>
        <w:pStyle w:val="Heading1"/>
        <w:numPr>
          <w:ilvl w:val="0"/>
          <w:numId w:val="0"/>
        </w:numPr>
        <w:ind w:left="720" w:hanging="720"/>
      </w:pPr>
      <w:bookmarkStart w:name="_Toc45616409" w:id="17"/>
      <w:bookmarkStart w:name="_Toc82159630" w:id="18"/>
      <w:r>
        <w:t>Summary</w:t>
      </w:r>
      <w:bookmarkEnd w:id="15"/>
      <w:bookmarkEnd w:id="17"/>
      <w:bookmarkEnd w:id="18"/>
    </w:p>
    <w:p w:rsidRPr="0085520A" w:rsidR="008959A4" w:rsidP="008959A4" w:rsidRDefault="008959A4" w14:paraId="7DDC4044" w14:textId="77777777">
      <w:pPr>
        <w:pStyle w:val="Standard"/>
      </w:pPr>
      <w:r>
        <w:t xml:space="preserve">This </w:t>
      </w:r>
      <w:r w:rsidRPr="0085520A">
        <w:t xml:space="preserve">decision approves the applications of the </w:t>
      </w:r>
      <w:r>
        <w:t xml:space="preserve">six </w:t>
      </w:r>
      <w:r>
        <w:rPr>
          <w:iCs/>
        </w:rPr>
        <w:t xml:space="preserve">Small and Multijurisdictional Utilities (SMJUs), </w:t>
      </w:r>
      <w:r w:rsidRPr="00D41D5B">
        <w:t>Alpine Natural Gas Operating Company No. 1, LLC (Alpine)</w:t>
      </w:r>
      <w:r>
        <w:t xml:space="preserve">, </w:t>
      </w:r>
      <w:r w:rsidRPr="00D41D5B">
        <w:t xml:space="preserve">Golden State Water Company on behalf </w:t>
      </w:r>
      <w:r>
        <w:t xml:space="preserve">of </w:t>
      </w:r>
      <w:r w:rsidRPr="00D41D5B">
        <w:t>Bear Valley Electric Service Division (Bear Valley),</w:t>
      </w:r>
      <w:r>
        <w:t xml:space="preserve"> </w:t>
      </w:r>
      <w:r w:rsidRPr="00D41D5B">
        <w:t>Liberty Utilities LLC (Liberty), PacifiCorp, Southwest Gas Corporation</w:t>
      </w:r>
      <w:bookmarkStart w:name="_Hlk43805188" w:id="19"/>
      <w:r w:rsidRPr="00D41D5B">
        <w:t xml:space="preserve"> (Southwest Gas), and</w:t>
      </w:r>
      <w:bookmarkEnd w:id="19"/>
      <w:r w:rsidRPr="00D41D5B">
        <w:t xml:space="preserve"> West Coast Gas Company (West Coast Gas</w:t>
      </w:r>
      <w:r>
        <w:t xml:space="preserve">), and </w:t>
      </w:r>
      <w:r w:rsidRPr="0085520A">
        <w:t xml:space="preserve">sets forth the parameters for the administration </w:t>
      </w:r>
      <w:r>
        <w:t>of</w:t>
      </w:r>
      <w:r w:rsidRPr="0085520A">
        <w:t xml:space="preserve"> the California Alternate Rates for Energy (CARE)</w:t>
      </w:r>
      <w:r>
        <w:t xml:space="preserve"> </w:t>
      </w:r>
      <w:r w:rsidRPr="0085520A">
        <w:t xml:space="preserve">and the Energy Savings Assistance (ESA) </w:t>
      </w:r>
      <w:r>
        <w:t>p</w:t>
      </w:r>
      <w:r w:rsidRPr="0085520A">
        <w:t>rogram</w:t>
      </w:r>
      <w:r>
        <w:t>s</w:t>
      </w:r>
      <w:r w:rsidRPr="0085520A">
        <w:t xml:space="preserve">. </w:t>
      </w:r>
      <w:r>
        <w:t xml:space="preserve">This decision </w:t>
      </w:r>
      <w:r w:rsidRPr="0085520A">
        <w:t xml:space="preserve">approves budgets for, and directs the </w:t>
      </w:r>
      <w:r>
        <w:t>SMJU</w:t>
      </w:r>
      <w:r w:rsidRPr="0085520A">
        <w:t xml:space="preserve">s’ administration of, the </w:t>
      </w:r>
      <w:r>
        <w:t xml:space="preserve">CARE and </w:t>
      </w:r>
      <w:r w:rsidRPr="0085520A">
        <w:t xml:space="preserve">ESA </w:t>
      </w:r>
      <w:r>
        <w:t>p</w:t>
      </w:r>
      <w:r w:rsidRPr="0085520A">
        <w:t xml:space="preserve">rograms for </w:t>
      </w:r>
      <w:r w:rsidRPr="00CA0348">
        <w:t>the 2021-2026 program</w:t>
      </w:r>
      <w:r>
        <w:t xml:space="preserve"> cycle</w:t>
      </w:r>
      <w:r w:rsidRPr="0085520A">
        <w:t>.</w:t>
      </w:r>
    </w:p>
    <w:p w:rsidRPr="00ED6F93" w:rsidR="008959A4" w:rsidP="008959A4" w:rsidRDefault="008959A4" w14:paraId="059A673E" w14:textId="77777777">
      <w:pPr>
        <w:pStyle w:val="Standard"/>
      </w:pPr>
      <w:r>
        <w:t xml:space="preserve">Commission Decision (D.) </w:t>
      </w:r>
      <w:r w:rsidRPr="003D300B">
        <w:t>19</w:t>
      </w:r>
      <w:r w:rsidRPr="003D300B">
        <w:noBreakHyphen/>
        <w:t>11</w:t>
      </w:r>
      <w:r w:rsidRPr="003D300B">
        <w:noBreakHyphen/>
        <w:t>005</w:t>
      </w:r>
      <w:r w:rsidRPr="0085520A">
        <w:t xml:space="preserve">, the guidance document for these </w:t>
      </w:r>
      <w:r>
        <w:t>a</w:t>
      </w:r>
      <w:r w:rsidRPr="0085520A">
        <w:t xml:space="preserve">pplications, </w:t>
      </w:r>
      <w:r>
        <w:t xml:space="preserve">directed the SMJUs to present </w:t>
      </w:r>
      <w:r w:rsidRPr="00341463">
        <w:t xml:space="preserve">innovative design approaches taking into consideration the current </w:t>
      </w:r>
      <w:r>
        <w:t xml:space="preserve">environmental, financial and </w:t>
      </w:r>
      <w:r w:rsidRPr="00341463">
        <w:t>policy landscape</w:t>
      </w:r>
      <w:r>
        <w:t xml:space="preserve">.  After reviewing the applications, </w:t>
      </w:r>
      <w:r w:rsidRPr="0085520A">
        <w:t xml:space="preserve">reflecting </w:t>
      </w:r>
      <w:r>
        <w:t xml:space="preserve">on </w:t>
      </w:r>
      <w:r w:rsidRPr="00ED6F93">
        <w:t xml:space="preserve">lessons learned from experience, and weighing party arguments, testimony, and comments, this decision authorizes </w:t>
      </w:r>
      <w:r>
        <w:t>$</w:t>
      </w:r>
      <w:r w:rsidRPr="0093560A">
        <w:t>124,371,845</w:t>
      </w:r>
      <w:r>
        <w:t xml:space="preserve"> </w:t>
      </w:r>
      <w:r w:rsidRPr="00ED6F93">
        <w:t xml:space="preserve">in funding for the CARE and ESA programs for program years 2021- 2026.  </w:t>
      </w:r>
    </w:p>
    <w:p w:rsidRPr="00ED6F93" w:rsidR="008959A4" w:rsidP="008959A4" w:rsidRDefault="008959A4" w14:paraId="0F7776CA" w14:textId="77777777">
      <w:pPr>
        <w:pStyle w:val="Standard"/>
      </w:pPr>
      <w:r w:rsidRPr="00ED6F93">
        <w:t>For the CARE program, this decision:</w:t>
      </w:r>
    </w:p>
    <w:p w:rsidRPr="00ED6F93" w:rsidR="008959A4" w:rsidP="008959A4" w:rsidRDefault="008959A4" w14:paraId="7514DEDF" w14:textId="77777777">
      <w:pPr>
        <w:pStyle w:val="ListBullet"/>
        <w:tabs>
          <w:tab w:val="clear" w:pos="360"/>
          <w:tab w:val="num" w:pos="-1440"/>
        </w:tabs>
        <w:ind w:left="1080" w:right="1440"/>
      </w:pPr>
      <w:r w:rsidRPr="00ED6F93">
        <w:t>Maintains the enrollment goal of 90 percent for the 2021</w:t>
      </w:r>
      <w:r>
        <w:noBreakHyphen/>
      </w:r>
      <w:r w:rsidRPr="00ED6F93">
        <w:t xml:space="preserve">2026 cycle. </w:t>
      </w:r>
    </w:p>
    <w:p w:rsidRPr="00ED6F93" w:rsidR="008959A4" w:rsidP="008959A4" w:rsidRDefault="008959A4" w14:paraId="3CB719C2" w14:textId="77777777">
      <w:pPr>
        <w:pStyle w:val="ListBullet"/>
        <w:tabs>
          <w:tab w:val="clear" w:pos="360"/>
          <w:tab w:val="num" w:pos="-1440"/>
        </w:tabs>
        <w:ind w:left="1080" w:right="1440"/>
      </w:pPr>
      <w:r w:rsidRPr="00ED6F93">
        <w:t>Eases recertification and verification rules for certain groups of CARE customers to decrease barriers to participation.</w:t>
      </w:r>
    </w:p>
    <w:p w:rsidRPr="00ED6F93" w:rsidR="008959A4" w:rsidP="008959A4" w:rsidRDefault="008959A4" w14:paraId="5763EDFC" w14:textId="77777777">
      <w:pPr>
        <w:pStyle w:val="ListBullet"/>
        <w:tabs>
          <w:tab w:val="clear" w:pos="360"/>
          <w:tab w:val="num" w:pos="-1440"/>
        </w:tabs>
        <w:ind w:left="1080" w:right="1440"/>
      </w:pPr>
      <w:r w:rsidRPr="00ED6F93">
        <w:lastRenderedPageBreak/>
        <w:t xml:space="preserve">Increases the CARE capitation reimbursement rate to community organizations assisting with CARE enrollments </w:t>
      </w:r>
      <w:r>
        <w:t xml:space="preserve">up </w:t>
      </w:r>
      <w:r w:rsidRPr="00ED6F93">
        <w:t xml:space="preserve">to $30 per enrollment. </w:t>
      </w:r>
    </w:p>
    <w:p w:rsidRPr="00ED6F93" w:rsidR="008959A4" w:rsidP="008959A4" w:rsidRDefault="008959A4" w14:paraId="2FADB377" w14:textId="77777777">
      <w:pPr>
        <w:pStyle w:val="ListBullet"/>
        <w:tabs>
          <w:tab w:val="clear" w:pos="360"/>
          <w:tab w:val="num" w:pos="-1440"/>
        </w:tabs>
        <w:ind w:left="1080" w:right="1440"/>
      </w:pPr>
      <w:r w:rsidRPr="00ED6F93">
        <w:t>Approves and directs tailored marketing and outreach efforts to reach the program enrollment goals.</w:t>
      </w:r>
    </w:p>
    <w:p w:rsidRPr="00ED6F93" w:rsidR="008959A4" w:rsidP="008959A4" w:rsidRDefault="008959A4" w14:paraId="35CAAAAE" w14:textId="77777777">
      <w:pPr>
        <w:pStyle w:val="ListBullet"/>
        <w:tabs>
          <w:tab w:val="clear" w:pos="360"/>
          <w:tab w:val="num" w:pos="-1440"/>
        </w:tabs>
        <w:ind w:left="1080" w:right="1440"/>
      </w:pPr>
      <w:r w:rsidRPr="00ED6F93">
        <w:t xml:space="preserve">Approves </w:t>
      </w:r>
      <w:r>
        <w:t>$</w:t>
      </w:r>
      <w:r w:rsidRPr="004B2AB0">
        <w:t>83,143,086</w:t>
      </w:r>
      <w:r>
        <w:t xml:space="preserve"> </w:t>
      </w:r>
      <w:r w:rsidRPr="00ED6F93">
        <w:t>in funding for the 2021-2026 cycle.</w:t>
      </w:r>
    </w:p>
    <w:p w:rsidRPr="00ED6F93" w:rsidR="008959A4" w:rsidP="008959A4" w:rsidRDefault="008959A4" w14:paraId="3B02B5DE" w14:textId="77777777">
      <w:pPr>
        <w:pStyle w:val="Standard"/>
        <w:tabs>
          <w:tab w:val="left" w:pos="450"/>
          <w:tab w:val="num" w:pos="720"/>
        </w:tabs>
      </w:pPr>
      <w:r w:rsidRPr="00ED6F93">
        <w:t>For the ESA program, this decision:</w:t>
      </w:r>
    </w:p>
    <w:p w:rsidR="000A134E" w:rsidP="008959A4" w:rsidRDefault="000A134E" w14:paraId="61D0E71D" w14:textId="0785BFCB">
      <w:pPr>
        <w:pStyle w:val="ListBullet"/>
        <w:tabs>
          <w:tab w:val="clear" w:pos="360"/>
          <w:tab w:val="num" w:pos="-1440"/>
        </w:tabs>
        <w:ind w:left="1080" w:right="1440"/>
      </w:pPr>
      <w:r>
        <w:t xml:space="preserve">Modifies the income eligibility requirements for the ESA program from 200 percent </w:t>
      </w:r>
      <w:r w:rsidR="009B067F">
        <w:t>f</w:t>
      </w:r>
      <w:r w:rsidRPr="008F1EE5" w:rsidR="009B067F">
        <w:t xml:space="preserve">ederal </w:t>
      </w:r>
      <w:r w:rsidR="009B067F">
        <w:t>p</w:t>
      </w:r>
      <w:r w:rsidRPr="008F1EE5" w:rsidR="009B067F">
        <w:t xml:space="preserve">overty </w:t>
      </w:r>
      <w:r w:rsidR="009B067F">
        <w:t>g</w:t>
      </w:r>
      <w:r w:rsidRPr="008F1EE5" w:rsidR="009B067F">
        <w:t>uideline</w:t>
      </w:r>
      <w:r w:rsidR="009B067F">
        <w:t xml:space="preserve"> (FPG)</w:t>
      </w:r>
      <w:r w:rsidRPr="008F1EE5" w:rsidR="009B067F">
        <w:rPr>
          <w:vertAlign w:val="superscript"/>
        </w:rPr>
        <w:footnoteReference w:id="2"/>
      </w:r>
      <w:r w:rsidRPr="008F1EE5" w:rsidR="009B067F">
        <w:t xml:space="preserve"> </w:t>
      </w:r>
      <w:r w:rsidR="002E4735">
        <w:t xml:space="preserve"> </w:t>
      </w:r>
      <w:r>
        <w:t>to 250 percent FPG beginning</w:t>
      </w:r>
      <w:r w:rsidRPr="00143A0F">
        <w:t xml:space="preserve"> July 1, 2022</w:t>
      </w:r>
      <w:r>
        <w:t xml:space="preserve">. </w:t>
      </w:r>
    </w:p>
    <w:p w:rsidRPr="00ED6F93" w:rsidR="008959A4" w:rsidP="008959A4" w:rsidRDefault="008959A4" w14:paraId="7207EBA0" w14:textId="776B1350">
      <w:pPr>
        <w:pStyle w:val="ListBullet"/>
        <w:tabs>
          <w:tab w:val="clear" w:pos="360"/>
          <w:tab w:val="num" w:pos="-1440"/>
        </w:tabs>
        <w:ind w:left="1080" w:right="1440"/>
      </w:pPr>
      <w:r w:rsidRPr="00ED6F93">
        <w:t xml:space="preserve">Shifts the program towards a </w:t>
      </w:r>
      <w:r>
        <w:t xml:space="preserve">two-tiered </w:t>
      </w:r>
      <w:r w:rsidRPr="00ED6F93">
        <w:t xml:space="preserve">model based </w:t>
      </w:r>
      <w:r>
        <w:t>on lowering barriers for participation for basic measures and offering deeper energy saving measures</w:t>
      </w:r>
      <w:r w:rsidRPr="00ED6F93">
        <w:t xml:space="preserve"> </w:t>
      </w:r>
      <w:r>
        <w:t xml:space="preserve">for prioritized </w:t>
      </w:r>
      <w:r w:rsidRPr="00ED6F93">
        <w:t>households.</w:t>
      </w:r>
    </w:p>
    <w:p w:rsidRPr="00ED6F93" w:rsidR="008959A4" w:rsidP="008959A4" w:rsidRDefault="008959A4" w14:paraId="34E73B22" w14:textId="77777777">
      <w:pPr>
        <w:pStyle w:val="ListBullet"/>
        <w:tabs>
          <w:tab w:val="clear" w:pos="360"/>
          <w:tab w:val="num" w:pos="-1440"/>
        </w:tabs>
        <w:ind w:left="1080" w:right="1440"/>
      </w:pPr>
      <w:r w:rsidRPr="00ED6F93">
        <w:t xml:space="preserve">Approves new measures for the program that focus on deeper energy savings, while allowing the SMJUs flexibility in managing the portfolio by updating the measure mixes through </w:t>
      </w:r>
      <w:r>
        <w:t>quarterly</w:t>
      </w:r>
      <w:r w:rsidRPr="00ED6F93">
        <w:t xml:space="preserve"> reports. </w:t>
      </w:r>
    </w:p>
    <w:p w:rsidRPr="00ED6F93" w:rsidR="008959A4" w:rsidP="008959A4" w:rsidRDefault="008959A4" w14:paraId="25D4514F" w14:textId="77777777">
      <w:pPr>
        <w:pStyle w:val="ListBullet"/>
        <w:tabs>
          <w:tab w:val="clear" w:pos="360"/>
          <w:tab w:val="num" w:pos="-1440"/>
        </w:tabs>
        <w:ind w:left="1080" w:right="1440"/>
      </w:pPr>
      <w:r w:rsidRPr="00ED6F93">
        <w:t>Allows for customer self-certification to receive treatment of basic measures without income qualification or property owner forms.</w:t>
      </w:r>
    </w:p>
    <w:p w:rsidRPr="00ED6F93" w:rsidR="008959A4" w:rsidP="008959A4" w:rsidRDefault="008959A4" w14:paraId="5D4001E3" w14:textId="77777777">
      <w:pPr>
        <w:pStyle w:val="ListBullet"/>
        <w:tabs>
          <w:tab w:val="clear" w:pos="360"/>
          <w:tab w:val="num" w:pos="-1440"/>
        </w:tabs>
        <w:ind w:left="1080" w:right="1440"/>
      </w:pPr>
      <w:r w:rsidRPr="00ED6F93">
        <w:t>Establishes energy saving goals</w:t>
      </w:r>
      <w:r>
        <w:t xml:space="preserve"> and </w:t>
      </w:r>
      <w:r w:rsidRPr="00ED6F93">
        <w:t>household treatment targets.</w:t>
      </w:r>
    </w:p>
    <w:p w:rsidRPr="00ED6F93" w:rsidR="008959A4" w:rsidP="008959A4" w:rsidRDefault="008959A4" w14:paraId="7B955886" w14:textId="77777777">
      <w:pPr>
        <w:pStyle w:val="ListBullet"/>
        <w:tabs>
          <w:tab w:val="clear" w:pos="360"/>
          <w:tab w:val="num" w:pos="-1440"/>
        </w:tabs>
        <w:ind w:left="1080" w:right="1440"/>
      </w:pPr>
      <w:r w:rsidRPr="00ED6F93">
        <w:t>Establishes cost effectiveness guidelines.</w:t>
      </w:r>
    </w:p>
    <w:p w:rsidRPr="00ED6F93" w:rsidR="008959A4" w:rsidP="008959A4" w:rsidRDefault="008959A4" w14:paraId="2B71FE93" w14:textId="77777777">
      <w:pPr>
        <w:pStyle w:val="ListBullet"/>
        <w:tabs>
          <w:tab w:val="clear" w:pos="360"/>
          <w:tab w:val="num" w:pos="-1440"/>
        </w:tabs>
        <w:ind w:left="1080" w:right="1440"/>
      </w:pPr>
      <w:r w:rsidRPr="00ED6F93">
        <w:t>Approves and directs tailored marketing, education, outreach and leveraging efforts to reach the program goals.</w:t>
      </w:r>
    </w:p>
    <w:p w:rsidRPr="00ED6F93" w:rsidR="008959A4" w:rsidP="008959A4" w:rsidRDefault="008959A4" w14:paraId="4F400479" w14:textId="77777777">
      <w:pPr>
        <w:pStyle w:val="ListBullet"/>
        <w:tabs>
          <w:tab w:val="clear" w:pos="360"/>
          <w:tab w:val="num" w:pos="-1440"/>
        </w:tabs>
        <w:ind w:left="1080" w:right="1440"/>
      </w:pPr>
      <w:r w:rsidRPr="00ED6F93">
        <w:t>Approves Liberty’s electrification pilot</w:t>
      </w:r>
      <w:r>
        <w:t xml:space="preserve"> with modifications</w:t>
      </w:r>
      <w:r w:rsidRPr="00ED6F93">
        <w:t>.</w:t>
      </w:r>
    </w:p>
    <w:p w:rsidRPr="00ED6F93" w:rsidR="008959A4" w:rsidP="008959A4" w:rsidRDefault="008959A4" w14:paraId="65F88333" w14:textId="77777777">
      <w:pPr>
        <w:pStyle w:val="ListBullet"/>
        <w:tabs>
          <w:tab w:val="clear" w:pos="360"/>
          <w:tab w:val="num" w:pos="-1440"/>
        </w:tabs>
        <w:ind w:left="1080" w:right="1440"/>
      </w:pPr>
      <w:r w:rsidRPr="00ED6F93">
        <w:lastRenderedPageBreak/>
        <w:t>Manages impacts to ratepayers’ bills by carrying over unspent funds to offset revenue collection and avoids large accumulations of unspent funds balances.</w:t>
      </w:r>
    </w:p>
    <w:p w:rsidRPr="00ED6F93" w:rsidR="008959A4" w:rsidP="008959A4" w:rsidRDefault="008959A4" w14:paraId="09CE354A" w14:textId="77777777">
      <w:pPr>
        <w:pStyle w:val="ListBullet"/>
        <w:tabs>
          <w:tab w:val="clear" w:pos="360"/>
          <w:tab w:val="num" w:pos="-1440"/>
        </w:tabs>
        <w:ind w:left="1080" w:right="1440"/>
      </w:pPr>
      <w:r w:rsidRPr="00ED6F93">
        <w:t xml:space="preserve">Prioritizes environmental and social justice issues and implements various efforts aimed at furthering the Environmental and Social Justice Action Plan goals. </w:t>
      </w:r>
    </w:p>
    <w:p w:rsidRPr="00ED6F93" w:rsidR="008959A4" w:rsidP="008959A4" w:rsidRDefault="008959A4" w14:paraId="46DF11BA" w14:textId="77777777">
      <w:pPr>
        <w:pStyle w:val="ListBullet"/>
        <w:tabs>
          <w:tab w:val="clear" w:pos="360"/>
          <w:tab w:val="num" w:pos="-1440"/>
        </w:tabs>
        <w:ind w:left="1080" w:right="1440"/>
      </w:pPr>
      <w:r w:rsidRPr="00ED6F93">
        <w:t xml:space="preserve">Approves </w:t>
      </w:r>
      <w:r>
        <w:t>$</w:t>
      </w:r>
      <w:r w:rsidRPr="00D06392">
        <w:t>41,228,759</w:t>
      </w:r>
      <w:r>
        <w:t xml:space="preserve"> </w:t>
      </w:r>
      <w:r w:rsidRPr="00ED6F93">
        <w:t>in funding for the 2021-2026 cycle.</w:t>
      </w:r>
    </w:p>
    <w:p w:rsidRPr="00333D0D" w:rsidR="008959A4" w:rsidP="008959A4" w:rsidRDefault="008959A4" w14:paraId="76B7EF19" w14:textId="77777777">
      <w:pPr>
        <w:pStyle w:val="Standard"/>
        <w:rPr>
          <w:highlight w:val="yellow"/>
        </w:rPr>
      </w:pPr>
      <w:r w:rsidRPr="00ED6F93">
        <w:t>In authorizing this funding for the programs, we affirm the important role that the CARE and ESA programs continue to play in the lives of low</w:t>
      </w:r>
      <w:r>
        <w:t>-</w:t>
      </w:r>
      <w:r w:rsidRPr="00ED6F93">
        <w:t xml:space="preserve">income Californians and communities. </w:t>
      </w:r>
      <w:r>
        <w:t xml:space="preserve"> </w:t>
      </w:r>
      <w:r w:rsidRPr="00ED6F93">
        <w:t>These programs will continue to</w:t>
      </w:r>
      <w:r w:rsidRPr="00EF63D4">
        <w:t xml:space="preserve"> </w:t>
      </w:r>
      <w:r w:rsidRPr="00EF63D4">
        <w:rPr>
          <w:rFonts w:ascii="Palatino" w:hAnsi="Palatino" w:eastAsia="Times New Roman"/>
          <w:szCs w:val="26"/>
        </w:rPr>
        <w:t>directly benefit low</w:t>
      </w:r>
      <w:r>
        <w:rPr>
          <w:rFonts w:ascii="Palatino" w:hAnsi="Palatino" w:eastAsia="Times New Roman"/>
          <w:szCs w:val="26"/>
        </w:rPr>
        <w:t>-</w:t>
      </w:r>
      <w:r w:rsidRPr="00EF63D4">
        <w:rPr>
          <w:rFonts w:ascii="Palatino" w:hAnsi="Palatino" w:eastAsia="Times New Roman"/>
          <w:szCs w:val="26"/>
        </w:rPr>
        <w:t xml:space="preserve">income customers by </w:t>
      </w:r>
      <w:r w:rsidRPr="00EF63D4">
        <w:t xml:space="preserve">reducing their energy bills, increasing the </w:t>
      </w:r>
      <w:r>
        <w:t xml:space="preserve">health, </w:t>
      </w:r>
      <w:r w:rsidRPr="00EF63D4">
        <w:t xml:space="preserve">comfort and safety </w:t>
      </w:r>
      <w:r>
        <w:t>(HCS) in</w:t>
      </w:r>
      <w:r w:rsidRPr="00EF63D4">
        <w:t xml:space="preserve"> the</w:t>
      </w:r>
      <w:r>
        <w:t>ir</w:t>
      </w:r>
      <w:r w:rsidRPr="00EF63D4">
        <w:t xml:space="preserve"> home, and promoting energy education and efficiency practices which lead to resource adequacy and a lower carbon footprint. </w:t>
      </w:r>
    </w:p>
    <w:p w:rsidRPr="005167F4" w:rsidR="008959A4" w:rsidP="008959A4" w:rsidRDefault="008959A4" w14:paraId="095C8CD1" w14:textId="77777777">
      <w:pPr>
        <w:pStyle w:val="Heading1"/>
      </w:pPr>
      <w:bookmarkStart w:name="_Toc2517038" w:id="20"/>
      <w:bookmarkStart w:name="_Toc2523436" w:id="21"/>
      <w:bookmarkStart w:name="_Toc45616410" w:id="22"/>
      <w:bookmarkStart w:name="_Toc82159631" w:id="23"/>
      <w:r w:rsidRPr="005167F4">
        <w:t>Background</w:t>
      </w:r>
      <w:bookmarkEnd w:id="20"/>
      <w:bookmarkEnd w:id="21"/>
      <w:bookmarkEnd w:id="22"/>
      <w:bookmarkEnd w:id="23"/>
    </w:p>
    <w:p w:rsidRPr="005167F4" w:rsidR="008959A4" w:rsidP="008959A4" w:rsidRDefault="008959A4" w14:paraId="3E92F5C8" w14:textId="77777777">
      <w:pPr>
        <w:pStyle w:val="Heading2"/>
      </w:pPr>
      <w:bookmarkStart w:name="_Toc82159632" w:id="24"/>
      <w:bookmarkStart w:name="_Toc45616411" w:id="25"/>
      <w:r w:rsidRPr="005167F4">
        <w:t xml:space="preserve">The California Alternate Rates for </w:t>
      </w:r>
      <w:r w:rsidRPr="005167F4">
        <w:br/>
        <w:t>Energy (CARE) Program</w:t>
      </w:r>
      <w:bookmarkEnd w:id="24"/>
      <w:r w:rsidRPr="005167F4">
        <w:t xml:space="preserve"> </w:t>
      </w:r>
    </w:p>
    <w:p w:rsidRPr="00537BBC" w:rsidR="008959A4" w:rsidP="008959A4" w:rsidRDefault="008959A4" w14:paraId="26EBDAEA" w14:textId="2250C0B6">
      <w:pPr>
        <w:pStyle w:val="ALJBodyText"/>
      </w:pPr>
      <w:bookmarkStart w:name="_Hlk52894999" w:id="26"/>
      <w:r w:rsidRPr="008F1EE5">
        <w:t xml:space="preserve">The CARE </w:t>
      </w:r>
      <w:r>
        <w:t>p</w:t>
      </w:r>
      <w:r w:rsidRPr="008F1EE5">
        <w:t>rogram is a low</w:t>
      </w:r>
      <w:r>
        <w:t>-</w:t>
      </w:r>
      <w:r w:rsidRPr="008F1EE5">
        <w:t xml:space="preserve">income energy rate assistance program </w:t>
      </w:r>
      <w:r>
        <w:t xml:space="preserve">established in 1989 to </w:t>
      </w:r>
      <w:r w:rsidRPr="008F1EE5">
        <w:t>provid</w:t>
      </w:r>
      <w:r>
        <w:t>e</w:t>
      </w:r>
      <w:r w:rsidRPr="008F1EE5">
        <w:t xml:space="preserve"> a</w:t>
      </w:r>
      <w:r>
        <w:t xml:space="preserve"> </w:t>
      </w:r>
      <w:r w:rsidRPr="008F1EE5">
        <w:t>discount on energy rates to low</w:t>
      </w:r>
      <w:r>
        <w:t>-</w:t>
      </w:r>
      <w:r w:rsidRPr="008F1EE5">
        <w:t xml:space="preserve">income households with incomes at or below 200 percent of </w:t>
      </w:r>
      <w:r>
        <w:t>FPG</w:t>
      </w:r>
      <w:r w:rsidRPr="008F1EE5">
        <w:t>.</w:t>
      </w:r>
      <w:r w:rsidRPr="008F1EE5">
        <w:rPr>
          <w:vertAlign w:val="superscript"/>
        </w:rPr>
        <w:footnoteReference w:id="3"/>
      </w:r>
      <w:r w:rsidRPr="008F1EE5">
        <w:t xml:space="preserve"> </w:t>
      </w:r>
      <w:r>
        <w:t xml:space="preserve"> </w:t>
      </w:r>
      <w:r w:rsidRPr="00537BBC">
        <w:t xml:space="preserve">The </w:t>
      </w:r>
      <w:r>
        <w:t>p</w:t>
      </w:r>
      <w:r w:rsidRPr="00537BBC">
        <w:t xml:space="preserve">rogram is authorized by California </w:t>
      </w:r>
      <w:r w:rsidRPr="008F1EE5">
        <w:t>Public Utilities (Pub.</w:t>
      </w:r>
      <w:r>
        <w:t> </w:t>
      </w:r>
      <w:r w:rsidRPr="008F1EE5">
        <w:t xml:space="preserve">Util.) </w:t>
      </w:r>
      <w:r w:rsidRPr="00537BBC">
        <w:t>Code</w:t>
      </w:r>
      <w:r>
        <w:t xml:space="preserve"> </w:t>
      </w:r>
      <w:r w:rsidRPr="00537BBC">
        <w:t>Section 739.1, which provides that:</w:t>
      </w:r>
    </w:p>
    <w:p w:rsidRPr="000A3DEC" w:rsidR="008959A4" w:rsidP="008959A4" w:rsidRDefault="008959A4" w14:paraId="413A1401" w14:textId="77777777">
      <w:pPr>
        <w:pStyle w:val="BlockQuote"/>
        <w:spacing w:after="240"/>
        <w:ind w:right="1440"/>
      </w:pPr>
      <w:r w:rsidRPr="000A3DEC">
        <w:t xml:space="preserve">[T]he commission shall ensure that the level of CARE discount for low-income electric and gas customers correctly reflects the level of need…subject to both of the following: </w:t>
      </w:r>
      <w:r>
        <w:t xml:space="preserve"> </w:t>
      </w:r>
      <w:r w:rsidRPr="000A3DEC">
        <w:t xml:space="preserve">(1) that the commission ensure that low-income ratepayers are not jeopardized or overburdened by monthly energy expenditures, pursuant to subdivision (b) of Section 382; and (2) That the level of the discount for low-income electricity </w:t>
      </w:r>
      <w:r w:rsidRPr="000A3DEC">
        <w:lastRenderedPageBreak/>
        <w:t>and gas ratepayers correctly reflects the level of need as determined by the needs assessment conducted pursuant to subdivision (d) of Section 382.</w:t>
      </w:r>
      <w:r w:rsidRPr="00A95859">
        <w:rPr>
          <w:rStyle w:val="FootnoteReference"/>
        </w:rPr>
        <w:footnoteReference w:id="4"/>
      </w:r>
      <w:r>
        <w:t>.</w:t>
      </w:r>
      <w:r w:rsidRPr="000A3DEC">
        <w:t xml:space="preserve"> </w:t>
      </w:r>
      <w:r>
        <w:t xml:space="preserve"> </w:t>
      </w:r>
      <w:r w:rsidRPr="000A3DEC">
        <w:t>The entire discount shall be provided in the form of a reduction in the overall bill for the eligible CARE customer.</w:t>
      </w:r>
      <w:r>
        <w:rPr>
          <w:rStyle w:val="FootnoteReference"/>
        </w:rPr>
        <w:footnoteReference w:id="5"/>
      </w:r>
    </w:p>
    <w:p w:rsidRPr="009E23C1" w:rsidR="008959A4" w:rsidP="008959A4" w:rsidRDefault="008959A4" w14:paraId="6C1E51C3" w14:textId="77777777">
      <w:pPr>
        <w:pStyle w:val="Standard"/>
      </w:pPr>
      <w:r w:rsidRPr="00531B98">
        <w:t xml:space="preserve">The CARE </w:t>
      </w:r>
      <w:r>
        <w:t>p</w:t>
      </w:r>
      <w:r w:rsidRPr="00531B98">
        <w:t xml:space="preserve">rogram </w:t>
      </w:r>
      <w:r>
        <w:t>initially</w:t>
      </w:r>
      <w:r w:rsidRPr="00531B98">
        <w:t xml:space="preserve"> provid</w:t>
      </w:r>
      <w:r>
        <w:t xml:space="preserve">ed </w:t>
      </w:r>
      <w:r w:rsidRPr="00531B98">
        <w:t xml:space="preserve">a 15 percent discount on </w:t>
      </w:r>
      <w:r>
        <w:t xml:space="preserve">natural gas and electric </w:t>
      </w:r>
      <w:r w:rsidRPr="00531B98">
        <w:t>rates to residential households with</w:t>
      </w:r>
      <w:r>
        <w:t xml:space="preserve"> </w:t>
      </w:r>
      <w:r w:rsidRPr="00531B98">
        <w:t>income at or below 150</w:t>
      </w:r>
      <w:r>
        <w:t> </w:t>
      </w:r>
      <w:r w:rsidRPr="00531B98">
        <w:t xml:space="preserve">percent of the </w:t>
      </w:r>
      <w:r>
        <w:t>FPG</w:t>
      </w:r>
      <w:r w:rsidRPr="00531B98">
        <w:t>.</w:t>
      </w:r>
      <w:r>
        <w:t xml:space="preserve">  Today, the program provides a </w:t>
      </w:r>
      <w:r w:rsidRPr="00C25C88">
        <w:t xml:space="preserve">20 percent discount </w:t>
      </w:r>
      <w:bookmarkStart w:name="_Hlk55820577" w:id="27"/>
      <w:r w:rsidRPr="009E23C1">
        <w:t xml:space="preserve">off </w:t>
      </w:r>
      <w:r>
        <w:t xml:space="preserve">electric and </w:t>
      </w:r>
      <w:r w:rsidRPr="009E23C1">
        <w:t>natural gas charges.</w:t>
      </w:r>
      <w:r>
        <w:rPr>
          <w:rStyle w:val="FootnoteReference"/>
        </w:rPr>
        <w:footnoteReference w:id="6"/>
      </w:r>
    </w:p>
    <w:p w:rsidRPr="00006BB6" w:rsidR="008959A4" w:rsidP="008959A4" w:rsidRDefault="008959A4" w14:paraId="62339927" w14:textId="6F8D6909">
      <w:pPr>
        <w:spacing w:line="360" w:lineRule="auto"/>
        <w:ind w:firstLine="720"/>
      </w:pPr>
      <w:r>
        <w:t>C</w:t>
      </w:r>
      <w:r w:rsidRPr="00AA5334">
        <w:t>ustomers must self-certify that their income meets the program eligibility requirement</w:t>
      </w:r>
      <w:r>
        <w:t xml:space="preserve">.  </w:t>
      </w:r>
      <w:r w:rsidRPr="00EE5CEA">
        <w:t>To protect the integrity of the self-certification</w:t>
      </w:r>
      <w:r>
        <w:t xml:space="preserve"> </w:t>
      </w:r>
      <w:r w:rsidRPr="00EE5CEA">
        <w:t xml:space="preserve">option, </w:t>
      </w:r>
      <w:r>
        <w:t xml:space="preserve">some </w:t>
      </w:r>
      <w:r w:rsidRPr="002714DA">
        <w:t xml:space="preserve">Small and Multijurisdictional Utilities </w:t>
      </w:r>
      <w:r>
        <w:t>(SMJUs)</w:t>
      </w:r>
      <w:r w:rsidRPr="00EE5CEA">
        <w:t xml:space="preserve"> use a random sampling income</w:t>
      </w:r>
      <w:r>
        <w:t xml:space="preserve"> </w:t>
      </w:r>
      <w:r w:rsidRPr="00EE5CEA">
        <w:t>verification process</w:t>
      </w:r>
      <w:r>
        <w:t xml:space="preserve">, also known as post enrollment verification or </w:t>
      </w:r>
      <w:r w:rsidRPr="00771976">
        <w:t>Post Enrollment Verification (PEV)</w:t>
      </w:r>
      <w:r>
        <w:t>.</w:t>
      </w:r>
      <w:r w:rsidRPr="00771976">
        <w:t xml:space="preserve"> </w:t>
      </w:r>
      <w:r>
        <w:t xml:space="preserve"> This process</w:t>
      </w:r>
      <w:r w:rsidRPr="00771976">
        <w:t xml:space="preserve"> balances the desire for the maximum</w:t>
      </w:r>
      <w:r w:rsidRPr="00EE5CEA">
        <w:t xml:space="preserve"> number of eligible customers to participate </w:t>
      </w:r>
      <w:r>
        <w:t xml:space="preserve">in the program </w:t>
      </w:r>
      <w:r w:rsidRPr="00EE5CEA">
        <w:t>with the need to verify</w:t>
      </w:r>
      <w:r>
        <w:t xml:space="preserve"> </w:t>
      </w:r>
      <w:r w:rsidRPr="00EE5CEA">
        <w:t>participant eligibility</w:t>
      </w:r>
      <w:r>
        <w:t xml:space="preserve">, and should be conducted using risk factors that ensure that all demographics are sampled equitably.  Eligible customers </w:t>
      </w:r>
      <w:r w:rsidRPr="00C10DFF">
        <w:t>consist of</w:t>
      </w:r>
      <w:r>
        <w:t xml:space="preserve"> those living in</w:t>
      </w:r>
      <w:r w:rsidRPr="00C10DFF">
        <w:t xml:space="preserve"> residential single-family households, tenants of sub</w:t>
      </w:r>
      <w:r w:rsidR="00BE6E5B">
        <w:noBreakHyphen/>
      </w:r>
      <w:r w:rsidRPr="00C10DFF">
        <w:t>metered</w:t>
      </w:r>
      <w:r>
        <w:t xml:space="preserve"> </w:t>
      </w:r>
      <w:r w:rsidRPr="00C10DFF">
        <w:t>residential facilities, non-profit group living facilities, agricultural employee housing facilities,</w:t>
      </w:r>
      <w:r>
        <w:t xml:space="preserve"> </w:t>
      </w:r>
      <w:r w:rsidRPr="00C10DFF">
        <w:t>and migrant farm worker housing centers</w:t>
      </w:r>
      <w:r w:rsidRPr="008F1EE5">
        <w:t>.</w:t>
      </w:r>
      <w:r w:rsidRPr="008F1EE5">
        <w:rPr>
          <w:vertAlign w:val="superscript"/>
        </w:rPr>
        <w:footnoteReference w:id="7"/>
      </w:r>
    </w:p>
    <w:bookmarkEnd w:id="27"/>
    <w:p w:rsidRPr="00E02F6E" w:rsidR="008959A4" w:rsidP="008959A4" w:rsidRDefault="008959A4" w14:paraId="70875BFC" w14:textId="77777777">
      <w:pPr>
        <w:pStyle w:val="ALJBodyText"/>
      </w:pPr>
      <w:r w:rsidRPr="00C24413">
        <w:t>The CARE program is funded by non</w:t>
      </w:r>
      <w:r w:rsidRPr="00C24413">
        <w:noBreakHyphen/>
      </w:r>
      <w:r>
        <w:t>exempt</w:t>
      </w:r>
      <w:r w:rsidRPr="00C24413">
        <w:t xml:space="preserve"> ratepayers</w:t>
      </w:r>
      <w:r>
        <w:t xml:space="preserve"> (whereas e</w:t>
      </w:r>
      <w:r w:rsidRPr="00400994">
        <w:t>xempt customers include CARE customers</w:t>
      </w:r>
      <w:r>
        <w:t>)</w:t>
      </w:r>
      <w:r w:rsidRPr="00C24413">
        <w:t xml:space="preserve"> as part of a statutory public purpose </w:t>
      </w:r>
      <w:r w:rsidRPr="00C24413">
        <w:lastRenderedPageBreak/>
        <w:t xml:space="preserve">program surcharge that appears on </w:t>
      </w:r>
      <w:r w:rsidRPr="00400994">
        <w:t>non-exempt residential and non-residential classes</w:t>
      </w:r>
      <w:r>
        <w:t>’</w:t>
      </w:r>
      <w:r w:rsidRPr="00C24413">
        <w:t xml:space="preserve"> monthly utility bills.</w:t>
      </w:r>
      <w:r w:rsidRPr="00C24413">
        <w:rPr>
          <w:vertAlign w:val="superscript"/>
        </w:rPr>
        <w:footnoteReference w:id="8"/>
      </w:r>
    </w:p>
    <w:p w:rsidRPr="00E93625" w:rsidR="008959A4" w:rsidP="008959A4" w:rsidRDefault="008959A4" w14:paraId="13E0C531" w14:textId="77777777">
      <w:pPr>
        <w:pStyle w:val="Heading2"/>
      </w:pPr>
      <w:bookmarkStart w:name="_Toc82159633" w:id="28"/>
      <w:bookmarkEnd w:id="26"/>
      <w:r w:rsidRPr="00E93625">
        <w:t xml:space="preserve">The Energy Savings Assistance </w:t>
      </w:r>
      <w:r>
        <w:t xml:space="preserve">(ESA) </w:t>
      </w:r>
      <w:r w:rsidRPr="00E93625">
        <w:t>Program</w:t>
      </w:r>
      <w:bookmarkEnd w:id="25"/>
      <w:bookmarkEnd w:id="28"/>
      <w:r>
        <w:t xml:space="preserve"> </w:t>
      </w:r>
    </w:p>
    <w:p w:rsidRPr="009E23C1" w:rsidR="008959A4" w:rsidP="008959A4" w:rsidRDefault="008959A4" w14:paraId="30F998FB" w14:textId="77777777">
      <w:pPr>
        <w:pStyle w:val="Standard"/>
      </w:pPr>
      <w:r w:rsidRPr="008F1EE5">
        <w:t xml:space="preserve">The ESA </w:t>
      </w:r>
      <w:r>
        <w:t>p</w:t>
      </w:r>
      <w:r w:rsidRPr="008F1EE5">
        <w:t xml:space="preserve">rogram </w:t>
      </w:r>
      <w:r>
        <w:t xml:space="preserve">is a no-cost energy efficiency program that </w:t>
      </w:r>
      <w:r w:rsidRPr="002E45CC">
        <w:t>provides home weatherization services and energy efficiency measures to help low</w:t>
      </w:r>
      <w:r>
        <w:noBreakHyphen/>
      </w:r>
      <w:r w:rsidRPr="002E45CC">
        <w:t>income households conserve energy</w:t>
      </w:r>
      <w:r>
        <w:t xml:space="preserve">, </w:t>
      </w:r>
      <w:r w:rsidRPr="002E45CC">
        <w:t xml:space="preserve">reduce </w:t>
      </w:r>
      <w:r>
        <w:t xml:space="preserve">their </w:t>
      </w:r>
      <w:r w:rsidRPr="002E45CC">
        <w:t>energy costs</w:t>
      </w:r>
      <w:r>
        <w:t xml:space="preserve">/utility bills, </w:t>
      </w:r>
      <w:r w:rsidRPr="002E45CC">
        <w:t xml:space="preserve">and improve </w:t>
      </w:r>
      <w:r>
        <w:t xml:space="preserve">the </w:t>
      </w:r>
      <w:r w:rsidRPr="002714DA">
        <w:t xml:space="preserve">health, comfort and safety </w:t>
      </w:r>
      <w:r>
        <w:t>(HCS) of the home</w:t>
      </w:r>
      <w:r w:rsidRPr="002E45CC">
        <w:t xml:space="preserve">. </w:t>
      </w:r>
      <w:r>
        <w:t xml:space="preserve"> </w:t>
      </w:r>
      <w:r w:rsidRPr="002E45CC">
        <w:t>The program also provides information and education to promote energy efficient practices in low</w:t>
      </w:r>
      <w:r>
        <w:noBreakHyphen/>
      </w:r>
      <w:r w:rsidRPr="002E45CC">
        <w:t>income communities.</w:t>
      </w:r>
      <w:r w:rsidRPr="00A95859">
        <w:t xml:space="preserve"> </w:t>
      </w:r>
      <w:r>
        <w:t>Initially</w:t>
      </w:r>
      <w:r w:rsidRPr="008F1EE5">
        <w:t xml:space="preserve"> offered as an assistance program directly from a few </w:t>
      </w:r>
      <w:r>
        <w:t>utilities</w:t>
      </w:r>
      <w:r w:rsidRPr="008F1EE5">
        <w:t xml:space="preserve"> in the 1980s</w:t>
      </w:r>
      <w:r>
        <w:t>, the ESA program was</w:t>
      </w:r>
      <w:r w:rsidRPr="00A13C66">
        <w:t xml:space="preserve"> </w:t>
      </w:r>
      <w:r>
        <w:t xml:space="preserve">later </w:t>
      </w:r>
      <w:r w:rsidRPr="008F1EE5">
        <w:t>adopted and codified</w:t>
      </w:r>
      <w:r>
        <w:t xml:space="preserve"> into statute in </w:t>
      </w:r>
      <w:r w:rsidRPr="008F1EE5">
        <w:t>1990</w:t>
      </w:r>
      <w:r>
        <w:t xml:space="preserve">. </w:t>
      </w:r>
      <w:r w:rsidRPr="008F1EE5">
        <w:t xml:space="preserve">California Pub. Util. Code </w:t>
      </w:r>
      <w:r>
        <w:t>§</w:t>
      </w:r>
      <w:r w:rsidRPr="008F1EE5">
        <w:t xml:space="preserve"> 2790(a) provides</w:t>
      </w:r>
      <w:r w:rsidRPr="009E23C1">
        <w:t>:</w:t>
      </w:r>
    </w:p>
    <w:p w:rsidR="008959A4" w:rsidP="008959A4" w:rsidRDefault="008959A4" w14:paraId="726EA727" w14:textId="77777777">
      <w:pPr>
        <w:pStyle w:val="BlockQuote"/>
        <w:spacing w:after="240"/>
        <w:ind w:right="1440"/>
      </w:pPr>
      <w:r w:rsidRPr="008F1EE5">
        <w:t>The commission shall require an electrical or gas corporation to perform home weatherization services for low-income customers, as determined by the commission under Section</w:t>
      </w:r>
      <w:r>
        <w:t> </w:t>
      </w:r>
      <w:r w:rsidRPr="008F1EE5">
        <w:t xml:space="preserve">739, if the commission determines that a significant need for those services exists in the </w:t>
      </w:r>
      <w:r w:rsidRPr="001A4C9C">
        <w:t>corporation</w:t>
      </w:r>
      <w:r>
        <w:t>’</w:t>
      </w:r>
      <w:r w:rsidRPr="001A4C9C">
        <w:t>s</w:t>
      </w:r>
      <w:r w:rsidRPr="008F1EE5">
        <w:t xml:space="preserve"> service territory, taking into consideration both the cost-effectiveness of the services and the policy of reducing the hardships facing low-income households</w:t>
      </w:r>
      <w:r w:rsidRPr="00B14D70">
        <w:t>.</w:t>
      </w:r>
      <w:r w:rsidRPr="00C3349B">
        <w:rPr>
          <w:rStyle w:val="FootnoteReference"/>
        </w:rPr>
        <w:footnoteReference w:id="9"/>
      </w:r>
      <w:bookmarkStart w:name="_Hlk52894612" w:id="29"/>
    </w:p>
    <w:p w:rsidR="008959A4" w:rsidP="008959A4" w:rsidRDefault="008959A4" w14:paraId="1A0F786F" w14:textId="5CD3437F">
      <w:pPr>
        <w:pStyle w:val="Standard"/>
      </w:pPr>
      <w:r w:rsidRPr="008A3CF6">
        <w:t xml:space="preserve">Income </w:t>
      </w:r>
      <w:r>
        <w:t>limits</w:t>
      </w:r>
      <w:r w:rsidRPr="008A3CF6">
        <w:t xml:space="preserve"> for program participation is </w:t>
      </w:r>
      <w:r w:rsidR="00AE3919">
        <w:t xml:space="preserve">currently </w:t>
      </w:r>
      <w:r w:rsidRPr="008A3CF6">
        <w:t xml:space="preserve">set at 200 percent at or below </w:t>
      </w:r>
      <w:r>
        <w:t>FPG,</w:t>
      </w:r>
      <w:r w:rsidRPr="008A3CF6">
        <w:rPr>
          <w:vertAlign w:val="superscript"/>
        </w:rPr>
        <w:footnoteReference w:id="10"/>
      </w:r>
      <w:r w:rsidRPr="008A3CF6">
        <w:t xml:space="preserve"> </w:t>
      </w:r>
      <w:r>
        <w:t>and households eligible</w:t>
      </w:r>
      <w:r w:rsidRPr="00F77BDD">
        <w:t xml:space="preserve"> </w:t>
      </w:r>
      <w:r w:rsidRPr="008A3CF6">
        <w:t>for program participation</w:t>
      </w:r>
      <w:r>
        <w:t xml:space="preserve"> include residential </w:t>
      </w:r>
      <w:r w:rsidRPr="002D3A66">
        <w:t xml:space="preserve">single-family households, multifamily households, mobile homes, renters, </w:t>
      </w:r>
      <w:r>
        <w:t>and</w:t>
      </w:r>
      <w:r w:rsidRPr="002D3A66">
        <w:t xml:space="preserve"> owners.</w:t>
      </w:r>
      <w:r w:rsidR="00AE3919">
        <w:t xml:space="preserve"> Beginning </w:t>
      </w:r>
      <w:r w:rsidRPr="00143A0F" w:rsidR="00AE3919">
        <w:t>July 1, 2022</w:t>
      </w:r>
      <w:r w:rsidR="00AE3919">
        <w:t xml:space="preserve">, the income eligibility requirements for the ESA program will </w:t>
      </w:r>
      <w:r w:rsidR="00312923">
        <w:t xml:space="preserve">be </w:t>
      </w:r>
      <w:r w:rsidR="00142892">
        <w:t>modified to</w:t>
      </w:r>
      <w:r w:rsidR="00AE3919">
        <w:t xml:space="preserve"> 250 percent FPG</w:t>
      </w:r>
      <w:r w:rsidR="00142892">
        <w:t xml:space="preserve"> per</w:t>
      </w:r>
      <w:r w:rsidR="00AE3919">
        <w:t xml:space="preserve"> Senate Bill 756</w:t>
      </w:r>
      <w:r w:rsidR="00142892">
        <w:t xml:space="preserve"> as discussed </w:t>
      </w:r>
      <w:r w:rsidR="00EC7005">
        <w:t xml:space="preserve">further </w:t>
      </w:r>
      <w:r w:rsidR="00142892">
        <w:t>in Section 5.2.9.1</w:t>
      </w:r>
      <w:r w:rsidRPr="00143A0F" w:rsidR="00AE3919">
        <w:t>.</w:t>
      </w:r>
    </w:p>
    <w:p w:rsidR="008959A4" w:rsidP="008959A4" w:rsidRDefault="008959A4" w14:paraId="5E8BF823" w14:textId="77777777">
      <w:pPr>
        <w:pStyle w:val="ALJBodyText"/>
      </w:pPr>
      <w:r>
        <w:lastRenderedPageBreak/>
        <w:t>The ESA program is funded by b</w:t>
      </w:r>
      <w:r w:rsidRPr="00374DD3">
        <w:t xml:space="preserve">oth </w:t>
      </w:r>
      <w:r>
        <w:t>exempt</w:t>
      </w:r>
      <w:r w:rsidRPr="00374DD3">
        <w:t xml:space="preserve"> and non</w:t>
      </w:r>
      <w:r w:rsidRPr="00374DD3">
        <w:noBreakHyphen/>
      </w:r>
      <w:r>
        <w:t>exempt</w:t>
      </w:r>
      <w:r w:rsidRPr="00374DD3">
        <w:t xml:space="preserve"> ratepayers </w:t>
      </w:r>
      <w:r w:rsidRPr="00C24413">
        <w:t>as part of a statutory public purpose program surcharge that appears on their monthly utility bills</w:t>
      </w:r>
      <w:r>
        <w:t>.</w:t>
      </w:r>
    </w:p>
    <w:p w:rsidR="008959A4" w:rsidP="008959A4" w:rsidRDefault="008959A4" w14:paraId="3ABB514C" w14:textId="77777777">
      <w:pPr>
        <w:pStyle w:val="Heading1"/>
      </w:pPr>
      <w:bookmarkStart w:name="_Toc82159634" w:id="30"/>
      <w:bookmarkEnd w:id="29"/>
      <w:r>
        <w:t>History</w:t>
      </w:r>
      <w:bookmarkStart w:name="_Toc45616413" w:id="31"/>
      <w:bookmarkStart w:name="_Hlk42693950" w:id="32"/>
      <w:r>
        <w:t xml:space="preserve"> and Procedural Issues</w:t>
      </w:r>
      <w:bookmarkEnd w:id="30"/>
    </w:p>
    <w:p w:rsidRPr="009E23C1" w:rsidR="008959A4" w:rsidP="008959A4" w:rsidRDefault="008959A4" w14:paraId="3F2AB0BE" w14:textId="77777777">
      <w:pPr>
        <w:pStyle w:val="Heading2"/>
      </w:pPr>
      <w:bookmarkStart w:name="_Toc82159635" w:id="33"/>
      <w:r>
        <w:t>Commission Decision (D.) 19-11-0</w:t>
      </w:r>
      <w:bookmarkEnd w:id="31"/>
      <w:r>
        <w:t>05</w:t>
      </w:r>
      <w:bookmarkEnd w:id="33"/>
      <w:r>
        <w:t xml:space="preserve"> </w:t>
      </w:r>
    </w:p>
    <w:p w:rsidR="008959A4" w:rsidP="00BE6E5B" w:rsidRDefault="008959A4" w14:paraId="63CB4495" w14:textId="77777777">
      <w:pPr>
        <w:pStyle w:val="ALJBodyText"/>
      </w:pPr>
      <w:r w:rsidRPr="009E23C1">
        <w:t xml:space="preserve">On </w:t>
      </w:r>
      <w:r>
        <w:t>November</w:t>
      </w:r>
      <w:r w:rsidRPr="00C91043">
        <w:t xml:space="preserve"> </w:t>
      </w:r>
      <w:r>
        <w:t>7</w:t>
      </w:r>
      <w:r w:rsidRPr="00C91043">
        <w:t>, 2019, D.19-</w:t>
      </w:r>
      <w:r>
        <w:t>11</w:t>
      </w:r>
      <w:r w:rsidRPr="00C91043">
        <w:t>-0</w:t>
      </w:r>
      <w:r>
        <w:t>05</w:t>
      </w:r>
      <w:r w:rsidRPr="00C91043">
        <w:t xml:space="preserve"> </w:t>
      </w:r>
      <w:r w:rsidRPr="00BB4E00">
        <w:t>provide</w:t>
      </w:r>
      <w:r>
        <w:t>d</w:t>
      </w:r>
      <w:r w:rsidRPr="00BB4E00">
        <w:t xml:space="preserve"> guidance to the </w:t>
      </w:r>
      <w:r>
        <w:t xml:space="preserve">SMJUs </w:t>
      </w:r>
      <w:r w:rsidRPr="00BB4E00">
        <w:t>for their CARE</w:t>
      </w:r>
      <w:r>
        <w:t xml:space="preserve"> and ESA p</w:t>
      </w:r>
      <w:r w:rsidRPr="00BB4E00">
        <w:t xml:space="preserve">rogram </w:t>
      </w:r>
      <w:r>
        <w:t>ap</w:t>
      </w:r>
      <w:r w:rsidRPr="00BB4E00">
        <w:t>plications for post-2020.</w:t>
      </w:r>
      <w:r>
        <w:t xml:space="preserve"> </w:t>
      </w:r>
      <w:r w:rsidRPr="00BB4E00">
        <w:t xml:space="preserve"> </w:t>
      </w:r>
      <w:r>
        <w:t xml:space="preserve">The SMJUs were directed to present </w:t>
      </w:r>
      <w:r w:rsidRPr="00341463">
        <w:t xml:space="preserve">innovative design approaches taking into consideration the current </w:t>
      </w:r>
      <w:r>
        <w:t xml:space="preserve">environmental, financial and </w:t>
      </w:r>
      <w:r w:rsidRPr="00341463">
        <w:t>policy landscape</w:t>
      </w:r>
      <w:r>
        <w:t>.  In designing the programs, the SMJUs were to consider several</w:t>
      </w:r>
      <w:r w:rsidRPr="00341463">
        <w:t xml:space="preserve"> statewide policies</w:t>
      </w:r>
      <w:r>
        <w:t xml:space="preserve">, </w:t>
      </w:r>
      <w:r w:rsidRPr="00341463">
        <w:t xml:space="preserve">environmental and social justice </w:t>
      </w:r>
      <w:r>
        <w:t>goals,</w:t>
      </w:r>
      <w:r w:rsidRPr="00341463">
        <w:t xml:space="preserve"> </w:t>
      </w:r>
      <w:r>
        <w:t xml:space="preserve">best practices from other </w:t>
      </w:r>
      <w:r w:rsidRPr="00341463">
        <w:t>low</w:t>
      </w:r>
      <w:r>
        <w:t>-</w:t>
      </w:r>
      <w:r w:rsidRPr="00341463">
        <w:t>income program models</w:t>
      </w:r>
      <w:r>
        <w:t>, the 2016</w:t>
      </w:r>
      <w:r w:rsidRPr="00341463">
        <w:t xml:space="preserve"> Low Income Needs Assessment (LINA)</w:t>
      </w:r>
      <w:r>
        <w:t xml:space="preserve"> findings, as well as t</w:t>
      </w:r>
      <w:r w:rsidRPr="00341463">
        <w:t>he 2019 Potential and Goals Study</w:t>
      </w:r>
      <w:r>
        <w:t xml:space="preserve"> results.</w:t>
      </w:r>
      <w:r>
        <w:rPr>
          <w:rStyle w:val="FootnoteReference"/>
        </w:rPr>
        <w:footnoteReference w:id="11"/>
      </w:r>
      <w:r>
        <w:t xml:space="preserve">  The intent was to design programs that would focus on </w:t>
      </w:r>
      <w:r w:rsidRPr="00341463">
        <w:t>deeper energy savings and innovative program designs</w:t>
      </w:r>
      <w:r>
        <w:t xml:space="preserve">, while delivering HCS benefits to low-income households. </w:t>
      </w:r>
      <w:r w:rsidRPr="00341463">
        <w:t xml:space="preserve"> </w:t>
      </w:r>
      <w:r w:rsidRPr="00C91043">
        <w:t>D</w:t>
      </w:r>
      <w:r>
        <w:t xml:space="preserve">ecision </w:t>
      </w:r>
      <w:r w:rsidRPr="00C91043">
        <w:t>19-</w:t>
      </w:r>
      <w:r>
        <w:t>11</w:t>
      </w:r>
      <w:r w:rsidRPr="00C91043">
        <w:t>-</w:t>
      </w:r>
      <w:r>
        <w:t>005</w:t>
      </w:r>
      <w:r w:rsidRPr="00C91043">
        <w:t xml:space="preserve"> </w:t>
      </w:r>
      <w:r>
        <w:t xml:space="preserve">directed the SMJUs </w:t>
      </w:r>
      <w:r w:rsidRPr="00C91043">
        <w:t>to file applications and budgets for the 2021</w:t>
      </w:r>
      <w:r w:rsidRPr="00C91043">
        <w:noBreakHyphen/>
        <w:t xml:space="preserve">2026 </w:t>
      </w:r>
      <w:r>
        <w:t xml:space="preserve">CARE and ESA </w:t>
      </w:r>
      <w:r w:rsidRPr="00C91043">
        <w:t xml:space="preserve">programs </w:t>
      </w:r>
      <w:r>
        <w:t>by</w:t>
      </w:r>
      <w:r w:rsidRPr="00C91043">
        <w:t xml:space="preserve"> </w:t>
      </w:r>
      <w:r>
        <w:t>March 30</w:t>
      </w:r>
      <w:r w:rsidRPr="00C91043">
        <w:t>, 20</w:t>
      </w:r>
      <w:r>
        <w:t xml:space="preserve">20, and </w:t>
      </w:r>
      <w:r w:rsidRPr="00BB4E00">
        <w:t>adopt</w:t>
      </w:r>
      <w:r>
        <w:t>ed</w:t>
      </w:r>
      <w:r w:rsidRPr="00BB4E00">
        <w:t xml:space="preserve"> a funding level</w:t>
      </w:r>
      <w:r>
        <w:t xml:space="preserve"> for bridge funding in 2021, </w:t>
      </w:r>
      <w:r w:rsidRPr="00BB4E00">
        <w:t>should funding be required</w:t>
      </w:r>
      <w:r w:rsidRPr="00C91043">
        <w:t>.</w:t>
      </w:r>
      <w:r w:rsidRPr="00C91043">
        <w:rPr>
          <w:vertAlign w:val="superscript"/>
        </w:rPr>
        <w:footnoteReference w:id="12"/>
      </w:r>
      <w:r w:rsidRPr="00C91043">
        <w:t xml:space="preserve"> </w:t>
      </w:r>
      <w:r>
        <w:t xml:space="preserve"> O</w:t>
      </w:r>
      <w:r w:rsidRPr="00B704A3">
        <w:t>n March 23, 2020</w:t>
      </w:r>
      <w:r>
        <w:t>,</w:t>
      </w:r>
      <w:r w:rsidRPr="00B704A3">
        <w:t xml:space="preserve"> the SMJUs received an extension to May 29, 2020</w:t>
      </w:r>
      <w:r>
        <w:t>,</w:t>
      </w:r>
      <w:r w:rsidRPr="00B704A3">
        <w:t xml:space="preserve"> to file the applications via a letter from the Commission’s Executive Director.</w:t>
      </w:r>
    </w:p>
    <w:p w:rsidRPr="009E23C1" w:rsidR="008959A4" w:rsidP="008959A4" w:rsidRDefault="008959A4" w14:paraId="081306FC" w14:textId="77777777">
      <w:pPr>
        <w:pStyle w:val="Heading2"/>
      </w:pPr>
      <w:bookmarkStart w:name="_Toc82159636" w:id="34"/>
      <w:r>
        <w:t>SMJU Applications</w:t>
      </w:r>
      <w:bookmarkEnd w:id="34"/>
    </w:p>
    <w:p w:rsidR="008959A4" w:rsidP="00BE6E5B" w:rsidRDefault="008959A4" w14:paraId="5CFFB8E1" w14:textId="77777777">
      <w:pPr>
        <w:pStyle w:val="ALJBodyText"/>
      </w:pPr>
      <w:r>
        <w:t xml:space="preserve">On March 4, 2020, West Coast Gas filed an application for </w:t>
      </w:r>
      <w:r w:rsidRPr="00D75617">
        <w:t xml:space="preserve">approval of </w:t>
      </w:r>
      <w:r>
        <w:t xml:space="preserve">its CARE program </w:t>
      </w:r>
      <w:r w:rsidRPr="00D75617">
        <w:t xml:space="preserve">and </w:t>
      </w:r>
      <w:r>
        <w:t>b</w:t>
      </w:r>
      <w:r w:rsidRPr="00D75617">
        <w:t>udget</w:t>
      </w:r>
      <w:r>
        <w:t xml:space="preserve"> for program years (PYs) 20</w:t>
      </w:r>
      <w:r w:rsidRPr="00D75617">
        <w:t>21</w:t>
      </w:r>
      <w:r>
        <w:noBreakHyphen/>
      </w:r>
      <w:r w:rsidRPr="00D75617">
        <w:t>2026</w:t>
      </w:r>
      <w:r>
        <w:t xml:space="preserve">. On May 29, 2020, </w:t>
      </w:r>
      <w:r w:rsidRPr="00EB71D5">
        <w:t>PacifiCorp</w:t>
      </w:r>
      <w:r>
        <w:t xml:space="preserve">, Bear Valley, </w:t>
      </w:r>
      <w:r w:rsidRPr="005B13CF">
        <w:t>Liberty</w:t>
      </w:r>
      <w:r>
        <w:t xml:space="preserve">, Southwest Gas, and </w:t>
      </w:r>
      <w:r w:rsidRPr="005B13CF">
        <w:t xml:space="preserve">Alpine </w:t>
      </w:r>
      <w:r>
        <w:t xml:space="preserve">filed applications for </w:t>
      </w:r>
      <w:r w:rsidRPr="00D75617">
        <w:lastRenderedPageBreak/>
        <w:t xml:space="preserve">approval of the </w:t>
      </w:r>
      <w:r>
        <w:t>ESA and CARE p</w:t>
      </w:r>
      <w:r w:rsidRPr="00D75617">
        <w:t xml:space="preserve">rograms and </w:t>
      </w:r>
      <w:r>
        <w:t>b</w:t>
      </w:r>
      <w:r w:rsidRPr="00D75617">
        <w:t xml:space="preserve">udgets for </w:t>
      </w:r>
      <w:r>
        <w:t xml:space="preserve">PYs </w:t>
      </w:r>
      <w:r w:rsidRPr="00D75617">
        <w:t>2021</w:t>
      </w:r>
      <w:r>
        <w:noBreakHyphen/>
      </w:r>
      <w:r w:rsidRPr="00D75617">
        <w:t>2026</w:t>
      </w:r>
      <w:r>
        <w:t xml:space="preserve">.  These applications </w:t>
      </w:r>
      <w:r w:rsidRPr="008A5D70">
        <w:t xml:space="preserve">reflect proposals for </w:t>
      </w:r>
      <w:r>
        <w:t>new</w:t>
      </w:r>
      <w:r w:rsidRPr="008A5D70">
        <w:t xml:space="preserve"> </w:t>
      </w:r>
      <w:r>
        <w:t xml:space="preserve">program </w:t>
      </w:r>
      <w:r w:rsidRPr="008A5D70">
        <w:t xml:space="preserve">budgets, </w:t>
      </w:r>
      <w:r>
        <w:t>delivery models, targets and goals</w:t>
      </w:r>
      <w:r w:rsidRPr="008A5D70">
        <w:t xml:space="preserve">, </w:t>
      </w:r>
      <w:r>
        <w:t>measures offerings,</w:t>
      </w:r>
      <w:r w:rsidRPr="008A5D70">
        <w:t xml:space="preserve"> </w:t>
      </w:r>
      <w:r>
        <w:t xml:space="preserve">and </w:t>
      </w:r>
      <w:r w:rsidRPr="008A5D70">
        <w:t>marketing, outreach, and</w:t>
      </w:r>
      <w:r>
        <w:t xml:space="preserve"> </w:t>
      </w:r>
      <w:r w:rsidRPr="008A5D70">
        <w:t>enrollment practices, among other program and policy changes</w:t>
      </w:r>
      <w:r>
        <w:t>.</w:t>
      </w:r>
    </w:p>
    <w:p w:rsidRPr="009E23C1" w:rsidR="008959A4" w:rsidP="008959A4" w:rsidRDefault="008959A4" w14:paraId="59646694" w14:textId="77777777">
      <w:pPr>
        <w:pStyle w:val="Heading2"/>
      </w:pPr>
      <w:bookmarkStart w:name="_Toc82159637" w:id="35"/>
      <w:r w:rsidRPr="001A4C9C">
        <w:t>Hearings</w:t>
      </w:r>
      <w:r>
        <w:t xml:space="preserve"> and Rulings</w:t>
      </w:r>
      <w:bookmarkEnd w:id="35"/>
    </w:p>
    <w:p w:rsidR="008959A4" w:rsidP="008959A4" w:rsidRDefault="008959A4" w14:paraId="7BC0299B" w14:textId="77777777">
      <w:pPr>
        <w:pStyle w:val="Standard"/>
        <w:rPr>
          <w:rFonts w:cs="Palatino"/>
          <w:vertAlign w:val="superscript"/>
        </w:rPr>
      </w:pPr>
      <w:r>
        <w:t xml:space="preserve">On </w:t>
      </w:r>
      <w:r w:rsidRPr="001246A5">
        <w:t>July 7, 2020</w:t>
      </w:r>
      <w:r>
        <w:t xml:space="preserve">, the assigned Administrative Law Judge (ALJ), Ava Tran, issued a ruling to consolidate the </w:t>
      </w:r>
      <w:r w:rsidRPr="00712A3C">
        <w:t>above captioned proceedings</w:t>
      </w:r>
      <w:r w:rsidRPr="006B5531">
        <w:rPr>
          <w:rFonts w:cs="Palatino"/>
        </w:rPr>
        <w:t xml:space="preserve"> </w:t>
      </w:r>
      <w:r w:rsidRPr="00B26D2F">
        <w:rPr>
          <w:rFonts w:cs="Palatino"/>
        </w:rPr>
        <w:t>from which this consolidated proceeding follows as A.</w:t>
      </w:r>
      <w:r>
        <w:rPr>
          <w:rFonts w:cs="Palatino"/>
        </w:rPr>
        <w:t>20-03-014</w:t>
      </w:r>
      <w:r w:rsidRPr="00B26D2F">
        <w:rPr>
          <w:rFonts w:cs="Palatino"/>
        </w:rPr>
        <w:t xml:space="preserve"> et al.</w:t>
      </w:r>
      <w:r>
        <w:rPr>
          <w:rFonts w:cs="Palatino"/>
        </w:rPr>
        <w:t>,</w:t>
      </w:r>
      <w:r w:rsidRPr="00712A3C">
        <w:t xml:space="preserve"> set a date and time for </w:t>
      </w:r>
      <w:r>
        <w:t>the</w:t>
      </w:r>
      <w:r w:rsidRPr="00712A3C">
        <w:t xml:space="preserve"> joint prehearing conference </w:t>
      </w:r>
      <w:r>
        <w:t xml:space="preserve">(PHC) </w:t>
      </w:r>
      <w:r w:rsidRPr="00712A3C">
        <w:t xml:space="preserve">and set a preliminary proceeding scope and schedule </w:t>
      </w:r>
      <w:r>
        <w:t xml:space="preserve">for </w:t>
      </w:r>
      <w:r w:rsidRPr="00712A3C">
        <w:t xml:space="preserve">the </w:t>
      </w:r>
      <w:r>
        <w:t>c</w:t>
      </w:r>
      <w:r w:rsidRPr="00712A3C">
        <w:t>onsolidated proceeding</w:t>
      </w:r>
      <w:r>
        <w:t>.</w:t>
      </w:r>
      <w:r w:rsidRPr="00B26D2F">
        <w:rPr>
          <w:rFonts w:cs="Palatino"/>
          <w:vertAlign w:val="superscript"/>
        </w:rPr>
        <w:footnoteReference w:id="13"/>
      </w:r>
      <w:r>
        <w:rPr>
          <w:rFonts w:cs="Palatino"/>
          <w:vertAlign w:val="superscript"/>
        </w:rPr>
        <w:t xml:space="preserve">  </w:t>
      </w:r>
    </w:p>
    <w:p w:rsidR="008959A4" w:rsidP="008959A4" w:rsidRDefault="008959A4" w14:paraId="16092A74" w14:textId="77777777">
      <w:pPr>
        <w:pStyle w:val="Standard"/>
      </w:pPr>
      <w:r>
        <w:t>O</w:t>
      </w:r>
      <w:r w:rsidRPr="00F95936">
        <w:t xml:space="preserve">n </w:t>
      </w:r>
      <w:r>
        <w:t xml:space="preserve">July 23, 2020, a telephonic </w:t>
      </w:r>
      <w:r w:rsidRPr="00F95936">
        <w:t>PHC was held to discuss the issues of law and fact</w:t>
      </w:r>
      <w:r>
        <w:t xml:space="preserve"> </w:t>
      </w:r>
      <w:r w:rsidRPr="00F95936">
        <w:t xml:space="preserve">and to determine the need for hearings and schedule for the </w:t>
      </w:r>
      <w:r>
        <w:t xml:space="preserve">consolidated </w:t>
      </w:r>
      <w:r w:rsidRPr="00F95936">
        <w:t>proceeding.</w:t>
      </w:r>
    </w:p>
    <w:p w:rsidRPr="00BE6E5B" w:rsidR="008959A4" w:rsidP="00BE6E5B" w:rsidRDefault="008959A4" w14:paraId="78AE6374" w14:textId="77777777">
      <w:pPr>
        <w:pStyle w:val="ALJBodyText"/>
      </w:pPr>
      <w:r>
        <w:t xml:space="preserve">On August 13, 2020, a scoping memo and ruling was issued </w:t>
      </w:r>
      <w:r w:rsidRPr="00B26D2F">
        <w:rPr>
          <w:rFonts w:cs="Palatino"/>
        </w:rPr>
        <w:t>set</w:t>
      </w:r>
      <w:r>
        <w:rPr>
          <w:rFonts w:cs="Palatino"/>
        </w:rPr>
        <w:t>ting</w:t>
      </w:r>
      <w:r w:rsidRPr="00B26D2F">
        <w:rPr>
          <w:rFonts w:cs="Palatino"/>
        </w:rPr>
        <w:t xml:space="preserve"> forth the </w:t>
      </w:r>
      <w:r>
        <w:rPr>
          <w:rFonts w:cs="Palatino"/>
        </w:rPr>
        <w:t>proceeding scope and sche</w:t>
      </w:r>
      <w:r w:rsidRPr="00B26D2F">
        <w:rPr>
          <w:rFonts w:cs="Palatino"/>
        </w:rPr>
        <w:t>dule, as well as other procedural matters.</w:t>
      </w:r>
      <w:r>
        <w:rPr>
          <w:rStyle w:val="FootnoteReference"/>
          <w:rFonts w:cs="Palatino"/>
        </w:rPr>
        <w:footnoteReference w:id="14"/>
      </w:r>
      <w:r w:rsidRPr="00B26D2F">
        <w:rPr>
          <w:rFonts w:cs="Palatino"/>
        </w:rPr>
        <w:t xml:space="preserve"> </w:t>
      </w:r>
      <w:r>
        <w:rPr>
          <w:rFonts w:cs="Palatino"/>
        </w:rPr>
        <w:t xml:space="preserve"> </w:t>
      </w:r>
    </w:p>
    <w:p w:rsidRPr="009E23C1" w:rsidR="008959A4" w:rsidP="008959A4" w:rsidRDefault="008959A4" w14:paraId="552A45A3" w14:textId="77777777">
      <w:pPr>
        <w:pStyle w:val="Heading2"/>
      </w:pPr>
      <w:bookmarkStart w:name="_Toc82159638" w:id="37"/>
      <w:r>
        <w:t>Testimony and Briefs</w:t>
      </w:r>
      <w:bookmarkEnd w:id="37"/>
      <w:r>
        <w:t xml:space="preserve"> </w:t>
      </w:r>
    </w:p>
    <w:p w:rsidRPr="000A21D0" w:rsidR="008959A4" w:rsidP="008959A4" w:rsidRDefault="008959A4" w14:paraId="51BE58A7" w14:textId="77777777">
      <w:pPr>
        <w:pStyle w:val="Standard"/>
        <w:shd w:val="clear" w:color="auto" w:fill="FFFFFF" w:themeFill="background1"/>
        <w:rPr>
          <w:rFonts w:cs="Palatino"/>
        </w:rPr>
      </w:pPr>
      <w:r w:rsidRPr="00121F2D">
        <w:rPr>
          <w:rFonts w:cs="Palatino"/>
        </w:rPr>
        <w:t xml:space="preserve">On </w:t>
      </w:r>
      <w:r>
        <w:rPr>
          <w:rFonts w:cs="Palatino"/>
        </w:rPr>
        <w:t xml:space="preserve">March 26, 2021, parties filed a joint motion to offer testimony and exhibits into the </w:t>
      </w:r>
      <w:r w:rsidRPr="00631E8E">
        <w:rPr>
          <w:rFonts w:cs="Palatino"/>
        </w:rPr>
        <w:t xml:space="preserve">evidentiary record. Testimony and/or rebuttal testimony was served by the SMJUs, </w:t>
      </w:r>
      <w:r>
        <w:rPr>
          <w:rFonts w:cs="Palatino"/>
        </w:rPr>
        <w:t>the Commission’s Public Advocates Office (</w:t>
      </w:r>
      <w:r w:rsidRPr="00631E8E">
        <w:rPr>
          <w:rFonts w:cs="Palatino"/>
        </w:rPr>
        <w:t>Cal Advocates</w:t>
      </w:r>
      <w:r>
        <w:rPr>
          <w:rFonts w:cs="Palatino"/>
        </w:rPr>
        <w:t>)</w:t>
      </w:r>
      <w:r w:rsidRPr="00631E8E">
        <w:rPr>
          <w:rFonts w:cs="Palatino"/>
        </w:rPr>
        <w:t xml:space="preserve">, and </w:t>
      </w:r>
      <w:r>
        <w:rPr>
          <w:rFonts w:cs="Palatino"/>
        </w:rPr>
        <w:t xml:space="preserve">the </w:t>
      </w:r>
      <w:r w:rsidRPr="00ED1D28">
        <w:rPr>
          <w:rFonts w:cs="Palatino"/>
        </w:rPr>
        <w:t>E</w:t>
      </w:r>
      <w:r>
        <w:rPr>
          <w:rFonts w:cs="Palatino"/>
        </w:rPr>
        <w:t>nergy</w:t>
      </w:r>
      <w:r w:rsidRPr="00ED1D28">
        <w:rPr>
          <w:rFonts w:cs="Palatino"/>
        </w:rPr>
        <w:t xml:space="preserve"> E</w:t>
      </w:r>
      <w:r>
        <w:rPr>
          <w:rFonts w:cs="Palatino"/>
        </w:rPr>
        <w:t>fficiency</w:t>
      </w:r>
      <w:r w:rsidRPr="00ED1D28">
        <w:rPr>
          <w:rFonts w:cs="Palatino"/>
        </w:rPr>
        <w:t xml:space="preserve"> C</w:t>
      </w:r>
      <w:r>
        <w:rPr>
          <w:rFonts w:cs="Palatino"/>
        </w:rPr>
        <w:t>ouncil and Free</w:t>
      </w:r>
      <w:r w:rsidRPr="00ED1D28">
        <w:rPr>
          <w:rFonts w:cs="Palatino"/>
        </w:rPr>
        <w:t xml:space="preserve"> E</w:t>
      </w:r>
      <w:r>
        <w:rPr>
          <w:rFonts w:cs="Palatino"/>
        </w:rPr>
        <w:t xml:space="preserve">nergy </w:t>
      </w:r>
      <w:r w:rsidRPr="00ED1D28">
        <w:rPr>
          <w:rFonts w:cs="Palatino"/>
        </w:rPr>
        <w:t>S</w:t>
      </w:r>
      <w:r>
        <w:rPr>
          <w:rFonts w:cs="Palatino"/>
        </w:rPr>
        <w:t xml:space="preserve">avings </w:t>
      </w:r>
      <w:r w:rsidRPr="00ED1D28">
        <w:rPr>
          <w:rFonts w:cs="Palatino"/>
        </w:rPr>
        <w:t>C</w:t>
      </w:r>
      <w:r>
        <w:rPr>
          <w:rFonts w:cs="Palatino"/>
        </w:rPr>
        <w:t>ompany</w:t>
      </w:r>
      <w:r w:rsidRPr="00ED1D28">
        <w:rPr>
          <w:rFonts w:cs="Palatino"/>
        </w:rPr>
        <w:t xml:space="preserve"> LLC</w:t>
      </w:r>
      <w:r w:rsidRPr="00A45B80">
        <w:rPr>
          <w:rFonts w:cs="Palatino"/>
        </w:rPr>
        <w:t xml:space="preserve"> </w:t>
      </w:r>
      <w:r>
        <w:rPr>
          <w:rFonts w:cs="Palatino"/>
        </w:rPr>
        <w:t>(</w:t>
      </w:r>
      <w:r w:rsidRPr="00631E8E">
        <w:rPr>
          <w:rFonts w:cs="Palatino"/>
        </w:rPr>
        <w:t>EEC</w:t>
      </w:r>
      <w:r>
        <w:rPr>
          <w:rFonts w:cs="Palatino"/>
        </w:rPr>
        <w:t xml:space="preserve"> and Free Energy)</w:t>
      </w:r>
      <w:r w:rsidRPr="00631E8E">
        <w:t>.</w:t>
      </w:r>
      <w:r w:rsidRPr="00121F2D">
        <w:t xml:space="preserve"> </w:t>
      </w:r>
      <w:r>
        <w:t xml:space="preserve"> </w:t>
      </w:r>
      <w:r w:rsidRPr="00B92D91">
        <w:rPr>
          <w:rFonts w:cs="Palatino"/>
        </w:rPr>
        <w:t xml:space="preserve">No party commented on </w:t>
      </w:r>
      <w:r w:rsidRPr="00DF3BC3">
        <w:rPr>
          <w:rFonts w:cs="Palatino"/>
        </w:rPr>
        <w:t>the</w:t>
      </w:r>
      <w:r w:rsidRPr="00B92D91">
        <w:rPr>
          <w:rFonts w:cs="Palatino"/>
        </w:rPr>
        <w:t xml:space="preserve"> requests.</w:t>
      </w:r>
      <w:r w:rsidRPr="00DF3BC3">
        <w:rPr>
          <w:rFonts w:cs="Palatino"/>
        </w:rPr>
        <w:t xml:space="preserve"> </w:t>
      </w:r>
      <w:r>
        <w:rPr>
          <w:rFonts w:cs="Palatino"/>
        </w:rPr>
        <w:t xml:space="preserve"> </w:t>
      </w:r>
      <w:r w:rsidRPr="000A21D0">
        <w:rPr>
          <w:rFonts w:cs="Palatino"/>
        </w:rPr>
        <w:t xml:space="preserve">We grant the parties’ joint motion to offer testimony and exhibits into the evidentiary record consisting of the documents </w:t>
      </w:r>
      <w:r>
        <w:rPr>
          <w:rFonts w:cs="Palatino"/>
        </w:rPr>
        <w:t xml:space="preserve">listed </w:t>
      </w:r>
      <w:r w:rsidRPr="000A21D0">
        <w:rPr>
          <w:rFonts w:cs="Palatino"/>
        </w:rPr>
        <w:t xml:space="preserve">in Attachment </w:t>
      </w:r>
      <w:r>
        <w:rPr>
          <w:rFonts w:cs="Palatino"/>
        </w:rPr>
        <w:t>2.</w:t>
      </w:r>
      <w:r w:rsidRPr="000A21D0">
        <w:rPr>
          <w:rFonts w:cs="Palatino"/>
        </w:rPr>
        <w:t xml:space="preserve"> </w:t>
      </w:r>
    </w:p>
    <w:p w:rsidRPr="000A21D0" w:rsidR="008959A4" w:rsidP="008959A4" w:rsidRDefault="008959A4" w14:paraId="0E5BE1BA" w14:textId="4B240BC0">
      <w:pPr>
        <w:pStyle w:val="Standard"/>
        <w:shd w:val="clear" w:color="auto" w:fill="FFFFFF" w:themeFill="background1"/>
        <w:rPr>
          <w:rFonts w:cs="Palatino"/>
        </w:rPr>
      </w:pPr>
      <w:r w:rsidRPr="004C1696">
        <w:rPr>
          <w:rFonts w:cs="Palatino"/>
        </w:rPr>
        <w:lastRenderedPageBreak/>
        <w:t xml:space="preserve">On March 22, 2021, opening briefs were filed and served by </w:t>
      </w:r>
      <w:r>
        <w:rPr>
          <w:rFonts w:cs="Palatino"/>
        </w:rPr>
        <w:t>the SMJUs</w:t>
      </w:r>
      <w:r w:rsidRPr="004C1696">
        <w:rPr>
          <w:rFonts w:cs="Palatino"/>
        </w:rPr>
        <w:t>, Cal</w:t>
      </w:r>
      <w:r w:rsidR="00BE6E5B">
        <w:rPr>
          <w:rFonts w:cs="Palatino"/>
        </w:rPr>
        <w:t> </w:t>
      </w:r>
      <w:r w:rsidRPr="004C1696">
        <w:rPr>
          <w:rFonts w:cs="Palatino"/>
        </w:rPr>
        <w:t>Advocates, and EEC</w:t>
      </w:r>
      <w:r>
        <w:rPr>
          <w:rFonts w:cs="Palatino"/>
        </w:rPr>
        <w:t xml:space="preserve"> and Free Energy</w:t>
      </w:r>
      <w:r w:rsidRPr="004C1696">
        <w:rPr>
          <w:rFonts w:cs="Palatino"/>
        </w:rPr>
        <w:t xml:space="preserve">, and reply briefs were filed and served on April 22, 2021, </w:t>
      </w:r>
      <w:r>
        <w:rPr>
          <w:rFonts w:cs="Palatino"/>
        </w:rPr>
        <w:t xml:space="preserve">by PacifiCorp, </w:t>
      </w:r>
      <w:r w:rsidRPr="004C1696">
        <w:rPr>
          <w:rFonts w:cs="Palatino"/>
        </w:rPr>
        <w:t>Southwest Gas, and Cal Advocates.</w:t>
      </w:r>
      <w:r w:rsidRPr="000A21D0">
        <w:rPr>
          <w:rFonts w:cs="Palatino"/>
        </w:rPr>
        <w:t xml:space="preserve">  </w:t>
      </w:r>
    </w:p>
    <w:p w:rsidRPr="00A67B13" w:rsidR="008959A4" w:rsidP="008959A4" w:rsidRDefault="008959A4" w14:paraId="75EF54FD" w14:textId="77777777">
      <w:pPr>
        <w:pStyle w:val="Heading1"/>
      </w:pPr>
      <w:bookmarkStart w:name="_Toc82159639" w:id="38"/>
      <w:bookmarkStart w:name="_Toc45616419" w:id="39"/>
      <w:bookmarkEnd w:id="32"/>
      <w:r w:rsidRPr="00A67B13">
        <w:t>Issues and Scope</w:t>
      </w:r>
      <w:bookmarkEnd w:id="38"/>
      <w:r w:rsidRPr="00A67B13">
        <w:t xml:space="preserve"> </w:t>
      </w:r>
      <w:bookmarkEnd w:id="39"/>
    </w:p>
    <w:p w:rsidRPr="009119D6" w:rsidR="008959A4" w:rsidP="008959A4" w:rsidRDefault="008959A4" w14:paraId="799C657E" w14:textId="77777777">
      <w:pPr>
        <w:pStyle w:val="Standard"/>
      </w:pPr>
      <w:r w:rsidRPr="00B26D2F">
        <w:t xml:space="preserve">The Scoping Memo identified </w:t>
      </w:r>
      <w:r>
        <w:t>the following</w:t>
      </w:r>
      <w:r w:rsidRPr="00B26D2F">
        <w:t xml:space="preserve"> issues</w:t>
      </w:r>
      <w:r>
        <w:t xml:space="preserve"> </w:t>
      </w:r>
      <w:r w:rsidRPr="009119D6">
        <w:t>to be resolved:</w:t>
      </w:r>
      <w:r>
        <w:rPr>
          <w:rStyle w:val="FootnoteReference"/>
        </w:rPr>
        <w:footnoteReference w:id="15"/>
      </w:r>
    </w:p>
    <w:p w:rsidR="008959A4" w:rsidP="008959A4" w:rsidRDefault="008959A4" w14:paraId="7FEE8F13" w14:textId="77777777">
      <w:pPr>
        <w:pStyle w:val="ListAlpha"/>
        <w:numPr>
          <w:ilvl w:val="0"/>
          <w:numId w:val="13"/>
        </w:numPr>
        <w:ind w:right="1440"/>
      </w:pPr>
      <w:r w:rsidRPr="003940EF">
        <w:t>Whether the proposed CARE program budgets are</w:t>
      </w:r>
      <w:r>
        <w:t xml:space="preserve"> </w:t>
      </w:r>
      <w:r w:rsidRPr="003940EF">
        <w:t>reasonable and should be established</w:t>
      </w:r>
      <w:r>
        <w:t xml:space="preserve">; </w:t>
      </w:r>
    </w:p>
    <w:p w:rsidR="008959A4" w:rsidP="008959A4" w:rsidRDefault="008959A4" w14:paraId="7DF3D94A" w14:textId="77777777">
      <w:pPr>
        <w:pStyle w:val="ListAlpha"/>
        <w:numPr>
          <w:ilvl w:val="0"/>
          <w:numId w:val="13"/>
        </w:numPr>
        <w:ind w:right="1440"/>
      </w:pPr>
      <w:r w:rsidRPr="003940EF">
        <w:t>Whether the proposed CARE program goals are reasonable</w:t>
      </w:r>
      <w:r>
        <w:t xml:space="preserve"> </w:t>
      </w:r>
      <w:r w:rsidRPr="003940EF">
        <w:t>and should be established;</w:t>
      </w:r>
    </w:p>
    <w:p w:rsidR="008959A4" w:rsidP="008959A4" w:rsidRDefault="008959A4" w14:paraId="0EE3E2CC" w14:textId="77777777">
      <w:pPr>
        <w:pStyle w:val="ListAlpha"/>
        <w:numPr>
          <w:ilvl w:val="0"/>
          <w:numId w:val="13"/>
        </w:numPr>
        <w:ind w:right="1440"/>
      </w:pPr>
      <w:r w:rsidRPr="00550DF9">
        <w:t>Whether the proposed CARE program designs (including,</w:t>
      </w:r>
      <w:r>
        <w:t xml:space="preserve"> </w:t>
      </w:r>
      <w:r w:rsidRPr="00550DF9">
        <w:t>but not limited to, eligibility, enrollment, recertification,</w:t>
      </w:r>
      <w:r>
        <w:t xml:space="preserve"> </w:t>
      </w:r>
      <w:r w:rsidRPr="00550DF9">
        <w:t>verification, capitation fees, reporting, marketing,</w:t>
      </w:r>
      <w:r>
        <w:t xml:space="preserve"> </w:t>
      </w:r>
      <w:r w:rsidRPr="00550DF9">
        <w:t>education, and outreach) are reasonable and should be</w:t>
      </w:r>
      <w:r>
        <w:t xml:space="preserve"> </w:t>
      </w:r>
      <w:r w:rsidRPr="00550DF9">
        <w:t>established;</w:t>
      </w:r>
    </w:p>
    <w:p w:rsidR="008959A4" w:rsidP="008959A4" w:rsidRDefault="008959A4" w14:paraId="578069C6" w14:textId="77777777">
      <w:pPr>
        <w:pStyle w:val="ListAlpha"/>
        <w:numPr>
          <w:ilvl w:val="0"/>
          <w:numId w:val="13"/>
        </w:numPr>
        <w:ind w:right="1440"/>
      </w:pPr>
      <w:r w:rsidRPr="00C71E83">
        <w:t>Whether the proposed ESA program budgets are</w:t>
      </w:r>
      <w:r>
        <w:t xml:space="preserve"> </w:t>
      </w:r>
      <w:r w:rsidRPr="00C71E83">
        <w:t>reasonable and should be established;</w:t>
      </w:r>
      <w:r>
        <w:t xml:space="preserve"> </w:t>
      </w:r>
    </w:p>
    <w:p w:rsidR="008959A4" w:rsidP="008959A4" w:rsidRDefault="008959A4" w14:paraId="7466BD93" w14:textId="77777777">
      <w:pPr>
        <w:pStyle w:val="ListAlpha"/>
        <w:numPr>
          <w:ilvl w:val="0"/>
          <w:numId w:val="13"/>
        </w:numPr>
        <w:ind w:right="1440"/>
      </w:pPr>
      <w:r w:rsidRPr="00C71E83">
        <w:t>Whether the proposed ESA program goals, including</w:t>
      </w:r>
      <w:r>
        <w:t xml:space="preserve"> </w:t>
      </w:r>
      <w:r w:rsidRPr="00C71E83">
        <w:t>distribution among housing types (single family,</w:t>
      </w:r>
      <w:r>
        <w:t xml:space="preserve"> </w:t>
      </w:r>
      <w:r w:rsidRPr="00C71E83">
        <w:t>multifamily, mobile home) are reasonable and should be</w:t>
      </w:r>
      <w:r>
        <w:t xml:space="preserve"> </w:t>
      </w:r>
      <w:r w:rsidRPr="00C71E83">
        <w:t>established;</w:t>
      </w:r>
    </w:p>
    <w:p w:rsidR="008959A4" w:rsidP="008959A4" w:rsidRDefault="008959A4" w14:paraId="248398C8" w14:textId="77777777">
      <w:pPr>
        <w:pStyle w:val="ListAlpha"/>
        <w:numPr>
          <w:ilvl w:val="0"/>
          <w:numId w:val="13"/>
        </w:numPr>
        <w:ind w:right="1440"/>
      </w:pPr>
      <w:r w:rsidRPr="00C12B83">
        <w:t>Whether the proposed ESA program designs (including,</w:t>
      </w:r>
      <w:r>
        <w:t xml:space="preserve"> b</w:t>
      </w:r>
      <w:r w:rsidRPr="00C12B83">
        <w:t>ut not limited to, eligibility, application and enrollment</w:t>
      </w:r>
      <w:r>
        <w:t xml:space="preserve"> </w:t>
      </w:r>
      <w:r w:rsidRPr="00C12B83">
        <w:t>practices, measure mix, program delivery, marketing,</w:t>
      </w:r>
      <w:r>
        <w:t xml:space="preserve"> </w:t>
      </w:r>
      <w:r w:rsidRPr="00C12B83">
        <w:t>outreach, reporting, and the workforce, education and</w:t>
      </w:r>
      <w:r>
        <w:t xml:space="preserve"> </w:t>
      </w:r>
      <w:r w:rsidRPr="00C12B83">
        <w:t>training efforts/programs) are reasonable and should be</w:t>
      </w:r>
      <w:r>
        <w:t xml:space="preserve"> </w:t>
      </w:r>
      <w:r w:rsidRPr="00C12B83">
        <w:t>established;</w:t>
      </w:r>
    </w:p>
    <w:p w:rsidR="008959A4" w:rsidP="008959A4" w:rsidRDefault="008959A4" w14:paraId="6788E52E" w14:textId="77777777">
      <w:pPr>
        <w:pStyle w:val="ListAlpha"/>
        <w:numPr>
          <w:ilvl w:val="0"/>
          <w:numId w:val="13"/>
        </w:numPr>
        <w:ind w:right="1440"/>
      </w:pPr>
      <w:r w:rsidRPr="006D1834">
        <w:t>Whether the SMJUs should be granted flexibility to make</w:t>
      </w:r>
      <w:r>
        <w:t xml:space="preserve"> </w:t>
      </w:r>
      <w:r w:rsidRPr="006D1834">
        <w:t>ESA program adjustments (including fund shifting and measure modifications) via advice letters and regulatory</w:t>
      </w:r>
      <w:r>
        <w:t xml:space="preserve"> </w:t>
      </w:r>
      <w:r w:rsidRPr="006D1834">
        <w:t>reports;</w:t>
      </w:r>
    </w:p>
    <w:p w:rsidR="008959A4" w:rsidP="008959A4" w:rsidRDefault="008959A4" w14:paraId="09CCFC37" w14:textId="77777777">
      <w:pPr>
        <w:pStyle w:val="ListAlpha"/>
        <w:numPr>
          <w:ilvl w:val="0"/>
          <w:numId w:val="13"/>
        </w:numPr>
        <w:ind w:right="1440"/>
      </w:pPr>
      <w:r w:rsidRPr="004E77C7">
        <w:lastRenderedPageBreak/>
        <w:t>Whether the ESA fund shifting rules should be modified;</w:t>
      </w:r>
    </w:p>
    <w:p w:rsidR="008959A4" w:rsidP="008959A4" w:rsidRDefault="008959A4" w14:paraId="17F4900B" w14:textId="77777777">
      <w:pPr>
        <w:pStyle w:val="ListAlpha"/>
        <w:numPr>
          <w:ilvl w:val="0"/>
          <w:numId w:val="13"/>
        </w:numPr>
        <w:ind w:right="1440"/>
      </w:pPr>
      <w:r w:rsidRPr="004E77C7">
        <w:t>Whether the treatment of unspent and uncommitted funds</w:t>
      </w:r>
      <w:r>
        <w:t xml:space="preserve"> </w:t>
      </w:r>
      <w:r w:rsidRPr="004E77C7">
        <w:t>should be modified or clarified;</w:t>
      </w:r>
    </w:p>
    <w:p w:rsidR="008959A4" w:rsidP="008959A4" w:rsidRDefault="008959A4" w14:paraId="1C46A31B" w14:textId="77777777">
      <w:pPr>
        <w:pStyle w:val="ListAlpha"/>
        <w:numPr>
          <w:ilvl w:val="0"/>
          <w:numId w:val="13"/>
        </w:numPr>
        <w:ind w:right="1440"/>
      </w:pPr>
      <w:r w:rsidRPr="00C12A47">
        <w:t>Whether the ESA programs are sufficiently cost-effective,</w:t>
      </w:r>
      <w:r>
        <w:t xml:space="preserve"> </w:t>
      </w:r>
      <w:r w:rsidRPr="00C12A47">
        <w:t>and whether any of the cost effectiveness tools or tests</w:t>
      </w:r>
      <w:r>
        <w:t xml:space="preserve"> </w:t>
      </w:r>
      <w:r w:rsidRPr="00C12A47">
        <w:t>should be applied to track program benefits and costs;</w:t>
      </w:r>
    </w:p>
    <w:p w:rsidR="008959A4" w:rsidP="008959A4" w:rsidRDefault="008959A4" w14:paraId="5CEC039F" w14:textId="77777777">
      <w:pPr>
        <w:pStyle w:val="ListAlpha"/>
        <w:numPr>
          <w:ilvl w:val="0"/>
          <w:numId w:val="13"/>
        </w:numPr>
        <w:ind w:right="1440"/>
      </w:pPr>
      <w:r w:rsidRPr="00C12A47">
        <w:t>Whether the proposed pilots and studies are reasonable</w:t>
      </w:r>
      <w:r>
        <w:t xml:space="preserve"> </w:t>
      </w:r>
      <w:r w:rsidRPr="00C12A47">
        <w:t>and should be approved;</w:t>
      </w:r>
    </w:p>
    <w:p w:rsidR="008959A4" w:rsidP="008959A4" w:rsidRDefault="008959A4" w14:paraId="6553C92B" w14:textId="77777777">
      <w:pPr>
        <w:pStyle w:val="ListAlpha"/>
        <w:numPr>
          <w:ilvl w:val="0"/>
          <w:numId w:val="13"/>
        </w:numPr>
        <w:ind w:right="1440"/>
      </w:pPr>
      <w:r w:rsidRPr="00AF5D3A">
        <w:t>Whether the Commission should direct the SMJUs to</w:t>
      </w:r>
      <w:r>
        <w:t xml:space="preserve"> </w:t>
      </w:r>
      <w:r w:rsidRPr="00AF5D3A">
        <w:t>include information regarding affordable internet options</w:t>
      </w:r>
      <w:r>
        <w:t xml:space="preserve"> </w:t>
      </w:r>
      <w:r w:rsidRPr="00AF5D3A">
        <w:t>in their CARE/ESA outreach materials;</w:t>
      </w:r>
    </w:p>
    <w:p w:rsidR="008959A4" w:rsidP="008959A4" w:rsidRDefault="008959A4" w14:paraId="5A5971BA" w14:textId="77777777">
      <w:pPr>
        <w:pStyle w:val="ListAlpha"/>
        <w:numPr>
          <w:ilvl w:val="0"/>
          <w:numId w:val="13"/>
        </w:numPr>
        <w:ind w:right="1440"/>
      </w:pPr>
      <w:r w:rsidRPr="00AF5D3A">
        <w:t>Whether mechanisms to hold the SMJUs accountable to</w:t>
      </w:r>
      <w:r>
        <w:t xml:space="preserve"> </w:t>
      </w:r>
      <w:r w:rsidRPr="00AF5D3A">
        <w:t>timely spend program budgets and meet program goals</w:t>
      </w:r>
      <w:r>
        <w:t xml:space="preserve"> </w:t>
      </w:r>
      <w:r w:rsidRPr="00AF5D3A">
        <w:t>should be established;</w:t>
      </w:r>
    </w:p>
    <w:p w:rsidR="008959A4" w:rsidP="008959A4" w:rsidRDefault="008959A4" w14:paraId="346CD71F" w14:textId="77777777">
      <w:pPr>
        <w:pStyle w:val="ListAlpha"/>
        <w:numPr>
          <w:ilvl w:val="0"/>
          <w:numId w:val="13"/>
        </w:numPr>
        <w:ind w:right="1440"/>
      </w:pPr>
      <w:r w:rsidRPr="00AD0208">
        <w:t>Whether the Commission should direct the SMJUs to</w:t>
      </w:r>
      <w:r>
        <w:t xml:space="preserve"> </w:t>
      </w:r>
      <w:r w:rsidRPr="00AD0208">
        <w:t>incorporate the current and future impacts of the</w:t>
      </w:r>
      <w:r>
        <w:t xml:space="preserve"> </w:t>
      </w:r>
      <w:r w:rsidRPr="00AD0208">
        <w:t>COVID</w:t>
      </w:r>
      <w:r>
        <w:noBreakHyphen/>
      </w:r>
      <w:r w:rsidRPr="00AD0208">
        <w:t>19 pandemic into ESA/CARE program budgets,</w:t>
      </w:r>
      <w:r>
        <w:t xml:space="preserve"> </w:t>
      </w:r>
      <w:r w:rsidRPr="00AD0208">
        <w:t>designs, goals, workforce and safety considerations; and</w:t>
      </w:r>
    </w:p>
    <w:p w:rsidRPr="001A4C9C" w:rsidR="008959A4" w:rsidP="008959A4" w:rsidRDefault="008959A4" w14:paraId="4E857EFA" w14:textId="77777777">
      <w:pPr>
        <w:pStyle w:val="ListAlpha"/>
        <w:numPr>
          <w:ilvl w:val="0"/>
          <w:numId w:val="13"/>
        </w:numPr>
        <w:ind w:right="1440"/>
      </w:pPr>
      <w:r w:rsidRPr="00AD0208">
        <w:t>Whether the programs impact environmental and social</w:t>
      </w:r>
      <w:r>
        <w:t xml:space="preserve"> </w:t>
      </w:r>
      <w:r w:rsidRPr="00AD0208">
        <w:t>justice communities, including the extent to which the</w:t>
      </w:r>
      <w:r>
        <w:t xml:space="preserve"> </w:t>
      </w:r>
      <w:r w:rsidRPr="00AD0208">
        <w:t>proposals impact achievement of any of the nine goals of</w:t>
      </w:r>
      <w:r>
        <w:t xml:space="preserve"> </w:t>
      </w:r>
      <w:r w:rsidRPr="00AD0208">
        <w:t>the Commission’s Environmental and Social Justice Action</w:t>
      </w:r>
      <w:r>
        <w:t xml:space="preserve"> </w:t>
      </w:r>
      <w:r w:rsidRPr="00AD0208">
        <w:t>Plan.</w:t>
      </w:r>
    </w:p>
    <w:p w:rsidR="008959A4" w:rsidP="008959A4" w:rsidRDefault="008959A4" w14:paraId="726517EE" w14:textId="77777777">
      <w:pPr>
        <w:pStyle w:val="Standard"/>
      </w:pPr>
      <w:r w:rsidRPr="00B26D2F">
        <w:t xml:space="preserve">This decision addresses all the issues raised in the scoping </w:t>
      </w:r>
      <w:r>
        <w:t xml:space="preserve">memo and </w:t>
      </w:r>
      <w:r w:rsidRPr="00B26D2F">
        <w:t>ruling.</w:t>
      </w:r>
      <w:r>
        <w:t xml:space="preserve"> </w:t>
      </w:r>
      <w:r w:rsidRPr="00B26D2F">
        <w:t xml:space="preserve"> In total, these issues encompass the totality of the CARE</w:t>
      </w:r>
      <w:r>
        <w:t xml:space="preserve"> </w:t>
      </w:r>
      <w:r w:rsidRPr="00B26D2F">
        <w:t xml:space="preserve">and ESA </w:t>
      </w:r>
      <w:r>
        <w:t>p</w:t>
      </w:r>
      <w:r w:rsidRPr="00B26D2F">
        <w:t xml:space="preserve">rograms and </w:t>
      </w:r>
      <w:r>
        <w:t xml:space="preserve">all </w:t>
      </w:r>
      <w:r w:rsidRPr="00B26D2F">
        <w:t xml:space="preserve">the proposals set forth in the </w:t>
      </w:r>
      <w:r>
        <w:t>record of this proceeding</w:t>
      </w:r>
      <w:r w:rsidRPr="00B26D2F">
        <w:t>.</w:t>
      </w:r>
      <w:r>
        <w:t xml:space="preserve"> </w:t>
      </w:r>
      <w:r w:rsidRPr="00B26D2F">
        <w:t xml:space="preserve"> In approving the </w:t>
      </w:r>
      <w:r>
        <w:t>a</w:t>
      </w:r>
      <w:r w:rsidRPr="00B26D2F">
        <w:t xml:space="preserve">pplications for the </w:t>
      </w:r>
      <w:r>
        <w:t>2021</w:t>
      </w:r>
      <w:r w:rsidRPr="00B26D2F">
        <w:noBreakHyphen/>
        <w:t>20</w:t>
      </w:r>
      <w:r>
        <w:t>26</w:t>
      </w:r>
      <w:r w:rsidRPr="00B26D2F">
        <w:t xml:space="preserve"> CARE</w:t>
      </w:r>
      <w:r>
        <w:t xml:space="preserve"> </w:t>
      </w:r>
      <w:r w:rsidRPr="00B26D2F">
        <w:t xml:space="preserve">and ESA program cycle, we will discuss how we have modified the </w:t>
      </w:r>
      <w:r>
        <w:t>p</w:t>
      </w:r>
      <w:r w:rsidRPr="00B26D2F">
        <w:t xml:space="preserve">rograms as set forth in the </w:t>
      </w:r>
      <w:r>
        <w:t>a</w:t>
      </w:r>
      <w:r w:rsidRPr="00B26D2F">
        <w:t>pplications and in response to the testimony, comments, and briefs</w:t>
      </w:r>
      <w:r>
        <w:t>.</w:t>
      </w:r>
    </w:p>
    <w:p w:rsidRPr="00F159B1" w:rsidR="008959A4" w:rsidP="008959A4" w:rsidRDefault="008959A4" w14:paraId="2B5400DF" w14:textId="77777777">
      <w:pPr>
        <w:pStyle w:val="Heading1"/>
      </w:pPr>
      <w:bookmarkStart w:name="_Toc82159640" w:id="40"/>
      <w:r w:rsidRPr="00F159B1">
        <w:lastRenderedPageBreak/>
        <w:t>CARE Program</w:t>
      </w:r>
      <w:bookmarkEnd w:id="40"/>
      <w:r w:rsidRPr="00F159B1">
        <w:t xml:space="preserve"> </w:t>
      </w:r>
    </w:p>
    <w:p w:rsidRPr="00F159B1" w:rsidR="008959A4" w:rsidP="008959A4" w:rsidRDefault="008959A4" w14:paraId="50B224C8" w14:textId="77777777">
      <w:pPr>
        <w:pStyle w:val="Heading2"/>
      </w:pPr>
      <w:bookmarkStart w:name="_Toc82159641" w:id="41"/>
      <w:r w:rsidRPr="00F159B1">
        <w:t>CARE Goals</w:t>
      </w:r>
      <w:bookmarkEnd w:id="41"/>
    </w:p>
    <w:p w:rsidRPr="00F159B1" w:rsidR="008959A4" w:rsidP="008959A4" w:rsidRDefault="008959A4" w14:paraId="5D39E838" w14:textId="77777777">
      <w:pPr>
        <w:pStyle w:val="Heading3"/>
      </w:pPr>
      <w:bookmarkStart w:name="_Toc82159642" w:id="42"/>
      <w:r w:rsidRPr="00F159B1">
        <w:t>Background</w:t>
      </w:r>
      <w:bookmarkEnd w:id="42"/>
    </w:p>
    <w:p w:rsidRPr="0026503D" w:rsidR="008959A4" w:rsidP="008959A4" w:rsidRDefault="008959A4" w14:paraId="118E84D6" w14:textId="77777777">
      <w:pPr>
        <w:pStyle w:val="Standard"/>
      </w:pPr>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D32B4A">
        <w:rPr>
          <w:b/>
          <w:bCs/>
          <w:i/>
          <w:iCs/>
        </w:rPr>
        <w:t>:</w:t>
      </w:r>
      <w:r w:rsidRPr="00D32B4A">
        <w:t xml:space="preserve">  </w:t>
      </w:r>
      <w:r>
        <w:t>In D</w:t>
      </w:r>
      <w:r w:rsidRPr="0026503D">
        <w:t>.08-</w:t>
      </w:r>
      <w:r>
        <w:t>12</w:t>
      </w:r>
      <w:r w:rsidRPr="0026503D">
        <w:t>-</w:t>
      </w:r>
      <w:r>
        <w:t>019</w:t>
      </w:r>
      <w:r w:rsidRPr="0026503D">
        <w:t xml:space="preserve">, the Commission established a CARE enrollment </w:t>
      </w:r>
      <w:r w:rsidRPr="00B60844">
        <w:t xml:space="preserve">goal </w:t>
      </w:r>
      <w:r>
        <w:t xml:space="preserve">of </w:t>
      </w:r>
      <w:r w:rsidRPr="0026503D">
        <w:t>90 percent</w:t>
      </w:r>
      <w:r>
        <w:t xml:space="preserve"> of </w:t>
      </w:r>
      <w:r w:rsidRPr="003F27C1">
        <w:t>all eligible</w:t>
      </w:r>
      <w:r>
        <w:t xml:space="preserve"> SMJU</w:t>
      </w:r>
      <w:r w:rsidRPr="003F27C1">
        <w:t xml:space="preserve"> customers</w:t>
      </w:r>
      <w:r w:rsidRPr="0026503D">
        <w:t xml:space="preserve">. </w:t>
      </w:r>
      <w:r>
        <w:t xml:space="preserve"> </w:t>
      </w:r>
      <w:r w:rsidRPr="0026503D">
        <w:t xml:space="preserve">This goal was based on the results of the initial LINA study completed in 2007 which estimated that 90 percent of the eligible </w:t>
      </w:r>
      <w:r w:rsidRPr="001A4C9C">
        <w:t>customers</w:t>
      </w:r>
      <w:r w:rsidRPr="0026503D">
        <w:t xml:space="preserve"> were willing or likely to participate in </w:t>
      </w:r>
      <w:r>
        <w:t xml:space="preserve">the </w:t>
      </w:r>
      <w:r w:rsidRPr="0026503D">
        <w:t>CARE</w:t>
      </w:r>
      <w:r>
        <w:t xml:space="preserve"> program</w:t>
      </w:r>
      <w:r w:rsidRPr="0026503D">
        <w:t>.</w:t>
      </w:r>
      <w:r w:rsidRPr="0026503D">
        <w:rPr>
          <w:vertAlign w:val="superscript"/>
        </w:rPr>
        <w:footnoteReference w:id="16"/>
      </w:r>
      <w:r>
        <w:t xml:space="preserve"> </w:t>
      </w:r>
      <w:r w:rsidRPr="0026503D">
        <w:t xml:space="preserve"> As a result, the Commission has consistently required the </w:t>
      </w:r>
      <w:r>
        <w:t>SMJUs</w:t>
      </w:r>
      <w:r w:rsidRPr="0026503D">
        <w:t xml:space="preserve"> to meet the 90 percent enrollment goal. </w:t>
      </w:r>
    </w:p>
    <w:p w:rsidRPr="00B60844" w:rsidR="008959A4" w:rsidP="008959A4" w:rsidRDefault="008959A4" w14:paraId="238ACD13" w14:textId="77777777">
      <w:pPr>
        <w:pStyle w:val="Standard"/>
      </w:pPr>
      <w:bookmarkStart w:name="_Hlk55819010" w:id="43"/>
      <w:r>
        <w:rPr>
          <w:b/>
          <w:bCs/>
          <w:i/>
          <w:iCs/>
          <w:u w:val="single"/>
        </w:rPr>
        <w:t>Enrollment Rate Calculation</w:t>
      </w:r>
      <w:r w:rsidRPr="00D32B4A">
        <w:rPr>
          <w:b/>
          <w:bCs/>
          <w:i/>
          <w:iCs/>
        </w:rPr>
        <w:t>:</w:t>
      </w:r>
      <w:r w:rsidRPr="00D32B4A">
        <w:t xml:space="preserve">  </w:t>
      </w:r>
      <w:r>
        <w:t xml:space="preserve">The </w:t>
      </w:r>
      <w:r w:rsidRPr="0026503D">
        <w:t>CARE enrollment</w:t>
      </w:r>
      <w:r>
        <w:t xml:space="preserve"> rate</w:t>
      </w:r>
      <w:r w:rsidRPr="0026503D">
        <w:t xml:space="preserve">, </w:t>
      </w:r>
      <w:r>
        <w:t>sometimes referred to</w:t>
      </w:r>
      <w:r w:rsidRPr="0026503D">
        <w:t xml:space="preserve"> as “penetration</w:t>
      </w:r>
      <w:r>
        <w:t xml:space="preserve"> rate,</w:t>
      </w:r>
      <w:r w:rsidRPr="0026503D">
        <w:t>”</w:t>
      </w:r>
      <w:r>
        <w:t xml:space="preserve"> </w:t>
      </w:r>
      <w:r w:rsidRPr="0026503D">
        <w:t xml:space="preserve">is calculated for each </w:t>
      </w:r>
      <w:r>
        <w:t>SMJU</w:t>
      </w:r>
      <w:r w:rsidRPr="0026503D">
        <w:t xml:space="preserve"> </w:t>
      </w:r>
      <w:r w:rsidRPr="001A4C9C">
        <w:t>using</w:t>
      </w:r>
      <w:r w:rsidRPr="0026503D">
        <w:t xml:space="preserve"> the total enrolled CARE households as the numerator divided by the total eligible CARE households as the denominator.</w:t>
      </w:r>
      <w:r>
        <w:t xml:space="preserve">  </w:t>
      </w:r>
      <w:r w:rsidRPr="0026503D">
        <w:t>T</w:t>
      </w:r>
      <w:r>
        <w:t xml:space="preserve">he </w:t>
      </w:r>
      <w:r w:rsidRPr="0026503D">
        <w:t>total eligible CARE population</w:t>
      </w:r>
      <w:r>
        <w:t xml:space="preserve"> for the large Investor</w:t>
      </w:r>
      <w:r>
        <w:noBreakHyphen/>
        <w:t>Owned Utility (IOU) service territory is calculated annually by an independent economic consultant and is</w:t>
      </w:r>
      <w:r w:rsidRPr="0026503D">
        <w:t xml:space="preserve"> required to be submitted jointly by the </w:t>
      </w:r>
      <w:r>
        <w:t>large IOUs</w:t>
      </w:r>
      <w:r w:rsidRPr="0026503D">
        <w:t xml:space="preserve"> on </w:t>
      </w:r>
      <w:r>
        <w:t>February 12</w:t>
      </w:r>
      <w:r w:rsidRPr="0026503D">
        <w:t xml:space="preserve"> of each year.</w:t>
      </w:r>
      <w:r w:rsidRPr="0026503D">
        <w:rPr>
          <w:vertAlign w:val="superscript"/>
        </w:rPr>
        <w:footnoteReference w:id="17"/>
      </w:r>
      <w:r w:rsidRPr="00A95859">
        <w:t xml:space="preserve">  </w:t>
      </w:r>
      <w:r>
        <w:t xml:space="preserve">Historically, the SMJUs would each calculate their own CARE eligibility denominator.  However, in </w:t>
      </w:r>
      <w:r w:rsidRPr="002C7DE6">
        <w:t>2018-2019</w:t>
      </w:r>
      <w:r>
        <w:t>, the SMJUs received their first</w:t>
      </w:r>
      <w:r w:rsidRPr="002C7DE6">
        <w:t xml:space="preserve"> </w:t>
      </w:r>
      <w:r>
        <w:t>CARE eligibility</w:t>
      </w:r>
      <w:r w:rsidRPr="002C7DE6">
        <w:t xml:space="preserve"> analysis </w:t>
      </w:r>
      <w:r>
        <w:t xml:space="preserve">from an </w:t>
      </w:r>
      <w:r w:rsidRPr="003C146F">
        <w:t>independent economic consultant</w:t>
      </w:r>
      <w:r>
        <w:t xml:space="preserve"> (Athens Research) which provided a one-time snapshot of CARE eligibility estimates for the SMJU service territories.  These CARE eligibility reports are referred to as the Athens Report.  To have more regular estimates of CARE eligibility, the SMJUs jointly proposed to have annual CARE </w:t>
      </w:r>
      <w:r>
        <w:lastRenderedPageBreak/>
        <w:t>eligibility</w:t>
      </w:r>
      <w:r w:rsidRPr="002C7DE6">
        <w:t xml:space="preserve"> </w:t>
      </w:r>
      <w:r>
        <w:t xml:space="preserve">reports for PYs 2021-2026 to establish the denominator for their yearly CARE enrollment rate calculations.  </w:t>
      </w:r>
      <w:r w:rsidRPr="00762BBE">
        <w:rPr>
          <w:i/>
          <w:iCs/>
        </w:rPr>
        <w:t>See</w:t>
      </w:r>
      <w:r>
        <w:t xml:space="preserve"> Section 7.2 for further detail on this annual report.</w:t>
      </w:r>
    </w:p>
    <w:p w:rsidRPr="00592917" w:rsidR="008959A4" w:rsidP="008959A4" w:rsidRDefault="008959A4" w14:paraId="1EEA28BF" w14:textId="77777777">
      <w:pPr>
        <w:pStyle w:val="Heading3"/>
      </w:pPr>
      <w:bookmarkStart w:name="_Toc82159643" w:id="44"/>
      <w:bookmarkEnd w:id="43"/>
      <w:r>
        <w:t>Alpine Proposal</w:t>
      </w:r>
      <w:bookmarkEnd w:id="44"/>
    </w:p>
    <w:p w:rsidRPr="00C84639" w:rsidR="008959A4" w:rsidP="008959A4" w:rsidRDefault="008959A4" w14:paraId="1829EEDF" w14:textId="77777777">
      <w:pPr>
        <w:pStyle w:val="Standard"/>
      </w:pPr>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0E485A">
        <w:rPr>
          <w:b/>
          <w:bCs/>
          <w:i/>
          <w:iCs/>
        </w:rPr>
        <w:t>:</w:t>
      </w:r>
      <w:r w:rsidRPr="000E485A">
        <w:t xml:space="preserve">  </w:t>
      </w:r>
      <w:r>
        <w:t xml:space="preserve">Alpine states that it is committed to reaching the </w:t>
      </w:r>
      <w:r w:rsidRPr="00592917">
        <w:t>90</w:t>
      </w:r>
      <w:r>
        <w:t> percent</w:t>
      </w:r>
      <w:r w:rsidRPr="00592917">
        <w:t xml:space="preserve"> </w:t>
      </w:r>
      <w:r>
        <w:t xml:space="preserve">CARE enrollment </w:t>
      </w:r>
      <w:r w:rsidRPr="00592917">
        <w:t>goal</w:t>
      </w:r>
      <w:r w:rsidRPr="0037733C">
        <w:t xml:space="preserve"> </w:t>
      </w:r>
      <w:r>
        <w:t>for PYs 2021-2026 aiming to enroll 183 </w:t>
      </w:r>
      <w:r w:rsidRPr="00592917">
        <w:t>households by PY</w:t>
      </w:r>
      <w:r>
        <w:t> </w:t>
      </w:r>
      <w:r w:rsidRPr="00592917">
        <w:t>2026.</w:t>
      </w:r>
      <w:r w:rsidRPr="00097887">
        <w:t xml:space="preserve"> </w:t>
      </w:r>
      <w:r>
        <w:t xml:space="preserve"> Alpine does not</w:t>
      </w:r>
      <w:r w:rsidRPr="00592917">
        <w:t xml:space="preserve"> </w:t>
      </w:r>
      <w:r>
        <w:t xml:space="preserve">propose any additional </w:t>
      </w:r>
      <w:r w:rsidRPr="00592917">
        <w:t xml:space="preserve">goals for </w:t>
      </w:r>
      <w:r>
        <w:t>p</w:t>
      </w:r>
      <w:r w:rsidRPr="00592917">
        <w:t>articipation</w:t>
      </w:r>
      <w:r>
        <w:t>.</w:t>
      </w:r>
      <w:r>
        <w:rPr>
          <w:rStyle w:val="FootnoteReference"/>
        </w:rPr>
        <w:footnoteReference w:id="18"/>
      </w:r>
    </w:p>
    <w:p w:rsidR="008959A4" w:rsidP="008959A4" w:rsidRDefault="008959A4" w14:paraId="1BBD9F6E" w14:textId="77777777">
      <w:pPr>
        <w:pStyle w:val="Heading3"/>
      </w:pPr>
      <w:bookmarkStart w:name="_Toc82159644" w:id="45"/>
      <w:r>
        <w:t>Bear Valley Proposal</w:t>
      </w:r>
      <w:bookmarkEnd w:id="45"/>
    </w:p>
    <w:p w:rsidRPr="00BA0E11" w:rsidR="008959A4" w:rsidP="008959A4" w:rsidRDefault="008959A4" w14:paraId="5499FE33" w14:textId="77777777">
      <w:pPr>
        <w:pStyle w:val="Standard"/>
      </w:pPr>
      <w:r w:rsidRPr="00EB6008">
        <w:rPr>
          <w:b/>
          <w:bCs/>
          <w:i/>
          <w:iCs/>
          <w:u w:val="single"/>
        </w:rPr>
        <w:t>90</w:t>
      </w:r>
      <w:r>
        <w:rPr>
          <w:b/>
          <w:bCs/>
          <w:i/>
          <w:iCs/>
          <w:u w:val="single"/>
        </w:rPr>
        <w:t xml:space="preserve"> Percent</w:t>
      </w:r>
      <w:r w:rsidRPr="00EB6008">
        <w:rPr>
          <w:b/>
          <w:bCs/>
          <w:i/>
          <w:iCs/>
          <w:u w:val="single"/>
        </w:rPr>
        <w:t xml:space="preserve"> Enrollment</w:t>
      </w:r>
      <w:r>
        <w:rPr>
          <w:b/>
          <w:bCs/>
          <w:i/>
          <w:iCs/>
          <w:u w:val="single"/>
        </w:rPr>
        <w:t xml:space="preserve"> Goal</w:t>
      </w:r>
      <w:r w:rsidRPr="00D32B4A">
        <w:rPr>
          <w:b/>
          <w:bCs/>
          <w:i/>
          <w:iCs/>
        </w:rPr>
        <w:t>:</w:t>
      </w:r>
      <w:r w:rsidRPr="00D32B4A">
        <w:t xml:space="preserve">  </w:t>
      </w:r>
      <w:r>
        <w:t xml:space="preserve">Bear Valley </w:t>
      </w:r>
      <w:r w:rsidRPr="00BA0E11">
        <w:t>estimates that</w:t>
      </w:r>
      <w:r>
        <w:t xml:space="preserve"> </w:t>
      </w:r>
      <w:r w:rsidRPr="00BA0E11">
        <w:t>approximately thirty</w:t>
      </w:r>
      <w:r>
        <w:noBreakHyphen/>
      </w:r>
      <w:r w:rsidRPr="00BA0E11">
        <w:t>three percent of its</w:t>
      </w:r>
      <w:r>
        <w:t xml:space="preserve"> </w:t>
      </w:r>
      <w:r w:rsidRPr="00BA0E11">
        <w:t>full-time residential customers are eligible for CARE, or approximately 2,770 customers in 2019</w:t>
      </w:r>
      <w:r>
        <w:t>.  Bear Valley</w:t>
      </w:r>
      <w:r w:rsidRPr="003F24CE">
        <w:t xml:space="preserve"> plans to reach the 90</w:t>
      </w:r>
      <w:r>
        <w:t xml:space="preserve"> percent</w:t>
      </w:r>
      <w:r w:rsidRPr="003F24CE">
        <w:t xml:space="preserve"> </w:t>
      </w:r>
      <w:r>
        <w:t>enrollment</w:t>
      </w:r>
      <w:r w:rsidRPr="003F24CE">
        <w:t xml:space="preserve"> goal </w:t>
      </w:r>
      <w:r>
        <w:t>by 2026</w:t>
      </w:r>
      <w:r w:rsidRPr="003F24CE">
        <w:t xml:space="preserve"> with </w:t>
      </w:r>
      <w:r>
        <w:t>2,562</w:t>
      </w:r>
      <w:r w:rsidRPr="003F24CE">
        <w:t xml:space="preserve"> homes enrolled by PY 2026</w:t>
      </w:r>
      <w:r w:rsidRPr="00BA0E11">
        <w:t>.</w:t>
      </w:r>
      <w:r>
        <w:rPr>
          <w:rStyle w:val="FootnoteReference"/>
        </w:rPr>
        <w:footnoteReference w:id="19"/>
      </w:r>
    </w:p>
    <w:p w:rsidR="008959A4" w:rsidP="008959A4" w:rsidRDefault="008959A4" w14:paraId="32B9D00E" w14:textId="77777777">
      <w:pPr>
        <w:pStyle w:val="Heading3"/>
      </w:pPr>
      <w:bookmarkStart w:name="_Toc82159645" w:id="46"/>
      <w:r w:rsidRPr="0091087B">
        <w:t xml:space="preserve">Liberty </w:t>
      </w:r>
      <w:r>
        <w:t>Proposal</w:t>
      </w:r>
      <w:bookmarkEnd w:id="46"/>
    </w:p>
    <w:p w:rsidRPr="0091087B" w:rsidR="008959A4" w:rsidP="008959A4" w:rsidRDefault="008959A4" w14:paraId="1D6F87A6" w14:textId="77777777">
      <w:pPr>
        <w:pStyle w:val="Standard"/>
      </w:pPr>
      <w:r w:rsidRPr="00EB6008">
        <w:rPr>
          <w:b/>
          <w:bCs/>
          <w:i/>
          <w:iCs/>
          <w:u w:val="single"/>
        </w:rPr>
        <w:t>90</w:t>
      </w:r>
      <w:r>
        <w:rPr>
          <w:b/>
          <w:bCs/>
          <w:i/>
          <w:iCs/>
          <w:u w:val="single"/>
        </w:rPr>
        <w:t xml:space="preserve"> Percent</w:t>
      </w:r>
      <w:r w:rsidRPr="00EB6008">
        <w:rPr>
          <w:b/>
          <w:bCs/>
          <w:i/>
          <w:iCs/>
          <w:u w:val="single"/>
        </w:rPr>
        <w:t xml:space="preserve"> Enrollment</w:t>
      </w:r>
      <w:r>
        <w:rPr>
          <w:b/>
          <w:bCs/>
          <w:i/>
          <w:iCs/>
          <w:u w:val="single"/>
        </w:rPr>
        <w:t xml:space="preserve"> Goal</w:t>
      </w:r>
      <w:r w:rsidRPr="00D32B4A">
        <w:rPr>
          <w:b/>
          <w:bCs/>
          <w:i/>
          <w:iCs/>
        </w:rPr>
        <w:t xml:space="preserve">: </w:t>
      </w:r>
      <w:r>
        <w:t xml:space="preserve"> </w:t>
      </w:r>
      <w:r w:rsidRPr="0091087B">
        <w:t xml:space="preserve">Liberty </w:t>
      </w:r>
      <w:r>
        <w:t xml:space="preserve">plans to reach the </w:t>
      </w:r>
      <w:r w:rsidRPr="0091087B">
        <w:t>90</w:t>
      </w:r>
      <w:r>
        <w:t xml:space="preserve"> percent enrollment</w:t>
      </w:r>
      <w:r w:rsidRPr="0091087B">
        <w:t xml:space="preserve"> goal </w:t>
      </w:r>
      <w:r>
        <w:t xml:space="preserve">by PY 2023 and </w:t>
      </w:r>
      <w:r w:rsidRPr="0091087B">
        <w:t>forecasts a 95</w:t>
      </w:r>
      <w:r>
        <w:t xml:space="preserve"> percent</w:t>
      </w:r>
      <w:r w:rsidRPr="0091087B">
        <w:t xml:space="preserve"> </w:t>
      </w:r>
      <w:r>
        <w:t>enrollment</w:t>
      </w:r>
      <w:r w:rsidRPr="0091087B">
        <w:t xml:space="preserve"> rate </w:t>
      </w:r>
      <w:r>
        <w:t>by</w:t>
      </w:r>
      <w:r w:rsidRPr="0091087B">
        <w:t xml:space="preserve"> 2024 through 2026</w:t>
      </w:r>
      <w:r>
        <w:t xml:space="preserve"> with 5,144 homes enrolled by PY 2026</w:t>
      </w:r>
      <w:r w:rsidRPr="0091087B">
        <w:t>.</w:t>
      </w:r>
      <w:r>
        <w:rPr>
          <w:rStyle w:val="FootnoteReference"/>
        </w:rPr>
        <w:footnoteReference w:id="20"/>
      </w:r>
      <w:r>
        <w:t xml:space="preserve"> </w:t>
      </w:r>
    </w:p>
    <w:p w:rsidR="008959A4" w:rsidP="008959A4" w:rsidRDefault="008959A4" w14:paraId="5AB3A79F" w14:textId="77777777">
      <w:pPr>
        <w:pStyle w:val="Heading3"/>
      </w:pPr>
      <w:bookmarkStart w:name="_Toc82159646" w:id="47"/>
      <w:r>
        <w:t xml:space="preserve">PacifiCorp </w:t>
      </w:r>
      <w:r w:rsidRPr="001A4C9C">
        <w:t>Proposal</w:t>
      </w:r>
      <w:bookmarkEnd w:id="47"/>
    </w:p>
    <w:p w:rsidR="008959A4" w:rsidP="008959A4" w:rsidRDefault="008959A4" w14:paraId="39326112" w14:textId="77777777">
      <w:pPr>
        <w:pStyle w:val="ALJBodyText"/>
      </w:pPr>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D32B4A">
        <w:rPr>
          <w:b/>
          <w:bCs/>
          <w:i/>
          <w:iCs/>
        </w:rPr>
        <w:t>:</w:t>
      </w:r>
      <w:r w:rsidRPr="00D32B4A">
        <w:t xml:space="preserve">  </w:t>
      </w:r>
      <w:r w:rsidRPr="003A4399">
        <w:t xml:space="preserve">PacifiCorp </w:t>
      </w:r>
      <w:r>
        <w:t xml:space="preserve">proposes to reach a 90 percent enrollment rate in 2021, </w:t>
      </w:r>
      <w:r w:rsidRPr="00DF6C88">
        <w:t xml:space="preserve">91 percent </w:t>
      </w:r>
      <w:r>
        <w:t xml:space="preserve">by </w:t>
      </w:r>
      <w:r w:rsidRPr="00DF6C88">
        <w:t xml:space="preserve">2022, </w:t>
      </w:r>
      <w:r>
        <w:t xml:space="preserve">and </w:t>
      </w:r>
      <w:r w:rsidRPr="00DF6C88">
        <w:t xml:space="preserve">92 percent </w:t>
      </w:r>
      <w:r>
        <w:t>by</w:t>
      </w:r>
      <w:r w:rsidRPr="00DF6C88">
        <w:t xml:space="preserve"> </w:t>
      </w:r>
      <w:r>
        <w:t>2026</w:t>
      </w:r>
      <w:r w:rsidRPr="00DF6C88">
        <w:t>.</w:t>
      </w:r>
      <w:r w:rsidRPr="00C16353">
        <w:t xml:space="preserve"> </w:t>
      </w:r>
      <w:r>
        <w:t xml:space="preserve"> </w:t>
      </w:r>
      <w:r w:rsidRPr="003A4399">
        <w:t>PacifiCorp</w:t>
      </w:r>
      <w:r>
        <w:t xml:space="preserve"> </w:t>
      </w:r>
      <w:r w:rsidRPr="00592917">
        <w:t xml:space="preserve">expects approximately </w:t>
      </w:r>
      <w:r>
        <w:t>12,000</w:t>
      </w:r>
      <w:r w:rsidRPr="00592917">
        <w:t xml:space="preserve"> households to be enrolled in CARE annually</w:t>
      </w:r>
      <w:r>
        <w:t>, with 12,161 households enrolled by 2026.</w:t>
      </w:r>
      <w:r>
        <w:rPr>
          <w:rStyle w:val="FootnoteReference"/>
        </w:rPr>
        <w:footnoteReference w:id="21"/>
      </w:r>
    </w:p>
    <w:p w:rsidRPr="00592917" w:rsidR="008959A4" w:rsidP="008959A4" w:rsidRDefault="008959A4" w14:paraId="5CC2AF00" w14:textId="77777777">
      <w:pPr>
        <w:pStyle w:val="Heading3"/>
      </w:pPr>
      <w:bookmarkStart w:name="_Toc82159647" w:id="48"/>
      <w:r>
        <w:lastRenderedPageBreak/>
        <w:t>Southwest Gas Proposal</w:t>
      </w:r>
      <w:bookmarkEnd w:id="48"/>
    </w:p>
    <w:p w:rsidR="008959A4" w:rsidP="008959A4" w:rsidRDefault="008959A4" w14:paraId="33C08D6F" w14:textId="77777777">
      <w:pPr>
        <w:pStyle w:val="Standard"/>
      </w:pPr>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D32B4A">
        <w:rPr>
          <w:b/>
          <w:bCs/>
          <w:i/>
          <w:iCs/>
        </w:rPr>
        <w:t>:</w:t>
      </w:r>
      <w:r w:rsidRPr="00D32B4A">
        <w:t xml:space="preserve">  </w:t>
      </w:r>
      <w:r>
        <w:t xml:space="preserve">Southwest Gas proposes to maintain at least a </w:t>
      </w:r>
      <w:r w:rsidRPr="00592917">
        <w:t>90</w:t>
      </w:r>
      <w:r>
        <w:t> percent</w:t>
      </w:r>
      <w:r w:rsidRPr="00592917">
        <w:t xml:space="preserve"> </w:t>
      </w:r>
      <w:r>
        <w:t xml:space="preserve">CARE enrollment </w:t>
      </w:r>
      <w:r w:rsidRPr="00592917">
        <w:t>goal</w:t>
      </w:r>
      <w:r>
        <w:t xml:space="preserve"> for PYs 2021-2026 with 58</w:t>
      </w:r>
      <w:r w:rsidRPr="00592917">
        <w:t>,</w:t>
      </w:r>
      <w:r>
        <w:t>553</w:t>
      </w:r>
      <w:r w:rsidRPr="00592917">
        <w:t xml:space="preserve"> households </w:t>
      </w:r>
      <w:r>
        <w:t xml:space="preserve">enrolled </w:t>
      </w:r>
      <w:r w:rsidRPr="00592917">
        <w:t>by PY</w:t>
      </w:r>
      <w:r>
        <w:t> </w:t>
      </w:r>
      <w:r w:rsidRPr="00592917">
        <w:t>2026.</w:t>
      </w:r>
      <w:r>
        <w:rPr>
          <w:rStyle w:val="FootnoteReference"/>
        </w:rPr>
        <w:footnoteReference w:id="22"/>
      </w:r>
    </w:p>
    <w:p w:rsidRPr="001A2B34" w:rsidR="008959A4" w:rsidP="008959A4" w:rsidRDefault="008959A4" w14:paraId="7CFEAD84" w14:textId="77777777">
      <w:pPr>
        <w:pStyle w:val="Heading3"/>
      </w:pPr>
      <w:bookmarkStart w:name="_Toc82159648" w:id="49"/>
      <w:r>
        <w:t xml:space="preserve">West Coast Gas </w:t>
      </w:r>
      <w:r w:rsidRPr="001A4C9C">
        <w:t>Proposal</w:t>
      </w:r>
      <w:bookmarkEnd w:id="49"/>
    </w:p>
    <w:p w:rsidR="008959A4" w:rsidP="008959A4" w:rsidRDefault="008959A4" w14:paraId="5153AB1F" w14:textId="77777777">
      <w:pPr>
        <w:pStyle w:val="ALJBodyText"/>
      </w:pPr>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D32B4A">
        <w:rPr>
          <w:b/>
          <w:bCs/>
          <w:i/>
          <w:iCs/>
        </w:rPr>
        <w:t>:</w:t>
      </w:r>
      <w:r w:rsidRPr="00D32B4A">
        <w:t xml:space="preserve">  </w:t>
      </w:r>
      <w:r w:rsidRPr="00D41D5B">
        <w:t>West Coast Gas</w:t>
      </w:r>
      <w:r w:rsidRPr="00592917">
        <w:t xml:space="preserve"> </w:t>
      </w:r>
      <w:r>
        <w:t xml:space="preserve">states that it </w:t>
      </w:r>
      <w:r w:rsidRPr="00592917">
        <w:t xml:space="preserve">currently </w:t>
      </w:r>
      <w:r>
        <w:t>exceeds</w:t>
      </w:r>
      <w:r w:rsidRPr="00592917">
        <w:t xml:space="preserve"> the 90</w:t>
      </w:r>
      <w:r>
        <w:t> percent</w:t>
      </w:r>
      <w:r w:rsidRPr="00592917">
        <w:t xml:space="preserve"> </w:t>
      </w:r>
      <w:r>
        <w:t>enrollment</w:t>
      </w:r>
      <w:r w:rsidRPr="00592917">
        <w:t xml:space="preserve"> goal</w:t>
      </w:r>
      <w:r>
        <w:t xml:space="preserve"> and proposes a CARE enrollment rate of 103.7</w:t>
      </w:r>
      <w:r w:rsidRPr="00AD3890">
        <w:t xml:space="preserve"> </w:t>
      </w:r>
      <w:r w:rsidRPr="0026503D">
        <w:t>percent</w:t>
      </w:r>
      <w:r>
        <w:t xml:space="preserve"> for PYs 2021-2026. </w:t>
      </w:r>
      <w:r w:rsidRPr="00D41D5B">
        <w:t>West Coast Gas</w:t>
      </w:r>
      <w:r>
        <w:t xml:space="preserve"> </w:t>
      </w:r>
      <w:r w:rsidRPr="00592917">
        <w:t>expects</w:t>
      </w:r>
      <w:r>
        <w:t xml:space="preserve"> to have</w:t>
      </w:r>
      <w:r w:rsidRPr="00592917">
        <w:t xml:space="preserve"> </w:t>
      </w:r>
      <w:r>
        <w:t>56 households enrolled in CARE for PYs 2021-2026.</w:t>
      </w:r>
      <w:r w:rsidRPr="00592917">
        <w:rPr>
          <w:vertAlign w:val="superscript"/>
        </w:rPr>
        <w:footnoteReference w:id="23"/>
      </w:r>
    </w:p>
    <w:p w:rsidR="008959A4" w:rsidP="008959A4" w:rsidRDefault="008959A4" w14:paraId="11D89C02" w14:textId="77777777">
      <w:pPr>
        <w:pStyle w:val="Heading3"/>
      </w:pPr>
      <w:bookmarkStart w:name="_Toc82159649" w:id="50"/>
      <w:r>
        <w:t>Party Comments</w:t>
      </w:r>
      <w:bookmarkEnd w:id="50"/>
      <w:r>
        <w:t xml:space="preserve"> </w:t>
      </w:r>
    </w:p>
    <w:p w:rsidRPr="00F159B1" w:rsidR="008959A4" w:rsidP="008959A4" w:rsidRDefault="008959A4" w14:paraId="3DE5A0BD" w14:textId="77777777">
      <w:pPr>
        <w:pStyle w:val="Heading4"/>
        <w:ind w:left="3600" w:hanging="1260"/>
      </w:pPr>
      <w:bookmarkStart w:name="_Toc82159650" w:id="51"/>
      <w:r w:rsidRPr="00F159B1">
        <w:t>Cal Advocates</w:t>
      </w:r>
      <w:bookmarkEnd w:id="51"/>
    </w:p>
    <w:p w:rsidR="008959A4" w:rsidP="008959A4" w:rsidRDefault="008959A4" w14:paraId="2D544C5A" w14:textId="77777777">
      <w:pPr>
        <w:pStyle w:val="Standard"/>
        <w:rPr>
          <w:b/>
          <w:bCs/>
        </w:rPr>
      </w:pPr>
      <w:bookmarkStart w:name="_Hlk54102196" w:id="52"/>
      <w:r w:rsidRPr="00EB6008">
        <w:rPr>
          <w:b/>
          <w:bCs/>
          <w:i/>
          <w:iCs/>
          <w:u w:val="single"/>
        </w:rPr>
        <w:t>90</w:t>
      </w:r>
      <w:r>
        <w:rPr>
          <w:b/>
          <w:bCs/>
          <w:i/>
          <w:iCs/>
          <w:u w:val="single"/>
        </w:rPr>
        <w:t xml:space="preserve"> Percent</w:t>
      </w:r>
      <w:r w:rsidRPr="00EB6008">
        <w:rPr>
          <w:b/>
          <w:bCs/>
          <w:i/>
          <w:iCs/>
          <w:u w:val="single"/>
        </w:rPr>
        <w:t xml:space="preserve"> </w:t>
      </w:r>
      <w:r>
        <w:rPr>
          <w:b/>
          <w:bCs/>
          <w:i/>
          <w:iCs/>
          <w:u w:val="single"/>
        </w:rPr>
        <w:t>Enrollment Goal</w:t>
      </w:r>
      <w:r w:rsidRPr="00D32B4A">
        <w:rPr>
          <w:b/>
          <w:bCs/>
          <w:i/>
          <w:iCs/>
        </w:rPr>
        <w:t>:</w:t>
      </w:r>
      <w:r w:rsidRPr="00D32B4A">
        <w:t xml:space="preserve">  </w:t>
      </w:r>
      <w:r>
        <w:t xml:space="preserve">Cal Advocates recommend that the </w:t>
      </w:r>
      <w:r w:rsidRPr="00841DD1">
        <w:t xml:space="preserve">CARE </w:t>
      </w:r>
      <w:r>
        <w:t xml:space="preserve">enrollment </w:t>
      </w:r>
      <w:r w:rsidRPr="00841DD1">
        <w:t xml:space="preserve">goal </w:t>
      </w:r>
      <w:r>
        <w:t xml:space="preserve">be set at </w:t>
      </w:r>
      <w:r w:rsidRPr="00841DD1">
        <w:t>90</w:t>
      </w:r>
      <w:r>
        <w:t xml:space="preserve"> percent</w:t>
      </w:r>
      <w:r w:rsidRPr="00841DD1">
        <w:t xml:space="preserve"> </w:t>
      </w:r>
      <w:r>
        <w:t>for</w:t>
      </w:r>
      <w:r w:rsidRPr="00841DD1">
        <w:t xml:space="preserve"> all SMJUs.</w:t>
      </w:r>
      <w:r w:rsidRPr="00D379F7">
        <w:rPr>
          <w:vertAlign w:val="superscript"/>
        </w:rPr>
        <w:footnoteReference w:id="24"/>
      </w:r>
    </w:p>
    <w:p w:rsidRPr="00F52E1C" w:rsidR="008959A4" w:rsidP="008959A4" w:rsidRDefault="008959A4" w14:paraId="1601DC6F" w14:textId="77777777">
      <w:pPr>
        <w:pStyle w:val="Standard"/>
        <w:rPr>
          <w:b/>
          <w:bCs/>
        </w:rPr>
      </w:pPr>
      <w:r>
        <w:rPr>
          <w:b/>
          <w:bCs/>
          <w:i/>
          <w:iCs/>
          <w:u w:val="single"/>
        </w:rPr>
        <w:t>Mid Cycle Evaluation of Liberty’s Goal</w:t>
      </w:r>
      <w:r w:rsidRPr="00D32B4A">
        <w:rPr>
          <w:b/>
          <w:bCs/>
          <w:i/>
          <w:iCs/>
        </w:rPr>
        <w:t>:</w:t>
      </w:r>
      <w:r w:rsidRPr="00D32B4A">
        <w:t xml:space="preserve">  </w:t>
      </w:r>
      <w:r>
        <w:t xml:space="preserve">Given that </w:t>
      </w:r>
      <w:r w:rsidRPr="00D379F7">
        <w:t xml:space="preserve">Liberty’s </w:t>
      </w:r>
      <w:r>
        <w:t xml:space="preserve">enrollment </w:t>
      </w:r>
      <w:r w:rsidRPr="00D379F7">
        <w:t>rate is</w:t>
      </w:r>
      <w:r>
        <w:t xml:space="preserve"> currently</w:t>
      </w:r>
      <w:r w:rsidRPr="00D379F7">
        <w:t xml:space="preserve"> significantly lower than the</w:t>
      </w:r>
      <w:r>
        <w:t xml:space="preserve"> 90 percent </w:t>
      </w:r>
      <w:r w:rsidRPr="00D379F7">
        <w:t>target</w:t>
      </w:r>
      <w:r>
        <w:t xml:space="preserve">, Cal Advocates propose that Liberty </w:t>
      </w:r>
      <w:r w:rsidRPr="00D379F7">
        <w:t>submit a mid-cycle evaluation report by February 1, 2024,</w:t>
      </w:r>
      <w:r>
        <w:t xml:space="preserve"> to the Commission and service list, </w:t>
      </w:r>
      <w:r w:rsidRPr="00D379F7">
        <w:t xml:space="preserve">on the cost effectiveness and </w:t>
      </w:r>
      <w:r>
        <w:t xml:space="preserve">progress </w:t>
      </w:r>
      <w:r w:rsidRPr="00D379F7">
        <w:t>of its</w:t>
      </w:r>
      <w:r>
        <w:t xml:space="preserve"> </w:t>
      </w:r>
      <w:r w:rsidRPr="00D379F7">
        <w:t>proposed CARE outreach approaches</w:t>
      </w:r>
      <w:r>
        <w:t xml:space="preserve"> towards meeting the 90 percent goal.  Additionally,</w:t>
      </w:r>
      <w:r w:rsidRPr="00D379F7">
        <w:t xml:space="preserve"> if Liberty fails to</w:t>
      </w:r>
      <w:r>
        <w:t xml:space="preserve"> </w:t>
      </w:r>
      <w:r w:rsidRPr="00D379F7">
        <w:t>meet the 90</w:t>
      </w:r>
      <w:r>
        <w:t xml:space="preserve"> percent</w:t>
      </w:r>
      <w:r w:rsidRPr="00D379F7">
        <w:t xml:space="preserve"> </w:t>
      </w:r>
      <w:r>
        <w:t xml:space="preserve">enrollment </w:t>
      </w:r>
      <w:r w:rsidRPr="00D379F7">
        <w:t>goal by mid-cycle, Liberty should file a Tier 3</w:t>
      </w:r>
      <w:r>
        <w:t xml:space="preserve"> </w:t>
      </w:r>
      <w:r w:rsidRPr="00D379F7">
        <w:t>advice letter along with the above mid-cycle evaluation report no later than February 1, 2024.</w:t>
      </w:r>
      <w:r w:rsidRPr="00D379F7">
        <w:rPr>
          <w:vertAlign w:val="superscript"/>
        </w:rPr>
        <w:footnoteReference w:id="25"/>
      </w:r>
      <w:r w:rsidRPr="00F52E1C">
        <w:t xml:space="preserve"> </w:t>
      </w:r>
      <w:r>
        <w:t xml:space="preserve"> </w:t>
      </w:r>
      <w:r w:rsidRPr="00331969">
        <w:t xml:space="preserve">The advice letter at a minimum would include the following information: the cost of various outreach </w:t>
      </w:r>
      <w:r w:rsidRPr="00331969">
        <w:lastRenderedPageBreak/>
        <w:t>strategies Liberty implemented in the first three years of the program cycle, Liberty’s most cost-effective strategies for increasing CARE enrollment, and any proposed outreach adjustments for the remaining program cycle (PYs 2024- 2026) based on the evaluation.</w:t>
      </w:r>
      <w:r>
        <w:t xml:space="preserve"> </w:t>
      </w:r>
      <w:r w:rsidRPr="00F52E1C">
        <w:t xml:space="preserve"> Cal Advocates further recommend that in reviewing Liberty’s advice letter, the Commission should deny the use of any outreach methods that do not support increased CARE enrollment and do not provide meaningful benefits to low-income customers for the remainder of the program cycle.</w:t>
      </w:r>
    </w:p>
    <w:p w:rsidR="008959A4" w:rsidP="008959A4" w:rsidRDefault="008959A4" w14:paraId="60724997" w14:textId="77777777">
      <w:pPr>
        <w:pStyle w:val="Heading4"/>
      </w:pPr>
      <w:bookmarkStart w:name="_Toc82159651" w:id="53"/>
      <w:r>
        <w:t>EEC &amp; Free Energy</w:t>
      </w:r>
      <w:bookmarkEnd w:id="53"/>
    </w:p>
    <w:p w:rsidR="008959A4" w:rsidP="008959A4" w:rsidRDefault="008959A4" w14:paraId="1B7E19B2" w14:textId="77777777">
      <w:pPr>
        <w:pStyle w:val="Standard"/>
      </w:pPr>
      <w:r>
        <w:rPr>
          <w:b/>
          <w:bCs/>
          <w:i/>
          <w:iCs/>
          <w:u w:val="single"/>
        </w:rPr>
        <w:t>90 Percent Enrollment Goal</w:t>
      </w:r>
      <w:r>
        <w:t xml:space="preserve">:  EEC and Free Energy state that the SMJU </w:t>
      </w:r>
      <w:r w:rsidRPr="00077B13">
        <w:t xml:space="preserve">CARE program goals are understated </w:t>
      </w:r>
      <w:r>
        <w:t>because they r</w:t>
      </w:r>
      <w:r w:rsidRPr="00077B13">
        <w:t>el</w:t>
      </w:r>
      <w:r>
        <w:t>y</w:t>
      </w:r>
      <w:r w:rsidRPr="00077B13">
        <w:t xml:space="preserve"> upon the </w:t>
      </w:r>
      <w:r>
        <w:t>“</w:t>
      </w:r>
      <w:r w:rsidRPr="00077B13">
        <w:t>severely underestimate</w:t>
      </w:r>
      <w:r>
        <w:t>d”</w:t>
      </w:r>
      <w:r w:rsidRPr="00077B13">
        <w:t xml:space="preserve"> Athens CARE-eligibility estimates and should be increased to reflect the</w:t>
      </w:r>
      <w:r>
        <w:t xml:space="preserve"> </w:t>
      </w:r>
      <w:r w:rsidRPr="00077B13">
        <w:t xml:space="preserve">current situation. </w:t>
      </w:r>
      <w:r>
        <w:t xml:space="preserve"> EEC and Free Energy also state that due to the </w:t>
      </w:r>
      <w:r w:rsidRPr="002B625C">
        <w:t>COVID</w:t>
      </w:r>
      <w:r>
        <w:t xml:space="preserve">-19 pandemic, </w:t>
      </w:r>
      <w:r w:rsidRPr="00077B13">
        <w:t xml:space="preserve">CARE enrollments </w:t>
      </w:r>
      <w:r>
        <w:t xml:space="preserve">should be expected to increase, however the SMJUs have failed to account for these impacts in the </w:t>
      </w:r>
      <w:r w:rsidRPr="00077B13">
        <w:t xml:space="preserve">budgets or goals. </w:t>
      </w:r>
      <w:r>
        <w:t xml:space="preserve"> EEC and Free Energy propose that the </w:t>
      </w:r>
      <w:r w:rsidRPr="00E557E9">
        <w:t>90</w:t>
      </w:r>
      <w:r>
        <w:t xml:space="preserve"> percent</w:t>
      </w:r>
      <w:r w:rsidRPr="00E557E9">
        <w:t xml:space="preserve"> </w:t>
      </w:r>
      <w:r>
        <w:t xml:space="preserve">enrollment goal </w:t>
      </w:r>
      <w:r w:rsidRPr="00E557E9">
        <w:t>be achieved over the full 6-year cycle</w:t>
      </w:r>
      <w:r>
        <w:t xml:space="preserve">, with the following household enrollment </w:t>
      </w:r>
      <w:r w:rsidRPr="0020306F">
        <w:t>goals</w:t>
      </w:r>
      <w:r>
        <w:t xml:space="preserve"> </w:t>
      </w:r>
      <w:r w:rsidRPr="0020306F">
        <w:t>updated for current</w:t>
      </w:r>
      <w:r>
        <w:t xml:space="preserve"> </w:t>
      </w:r>
      <w:r w:rsidRPr="0020306F">
        <w:t>developments:</w:t>
      </w:r>
      <w:r>
        <w:rPr>
          <w:rStyle w:val="FootnoteReference"/>
        </w:rPr>
        <w:footnoteReference w:id="26"/>
      </w:r>
    </w:p>
    <w:p w:rsidR="008959A4" w:rsidP="008959A4" w:rsidRDefault="008959A4" w14:paraId="4FAC9476" w14:textId="77777777">
      <w:pPr>
        <w:pStyle w:val="ALJBodyText"/>
        <w:keepNext/>
        <w:keepLines/>
        <w:spacing w:line="240" w:lineRule="auto"/>
        <w:ind w:firstLine="0"/>
        <w:jc w:val="center"/>
        <w:rPr>
          <w:b/>
          <w:bCs/>
        </w:rPr>
      </w:pPr>
      <w:r w:rsidRPr="008B0631">
        <w:rPr>
          <w:b/>
          <w:bCs/>
        </w:rPr>
        <w:lastRenderedPageBreak/>
        <w:t xml:space="preserve">Table </w:t>
      </w:r>
      <w:r>
        <w:rPr>
          <w:b/>
          <w:bCs/>
        </w:rPr>
        <w:t>1:</w:t>
      </w:r>
    </w:p>
    <w:p w:rsidRPr="00D85426" w:rsidR="008959A4" w:rsidP="008959A4" w:rsidRDefault="008959A4" w14:paraId="2AC841B2" w14:textId="77777777">
      <w:pPr>
        <w:pStyle w:val="ALJBodyText"/>
        <w:keepNext/>
        <w:keepLines/>
        <w:spacing w:after="240" w:line="240" w:lineRule="auto"/>
        <w:ind w:firstLine="0"/>
        <w:jc w:val="center"/>
        <w:rPr>
          <w:b/>
          <w:bCs/>
        </w:rPr>
      </w:pPr>
      <w:r w:rsidRPr="00D85426">
        <w:rPr>
          <w:b/>
          <w:bCs/>
        </w:rPr>
        <w:t xml:space="preserve">EEC &amp; Free Energy’s Proposed CARE </w:t>
      </w:r>
      <w:r>
        <w:rPr>
          <w:b/>
          <w:bCs/>
        </w:rPr>
        <w:t xml:space="preserve">Household </w:t>
      </w:r>
      <w:r w:rsidRPr="00D85426">
        <w:rPr>
          <w:b/>
          <w:bCs/>
        </w:rPr>
        <w:t>Enrollment Goals</w:t>
      </w:r>
    </w:p>
    <w:tbl>
      <w:tblPr>
        <w:tblStyle w:val="TableTheme"/>
        <w:tblW w:w="10800" w:type="dxa"/>
        <w:jc w:val="center"/>
        <w:tblLayout w:type="fixed"/>
        <w:tblLook w:val="04A0" w:firstRow="1" w:lastRow="0" w:firstColumn="1" w:lastColumn="0" w:noHBand="0" w:noVBand="1"/>
      </w:tblPr>
      <w:tblGrid>
        <w:gridCol w:w="540"/>
        <w:gridCol w:w="810"/>
        <w:gridCol w:w="900"/>
        <w:gridCol w:w="810"/>
        <w:gridCol w:w="900"/>
        <w:gridCol w:w="810"/>
        <w:gridCol w:w="900"/>
        <w:gridCol w:w="810"/>
        <w:gridCol w:w="900"/>
        <w:gridCol w:w="810"/>
        <w:gridCol w:w="900"/>
        <w:gridCol w:w="810"/>
        <w:gridCol w:w="900"/>
      </w:tblGrid>
      <w:tr w:rsidRPr="0066564E" w:rsidR="008959A4" w:rsidTr="00717A84" w14:paraId="6F50C5F9" w14:textId="77777777">
        <w:trPr>
          <w:trHeight w:val="647"/>
          <w:jc w:val="center"/>
        </w:trPr>
        <w:tc>
          <w:tcPr>
            <w:tcW w:w="540" w:type="dxa"/>
            <w:noWrap/>
            <w:vAlign w:val="bottom"/>
            <w:hideMark/>
          </w:tcPr>
          <w:p w:rsidRPr="0066564E" w:rsidR="008959A4" w:rsidP="00717A84" w:rsidRDefault="008959A4" w14:paraId="5F8D006F" w14:textId="77777777">
            <w:pPr>
              <w:keepNext/>
              <w:keepLines/>
              <w:jc w:val="center"/>
              <w:rPr>
                <w:rFonts w:eastAsia="Times New Roman" w:cs="Calibri"/>
                <w:b/>
                <w:bCs/>
                <w:color w:val="000000" w:themeColor="text1"/>
                <w:sz w:val="24"/>
                <w:szCs w:val="24"/>
              </w:rPr>
            </w:pPr>
            <w:r w:rsidRPr="0066564E">
              <w:rPr>
                <w:rFonts w:eastAsia="Times New Roman" w:cs="Calibri"/>
                <w:color w:val="000000" w:themeColor="text1"/>
                <w:sz w:val="24"/>
                <w:szCs w:val="24"/>
              </w:rPr>
              <w:t>PY</w:t>
            </w:r>
          </w:p>
        </w:tc>
        <w:tc>
          <w:tcPr>
            <w:tcW w:w="1710" w:type="dxa"/>
            <w:gridSpan w:val="2"/>
          </w:tcPr>
          <w:p w:rsidRPr="0066564E" w:rsidR="008959A4" w:rsidP="00717A84" w:rsidRDefault="008959A4" w14:paraId="3F569A0F"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West Coast Gas</w:t>
            </w:r>
          </w:p>
        </w:tc>
        <w:tc>
          <w:tcPr>
            <w:tcW w:w="1710" w:type="dxa"/>
            <w:gridSpan w:val="2"/>
          </w:tcPr>
          <w:p w:rsidRPr="0066564E" w:rsidR="008959A4" w:rsidP="00717A84" w:rsidRDefault="008959A4" w14:paraId="78611553"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Bear Valley</w:t>
            </w:r>
          </w:p>
        </w:tc>
        <w:tc>
          <w:tcPr>
            <w:tcW w:w="1710" w:type="dxa"/>
            <w:gridSpan w:val="2"/>
          </w:tcPr>
          <w:p w:rsidRPr="0066564E" w:rsidR="008959A4" w:rsidP="00717A84" w:rsidRDefault="008959A4" w14:paraId="3F7C163A"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PacifiCorp</w:t>
            </w:r>
          </w:p>
        </w:tc>
        <w:tc>
          <w:tcPr>
            <w:tcW w:w="1710" w:type="dxa"/>
            <w:gridSpan w:val="2"/>
            <w:vAlign w:val="center"/>
          </w:tcPr>
          <w:p w:rsidRPr="0066564E" w:rsidR="008959A4" w:rsidP="00717A84" w:rsidRDefault="008959A4" w14:paraId="166D7954"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Southwest Gas</w:t>
            </w:r>
          </w:p>
        </w:tc>
        <w:tc>
          <w:tcPr>
            <w:tcW w:w="1710" w:type="dxa"/>
            <w:gridSpan w:val="2"/>
          </w:tcPr>
          <w:p w:rsidRPr="0066564E" w:rsidR="008959A4" w:rsidP="00717A84" w:rsidRDefault="008959A4" w14:paraId="00D43F38"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Liberty</w:t>
            </w:r>
          </w:p>
        </w:tc>
        <w:tc>
          <w:tcPr>
            <w:tcW w:w="1710" w:type="dxa"/>
            <w:gridSpan w:val="2"/>
          </w:tcPr>
          <w:p w:rsidRPr="0066564E" w:rsidR="008959A4" w:rsidP="00717A84" w:rsidRDefault="008959A4" w14:paraId="698A078E" w14:textId="77777777">
            <w:pPr>
              <w:keepNext/>
              <w:keepLines/>
              <w:jc w:val="center"/>
              <w:rPr>
                <w:rFonts w:eastAsia="Times New Roman" w:cs="Calibri"/>
                <w:b/>
                <w:bCs/>
                <w:color w:val="000000" w:themeColor="text1"/>
                <w:sz w:val="24"/>
                <w:szCs w:val="24"/>
              </w:rPr>
            </w:pPr>
            <w:r w:rsidRPr="0066564E">
              <w:rPr>
                <w:rFonts w:eastAsia="Times New Roman" w:cs="Calibri"/>
                <w:b/>
                <w:bCs/>
                <w:color w:val="000000" w:themeColor="text1"/>
                <w:sz w:val="24"/>
                <w:szCs w:val="24"/>
              </w:rPr>
              <w:t>Alpine</w:t>
            </w:r>
          </w:p>
        </w:tc>
      </w:tr>
      <w:tr w:rsidRPr="0066564E" w:rsidR="008959A4" w:rsidTr="00717A84" w14:paraId="0563A1C1" w14:textId="77777777">
        <w:trPr>
          <w:trHeight w:val="130"/>
          <w:jc w:val="center"/>
        </w:trPr>
        <w:tc>
          <w:tcPr>
            <w:tcW w:w="540" w:type="dxa"/>
            <w:noWrap/>
            <w:vAlign w:val="bottom"/>
          </w:tcPr>
          <w:p w:rsidRPr="0066564E" w:rsidR="008959A4" w:rsidP="00717A84" w:rsidRDefault="008959A4" w14:paraId="08C7E2A3" w14:textId="77777777">
            <w:pPr>
              <w:keepNext/>
              <w:keepLines/>
              <w:jc w:val="center"/>
              <w:rPr>
                <w:rFonts w:eastAsia="Times New Roman" w:cs="Calibri"/>
                <w:color w:val="000000" w:themeColor="text1"/>
                <w:sz w:val="14"/>
                <w:szCs w:val="14"/>
              </w:rPr>
            </w:pPr>
          </w:p>
        </w:tc>
        <w:tc>
          <w:tcPr>
            <w:tcW w:w="810" w:type="dxa"/>
          </w:tcPr>
          <w:p w:rsidRPr="0066564E" w:rsidR="008959A4" w:rsidP="00717A84" w:rsidRDefault="008959A4" w14:paraId="774E4062"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noWrap/>
          </w:tcPr>
          <w:p w:rsidRPr="0066564E" w:rsidR="008959A4" w:rsidP="00717A84" w:rsidRDefault="008959A4" w14:paraId="1008E026"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EEC/Free Energy Proposal</w:t>
            </w:r>
          </w:p>
        </w:tc>
        <w:tc>
          <w:tcPr>
            <w:tcW w:w="810" w:type="dxa"/>
          </w:tcPr>
          <w:p w:rsidRPr="0066564E" w:rsidR="008959A4" w:rsidP="00717A84" w:rsidRDefault="008959A4" w14:paraId="3F8BBEB0"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noWrap/>
          </w:tcPr>
          <w:p w:rsidRPr="0066564E" w:rsidR="008959A4" w:rsidP="00717A84" w:rsidRDefault="008959A4" w14:paraId="6F1F3835"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EEC/Free Energy Proposal</w:t>
            </w:r>
          </w:p>
        </w:tc>
        <w:tc>
          <w:tcPr>
            <w:tcW w:w="810" w:type="dxa"/>
          </w:tcPr>
          <w:p w:rsidRPr="0066564E" w:rsidR="008959A4" w:rsidP="00717A84" w:rsidRDefault="008959A4" w14:paraId="1BBC3407"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tcPr>
          <w:p w:rsidRPr="0066564E" w:rsidR="008959A4" w:rsidP="00717A84" w:rsidRDefault="008959A4" w14:paraId="1E24C43E"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EEC/Free Energy Proposal</w:t>
            </w:r>
          </w:p>
        </w:tc>
        <w:tc>
          <w:tcPr>
            <w:tcW w:w="810" w:type="dxa"/>
            <w:noWrap/>
          </w:tcPr>
          <w:p w:rsidRPr="0066564E" w:rsidR="008959A4" w:rsidP="00717A84" w:rsidRDefault="008959A4" w14:paraId="03892DE2"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tcPr>
          <w:p w:rsidRPr="0066564E" w:rsidR="008959A4" w:rsidP="00717A84" w:rsidRDefault="008959A4" w14:paraId="40B1E2C9" w14:textId="77777777">
            <w:pPr>
              <w:keepNext/>
              <w:keepLines/>
              <w:jc w:val="center"/>
              <w:rPr>
                <w:rFonts w:cs="ArialMT"/>
                <w:sz w:val="14"/>
                <w:szCs w:val="14"/>
              </w:rPr>
            </w:pPr>
            <w:r w:rsidRPr="0066564E">
              <w:rPr>
                <w:rFonts w:eastAsia="Times New Roman" w:cs="Calibri"/>
                <w:color w:val="000000" w:themeColor="text1"/>
                <w:sz w:val="14"/>
                <w:szCs w:val="14"/>
              </w:rPr>
              <w:t>EEC/Free Energy Proposal</w:t>
            </w:r>
          </w:p>
        </w:tc>
        <w:tc>
          <w:tcPr>
            <w:tcW w:w="810" w:type="dxa"/>
          </w:tcPr>
          <w:p w:rsidRPr="0066564E" w:rsidR="008959A4" w:rsidP="00717A84" w:rsidRDefault="008959A4" w14:paraId="03560EE4"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tcPr>
          <w:p w:rsidRPr="0066564E" w:rsidR="008959A4" w:rsidP="00717A84" w:rsidRDefault="008959A4" w14:paraId="1785FA73"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EEC/Free Energy Proposal</w:t>
            </w:r>
          </w:p>
        </w:tc>
        <w:tc>
          <w:tcPr>
            <w:tcW w:w="810" w:type="dxa"/>
          </w:tcPr>
          <w:p w:rsidRPr="0066564E" w:rsidR="008959A4" w:rsidP="00717A84" w:rsidRDefault="008959A4" w14:paraId="09E5DB68"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SMJU Proposal</w:t>
            </w:r>
          </w:p>
        </w:tc>
        <w:tc>
          <w:tcPr>
            <w:tcW w:w="900" w:type="dxa"/>
            <w:noWrap/>
          </w:tcPr>
          <w:p w:rsidRPr="0066564E" w:rsidR="008959A4" w:rsidP="00717A84" w:rsidRDefault="008959A4" w14:paraId="521EDF26" w14:textId="77777777">
            <w:pPr>
              <w:keepNext/>
              <w:keepLines/>
              <w:jc w:val="center"/>
              <w:rPr>
                <w:rFonts w:eastAsia="Times New Roman" w:cs="Calibri"/>
                <w:color w:val="000000" w:themeColor="text1"/>
                <w:sz w:val="14"/>
                <w:szCs w:val="14"/>
              </w:rPr>
            </w:pPr>
            <w:r w:rsidRPr="0066564E">
              <w:rPr>
                <w:rFonts w:eastAsia="Times New Roman" w:cs="Calibri"/>
                <w:color w:val="000000" w:themeColor="text1"/>
                <w:sz w:val="14"/>
                <w:szCs w:val="14"/>
              </w:rPr>
              <w:t>EEC/Free Energy Proposal</w:t>
            </w:r>
          </w:p>
        </w:tc>
      </w:tr>
      <w:tr w:rsidRPr="0066564E" w:rsidR="008959A4" w:rsidTr="00717A84" w14:paraId="4CF06D50" w14:textId="77777777">
        <w:trPr>
          <w:trHeight w:val="130"/>
          <w:jc w:val="center"/>
        </w:trPr>
        <w:tc>
          <w:tcPr>
            <w:tcW w:w="540" w:type="dxa"/>
            <w:noWrap/>
            <w:vAlign w:val="bottom"/>
            <w:hideMark/>
          </w:tcPr>
          <w:p w:rsidRPr="0066564E" w:rsidR="008959A4" w:rsidP="00717A84" w:rsidRDefault="008959A4" w14:paraId="5A4120A2"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2021</w:t>
            </w:r>
          </w:p>
        </w:tc>
        <w:tc>
          <w:tcPr>
            <w:tcW w:w="810" w:type="dxa"/>
          </w:tcPr>
          <w:p w:rsidRPr="0066564E" w:rsidR="008959A4" w:rsidP="00717A84" w:rsidRDefault="008959A4" w14:paraId="0F8DD78C"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4F92D087"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4E56AD80" w14:textId="77777777">
            <w:pPr>
              <w:keepNext/>
              <w:keepLines/>
              <w:jc w:val="center"/>
              <w:rPr>
                <w:rFonts w:cs="ArialMT"/>
                <w:sz w:val="20"/>
              </w:rPr>
            </w:pPr>
            <w:r w:rsidRPr="0066564E">
              <w:rPr>
                <w:rFonts w:cs="ArialMT"/>
                <w:sz w:val="20"/>
              </w:rPr>
              <w:t>2,322</w:t>
            </w:r>
          </w:p>
        </w:tc>
        <w:tc>
          <w:tcPr>
            <w:tcW w:w="900" w:type="dxa"/>
            <w:noWrap/>
          </w:tcPr>
          <w:p w:rsidRPr="0066564E" w:rsidR="008959A4" w:rsidP="00717A84" w:rsidRDefault="008959A4" w14:paraId="6E4AD4E6" w14:textId="77777777">
            <w:pPr>
              <w:keepNext/>
              <w:keepLines/>
              <w:jc w:val="center"/>
              <w:rPr>
                <w:rFonts w:cs="ArialMT"/>
                <w:sz w:val="20"/>
              </w:rPr>
            </w:pPr>
            <w:r w:rsidRPr="0066564E">
              <w:rPr>
                <w:rFonts w:cs="ArialMT"/>
                <w:sz w:val="20"/>
              </w:rPr>
              <w:t>2,437</w:t>
            </w:r>
          </w:p>
        </w:tc>
        <w:tc>
          <w:tcPr>
            <w:tcW w:w="810" w:type="dxa"/>
          </w:tcPr>
          <w:p w:rsidRPr="0066564E" w:rsidR="008959A4" w:rsidP="00717A84" w:rsidRDefault="008959A4" w14:paraId="47D66DBF" w14:textId="77777777">
            <w:pPr>
              <w:keepNext/>
              <w:keepLines/>
              <w:jc w:val="center"/>
              <w:rPr>
                <w:rFonts w:cs="ArialMT"/>
                <w:sz w:val="20"/>
              </w:rPr>
            </w:pPr>
            <w:r w:rsidRPr="0066564E">
              <w:rPr>
                <w:rFonts w:cs="ArialMT"/>
                <w:sz w:val="20"/>
              </w:rPr>
              <w:t>11,971</w:t>
            </w:r>
          </w:p>
        </w:tc>
        <w:tc>
          <w:tcPr>
            <w:tcW w:w="900" w:type="dxa"/>
          </w:tcPr>
          <w:p w:rsidRPr="0066564E" w:rsidR="008959A4" w:rsidP="00717A84" w:rsidRDefault="008959A4" w14:paraId="083D0B56" w14:textId="77777777">
            <w:pPr>
              <w:keepNext/>
              <w:keepLines/>
              <w:jc w:val="center"/>
              <w:rPr>
                <w:rFonts w:cs="ArialMT"/>
                <w:sz w:val="20"/>
              </w:rPr>
            </w:pPr>
            <w:r w:rsidRPr="0066564E">
              <w:rPr>
                <w:rFonts w:cs="ArialMT"/>
                <w:sz w:val="20"/>
              </w:rPr>
              <w:t>12,483</w:t>
            </w:r>
          </w:p>
        </w:tc>
        <w:tc>
          <w:tcPr>
            <w:tcW w:w="810" w:type="dxa"/>
            <w:noWrap/>
            <w:vAlign w:val="bottom"/>
          </w:tcPr>
          <w:p w:rsidRPr="0066564E" w:rsidR="008959A4" w:rsidP="00717A84" w:rsidRDefault="008959A4" w14:paraId="28E898A4" w14:textId="77777777">
            <w:pPr>
              <w:keepNext/>
              <w:keepLines/>
              <w:jc w:val="center"/>
              <w:rPr>
                <w:rFonts w:cs="ArialMT"/>
                <w:sz w:val="20"/>
              </w:rPr>
            </w:pPr>
            <w:r w:rsidRPr="004D0B50">
              <w:rPr>
                <w:rFonts w:cs="ArialMT"/>
                <w:sz w:val="20"/>
              </w:rPr>
              <w:t>55,381</w:t>
            </w:r>
          </w:p>
        </w:tc>
        <w:tc>
          <w:tcPr>
            <w:tcW w:w="900" w:type="dxa"/>
          </w:tcPr>
          <w:p w:rsidRPr="0066564E" w:rsidR="008959A4" w:rsidP="00717A84" w:rsidRDefault="008959A4" w14:paraId="7E34A078" w14:textId="77777777">
            <w:pPr>
              <w:keepNext/>
              <w:keepLines/>
              <w:jc w:val="center"/>
              <w:rPr>
                <w:rFonts w:cs="ArialMT"/>
                <w:sz w:val="20"/>
              </w:rPr>
            </w:pPr>
            <w:r w:rsidRPr="0066564E">
              <w:rPr>
                <w:rFonts w:cs="ArialMT"/>
                <w:sz w:val="20"/>
              </w:rPr>
              <w:t>65,568</w:t>
            </w:r>
          </w:p>
        </w:tc>
        <w:tc>
          <w:tcPr>
            <w:tcW w:w="810" w:type="dxa"/>
          </w:tcPr>
          <w:p w:rsidRPr="0066564E" w:rsidR="008959A4" w:rsidP="00717A84" w:rsidRDefault="008959A4" w14:paraId="43FD1414" w14:textId="77777777">
            <w:pPr>
              <w:keepNext/>
              <w:keepLines/>
              <w:jc w:val="center"/>
              <w:rPr>
                <w:rFonts w:cs="ArialMT"/>
                <w:sz w:val="20"/>
              </w:rPr>
            </w:pPr>
            <w:r w:rsidRPr="0066564E">
              <w:rPr>
                <w:rFonts w:cs="ArialMT"/>
                <w:sz w:val="20"/>
              </w:rPr>
              <w:t>4,200</w:t>
            </w:r>
          </w:p>
        </w:tc>
        <w:tc>
          <w:tcPr>
            <w:tcW w:w="900" w:type="dxa"/>
          </w:tcPr>
          <w:p w:rsidRPr="0066564E" w:rsidR="008959A4" w:rsidP="00717A84" w:rsidRDefault="008959A4" w14:paraId="5EF8201A" w14:textId="77777777">
            <w:pPr>
              <w:keepNext/>
              <w:keepLines/>
              <w:jc w:val="center"/>
              <w:rPr>
                <w:rFonts w:cs="ArialMT"/>
                <w:sz w:val="20"/>
              </w:rPr>
            </w:pPr>
            <w:r w:rsidRPr="0066564E">
              <w:rPr>
                <w:rFonts w:cs="ArialMT"/>
                <w:sz w:val="20"/>
              </w:rPr>
              <w:t>4,503</w:t>
            </w:r>
          </w:p>
        </w:tc>
        <w:tc>
          <w:tcPr>
            <w:tcW w:w="810" w:type="dxa"/>
            <w:vAlign w:val="bottom"/>
          </w:tcPr>
          <w:p w:rsidRPr="0066564E" w:rsidR="008959A4" w:rsidP="00717A84" w:rsidRDefault="008959A4" w14:paraId="6FF4614E" w14:textId="77777777">
            <w:pPr>
              <w:keepNext/>
              <w:keepLines/>
              <w:jc w:val="center"/>
              <w:rPr>
                <w:rFonts w:cs="ArialMT"/>
                <w:sz w:val="20"/>
              </w:rPr>
            </w:pPr>
            <w:r w:rsidRPr="003C095D">
              <w:rPr>
                <w:rFonts w:cs="ArialMT"/>
                <w:sz w:val="20"/>
              </w:rPr>
              <w:t>162</w:t>
            </w:r>
          </w:p>
        </w:tc>
        <w:tc>
          <w:tcPr>
            <w:tcW w:w="900" w:type="dxa"/>
            <w:noWrap/>
          </w:tcPr>
          <w:p w:rsidRPr="0066564E" w:rsidR="008959A4" w:rsidP="00717A84" w:rsidRDefault="008959A4" w14:paraId="0D45E1B4" w14:textId="77777777">
            <w:pPr>
              <w:keepNext/>
              <w:keepLines/>
              <w:jc w:val="center"/>
              <w:rPr>
                <w:rFonts w:cs="ArialMT"/>
                <w:sz w:val="20"/>
              </w:rPr>
            </w:pPr>
            <w:r w:rsidRPr="0066564E">
              <w:rPr>
                <w:rFonts w:cs="ArialMT"/>
                <w:sz w:val="20"/>
              </w:rPr>
              <w:t>220</w:t>
            </w:r>
          </w:p>
        </w:tc>
      </w:tr>
      <w:tr w:rsidRPr="0066564E" w:rsidR="008959A4" w:rsidTr="00717A84" w14:paraId="1B13159F" w14:textId="77777777">
        <w:trPr>
          <w:trHeight w:val="130"/>
          <w:jc w:val="center"/>
        </w:trPr>
        <w:tc>
          <w:tcPr>
            <w:tcW w:w="540" w:type="dxa"/>
            <w:noWrap/>
            <w:vAlign w:val="bottom"/>
            <w:hideMark/>
          </w:tcPr>
          <w:p w:rsidRPr="0066564E" w:rsidR="008959A4" w:rsidP="00717A84" w:rsidRDefault="008959A4" w14:paraId="3E9E755F"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2022</w:t>
            </w:r>
          </w:p>
        </w:tc>
        <w:tc>
          <w:tcPr>
            <w:tcW w:w="810" w:type="dxa"/>
          </w:tcPr>
          <w:p w:rsidRPr="0066564E" w:rsidR="008959A4" w:rsidP="00717A84" w:rsidRDefault="008959A4" w14:paraId="60099926"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6B452643"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56D9C1EA" w14:textId="77777777">
            <w:pPr>
              <w:keepNext/>
              <w:keepLines/>
              <w:jc w:val="center"/>
              <w:rPr>
                <w:rFonts w:cs="ArialMT"/>
                <w:sz w:val="20"/>
              </w:rPr>
            </w:pPr>
            <w:r w:rsidRPr="0066564E">
              <w:rPr>
                <w:rFonts w:cs="ArialMT"/>
                <w:sz w:val="20"/>
              </w:rPr>
              <w:t>2,368</w:t>
            </w:r>
          </w:p>
        </w:tc>
        <w:tc>
          <w:tcPr>
            <w:tcW w:w="900" w:type="dxa"/>
            <w:noWrap/>
          </w:tcPr>
          <w:p w:rsidRPr="0066564E" w:rsidR="008959A4" w:rsidP="00717A84" w:rsidRDefault="008959A4" w14:paraId="7AF1054C" w14:textId="77777777">
            <w:pPr>
              <w:keepNext/>
              <w:keepLines/>
              <w:jc w:val="center"/>
              <w:rPr>
                <w:rFonts w:cs="ArialMT"/>
                <w:sz w:val="20"/>
              </w:rPr>
            </w:pPr>
            <w:r w:rsidRPr="0066564E">
              <w:rPr>
                <w:rFonts w:cs="ArialMT"/>
                <w:sz w:val="20"/>
              </w:rPr>
              <w:t>2,740</w:t>
            </w:r>
          </w:p>
        </w:tc>
        <w:tc>
          <w:tcPr>
            <w:tcW w:w="810" w:type="dxa"/>
          </w:tcPr>
          <w:p w:rsidRPr="0066564E" w:rsidR="008959A4" w:rsidP="00717A84" w:rsidRDefault="008959A4" w14:paraId="0B6525E8" w14:textId="77777777">
            <w:pPr>
              <w:keepNext/>
              <w:keepLines/>
              <w:jc w:val="center"/>
              <w:rPr>
                <w:rFonts w:cs="ArialMT"/>
                <w:sz w:val="20"/>
              </w:rPr>
            </w:pPr>
            <w:r w:rsidRPr="0066564E">
              <w:rPr>
                <w:rFonts w:cs="ArialMT"/>
                <w:sz w:val="20"/>
              </w:rPr>
              <w:t>12,021</w:t>
            </w:r>
          </w:p>
        </w:tc>
        <w:tc>
          <w:tcPr>
            <w:tcW w:w="900" w:type="dxa"/>
          </w:tcPr>
          <w:p w:rsidRPr="0066564E" w:rsidR="008959A4" w:rsidP="00717A84" w:rsidRDefault="008959A4" w14:paraId="426BDAF8" w14:textId="77777777">
            <w:pPr>
              <w:keepNext/>
              <w:keepLines/>
              <w:jc w:val="center"/>
              <w:rPr>
                <w:rFonts w:cs="ArialMT"/>
                <w:sz w:val="20"/>
              </w:rPr>
            </w:pPr>
            <w:r w:rsidRPr="0066564E">
              <w:rPr>
                <w:rFonts w:cs="ArialMT"/>
                <w:sz w:val="20"/>
              </w:rPr>
              <w:t>12,945</w:t>
            </w:r>
          </w:p>
        </w:tc>
        <w:tc>
          <w:tcPr>
            <w:tcW w:w="810" w:type="dxa"/>
            <w:noWrap/>
            <w:vAlign w:val="bottom"/>
          </w:tcPr>
          <w:p w:rsidRPr="0066564E" w:rsidR="008959A4" w:rsidP="00717A84" w:rsidRDefault="008959A4" w14:paraId="3EBC43F2" w14:textId="77777777">
            <w:pPr>
              <w:keepNext/>
              <w:keepLines/>
              <w:jc w:val="center"/>
              <w:rPr>
                <w:rFonts w:cs="ArialMT"/>
                <w:sz w:val="20"/>
              </w:rPr>
            </w:pPr>
            <w:r w:rsidRPr="004D0B50">
              <w:rPr>
                <w:rFonts w:cs="ArialMT"/>
                <w:sz w:val="20"/>
              </w:rPr>
              <w:t>56,015</w:t>
            </w:r>
          </w:p>
        </w:tc>
        <w:tc>
          <w:tcPr>
            <w:tcW w:w="900" w:type="dxa"/>
          </w:tcPr>
          <w:p w:rsidRPr="0066564E" w:rsidR="008959A4" w:rsidP="00717A84" w:rsidRDefault="008959A4" w14:paraId="57876B50" w14:textId="77777777">
            <w:pPr>
              <w:keepNext/>
              <w:keepLines/>
              <w:jc w:val="center"/>
              <w:rPr>
                <w:rFonts w:cs="ArialMT"/>
                <w:sz w:val="20"/>
              </w:rPr>
            </w:pPr>
            <w:r w:rsidRPr="0066564E">
              <w:rPr>
                <w:rFonts w:cs="ArialMT"/>
                <w:sz w:val="20"/>
              </w:rPr>
              <w:t>70,166</w:t>
            </w:r>
          </w:p>
        </w:tc>
        <w:tc>
          <w:tcPr>
            <w:tcW w:w="810" w:type="dxa"/>
          </w:tcPr>
          <w:p w:rsidRPr="0066564E" w:rsidR="008959A4" w:rsidP="00717A84" w:rsidRDefault="008959A4" w14:paraId="012CB216" w14:textId="77777777">
            <w:pPr>
              <w:keepNext/>
              <w:keepLines/>
              <w:rPr>
                <w:rFonts w:cs="ArialMT"/>
                <w:sz w:val="20"/>
              </w:rPr>
            </w:pPr>
            <w:r>
              <w:rPr>
                <w:rFonts w:cs="ArialMT"/>
                <w:sz w:val="20"/>
              </w:rPr>
              <w:t xml:space="preserve"> </w:t>
            </w:r>
            <w:r w:rsidRPr="0066564E">
              <w:rPr>
                <w:rFonts w:cs="ArialMT"/>
                <w:sz w:val="20"/>
              </w:rPr>
              <w:t>4,410</w:t>
            </w:r>
          </w:p>
        </w:tc>
        <w:tc>
          <w:tcPr>
            <w:tcW w:w="900" w:type="dxa"/>
          </w:tcPr>
          <w:p w:rsidRPr="0066564E" w:rsidR="008959A4" w:rsidP="00717A84" w:rsidRDefault="008959A4" w14:paraId="2AB89730" w14:textId="77777777">
            <w:pPr>
              <w:keepNext/>
              <w:keepLines/>
              <w:jc w:val="center"/>
              <w:rPr>
                <w:rFonts w:cs="ArialMT"/>
                <w:sz w:val="20"/>
              </w:rPr>
            </w:pPr>
            <w:r w:rsidRPr="0066564E">
              <w:rPr>
                <w:rFonts w:cs="ArialMT"/>
                <w:sz w:val="20"/>
              </w:rPr>
              <w:t>5,185</w:t>
            </w:r>
          </w:p>
        </w:tc>
        <w:tc>
          <w:tcPr>
            <w:tcW w:w="810" w:type="dxa"/>
            <w:vAlign w:val="bottom"/>
          </w:tcPr>
          <w:p w:rsidRPr="0066564E" w:rsidR="008959A4" w:rsidP="00717A84" w:rsidRDefault="008959A4" w14:paraId="068CD1D3" w14:textId="77777777">
            <w:pPr>
              <w:keepNext/>
              <w:keepLines/>
              <w:jc w:val="center"/>
              <w:rPr>
                <w:rFonts w:cs="ArialMT"/>
                <w:sz w:val="20"/>
              </w:rPr>
            </w:pPr>
            <w:r w:rsidRPr="003C095D">
              <w:rPr>
                <w:rFonts w:cs="ArialMT"/>
                <w:sz w:val="20"/>
              </w:rPr>
              <w:t>168</w:t>
            </w:r>
          </w:p>
        </w:tc>
        <w:tc>
          <w:tcPr>
            <w:tcW w:w="900" w:type="dxa"/>
            <w:noWrap/>
          </w:tcPr>
          <w:p w:rsidRPr="0066564E" w:rsidR="008959A4" w:rsidP="00717A84" w:rsidRDefault="008959A4" w14:paraId="635A5245" w14:textId="77777777">
            <w:pPr>
              <w:keepNext/>
              <w:keepLines/>
              <w:jc w:val="center"/>
              <w:rPr>
                <w:rFonts w:cs="ArialMT"/>
                <w:sz w:val="20"/>
              </w:rPr>
            </w:pPr>
            <w:r w:rsidRPr="0066564E">
              <w:rPr>
                <w:rFonts w:cs="ArialMT"/>
                <w:sz w:val="20"/>
              </w:rPr>
              <w:t>288</w:t>
            </w:r>
          </w:p>
        </w:tc>
      </w:tr>
      <w:tr w:rsidRPr="0066564E" w:rsidR="008959A4" w:rsidTr="00717A84" w14:paraId="04AC272A" w14:textId="77777777">
        <w:trPr>
          <w:trHeight w:val="130"/>
          <w:jc w:val="center"/>
        </w:trPr>
        <w:tc>
          <w:tcPr>
            <w:tcW w:w="540" w:type="dxa"/>
            <w:noWrap/>
            <w:vAlign w:val="bottom"/>
            <w:hideMark/>
          </w:tcPr>
          <w:p w:rsidRPr="0066564E" w:rsidR="008959A4" w:rsidP="00717A84" w:rsidRDefault="008959A4" w14:paraId="463129D0"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2023</w:t>
            </w:r>
          </w:p>
        </w:tc>
        <w:tc>
          <w:tcPr>
            <w:tcW w:w="810" w:type="dxa"/>
          </w:tcPr>
          <w:p w:rsidRPr="0066564E" w:rsidR="008959A4" w:rsidP="00717A84" w:rsidRDefault="008959A4" w14:paraId="671DDB1D"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7F6BDD78"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681C410C" w14:textId="77777777">
            <w:pPr>
              <w:keepNext/>
              <w:keepLines/>
              <w:jc w:val="center"/>
              <w:rPr>
                <w:rFonts w:cs="ArialMT"/>
                <w:sz w:val="20"/>
              </w:rPr>
            </w:pPr>
            <w:r w:rsidRPr="0066564E">
              <w:rPr>
                <w:rFonts w:cs="ArialMT"/>
                <w:sz w:val="20"/>
              </w:rPr>
              <w:t>2,415</w:t>
            </w:r>
          </w:p>
        </w:tc>
        <w:tc>
          <w:tcPr>
            <w:tcW w:w="900" w:type="dxa"/>
            <w:noWrap/>
          </w:tcPr>
          <w:p w:rsidRPr="0066564E" w:rsidR="008959A4" w:rsidP="00717A84" w:rsidRDefault="008959A4" w14:paraId="1EF85E53" w14:textId="77777777">
            <w:pPr>
              <w:keepNext/>
              <w:keepLines/>
              <w:jc w:val="center"/>
              <w:rPr>
                <w:rFonts w:cs="ArialMT"/>
                <w:sz w:val="20"/>
              </w:rPr>
            </w:pPr>
            <w:r w:rsidRPr="0066564E">
              <w:rPr>
                <w:rFonts w:cs="ArialMT"/>
                <w:sz w:val="20"/>
              </w:rPr>
              <w:t>3,043</w:t>
            </w:r>
          </w:p>
        </w:tc>
        <w:tc>
          <w:tcPr>
            <w:tcW w:w="810" w:type="dxa"/>
          </w:tcPr>
          <w:p w:rsidRPr="0066564E" w:rsidR="008959A4" w:rsidP="00717A84" w:rsidRDefault="008959A4" w14:paraId="39475E62" w14:textId="77777777">
            <w:pPr>
              <w:keepNext/>
              <w:keepLines/>
              <w:jc w:val="center"/>
              <w:rPr>
                <w:rFonts w:cs="ArialMT"/>
                <w:sz w:val="20"/>
              </w:rPr>
            </w:pPr>
            <w:r w:rsidRPr="0066564E">
              <w:rPr>
                <w:rFonts w:cs="ArialMT"/>
                <w:sz w:val="20"/>
              </w:rPr>
              <w:t>12,071</w:t>
            </w:r>
          </w:p>
        </w:tc>
        <w:tc>
          <w:tcPr>
            <w:tcW w:w="900" w:type="dxa"/>
          </w:tcPr>
          <w:p w:rsidRPr="0066564E" w:rsidR="008959A4" w:rsidP="00717A84" w:rsidRDefault="008959A4" w14:paraId="01FCB357" w14:textId="77777777">
            <w:pPr>
              <w:keepNext/>
              <w:keepLines/>
              <w:jc w:val="center"/>
              <w:rPr>
                <w:rFonts w:cs="ArialMT"/>
                <w:sz w:val="20"/>
              </w:rPr>
            </w:pPr>
            <w:r w:rsidRPr="0066564E">
              <w:rPr>
                <w:rFonts w:cs="ArialMT"/>
                <w:sz w:val="20"/>
              </w:rPr>
              <w:t>13,407</w:t>
            </w:r>
          </w:p>
        </w:tc>
        <w:tc>
          <w:tcPr>
            <w:tcW w:w="810" w:type="dxa"/>
            <w:noWrap/>
            <w:vAlign w:val="bottom"/>
          </w:tcPr>
          <w:p w:rsidRPr="0066564E" w:rsidR="008959A4" w:rsidP="00717A84" w:rsidRDefault="008959A4" w14:paraId="5678CCFF" w14:textId="77777777">
            <w:pPr>
              <w:keepNext/>
              <w:keepLines/>
              <w:jc w:val="center"/>
              <w:rPr>
                <w:rFonts w:cs="ArialMT"/>
                <w:sz w:val="20"/>
              </w:rPr>
            </w:pPr>
            <w:r w:rsidRPr="004D0B50">
              <w:rPr>
                <w:rFonts w:cs="ArialMT"/>
                <w:sz w:val="20"/>
              </w:rPr>
              <w:t>56,650</w:t>
            </w:r>
          </w:p>
        </w:tc>
        <w:tc>
          <w:tcPr>
            <w:tcW w:w="900" w:type="dxa"/>
          </w:tcPr>
          <w:p w:rsidRPr="0066564E" w:rsidR="008959A4" w:rsidP="00717A84" w:rsidRDefault="008959A4" w14:paraId="735D3BE9" w14:textId="77777777">
            <w:pPr>
              <w:keepNext/>
              <w:keepLines/>
              <w:jc w:val="center"/>
              <w:rPr>
                <w:rFonts w:cs="ArialMT"/>
                <w:sz w:val="20"/>
              </w:rPr>
            </w:pPr>
            <w:r w:rsidRPr="0066564E">
              <w:rPr>
                <w:rFonts w:cs="ArialMT"/>
                <w:sz w:val="20"/>
              </w:rPr>
              <w:t>74,764</w:t>
            </w:r>
          </w:p>
        </w:tc>
        <w:tc>
          <w:tcPr>
            <w:tcW w:w="810" w:type="dxa"/>
          </w:tcPr>
          <w:p w:rsidRPr="0066564E" w:rsidR="008959A4" w:rsidP="00717A84" w:rsidRDefault="008959A4" w14:paraId="5AD0525A" w14:textId="77777777">
            <w:pPr>
              <w:keepNext/>
              <w:keepLines/>
              <w:jc w:val="center"/>
              <w:rPr>
                <w:rFonts w:cs="ArialMT"/>
                <w:sz w:val="20"/>
              </w:rPr>
            </w:pPr>
            <w:r w:rsidRPr="0066564E">
              <w:rPr>
                <w:rFonts w:cs="ArialMT"/>
                <w:sz w:val="20"/>
              </w:rPr>
              <w:t>4,630</w:t>
            </w:r>
          </w:p>
        </w:tc>
        <w:tc>
          <w:tcPr>
            <w:tcW w:w="900" w:type="dxa"/>
          </w:tcPr>
          <w:p w:rsidRPr="0066564E" w:rsidR="008959A4" w:rsidP="00717A84" w:rsidRDefault="008959A4" w14:paraId="04F43884" w14:textId="77777777">
            <w:pPr>
              <w:keepNext/>
              <w:keepLines/>
              <w:jc w:val="center"/>
              <w:rPr>
                <w:rFonts w:cs="ArialMT"/>
                <w:sz w:val="20"/>
              </w:rPr>
            </w:pPr>
            <w:r w:rsidRPr="0066564E">
              <w:rPr>
                <w:rFonts w:cs="ArialMT"/>
                <w:sz w:val="20"/>
              </w:rPr>
              <w:t>5,867</w:t>
            </w:r>
          </w:p>
        </w:tc>
        <w:tc>
          <w:tcPr>
            <w:tcW w:w="810" w:type="dxa"/>
            <w:vAlign w:val="bottom"/>
          </w:tcPr>
          <w:p w:rsidRPr="0066564E" w:rsidR="008959A4" w:rsidP="00717A84" w:rsidRDefault="008959A4" w14:paraId="2828D00F" w14:textId="77777777">
            <w:pPr>
              <w:keepNext/>
              <w:keepLines/>
              <w:jc w:val="center"/>
              <w:rPr>
                <w:rFonts w:cs="ArialMT"/>
                <w:sz w:val="20"/>
              </w:rPr>
            </w:pPr>
            <w:r w:rsidRPr="003C095D">
              <w:rPr>
                <w:rFonts w:cs="ArialMT"/>
                <w:sz w:val="20"/>
              </w:rPr>
              <w:t>171</w:t>
            </w:r>
          </w:p>
        </w:tc>
        <w:tc>
          <w:tcPr>
            <w:tcW w:w="900" w:type="dxa"/>
            <w:noWrap/>
          </w:tcPr>
          <w:p w:rsidRPr="0066564E" w:rsidR="008959A4" w:rsidP="00717A84" w:rsidRDefault="008959A4" w14:paraId="40C29A74" w14:textId="77777777">
            <w:pPr>
              <w:keepNext/>
              <w:keepLines/>
              <w:jc w:val="center"/>
              <w:rPr>
                <w:rFonts w:cs="ArialMT"/>
                <w:sz w:val="20"/>
              </w:rPr>
            </w:pPr>
            <w:r w:rsidRPr="0066564E">
              <w:rPr>
                <w:rFonts w:cs="ArialMT"/>
                <w:sz w:val="20"/>
              </w:rPr>
              <w:t>356</w:t>
            </w:r>
          </w:p>
        </w:tc>
      </w:tr>
      <w:tr w:rsidRPr="0066564E" w:rsidR="008959A4" w:rsidTr="00717A84" w14:paraId="4D7A5E27" w14:textId="77777777">
        <w:trPr>
          <w:trHeight w:val="130"/>
          <w:jc w:val="center"/>
        </w:trPr>
        <w:tc>
          <w:tcPr>
            <w:tcW w:w="540" w:type="dxa"/>
            <w:noWrap/>
            <w:vAlign w:val="bottom"/>
            <w:hideMark/>
          </w:tcPr>
          <w:p w:rsidRPr="0066564E" w:rsidR="008959A4" w:rsidP="00717A84" w:rsidRDefault="008959A4" w14:paraId="5B67339F"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2024</w:t>
            </w:r>
          </w:p>
        </w:tc>
        <w:tc>
          <w:tcPr>
            <w:tcW w:w="810" w:type="dxa"/>
          </w:tcPr>
          <w:p w:rsidRPr="0066564E" w:rsidR="008959A4" w:rsidP="00717A84" w:rsidRDefault="008959A4" w14:paraId="213451E6"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6F36B70C"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2119470A" w14:textId="77777777">
            <w:pPr>
              <w:keepNext/>
              <w:keepLines/>
              <w:jc w:val="center"/>
              <w:rPr>
                <w:rFonts w:cs="ArialMT"/>
                <w:sz w:val="20"/>
              </w:rPr>
            </w:pPr>
            <w:r w:rsidRPr="0066564E">
              <w:rPr>
                <w:rFonts w:cs="ArialMT"/>
                <w:sz w:val="20"/>
              </w:rPr>
              <w:t>2,463</w:t>
            </w:r>
          </w:p>
        </w:tc>
        <w:tc>
          <w:tcPr>
            <w:tcW w:w="900" w:type="dxa"/>
            <w:noWrap/>
          </w:tcPr>
          <w:p w:rsidRPr="0066564E" w:rsidR="008959A4" w:rsidP="00717A84" w:rsidRDefault="008959A4" w14:paraId="61C711E3" w14:textId="77777777">
            <w:pPr>
              <w:keepNext/>
              <w:keepLines/>
              <w:jc w:val="center"/>
              <w:rPr>
                <w:rFonts w:cs="ArialMT"/>
                <w:sz w:val="20"/>
              </w:rPr>
            </w:pPr>
            <w:r w:rsidRPr="0066564E">
              <w:rPr>
                <w:rFonts w:cs="ArialMT"/>
                <w:sz w:val="20"/>
              </w:rPr>
              <w:t>3,228</w:t>
            </w:r>
          </w:p>
        </w:tc>
        <w:tc>
          <w:tcPr>
            <w:tcW w:w="810" w:type="dxa"/>
          </w:tcPr>
          <w:p w:rsidRPr="0066564E" w:rsidR="008959A4" w:rsidP="00717A84" w:rsidRDefault="008959A4" w14:paraId="2D0627B4" w14:textId="77777777">
            <w:pPr>
              <w:keepNext/>
              <w:keepLines/>
              <w:jc w:val="center"/>
              <w:rPr>
                <w:rFonts w:cs="ArialMT"/>
                <w:sz w:val="20"/>
              </w:rPr>
            </w:pPr>
            <w:r w:rsidRPr="0066564E">
              <w:rPr>
                <w:rFonts w:cs="ArialMT"/>
                <w:sz w:val="20"/>
              </w:rPr>
              <w:t>12,121</w:t>
            </w:r>
          </w:p>
        </w:tc>
        <w:tc>
          <w:tcPr>
            <w:tcW w:w="900" w:type="dxa"/>
          </w:tcPr>
          <w:p w:rsidRPr="0066564E" w:rsidR="008959A4" w:rsidP="00717A84" w:rsidRDefault="008959A4" w14:paraId="602DEFFE" w14:textId="77777777">
            <w:pPr>
              <w:keepNext/>
              <w:keepLines/>
              <w:jc w:val="center"/>
              <w:rPr>
                <w:rFonts w:cs="ArialMT"/>
                <w:sz w:val="20"/>
              </w:rPr>
            </w:pPr>
            <w:r w:rsidRPr="0066564E">
              <w:rPr>
                <w:rFonts w:cs="ArialMT"/>
                <w:sz w:val="20"/>
              </w:rPr>
              <w:t>13,869</w:t>
            </w:r>
          </w:p>
        </w:tc>
        <w:tc>
          <w:tcPr>
            <w:tcW w:w="810" w:type="dxa"/>
            <w:noWrap/>
            <w:vAlign w:val="bottom"/>
          </w:tcPr>
          <w:p w:rsidRPr="0066564E" w:rsidR="008959A4" w:rsidP="00717A84" w:rsidRDefault="008959A4" w14:paraId="5D5CC7AD" w14:textId="77777777">
            <w:pPr>
              <w:keepNext/>
              <w:keepLines/>
              <w:jc w:val="center"/>
              <w:rPr>
                <w:rFonts w:cs="ArialMT"/>
                <w:sz w:val="20"/>
              </w:rPr>
            </w:pPr>
            <w:r w:rsidRPr="004D0B50">
              <w:rPr>
                <w:rFonts w:cs="ArialMT"/>
                <w:sz w:val="20"/>
              </w:rPr>
              <w:t>57,284</w:t>
            </w:r>
          </w:p>
        </w:tc>
        <w:tc>
          <w:tcPr>
            <w:tcW w:w="900" w:type="dxa"/>
          </w:tcPr>
          <w:p w:rsidRPr="0066564E" w:rsidR="008959A4" w:rsidP="00717A84" w:rsidRDefault="008959A4" w14:paraId="4B6520F9" w14:textId="77777777">
            <w:pPr>
              <w:keepNext/>
              <w:keepLines/>
              <w:jc w:val="center"/>
              <w:rPr>
                <w:rFonts w:cs="ArialMT"/>
                <w:sz w:val="20"/>
              </w:rPr>
            </w:pPr>
            <w:r w:rsidRPr="0066564E">
              <w:rPr>
                <w:rFonts w:cs="ArialMT"/>
                <w:sz w:val="20"/>
              </w:rPr>
              <w:t>79,362</w:t>
            </w:r>
          </w:p>
        </w:tc>
        <w:tc>
          <w:tcPr>
            <w:tcW w:w="810" w:type="dxa"/>
          </w:tcPr>
          <w:p w:rsidRPr="0066564E" w:rsidR="008959A4" w:rsidP="00717A84" w:rsidRDefault="008959A4" w14:paraId="01AEC43B" w14:textId="77777777">
            <w:pPr>
              <w:keepNext/>
              <w:keepLines/>
              <w:jc w:val="center"/>
              <w:rPr>
                <w:rFonts w:cs="ArialMT"/>
                <w:sz w:val="20"/>
              </w:rPr>
            </w:pPr>
            <w:r w:rsidRPr="0066564E">
              <w:rPr>
                <w:rFonts w:cs="ArialMT"/>
                <w:sz w:val="20"/>
              </w:rPr>
              <w:t>4,862</w:t>
            </w:r>
          </w:p>
        </w:tc>
        <w:tc>
          <w:tcPr>
            <w:tcW w:w="900" w:type="dxa"/>
          </w:tcPr>
          <w:p w:rsidRPr="0066564E" w:rsidR="008959A4" w:rsidP="00717A84" w:rsidRDefault="008959A4" w14:paraId="28AAC1C2" w14:textId="77777777">
            <w:pPr>
              <w:keepNext/>
              <w:keepLines/>
              <w:jc w:val="center"/>
              <w:rPr>
                <w:rFonts w:cs="ArialMT"/>
                <w:sz w:val="20"/>
              </w:rPr>
            </w:pPr>
            <w:r w:rsidRPr="0066564E">
              <w:rPr>
                <w:rFonts w:cs="ArialMT"/>
                <w:sz w:val="20"/>
              </w:rPr>
              <w:t>6,181</w:t>
            </w:r>
          </w:p>
        </w:tc>
        <w:tc>
          <w:tcPr>
            <w:tcW w:w="810" w:type="dxa"/>
            <w:vAlign w:val="bottom"/>
          </w:tcPr>
          <w:p w:rsidRPr="0066564E" w:rsidR="008959A4" w:rsidP="00717A84" w:rsidRDefault="008959A4" w14:paraId="39D7FD68" w14:textId="77777777">
            <w:pPr>
              <w:keepNext/>
              <w:keepLines/>
              <w:jc w:val="center"/>
              <w:rPr>
                <w:rFonts w:cs="ArialMT"/>
                <w:sz w:val="20"/>
              </w:rPr>
            </w:pPr>
            <w:r w:rsidRPr="003C095D">
              <w:rPr>
                <w:rFonts w:cs="ArialMT"/>
                <w:sz w:val="20"/>
              </w:rPr>
              <w:t>173</w:t>
            </w:r>
          </w:p>
        </w:tc>
        <w:tc>
          <w:tcPr>
            <w:tcW w:w="900" w:type="dxa"/>
            <w:noWrap/>
          </w:tcPr>
          <w:p w:rsidRPr="0066564E" w:rsidR="008959A4" w:rsidP="00717A84" w:rsidRDefault="008959A4" w14:paraId="2E2145AA" w14:textId="77777777">
            <w:pPr>
              <w:keepNext/>
              <w:keepLines/>
              <w:jc w:val="center"/>
              <w:rPr>
                <w:rFonts w:cs="ArialMT"/>
                <w:sz w:val="20"/>
              </w:rPr>
            </w:pPr>
            <w:r w:rsidRPr="0066564E">
              <w:rPr>
                <w:rFonts w:cs="ArialMT"/>
                <w:sz w:val="20"/>
              </w:rPr>
              <w:t>356</w:t>
            </w:r>
          </w:p>
        </w:tc>
      </w:tr>
      <w:tr w:rsidRPr="0066564E" w:rsidR="008959A4" w:rsidTr="00717A84" w14:paraId="37C50FF1" w14:textId="77777777">
        <w:trPr>
          <w:trHeight w:val="130"/>
          <w:jc w:val="center"/>
        </w:trPr>
        <w:tc>
          <w:tcPr>
            <w:tcW w:w="540" w:type="dxa"/>
            <w:noWrap/>
            <w:vAlign w:val="bottom"/>
            <w:hideMark/>
          </w:tcPr>
          <w:p w:rsidRPr="0066564E" w:rsidR="008959A4" w:rsidP="00717A84" w:rsidRDefault="008959A4" w14:paraId="6A7ADE60"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2025</w:t>
            </w:r>
          </w:p>
        </w:tc>
        <w:tc>
          <w:tcPr>
            <w:tcW w:w="810" w:type="dxa"/>
          </w:tcPr>
          <w:p w:rsidRPr="0066564E" w:rsidR="008959A4" w:rsidP="00717A84" w:rsidRDefault="008959A4" w14:paraId="06B1EB69"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72A0C926"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1D51A4E0" w14:textId="77777777">
            <w:pPr>
              <w:keepNext/>
              <w:keepLines/>
              <w:jc w:val="center"/>
              <w:rPr>
                <w:rFonts w:cs="ArialMT"/>
                <w:sz w:val="20"/>
              </w:rPr>
            </w:pPr>
            <w:r w:rsidRPr="0066564E">
              <w:rPr>
                <w:rFonts w:cs="ArialMT"/>
                <w:sz w:val="20"/>
              </w:rPr>
              <w:t>2,512</w:t>
            </w:r>
          </w:p>
        </w:tc>
        <w:tc>
          <w:tcPr>
            <w:tcW w:w="900" w:type="dxa"/>
            <w:noWrap/>
          </w:tcPr>
          <w:p w:rsidRPr="0066564E" w:rsidR="008959A4" w:rsidP="00717A84" w:rsidRDefault="008959A4" w14:paraId="602EF8C5" w14:textId="77777777">
            <w:pPr>
              <w:keepNext/>
              <w:keepLines/>
              <w:jc w:val="center"/>
              <w:rPr>
                <w:rFonts w:cs="ArialMT"/>
                <w:sz w:val="20"/>
              </w:rPr>
            </w:pPr>
            <w:r w:rsidRPr="0066564E">
              <w:rPr>
                <w:rFonts w:cs="ArialMT"/>
                <w:sz w:val="20"/>
              </w:rPr>
              <w:t>3,413</w:t>
            </w:r>
          </w:p>
        </w:tc>
        <w:tc>
          <w:tcPr>
            <w:tcW w:w="810" w:type="dxa"/>
          </w:tcPr>
          <w:p w:rsidRPr="0066564E" w:rsidR="008959A4" w:rsidP="00717A84" w:rsidRDefault="008959A4" w14:paraId="050A7DC7" w14:textId="77777777">
            <w:pPr>
              <w:keepNext/>
              <w:keepLines/>
              <w:jc w:val="center"/>
              <w:rPr>
                <w:rFonts w:cs="ArialMT"/>
                <w:sz w:val="20"/>
              </w:rPr>
            </w:pPr>
            <w:r w:rsidRPr="0066564E">
              <w:rPr>
                <w:rFonts w:cs="ArialMT"/>
                <w:sz w:val="20"/>
              </w:rPr>
              <w:t>12,171</w:t>
            </w:r>
          </w:p>
        </w:tc>
        <w:tc>
          <w:tcPr>
            <w:tcW w:w="900" w:type="dxa"/>
          </w:tcPr>
          <w:p w:rsidRPr="0066564E" w:rsidR="008959A4" w:rsidP="00717A84" w:rsidRDefault="008959A4" w14:paraId="7E87F775" w14:textId="77777777">
            <w:pPr>
              <w:keepNext/>
              <w:keepLines/>
              <w:jc w:val="center"/>
              <w:rPr>
                <w:rFonts w:cs="ArialMT"/>
                <w:sz w:val="20"/>
              </w:rPr>
            </w:pPr>
            <w:r w:rsidRPr="0066564E">
              <w:rPr>
                <w:rFonts w:cs="ArialMT"/>
                <w:sz w:val="20"/>
              </w:rPr>
              <w:t>14,331</w:t>
            </w:r>
          </w:p>
        </w:tc>
        <w:tc>
          <w:tcPr>
            <w:tcW w:w="810" w:type="dxa"/>
            <w:noWrap/>
            <w:vAlign w:val="bottom"/>
          </w:tcPr>
          <w:p w:rsidRPr="0066564E" w:rsidR="008959A4" w:rsidP="00717A84" w:rsidRDefault="008959A4" w14:paraId="412D3E3D" w14:textId="77777777">
            <w:pPr>
              <w:keepNext/>
              <w:keepLines/>
              <w:jc w:val="center"/>
              <w:rPr>
                <w:rFonts w:cs="ArialMT"/>
                <w:sz w:val="20"/>
              </w:rPr>
            </w:pPr>
            <w:r w:rsidRPr="004D0B50">
              <w:rPr>
                <w:rFonts w:cs="ArialMT"/>
                <w:sz w:val="20"/>
              </w:rPr>
              <w:t>57,919</w:t>
            </w:r>
          </w:p>
        </w:tc>
        <w:tc>
          <w:tcPr>
            <w:tcW w:w="900" w:type="dxa"/>
          </w:tcPr>
          <w:p w:rsidRPr="0066564E" w:rsidR="008959A4" w:rsidP="00717A84" w:rsidRDefault="008959A4" w14:paraId="7FB97203" w14:textId="77777777">
            <w:pPr>
              <w:keepNext/>
              <w:keepLines/>
              <w:jc w:val="center"/>
              <w:rPr>
                <w:rFonts w:cs="ArialMT"/>
                <w:sz w:val="20"/>
              </w:rPr>
            </w:pPr>
            <w:r w:rsidRPr="0066564E">
              <w:rPr>
                <w:rFonts w:cs="ArialMT"/>
                <w:sz w:val="20"/>
              </w:rPr>
              <w:t>83,960</w:t>
            </w:r>
          </w:p>
        </w:tc>
        <w:tc>
          <w:tcPr>
            <w:tcW w:w="810" w:type="dxa"/>
          </w:tcPr>
          <w:p w:rsidRPr="0066564E" w:rsidR="008959A4" w:rsidP="00717A84" w:rsidRDefault="008959A4" w14:paraId="0857E4B7" w14:textId="77777777">
            <w:pPr>
              <w:keepNext/>
              <w:keepLines/>
              <w:jc w:val="center"/>
              <w:rPr>
                <w:rFonts w:cs="ArialMT"/>
                <w:sz w:val="20"/>
              </w:rPr>
            </w:pPr>
            <w:r w:rsidRPr="0066564E">
              <w:rPr>
                <w:rFonts w:cs="ArialMT"/>
                <w:sz w:val="20"/>
              </w:rPr>
              <w:t>5,105</w:t>
            </w:r>
          </w:p>
        </w:tc>
        <w:tc>
          <w:tcPr>
            <w:tcW w:w="900" w:type="dxa"/>
          </w:tcPr>
          <w:p w:rsidRPr="0066564E" w:rsidR="008959A4" w:rsidP="00717A84" w:rsidRDefault="008959A4" w14:paraId="2EEDEB44" w14:textId="77777777">
            <w:pPr>
              <w:keepNext/>
              <w:keepLines/>
              <w:jc w:val="center"/>
              <w:rPr>
                <w:rFonts w:cs="ArialMT"/>
                <w:sz w:val="20"/>
              </w:rPr>
            </w:pPr>
            <w:r w:rsidRPr="0066564E">
              <w:rPr>
                <w:rFonts w:cs="ArialMT"/>
                <w:sz w:val="20"/>
              </w:rPr>
              <w:t>6,495</w:t>
            </w:r>
          </w:p>
        </w:tc>
        <w:tc>
          <w:tcPr>
            <w:tcW w:w="810" w:type="dxa"/>
            <w:vAlign w:val="bottom"/>
          </w:tcPr>
          <w:p w:rsidRPr="0066564E" w:rsidR="008959A4" w:rsidP="00717A84" w:rsidRDefault="008959A4" w14:paraId="78675EAD" w14:textId="77777777">
            <w:pPr>
              <w:keepNext/>
              <w:keepLines/>
              <w:jc w:val="center"/>
              <w:rPr>
                <w:rFonts w:cs="ArialMT"/>
                <w:sz w:val="20"/>
              </w:rPr>
            </w:pPr>
            <w:r w:rsidRPr="003C095D">
              <w:rPr>
                <w:rFonts w:cs="ArialMT"/>
                <w:sz w:val="20"/>
              </w:rPr>
              <w:t>178</w:t>
            </w:r>
          </w:p>
        </w:tc>
        <w:tc>
          <w:tcPr>
            <w:tcW w:w="900" w:type="dxa"/>
            <w:noWrap/>
          </w:tcPr>
          <w:p w:rsidRPr="0066564E" w:rsidR="008959A4" w:rsidP="00717A84" w:rsidRDefault="008959A4" w14:paraId="30A7FDEC" w14:textId="77777777">
            <w:pPr>
              <w:keepNext/>
              <w:keepLines/>
              <w:jc w:val="center"/>
              <w:rPr>
                <w:rFonts w:cs="ArialMT"/>
                <w:sz w:val="20"/>
              </w:rPr>
            </w:pPr>
            <w:r w:rsidRPr="0066564E">
              <w:rPr>
                <w:rFonts w:cs="ArialMT"/>
                <w:sz w:val="20"/>
              </w:rPr>
              <w:t>356</w:t>
            </w:r>
          </w:p>
        </w:tc>
      </w:tr>
      <w:tr w:rsidRPr="0066564E" w:rsidR="008959A4" w:rsidTr="00717A84" w14:paraId="442D5EB4" w14:textId="77777777">
        <w:trPr>
          <w:trHeight w:val="130"/>
          <w:jc w:val="center"/>
        </w:trPr>
        <w:tc>
          <w:tcPr>
            <w:tcW w:w="540" w:type="dxa"/>
            <w:noWrap/>
            <w:vAlign w:val="bottom"/>
            <w:hideMark/>
          </w:tcPr>
          <w:p w:rsidRPr="0066564E" w:rsidR="008959A4" w:rsidP="00717A84" w:rsidRDefault="008959A4" w14:paraId="1E0155C9" w14:textId="77777777">
            <w:pPr>
              <w:keepNext/>
              <w:keepLines/>
              <w:jc w:val="center"/>
              <w:rPr>
                <w:rFonts w:eastAsia="Times New Roman" w:cs="Calibri"/>
                <w:color w:val="000000" w:themeColor="text1"/>
                <w:sz w:val="16"/>
                <w:szCs w:val="16"/>
              </w:rPr>
            </w:pPr>
            <w:r w:rsidRPr="0066564E">
              <w:rPr>
                <w:rFonts w:eastAsia="Times New Roman" w:cs="Calibri"/>
                <w:color w:val="000000" w:themeColor="text1"/>
                <w:sz w:val="16"/>
                <w:szCs w:val="16"/>
              </w:rPr>
              <w:t>2026</w:t>
            </w:r>
          </w:p>
        </w:tc>
        <w:tc>
          <w:tcPr>
            <w:tcW w:w="810" w:type="dxa"/>
          </w:tcPr>
          <w:p w:rsidRPr="0066564E" w:rsidR="008959A4" w:rsidP="00717A84" w:rsidRDefault="008959A4" w14:paraId="3444D391" w14:textId="77777777">
            <w:pPr>
              <w:keepNext/>
              <w:keepLines/>
              <w:jc w:val="center"/>
              <w:rPr>
                <w:rFonts w:cs="ArialMT"/>
                <w:sz w:val="20"/>
              </w:rPr>
            </w:pPr>
            <w:r>
              <w:rPr>
                <w:rFonts w:cs="ArialMT"/>
                <w:sz w:val="20"/>
              </w:rPr>
              <w:t>56</w:t>
            </w:r>
          </w:p>
        </w:tc>
        <w:tc>
          <w:tcPr>
            <w:tcW w:w="900" w:type="dxa"/>
            <w:noWrap/>
          </w:tcPr>
          <w:p w:rsidRPr="0066564E" w:rsidR="008959A4" w:rsidP="00717A84" w:rsidRDefault="008959A4" w14:paraId="4F752975" w14:textId="77777777">
            <w:pPr>
              <w:keepNext/>
              <w:keepLines/>
              <w:jc w:val="center"/>
              <w:rPr>
                <w:rFonts w:cs="ArialMT"/>
                <w:sz w:val="20"/>
              </w:rPr>
            </w:pPr>
            <w:r>
              <w:rPr>
                <w:rFonts w:cs="ArialMT"/>
                <w:sz w:val="20"/>
              </w:rPr>
              <w:t>N/A</w:t>
            </w:r>
          </w:p>
        </w:tc>
        <w:tc>
          <w:tcPr>
            <w:tcW w:w="810" w:type="dxa"/>
          </w:tcPr>
          <w:p w:rsidRPr="0066564E" w:rsidR="008959A4" w:rsidP="00717A84" w:rsidRDefault="008959A4" w14:paraId="5CC447CB" w14:textId="77777777">
            <w:pPr>
              <w:keepNext/>
              <w:keepLines/>
              <w:jc w:val="center"/>
              <w:rPr>
                <w:rFonts w:cs="ArialMT"/>
                <w:sz w:val="20"/>
              </w:rPr>
            </w:pPr>
            <w:r w:rsidRPr="0066564E">
              <w:rPr>
                <w:rFonts w:cs="ArialMT"/>
                <w:sz w:val="20"/>
              </w:rPr>
              <w:t>2,562</w:t>
            </w:r>
          </w:p>
        </w:tc>
        <w:tc>
          <w:tcPr>
            <w:tcW w:w="900" w:type="dxa"/>
            <w:noWrap/>
          </w:tcPr>
          <w:p w:rsidRPr="0066564E" w:rsidR="008959A4" w:rsidP="00717A84" w:rsidRDefault="008959A4" w14:paraId="71030BDD" w14:textId="77777777">
            <w:pPr>
              <w:keepNext/>
              <w:keepLines/>
              <w:jc w:val="center"/>
              <w:rPr>
                <w:rFonts w:cs="ArialMT"/>
                <w:sz w:val="20"/>
              </w:rPr>
            </w:pPr>
            <w:r w:rsidRPr="0066564E">
              <w:rPr>
                <w:rFonts w:cs="ArialMT"/>
                <w:sz w:val="20"/>
              </w:rPr>
              <w:t>3,598</w:t>
            </w:r>
          </w:p>
        </w:tc>
        <w:tc>
          <w:tcPr>
            <w:tcW w:w="810" w:type="dxa"/>
          </w:tcPr>
          <w:p w:rsidRPr="0066564E" w:rsidR="008959A4" w:rsidP="00717A84" w:rsidRDefault="008959A4" w14:paraId="1CEB0450" w14:textId="77777777">
            <w:pPr>
              <w:keepNext/>
              <w:keepLines/>
              <w:jc w:val="center"/>
              <w:rPr>
                <w:rFonts w:cs="ArialMT"/>
                <w:sz w:val="20"/>
              </w:rPr>
            </w:pPr>
            <w:r w:rsidRPr="0066564E">
              <w:rPr>
                <w:rFonts w:cs="ArialMT"/>
                <w:sz w:val="20"/>
              </w:rPr>
              <w:t>12,221</w:t>
            </w:r>
          </w:p>
        </w:tc>
        <w:tc>
          <w:tcPr>
            <w:tcW w:w="900" w:type="dxa"/>
          </w:tcPr>
          <w:p w:rsidRPr="0066564E" w:rsidR="008959A4" w:rsidP="00717A84" w:rsidRDefault="008959A4" w14:paraId="7F11419B" w14:textId="77777777">
            <w:pPr>
              <w:keepNext/>
              <w:keepLines/>
              <w:jc w:val="center"/>
              <w:rPr>
                <w:rFonts w:cs="ArialMT"/>
                <w:sz w:val="20"/>
              </w:rPr>
            </w:pPr>
            <w:r w:rsidRPr="0066564E">
              <w:rPr>
                <w:rFonts w:cs="ArialMT"/>
                <w:sz w:val="20"/>
              </w:rPr>
              <w:t>14,793</w:t>
            </w:r>
          </w:p>
        </w:tc>
        <w:tc>
          <w:tcPr>
            <w:tcW w:w="810" w:type="dxa"/>
            <w:noWrap/>
            <w:vAlign w:val="bottom"/>
          </w:tcPr>
          <w:p w:rsidRPr="0066564E" w:rsidR="008959A4" w:rsidP="00717A84" w:rsidRDefault="008959A4" w14:paraId="540EE1A0" w14:textId="77777777">
            <w:pPr>
              <w:keepNext/>
              <w:keepLines/>
              <w:jc w:val="center"/>
              <w:rPr>
                <w:rFonts w:cs="ArialMT"/>
                <w:sz w:val="20"/>
              </w:rPr>
            </w:pPr>
            <w:r w:rsidRPr="004D0B50">
              <w:rPr>
                <w:rFonts w:cs="ArialMT"/>
                <w:sz w:val="20"/>
              </w:rPr>
              <w:t>58,553</w:t>
            </w:r>
          </w:p>
        </w:tc>
        <w:tc>
          <w:tcPr>
            <w:tcW w:w="900" w:type="dxa"/>
          </w:tcPr>
          <w:p w:rsidRPr="0066564E" w:rsidR="008959A4" w:rsidP="00717A84" w:rsidRDefault="008959A4" w14:paraId="59F29CF4" w14:textId="77777777">
            <w:pPr>
              <w:keepNext/>
              <w:keepLines/>
              <w:jc w:val="center"/>
              <w:rPr>
                <w:rFonts w:cs="ArialMT"/>
                <w:sz w:val="20"/>
              </w:rPr>
            </w:pPr>
            <w:r w:rsidRPr="0066564E">
              <w:rPr>
                <w:rFonts w:cs="ArialMT"/>
                <w:sz w:val="20"/>
              </w:rPr>
              <w:t>88,558</w:t>
            </w:r>
          </w:p>
        </w:tc>
        <w:tc>
          <w:tcPr>
            <w:tcW w:w="810" w:type="dxa"/>
          </w:tcPr>
          <w:p w:rsidRPr="0066564E" w:rsidR="008959A4" w:rsidP="00717A84" w:rsidRDefault="008959A4" w14:paraId="4B7C10B6" w14:textId="77777777">
            <w:pPr>
              <w:keepNext/>
              <w:keepLines/>
              <w:jc w:val="center"/>
              <w:rPr>
                <w:rFonts w:cs="ArialMT"/>
                <w:sz w:val="20"/>
              </w:rPr>
            </w:pPr>
            <w:r w:rsidRPr="0066564E">
              <w:rPr>
                <w:rFonts w:cs="ArialMT"/>
                <w:sz w:val="20"/>
              </w:rPr>
              <w:t>5,144</w:t>
            </w:r>
          </w:p>
        </w:tc>
        <w:tc>
          <w:tcPr>
            <w:tcW w:w="900" w:type="dxa"/>
          </w:tcPr>
          <w:p w:rsidRPr="0066564E" w:rsidR="008959A4" w:rsidP="00717A84" w:rsidRDefault="008959A4" w14:paraId="7199E850" w14:textId="77777777">
            <w:pPr>
              <w:keepNext/>
              <w:keepLines/>
              <w:jc w:val="center"/>
              <w:rPr>
                <w:rFonts w:cs="ArialMT"/>
                <w:sz w:val="20"/>
              </w:rPr>
            </w:pPr>
            <w:r w:rsidRPr="0066564E">
              <w:rPr>
                <w:rFonts w:cs="ArialMT"/>
                <w:sz w:val="20"/>
              </w:rPr>
              <w:t>6,809</w:t>
            </w:r>
          </w:p>
        </w:tc>
        <w:tc>
          <w:tcPr>
            <w:tcW w:w="810" w:type="dxa"/>
            <w:vAlign w:val="bottom"/>
          </w:tcPr>
          <w:p w:rsidRPr="0066564E" w:rsidR="008959A4" w:rsidP="00717A84" w:rsidRDefault="008959A4" w14:paraId="387228DE" w14:textId="77777777">
            <w:pPr>
              <w:keepNext/>
              <w:keepLines/>
              <w:jc w:val="center"/>
              <w:rPr>
                <w:rFonts w:cs="ArialMT"/>
                <w:sz w:val="20"/>
              </w:rPr>
            </w:pPr>
            <w:r w:rsidRPr="003C095D">
              <w:rPr>
                <w:rFonts w:cs="ArialMT"/>
                <w:sz w:val="20"/>
              </w:rPr>
              <w:t>183</w:t>
            </w:r>
          </w:p>
        </w:tc>
        <w:tc>
          <w:tcPr>
            <w:tcW w:w="900" w:type="dxa"/>
            <w:noWrap/>
          </w:tcPr>
          <w:p w:rsidRPr="0066564E" w:rsidR="008959A4" w:rsidP="00717A84" w:rsidRDefault="008959A4" w14:paraId="0E96A465" w14:textId="77777777">
            <w:pPr>
              <w:keepNext/>
              <w:keepLines/>
              <w:jc w:val="center"/>
              <w:rPr>
                <w:rFonts w:cs="ArialMT"/>
                <w:sz w:val="20"/>
              </w:rPr>
            </w:pPr>
            <w:r w:rsidRPr="0066564E">
              <w:rPr>
                <w:rFonts w:cs="ArialMT"/>
                <w:sz w:val="20"/>
              </w:rPr>
              <w:t>356</w:t>
            </w:r>
          </w:p>
        </w:tc>
      </w:tr>
    </w:tbl>
    <w:p w:rsidRPr="000E485A" w:rsidR="008959A4" w:rsidP="008959A4" w:rsidRDefault="008959A4" w14:paraId="1B96F915" w14:textId="77777777">
      <w:pPr>
        <w:pStyle w:val="Standard"/>
        <w:ind w:firstLine="0"/>
        <w:rPr>
          <w:sz w:val="16"/>
          <w:szCs w:val="16"/>
        </w:rPr>
      </w:pPr>
    </w:p>
    <w:p w:rsidR="008959A4" w:rsidP="008959A4" w:rsidRDefault="008959A4" w14:paraId="09DE5E5E" w14:textId="77777777">
      <w:pPr>
        <w:pStyle w:val="Heading3"/>
      </w:pPr>
      <w:bookmarkStart w:name="_Toc82159652" w:id="54"/>
      <w:r>
        <w:t>SMJU Responses</w:t>
      </w:r>
      <w:bookmarkEnd w:id="54"/>
      <w:r>
        <w:t xml:space="preserve"> </w:t>
      </w:r>
    </w:p>
    <w:p w:rsidRPr="000B7B22" w:rsidR="008959A4" w:rsidP="008959A4" w:rsidRDefault="008959A4" w14:paraId="32D6F76B" w14:textId="77777777">
      <w:pPr>
        <w:pStyle w:val="Heading4"/>
      </w:pPr>
      <w:bookmarkStart w:name="_Toc82159653" w:id="55"/>
      <w:r w:rsidRPr="000B7B22">
        <w:t xml:space="preserve">Southwest Gas, PacifiCorp, Liberty, </w:t>
      </w:r>
      <w:r>
        <w:br/>
      </w:r>
      <w:r w:rsidRPr="000B7B22">
        <w:t>Bear Valley</w:t>
      </w:r>
      <w:r>
        <w:t xml:space="preserve"> </w:t>
      </w:r>
      <w:r w:rsidRPr="000B7B22">
        <w:t>(Joint SMJUs) Response</w:t>
      </w:r>
      <w:bookmarkEnd w:id="55"/>
    </w:p>
    <w:p w:rsidR="008959A4" w:rsidP="008959A4" w:rsidRDefault="008959A4" w14:paraId="7BDE9158" w14:textId="77777777">
      <w:pPr>
        <w:pStyle w:val="Standard"/>
      </w:pPr>
      <w:r>
        <w:rPr>
          <w:b/>
          <w:bCs/>
          <w:i/>
          <w:iCs/>
          <w:u w:val="single"/>
        </w:rPr>
        <w:t>M</w:t>
      </w:r>
      <w:r w:rsidRPr="00765861">
        <w:rPr>
          <w:b/>
          <w:bCs/>
          <w:i/>
          <w:iCs/>
          <w:u w:val="single"/>
        </w:rPr>
        <w:t>id Cycle Evaluation of Liberty’s Goal</w:t>
      </w:r>
      <w:r>
        <w:rPr>
          <w:i/>
          <w:iCs/>
        </w:rPr>
        <w:t>:</w:t>
      </w:r>
      <w:r w:rsidRPr="00F7318C">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t xml:space="preserve">In response to Cal Advocates comments, the Joint SMJUs state that Liberty </w:t>
      </w:r>
      <w:r w:rsidRPr="0050513E">
        <w:t xml:space="preserve">should be able to meet the </w:t>
      </w:r>
      <w:r>
        <w:t xml:space="preserve">90 percent goal with its proposed </w:t>
      </w:r>
      <w:r w:rsidRPr="0050513E">
        <w:t>increased outreach efforts.</w:t>
      </w:r>
      <w:r>
        <w:rPr>
          <w:rStyle w:val="FootnoteReference"/>
        </w:rPr>
        <w:footnoteReference w:id="27"/>
      </w:r>
      <w:r>
        <w:t xml:space="preserve">  They also point out that Liberty already </w:t>
      </w:r>
      <w:r w:rsidRPr="00A827EA">
        <w:t xml:space="preserve">reports on outreach expenses as well as </w:t>
      </w:r>
      <w:r>
        <w:t xml:space="preserve">enrollment </w:t>
      </w:r>
      <w:r w:rsidRPr="00A827EA">
        <w:t>rates in its annual low-income reports</w:t>
      </w:r>
      <w:r>
        <w:t>, and that a</w:t>
      </w:r>
      <w:r w:rsidRPr="00A827EA">
        <w:t xml:space="preserve"> mid-cycle evaluation report</w:t>
      </w:r>
      <w:r>
        <w:t xml:space="preserve"> </w:t>
      </w:r>
      <w:r w:rsidRPr="00A827EA">
        <w:t>would be duplicative</w:t>
      </w:r>
      <w:r>
        <w:t xml:space="preserve">, </w:t>
      </w:r>
      <w:r w:rsidRPr="00A827EA">
        <w:t>unnecessary</w:t>
      </w:r>
      <w:r>
        <w:t xml:space="preserve">, and </w:t>
      </w:r>
      <w:r w:rsidRPr="00A827EA">
        <w:t>unduly burdensome given Liberty’s small size and more limited resources</w:t>
      </w:r>
      <w:r>
        <w:t xml:space="preserve">.  Lastly, the requirement </w:t>
      </w:r>
      <w:r w:rsidRPr="00A827EA">
        <w:t xml:space="preserve">to submit a Tier 3 advice letter in the event </w:t>
      </w:r>
      <w:r>
        <w:t>Liberty</w:t>
      </w:r>
      <w:r w:rsidRPr="00A827EA">
        <w:t xml:space="preserve"> does not achieve </w:t>
      </w:r>
      <w:r>
        <w:t>the</w:t>
      </w:r>
      <w:r w:rsidRPr="00A827EA">
        <w:t xml:space="preserve"> 90 percent </w:t>
      </w:r>
      <w:r>
        <w:t xml:space="preserve">enrollment </w:t>
      </w:r>
      <w:r w:rsidRPr="00A827EA">
        <w:t>rate</w:t>
      </w:r>
      <w:r>
        <w:t xml:space="preserve"> should be rejected because this would</w:t>
      </w:r>
      <w:r w:rsidRPr="00A827EA">
        <w:t xml:space="preserve"> delay approval of funds needed to enroll low</w:t>
      </w:r>
      <w:r>
        <w:noBreakHyphen/>
      </w:r>
      <w:r w:rsidRPr="00A827EA">
        <w:t>income customers, thereby impeding Liberty’s ability to help its low-income customers.</w:t>
      </w:r>
      <w:r w:rsidRPr="00A827EA">
        <w:rPr>
          <w:vertAlign w:val="superscript"/>
        </w:rPr>
        <w:footnoteReference w:id="28"/>
      </w:r>
    </w:p>
    <w:p w:rsidR="008959A4" w:rsidP="008959A4" w:rsidRDefault="008959A4" w14:paraId="247AD621" w14:textId="77777777">
      <w:pPr>
        <w:pStyle w:val="Heading4"/>
      </w:pPr>
      <w:bookmarkStart w:name="_Toc82159654" w:id="56"/>
      <w:r>
        <w:lastRenderedPageBreak/>
        <w:t>PacifiCorp</w:t>
      </w:r>
      <w:r w:rsidRPr="005B012D">
        <w:t xml:space="preserve"> </w:t>
      </w:r>
      <w:r>
        <w:t>Response</w:t>
      </w:r>
      <w:bookmarkEnd w:id="56"/>
    </w:p>
    <w:p w:rsidRPr="003A55D2" w:rsidR="008959A4" w:rsidP="008959A4" w:rsidRDefault="008959A4" w14:paraId="17757EE4" w14:textId="77777777">
      <w:pPr>
        <w:pStyle w:val="Standard"/>
      </w:pPr>
      <w:r>
        <w:rPr>
          <w:b/>
          <w:bCs/>
          <w:i/>
          <w:iCs/>
          <w:u w:val="single"/>
        </w:rPr>
        <w:t>90 Percent Enrollment Goal</w:t>
      </w:r>
      <w:r>
        <w:t xml:space="preserve">:  </w:t>
      </w:r>
      <w:r w:rsidRPr="002B625C">
        <w:t xml:space="preserve">PacifiCorp </w:t>
      </w:r>
      <w:r>
        <w:t xml:space="preserve">states that the Commission should reject all of </w:t>
      </w:r>
      <w:r w:rsidRPr="002B625C">
        <w:t>EEC</w:t>
      </w:r>
      <w:r>
        <w:t xml:space="preserve"> and Free Energy’s </w:t>
      </w:r>
      <w:r w:rsidRPr="002B625C">
        <w:t xml:space="preserve">claims that </w:t>
      </w:r>
      <w:r>
        <w:t>the</w:t>
      </w:r>
      <w:r w:rsidRPr="002B625C">
        <w:t xml:space="preserve"> </w:t>
      </w:r>
      <w:r>
        <w:t xml:space="preserve">CARE </w:t>
      </w:r>
      <w:r w:rsidRPr="002B625C">
        <w:t>goals are severely understated.</w:t>
      </w:r>
      <w:r>
        <w:t xml:space="preserve"> </w:t>
      </w:r>
      <w:r w:rsidRPr="002B625C">
        <w:t xml:space="preserve"> EEC’s </w:t>
      </w:r>
      <w:r>
        <w:t>“</w:t>
      </w:r>
      <w:r w:rsidRPr="002B625C">
        <w:t>back of the envelope</w:t>
      </w:r>
      <w:r>
        <w:t>”</w:t>
      </w:r>
      <w:r w:rsidRPr="002B625C">
        <w:t xml:space="preserve"> calculation is just as uncertain as the impacts of the COVID-</w:t>
      </w:r>
      <w:r>
        <w:t xml:space="preserve"> </w:t>
      </w:r>
      <w:r w:rsidRPr="002B625C">
        <w:t xml:space="preserve">19 pandemic on the CARE </w:t>
      </w:r>
      <w:r>
        <w:t>p</w:t>
      </w:r>
      <w:r w:rsidRPr="002B625C">
        <w:t>rogram</w:t>
      </w:r>
      <w:r>
        <w:t xml:space="preserve"> and that requiring the </w:t>
      </w:r>
      <w:r w:rsidRPr="002B625C">
        <w:t xml:space="preserve">SMJUs to update </w:t>
      </w:r>
      <w:r>
        <w:t>their applications will onl</w:t>
      </w:r>
      <w:r w:rsidRPr="002B625C">
        <w:t xml:space="preserve">y delay the implementation of the </w:t>
      </w:r>
      <w:r>
        <w:t>p</w:t>
      </w:r>
      <w:r w:rsidRPr="002B625C">
        <w:t>rograms</w:t>
      </w:r>
      <w:r>
        <w:t xml:space="preserve">.  </w:t>
      </w:r>
      <w:r w:rsidRPr="002B625C">
        <w:t xml:space="preserve">PacifiCorp recognizes the </w:t>
      </w:r>
      <w:r>
        <w:t xml:space="preserve">potential impacts of the </w:t>
      </w:r>
      <w:r w:rsidRPr="002B625C">
        <w:t xml:space="preserve">COVID-19 pandemic </w:t>
      </w:r>
      <w:r>
        <w:t>and is</w:t>
      </w:r>
      <w:r w:rsidRPr="002B625C">
        <w:t xml:space="preserve"> commit</w:t>
      </w:r>
      <w:r>
        <w:t>ted</w:t>
      </w:r>
      <w:r w:rsidRPr="002B625C">
        <w:t xml:space="preserve"> to re-evaluating the CARE program goals and budgets for PY</w:t>
      </w:r>
      <w:r>
        <w:t>s</w:t>
      </w:r>
      <w:r w:rsidRPr="002B625C">
        <w:t xml:space="preserve"> 2021-2026</w:t>
      </w:r>
      <w:r>
        <w:t xml:space="preserve"> </w:t>
      </w:r>
      <w:r w:rsidRPr="002B625C">
        <w:t>in the fourth quarter of 2021 to evaluate the impacts and/or change</w:t>
      </w:r>
      <w:r>
        <w:t xml:space="preserve">s </w:t>
      </w:r>
      <w:r w:rsidRPr="002B625C">
        <w:t xml:space="preserve">that might have occurred since the filing of its application. </w:t>
      </w:r>
      <w:r>
        <w:t xml:space="preserve"> It states that </w:t>
      </w:r>
      <w:r w:rsidRPr="002B625C">
        <w:t xml:space="preserve">if adjustments </w:t>
      </w:r>
      <w:r>
        <w:t>to the</w:t>
      </w:r>
      <w:r w:rsidRPr="002B625C">
        <w:t xml:space="preserve"> goals and/or budgets are necessary, PacifiCorp will</w:t>
      </w:r>
      <w:r>
        <w:t xml:space="preserve"> </w:t>
      </w:r>
      <w:r w:rsidRPr="002B625C">
        <w:t xml:space="preserve">file a Tier 2 </w:t>
      </w:r>
      <w:r>
        <w:t>a</w:t>
      </w:r>
      <w:r w:rsidRPr="002B625C">
        <w:t xml:space="preserve">dvice </w:t>
      </w:r>
      <w:r>
        <w:t>l</w:t>
      </w:r>
      <w:r w:rsidRPr="002B625C">
        <w:t>etter to effectuate the changes.</w:t>
      </w:r>
      <w:r>
        <w:t xml:space="preserve">  But until that re</w:t>
      </w:r>
      <w:r>
        <w:noBreakHyphen/>
        <w:t xml:space="preserve">evaluation, </w:t>
      </w:r>
      <w:r w:rsidRPr="002B625C">
        <w:t>PacifiCorp</w:t>
      </w:r>
      <w:r>
        <w:t xml:space="preserve"> states that it</w:t>
      </w:r>
      <w:r w:rsidRPr="002B625C">
        <w:t>s proposal is reasonable</w:t>
      </w:r>
      <w:r>
        <w:t xml:space="preserve"> and should be accepted</w:t>
      </w:r>
      <w:r w:rsidRPr="002B625C">
        <w:t>.</w:t>
      </w:r>
      <w:r>
        <w:rPr>
          <w:rStyle w:val="FootnoteReference"/>
        </w:rPr>
        <w:footnoteReference w:id="29"/>
      </w:r>
    </w:p>
    <w:p w:rsidR="008959A4" w:rsidP="008959A4" w:rsidRDefault="008959A4" w14:paraId="1191AE92" w14:textId="77777777">
      <w:pPr>
        <w:pStyle w:val="Heading4"/>
      </w:pPr>
      <w:bookmarkStart w:name="_Toc82159655" w:id="57"/>
      <w:r>
        <w:t>Southwest Gas</w:t>
      </w:r>
      <w:r w:rsidRPr="005B012D">
        <w:t xml:space="preserve"> </w:t>
      </w:r>
      <w:r>
        <w:t>Response</w:t>
      </w:r>
      <w:bookmarkEnd w:id="57"/>
    </w:p>
    <w:p w:rsidRPr="002A3248" w:rsidR="008959A4" w:rsidP="008959A4" w:rsidRDefault="008959A4" w14:paraId="1CE2E44B" w14:textId="77777777">
      <w:pPr>
        <w:pStyle w:val="Standard"/>
      </w:pPr>
      <w:r>
        <w:rPr>
          <w:b/>
          <w:bCs/>
          <w:i/>
          <w:iCs/>
          <w:u w:val="single"/>
        </w:rPr>
        <w:t>90 Percent</w:t>
      </w:r>
      <w:r w:rsidRPr="00EB6008">
        <w:rPr>
          <w:b/>
          <w:bCs/>
          <w:i/>
          <w:iCs/>
          <w:u w:val="single"/>
        </w:rPr>
        <w:t xml:space="preserve"> </w:t>
      </w:r>
      <w:r>
        <w:rPr>
          <w:b/>
          <w:bCs/>
          <w:i/>
          <w:iCs/>
          <w:u w:val="single"/>
        </w:rPr>
        <w:t>Enrollment Goal</w:t>
      </w:r>
      <w:r>
        <w:t>:  Southwest Gas</w:t>
      </w:r>
      <w:r w:rsidRPr="002B625C">
        <w:t xml:space="preserve"> </w:t>
      </w:r>
      <w:r>
        <w:t xml:space="preserve">states that the Commission should reject all of </w:t>
      </w:r>
      <w:r w:rsidRPr="002B625C">
        <w:t>EEC</w:t>
      </w:r>
      <w:r>
        <w:t xml:space="preserve"> and Free Energy’s </w:t>
      </w:r>
      <w:r w:rsidRPr="002B625C">
        <w:t xml:space="preserve">claims that </w:t>
      </w:r>
      <w:r>
        <w:t xml:space="preserve">the SMJU proposed goals are based </w:t>
      </w:r>
      <w:r w:rsidRPr="002A3248">
        <w:t>on incomplete analysis, miscalculations, and flawed assumptions</w:t>
      </w:r>
      <w:r>
        <w:t xml:space="preserve"> because they </w:t>
      </w:r>
      <w:r w:rsidRPr="002A3248">
        <w:t xml:space="preserve">derive </w:t>
      </w:r>
      <w:r>
        <w:t>their</w:t>
      </w:r>
      <w:r w:rsidRPr="002A3248">
        <w:t xml:space="preserve"> CARE eligibility estimates based on incomplete information from various sources without considering the context of the data or qualifying factors, and on flawed and unsupported assumptions.</w:t>
      </w:r>
      <w:r>
        <w:t xml:space="preserve">  Specifically, Southwest Gas</w:t>
      </w:r>
      <w:r w:rsidRPr="002B625C">
        <w:t xml:space="preserve"> </w:t>
      </w:r>
      <w:r>
        <w:t xml:space="preserve">opposes </w:t>
      </w:r>
      <w:r w:rsidRPr="002A3248">
        <w:t>EEC</w:t>
      </w:r>
      <w:r>
        <w:t xml:space="preserve"> and Free Energy’s </w:t>
      </w:r>
      <w:r w:rsidRPr="002A3248">
        <w:t xml:space="preserve">combined </w:t>
      </w:r>
      <w:r>
        <w:t xml:space="preserve">proposed </w:t>
      </w:r>
      <w:r w:rsidRPr="002A3248">
        <w:t xml:space="preserve">CARE </w:t>
      </w:r>
      <w:r>
        <w:t xml:space="preserve">household </w:t>
      </w:r>
      <w:r w:rsidRPr="002A3248">
        <w:t xml:space="preserve">enrollment goal of 462,378 over </w:t>
      </w:r>
      <w:r>
        <w:t>PYs</w:t>
      </w:r>
      <w:r w:rsidRPr="002A3248">
        <w:t xml:space="preserve"> 2021-2026, </w:t>
      </w:r>
      <w:r>
        <w:t xml:space="preserve">which represents more than a </w:t>
      </w:r>
      <w:r w:rsidRPr="002A3248">
        <w:t xml:space="preserve">35 percent </w:t>
      </w:r>
      <w:r>
        <w:t xml:space="preserve">increase </w:t>
      </w:r>
      <w:r w:rsidRPr="002A3248">
        <w:t xml:space="preserve">over </w:t>
      </w:r>
      <w:r>
        <w:t xml:space="preserve">Southwest Gas’ currently proposed </w:t>
      </w:r>
      <w:r w:rsidRPr="002A3248">
        <w:t xml:space="preserve">goals. </w:t>
      </w:r>
    </w:p>
    <w:p w:rsidRPr="0050513E" w:rsidR="008959A4" w:rsidP="008959A4" w:rsidRDefault="008959A4" w14:paraId="475CCF23" w14:textId="77777777">
      <w:pPr>
        <w:pStyle w:val="Standard"/>
      </w:pPr>
      <w:r>
        <w:lastRenderedPageBreak/>
        <w:t>Southwest Gas</w:t>
      </w:r>
      <w:r w:rsidRPr="002B625C">
        <w:t xml:space="preserve"> </w:t>
      </w:r>
      <w:r>
        <w:t xml:space="preserve">states that </w:t>
      </w:r>
      <w:r w:rsidRPr="002A3248">
        <w:t>EEC</w:t>
      </w:r>
      <w:r>
        <w:t xml:space="preserve"> and Free Energy’s estimates are inaccurate and unreliable because: 1) it </w:t>
      </w:r>
      <w:r w:rsidRPr="002A3248">
        <w:t>unjustifiably assume</w:t>
      </w:r>
      <w:r>
        <w:t>s</w:t>
      </w:r>
      <w:r w:rsidRPr="002A3248">
        <w:t xml:space="preserve"> that Southwest Gas’ CARE participation levels </w:t>
      </w:r>
      <w:r>
        <w:t xml:space="preserve">will be </w:t>
      </w:r>
      <w:r w:rsidRPr="002A3248">
        <w:t>significantly increas</w:t>
      </w:r>
      <w:r>
        <w:t>ing</w:t>
      </w:r>
      <w:r w:rsidRPr="002A3248">
        <w:t xml:space="preserve"> throughout </w:t>
      </w:r>
      <w:r>
        <w:t>PYs</w:t>
      </w:r>
      <w:r w:rsidRPr="002A3248">
        <w:t xml:space="preserve"> 2021-2026</w:t>
      </w:r>
      <w:r>
        <w:t xml:space="preserve"> w</w:t>
      </w:r>
      <w:r w:rsidRPr="002A3248">
        <w:t>ithout a</w:t>
      </w:r>
      <w:r>
        <w:t>ny</w:t>
      </w:r>
      <w:r w:rsidRPr="002A3248">
        <w:t xml:space="preserve"> thorough and detailed analysis,</w:t>
      </w:r>
      <w:r>
        <w:t xml:space="preserve"> 2) it </w:t>
      </w:r>
      <w:r w:rsidRPr="002A3248">
        <w:t>calculate</w:t>
      </w:r>
      <w:r>
        <w:t>s</w:t>
      </w:r>
      <w:r w:rsidRPr="002A3248">
        <w:t xml:space="preserve"> Southwest Gas</w:t>
      </w:r>
      <w:r>
        <w:t>’</w:t>
      </w:r>
      <w:r w:rsidRPr="002A3248">
        <w:t xml:space="preserve"> enrollment goals to include additional low-income customers associated with the implementation of categorical eligibility</w:t>
      </w:r>
      <w:r>
        <w:t xml:space="preserve"> but i</w:t>
      </w:r>
      <w:r w:rsidRPr="002A3248">
        <w:t>nclude</w:t>
      </w:r>
      <w:r>
        <w:t>s</w:t>
      </w:r>
      <w:r w:rsidRPr="002A3248">
        <w:t xml:space="preserve"> conflicting references</w:t>
      </w:r>
      <w:r>
        <w:t>/</w:t>
      </w:r>
      <w:r w:rsidRPr="002A3248">
        <w:t>calculations</w:t>
      </w:r>
      <w:r>
        <w:t xml:space="preserve">, and 3) it assumes that the Commission has already approved implementation of </w:t>
      </w:r>
      <w:r w:rsidRPr="002A3248">
        <w:t>categorical eligibility</w:t>
      </w:r>
      <w:r>
        <w:t xml:space="preserve">.  </w:t>
      </w:r>
      <w:r w:rsidRPr="002A3248">
        <w:t>For instance, EEC</w:t>
      </w:r>
      <w:r>
        <w:t xml:space="preserve"> and Free Energy </w:t>
      </w:r>
      <w:r w:rsidRPr="002A3248">
        <w:t>suggest that CARE enrollment will increase by approximately 4,600 per year due to categorical eligibility, but then present</w:t>
      </w:r>
      <w:r>
        <w:t>s</w:t>
      </w:r>
      <w:r w:rsidRPr="002A3248">
        <w:t xml:space="preserve"> in a separate table proposed eligibility enrollment numbers that appear to</w:t>
      </w:r>
      <w:r w:rsidRPr="002A3248">
        <w:rPr>
          <w:rFonts w:ascii="Arial" w:hAnsi="Arial" w:cs="Arial"/>
          <w:color w:val="000000"/>
          <w:sz w:val="23"/>
          <w:szCs w:val="23"/>
        </w:rPr>
        <w:t xml:space="preserve"> </w:t>
      </w:r>
      <w:r w:rsidRPr="002A3248">
        <w:t xml:space="preserve">reflect an exponential increase of over 96,000 low-income CARE customers over the six-year program cycle. </w:t>
      </w:r>
      <w:r>
        <w:t xml:space="preserve"> </w:t>
      </w:r>
      <w:r w:rsidRPr="002A3248">
        <w:t xml:space="preserve">Moreover, while Southwest Gas and the other SMJUs are supportive of adding categorical eligibility as an enrollment option for both the CARE and ESA </w:t>
      </w:r>
      <w:r>
        <w:t>p</w:t>
      </w:r>
      <w:r w:rsidRPr="002A3248">
        <w:t xml:space="preserve">rograms, the Commission has not yet approved its implementation for the SMJUs. </w:t>
      </w:r>
      <w:r>
        <w:t xml:space="preserve"> </w:t>
      </w:r>
      <w:r w:rsidRPr="002A3248">
        <w:t xml:space="preserve">If the Commission approves categorical eligibility for CARE, as well as Southwest Gas’ recommendation to re-evaluate and propose adjustments to its CARE goals and budgets at year end, Southwest Gas will include, based on a complete and proper analysis, the estimated impacts to CARE enrollment for categorical eligibility. </w:t>
      </w:r>
      <w:r>
        <w:t xml:space="preserve"> Therefore, </w:t>
      </w:r>
      <w:r w:rsidRPr="002A3248">
        <w:t xml:space="preserve">the Commission </w:t>
      </w:r>
      <w:r>
        <w:t xml:space="preserve">should reject </w:t>
      </w:r>
      <w:r w:rsidRPr="002A3248">
        <w:t>EEC</w:t>
      </w:r>
      <w:r>
        <w:t xml:space="preserve"> and Free Energy’s proposals</w:t>
      </w:r>
      <w:r w:rsidRPr="002A3248">
        <w:t>.</w:t>
      </w:r>
      <w:r>
        <w:rPr>
          <w:rStyle w:val="FootnoteReference"/>
        </w:rPr>
        <w:footnoteReference w:id="30"/>
      </w:r>
    </w:p>
    <w:p w:rsidRPr="0071728B" w:rsidR="008959A4" w:rsidP="008959A4" w:rsidRDefault="008959A4" w14:paraId="4E834CE7" w14:textId="77777777">
      <w:pPr>
        <w:pStyle w:val="Heading3"/>
      </w:pPr>
      <w:bookmarkStart w:name="_Toc82159656" w:id="58"/>
      <w:bookmarkEnd w:id="52"/>
      <w:r w:rsidRPr="0071728B">
        <w:lastRenderedPageBreak/>
        <w:t>Discussion</w:t>
      </w:r>
      <w:bookmarkEnd w:id="58"/>
    </w:p>
    <w:p w:rsidRPr="00F159B1" w:rsidR="008959A4" w:rsidP="008959A4" w:rsidRDefault="008959A4" w14:paraId="1E2A15EF" w14:textId="77777777">
      <w:pPr>
        <w:pStyle w:val="Heading4"/>
        <w:ind w:left="3510" w:hanging="1170"/>
      </w:pPr>
      <w:bookmarkStart w:name="_Toc82159657" w:id="59"/>
      <w:r w:rsidRPr="00F159B1">
        <w:t xml:space="preserve">Maintaining a 90 Percent </w:t>
      </w:r>
      <w:r>
        <w:br/>
      </w:r>
      <w:r w:rsidRPr="00F159B1">
        <w:t xml:space="preserve">Enrollment Goal: </w:t>
      </w:r>
      <w:r>
        <w:t xml:space="preserve"> </w:t>
      </w:r>
      <w:r w:rsidRPr="00B262E0">
        <w:rPr>
          <w:u w:val="single"/>
        </w:rPr>
        <w:t>Approved</w:t>
      </w:r>
      <w:bookmarkEnd w:id="59"/>
    </w:p>
    <w:p w:rsidRPr="00BE6E5B" w:rsidR="008959A4" w:rsidP="00BE6E5B" w:rsidRDefault="008959A4" w14:paraId="4F982766" w14:textId="77777777">
      <w:pPr>
        <w:pStyle w:val="ALJBodyText"/>
      </w:pPr>
      <w:r>
        <w:t xml:space="preserve">We maintain the 90 percent CARE enrollment goal for all </w:t>
      </w:r>
      <w:r w:rsidRPr="00624550">
        <w:t xml:space="preserve">the </w:t>
      </w:r>
      <w:r>
        <w:t>SMJUs for PYs 2021-2026</w:t>
      </w:r>
      <w:r w:rsidRPr="00624550">
        <w:t xml:space="preserve">. </w:t>
      </w:r>
      <w:r>
        <w:t xml:space="preserve"> </w:t>
      </w:r>
      <w:r w:rsidRPr="00624550">
        <w:t xml:space="preserve">Each </w:t>
      </w:r>
      <w:r>
        <w:t>SMJU</w:t>
      </w:r>
      <w:r w:rsidRPr="00624550">
        <w:t xml:space="preserve"> </w:t>
      </w:r>
      <w:r>
        <w:t>shall achieve a</w:t>
      </w:r>
      <w:r w:rsidRPr="00624550">
        <w:t xml:space="preserve"> CARE </w:t>
      </w:r>
      <w:r>
        <w:t>enrollment</w:t>
      </w:r>
      <w:r w:rsidRPr="00592917">
        <w:t xml:space="preserve"> </w:t>
      </w:r>
      <w:r>
        <w:t xml:space="preserve">rate </w:t>
      </w:r>
      <w:r w:rsidRPr="00624550">
        <w:t>at or above 90</w:t>
      </w:r>
      <w:r>
        <w:t> </w:t>
      </w:r>
      <w:r w:rsidRPr="00624550">
        <w:t xml:space="preserve">percent, which aligns with Commission precedent and historical decisions which require the </w:t>
      </w:r>
      <w:r>
        <w:t>SMJUs</w:t>
      </w:r>
      <w:r w:rsidRPr="00624550">
        <w:t xml:space="preserve"> to meet a 90 percent CARE enrollment goa</w:t>
      </w:r>
      <w:r>
        <w:t>l</w:t>
      </w:r>
      <w:r w:rsidRPr="00624550">
        <w:t>.</w:t>
      </w:r>
    </w:p>
    <w:p w:rsidRPr="00F159B1" w:rsidR="008959A4" w:rsidP="008959A4" w:rsidRDefault="008959A4" w14:paraId="1B2C4907" w14:textId="77777777">
      <w:pPr>
        <w:pStyle w:val="Heading4"/>
        <w:ind w:left="3600" w:hanging="1260"/>
      </w:pPr>
      <w:bookmarkStart w:name="_Toc82159658" w:id="60"/>
      <w:r>
        <w:t xml:space="preserve">Requiring a </w:t>
      </w:r>
      <w:r w:rsidRPr="002B30B9">
        <w:t xml:space="preserve">Mid Cycle Evaluation of </w:t>
      </w:r>
      <w:r>
        <w:br/>
      </w:r>
      <w:r w:rsidRPr="002B30B9">
        <w:t xml:space="preserve">Liberty’s Goal: </w:t>
      </w:r>
      <w:r>
        <w:t xml:space="preserve"> </w:t>
      </w:r>
      <w:r w:rsidRPr="002B30B9">
        <w:rPr>
          <w:u w:val="single"/>
        </w:rPr>
        <w:t>Approved</w:t>
      </w:r>
      <w:r>
        <w:rPr>
          <w:u w:val="single"/>
        </w:rPr>
        <w:t xml:space="preserve"> with Modifications</w:t>
      </w:r>
      <w:bookmarkEnd w:id="60"/>
    </w:p>
    <w:p w:rsidRPr="00484144" w:rsidR="008959A4" w:rsidP="008959A4" w:rsidRDefault="008959A4" w14:paraId="0CFA4446" w14:textId="77777777">
      <w:pPr>
        <w:pStyle w:val="Standard"/>
        <w:ind w:left="-360"/>
      </w:pPr>
      <w:r>
        <w:t>Although we applaud Liberty for working towards the 90 percent goal, we agree with Cal Advocates that achieving this goal so quickly may require some effort given its current low enrollment rate. The Commission wants to ensure that Liberty stays on track to meet these goals given the new outreach efforts approved in this decision (</w:t>
      </w:r>
      <w:r w:rsidRPr="00AA01E3">
        <w:rPr>
          <w:i/>
          <w:iCs/>
        </w:rPr>
        <w:t>see</w:t>
      </w:r>
      <w:r>
        <w:t xml:space="preserve"> Section 4.3.10.1.). Given that this program cycle is much longer (six years as opposed to three years), we agree with Cal Advocates that a mid-cycle assessment would be beneficial.  However, we will not require Liberty to </w:t>
      </w:r>
      <w:r w:rsidRPr="00D379F7">
        <w:t>submit a</w:t>
      </w:r>
      <w:r>
        <w:t xml:space="preserve"> separate</w:t>
      </w:r>
      <w:r w:rsidRPr="00D379F7">
        <w:t xml:space="preserve"> mid-cycle evaluation report</w:t>
      </w:r>
      <w:r>
        <w:t xml:space="preserve"> as proposed by Cal Advocates, as the information being requested will already be included in the required SMJU CARE reports.  Instead, if</w:t>
      </w:r>
      <w:r w:rsidRPr="00D379F7">
        <w:t xml:space="preserve"> Liberty fails to</w:t>
      </w:r>
      <w:r>
        <w:t xml:space="preserve"> </w:t>
      </w:r>
      <w:r w:rsidRPr="00D379F7">
        <w:t>meet the 90</w:t>
      </w:r>
      <w:r>
        <w:t xml:space="preserve"> percent</w:t>
      </w:r>
      <w:r w:rsidRPr="00D379F7">
        <w:t xml:space="preserve"> </w:t>
      </w:r>
      <w:r>
        <w:t xml:space="preserve">enrollment </w:t>
      </w:r>
      <w:r w:rsidRPr="00D379F7">
        <w:t xml:space="preserve">goal by </w:t>
      </w:r>
      <w:r>
        <w:t>December 31, 2023 as reported in the quarterly CARE report</w:t>
      </w:r>
      <w:r w:rsidRPr="00D379F7">
        <w:t xml:space="preserve">, Liberty </w:t>
      </w:r>
      <w:r>
        <w:t>must</w:t>
      </w:r>
      <w:r w:rsidRPr="00D379F7">
        <w:t xml:space="preserve"> file a Tier</w:t>
      </w:r>
      <w:r>
        <w:t xml:space="preserve"> 1 </w:t>
      </w:r>
      <w:r w:rsidRPr="00D379F7">
        <w:t xml:space="preserve">advice letter </w:t>
      </w:r>
      <w:r>
        <w:t>by</w:t>
      </w:r>
      <w:r w:rsidRPr="00D379F7">
        <w:t xml:space="preserve"> no later than </w:t>
      </w:r>
      <w:r>
        <w:t>February 21, 2024 that will contain the following information: the cost of various outreach strategies implemented in the first three years of the program cycle, the SMJU’s most cost-effective strategies for increasing CARE enrollment, and any proposed outreach adjustments for the remaining program cycle (PYs 2024-2026) based on the evaluation of previous outreach strategies.  We extend this Tier 1 advice letter requirement to all the SMJUs that fail to reach the 90 percent goal by December 31, 2023.</w:t>
      </w:r>
    </w:p>
    <w:p w:rsidRPr="002B30B9" w:rsidR="008959A4" w:rsidP="008959A4" w:rsidRDefault="008959A4" w14:paraId="7819E3C7" w14:textId="77777777">
      <w:pPr>
        <w:pStyle w:val="Heading4"/>
        <w:rPr>
          <w:iCs/>
        </w:rPr>
      </w:pPr>
      <w:bookmarkStart w:name="_Toc82159659" w:id="61"/>
      <w:r>
        <w:lastRenderedPageBreak/>
        <w:t xml:space="preserve">Increasing the Household </w:t>
      </w:r>
      <w:r>
        <w:br/>
        <w:t>Enrollment Goal</w:t>
      </w:r>
      <w:r w:rsidRPr="002B30B9">
        <w:t xml:space="preserve">: </w:t>
      </w:r>
      <w:r>
        <w:t xml:space="preserve"> </w:t>
      </w:r>
      <w:r>
        <w:rPr>
          <w:u w:val="single"/>
        </w:rPr>
        <w:t>Denied</w:t>
      </w:r>
      <w:bookmarkEnd w:id="61"/>
    </w:p>
    <w:p w:rsidR="008959A4" w:rsidP="008959A4" w:rsidRDefault="008959A4" w14:paraId="14444BE5" w14:textId="77777777">
      <w:pPr>
        <w:pStyle w:val="Standard"/>
      </w:pPr>
      <w:r w:rsidRPr="00D85426">
        <w:t xml:space="preserve">We deny EEC and Free Energy’s proposed </w:t>
      </w:r>
      <w:r>
        <w:t xml:space="preserve">household level </w:t>
      </w:r>
      <w:r w:rsidRPr="00D85426">
        <w:t xml:space="preserve">enrollment </w:t>
      </w:r>
      <w:r>
        <w:t>goals</w:t>
      </w:r>
      <w:r w:rsidRPr="00D85426">
        <w:t xml:space="preserve"> </w:t>
      </w:r>
      <w:r>
        <w:t>because we find it unnecessary considering that this decision already sets a 90 percent enrollment goal based on each SMJU’s estimated CARE eligible population.  Also, with a new CARE eligibility report being released in 2022 (</w:t>
      </w:r>
      <w:r w:rsidRPr="005F25DD">
        <w:rPr>
          <w:i/>
          <w:iCs/>
        </w:rPr>
        <w:t>see</w:t>
      </w:r>
      <w:r>
        <w:t> Section 7.2), household enrollment targets will automatically be updated based on the most recent CARE eligibility population, which will take into consideration impacts from the COVID-19 pandemic, and the 90 percent goal.</w:t>
      </w:r>
      <w:r w:rsidRPr="00D85426">
        <w:t xml:space="preserve"> </w:t>
      </w:r>
      <w:r>
        <w:t xml:space="preserve"> Therefore, setting specific household level goals for each of the SMJUs in this decision will be overridden by the results of the future CARE eligibility report with new CARE eligibility estimates, and therefore moot. Setting a 90 percent enrollment goal is sufficient.</w:t>
      </w:r>
    </w:p>
    <w:p w:rsidRPr="00D85426" w:rsidR="008959A4" w:rsidP="008959A4" w:rsidRDefault="008959A4" w14:paraId="1B205ABF" w14:textId="77777777">
      <w:pPr>
        <w:pStyle w:val="Standard"/>
      </w:pPr>
      <w:r>
        <w:t>Additionally, we</w:t>
      </w:r>
      <w:r w:rsidRPr="00046874">
        <w:t xml:space="preserve"> deem the Athens SMJU CARE eligibility estimates from 2018-2019 to be reasonable </w:t>
      </w:r>
      <w:r>
        <w:t>in</w:t>
      </w:r>
      <w:r w:rsidRPr="00046874">
        <w:t xml:space="preserve"> reviewing these applications since it was the best available data for these service territories at the time these applications were submitted</w:t>
      </w:r>
      <w:r>
        <w:t>.  The Athens study used in these applications also relies on a methodology adopted by the Commission in D.01-03-028 and has been used by the large IOUs for years</w:t>
      </w:r>
      <w:r w:rsidRPr="00046874">
        <w:t>.</w:t>
      </w:r>
      <w:r>
        <w:rPr>
          <w:rStyle w:val="FootnoteReference"/>
        </w:rPr>
        <w:footnoteReference w:id="31"/>
      </w:r>
      <w:r>
        <w:t xml:space="preserve">  Therefore,</w:t>
      </w:r>
      <w:r w:rsidRPr="00046874">
        <w:t xml:space="preserve"> relying on </w:t>
      </w:r>
      <w:r>
        <w:t>the Athens</w:t>
      </w:r>
      <w:r w:rsidRPr="00046874">
        <w:t xml:space="preserve"> CARE eligibility study </w:t>
      </w:r>
      <w:r>
        <w:t>is r</w:t>
      </w:r>
      <w:r w:rsidRPr="00046874">
        <w:t>easonable and prudent</w:t>
      </w:r>
      <w:r>
        <w:t>.</w:t>
      </w:r>
    </w:p>
    <w:p w:rsidR="008959A4" w:rsidP="008959A4" w:rsidRDefault="008959A4" w14:paraId="434620F6" w14:textId="77777777">
      <w:pPr>
        <w:pStyle w:val="Heading2"/>
      </w:pPr>
      <w:bookmarkStart w:name="_Toc82159660" w:id="62"/>
      <w:r w:rsidRPr="000C5ACF">
        <w:t xml:space="preserve">CARE </w:t>
      </w:r>
      <w:r>
        <w:t xml:space="preserve">Program Design - </w:t>
      </w:r>
      <w:r w:rsidRPr="00F055FA">
        <w:t>Enrollment &amp;</w:t>
      </w:r>
      <w:r>
        <w:t xml:space="preserve"> Eligibility</w:t>
      </w:r>
      <w:bookmarkEnd w:id="62"/>
    </w:p>
    <w:p w:rsidR="008959A4" w:rsidP="008959A4" w:rsidRDefault="008959A4" w14:paraId="746B5375" w14:textId="77777777">
      <w:pPr>
        <w:pStyle w:val="Heading3"/>
      </w:pPr>
      <w:bookmarkStart w:name="_Toc82159661" w:id="63"/>
      <w:r>
        <w:t>Background</w:t>
      </w:r>
      <w:bookmarkEnd w:id="63"/>
      <w:r>
        <w:t xml:space="preserve"> </w:t>
      </w:r>
    </w:p>
    <w:p w:rsidR="008959A4" w:rsidP="008959A4" w:rsidRDefault="008959A4" w14:paraId="546DA464" w14:textId="77777777">
      <w:pPr>
        <w:pStyle w:val="Standard"/>
      </w:pPr>
      <w:bookmarkStart w:name="_Hlk55819820" w:id="64"/>
      <w:r>
        <w:rPr>
          <w:b/>
          <w:bCs/>
          <w:i/>
          <w:iCs/>
          <w:u w:val="single"/>
        </w:rPr>
        <w:t xml:space="preserve">Income </w:t>
      </w:r>
      <w:r w:rsidRPr="002569D2">
        <w:rPr>
          <w:b/>
          <w:bCs/>
          <w:i/>
          <w:iCs/>
          <w:u w:val="single"/>
        </w:rPr>
        <w:t>Eligibility</w:t>
      </w:r>
      <w:r>
        <w:t>:  Currently, h</w:t>
      </w:r>
      <w:r w:rsidRPr="00E47CFC">
        <w:t>ouseholds with incomes at or below 200</w:t>
      </w:r>
      <w:r>
        <w:t> </w:t>
      </w:r>
      <w:r w:rsidRPr="00E47CFC">
        <w:t xml:space="preserve">percent of </w:t>
      </w:r>
      <w:r>
        <w:t xml:space="preserve">the </w:t>
      </w:r>
      <w:r w:rsidRPr="00E47CFC">
        <w:t>FPG qualify for the CARE program.</w:t>
      </w:r>
      <w:r w:rsidRPr="002569D2">
        <w:t xml:space="preserve"> </w:t>
      </w:r>
      <w:r>
        <w:t xml:space="preserve"> Households </w:t>
      </w:r>
      <w:r w:rsidRPr="00E47CFC">
        <w:t xml:space="preserve">self-certify </w:t>
      </w:r>
      <w:r w:rsidRPr="00E47CFC">
        <w:lastRenderedPageBreak/>
        <w:t xml:space="preserve">that their income meets the program’s eligibility requirement without </w:t>
      </w:r>
      <w:r>
        <w:t>the need for i</w:t>
      </w:r>
      <w:r w:rsidRPr="00E47CFC">
        <w:t>ncome documentation.</w:t>
      </w:r>
    </w:p>
    <w:p w:rsidRPr="00863668" w:rsidR="008959A4" w:rsidP="008959A4" w:rsidRDefault="008959A4" w14:paraId="0D4877F5" w14:textId="7530DC0A">
      <w:pPr>
        <w:pStyle w:val="Standard"/>
      </w:pPr>
      <w:r>
        <w:rPr>
          <w:b/>
          <w:bCs/>
          <w:i/>
          <w:iCs/>
          <w:u w:val="single"/>
        </w:rPr>
        <w:t>Enrollment Options and Recertifications</w:t>
      </w:r>
      <w:r w:rsidRPr="002569D2">
        <w:t>:</w:t>
      </w:r>
      <w:r>
        <w:t xml:space="preserve"> </w:t>
      </w:r>
      <w:r w:rsidRPr="00E47CFC">
        <w:t xml:space="preserve"> To enroll into the CARE program, households </w:t>
      </w:r>
      <w:r>
        <w:t>may enroll online, through mail, through a community</w:t>
      </w:r>
      <w:r w:rsidR="00BE6E5B">
        <w:noBreakHyphen/>
      </w:r>
      <w:r>
        <w:t>based organization (CBO),</w:t>
      </w:r>
      <w:r w:rsidRPr="00BF3F32">
        <w:t xml:space="preserve"> </w:t>
      </w:r>
      <w:r>
        <w:t xml:space="preserve">or other channels provided by the utility.  </w:t>
      </w:r>
      <w:r w:rsidRPr="00E47CFC">
        <w:t>Once enrolled, CARE customers are required to recertify their CARE eligibility every two years, except for those low</w:t>
      </w:r>
      <w:r>
        <w:t>-</w:t>
      </w:r>
      <w:r w:rsidRPr="00E47CFC">
        <w:t>income customers on a fixed income who would recertify every four years.</w:t>
      </w:r>
      <w:r>
        <w:rPr>
          <w:rStyle w:val="FootnoteReference"/>
        </w:rPr>
        <w:footnoteReference w:id="32"/>
      </w:r>
    </w:p>
    <w:p w:rsidR="008959A4" w:rsidP="008959A4" w:rsidRDefault="008959A4" w14:paraId="302EAD80" w14:textId="77777777">
      <w:pPr>
        <w:pStyle w:val="Standard"/>
      </w:pPr>
      <w:r>
        <w:rPr>
          <w:b/>
          <w:bCs/>
          <w:i/>
          <w:iCs/>
          <w:u w:val="single"/>
        </w:rPr>
        <w:t>Categorical Eligibility</w:t>
      </w:r>
      <w:r w:rsidRPr="002569D2">
        <w:t>:</w:t>
      </w:r>
      <w:r w:rsidRPr="00E47CFC">
        <w:t xml:space="preserve"> </w:t>
      </w:r>
      <w:r>
        <w:t xml:space="preserve"> Categorical enrollment allows for a household to automatically qualify for CARE i</w:t>
      </w:r>
      <w:r w:rsidRPr="00EF504A">
        <w:t>f the customer is already enrolled in one of the Commission-approved means-tested low</w:t>
      </w:r>
      <w:r>
        <w:t xml:space="preserve"> </w:t>
      </w:r>
      <w:r w:rsidRPr="00EF504A">
        <w:t>income public assistance programs.</w:t>
      </w:r>
      <w:r w:rsidRPr="00A42A32">
        <w:rPr>
          <w:vertAlign w:val="superscript"/>
        </w:rPr>
        <w:footnoteReference w:id="33"/>
      </w:r>
      <w:r w:rsidRPr="00A42A32">
        <w:t xml:space="preserve">  </w:t>
      </w:r>
      <w:r>
        <w:t>Currently the large IOUs allow for enrollment into the CARE program via categorical eligibility, but the SMJUs do not as D.</w:t>
      </w:r>
      <w:r w:rsidRPr="00393815">
        <w:t>14-05-004</w:t>
      </w:r>
      <w:r>
        <w:t xml:space="preserve"> exempted the </w:t>
      </w:r>
      <w:r w:rsidRPr="00393815">
        <w:t xml:space="preserve">SMJUs </w:t>
      </w:r>
      <w:r>
        <w:t xml:space="preserve">from implementing this enrollment option </w:t>
      </w:r>
      <w:r w:rsidRPr="00393815">
        <w:t>given</w:t>
      </w:r>
      <w:r>
        <w:t xml:space="preserve"> the</w:t>
      </w:r>
      <w:r w:rsidRPr="00393815">
        <w:t xml:space="preserve"> increasing CARE </w:t>
      </w:r>
      <w:r>
        <w:t>p</w:t>
      </w:r>
      <w:r w:rsidRPr="00393815">
        <w:t xml:space="preserve">rogram </w:t>
      </w:r>
      <w:r>
        <w:t xml:space="preserve">enrollment </w:t>
      </w:r>
      <w:r w:rsidRPr="00393815">
        <w:t xml:space="preserve">rates </w:t>
      </w:r>
      <w:r>
        <w:t xml:space="preserve">at that time </w:t>
      </w:r>
      <w:r w:rsidRPr="00393815">
        <w:t>and because associated administrative</w:t>
      </w:r>
      <w:r>
        <w:t xml:space="preserve"> </w:t>
      </w:r>
      <w:r w:rsidRPr="00393815">
        <w:t xml:space="preserve">costs </w:t>
      </w:r>
      <w:r>
        <w:t>with this enrollment option would have</w:t>
      </w:r>
      <w:r w:rsidRPr="00393815">
        <w:t xml:space="preserve"> be</w:t>
      </w:r>
      <w:r>
        <w:t>en</w:t>
      </w:r>
      <w:r w:rsidRPr="00393815">
        <w:t xml:space="preserve"> greater than the expected benefits</w:t>
      </w:r>
      <w:r>
        <w:t>.</w:t>
      </w:r>
      <w:r>
        <w:rPr>
          <w:rStyle w:val="FootnoteReference"/>
        </w:rPr>
        <w:footnoteReference w:id="34"/>
      </w:r>
      <w:r>
        <w:t xml:space="preserve">  </w:t>
      </w:r>
    </w:p>
    <w:p w:rsidRPr="00863668" w:rsidR="008959A4" w:rsidP="008959A4" w:rsidRDefault="008959A4" w14:paraId="09C2C385" w14:textId="77777777">
      <w:pPr>
        <w:pStyle w:val="Standard"/>
      </w:pPr>
      <w:r>
        <w:rPr>
          <w:b/>
          <w:bCs/>
          <w:i/>
          <w:iCs/>
          <w:u w:val="single"/>
        </w:rPr>
        <w:t>Capitation Program</w:t>
      </w:r>
      <w:r w:rsidRPr="000E485A">
        <w:rPr>
          <w:b/>
          <w:bCs/>
          <w:i/>
          <w:iCs/>
        </w:rPr>
        <w:t>:</w:t>
      </w:r>
      <w:r w:rsidRPr="000E485A">
        <w:t xml:space="preserve">  </w:t>
      </w:r>
      <w:r>
        <w:t xml:space="preserve">Some of the SMJUs partner with CBOs to assist in CARE enrollments, (CARE capitation program), where the CBO is provided a </w:t>
      </w:r>
      <w:r>
        <w:lastRenderedPageBreak/>
        <w:t>capitation fee, or reimbursement rate to enroll the customer into the CARE program.  The current capitation fee is up to $20 per enrollment.</w:t>
      </w:r>
      <w:r>
        <w:rPr>
          <w:rStyle w:val="FootnoteReference"/>
        </w:rPr>
        <w:footnoteReference w:id="35"/>
      </w:r>
    </w:p>
    <w:p w:rsidR="008959A4" w:rsidP="008959A4" w:rsidRDefault="008959A4" w14:paraId="0FD38BC1" w14:textId="085B3A9A">
      <w:pPr>
        <w:pStyle w:val="Standard"/>
      </w:pPr>
      <w:r w:rsidRPr="009C6970">
        <w:rPr>
          <w:b/>
          <w:bCs/>
          <w:i/>
          <w:iCs/>
          <w:u w:val="single"/>
        </w:rPr>
        <w:t>Post Enrollment Verification</w:t>
      </w:r>
      <w:r>
        <w:t>:  T</w:t>
      </w:r>
      <w:r w:rsidRPr="00DE32D7">
        <w:t>o protect the integrity of the self</w:t>
      </w:r>
      <w:r w:rsidR="00BE6E5B">
        <w:noBreakHyphen/>
      </w:r>
      <w:r w:rsidRPr="00DE32D7">
        <w:t xml:space="preserve">certification option, </w:t>
      </w:r>
      <w:r>
        <w:t xml:space="preserve">some of </w:t>
      </w:r>
      <w:r w:rsidRPr="00DE32D7">
        <w:t xml:space="preserve">the </w:t>
      </w:r>
      <w:r>
        <w:t>SMJUs</w:t>
      </w:r>
      <w:r w:rsidRPr="00DE32D7">
        <w:t xml:space="preserve"> use a random sampling income</w:t>
      </w:r>
      <w:r w:rsidR="00BE6E5B">
        <w:noBreakHyphen/>
      </w:r>
      <w:r w:rsidRPr="00DE32D7">
        <w:t>verification process</w:t>
      </w:r>
      <w:r>
        <w:t xml:space="preserve"> </w:t>
      </w:r>
      <w:r w:rsidRPr="00DE32D7">
        <w:t>known as post enrollment verification</w:t>
      </w:r>
      <w:r>
        <w:t>, or</w:t>
      </w:r>
      <w:r w:rsidRPr="00DE32D7">
        <w:t xml:space="preserve"> PEV, that balances the desire for the maximum number of eligible customers to participate with the need to verify participant eligibility. </w:t>
      </w:r>
      <w:r>
        <w:t xml:space="preserve"> Additionally</w:t>
      </w:r>
      <w:r w:rsidRPr="00DE32D7">
        <w:t xml:space="preserve">, if a CARE customer’s electricity consumption goes over 400 percent of baseline in any monthly or billing period, they are automatically flagged for </w:t>
      </w:r>
      <w:r>
        <w:t xml:space="preserve">high usage (HU) </w:t>
      </w:r>
      <w:r w:rsidRPr="00DE32D7">
        <w:t>PEV.</w:t>
      </w:r>
    </w:p>
    <w:p w:rsidR="008959A4" w:rsidP="008959A4" w:rsidRDefault="008959A4" w14:paraId="41A514B3" w14:textId="77777777">
      <w:pPr>
        <w:pStyle w:val="Heading3"/>
      </w:pPr>
      <w:bookmarkStart w:name="_Toc82159662" w:id="65"/>
      <w:bookmarkEnd w:id="64"/>
      <w:r>
        <w:t>Alpine Proposal</w:t>
      </w:r>
      <w:bookmarkEnd w:id="65"/>
    </w:p>
    <w:p w:rsidR="008959A4" w:rsidP="008959A4" w:rsidRDefault="008959A4" w14:paraId="7517E998" w14:textId="77777777">
      <w:pPr>
        <w:pStyle w:val="Standard"/>
        <w:rPr>
          <w:b/>
          <w:bCs/>
          <w:i/>
          <w:iCs/>
          <w:u w:val="single"/>
        </w:rPr>
      </w:pPr>
      <w:r>
        <w:rPr>
          <w:b/>
          <w:bCs/>
          <w:i/>
          <w:iCs/>
          <w:u w:val="single"/>
        </w:rPr>
        <w:t>Income Eligibility</w:t>
      </w:r>
      <w:r w:rsidRPr="000E485A">
        <w:rPr>
          <w:b/>
          <w:bCs/>
          <w:i/>
          <w:iCs/>
        </w:rPr>
        <w:t>:</w:t>
      </w:r>
      <w:r w:rsidRPr="002D06AD">
        <w:t xml:space="preserve"> </w:t>
      </w:r>
      <w:r>
        <w:t xml:space="preserve"> Alpine</w:t>
      </w:r>
      <w:r w:rsidRPr="006C0309">
        <w:t xml:space="preserve"> </w:t>
      </w:r>
      <w:r w:rsidRPr="0073161F">
        <w:t xml:space="preserve">proposes </w:t>
      </w:r>
      <w:r>
        <w:t>no changes.</w:t>
      </w:r>
    </w:p>
    <w:p w:rsidR="008959A4" w:rsidP="008959A4" w:rsidRDefault="008959A4" w14:paraId="316972DE" w14:textId="77777777">
      <w:pPr>
        <w:pStyle w:val="Standard"/>
        <w:rPr>
          <w:b/>
          <w:bCs/>
          <w:i/>
          <w:iCs/>
          <w:u w:val="single"/>
        </w:rPr>
      </w:pPr>
      <w:r>
        <w:rPr>
          <w:b/>
          <w:bCs/>
          <w:i/>
          <w:iCs/>
          <w:u w:val="single"/>
        </w:rPr>
        <w:t>Enrollment</w:t>
      </w:r>
      <w:r w:rsidRPr="00CE44D0">
        <w:rPr>
          <w:b/>
          <w:bCs/>
          <w:i/>
          <w:iCs/>
          <w:u w:val="single"/>
        </w:rPr>
        <w:t xml:space="preserve"> </w:t>
      </w:r>
      <w:r>
        <w:rPr>
          <w:b/>
          <w:bCs/>
          <w:i/>
          <w:iCs/>
          <w:u w:val="single"/>
        </w:rPr>
        <w:t>Options and Recertifications</w:t>
      </w:r>
      <w:r w:rsidRPr="000E485A">
        <w:rPr>
          <w:b/>
          <w:bCs/>
          <w:i/>
          <w:iCs/>
        </w:rPr>
        <w:t>:</w:t>
      </w:r>
      <w:r w:rsidRPr="002D06AD">
        <w:t xml:space="preserve"> </w:t>
      </w:r>
      <w:r>
        <w:t xml:space="preserve"> Alpine</w:t>
      </w:r>
      <w:r w:rsidRPr="006C0309">
        <w:t xml:space="preserve"> propose</w:t>
      </w:r>
      <w:r>
        <w:t>s</w:t>
      </w:r>
      <w:r w:rsidRPr="006C0309">
        <w:t xml:space="preserve"> </w:t>
      </w:r>
      <w:r>
        <w:t>no changes.</w:t>
      </w:r>
    </w:p>
    <w:p w:rsidR="008959A4" w:rsidP="008959A4" w:rsidRDefault="008959A4" w14:paraId="356871DC" w14:textId="77777777">
      <w:pPr>
        <w:pStyle w:val="Standard"/>
        <w:rPr>
          <w:b/>
          <w:bCs/>
          <w:i/>
          <w:iCs/>
          <w:u w:val="single"/>
        </w:rPr>
      </w:pPr>
      <w:r>
        <w:rPr>
          <w:b/>
          <w:bCs/>
          <w:i/>
          <w:iCs/>
          <w:u w:val="single"/>
        </w:rPr>
        <w:t>Categorical Eligibility</w:t>
      </w:r>
      <w:r w:rsidRPr="000E485A">
        <w:rPr>
          <w:b/>
          <w:bCs/>
          <w:i/>
          <w:iCs/>
        </w:rPr>
        <w:t>:</w:t>
      </w:r>
      <w:r w:rsidRPr="00D8404D">
        <w:t xml:space="preserve"> </w:t>
      </w:r>
      <w:r>
        <w:t xml:space="preserve"> Alpine</w:t>
      </w:r>
      <w:r w:rsidRPr="006C0309">
        <w:t xml:space="preserve"> </w:t>
      </w:r>
      <w:r w:rsidRPr="0073161F">
        <w:t xml:space="preserve">proposes </w:t>
      </w:r>
      <w:r>
        <w:t>no changes.</w:t>
      </w:r>
    </w:p>
    <w:p w:rsidR="008959A4" w:rsidP="008959A4" w:rsidRDefault="008959A4" w14:paraId="02E4DC24" w14:textId="77777777">
      <w:pPr>
        <w:pStyle w:val="Standard"/>
        <w:rPr>
          <w:b/>
          <w:bCs/>
          <w:i/>
          <w:iCs/>
          <w:u w:val="single"/>
        </w:rPr>
      </w:pPr>
      <w:r>
        <w:rPr>
          <w:b/>
          <w:bCs/>
          <w:i/>
          <w:iCs/>
          <w:u w:val="single"/>
        </w:rPr>
        <w:t>Capitation Program:</w:t>
      </w:r>
      <w:r w:rsidRPr="00D8404D">
        <w:t xml:space="preserve"> </w:t>
      </w:r>
      <w:r>
        <w:t xml:space="preserve"> Alpine</w:t>
      </w:r>
      <w:r w:rsidRPr="006C0309">
        <w:t xml:space="preserve"> </w:t>
      </w:r>
      <w:r w:rsidRPr="0073161F">
        <w:t xml:space="preserve">proposes </w:t>
      </w:r>
      <w:r>
        <w:t>no changes.</w:t>
      </w:r>
    </w:p>
    <w:p w:rsidR="008959A4" w:rsidP="008959A4" w:rsidRDefault="008959A4" w14:paraId="20DE150A" w14:textId="77777777">
      <w:pPr>
        <w:pStyle w:val="ALJBodyText"/>
      </w:pPr>
      <w:r>
        <w:rPr>
          <w:b/>
          <w:bCs/>
          <w:i/>
          <w:iCs/>
          <w:u w:val="single"/>
        </w:rPr>
        <w:t>PEV:</w:t>
      </w:r>
      <w:r>
        <w:t xml:space="preserve">  Alpine</w:t>
      </w:r>
      <w:r w:rsidRPr="006C0309">
        <w:t xml:space="preserve"> </w:t>
      </w:r>
      <w:r w:rsidRPr="0073161F">
        <w:t xml:space="preserve">proposes </w:t>
      </w:r>
      <w:r>
        <w:t>no changes.</w:t>
      </w:r>
    </w:p>
    <w:p w:rsidR="008959A4" w:rsidP="008959A4" w:rsidRDefault="008959A4" w14:paraId="02D9F0D0" w14:textId="77777777">
      <w:pPr>
        <w:pStyle w:val="Heading3"/>
      </w:pPr>
      <w:bookmarkStart w:name="_Toc82159663" w:id="66"/>
      <w:r>
        <w:t>Bear Valley Proposal</w:t>
      </w:r>
      <w:bookmarkEnd w:id="66"/>
    </w:p>
    <w:p w:rsidR="008959A4" w:rsidP="008959A4" w:rsidRDefault="008959A4" w14:paraId="7DF80D50" w14:textId="77777777">
      <w:pPr>
        <w:pStyle w:val="Standard"/>
        <w:rPr>
          <w:b/>
          <w:bCs/>
          <w:i/>
          <w:iCs/>
          <w:u w:val="single"/>
        </w:rPr>
      </w:pPr>
      <w:r>
        <w:rPr>
          <w:b/>
          <w:bCs/>
          <w:i/>
          <w:iCs/>
          <w:u w:val="single"/>
        </w:rPr>
        <w:t>Income Eligibility</w:t>
      </w:r>
      <w:r w:rsidRPr="000E485A">
        <w:rPr>
          <w:b/>
          <w:bCs/>
          <w:i/>
          <w:iCs/>
        </w:rPr>
        <w:t>:</w:t>
      </w:r>
      <w:r w:rsidRPr="000E485A">
        <w:t xml:space="preserve">  </w:t>
      </w:r>
      <w:r>
        <w:t>Bear Valley</w:t>
      </w:r>
      <w:r w:rsidRPr="0073161F">
        <w:t xml:space="preserve"> proposes </w:t>
      </w:r>
      <w:r>
        <w:t>no changes.</w:t>
      </w:r>
    </w:p>
    <w:p w:rsidR="008959A4" w:rsidP="008959A4" w:rsidRDefault="008959A4" w14:paraId="3023A748" w14:textId="77777777">
      <w:pPr>
        <w:pStyle w:val="Standard"/>
      </w:pPr>
      <w:r>
        <w:rPr>
          <w:b/>
          <w:bCs/>
          <w:i/>
          <w:iCs/>
          <w:u w:val="single"/>
        </w:rPr>
        <w:t>Enrollment</w:t>
      </w:r>
      <w:r w:rsidRPr="004565AF">
        <w:rPr>
          <w:b/>
          <w:bCs/>
          <w:i/>
          <w:iCs/>
          <w:u w:val="single"/>
        </w:rPr>
        <w:t xml:space="preserve"> </w:t>
      </w:r>
      <w:r>
        <w:rPr>
          <w:b/>
          <w:bCs/>
          <w:i/>
          <w:iCs/>
          <w:u w:val="single"/>
        </w:rPr>
        <w:t>Options and Recertifications</w:t>
      </w:r>
      <w:r w:rsidRPr="000E485A">
        <w:rPr>
          <w:b/>
          <w:bCs/>
          <w:i/>
          <w:iCs/>
        </w:rPr>
        <w:t>:</w:t>
      </w:r>
      <w:r w:rsidRPr="000E485A">
        <w:t xml:space="preserve">  </w:t>
      </w:r>
      <w:r>
        <w:t>Bear Valley</w:t>
      </w:r>
      <w:r w:rsidRPr="0073161F">
        <w:t xml:space="preserve"> proposes </w:t>
      </w:r>
      <w:r>
        <w:t>no changes.</w:t>
      </w:r>
    </w:p>
    <w:p w:rsidR="008959A4" w:rsidP="008959A4" w:rsidRDefault="008959A4" w14:paraId="62D5513E" w14:textId="77777777">
      <w:pPr>
        <w:pStyle w:val="Standard"/>
        <w:rPr>
          <w:b/>
          <w:bCs/>
          <w:i/>
          <w:iCs/>
          <w:u w:val="single"/>
        </w:rPr>
      </w:pPr>
      <w:r>
        <w:rPr>
          <w:b/>
          <w:bCs/>
          <w:i/>
          <w:iCs/>
          <w:u w:val="single"/>
        </w:rPr>
        <w:t>Categorical Eligibility</w:t>
      </w:r>
      <w:r w:rsidRPr="000E485A">
        <w:rPr>
          <w:b/>
          <w:bCs/>
          <w:i/>
          <w:iCs/>
        </w:rPr>
        <w:t>:</w:t>
      </w:r>
      <w:r w:rsidRPr="000E485A">
        <w:t xml:space="preserve"> </w:t>
      </w:r>
      <w:r>
        <w:t xml:space="preserve"> Bear Valley</w:t>
      </w:r>
      <w:r w:rsidRPr="006C0309">
        <w:t xml:space="preserve"> </w:t>
      </w:r>
      <w:r w:rsidRPr="0073161F">
        <w:t xml:space="preserve">proposes </w:t>
      </w:r>
      <w:r>
        <w:t>no changes.</w:t>
      </w:r>
    </w:p>
    <w:p w:rsidR="008959A4" w:rsidP="008959A4" w:rsidRDefault="008959A4" w14:paraId="2C9A9A6E" w14:textId="77777777">
      <w:pPr>
        <w:pStyle w:val="Standard"/>
        <w:rPr>
          <w:b/>
          <w:bCs/>
          <w:i/>
          <w:iCs/>
          <w:u w:val="single"/>
        </w:rPr>
      </w:pPr>
      <w:r>
        <w:rPr>
          <w:b/>
          <w:bCs/>
          <w:i/>
          <w:iCs/>
          <w:u w:val="single"/>
        </w:rPr>
        <w:t>Capitation Program</w:t>
      </w:r>
      <w:r w:rsidRPr="000E485A">
        <w:rPr>
          <w:b/>
          <w:bCs/>
          <w:i/>
          <w:iCs/>
        </w:rPr>
        <w:t>:</w:t>
      </w:r>
      <w:r w:rsidRPr="000E485A">
        <w:t xml:space="preserve"> </w:t>
      </w:r>
      <w:r>
        <w:t xml:space="preserve"> Bear Valley</w:t>
      </w:r>
      <w:r w:rsidRPr="006C0309">
        <w:t xml:space="preserve"> </w:t>
      </w:r>
      <w:r w:rsidRPr="0073161F">
        <w:t xml:space="preserve">proposes </w:t>
      </w:r>
      <w:r>
        <w:t>no changes.</w:t>
      </w:r>
    </w:p>
    <w:p w:rsidR="008959A4" w:rsidP="008959A4" w:rsidRDefault="008959A4" w14:paraId="42233ECF" w14:textId="77777777">
      <w:pPr>
        <w:pStyle w:val="Standard"/>
      </w:pPr>
      <w:r>
        <w:rPr>
          <w:b/>
          <w:bCs/>
          <w:i/>
          <w:iCs/>
          <w:u w:val="single"/>
        </w:rPr>
        <w:t>PEV</w:t>
      </w:r>
      <w:r w:rsidRPr="000E485A">
        <w:rPr>
          <w:b/>
          <w:bCs/>
          <w:i/>
          <w:iCs/>
        </w:rPr>
        <w:t>:</w:t>
      </w:r>
      <w:r>
        <w:rPr>
          <w:b/>
          <w:bCs/>
          <w:i/>
          <w:iCs/>
        </w:rPr>
        <w:t xml:space="preserve"> </w:t>
      </w:r>
      <w:r>
        <w:t xml:space="preserve"> Bear Valley</w:t>
      </w:r>
      <w:r w:rsidRPr="0073161F">
        <w:t xml:space="preserve"> proposes </w:t>
      </w:r>
      <w:r>
        <w:t>no changes.</w:t>
      </w:r>
      <w:r w:rsidRPr="00F25E3F">
        <w:t xml:space="preserve"> </w:t>
      </w:r>
      <w:r>
        <w:t xml:space="preserve"> However, i</w:t>
      </w:r>
      <w:r w:rsidRPr="007F27D2">
        <w:t xml:space="preserve">n compliance with Resolution M-4842, </w:t>
      </w:r>
      <w:r>
        <w:t>Bear Valley</w:t>
      </w:r>
      <w:r w:rsidRPr="007F27D2">
        <w:t xml:space="preserve"> has </w:t>
      </w:r>
      <w:r>
        <w:t>suspended</w:t>
      </w:r>
      <w:r w:rsidRPr="007F27D2">
        <w:t xml:space="preserve"> the requirement that</w:t>
      </w:r>
      <w:r>
        <w:t xml:space="preserve"> </w:t>
      </w:r>
      <w:r w:rsidRPr="007F27D2">
        <w:t xml:space="preserve">customers </w:t>
      </w:r>
      <w:r w:rsidRPr="007F27D2">
        <w:lastRenderedPageBreak/>
        <w:t>provide their current income information during the process of verification and</w:t>
      </w:r>
      <w:r>
        <w:t xml:space="preserve"> </w:t>
      </w:r>
      <w:r w:rsidRPr="007F27D2">
        <w:t>recertification</w:t>
      </w:r>
      <w:r>
        <w:t xml:space="preserve">, until </w:t>
      </w:r>
      <w:r w:rsidRPr="007F27D2">
        <w:t>new guidance</w:t>
      </w:r>
      <w:r>
        <w:t xml:space="preserve"> is provided</w:t>
      </w:r>
      <w:r w:rsidRPr="007F27D2">
        <w:t xml:space="preserve"> from the Commission.</w:t>
      </w:r>
      <w:r>
        <w:rPr>
          <w:rStyle w:val="FootnoteReference"/>
        </w:rPr>
        <w:footnoteReference w:id="36"/>
      </w:r>
    </w:p>
    <w:p w:rsidRPr="00692886" w:rsidR="008959A4" w:rsidP="008959A4" w:rsidRDefault="008959A4" w14:paraId="5D2D64AA" w14:textId="77777777">
      <w:pPr>
        <w:pStyle w:val="Heading3"/>
      </w:pPr>
      <w:bookmarkStart w:name="_Toc82159664" w:id="67"/>
      <w:r w:rsidRPr="00692886">
        <w:t xml:space="preserve">Liberty </w:t>
      </w:r>
      <w:r>
        <w:t>Proposal</w:t>
      </w:r>
      <w:bookmarkEnd w:id="67"/>
    </w:p>
    <w:p w:rsidR="008959A4" w:rsidP="008959A4" w:rsidRDefault="008959A4" w14:paraId="317BA2F4" w14:textId="77777777">
      <w:pPr>
        <w:pStyle w:val="Standard"/>
        <w:rPr>
          <w:b/>
          <w:bCs/>
          <w:i/>
          <w:iCs/>
          <w:u w:val="single"/>
        </w:rPr>
      </w:pPr>
      <w:r>
        <w:rPr>
          <w:b/>
          <w:bCs/>
          <w:i/>
          <w:iCs/>
          <w:u w:val="single"/>
        </w:rPr>
        <w:t>Income Eligibility</w:t>
      </w:r>
      <w:r w:rsidRPr="000E485A">
        <w:rPr>
          <w:b/>
          <w:bCs/>
          <w:i/>
          <w:iCs/>
        </w:rPr>
        <w:t>:</w:t>
      </w:r>
      <w:r w:rsidRPr="004C1461">
        <w:t xml:space="preserve"> </w:t>
      </w:r>
      <w:r>
        <w:t xml:space="preserve"> Liberty</w:t>
      </w:r>
      <w:r w:rsidRPr="0073161F">
        <w:t xml:space="preserve"> proposes </w:t>
      </w:r>
      <w:r>
        <w:t>no changes.</w:t>
      </w:r>
    </w:p>
    <w:p w:rsidR="008959A4" w:rsidP="008959A4" w:rsidRDefault="008959A4" w14:paraId="6F273245" w14:textId="77777777">
      <w:pPr>
        <w:pStyle w:val="Standard"/>
      </w:pPr>
      <w:r>
        <w:rPr>
          <w:b/>
          <w:bCs/>
          <w:i/>
          <w:iCs/>
          <w:u w:val="single"/>
        </w:rPr>
        <w:t>Enrollment</w:t>
      </w:r>
      <w:r w:rsidRPr="004565AF">
        <w:rPr>
          <w:b/>
          <w:bCs/>
          <w:i/>
          <w:iCs/>
          <w:u w:val="single"/>
        </w:rPr>
        <w:t xml:space="preserve"> </w:t>
      </w:r>
      <w:r>
        <w:rPr>
          <w:b/>
          <w:bCs/>
          <w:i/>
          <w:iCs/>
          <w:u w:val="single"/>
        </w:rPr>
        <w:t>Options and Recertifications</w:t>
      </w:r>
      <w:r w:rsidRPr="000E485A">
        <w:rPr>
          <w:b/>
          <w:bCs/>
          <w:i/>
          <w:iCs/>
        </w:rPr>
        <w:t>:</w:t>
      </w:r>
      <w:r w:rsidRPr="00062CC5">
        <w:t xml:space="preserve"> </w:t>
      </w:r>
      <w:r>
        <w:t xml:space="preserve"> Liberty</w:t>
      </w:r>
      <w:r w:rsidRPr="0073161F">
        <w:t xml:space="preserve"> proposes </w:t>
      </w:r>
      <w:r>
        <w:t>no changes.</w:t>
      </w:r>
    </w:p>
    <w:p w:rsidR="008959A4" w:rsidP="008959A4" w:rsidRDefault="008959A4" w14:paraId="4DC073C8" w14:textId="77777777">
      <w:pPr>
        <w:pStyle w:val="Standard"/>
        <w:rPr>
          <w:b/>
          <w:bCs/>
          <w:i/>
          <w:iCs/>
          <w:u w:val="single"/>
        </w:rPr>
      </w:pPr>
      <w:r>
        <w:rPr>
          <w:b/>
          <w:bCs/>
          <w:i/>
          <w:iCs/>
          <w:u w:val="single"/>
        </w:rPr>
        <w:t>Categorical Eligibility</w:t>
      </w:r>
      <w:r w:rsidRPr="000E485A">
        <w:rPr>
          <w:b/>
          <w:bCs/>
          <w:i/>
          <w:iCs/>
        </w:rPr>
        <w:t xml:space="preserve">:  </w:t>
      </w:r>
      <w:r w:rsidRPr="007460AD">
        <w:t xml:space="preserve">Liberty </w:t>
      </w:r>
      <w:r>
        <w:t>proposes to</w:t>
      </w:r>
      <w:r w:rsidRPr="007460AD">
        <w:t xml:space="preserve"> allow customers previously approved for </w:t>
      </w:r>
      <w:r>
        <w:t>the Low-Income Home Energy Program (</w:t>
      </w:r>
      <w:r w:rsidRPr="007460AD">
        <w:t>LIHEAP</w:t>
      </w:r>
      <w:r>
        <w:t>)</w:t>
      </w:r>
      <w:r w:rsidRPr="007460AD">
        <w:t xml:space="preserve"> to</w:t>
      </w:r>
      <w:r>
        <w:t xml:space="preserve"> </w:t>
      </w:r>
      <w:r w:rsidRPr="007460AD">
        <w:t>be automatically eligible for CARE</w:t>
      </w:r>
      <w:r>
        <w:t>.</w:t>
      </w:r>
      <w:r>
        <w:rPr>
          <w:rStyle w:val="FootnoteReference"/>
        </w:rPr>
        <w:footnoteReference w:id="37"/>
      </w:r>
    </w:p>
    <w:p w:rsidR="008959A4" w:rsidP="008959A4" w:rsidRDefault="008959A4" w14:paraId="6B269D17" w14:textId="77777777">
      <w:pPr>
        <w:pStyle w:val="Standard"/>
        <w:rPr>
          <w:b/>
          <w:bCs/>
          <w:i/>
          <w:iCs/>
          <w:u w:val="single"/>
        </w:rPr>
      </w:pPr>
      <w:r>
        <w:rPr>
          <w:b/>
          <w:bCs/>
          <w:i/>
          <w:iCs/>
          <w:u w:val="single"/>
        </w:rPr>
        <w:t>Capitation Program</w:t>
      </w:r>
      <w:r w:rsidRPr="000E485A">
        <w:rPr>
          <w:b/>
          <w:bCs/>
          <w:i/>
          <w:iCs/>
        </w:rPr>
        <w:t>:</w:t>
      </w:r>
      <w:r w:rsidRPr="000E485A">
        <w:t xml:space="preserve">  </w:t>
      </w:r>
      <w:r>
        <w:t>Liberty</w:t>
      </w:r>
      <w:r w:rsidRPr="0073161F">
        <w:t xml:space="preserve"> proposes </w:t>
      </w:r>
      <w:r>
        <w:t>no changes.</w:t>
      </w:r>
    </w:p>
    <w:p w:rsidRPr="00524B8E" w:rsidR="008959A4" w:rsidP="008959A4" w:rsidRDefault="008959A4" w14:paraId="4365689A" w14:textId="77777777">
      <w:pPr>
        <w:pStyle w:val="Standard"/>
      </w:pPr>
      <w:r>
        <w:rPr>
          <w:b/>
          <w:bCs/>
          <w:i/>
          <w:iCs/>
          <w:u w:val="single"/>
        </w:rPr>
        <w:t>PEV</w:t>
      </w:r>
      <w:r w:rsidRPr="000E485A">
        <w:rPr>
          <w:b/>
          <w:bCs/>
          <w:i/>
          <w:iCs/>
        </w:rPr>
        <w:t xml:space="preserve">: </w:t>
      </w:r>
      <w:r w:rsidRPr="00692886">
        <w:t xml:space="preserve"> Liberty proposes </w:t>
      </w:r>
      <w:r w:rsidRPr="00524B8E">
        <w:t xml:space="preserve">to change the </w:t>
      </w:r>
      <w:r>
        <w:t>HU</w:t>
      </w:r>
      <w:r w:rsidRPr="00D76D76">
        <w:t xml:space="preserve"> PEV</w:t>
      </w:r>
      <w:r w:rsidRPr="00524B8E">
        <w:t xml:space="preserve"> threshold </w:t>
      </w:r>
      <w:r w:rsidRPr="00D76D76">
        <w:t xml:space="preserve">from </w:t>
      </w:r>
      <w:r>
        <w:t>exceeding the</w:t>
      </w:r>
      <w:r w:rsidRPr="00D76D76">
        <w:t xml:space="preserve"> 400</w:t>
      </w:r>
      <w:r>
        <w:t xml:space="preserve"> percent</w:t>
      </w:r>
      <w:r w:rsidRPr="00D76D76">
        <w:t xml:space="preserve"> of baseline </w:t>
      </w:r>
      <w:r>
        <w:t xml:space="preserve">once </w:t>
      </w:r>
      <w:r w:rsidRPr="00D76D76">
        <w:t>in a 12</w:t>
      </w:r>
      <w:r>
        <w:t>-</w:t>
      </w:r>
      <w:r w:rsidRPr="00D76D76">
        <w:t>month period to three</w:t>
      </w:r>
      <w:r>
        <w:t xml:space="preserve"> times </w:t>
      </w:r>
      <w:r w:rsidRPr="00D76D76">
        <w:t>in a 12</w:t>
      </w:r>
      <w:r>
        <w:noBreakHyphen/>
      </w:r>
      <w:r w:rsidRPr="00D76D76">
        <w:t>month</w:t>
      </w:r>
      <w:r w:rsidRPr="00524B8E">
        <w:t xml:space="preserve"> p</w:t>
      </w:r>
      <w:r w:rsidRPr="00D76D76">
        <w:t>eriod</w:t>
      </w:r>
      <w:r>
        <w:t>, stating that this wou</w:t>
      </w:r>
      <w:r w:rsidRPr="00524B8E">
        <w:t xml:space="preserve">ld </w:t>
      </w:r>
      <w:r w:rsidRPr="00D76D76">
        <w:t xml:space="preserve">minimize </w:t>
      </w:r>
      <w:r>
        <w:t xml:space="preserve">the number of </w:t>
      </w:r>
      <w:r w:rsidRPr="00D76D76">
        <w:t xml:space="preserve">CARE eligible customers being </w:t>
      </w:r>
      <w:r w:rsidRPr="00524B8E">
        <w:t>removed from the program</w:t>
      </w:r>
      <w:r w:rsidRPr="00D76D76">
        <w:t>.</w:t>
      </w:r>
      <w:r>
        <w:t xml:space="preserve">  Because many of </w:t>
      </w:r>
      <w:r w:rsidRPr="00524B8E">
        <w:t>Liberty</w:t>
      </w:r>
      <w:r>
        <w:t xml:space="preserve">’s </w:t>
      </w:r>
      <w:r w:rsidRPr="00D76D76">
        <w:t>customers rely on electricity for heating</w:t>
      </w:r>
      <w:r>
        <w:t>, many</w:t>
      </w:r>
      <w:r w:rsidRPr="00D76D76">
        <w:t xml:space="preserve"> may exceed the 400</w:t>
      </w:r>
      <w:r>
        <w:t xml:space="preserve"> percent</w:t>
      </w:r>
      <w:r w:rsidRPr="00D76D76">
        <w:t xml:space="preserve"> of baseline because they have no other means of heating their</w:t>
      </w:r>
      <w:r w:rsidRPr="00524B8E">
        <w:t xml:space="preserve"> </w:t>
      </w:r>
      <w:r w:rsidRPr="00D76D76">
        <w:t>homes</w:t>
      </w:r>
      <w:r>
        <w:t>, rather than it being a result of excessive energy use</w:t>
      </w:r>
      <w:r w:rsidRPr="00524B8E">
        <w:t>.</w:t>
      </w:r>
      <w:r w:rsidRPr="00524B8E">
        <w:rPr>
          <w:rStyle w:val="FootnoteReference"/>
        </w:rPr>
        <w:footnoteReference w:id="38"/>
      </w:r>
    </w:p>
    <w:p w:rsidR="008959A4" w:rsidP="008959A4" w:rsidRDefault="008959A4" w14:paraId="246AAF7E" w14:textId="77777777">
      <w:pPr>
        <w:pStyle w:val="Heading3"/>
      </w:pPr>
      <w:bookmarkStart w:name="_Toc82159665" w:id="68"/>
      <w:r>
        <w:t>PacifiCorp Proposal</w:t>
      </w:r>
      <w:bookmarkEnd w:id="68"/>
    </w:p>
    <w:p w:rsidR="008959A4" w:rsidP="008959A4" w:rsidRDefault="008959A4" w14:paraId="2BDB3C8E" w14:textId="77777777">
      <w:pPr>
        <w:pStyle w:val="Standard"/>
        <w:rPr>
          <w:b/>
          <w:bCs/>
          <w:i/>
          <w:iCs/>
          <w:u w:val="single"/>
        </w:rPr>
      </w:pPr>
      <w:r>
        <w:rPr>
          <w:b/>
          <w:bCs/>
          <w:i/>
          <w:iCs/>
          <w:u w:val="single"/>
        </w:rPr>
        <w:t>Income Eligibility</w:t>
      </w:r>
      <w:r w:rsidRPr="000E485A">
        <w:rPr>
          <w:b/>
          <w:bCs/>
          <w:i/>
          <w:iCs/>
        </w:rPr>
        <w:t xml:space="preserve">: </w:t>
      </w:r>
      <w:r w:rsidRPr="00A95859">
        <w:rPr>
          <w:b/>
          <w:bCs/>
          <w:i/>
          <w:iCs/>
        </w:rPr>
        <w:t xml:space="preserve"> </w:t>
      </w:r>
      <w:r w:rsidRPr="0048026D">
        <w:t xml:space="preserve">PacifiCorp </w:t>
      </w:r>
      <w:r w:rsidRPr="0073161F">
        <w:t xml:space="preserve">proposes </w:t>
      </w:r>
      <w:r>
        <w:t>no changes.</w:t>
      </w:r>
    </w:p>
    <w:p w:rsidR="008959A4" w:rsidP="008959A4" w:rsidRDefault="008959A4" w14:paraId="14AEEDE1" w14:textId="77777777">
      <w:pPr>
        <w:pStyle w:val="Standard"/>
        <w:rPr>
          <w:b/>
          <w:bCs/>
          <w:i/>
          <w:iCs/>
          <w:u w:val="single"/>
        </w:rPr>
      </w:pPr>
      <w:r>
        <w:rPr>
          <w:b/>
          <w:bCs/>
          <w:i/>
          <w:iCs/>
          <w:u w:val="single"/>
        </w:rPr>
        <w:t>Enrollment</w:t>
      </w:r>
      <w:r w:rsidRPr="004565AF">
        <w:rPr>
          <w:b/>
          <w:bCs/>
          <w:i/>
          <w:iCs/>
          <w:u w:val="single"/>
        </w:rPr>
        <w:t xml:space="preserve"> </w:t>
      </w:r>
      <w:r>
        <w:rPr>
          <w:b/>
          <w:bCs/>
          <w:i/>
          <w:iCs/>
          <w:u w:val="single"/>
        </w:rPr>
        <w:t>Options and Recertifications</w:t>
      </w:r>
      <w:r w:rsidRPr="000E485A">
        <w:rPr>
          <w:b/>
          <w:bCs/>
          <w:i/>
          <w:iCs/>
        </w:rPr>
        <w:t xml:space="preserve">: </w:t>
      </w:r>
      <w:r w:rsidRPr="00A95859">
        <w:rPr>
          <w:b/>
          <w:bCs/>
          <w:i/>
          <w:iCs/>
        </w:rPr>
        <w:t xml:space="preserve"> </w:t>
      </w:r>
      <w:r w:rsidRPr="0048026D">
        <w:t xml:space="preserve">PacifiCorp </w:t>
      </w:r>
      <w:r w:rsidRPr="0073161F">
        <w:t xml:space="preserve">proposes </w:t>
      </w:r>
      <w:r>
        <w:t>no changes.</w:t>
      </w:r>
    </w:p>
    <w:p w:rsidR="008959A4" w:rsidP="008959A4" w:rsidRDefault="008959A4" w14:paraId="15E87F7F" w14:textId="77777777">
      <w:pPr>
        <w:pStyle w:val="Standard"/>
        <w:rPr>
          <w:b/>
          <w:bCs/>
          <w:i/>
          <w:iCs/>
          <w:u w:val="single"/>
        </w:rPr>
      </w:pPr>
      <w:r>
        <w:rPr>
          <w:b/>
          <w:bCs/>
          <w:i/>
          <w:iCs/>
          <w:u w:val="single"/>
        </w:rPr>
        <w:t>Categorical Eligibility</w:t>
      </w:r>
      <w:r w:rsidRPr="000E485A">
        <w:rPr>
          <w:b/>
          <w:bCs/>
          <w:i/>
          <w:iCs/>
        </w:rPr>
        <w:t>:</w:t>
      </w:r>
      <w:r w:rsidRPr="000E485A">
        <w:t xml:space="preserve"> </w:t>
      </w:r>
      <w:r>
        <w:t xml:space="preserve"> </w:t>
      </w:r>
      <w:r w:rsidRPr="0048026D">
        <w:t xml:space="preserve">PacifiCorp </w:t>
      </w:r>
      <w:r w:rsidRPr="0073161F">
        <w:t xml:space="preserve">proposes </w:t>
      </w:r>
      <w:r>
        <w:t>no changes.</w:t>
      </w:r>
    </w:p>
    <w:p w:rsidR="008959A4" w:rsidP="008959A4" w:rsidRDefault="008959A4" w14:paraId="136FEBCE" w14:textId="77777777">
      <w:pPr>
        <w:pStyle w:val="Standard"/>
        <w:rPr>
          <w:b/>
          <w:bCs/>
          <w:i/>
          <w:iCs/>
          <w:u w:val="single"/>
        </w:rPr>
      </w:pPr>
      <w:r>
        <w:rPr>
          <w:b/>
          <w:bCs/>
          <w:i/>
          <w:iCs/>
          <w:u w:val="single"/>
        </w:rPr>
        <w:t>Capitation Program</w:t>
      </w:r>
      <w:r w:rsidRPr="000E485A">
        <w:rPr>
          <w:b/>
          <w:bCs/>
          <w:i/>
          <w:iCs/>
        </w:rPr>
        <w:t>:</w:t>
      </w:r>
      <w:r w:rsidRPr="00611F68">
        <w:t xml:space="preserve"> </w:t>
      </w:r>
      <w:r>
        <w:t xml:space="preserve"> </w:t>
      </w:r>
      <w:r w:rsidRPr="0048026D">
        <w:t xml:space="preserve">PacifiCorp </w:t>
      </w:r>
      <w:r w:rsidRPr="0073161F">
        <w:t xml:space="preserve">proposes </w:t>
      </w:r>
      <w:r>
        <w:t>no changes.</w:t>
      </w:r>
    </w:p>
    <w:p w:rsidR="008959A4" w:rsidP="008959A4" w:rsidRDefault="008959A4" w14:paraId="47B5E7F2" w14:textId="77777777">
      <w:pPr>
        <w:pStyle w:val="Standard"/>
      </w:pPr>
      <w:r>
        <w:rPr>
          <w:b/>
          <w:bCs/>
          <w:i/>
          <w:iCs/>
          <w:u w:val="single"/>
        </w:rPr>
        <w:lastRenderedPageBreak/>
        <w:t>PEV:</w:t>
      </w:r>
      <w:r>
        <w:t xml:space="preserve">  PacifiCorp </w:t>
      </w:r>
      <w:r w:rsidRPr="00DF6C88">
        <w:t xml:space="preserve">proposes to </w:t>
      </w:r>
      <w:r w:rsidRPr="00524B8E">
        <w:t xml:space="preserve">change the </w:t>
      </w:r>
      <w:r>
        <w:t>HU</w:t>
      </w:r>
      <w:r w:rsidRPr="00D76D76">
        <w:t xml:space="preserve"> PEV</w:t>
      </w:r>
      <w:r w:rsidRPr="00524B8E">
        <w:t xml:space="preserve"> threshold </w:t>
      </w:r>
      <w:r w:rsidRPr="00D76D76">
        <w:t xml:space="preserve">from </w:t>
      </w:r>
      <w:r>
        <w:t>exceeding the</w:t>
      </w:r>
      <w:r w:rsidRPr="00D76D76">
        <w:t xml:space="preserve"> 400</w:t>
      </w:r>
      <w:r w:rsidRPr="00F2523C">
        <w:t xml:space="preserve"> </w:t>
      </w:r>
      <w:r>
        <w:t>percent</w:t>
      </w:r>
      <w:r w:rsidRPr="00D76D76">
        <w:t xml:space="preserve"> of baseline </w:t>
      </w:r>
      <w:r>
        <w:t xml:space="preserve">once </w:t>
      </w:r>
      <w:r w:rsidRPr="00D76D76">
        <w:t>in a 12</w:t>
      </w:r>
      <w:r>
        <w:t>-</w:t>
      </w:r>
      <w:r w:rsidRPr="00D76D76">
        <w:t>month period to three</w:t>
      </w:r>
      <w:r>
        <w:t xml:space="preserve"> times </w:t>
      </w:r>
      <w:r w:rsidRPr="00D76D76">
        <w:t>in a 12</w:t>
      </w:r>
      <w:r>
        <w:t>-</w:t>
      </w:r>
      <w:r w:rsidRPr="00D76D76">
        <w:t>month</w:t>
      </w:r>
      <w:r w:rsidRPr="00524B8E">
        <w:t xml:space="preserve"> </w:t>
      </w:r>
      <w:r w:rsidRPr="00E81550">
        <w:t>period.</w:t>
      </w:r>
      <w:r w:rsidRPr="00E81550">
        <w:rPr>
          <w:vertAlign w:val="superscript"/>
        </w:rPr>
        <w:footnoteReference w:id="39"/>
      </w:r>
      <w:r w:rsidRPr="00E81550">
        <w:t xml:space="preserve"> </w:t>
      </w:r>
      <w:r>
        <w:t xml:space="preserve"> For those</w:t>
      </w:r>
      <w:r w:rsidRPr="00E81550">
        <w:t xml:space="preserve"> customers exceeding the 400 percent threshold </w:t>
      </w:r>
      <w:r>
        <w:t xml:space="preserve">for </w:t>
      </w:r>
      <w:r w:rsidRPr="00E81550">
        <w:t>the first time</w:t>
      </w:r>
      <w:r>
        <w:t xml:space="preserve">, PacifiCorp will </w:t>
      </w:r>
      <w:r w:rsidRPr="00E81550">
        <w:t>provid</w:t>
      </w:r>
      <w:r>
        <w:t>e</w:t>
      </w:r>
      <w:r w:rsidRPr="00E81550">
        <w:t xml:space="preserve"> </w:t>
      </w:r>
      <w:r>
        <w:t xml:space="preserve">them with </w:t>
      </w:r>
      <w:r w:rsidRPr="00E81550">
        <w:t>program information and requirements</w:t>
      </w:r>
      <w:r>
        <w:t xml:space="preserve">, </w:t>
      </w:r>
      <w:r w:rsidRPr="00E81550">
        <w:t xml:space="preserve">encourage </w:t>
      </w:r>
      <w:r>
        <w:t>them to</w:t>
      </w:r>
      <w:r w:rsidRPr="00E81550">
        <w:t xml:space="preserve"> register their account online to track their usage</w:t>
      </w:r>
      <w:r>
        <w:t>,</w:t>
      </w:r>
      <w:r w:rsidRPr="00E81550">
        <w:t xml:space="preserve"> and </w:t>
      </w:r>
      <w:r>
        <w:t xml:space="preserve">encourage them </w:t>
      </w:r>
      <w:r w:rsidRPr="00E81550">
        <w:t>to utilize options for bill thresholds and alerts.</w:t>
      </w:r>
      <w:r>
        <w:t xml:space="preserve"> </w:t>
      </w:r>
      <w:r w:rsidRPr="00E81550">
        <w:t xml:space="preserve"> The </w:t>
      </w:r>
      <w:r>
        <w:t xml:space="preserve">HU </w:t>
      </w:r>
      <w:r w:rsidRPr="00E81550">
        <w:t xml:space="preserve">PEV process will commence once a customer reaches the third instance </w:t>
      </w:r>
      <w:r>
        <w:t xml:space="preserve">of exceeding the </w:t>
      </w:r>
      <w:r w:rsidRPr="00E81550">
        <w:t>400 percent baseline.</w:t>
      </w:r>
      <w:r>
        <w:t xml:space="preserve"> </w:t>
      </w:r>
      <w:r w:rsidRPr="00E81550">
        <w:t xml:space="preserve"> PacifiCorp expects this change will reduce the number of eligible CARE customer</w:t>
      </w:r>
      <w:r>
        <w:t>s</w:t>
      </w:r>
      <w:r w:rsidRPr="00E81550">
        <w:t xml:space="preserve"> that may be removed due to unusual circumstances causing high kWh usage, while allowing it to continue to verify eligibility for those with consistently high usage and removing non-eligible participants, ensuring that only qualified customers remain on the program.</w:t>
      </w:r>
      <w:r w:rsidRPr="00E81550">
        <w:rPr>
          <w:rStyle w:val="FootnoteReference"/>
        </w:rPr>
        <w:footnoteReference w:id="40"/>
      </w:r>
      <w:r>
        <w:t xml:space="preserve"> </w:t>
      </w:r>
    </w:p>
    <w:p w:rsidR="008959A4" w:rsidP="008959A4" w:rsidRDefault="008959A4" w14:paraId="28900BE7" w14:textId="77777777">
      <w:pPr>
        <w:pStyle w:val="Heading3"/>
      </w:pPr>
      <w:bookmarkStart w:name="_Toc82159666" w:id="69"/>
      <w:r>
        <w:t>Southwest Gas Proposal</w:t>
      </w:r>
      <w:bookmarkEnd w:id="69"/>
      <w:r>
        <w:t xml:space="preserve"> </w:t>
      </w:r>
    </w:p>
    <w:p w:rsidR="008959A4" w:rsidP="008959A4" w:rsidRDefault="008959A4" w14:paraId="3925605B" w14:textId="77777777">
      <w:pPr>
        <w:pStyle w:val="Standard"/>
        <w:rPr>
          <w:b/>
          <w:bCs/>
          <w:i/>
          <w:iCs/>
          <w:u w:val="single"/>
        </w:rPr>
      </w:pPr>
      <w:r>
        <w:rPr>
          <w:b/>
          <w:bCs/>
          <w:i/>
          <w:iCs/>
          <w:u w:val="single"/>
        </w:rPr>
        <w:t>Income Eligibility</w:t>
      </w:r>
      <w:r w:rsidRPr="00A95859">
        <w:rPr>
          <w:b/>
          <w:bCs/>
          <w:i/>
          <w:iCs/>
        </w:rPr>
        <w:t xml:space="preserve">: </w:t>
      </w:r>
      <w:r w:rsidRPr="002C783B">
        <w:t xml:space="preserve"> </w:t>
      </w:r>
      <w:r>
        <w:t>Southwest Gas</w:t>
      </w:r>
      <w:r w:rsidRPr="0048026D">
        <w:t xml:space="preserve"> </w:t>
      </w:r>
      <w:r w:rsidRPr="0073161F">
        <w:t xml:space="preserve">proposes </w:t>
      </w:r>
      <w:r>
        <w:t>no changes.</w:t>
      </w:r>
    </w:p>
    <w:p w:rsidRPr="00EC793C" w:rsidR="008959A4" w:rsidP="008959A4" w:rsidRDefault="008959A4" w14:paraId="69EE48D1" w14:textId="77777777">
      <w:pPr>
        <w:pStyle w:val="Standard"/>
        <w:tabs>
          <w:tab w:val="left" w:pos="5220"/>
        </w:tabs>
      </w:pPr>
      <w:r>
        <w:rPr>
          <w:b/>
          <w:bCs/>
          <w:i/>
          <w:iCs/>
          <w:u w:val="single"/>
        </w:rPr>
        <w:t>Enrollment</w:t>
      </w:r>
      <w:r w:rsidRPr="004565AF">
        <w:rPr>
          <w:b/>
          <w:bCs/>
          <w:i/>
          <w:iCs/>
          <w:u w:val="single"/>
        </w:rPr>
        <w:t xml:space="preserve"> </w:t>
      </w:r>
      <w:r>
        <w:rPr>
          <w:b/>
          <w:bCs/>
          <w:i/>
          <w:iCs/>
          <w:u w:val="single"/>
        </w:rPr>
        <w:t>Options and Recertifications</w:t>
      </w:r>
      <w:r w:rsidRPr="000E485A">
        <w:rPr>
          <w:b/>
          <w:bCs/>
          <w:i/>
          <w:iCs/>
        </w:rPr>
        <w:t>:</w:t>
      </w:r>
      <w:r w:rsidRPr="00A95859">
        <w:rPr>
          <w:b/>
          <w:bCs/>
          <w:i/>
          <w:iCs/>
        </w:rPr>
        <w:t xml:space="preserve">  </w:t>
      </w:r>
      <w:r>
        <w:t>Southwest Gas</w:t>
      </w:r>
      <w:r w:rsidRPr="0048026D">
        <w:t xml:space="preserve"> </w:t>
      </w:r>
      <w:r w:rsidRPr="0073161F">
        <w:t xml:space="preserve">proposes </w:t>
      </w:r>
      <w:r>
        <w:t xml:space="preserve">no changes to exiting policies, however </w:t>
      </w:r>
      <w:r w:rsidRPr="00EC793C">
        <w:t>Southwest Gas proposes to add “source code” fields to its web applications, consistent with its paper CARE program applications where these codes are used to track the source of enrollment, such as capitation efforts by external entities.</w:t>
      </w:r>
      <w:r>
        <w:t xml:space="preserve"> </w:t>
      </w:r>
      <w:r w:rsidRPr="00EC793C">
        <w:t xml:space="preserve"> Southwest Gas states that adding the source code field to its web application will help streamline efficiencies, reduce costs, decrease utilization of paper forms, and minimize time spent by local assistance agencies (Sierra Community House and Salvation Army) on enrollments through the capitation process.</w:t>
      </w:r>
      <w:r w:rsidRPr="00EC793C">
        <w:rPr>
          <w:vertAlign w:val="superscript"/>
        </w:rPr>
        <w:footnoteReference w:id="41"/>
      </w:r>
      <w:r w:rsidRPr="000A161E">
        <w:t xml:space="preserve"> </w:t>
      </w:r>
      <w:r>
        <w:t xml:space="preserve"> In addition to d</w:t>
      </w:r>
      <w:r w:rsidRPr="00E00A72">
        <w:t xml:space="preserve">irect mail and </w:t>
      </w:r>
      <w:r w:rsidRPr="00E00A72">
        <w:lastRenderedPageBreak/>
        <w:t>phone reminders</w:t>
      </w:r>
      <w:r>
        <w:t xml:space="preserve">, Southwest Gas </w:t>
      </w:r>
      <w:r w:rsidRPr="00E00A72">
        <w:t>proposes the use of email as an additional medium for recertification and maintaining</w:t>
      </w:r>
      <w:r>
        <w:t xml:space="preserve"> </w:t>
      </w:r>
      <w:r w:rsidRPr="00E00A72">
        <w:t>participant enrollment</w:t>
      </w:r>
      <w:r>
        <w:t>.</w:t>
      </w:r>
      <w:r>
        <w:rPr>
          <w:rStyle w:val="FootnoteReference"/>
        </w:rPr>
        <w:footnoteReference w:id="42"/>
      </w:r>
    </w:p>
    <w:p w:rsidR="008959A4" w:rsidP="008959A4" w:rsidRDefault="008959A4" w14:paraId="756C57E2" w14:textId="77777777">
      <w:pPr>
        <w:pStyle w:val="Standard"/>
      </w:pPr>
      <w:r>
        <w:rPr>
          <w:b/>
          <w:bCs/>
          <w:i/>
          <w:iCs/>
          <w:u w:val="single"/>
        </w:rPr>
        <w:t>Categorical Eligibility</w:t>
      </w:r>
      <w:r w:rsidRPr="000E485A">
        <w:rPr>
          <w:b/>
          <w:bCs/>
          <w:i/>
          <w:iCs/>
        </w:rPr>
        <w:t>:</w:t>
      </w:r>
      <w:r w:rsidRPr="000E485A">
        <w:t xml:space="preserve">  </w:t>
      </w:r>
      <w:r>
        <w:t xml:space="preserve">Southwest Gas </w:t>
      </w:r>
      <w:r w:rsidRPr="00426CC2">
        <w:t xml:space="preserve">proposes </w:t>
      </w:r>
      <w:r>
        <w:t xml:space="preserve">to implement </w:t>
      </w:r>
      <w:r w:rsidRPr="0013063E">
        <w:t xml:space="preserve">categorical eligibility enrollment for </w:t>
      </w:r>
      <w:r>
        <w:t>the</w:t>
      </w:r>
      <w:r w:rsidRPr="0013063E">
        <w:t xml:space="preserve"> CARE </w:t>
      </w:r>
      <w:r>
        <w:t>p</w:t>
      </w:r>
      <w:r w:rsidRPr="0013063E">
        <w:t>rogram</w:t>
      </w:r>
      <w:r>
        <w:t>, because this will offer</w:t>
      </w:r>
      <w:r w:rsidRPr="0013063E">
        <w:t xml:space="preserve"> administrative</w:t>
      </w:r>
      <w:r>
        <w:t xml:space="preserve"> </w:t>
      </w:r>
      <w:r w:rsidRPr="0013063E">
        <w:t>efficiencies</w:t>
      </w:r>
      <w:r>
        <w:t>, provide c</w:t>
      </w:r>
      <w:r w:rsidRPr="0013063E">
        <w:t>onsistency for Southwest Gas</w:t>
      </w:r>
      <w:r>
        <w:t>’</w:t>
      </w:r>
      <w:r w:rsidRPr="0013063E">
        <w:t xml:space="preserve"> customers in overlapping</w:t>
      </w:r>
      <w:r>
        <w:t xml:space="preserve"> </w:t>
      </w:r>
      <w:r w:rsidRPr="0013063E">
        <w:t>S</w:t>
      </w:r>
      <w:r>
        <w:t xml:space="preserve">outhern </w:t>
      </w:r>
      <w:r w:rsidRPr="0013063E">
        <w:t>C</w:t>
      </w:r>
      <w:r>
        <w:t xml:space="preserve">alifornia </w:t>
      </w:r>
      <w:r w:rsidRPr="0013063E">
        <w:t>E</w:t>
      </w:r>
      <w:r>
        <w:t xml:space="preserve">dison </w:t>
      </w:r>
      <w:r w:rsidRPr="0013063E">
        <w:t>service territories</w:t>
      </w:r>
      <w:r>
        <w:t xml:space="preserve">, and provide </w:t>
      </w:r>
      <w:r w:rsidRPr="0013063E">
        <w:t>customers with an additional option to streamline</w:t>
      </w:r>
      <w:r>
        <w:t xml:space="preserve"> </w:t>
      </w:r>
      <w:r w:rsidRPr="0013063E">
        <w:t xml:space="preserve">and ease the CARE </w:t>
      </w:r>
      <w:r>
        <w:t>p</w:t>
      </w:r>
      <w:r w:rsidRPr="0013063E">
        <w:t>rogram enrollment process.</w:t>
      </w:r>
      <w:r>
        <w:rPr>
          <w:rStyle w:val="FootnoteReference"/>
        </w:rPr>
        <w:footnoteReference w:id="43"/>
      </w:r>
      <w:r w:rsidRPr="002B692E">
        <w:t xml:space="preserve"> </w:t>
      </w:r>
      <w:r>
        <w:t xml:space="preserve"> </w:t>
      </w:r>
      <w:r w:rsidRPr="0013063E">
        <w:t>Southwest Gas</w:t>
      </w:r>
      <w:r>
        <w:t xml:space="preserve"> proposes </w:t>
      </w:r>
      <w:r w:rsidRPr="0013063E">
        <w:t>incorporat</w:t>
      </w:r>
      <w:r>
        <w:t>ing</w:t>
      </w:r>
      <w:r w:rsidRPr="0013063E">
        <w:t xml:space="preserve"> the most</w:t>
      </w:r>
      <w:r>
        <w:t xml:space="preserve"> </w:t>
      </w:r>
      <w:r w:rsidRPr="0013063E">
        <w:t xml:space="preserve">appropriate and beneficial categories as determined by the Commission for the large </w:t>
      </w:r>
      <w:r>
        <w:t>IOUs</w:t>
      </w:r>
      <w:r w:rsidRPr="0013063E">
        <w:t>.</w:t>
      </w:r>
      <w:r>
        <w:t xml:space="preserve">  Lastly, Southwest Gas states that allowing for categorical enrollment is also </w:t>
      </w:r>
      <w:r w:rsidRPr="0013063E">
        <w:t>consistent with the 2016 LINA Study</w:t>
      </w:r>
      <w:r>
        <w:t xml:space="preserve"> which</w:t>
      </w:r>
      <w:r w:rsidRPr="0013063E">
        <w:t xml:space="preserve"> concluded that the large </w:t>
      </w:r>
      <w:r>
        <w:t>IOUs’</w:t>
      </w:r>
      <w:r w:rsidRPr="0013063E">
        <w:t xml:space="preserve"> CARE </w:t>
      </w:r>
      <w:r>
        <w:t>pr</w:t>
      </w:r>
      <w:r w:rsidRPr="0013063E">
        <w:t>ogram income verification processes were in</w:t>
      </w:r>
      <w:r>
        <w:t xml:space="preserve"> </w:t>
      </w:r>
      <w:r w:rsidRPr="0013063E">
        <w:t>line with and, in some cases, go above and beyond other programs</w:t>
      </w:r>
      <w:r>
        <w:t>’</w:t>
      </w:r>
      <w:r w:rsidRPr="0013063E">
        <w:t xml:space="preserve"> processes.</w:t>
      </w:r>
      <w:r>
        <w:rPr>
          <w:rStyle w:val="FootnoteReference"/>
        </w:rPr>
        <w:footnoteReference w:id="44"/>
      </w:r>
      <w:r w:rsidRPr="002B692E">
        <w:t xml:space="preserve"> </w:t>
      </w:r>
    </w:p>
    <w:p w:rsidR="008959A4" w:rsidP="008959A4" w:rsidRDefault="008959A4" w14:paraId="587470C3" w14:textId="77777777">
      <w:pPr>
        <w:pStyle w:val="Standard"/>
        <w:rPr>
          <w:b/>
          <w:bCs/>
          <w:i/>
          <w:iCs/>
          <w:u w:val="single"/>
        </w:rPr>
      </w:pPr>
      <w:r>
        <w:rPr>
          <w:b/>
          <w:bCs/>
          <w:i/>
          <w:iCs/>
          <w:u w:val="single"/>
        </w:rPr>
        <w:t>Capitation Program</w:t>
      </w:r>
      <w:r w:rsidRPr="00E40ABA">
        <w:rPr>
          <w:b/>
          <w:bCs/>
          <w:i/>
          <w:iCs/>
        </w:rPr>
        <w:t>:</w:t>
      </w:r>
      <w:r w:rsidRPr="00E40ABA">
        <w:t xml:space="preserve"> </w:t>
      </w:r>
      <w:r>
        <w:t xml:space="preserve"> Southwest Gas</w:t>
      </w:r>
      <w:r w:rsidRPr="0048026D">
        <w:t xml:space="preserve"> </w:t>
      </w:r>
      <w:r w:rsidRPr="0073161F">
        <w:t xml:space="preserve">proposes </w:t>
      </w:r>
      <w:r>
        <w:t>no changes.</w:t>
      </w:r>
    </w:p>
    <w:p w:rsidR="008959A4" w:rsidP="008959A4" w:rsidRDefault="008959A4" w14:paraId="0616C5D4" w14:textId="77777777">
      <w:pPr>
        <w:pStyle w:val="Standard"/>
      </w:pPr>
      <w:r>
        <w:rPr>
          <w:b/>
          <w:bCs/>
          <w:i/>
          <w:iCs/>
          <w:u w:val="single"/>
        </w:rPr>
        <w:t>PEV</w:t>
      </w:r>
      <w:r w:rsidRPr="00E40ABA">
        <w:rPr>
          <w:b/>
          <w:bCs/>
          <w:i/>
          <w:iCs/>
        </w:rPr>
        <w:t>:</w:t>
      </w:r>
      <w:r w:rsidRPr="00E40ABA">
        <w:t xml:space="preserve">  </w:t>
      </w:r>
      <w:r>
        <w:t>Southwest Gas</w:t>
      </w:r>
      <w:r w:rsidRPr="0073161F">
        <w:t xml:space="preserve"> proposes </w:t>
      </w:r>
      <w:r>
        <w:t>no changes.</w:t>
      </w:r>
    </w:p>
    <w:p w:rsidR="008959A4" w:rsidP="008959A4" w:rsidRDefault="008959A4" w14:paraId="32B01974" w14:textId="77777777">
      <w:pPr>
        <w:pStyle w:val="Heading3"/>
      </w:pPr>
      <w:bookmarkStart w:name="_Toc82159667" w:id="70"/>
      <w:r>
        <w:t>West Coast Gas Proposal</w:t>
      </w:r>
      <w:bookmarkEnd w:id="70"/>
      <w:r>
        <w:t xml:space="preserve"> </w:t>
      </w:r>
    </w:p>
    <w:p w:rsidR="008959A4" w:rsidP="008959A4" w:rsidRDefault="008959A4" w14:paraId="28CD3CE7" w14:textId="77777777">
      <w:pPr>
        <w:pStyle w:val="Standard"/>
      </w:pPr>
      <w:r>
        <w:rPr>
          <w:b/>
          <w:bCs/>
          <w:i/>
          <w:iCs/>
          <w:u w:val="single"/>
        </w:rPr>
        <w:t xml:space="preserve">Income </w:t>
      </w:r>
      <w:r w:rsidRPr="00794ADD">
        <w:rPr>
          <w:b/>
          <w:bCs/>
          <w:i/>
          <w:iCs/>
          <w:u w:val="single"/>
        </w:rPr>
        <w:t>Eligibility</w:t>
      </w:r>
      <w:r>
        <w:t xml:space="preserve">: </w:t>
      </w:r>
      <w:r w:rsidRPr="00794ADD">
        <w:t xml:space="preserve"> </w:t>
      </w:r>
      <w:r>
        <w:t>West Coast</w:t>
      </w:r>
      <w:r w:rsidRPr="0073161F">
        <w:t xml:space="preserve"> </w:t>
      </w:r>
      <w:r>
        <w:t xml:space="preserve">Gas </w:t>
      </w:r>
      <w:r w:rsidRPr="0073161F">
        <w:t xml:space="preserve">proposes </w:t>
      </w:r>
      <w:r>
        <w:t>no changes.</w:t>
      </w:r>
    </w:p>
    <w:p w:rsidR="008959A4" w:rsidP="008959A4" w:rsidRDefault="008959A4" w14:paraId="64A62183" w14:textId="77777777">
      <w:pPr>
        <w:pStyle w:val="Standard"/>
      </w:pPr>
      <w:r w:rsidRPr="00794ADD">
        <w:rPr>
          <w:b/>
          <w:bCs/>
          <w:i/>
          <w:iCs/>
          <w:u w:val="single"/>
        </w:rPr>
        <w:t>Enrollment</w:t>
      </w:r>
      <w:r w:rsidRPr="007E07F6">
        <w:rPr>
          <w:b/>
          <w:bCs/>
          <w:i/>
          <w:iCs/>
          <w:u w:val="single"/>
        </w:rPr>
        <w:t xml:space="preserve"> </w:t>
      </w:r>
      <w:r>
        <w:rPr>
          <w:b/>
          <w:bCs/>
          <w:i/>
          <w:iCs/>
          <w:u w:val="single"/>
        </w:rPr>
        <w:t>Options and Recertifications</w:t>
      </w:r>
      <w:r>
        <w:t>:  West Coast</w:t>
      </w:r>
      <w:r w:rsidRPr="0073161F">
        <w:t xml:space="preserve"> </w:t>
      </w:r>
      <w:r>
        <w:t xml:space="preserve">Gas </w:t>
      </w:r>
      <w:r w:rsidRPr="0073161F">
        <w:t xml:space="preserve">proposes </w:t>
      </w:r>
      <w:r>
        <w:t xml:space="preserve">no changes. </w:t>
      </w:r>
    </w:p>
    <w:p w:rsidR="008959A4" w:rsidP="008959A4" w:rsidRDefault="008959A4" w14:paraId="54609640" w14:textId="77777777">
      <w:pPr>
        <w:pStyle w:val="Standard"/>
        <w:rPr>
          <w:b/>
          <w:bCs/>
          <w:i/>
          <w:iCs/>
          <w:u w:val="single"/>
        </w:rPr>
      </w:pPr>
      <w:r>
        <w:rPr>
          <w:b/>
          <w:bCs/>
          <w:i/>
          <w:iCs/>
          <w:u w:val="single"/>
        </w:rPr>
        <w:t>Categorical Eligibility</w:t>
      </w:r>
      <w:r w:rsidRPr="00E40ABA">
        <w:rPr>
          <w:b/>
          <w:bCs/>
          <w:i/>
          <w:iCs/>
        </w:rPr>
        <w:t>:</w:t>
      </w:r>
      <w:r w:rsidRPr="002167A8">
        <w:t xml:space="preserve"> </w:t>
      </w:r>
      <w:r>
        <w:t xml:space="preserve"> West Coast</w:t>
      </w:r>
      <w:r w:rsidRPr="0073161F">
        <w:t xml:space="preserve"> </w:t>
      </w:r>
      <w:r>
        <w:t xml:space="preserve">Gas </w:t>
      </w:r>
      <w:r w:rsidRPr="0073161F">
        <w:t xml:space="preserve">proposes </w:t>
      </w:r>
      <w:r>
        <w:t>no changes.</w:t>
      </w:r>
    </w:p>
    <w:p w:rsidR="008959A4" w:rsidP="008959A4" w:rsidRDefault="008959A4" w14:paraId="1870F22A" w14:textId="77777777">
      <w:pPr>
        <w:pStyle w:val="Standard"/>
        <w:rPr>
          <w:b/>
          <w:bCs/>
          <w:i/>
          <w:iCs/>
          <w:u w:val="single"/>
        </w:rPr>
      </w:pPr>
      <w:r>
        <w:rPr>
          <w:b/>
          <w:bCs/>
          <w:i/>
          <w:iCs/>
          <w:u w:val="single"/>
        </w:rPr>
        <w:t>Capitation Program</w:t>
      </w:r>
      <w:r w:rsidRPr="000E485A">
        <w:rPr>
          <w:b/>
          <w:bCs/>
          <w:i/>
          <w:iCs/>
        </w:rPr>
        <w:t>:</w:t>
      </w:r>
      <w:r w:rsidRPr="000E485A">
        <w:t xml:space="preserve"> </w:t>
      </w:r>
      <w:r>
        <w:t xml:space="preserve"> West Coast</w:t>
      </w:r>
      <w:r w:rsidRPr="0073161F">
        <w:t xml:space="preserve"> </w:t>
      </w:r>
      <w:r>
        <w:t xml:space="preserve">Gas </w:t>
      </w:r>
      <w:r w:rsidRPr="0073161F">
        <w:t xml:space="preserve">proposes </w:t>
      </w:r>
      <w:r>
        <w:t>no changes.</w:t>
      </w:r>
    </w:p>
    <w:p w:rsidR="008959A4" w:rsidP="008959A4" w:rsidRDefault="008959A4" w14:paraId="4006F1BA" w14:textId="77777777">
      <w:pPr>
        <w:pStyle w:val="Standard"/>
      </w:pPr>
      <w:r>
        <w:rPr>
          <w:b/>
          <w:bCs/>
          <w:i/>
          <w:iCs/>
          <w:u w:val="single"/>
        </w:rPr>
        <w:t>PEV</w:t>
      </w:r>
      <w:r w:rsidRPr="00794ADD">
        <w:t>:</w:t>
      </w:r>
      <w:r>
        <w:t xml:space="preserve">  West Coast</w:t>
      </w:r>
      <w:r w:rsidRPr="0073161F">
        <w:t xml:space="preserve"> </w:t>
      </w:r>
      <w:r>
        <w:t xml:space="preserve">Gas </w:t>
      </w:r>
      <w:r w:rsidRPr="0073161F">
        <w:t xml:space="preserve">proposes </w:t>
      </w:r>
      <w:r>
        <w:t>no changes.</w:t>
      </w:r>
    </w:p>
    <w:p w:rsidR="008959A4" w:rsidP="008959A4" w:rsidRDefault="008959A4" w14:paraId="65743673" w14:textId="77777777">
      <w:pPr>
        <w:pStyle w:val="Heading3"/>
      </w:pPr>
      <w:bookmarkStart w:name="_Toc82159668" w:id="71"/>
      <w:r>
        <w:lastRenderedPageBreak/>
        <w:t>Party Comments</w:t>
      </w:r>
      <w:bookmarkEnd w:id="71"/>
      <w:r>
        <w:t xml:space="preserve"> </w:t>
      </w:r>
    </w:p>
    <w:p w:rsidRPr="00F159B1" w:rsidR="008959A4" w:rsidP="008959A4" w:rsidRDefault="008959A4" w14:paraId="3659B75D" w14:textId="77777777">
      <w:pPr>
        <w:pStyle w:val="Heading4"/>
        <w:ind w:left="3600" w:hanging="1260"/>
      </w:pPr>
      <w:bookmarkStart w:name="_Toc82159669" w:id="72"/>
      <w:r w:rsidRPr="00F159B1">
        <w:t>Cal Advocates</w:t>
      </w:r>
      <w:bookmarkEnd w:id="72"/>
    </w:p>
    <w:p w:rsidRPr="0047564F" w:rsidR="008959A4" w:rsidP="008959A4" w:rsidRDefault="008959A4" w14:paraId="2ADC3F9B" w14:textId="77777777">
      <w:pPr>
        <w:pStyle w:val="Standard"/>
      </w:pPr>
      <w:r>
        <w:rPr>
          <w:b/>
          <w:bCs/>
          <w:i/>
          <w:iCs/>
          <w:u w:val="single"/>
        </w:rPr>
        <w:t>Categorial Eligibility</w:t>
      </w:r>
      <w:r w:rsidRPr="00E40ABA">
        <w:rPr>
          <w:b/>
          <w:bCs/>
          <w:i/>
          <w:iCs/>
        </w:rPr>
        <w:t xml:space="preserve">:  </w:t>
      </w:r>
      <w:r>
        <w:t>Although Cal Advocates only propose the implementation of c</w:t>
      </w:r>
      <w:r w:rsidRPr="009205C0">
        <w:t>ategorical</w:t>
      </w:r>
      <w:r>
        <w:t xml:space="preserve"> e</w:t>
      </w:r>
      <w:r w:rsidRPr="009205C0">
        <w:t>ligibilit</w:t>
      </w:r>
      <w:r>
        <w:t>y for the ESA program (</w:t>
      </w:r>
      <w:r w:rsidRPr="00AA01E3">
        <w:rPr>
          <w:i/>
          <w:iCs/>
        </w:rPr>
        <w:t>see</w:t>
      </w:r>
      <w:r>
        <w:t xml:space="preserve"> Section 5.2.7.1), the SMJUs jointly responded to this proposal and support extending it to the CARE program.</w:t>
      </w:r>
    </w:p>
    <w:p w:rsidR="008959A4" w:rsidP="008959A4" w:rsidRDefault="008959A4" w14:paraId="5E80E876" w14:textId="77777777">
      <w:pPr>
        <w:pStyle w:val="Heading4"/>
        <w:ind w:left="3600" w:hanging="1260"/>
      </w:pPr>
      <w:bookmarkStart w:name="_Toc82159670" w:id="73"/>
      <w:r>
        <w:t>EEC and Free Energy</w:t>
      </w:r>
      <w:bookmarkEnd w:id="73"/>
      <w:r>
        <w:t xml:space="preserve"> </w:t>
      </w:r>
    </w:p>
    <w:p w:rsidRPr="00AC7F98" w:rsidR="008959A4" w:rsidP="008959A4" w:rsidRDefault="008959A4" w14:paraId="1262D7D4" w14:textId="77777777">
      <w:pPr>
        <w:pStyle w:val="Standard"/>
      </w:pPr>
      <w:r>
        <w:rPr>
          <w:b/>
          <w:bCs/>
          <w:i/>
          <w:iCs/>
          <w:u w:val="single"/>
        </w:rPr>
        <w:t>Categorical Eligibility</w:t>
      </w:r>
      <w:r w:rsidRPr="00E40ABA">
        <w:rPr>
          <w:b/>
          <w:bCs/>
          <w:i/>
          <w:iCs/>
        </w:rPr>
        <w:t xml:space="preserve">: </w:t>
      </w:r>
      <w:r>
        <w:t xml:space="preserve"> EEC and Free Energy support the implementation of </w:t>
      </w:r>
      <w:r w:rsidRPr="0013063E">
        <w:t xml:space="preserve">categorical eligibility enrollment for </w:t>
      </w:r>
      <w:r>
        <w:t>the</w:t>
      </w:r>
      <w:r w:rsidRPr="0013063E">
        <w:t xml:space="preserve"> CARE </w:t>
      </w:r>
      <w:r>
        <w:t>p</w:t>
      </w:r>
      <w:r w:rsidRPr="0013063E">
        <w:t>rogram</w:t>
      </w:r>
      <w:r>
        <w:t xml:space="preserve"> because this will align </w:t>
      </w:r>
      <w:r w:rsidRPr="00E557E9">
        <w:t>SMJU</w:t>
      </w:r>
      <w:r>
        <w:t xml:space="preserve"> </w:t>
      </w:r>
      <w:r w:rsidRPr="00E557E9">
        <w:t xml:space="preserve">eligibility procedures with the </w:t>
      </w:r>
      <w:r>
        <w:t xml:space="preserve">large </w:t>
      </w:r>
      <w:r w:rsidRPr="00E557E9">
        <w:t>IOUs</w:t>
      </w:r>
      <w:r w:rsidRPr="00662EBB">
        <w:t>.</w:t>
      </w:r>
      <w:r>
        <w:rPr>
          <w:rStyle w:val="FootnoteReference"/>
        </w:rPr>
        <w:footnoteReference w:id="45"/>
      </w:r>
      <w:r w:rsidRPr="00F638A8">
        <w:t xml:space="preserve"> </w:t>
      </w:r>
      <w:r>
        <w:t xml:space="preserve"> </w:t>
      </w:r>
      <w:r w:rsidRPr="00C50613">
        <w:t xml:space="preserve">EEC and </w:t>
      </w:r>
      <w:r>
        <w:t>Free Energy</w:t>
      </w:r>
      <w:r w:rsidRPr="00144135">
        <w:t xml:space="preserve"> </w:t>
      </w:r>
      <w:r>
        <w:t xml:space="preserve">go further to recommend </w:t>
      </w:r>
      <w:r w:rsidRPr="00144135">
        <w:t xml:space="preserve">extending </w:t>
      </w:r>
      <w:r>
        <w:t>c</w:t>
      </w:r>
      <w:r w:rsidRPr="00144135">
        <w:t>ategorical</w:t>
      </w:r>
      <w:r>
        <w:t xml:space="preserve"> </w:t>
      </w:r>
      <w:r w:rsidRPr="00144135">
        <w:t xml:space="preserve">approvals to all residences of </w:t>
      </w:r>
      <w:r>
        <w:t>d</w:t>
      </w:r>
      <w:r w:rsidRPr="00144135">
        <w:t>isadvantaged</w:t>
      </w:r>
      <w:r>
        <w:t xml:space="preserve"> c</w:t>
      </w:r>
      <w:r w:rsidRPr="00144135">
        <w:t xml:space="preserve">ommunities </w:t>
      </w:r>
      <w:r>
        <w:t xml:space="preserve">(DACs) along with the lowest 10 percent to 20 percent of the socioeconomic vulnerability index, or SEVI </w:t>
      </w:r>
      <w:r w:rsidRPr="00144135">
        <w:t>communities</w:t>
      </w:r>
      <w:r>
        <w:t>.</w:t>
      </w:r>
      <w:r>
        <w:rPr>
          <w:rStyle w:val="FootnoteReference"/>
        </w:rPr>
        <w:footnoteReference w:id="46"/>
      </w:r>
    </w:p>
    <w:p w:rsidR="008959A4" w:rsidP="008959A4" w:rsidRDefault="008959A4" w14:paraId="74FE9523" w14:textId="77777777">
      <w:pPr>
        <w:pStyle w:val="Standard"/>
      </w:pPr>
      <w:r>
        <w:rPr>
          <w:b/>
          <w:bCs/>
          <w:i/>
          <w:iCs/>
          <w:u w:val="single"/>
        </w:rPr>
        <w:t>Capitation Program</w:t>
      </w:r>
      <w:r>
        <w:t xml:space="preserve">:  EEC and Free Energy state that the current capitation fees are </w:t>
      </w:r>
      <w:r w:rsidRPr="00F3268F">
        <w:t>unlikely to be significantly greater than $20</w:t>
      </w:r>
      <w:r>
        <w:t xml:space="preserve"> and propose a reimbursement </w:t>
      </w:r>
      <w:r w:rsidRPr="00F3268F">
        <w:t>fee of $100 for a new CARE customer.</w:t>
      </w:r>
      <w:r>
        <w:rPr>
          <w:rStyle w:val="FootnoteReference"/>
        </w:rPr>
        <w:footnoteReference w:id="47"/>
      </w:r>
    </w:p>
    <w:p w:rsidR="008959A4" w:rsidP="008959A4" w:rsidRDefault="008959A4" w14:paraId="65AC5799" w14:textId="77777777">
      <w:pPr>
        <w:pStyle w:val="Heading3"/>
      </w:pPr>
      <w:bookmarkStart w:name="_Toc82159671" w:id="74"/>
      <w:r>
        <w:t>SMJU Responses</w:t>
      </w:r>
      <w:bookmarkEnd w:id="74"/>
    </w:p>
    <w:p w:rsidR="008959A4" w:rsidP="008959A4" w:rsidRDefault="008959A4" w14:paraId="1FA97A67" w14:textId="77777777">
      <w:pPr>
        <w:pStyle w:val="Heading4"/>
      </w:pPr>
      <w:bookmarkStart w:name="_Toc82159672" w:id="75"/>
      <w:r>
        <w:t>Southwest Gas</w:t>
      </w:r>
      <w:r w:rsidRPr="00D03E26">
        <w:t>, P</w:t>
      </w:r>
      <w:r>
        <w:t>acifiCorp</w:t>
      </w:r>
      <w:r w:rsidRPr="00D03E26">
        <w:t>, L</w:t>
      </w:r>
      <w:r>
        <w:t>iberty</w:t>
      </w:r>
      <w:r w:rsidRPr="00D03E26">
        <w:t xml:space="preserve">, </w:t>
      </w:r>
      <w:r>
        <w:br/>
      </w:r>
      <w:r w:rsidRPr="00D03E26">
        <w:t>B</w:t>
      </w:r>
      <w:r>
        <w:t>ear Valley (Joint SMJU) Response</w:t>
      </w:r>
      <w:bookmarkEnd w:id="75"/>
    </w:p>
    <w:p w:rsidR="008959A4" w:rsidP="008959A4" w:rsidRDefault="008959A4" w14:paraId="43C97186" w14:textId="77777777">
      <w:pPr>
        <w:pStyle w:val="Standard"/>
      </w:pPr>
      <w:r w:rsidRPr="00662CEE">
        <w:rPr>
          <w:b/>
          <w:bCs/>
          <w:i/>
          <w:iCs/>
          <w:u w:val="single"/>
        </w:rPr>
        <w:t>Categorical Eligibility</w:t>
      </w:r>
      <w:r w:rsidRPr="000E485A">
        <w:rPr>
          <w:b/>
          <w:bCs/>
          <w:i/>
          <w:iCs/>
        </w:rPr>
        <w:t>:</w:t>
      </w:r>
      <w:r w:rsidRPr="00662CEE">
        <w:t xml:space="preserve"> </w:t>
      </w:r>
      <w:r>
        <w:t xml:space="preserve"> </w:t>
      </w:r>
      <w:r w:rsidRPr="00662CEE">
        <w:t xml:space="preserve">The </w:t>
      </w:r>
      <w:r>
        <w:t xml:space="preserve">Joint </w:t>
      </w:r>
      <w:r w:rsidRPr="00662CEE">
        <w:t xml:space="preserve">SMJUs support Cal Advocates’ proposal to implement categorical eligibility </w:t>
      </w:r>
      <w:r>
        <w:t xml:space="preserve">so long as the </w:t>
      </w:r>
      <w:r w:rsidRPr="004733E5">
        <w:t>assistance programs eligible for use with categorical</w:t>
      </w:r>
      <w:r>
        <w:t xml:space="preserve"> </w:t>
      </w:r>
      <w:r w:rsidRPr="004733E5">
        <w:t xml:space="preserve">enrollment </w:t>
      </w:r>
      <w:r>
        <w:t>are</w:t>
      </w:r>
      <w:r w:rsidRPr="004733E5">
        <w:t xml:space="preserve"> consistent with the categories currently used by the </w:t>
      </w:r>
      <w:r>
        <w:t>l</w:t>
      </w:r>
      <w:r w:rsidRPr="004733E5">
        <w:t>arge</w:t>
      </w:r>
      <w:r>
        <w:t xml:space="preserve"> </w:t>
      </w:r>
      <w:r w:rsidRPr="004733E5">
        <w:t>IOUs,</w:t>
      </w:r>
      <w:r>
        <w:t xml:space="preserve"> and </w:t>
      </w:r>
      <w:r w:rsidRPr="004733E5">
        <w:t xml:space="preserve">that categorical eligibility </w:t>
      </w:r>
      <w:r>
        <w:t xml:space="preserve">be </w:t>
      </w:r>
      <w:r w:rsidRPr="004733E5">
        <w:t xml:space="preserve">permitted for </w:t>
      </w:r>
      <w:r>
        <w:t xml:space="preserve">both the CARE and ESA programs. </w:t>
      </w:r>
      <w:r w:rsidRPr="00612DB2">
        <w:t xml:space="preserve">The </w:t>
      </w:r>
      <w:r>
        <w:t xml:space="preserve">Joint </w:t>
      </w:r>
      <w:r w:rsidRPr="00612DB2">
        <w:t>SMJUs also support Cal</w:t>
      </w:r>
      <w:r>
        <w:t xml:space="preserve"> Advocates’ </w:t>
      </w:r>
      <w:r>
        <w:lastRenderedPageBreak/>
        <w:t>r</w:t>
      </w:r>
      <w:r w:rsidRPr="00612DB2">
        <w:t xml:space="preserve">ecommendation </w:t>
      </w:r>
      <w:r>
        <w:t xml:space="preserve">to </w:t>
      </w:r>
      <w:r w:rsidRPr="00612DB2">
        <w:t>publish information regarding categorical eligibility on program resources, such as</w:t>
      </w:r>
      <w:r>
        <w:t xml:space="preserve"> </w:t>
      </w:r>
      <w:r w:rsidRPr="00612DB2">
        <w:t>websites and distribution material, to inform customers of the alternative eligibility</w:t>
      </w:r>
      <w:r>
        <w:t xml:space="preserve"> </w:t>
      </w:r>
      <w:r w:rsidRPr="00612DB2">
        <w:t>basis</w:t>
      </w:r>
      <w:r>
        <w:t xml:space="preserve">, </w:t>
      </w:r>
      <w:r w:rsidRPr="00BF34AE">
        <w:t>as well as provide necessary training to their staff and</w:t>
      </w:r>
      <w:r>
        <w:t xml:space="preserve"> </w:t>
      </w:r>
      <w:r w:rsidRPr="00BF34AE">
        <w:t>contractors</w:t>
      </w:r>
      <w:r>
        <w:t>.</w:t>
      </w:r>
      <w:r>
        <w:rPr>
          <w:rStyle w:val="FootnoteReference"/>
        </w:rPr>
        <w:footnoteReference w:id="48"/>
      </w:r>
      <w:r>
        <w:t xml:space="preserve">  H</w:t>
      </w:r>
      <w:r w:rsidRPr="00BF34AE">
        <w:t xml:space="preserve">owever, </w:t>
      </w:r>
      <w:r>
        <w:t xml:space="preserve">the Joint SMJUs </w:t>
      </w:r>
      <w:r w:rsidRPr="00BF34AE">
        <w:t>oppose Cal Advocates’ proposed reporting</w:t>
      </w:r>
      <w:r>
        <w:t xml:space="preserve"> </w:t>
      </w:r>
      <w:r w:rsidRPr="00BF34AE">
        <w:t>requirement on categorical eligibility enrollment claiming resource limitations and</w:t>
      </w:r>
      <w:r>
        <w:t xml:space="preserve"> </w:t>
      </w:r>
      <w:r w:rsidRPr="00BF34AE">
        <w:t>technical difficulties</w:t>
      </w:r>
      <w:r>
        <w:t>.</w:t>
      </w:r>
    </w:p>
    <w:p w:rsidR="008959A4" w:rsidP="008959A4" w:rsidRDefault="008959A4" w14:paraId="2214ECAF" w14:textId="77777777">
      <w:pPr>
        <w:pStyle w:val="Heading4"/>
        <w:ind w:left="3600" w:hanging="1260"/>
      </w:pPr>
      <w:bookmarkStart w:name="_Toc82159673" w:id="76"/>
      <w:r>
        <w:t>P</w:t>
      </w:r>
      <w:r w:rsidRPr="0099449C">
        <w:t>acifiCorp</w:t>
      </w:r>
      <w:r>
        <w:t xml:space="preserve"> Response</w:t>
      </w:r>
      <w:bookmarkEnd w:id="76"/>
    </w:p>
    <w:p w:rsidR="008959A4" w:rsidP="008959A4" w:rsidRDefault="008959A4" w14:paraId="17C8C899" w14:textId="77777777">
      <w:pPr>
        <w:pStyle w:val="Standard"/>
      </w:pPr>
      <w:r>
        <w:rPr>
          <w:b/>
          <w:bCs/>
          <w:i/>
          <w:iCs/>
          <w:u w:val="single"/>
        </w:rPr>
        <w:t>Capitation Program</w:t>
      </w:r>
      <w:r>
        <w:t>:</w:t>
      </w:r>
      <w:r w:rsidRPr="00922CDC">
        <w:t xml:space="preserve"> </w:t>
      </w:r>
      <w:r>
        <w:t xml:space="preserve"> PacifiCorp takes issue with </w:t>
      </w:r>
      <w:r w:rsidRPr="00C43B6D">
        <w:t xml:space="preserve">EEC </w:t>
      </w:r>
      <w:r>
        <w:t>and Free Energy’s pro</w:t>
      </w:r>
      <w:r w:rsidRPr="00C43B6D">
        <w:t>pos</w:t>
      </w:r>
      <w:r>
        <w:t>al</w:t>
      </w:r>
      <w:r w:rsidRPr="00C43B6D">
        <w:t xml:space="preserve"> </w:t>
      </w:r>
      <w:r>
        <w:t>in its Opening Brief to</w:t>
      </w:r>
      <w:r w:rsidRPr="00C43B6D">
        <w:t xml:space="preserve"> </w:t>
      </w:r>
      <w:r>
        <w:t xml:space="preserve">introduce a new </w:t>
      </w:r>
      <w:r w:rsidRPr="00C43B6D">
        <w:t xml:space="preserve">capitation fee </w:t>
      </w:r>
      <w:r>
        <w:t>proposal wh</w:t>
      </w:r>
      <w:r w:rsidRPr="00742901">
        <w:t xml:space="preserve">ich </w:t>
      </w:r>
      <w:r>
        <w:t>was</w:t>
      </w:r>
      <w:r w:rsidRPr="00742901">
        <w:t xml:space="preserve"> not properly supported by testimony or evidence in the record</w:t>
      </w:r>
      <w:r>
        <w:t>.  Regardless of this due process issue, PacifiCorp</w:t>
      </w:r>
      <w:r w:rsidRPr="00C43B6D">
        <w:t xml:space="preserve"> </w:t>
      </w:r>
      <w:r>
        <w:t xml:space="preserve">states that this recommendation should be </w:t>
      </w:r>
      <w:r w:rsidRPr="00C43B6D">
        <w:t xml:space="preserve">rejected </w:t>
      </w:r>
      <w:r>
        <w:t xml:space="preserve">because 1) </w:t>
      </w:r>
      <w:r w:rsidRPr="00C43B6D">
        <w:t>there is no</w:t>
      </w:r>
      <w:r>
        <w:t xml:space="preserve"> </w:t>
      </w:r>
      <w:r w:rsidRPr="00C43B6D">
        <w:t>evidence supporting a need to increase the capitation fee other than the unsupported assertions</w:t>
      </w:r>
      <w:r>
        <w:t xml:space="preserve"> </w:t>
      </w:r>
      <w:r w:rsidRPr="00C43B6D">
        <w:t>and assumptions in EEC</w:t>
      </w:r>
      <w:r>
        <w:t xml:space="preserve"> and Free Energy</w:t>
      </w:r>
      <w:r w:rsidRPr="00C43B6D">
        <w:t>’s Opening Brief that the fee is “far too low” and that a $100 fee “may</w:t>
      </w:r>
      <w:r>
        <w:t xml:space="preserve"> </w:t>
      </w:r>
      <w:r w:rsidRPr="00C43B6D">
        <w:t>produce a lot larger amount of third-party CARE enrollments</w:t>
      </w:r>
      <w:r>
        <w:t>,</w:t>
      </w:r>
      <w:r w:rsidRPr="00C43B6D">
        <w:t xml:space="preserve">” </w:t>
      </w:r>
      <w:r>
        <w:t xml:space="preserve">and 2) this proposal </w:t>
      </w:r>
      <w:r w:rsidRPr="00C43B6D">
        <w:t xml:space="preserve">simply does not apply as </w:t>
      </w:r>
      <w:r>
        <w:t>PacifiCorp</w:t>
      </w:r>
      <w:r w:rsidRPr="00C43B6D">
        <w:t xml:space="preserve"> does not pay capitation fees. </w:t>
      </w:r>
      <w:r>
        <w:t xml:space="preserve"> </w:t>
      </w:r>
      <w:r w:rsidRPr="00C43B6D">
        <w:t>For its CARE program,</w:t>
      </w:r>
      <w:r>
        <w:t xml:space="preserve"> </w:t>
      </w:r>
      <w:r w:rsidRPr="00C43B6D">
        <w:t xml:space="preserve">customers self-enroll, and </w:t>
      </w:r>
      <w:r>
        <w:t>PacifiCorp</w:t>
      </w:r>
      <w:r w:rsidRPr="00C43B6D">
        <w:t xml:space="preserve"> works with Great Northern Services to collect</w:t>
      </w:r>
      <w:r>
        <w:t xml:space="preserve"> </w:t>
      </w:r>
      <w:r w:rsidRPr="00C43B6D">
        <w:t xml:space="preserve">income information. </w:t>
      </w:r>
      <w:r>
        <w:t xml:space="preserve"> The </w:t>
      </w:r>
      <w:r w:rsidRPr="00922CDC">
        <w:t>Commission should reject EEC’s attempt to turn its</w:t>
      </w:r>
      <w:r w:rsidRPr="00922CDC">
        <w:rPr>
          <w:rFonts w:ascii="TimesNewRomanPSMT" w:hAnsi="TimesNewRomanPSMT" w:cs="TimesNewRomanPSMT"/>
          <w:sz w:val="24"/>
          <w:szCs w:val="24"/>
        </w:rPr>
        <w:t xml:space="preserve"> </w:t>
      </w:r>
      <w:r w:rsidRPr="00922CDC">
        <w:t>Opening Brief into another round of testimony</w:t>
      </w:r>
      <w:r>
        <w:t xml:space="preserve">; but regardless, this </w:t>
      </w:r>
      <w:r w:rsidRPr="00C43B6D">
        <w:t>proposal should be rejected as unsupported and unnecessary</w:t>
      </w:r>
      <w:r>
        <w:t>.</w:t>
      </w:r>
      <w:r>
        <w:rPr>
          <w:rStyle w:val="FootnoteReference"/>
        </w:rPr>
        <w:footnoteReference w:id="49"/>
      </w:r>
      <w:r>
        <w:t xml:space="preserve"> </w:t>
      </w:r>
    </w:p>
    <w:p w:rsidR="008959A4" w:rsidP="008959A4" w:rsidRDefault="008959A4" w14:paraId="0CC452F4" w14:textId="77777777">
      <w:pPr>
        <w:pStyle w:val="Heading4"/>
        <w:ind w:left="3600" w:hanging="1260"/>
      </w:pPr>
      <w:bookmarkStart w:name="_Toc82159674" w:id="77"/>
      <w:r>
        <w:t>Southwest Gas Response</w:t>
      </w:r>
      <w:bookmarkEnd w:id="77"/>
    </w:p>
    <w:p w:rsidRPr="006408BF" w:rsidR="008959A4" w:rsidP="008959A4" w:rsidRDefault="008959A4" w14:paraId="62AF050C" w14:textId="77777777">
      <w:pPr>
        <w:pStyle w:val="Standard"/>
      </w:pPr>
      <w:r>
        <w:rPr>
          <w:b/>
          <w:bCs/>
          <w:i/>
          <w:iCs/>
          <w:u w:val="single"/>
        </w:rPr>
        <w:t>Capitation Program</w:t>
      </w:r>
      <w:r>
        <w:t>:</w:t>
      </w:r>
      <w:r w:rsidRPr="00C43B6D">
        <w:t xml:space="preserve"> </w:t>
      </w:r>
      <w:r>
        <w:t xml:space="preserve"> Southwest Gas takes issue with </w:t>
      </w:r>
      <w:r w:rsidRPr="00C43B6D">
        <w:t xml:space="preserve">EEC </w:t>
      </w:r>
      <w:r>
        <w:t>and Free Energy’s pro</w:t>
      </w:r>
      <w:r w:rsidRPr="00C43B6D">
        <w:t>pos</w:t>
      </w:r>
      <w:r>
        <w:t>al</w:t>
      </w:r>
      <w:r w:rsidRPr="00C43B6D">
        <w:t xml:space="preserve"> </w:t>
      </w:r>
      <w:r>
        <w:t>in its Opening Brief to</w:t>
      </w:r>
      <w:r w:rsidRPr="00C43B6D">
        <w:t xml:space="preserve"> </w:t>
      </w:r>
      <w:r>
        <w:t xml:space="preserve">introduce a new </w:t>
      </w:r>
      <w:r w:rsidRPr="00C43B6D">
        <w:t xml:space="preserve">capitation fee </w:t>
      </w:r>
      <w:r>
        <w:t>proposal wh</w:t>
      </w:r>
      <w:r w:rsidRPr="00742901">
        <w:t xml:space="preserve">ich </w:t>
      </w:r>
      <w:r>
        <w:t>was</w:t>
      </w:r>
      <w:r w:rsidRPr="00742901">
        <w:t xml:space="preserve"> not properly supported by testimony or evidence in the record. </w:t>
      </w:r>
      <w:r>
        <w:t xml:space="preserve"> </w:t>
      </w:r>
      <w:r>
        <w:lastRenderedPageBreak/>
        <w:t>Alt</w:t>
      </w:r>
      <w:r w:rsidRPr="00742901">
        <w:t>hough California Pub</w:t>
      </w:r>
      <w:r>
        <w:t>.</w:t>
      </w:r>
      <w:r w:rsidRPr="00742901">
        <w:t xml:space="preserve"> Util</w:t>
      </w:r>
      <w:r>
        <w:t>.</w:t>
      </w:r>
      <w:r w:rsidRPr="00742901">
        <w:t xml:space="preserve"> Code </w:t>
      </w:r>
      <w:r>
        <w:t>§</w:t>
      </w:r>
      <w:r w:rsidRPr="00742901">
        <w:t xml:space="preserve"> 1701 allows some flexibility about technical rules of evidence in administrative proceedings</w:t>
      </w:r>
      <w:r>
        <w:t>,</w:t>
      </w:r>
      <w:r w:rsidRPr="00742901">
        <w:t xml:space="preserve"> compliance with procedural protections required by due process of law must be observed and that flexibility does not extend to situations that unfairly bias parties as is the case with the newly asserted proposals by EEC</w:t>
      </w:r>
      <w:r>
        <w:t xml:space="preserve"> and Free Energy.</w:t>
      </w:r>
      <w:r w:rsidRPr="00742901">
        <w:t xml:space="preserve"> </w:t>
      </w:r>
      <w:r>
        <w:t xml:space="preserve"> </w:t>
      </w:r>
      <w:r w:rsidRPr="00742901">
        <w:t>As such, EEC</w:t>
      </w:r>
      <w:r>
        <w:t xml:space="preserve"> and Free Energy’s </w:t>
      </w:r>
      <w:r w:rsidRPr="00742901">
        <w:t>untimely proposals should be ignored or otherwise rejected by the Commission</w:t>
      </w:r>
      <w:r>
        <w:t>.</w:t>
      </w:r>
      <w:r w:rsidRPr="00742901">
        <w:rPr>
          <w:vertAlign w:val="superscript"/>
        </w:rPr>
        <w:footnoteReference w:id="50"/>
      </w:r>
    </w:p>
    <w:p w:rsidRPr="00F6154C" w:rsidR="008959A4" w:rsidP="008959A4" w:rsidRDefault="008959A4" w14:paraId="6F619637" w14:textId="77777777">
      <w:pPr>
        <w:pStyle w:val="Heading3"/>
      </w:pPr>
      <w:bookmarkStart w:name="_Ref65432790" w:id="78"/>
      <w:bookmarkStart w:name="_Toc82159675" w:id="79"/>
      <w:r w:rsidRPr="00F6154C">
        <w:t>Discussion</w:t>
      </w:r>
      <w:bookmarkEnd w:id="78"/>
      <w:bookmarkEnd w:id="79"/>
    </w:p>
    <w:p w:rsidRPr="00E40ABA" w:rsidR="008959A4" w:rsidP="008959A4" w:rsidRDefault="008959A4" w14:paraId="0DCCBBA9" w14:textId="77777777">
      <w:pPr>
        <w:pStyle w:val="Heading4"/>
        <w:ind w:left="3600" w:hanging="1260"/>
      </w:pPr>
      <w:bookmarkStart w:name="_Toc82159676" w:id="80"/>
      <w:r>
        <w:t xml:space="preserve">Implementing Categorical Eligibility: </w:t>
      </w:r>
      <w:r w:rsidRPr="00F1214C">
        <w:rPr>
          <w:u w:val="single"/>
        </w:rPr>
        <w:t>Approved</w:t>
      </w:r>
      <w:r>
        <w:rPr>
          <w:u w:val="single"/>
        </w:rPr>
        <w:t xml:space="preserve"> with Modifications</w:t>
      </w:r>
      <w:bookmarkEnd w:id="80"/>
    </w:p>
    <w:p w:rsidR="008959A4" w:rsidP="008959A4" w:rsidRDefault="008959A4" w14:paraId="024809A8" w14:textId="77777777">
      <w:pPr>
        <w:pStyle w:val="Standard"/>
      </w:pPr>
      <w:r>
        <w:t xml:space="preserve">We approve the implementation of </w:t>
      </w:r>
      <w:r w:rsidRPr="00400D8E">
        <w:t xml:space="preserve">categorical </w:t>
      </w:r>
      <w:r>
        <w:t xml:space="preserve">eligibility for the CARE (and ESA) programs and require the SMJUs to implement the same </w:t>
      </w:r>
      <w:r w:rsidRPr="00400D8E">
        <w:t>assistance programs</w:t>
      </w:r>
      <w:r>
        <w:t xml:space="preserve"> used by the large IOUs’</w:t>
      </w:r>
      <w:r w:rsidRPr="00400D8E">
        <w:t xml:space="preserve"> categorical enrollment </w:t>
      </w:r>
      <w:r>
        <w:t xml:space="preserve">program.  Currently this includes </w:t>
      </w:r>
      <w:r w:rsidRPr="00400D8E">
        <w:t>Medicaid/Medi-Cal for Families A &amp; B</w:t>
      </w:r>
      <w:r>
        <w:t xml:space="preserve">; </w:t>
      </w:r>
      <w:r w:rsidRPr="00400D8E">
        <w:t>CalFresh SNAP</w:t>
      </w:r>
      <w:r>
        <w:t xml:space="preserve">; </w:t>
      </w:r>
      <w:r w:rsidRPr="00400D8E">
        <w:t>Head Start Income Eligible (Tribal Only)</w:t>
      </w:r>
      <w:r>
        <w:t xml:space="preserve">; </w:t>
      </w:r>
      <w:r w:rsidRPr="00400D8E">
        <w:t>Bureau of Indian Affairs General Assistance</w:t>
      </w:r>
      <w:r>
        <w:t>;</w:t>
      </w:r>
      <w:r w:rsidRPr="00400D8E">
        <w:rPr>
          <w:rFonts w:ascii="Arial" w:hAnsi="Arial" w:cs="Arial"/>
          <w:sz w:val="23"/>
          <w:szCs w:val="23"/>
        </w:rPr>
        <w:t xml:space="preserve"> </w:t>
      </w:r>
      <w:r w:rsidRPr="00400D8E">
        <w:t>Women, Infants and Children</w:t>
      </w:r>
      <w:r>
        <w:t xml:space="preserve">; </w:t>
      </w:r>
      <w:r w:rsidRPr="00400D8E">
        <w:t>National School Lunch Program</w:t>
      </w:r>
      <w:r>
        <w:t xml:space="preserve">; LIHEAP; </w:t>
      </w:r>
      <w:r w:rsidRPr="00400D8E">
        <w:t>Supplemental Security Income</w:t>
      </w:r>
      <w:r>
        <w:t>; and C</w:t>
      </w:r>
      <w:r w:rsidRPr="00400D8E">
        <w:t>alWORKS TANF or Tribal TANF</w:t>
      </w:r>
      <w:r>
        <w:t>.  This list of eligible programs shall automatically be updated when the</w:t>
      </w:r>
      <w:r w:rsidRPr="00E17456">
        <w:t xml:space="preserve"> </w:t>
      </w:r>
      <w:r w:rsidRPr="00400D8E">
        <w:t xml:space="preserve">categorical </w:t>
      </w:r>
      <w:r>
        <w:t xml:space="preserve">eligibility list of programs is also updated for the large IOUs.  Accordingly, we deny EEC and Free Energy’s proposal to include all </w:t>
      </w:r>
      <w:r w:rsidRPr="00BB1F59">
        <w:t>DACs</w:t>
      </w:r>
      <w:r>
        <w:t xml:space="preserve"> and low rated </w:t>
      </w:r>
      <w:r w:rsidRPr="00BB1F59">
        <w:t>SEVI communities</w:t>
      </w:r>
      <w:r>
        <w:t xml:space="preserve"> for consistency with the large IOU categorical eligibility programs.   </w:t>
      </w:r>
    </w:p>
    <w:p w:rsidRPr="00495327" w:rsidR="008959A4" w:rsidP="008959A4" w:rsidRDefault="008959A4" w14:paraId="20A71B8B" w14:textId="320DD83B">
      <w:pPr>
        <w:pStyle w:val="Standard"/>
      </w:pPr>
      <w:r>
        <w:t>The SMJUs shall also p</w:t>
      </w:r>
      <w:r w:rsidRPr="00400D8E">
        <w:t>ublish information</w:t>
      </w:r>
      <w:r>
        <w:t xml:space="preserve"> </w:t>
      </w:r>
      <w:r w:rsidRPr="00400D8E">
        <w:t xml:space="preserve">regarding </w:t>
      </w:r>
      <w:r>
        <w:t xml:space="preserve">the </w:t>
      </w:r>
      <w:r w:rsidRPr="00400D8E">
        <w:t xml:space="preserve">categorical eligibility </w:t>
      </w:r>
      <w:r>
        <w:t xml:space="preserve">enrollment option </w:t>
      </w:r>
      <w:r w:rsidRPr="00400D8E">
        <w:t>on program resources</w:t>
      </w:r>
      <w:r>
        <w:t xml:space="preserve"> and </w:t>
      </w:r>
      <w:r w:rsidRPr="00400D8E">
        <w:t>train their staff and contractors</w:t>
      </w:r>
      <w:r>
        <w:t xml:space="preserve"> </w:t>
      </w:r>
      <w:r w:rsidRPr="00400D8E">
        <w:t>on implementation of the new categorical eligibility provision</w:t>
      </w:r>
      <w:r>
        <w:t>s</w:t>
      </w:r>
      <w:r w:rsidRPr="00400D8E">
        <w:t xml:space="preserve"> for ESA and CARE</w:t>
      </w:r>
      <w:r>
        <w:t>.  The SMJUs shall implement c</w:t>
      </w:r>
      <w:r w:rsidRPr="00495327">
        <w:t>ategorical eligibility</w:t>
      </w:r>
      <w:r>
        <w:t xml:space="preserve"> by </w:t>
      </w:r>
      <w:r w:rsidRPr="00495327">
        <w:t xml:space="preserve">no later </w:t>
      </w:r>
      <w:r w:rsidRPr="00495327">
        <w:lastRenderedPageBreak/>
        <w:t xml:space="preserve">than </w:t>
      </w:r>
      <w:r w:rsidR="009D075A">
        <w:t>July</w:t>
      </w:r>
      <w:r w:rsidRPr="00495327" w:rsidR="009D075A">
        <w:t xml:space="preserve"> </w:t>
      </w:r>
      <w:r w:rsidRPr="00495327">
        <w:t>1, 202</w:t>
      </w:r>
      <w:r w:rsidR="009D075A">
        <w:t>2</w:t>
      </w:r>
      <w:r>
        <w:t>,</w:t>
      </w:r>
      <w:r w:rsidRPr="00495327">
        <w:t xml:space="preserve"> and</w:t>
      </w:r>
      <w:r>
        <w:t xml:space="preserve"> begin </w:t>
      </w:r>
      <w:r w:rsidRPr="00495327">
        <w:t xml:space="preserve">reporting on enrollment </w:t>
      </w:r>
      <w:r>
        <w:t xml:space="preserve">numbers </w:t>
      </w:r>
      <w:r w:rsidRPr="00495327">
        <w:t xml:space="preserve">from categorical eligibility in </w:t>
      </w:r>
      <w:r>
        <w:t xml:space="preserve">their </w:t>
      </w:r>
      <w:r w:rsidRPr="00495327">
        <w:t xml:space="preserve">annual reports </w:t>
      </w:r>
      <w:r>
        <w:t xml:space="preserve">starting with the </w:t>
      </w:r>
      <w:r w:rsidRPr="00495327">
        <w:t>PY 202</w:t>
      </w:r>
      <w:r w:rsidR="009D075A">
        <w:t>2</w:t>
      </w:r>
      <w:r>
        <w:t xml:space="preserve"> annual report. </w:t>
      </w:r>
    </w:p>
    <w:p w:rsidRPr="00E40ABA" w:rsidR="008959A4" w:rsidP="008959A4" w:rsidRDefault="008959A4" w14:paraId="45D86F1A" w14:textId="77777777">
      <w:pPr>
        <w:pStyle w:val="Heading4"/>
        <w:ind w:left="3600" w:hanging="1260"/>
      </w:pPr>
      <w:bookmarkStart w:name="_Toc82159677" w:id="81"/>
      <w:r>
        <w:t xml:space="preserve">Increasing Capitation Program Fees:  </w:t>
      </w:r>
      <w:r>
        <w:rPr>
          <w:u w:val="single"/>
        </w:rPr>
        <w:t xml:space="preserve">Approved </w:t>
      </w:r>
      <w:r w:rsidRPr="00F1214C">
        <w:rPr>
          <w:u w:val="single"/>
        </w:rPr>
        <w:t>with Modification</w:t>
      </w:r>
      <w:bookmarkEnd w:id="81"/>
    </w:p>
    <w:p w:rsidR="008959A4" w:rsidP="008959A4" w:rsidRDefault="008959A4" w14:paraId="1B2B0D7E" w14:textId="77777777">
      <w:pPr>
        <w:pStyle w:val="ALJBodyText"/>
      </w:pPr>
      <w:r>
        <w:rPr>
          <w:rFonts w:eastAsia="Calibri"/>
        </w:rPr>
        <w:t xml:space="preserve">We deny EEC and Free Energy’s proposal to increase the capitation program fees to </w:t>
      </w:r>
      <w:r w:rsidRPr="00F3268F">
        <w:t>$100 for a new CARE customer</w:t>
      </w:r>
      <w:r>
        <w:t xml:space="preserve">.  Aside from the due process issue we have with EEC and Free Energy’s untimely recommendation, where parties were denied a meaningful opportunity </w:t>
      </w:r>
      <w:r w:rsidRPr="00922CDC">
        <w:t>to respond through</w:t>
      </w:r>
      <w:r>
        <w:t xml:space="preserve"> the</w:t>
      </w:r>
      <w:r w:rsidRPr="00922CDC">
        <w:t xml:space="preserve"> testimony</w:t>
      </w:r>
      <w:r>
        <w:t xml:space="preserve"> phase, EEC and Free Energy also fail to justify the $100 rate and provide no data or evidence to support why a 400 percent increase is needed.  The $100 rate is not supported, and therefore denied. </w:t>
      </w:r>
    </w:p>
    <w:p w:rsidRPr="00714843" w:rsidR="008959A4" w:rsidP="008959A4" w:rsidRDefault="008959A4" w14:paraId="5DB15477" w14:textId="77777777">
      <w:pPr>
        <w:pStyle w:val="ALJBodyText"/>
        <w:rPr>
          <w:rFonts w:eastAsia="Calibri"/>
        </w:rPr>
      </w:pPr>
      <w:r>
        <w:t xml:space="preserve">With that said, we believe that the current $20 </w:t>
      </w:r>
      <w:r>
        <w:rPr>
          <w:rFonts w:eastAsia="Calibri"/>
        </w:rPr>
        <w:t>capitation fee</w:t>
      </w:r>
      <w:r>
        <w:t xml:space="preserve"> should be revisited to ensure that CBOs are adequately compensated and properly incentivized to assist with CARE enrollments</w:t>
      </w:r>
      <w:r w:rsidRPr="00021DCF">
        <w:rPr>
          <w:rFonts w:eastAsia="Calibri"/>
        </w:rPr>
        <w:t xml:space="preserve">. </w:t>
      </w:r>
      <w:r>
        <w:rPr>
          <w:rFonts w:eastAsia="Calibri"/>
        </w:rPr>
        <w:t xml:space="preserve"> </w:t>
      </w:r>
      <w:r>
        <w:t>In reviewing the recent adjustments made to the large IOUs’ CARE capitation program, and considering the SMJUs’ historical rates and patterns, we determine that an adjustment is due.  In 2008, the capitation fee was set at $12 per enrollment</w:t>
      </w:r>
      <w:r>
        <w:rPr>
          <w:rStyle w:val="FootnoteReference"/>
        </w:rPr>
        <w:footnoteReference w:id="51"/>
      </w:r>
      <w:r>
        <w:t xml:space="preserve"> and in 2014, the</w:t>
      </w:r>
      <w:r w:rsidRPr="006164F8">
        <w:t xml:space="preserve"> </w:t>
      </w:r>
      <w:r>
        <w:t>capitation fee was raised to $20 per enrollment (a 66</w:t>
      </w:r>
      <w:r w:rsidRPr="006164F8">
        <w:t xml:space="preserve"> percent increase after six years, average increase of </w:t>
      </w:r>
      <w:r>
        <w:t>11</w:t>
      </w:r>
      <w:r w:rsidRPr="006164F8">
        <w:t xml:space="preserve"> percent per year).</w:t>
      </w:r>
      <w:r>
        <w:rPr>
          <w:rStyle w:val="FootnoteReference"/>
        </w:rPr>
        <w:footnoteReference w:id="52"/>
      </w:r>
      <w:r w:rsidRPr="006164F8">
        <w:t xml:space="preserve">  </w:t>
      </w:r>
      <w:r>
        <w:t>For PYs 2021-2026, we</w:t>
      </w:r>
      <w:r w:rsidRPr="008B7F32">
        <w:t xml:space="preserve"> approve </w:t>
      </w:r>
      <w:r>
        <w:t>a</w:t>
      </w:r>
      <w:r w:rsidRPr="008B7F32">
        <w:t xml:space="preserve"> CARE capitation fee </w:t>
      </w:r>
      <w:r>
        <w:t xml:space="preserve">increase </w:t>
      </w:r>
      <w:r w:rsidRPr="008B7F32">
        <w:t xml:space="preserve">from $20 to up to $30 per enrollment. </w:t>
      </w:r>
      <w:r>
        <w:t xml:space="preserve"> This reflects a </w:t>
      </w:r>
      <w:r w:rsidRPr="006164F8">
        <w:t xml:space="preserve">50 percent increase after </w:t>
      </w:r>
      <w:r>
        <w:t>seven</w:t>
      </w:r>
      <w:r w:rsidRPr="006164F8">
        <w:t xml:space="preserve"> years, </w:t>
      </w:r>
      <w:r>
        <w:t xml:space="preserve">or an </w:t>
      </w:r>
      <w:r w:rsidRPr="006164F8">
        <w:t xml:space="preserve">average increase of </w:t>
      </w:r>
      <w:r>
        <w:t>seven</w:t>
      </w:r>
      <w:r w:rsidRPr="006164F8">
        <w:t xml:space="preserve"> percent per year</w:t>
      </w:r>
      <w:r>
        <w:t xml:space="preserve"> which is consistent with the capitation rate approved for the large IOUs’ CARE capitation program.</w:t>
      </w:r>
      <w:r>
        <w:rPr>
          <w:rStyle w:val="FootnoteReference"/>
        </w:rPr>
        <w:footnoteReference w:id="53"/>
      </w:r>
      <w:r>
        <w:t xml:space="preserve">  We feel confident this increase </w:t>
      </w:r>
      <w:r>
        <w:rPr>
          <w:rFonts w:eastAsia="Calibri"/>
        </w:rPr>
        <w:t xml:space="preserve">is </w:t>
      </w:r>
      <w:r>
        <w:rPr>
          <w:rFonts w:eastAsia="Calibri"/>
        </w:rPr>
        <w:lastRenderedPageBreak/>
        <w:t xml:space="preserve">needed to </w:t>
      </w:r>
      <w:r w:rsidRPr="00021DCF">
        <w:rPr>
          <w:rFonts w:eastAsia="Calibri"/>
        </w:rPr>
        <w:t>account for cost of living increases, as well as incentivize CBO</w:t>
      </w:r>
      <w:r>
        <w:rPr>
          <w:rFonts w:eastAsia="Calibri"/>
        </w:rPr>
        <w:t xml:space="preserve">s to </w:t>
      </w:r>
      <w:r w:rsidRPr="00021DCF">
        <w:rPr>
          <w:rFonts w:eastAsia="Calibri"/>
        </w:rPr>
        <w:t xml:space="preserve">enroll those in hard to reach populations, which </w:t>
      </w:r>
      <w:r>
        <w:rPr>
          <w:rFonts w:eastAsia="Calibri"/>
        </w:rPr>
        <w:t xml:space="preserve">may </w:t>
      </w:r>
      <w:r w:rsidRPr="00021DCF">
        <w:rPr>
          <w:rFonts w:eastAsia="Calibri"/>
        </w:rPr>
        <w:t xml:space="preserve">require increased numbers of touches to identify those who have not yet been served. </w:t>
      </w:r>
      <w:r>
        <w:rPr>
          <w:rFonts w:eastAsia="Calibri"/>
        </w:rPr>
        <w:t xml:space="preserve"> </w:t>
      </w:r>
      <w:r w:rsidRPr="00327F37">
        <w:rPr>
          <w:rFonts w:eastAsia="Calibri"/>
        </w:rPr>
        <w:t xml:space="preserve">While </w:t>
      </w:r>
      <w:r>
        <w:rPr>
          <w:rFonts w:eastAsia="Calibri"/>
        </w:rPr>
        <w:t>none of the SMJUs s</w:t>
      </w:r>
      <w:r w:rsidRPr="00327F37">
        <w:rPr>
          <w:rFonts w:eastAsia="Calibri"/>
        </w:rPr>
        <w:t xml:space="preserve">ought </w:t>
      </w:r>
      <w:r>
        <w:rPr>
          <w:rFonts w:eastAsia="Calibri"/>
        </w:rPr>
        <w:t xml:space="preserve">an </w:t>
      </w:r>
      <w:r w:rsidRPr="00327F37">
        <w:rPr>
          <w:rFonts w:eastAsia="Calibri"/>
        </w:rPr>
        <w:t>increase, the</w:t>
      </w:r>
      <w:r>
        <w:rPr>
          <w:rFonts w:eastAsia="Calibri"/>
        </w:rPr>
        <w:t xml:space="preserve">se </w:t>
      </w:r>
      <w:r w:rsidRPr="00327F37">
        <w:rPr>
          <w:rFonts w:eastAsia="Calibri"/>
        </w:rPr>
        <w:t>factors a</w:t>
      </w:r>
      <w:r>
        <w:rPr>
          <w:rFonts w:eastAsia="Calibri"/>
        </w:rPr>
        <w:t>ffect</w:t>
      </w:r>
      <w:r w:rsidRPr="00327F37">
        <w:rPr>
          <w:rFonts w:eastAsia="Calibri"/>
        </w:rPr>
        <w:t xml:space="preserve"> all the </w:t>
      </w:r>
      <w:r>
        <w:rPr>
          <w:rFonts w:eastAsia="Calibri"/>
        </w:rPr>
        <w:t xml:space="preserve">SMJUs </w:t>
      </w:r>
      <w:r w:rsidRPr="00327F37">
        <w:rPr>
          <w:rFonts w:eastAsia="Calibri"/>
        </w:rPr>
        <w:t>and their CBOs</w:t>
      </w:r>
      <w:r>
        <w:rPr>
          <w:rFonts w:eastAsia="Calibri"/>
        </w:rPr>
        <w:t>; and t</w:t>
      </w:r>
      <w:r w:rsidRPr="00327F37">
        <w:rPr>
          <w:rFonts w:eastAsia="Calibri"/>
        </w:rPr>
        <w:t xml:space="preserve">herefore, </w:t>
      </w:r>
      <w:r>
        <w:rPr>
          <w:rFonts w:eastAsia="Calibri"/>
        </w:rPr>
        <w:t xml:space="preserve">all the SMJUs with a capitation program shall </w:t>
      </w:r>
      <w:r w:rsidRPr="00327F37">
        <w:rPr>
          <w:rFonts w:eastAsia="Calibri"/>
        </w:rPr>
        <w:t xml:space="preserve">increase </w:t>
      </w:r>
      <w:r>
        <w:rPr>
          <w:rFonts w:eastAsia="Calibri"/>
        </w:rPr>
        <w:t xml:space="preserve">their </w:t>
      </w:r>
      <w:r w:rsidRPr="00327F37">
        <w:rPr>
          <w:rFonts w:eastAsia="Calibri"/>
        </w:rPr>
        <w:t xml:space="preserve">capitation fees </w:t>
      </w:r>
      <w:r>
        <w:rPr>
          <w:rFonts w:eastAsia="Calibri"/>
        </w:rPr>
        <w:t xml:space="preserve">to </w:t>
      </w:r>
      <w:r w:rsidRPr="00327F37">
        <w:rPr>
          <w:rFonts w:eastAsia="Calibri"/>
          <w:i/>
          <w:iCs/>
        </w:rPr>
        <w:t>up to</w:t>
      </w:r>
      <w:r w:rsidRPr="00327F37">
        <w:rPr>
          <w:rFonts w:eastAsia="Calibri"/>
        </w:rPr>
        <w:t xml:space="preserve"> $30 per enrollment. </w:t>
      </w:r>
    </w:p>
    <w:p w:rsidRPr="000B4971" w:rsidR="008959A4" w:rsidP="008959A4" w:rsidRDefault="008959A4" w14:paraId="7702542F" w14:textId="77777777">
      <w:pPr>
        <w:pStyle w:val="Heading4"/>
        <w:ind w:left="3600" w:hanging="1260"/>
      </w:pPr>
      <w:bookmarkStart w:name="_Toc82159678" w:id="82"/>
      <w:r>
        <w:t>I</w:t>
      </w:r>
      <w:r w:rsidRPr="000B4971">
        <w:t xml:space="preserve">ncreasing the </w:t>
      </w:r>
      <w:r>
        <w:t>HU</w:t>
      </w:r>
      <w:r w:rsidRPr="000B4971">
        <w:t xml:space="preserve"> </w:t>
      </w:r>
      <w:r>
        <w:t xml:space="preserve">PEV </w:t>
      </w:r>
      <w:r w:rsidRPr="000B4971">
        <w:t>Threshold:</w:t>
      </w:r>
      <w:r>
        <w:t xml:space="preserve"> </w:t>
      </w:r>
      <w:r w:rsidRPr="000B4971">
        <w:t xml:space="preserve"> </w:t>
      </w:r>
      <w:r>
        <w:br/>
      </w:r>
      <w:r w:rsidRPr="00F1214C">
        <w:rPr>
          <w:u w:val="single"/>
        </w:rPr>
        <w:t>Approved</w:t>
      </w:r>
      <w:bookmarkEnd w:id="82"/>
    </w:p>
    <w:p w:rsidR="008959A4" w:rsidP="008959A4" w:rsidRDefault="008959A4" w14:paraId="2F64920D" w14:textId="77777777">
      <w:pPr>
        <w:pStyle w:val="ALJBodyText"/>
      </w:pPr>
      <w:r>
        <w:t>We approve Liberty and PacifiCorp’s</w:t>
      </w:r>
      <w:r w:rsidRPr="006E1B33">
        <w:t xml:space="preserve"> proposal</w:t>
      </w:r>
      <w:r>
        <w:t>s</w:t>
      </w:r>
      <w:r w:rsidRPr="006E1B33">
        <w:t xml:space="preserve"> to</w:t>
      </w:r>
      <w:r w:rsidRPr="00B17F81">
        <w:t xml:space="preserve"> change the </w:t>
      </w:r>
      <w:r w:rsidRPr="006E1B33">
        <w:t>requirement</w:t>
      </w:r>
      <w:r w:rsidRPr="00B17F81">
        <w:t xml:space="preserve"> </w:t>
      </w:r>
      <w:r w:rsidRPr="006E1B33">
        <w:t xml:space="preserve">to </w:t>
      </w:r>
      <w:r w:rsidRPr="00B17F81">
        <w:t xml:space="preserve">PEV </w:t>
      </w:r>
      <w:r w:rsidRPr="006E1B33">
        <w:t>customers that exceed</w:t>
      </w:r>
      <w:r w:rsidRPr="00B17F81">
        <w:t xml:space="preserve"> 400 percent of baseline </w:t>
      </w:r>
      <w:r>
        <w:t xml:space="preserve">usage from </w:t>
      </w:r>
      <w:r w:rsidRPr="00B17F81">
        <w:t>one time to three times in a 12-month period</w:t>
      </w:r>
      <w:r w:rsidRPr="006E1B33">
        <w:t>.</w:t>
      </w:r>
      <w:r>
        <w:t xml:space="preserve">  This is consistent with D.21</w:t>
      </w:r>
      <w:r>
        <w:noBreakHyphen/>
        <w:t>06</w:t>
      </w:r>
      <w:r>
        <w:noBreakHyphen/>
        <w:t>015 that also approved this change for the large IOUs’ CARE program.  D.21-06-015 found that most customers triggering the HU PEV process are only exceeding the threshold once a year, and in most cases, it is due to the unusual or seasonal circumstances, rather than due to excessive usage.</w:t>
      </w:r>
      <w:r>
        <w:rPr>
          <w:rStyle w:val="FootnoteReference"/>
        </w:rPr>
        <w:footnoteReference w:id="54"/>
      </w:r>
      <w:r>
        <w:t xml:space="preserve">  We agree that the same reasoning applies here and modify the HU</w:t>
      </w:r>
      <w:r w:rsidRPr="006E1B33">
        <w:t xml:space="preserve"> </w:t>
      </w:r>
      <w:r w:rsidRPr="00B17F81">
        <w:t xml:space="preserve">PEV </w:t>
      </w:r>
      <w:r>
        <w:t xml:space="preserve">requirement to apply to </w:t>
      </w:r>
      <w:r w:rsidRPr="006E1B33">
        <w:t>all customers that exceed</w:t>
      </w:r>
      <w:r w:rsidRPr="00B17F81">
        <w:t xml:space="preserve"> 400 percent of baseline </w:t>
      </w:r>
      <w:r>
        <w:t xml:space="preserve">usage </w:t>
      </w:r>
      <w:r w:rsidRPr="00B17F81">
        <w:t>three times in a 12</w:t>
      </w:r>
      <w:r>
        <w:noBreakHyphen/>
      </w:r>
      <w:r w:rsidRPr="00B17F81">
        <w:t>month period</w:t>
      </w:r>
      <w:r>
        <w:t xml:space="preserve">.  This change will be applied to </w:t>
      </w:r>
      <w:r w:rsidRPr="00B17F81">
        <w:t xml:space="preserve">all electric </w:t>
      </w:r>
      <w:r>
        <w:t>SMJUs.  By increasing the frequency in which the customer exceeds the threshold which triggers the HU PEV process, the SMJUs will</w:t>
      </w:r>
      <w:r w:rsidRPr="00B17F81">
        <w:t xml:space="preserve"> </w:t>
      </w:r>
      <w:r>
        <w:t xml:space="preserve">be able to </w:t>
      </w:r>
      <w:r w:rsidRPr="00B17F81">
        <w:t xml:space="preserve">maintain the goal of verifying </w:t>
      </w:r>
      <w:r>
        <w:t xml:space="preserve">the </w:t>
      </w:r>
      <w:r w:rsidRPr="00B17F81">
        <w:t xml:space="preserve">eligibility </w:t>
      </w:r>
      <w:r>
        <w:t xml:space="preserve">of </w:t>
      </w:r>
      <w:r w:rsidRPr="00B17F81">
        <w:t>high-use customers, while allowing flexibility for low</w:t>
      </w:r>
      <w:r>
        <w:t>-</w:t>
      </w:r>
      <w:r w:rsidRPr="00B17F81">
        <w:t xml:space="preserve">income customers to exceed </w:t>
      </w:r>
      <w:r>
        <w:t>the threshold</w:t>
      </w:r>
      <w:r w:rsidRPr="00B17F81">
        <w:t xml:space="preserve"> due to</w:t>
      </w:r>
      <w:r>
        <w:t xml:space="preserve"> environment, seasonality, extreme and </w:t>
      </w:r>
      <w:r w:rsidRPr="00B17F81">
        <w:t xml:space="preserve">unforeseen </w:t>
      </w:r>
      <w:r>
        <w:t>circumstances, and</w:t>
      </w:r>
      <w:r w:rsidRPr="00B17F81">
        <w:t xml:space="preserve">/or weather-related issues. </w:t>
      </w:r>
      <w:r>
        <w:t xml:space="preserve"> </w:t>
      </w:r>
    </w:p>
    <w:p w:rsidR="008959A4" w:rsidP="008959A4" w:rsidRDefault="008959A4" w14:paraId="4043C3AE" w14:textId="77777777">
      <w:pPr>
        <w:pStyle w:val="ALJBodyText"/>
      </w:pPr>
      <w:r>
        <w:t xml:space="preserve">We approve PacifiCorp’s approach to </w:t>
      </w:r>
      <w:r w:rsidRPr="00E81550">
        <w:t>provid</w:t>
      </w:r>
      <w:r>
        <w:t>e</w:t>
      </w:r>
      <w:r w:rsidRPr="00E81550">
        <w:t xml:space="preserve"> </w:t>
      </w:r>
      <w:r>
        <w:t xml:space="preserve">customers after their first exceedance of 400 percent of baseline with </w:t>
      </w:r>
      <w:r w:rsidRPr="00E81550">
        <w:t xml:space="preserve">information </w:t>
      </w:r>
      <w:r>
        <w:t xml:space="preserve">to </w:t>
      </w:r>
      <w:r w:rsidRPr="00E81550">
        <w:t xml:space="preserve">encourage their </w:t>
      </w:r>
      <w:r>
        <w:lastRenderedPageBreak/>
        <w:t xml:space="preserve">tracking and managing electric </w:t>
      </w:r>
      <w:r w:rsidRPr="00E81550">
        <w:t>usage</w:t>
      </w:r>
      <w:r>
        <w:t xml:space="preserve"> and</w:t>
      </w:r>
      <w:r w:rsidRPr="00E81550">
        <w:t xml:space="preserve"> </w:t>
      </w:r>
      <w:r>
        <w:t>encourage other SMJUs to implement similar communications to customers if not already doing so</w:t>
      </w:r>
      <w:r w:rsidRPr="00E81550">
        <w:t xml:space="preserve">. </w:t>
      </w:r>
    </w:p>
    <w:p w:rsidR="008959A4" w:rsidP="008959A4" w:rsidRDefault="008959A4" w14:paraId="02B6C494" w14:textId="77777777">
      <w:pPr>
        <w:pStyle w:val="ALJBodyText"/>
      </w:pPr>
      <w:r>
        <w:t xml:space="preserve">Additionally, to ensure consistency with all the utilities’ CARE programs, </w:t>
      </w:r>
      <w:r w:rsidRPr="00B17F81">
        <w:t xml:space="preserve">HU PEV customers </w:t>
      </w:r>
      <w:r>
        <w:t xml:space="preserve">will be allowed to </w:t>
      </w:r>
      <w:r w:rsidRPr="00B17F81">
        <w:t xml:space="preserve">verify their income </w:t>
      </w:r>
      <w:r w:rsidRPr="00D7141B">
        <w:t xml:space="preserve">using the </w:t>
      </w:r>
      <w:r w:rsidRPr="00B17F81">
        <w:t>documentation used in the regular PEV process</w:t>
      </w:r>
      <w:r w:rsidRPr="00D7141B">
        <w:t>, rather than requiring a t</w:t>
      </w:r>
      <w:r w:rsidRPr="00B17F81">
        <w:t>ranscript of IRS tax return or IRS verification of non-filing</w:t>
      </w:r>
      <w:r w:rsidRPr="00D7141B">
        <w:t>.</w:t>
      </w:r>
      <w:r w:rsidRPr="00B17F81">
        <w:t xml:space="preserve"> </w:t>
      </w:r>
      <w:r>
        <w:t xml:space="preserve"> </w:t>
      </w:r>
      <w:r w:rsidRPr="00B17F81">
        <w:t xml:space="preserve">This includes, but </w:t>
      </w:r>
      <w:r w:rsidRPr="00D7141B">
        <w:t xml:space="preserve">is </w:t>
      </w:r>
      <w:r w:rsidRPr="00B17F81">
        <w:t>not limited to, documentation such as W-2 forms and paystubs</w:t>
      </w:r>
      <w:r>
        <w:t>, or proof of household participation in a categorically eligible program</w:t>
      </w:r>
      <w:r w:rsidRPr="00B17F81">
        <w:t xml:space="preserve">. </w:t>
      </w:r>
      <w:r>
        <w:t xml:space="preserve"> This modification will decrease the barriers to the income verification process, while still maintaining the integrity of the program.  </w:t>
      </w:r>
      <w:r w:rsidRPr="00B17F81">
        <w:t xml:space="preserve">All </w:t>
      </w:r>
      <w:r>
        <w:t>the electric SMJUs</w:t>
      </w:r>
      <w:r w:rsidRPr="00B17F81">
        <w:t xml:space="preserve"> shall update their HU PEV communication materials to reflect the </w:t>
      </w:r>
      <w:r w:rsidRPr="00D7141B">
        <w:t xml:space="preserve">permanently </w:t>
      </w:r>
      <w:r w:rsidRPr="00B17F81">
        <w:t>approved income documentation list.</w:t>
      </w:r>
    </w:p>
    <w:p w:rsidR="008959A4" w:rsidP="008959A4" w:rsidRDefault="008959A4" w14:paraId="38A0177D" w14:textId="77777777">
      <w:pPr>
        <w:pStyle w:val="Heading4"/>
        <w:ind w:left="3600" w:hanging="1260"/>
      </w:pPr>
      <w:bookmarkStart w:name="_Toc82159679" w:id="83"/>
      <w:r>
        <w:t xml:space="preserve">Implementing Source Codes </w:t>
      </w:r>
      <w:r>
        <w:br/>
        <w:t xml:space="preserve">(Southwest Gas):  </w:t>
      </w:r>
      <w:r w:rsidRPr="002101D9">
        <w:rPr>
          <w:u w:val="single"/>
        </w:rPr>
        <w:t>Approved</w:t>
      </w:r>
      <w:bookmarkEnd w:id="83"/>
    </w:p>
    <w:p w:rsidR="008959A4" w:rsidP="008959A4" w:rsidRDefault="008959A4" w14:paraId="70B1F951" w14:textId="77777777">
      <w:pPr>
        <w:pStyle w:val="Standard"/>
      </w:pPr>
      <w:r w:rsidRPr="00C7283A">
        <w:t xml:space="preserve">We approve </w:t>
      </w:r>
      <w:r w:rsidRPr="00EC793C">
        <w:t>Southwest Gas</w:t>
      </w:r>
      <w:r>
        <w:t xml:space="preserve">’s </w:t>
      </w:r>
      <w:r w:rsidRPr="00EC793C">
        <w:t>propos</w:t>
      </w:r>
      <w:r>
        <w:t xml:space="preserve">al to </w:t>
      </w:r>
      <w:r w:rsidRPr="00EC793C">
        <w:t>add source code fields to its web applications</w:t>
      </w:r>
      <w:r>
        <w:t xml:space="preserve"> used to </w:t>
      </w:r>
      <w:r w:rsidRPr="00EC793C">
        <w:t xml:space="preserve">track the source of enrollment, </w:t>
      </w:r>
      <w:r>
        <w:t xml:space="preserve">as this </w:t>
      </w:r>
      <w:r w:rsidRPr="00EC793C">
        <w:t xml:space="preserve">will </w:t>
      </w:r>
      <w:r>
        <w:t>assist in</w:t>
      </w:r>
      <w:r w:rsidRPr="00EC793C">
        <w:t xml:space="preserve"> </w:t>
      </w:r>
      <w:r>
        <w:t>greater</w:t>
      </w:r>
      <w:r w:rsidRPr="00EC793C">
        <w:t xml:space="preserve"> efficiencies, </w:t>
      </w:r>
      <w:r>
        <w:t>lower</w:t>
      </w:r>
      <w:r w:rsidRPr="00EC793C">
        <w:t xml:space="preserve"> costs, </w:t>
      </w:r>
      <w:r>
        <w:t xml:space="preserve">and </w:t>
      </w:r>
      <w:r w:rsidRPr="00EC793C">
        <w:t>decrease</w:t>
      </w:r>
      <w:r>
        <w:t>d</w:t>
      </w:r>
      <w:r w:rsidRPr="00EC793C">
        <w:t xml:space="preserve"> utilization of paper forms</w:t>
      </w:r>
      <w:r>
        <w:t>.  We also support the</w:t>
      </w:r>
      <w:r w:rsidRPr="00E00A72">
        <w:t xml:space="preserve"> use of email as an additional medium for recertification and maintaining</w:t>
      </w:r>
      <w:r>
        <w:t xml:space="preserve"> </w:t>
      </w:r>
      <w:r w:rsidRPr="00E00A72">
        <w:t>participant enrollment</w:t>
      </w:r>
      <w:r>
        <w:t>.  All the other SMJUs are encouraged to implement similar source code fields to their web applications and use email for recertification if not already doing so.</w:t>
      </w:r>
    </w:p>
    <w:p w:rsidRPr="000B4971" w:rsidR="008959A4" w:rsidP="008959A4" w:rsidRDefault="008959A4" w14:paraId="76B68046" w14:textId="77777777">
      <w:pPr>
        <w:pStyle w:val="Heading4"/>
        <w:ind w:left="3600" w:hanging="1260"/>
      </w:pPr>
      <w:bookmarkStart w:name="_Toc69947772" w:id="84"/>
      <w:bookmarkStart w:name="_Toc82159680" w:id="85"/>
      <w:bookmarkStart w:name="_Hlk56690110" w:id="86"/>
      <w:r w:rsidRPr="001A4C9C">
        <w:t>Exempting</w:t>
      </w:r>
      <w:r w:rsidRPr="000B4971">
        <w:t xml:space="preserve"> Recertification for </w:t>
      </w:r>
      <w:r>
        <w:br/>
      </w:r>
      <w:r w:rsidRPr="000B4971">
        <w:t>Fixed Income Households:</w:t>
      </w:r>
      <w:r>
        <w:t xml:space="preserve"> </w:t>
      </w:r>
      <w:r w:rsidRPr="000B4971">
        <w:t xml:space="preserve"> </w:t>
      </w:r>
      <w:bookmarkEnd w:id="84"/>
      <w:r>
        <w:rPr>
          <w:u w:val="single"/>
        </w:rPr>
        <w:t>New</w:t>
      </w:r>
      <w:bookmarkEnd w:id="85"/>
    </w:p>
    <w:bookmarkEnd w:id="86"/>
    <w:p w:rsidRPr="00D53216" w:rsidR="008959A4" w:rsidP="008959A4" w:rsidRDefault="008959A4" w14:paraId="5263F457" w14:textId="21ACDF14">
      <w:pPr>
        <w:pStyle w:val="ALJBodyText"/>
      </w:pPr>
      <w:r>
        <w:t>To align the SMJU and large IOU CARE recertification policies, we direct the SMJUs to exempt certain fixed-income CARE customers</w:t>
      </w:r>
      <w:r w:rsidR="00812F10">
        <w:t xml:space="preserve">, </w:t>
      </w:r>
      <w:r w:rsidRPr="00324C8E" w:rsidR="00812F10">
        <w:t xml:space="preserve">specifically </w:t>
      </w:r>
      <w:r w:rsidR="00812F10">
        <w:t xml:space="preserve">those </w:t>
      </w:r>
      <w:r w:rsidRPr="00324C8E" w:rsidR="00812F10">
        <w:t xml:space="preserve">with only one or two persons living in the </w:t>
      </w:r>
      <w:r w:rsidRPr="00494671" w:rsidR="00812F10">
        <w:t>household</w:t>
      </w:r>
      <w:r w:rsidRPr="00324C8E" w:rsidR="00812F10">
        <w:t>,</w:t>
      </w:r>
      <w:r>
        <w:t xml:space="preserve"> from future CARE recertification and verification requests after verifying income using approved </w:t>
      </w:r>
      <w:r>
        <w:lastRenderedPageBreak/>
        <w:t xml:space="preserve">documentation.  The exemption would be valid until the customer account is closed, customer-of-record name is </w:t>
      </w:r>
      <w:r w:rsidRPr="00200CC3">
        <w:t>altered</w:t>
      </w:r>
      <w:r>
        <w:t>,</w:t>
      </w:r>
      <w:r w:rsidRPr="000B02D9">
        <w:t xml:space="preserve"> </w:t>
      </w:r>
      <w:r>
        <w:t>or a minimum of six years has elapsed since the customer verified income using approved documentation</w:t>
      </w:r>
      <w:r w:rsidRPr="00200CC3">
        <w:t xml:space="preserve">. </w:t>
      </w:r>
      <w:r>
        <w:t xml:space="preserve"> </w:t>
      </w:r>
      <w:r w:rsidRPr="00200CC3">
        <w:t xml:space="preserve">We </w:t>
      </w:r>
      <w:r>
        <w:t xml:space="preserve">believe that </w:t>
      </w:r>
      <w:r w:rsidRPr="00200CC3">
        <w:t xml:space="preserve">this policy change </w:t>
      </w:r>
      <w:r>
        <w:t>will</w:t>
      </w:r>
      <w:r w:rsidRPr="00200CC3">
        <w:t xml:space="preserve"> reduce the burden on a</w:t>
      </w:r>
      <w:r>
        <w:t xml:space="preserve"> population that </w:t>
      </w:r>
      <w:r w:rsidRPr="0038352A">
        <w:t>tends to have higher energy burden and economic hardship</w:t>
      </w:r>
      <w:r>
        <w:t xml:space="preserve"> </w:t>
      </w:r>
      <w:r w:rsidRPr="0038352A">
        <w:t>with infrequent changes to household income levels.</w:t>
      </w:r>
      <w:r w:rsidRPr="0038352A">
        <w:rPr>
          <w:vertAlign w:val="superscript"/>
        </w:rPr>
        <w:footnoteReference w:id="55"/>
      </w:r>
    </w:p>
    <w:p w:rsidR="008959A4" w:rsidP="008959A4" w:rsidRDefault="008959A4" w14:paraId="5FA191A2" w14:textId="77777777">
      <w:pPr>
        <w:pStyle w:val="Heading2"/>
      </w:pPr>
      <w:bookmarkStart w:name="_Toc82159681" w:id="87"/>
      <w:r w:rsidRPr="000C5ACF">
        <w:t xml:space="preserve">CARE </w:t>
      </w:r>
      <w:r>
        <w:t xml:space="preserve">Marketing, Education, and Outreach </w:t>
      </w:r>
      <w:r>
        <w:br/>
        <w:t>(ME&amp;O), and Leveraging Efforts</w:t>
      </w:r>
      <w:bookmarkEnd w:id="87"/>
    </w:p>
    <w:p w:rsidR="008959A4" w:rsidP="008959A4" w:rsidRDefault="008959A4" w14:paraId="545CE07F" w14:textId="77777777">
      <w:pPr>
        <w:pStyle w:val="Heading3"/>
      </w:pPr>
      <w:bookmarkStart w:name="_Toc82159682" w:id="88"/>
      <w:r>
        <w:t>Background</w:t>
      </w:r>
      <w:bookmarkEnd w:id="88"/>
      <w:r>
        <w:t xml:space="preserve"> </w:t>
      </w:r>
    </w:p>
    <w:p w:rsidR="008959A4" w:rsidP="008959A4" w:rsidRDefault="008959A4" w14:paraId="0A1D5084" w14:textId="77777777">
      <w:pPr>
        <w:pStyle w:val="Standard"/>
      </w:pPr>
      <w:r w:rsidRPr="005F4FF9">
        <w:t xml:space="preserve">Currently, each </w:t>
      </w:r>
      <w:r>
        <w:t>SMJU</w:t>
      </w:r>
      <w:r w:rsidRPr="005F4FF9">
        <w:t xml:space="preserve"> manages its own ME&amp;O </w:t>
      </w:r>
      <w:r>
        <w:t xml:space="preserve">and leveraging </w:t>
      </w:r>
      <w:r w:rsidRPr="005F4FF9">
        <w:t>efforts to meet the goals set out by the Commission.  These efforts include, but are not limited to, direct mail, door-to-door canvasing, social media, and partnerships with community and</w:t>
      </w:r>
      <w:r>
        <w:t>/or</w:t>
      </w:r>
      <w:r w:rsidRPr="005F4FF9">
        <w:t xml:space="preserve"> faith</w:t>
      </w:r>
      <w:r>
        <w:t>-</w:t>
      </w:r>
      <w:r w:rsidRPr="005F4FF9">
        <w:t xml:space="preserve">based organizations, as well as other </w:t>
      </w:r>
      <w:r>
        <w:t xml:space="preserve">utility, </w:t>
      </w:r>
      <w:r w:rsidRPr="005F4FF9">
        <w:t xml:space="preserve">state, federal and local agencies.  Since </w:t>
      </w:r>
      <w:r>
        <w:t>each</w:t>
      </w:r>
      <w:r w:rsidRPr="005F4FF9">
        <w:t xml:space="preserve"> </w:t>
      </w:r>
      <w:r>
        <w:t>SMJU</w:t>
      </w:r>
      <w:r w:rsidRPr="005F4FF9">
        <w:t xml:space="preserve"> service territory is unique, each </w:t>
      </w:r>
      <w:r>
        <w:t>SMJU</w:t>
      </w:r>
      <w:r w:rsidRPr="005F4FF9">
        <w:t xml:space="preserve"> has been allowed to seek out efforts that work best for its own service areas.</w:t>
      </w:r>
      <w:r>
        <w:t xml:space="preserve">  </w:t>
      </w:r>
    </w:p>
    <w:p w:rsidR="008959A4" w:rsidP="008959A4" w:rsidRDefault="008959A4" w14:paraId="21A68C68" w14:textId="77777777">
      <w:pPr>
        <w:pStyle w:val="Heading3"/>
      </w:pPr>
      <w:bookmarkStart w:name="_Toc82159683" w:id="89"/>
      <w:r>
        <w:t>Alpine Proposal</w:t>
      </w:r>
      <w:bookmarkEnd w:id="89"/>
    </w:p>
    <w:p w:rsidR="008959A4" w:rsidP="008959A4" w:rsidRDefault="008959A4" w14:paraId="0D652AF4" w14:textId="77777777">
      <w:pPr>
        <w:pStyle w:val="ALJBodyText"/>
      </w:pPr>
      <w:r>
        <w:rPr>
          <w:b/>
          <w:bCs/>
          <w:i/>
          <w:iCs/>
          <w:u w:val="single"/>
        </w:rPr>
        <w:t>ME&amp;O</w:t>
      </w:r>
      <w:r w:rsidRPr="000E485A">
        <w:rPr>
          <w:b/>
          <w:bCs/>
          <w:i/>
          <w:iCs/>
        </w:rPr>
        <w:t>:</w:t>
      </w:r>
      <w:r w:rsidRPr="000E485A">
        <w:t xml:space="preserve">  </w:t>
      </w:r>
      <w:r>
        <w:t>Alpine</w:t>
      </w:r>
      <w:r w:rsidRPr="00F41A4E">
        <w:t xml:space="preserve"> </w:t>
      </w:r>
      <w:r>
        <w:t xml:space="preserve">will </w:t>
      </w:r>
      <w:r w:rsidRPr="00F41A4E">
        <w:t>maintain</w:t>
      </w:r>
      <w:r>
        <w:t xml:space="preserve"> </w:t>
      </w:r>
      <w:r w:rsidRPr="00F41A4E">
        <w:t>current program outreach</w:t>
      </w:r>
      <w:r>
        <w:t xml:space="preserve"> </w:t>
      </w:r>
      <w:r w:rsidRPr="00F41A4E">
        <w:t xml:space="preserve">activities, </w:t>
      </w:r>
      <w:r w:rsidRPr="002302D6">
        <w:t xml:space="preserve">including bill inserts, direct mailings, annual distribution of applications to all </w:t>
      </w:r>
      <w:r>
        <w:t>Alpine</w:t>
      </w:r>
      <w:r w:rsidRPr="002302D6">
        <w:t xml:space="preserve"> customers, online enrollment, bill messages and brochures</w:t>
      </w:r>
      <w:r w:rsidRPr="00007D21">
        <w:t>.</w:t>
      </w:r>
      <w:r>
        <w:rPr>
          <w:rStyle w:val="FootnoteReference"/>
        </w:rPr>
        <w:footnoteReference w:id="56"/>
      </w:r>
      <w:r>
        <w:t xml:space="preserve">  New efforts will include targeting </w:t>
      </w:r>
      <w:r w:rsidRPr="00AB49CA">
        <w:t xml:space="preserve">customers not currently enrolled in CARE </w:t>
      </w:r>
      <w:r>
        <w:t>and</w:t>
      </w:r>
      <w:r w:rsidRPr="00AB49CA">
        <w:t xml:space="preserve"> present</w:t>
      </w:r>
      <w:r>
        <w:t xml:space="preserve">ing them with </w:t>
      </w:r>
      <w:r w:rsidRPr="00AB49CA">
        <w:t xml:space="preserve">information regarding the </w:t>
      </w:r>
      <w:r>
        <w:t>program’s</w:t>
      </w:r>
      <w:r w:rsidRPr="00AB49CA">
        <w:t xml:space="preserve"> income guidelines. </w:t>
      </w:r>
      <w:r>
        <w:t xml:space="preserve"> </w:t>
      </w:r>
      <w:r w:rsidRPr="00AB49CA">
        <w:t xml:space="preserve">All new </w:t>
      </w:r>
      <w:r w:rsidRPr="00AB49CA">
        <w:lastRenderedPageBreak/>
        <w:t>customers moving into homes</w:t>
      </w:r>
      <w:r>
        <w:t xml:space="preserve"> will also r</w:t>
      </w:r>
      <w:r w:rsidRPr="00AB49CA">
        <w:t>eceive program information through direct personal contact</w:t>
      </w:r>
      <w:r>
        <w:t xml:space="preserve"> via phone or email.</w:t>
      </w:r>
      <w:r>
        <w:rPr>
          <w:rStyle w:val="FootnoteReference"/>
        </w:rPr>
        <w:footnoteReference w:id="57"/>
      </w:r>
    </w:p>
    <w:p w:rsidR="008959A4" w:rsidP="008959A4" w:rsidRDefault="008959A4" w14:paraId="7D2D9CD1" w14:textId="77777777">
      <w:pPr>
        <w:pStyle w:val="ALJBodyText"/>
      </w:pPr>
      <w:r>
        <w:rPr>
          <w:b/>
          <w:bCs/>
          <w:i/>
          <w:iCs/>
          <w:u w:val="single"/>
        </w:rPr>
        <w:t>Leveraging</w:t>
      </w:r>
      <w:r w:rsidRPr="000E485A">
        <w:rPr>
          <w:b/>
          <w:bCs/>
          <w:i/>
          <w:iCs/>
        </w:rPr>
        <w:t>:</w:t>
      </w:r>
      <w:r w:rsidRPr="000E485A">
        <w:t xml:space="preserve">  </w:t>
      </w:r>
      <w:r>
        <w:t>Alpine does not propose any specific leveraging efforts with regards to the CARE program, other than continuing relationships with local agencies within its service territory</w:t>
      </w:r>
      <w:r w:rsidRPr="004053F1">
        <w:t>.</w:t>
      </w:r>
      <w:r>
        <w:rPr>
          <w:rStyle w:val="FootnoteReference"/>
        </w:rPr>
        <w:footnoteReference w:id="58"/>
      </w:r>
    </w:p>
    <w:p w:rsidRPr="007C2B9D" w:rsidR="008959A4" w:rsidP="008959A4" w:rsidRDefault="008959A4" w14:paraId="59E5F762" w14:textId="77777777">
      <w:pPr>
        <w:pStyle w:val="Heading3"/>
      </w:pPr>
      <w:bookmarkStart w:name="_Toc82159684" w:id="90"/>
      <w:r w:rsidRPr="007C2B9D">
        <w:t>Bear Valley Proposal</w:t>
      </w:r>
      <w:bookmarkEnd w:id="90"/>
    </w:p>
    <w:p w:rsidR="008959A4" w:rsidP="008959A4" w:rsidRDefault="008959A4" w14:paraId="6650555F" w14:textId="77777777">
      <w:pPr>
        <w:pStyle w:val="ALJBodyText"/>
      </w:pPr>
      <w:r>
        <w:rPr>
          <w:b/>
          <w:bCs/>
          <w:i/>
          <w:iCs/>
          <w:u w:val="single"/>
        </w:rPr>
        <w:t>ME&amp;O</w:t>
      </w:r>
      <w:r w:rsidRPr="000E485A">
        <w:rPr>
          <w:b/>
          <w:bCs/>
          <w:i/>
          <w:iCs/>
        </w:rPr>
        <w:t>:</w:t>
      </w:r>
      <w:r w:rsidRPr="000E485A">
        <w:t xml:space="preserve">  </w:t>
      </w:r>
      <w:r>
        <w:t>Bear Valley</w:t>
      </w:r>
      <w:r w:rsidRPr="00D324DB">
        <w:t xml:space="preserve"> </w:t>
      </w:r>
      <w:r>
        <w:t xml:space="preserve">will continue existing </w:t>
      </w:r>
      <w:r w:rsidRPr="002B1199">
        <w:t xml:space="preserve">outreach </w:t>
      </w:r>
      <w:r>
        <w:t xml:space="preserve">efforts, </w:t>
      </w:r>
      <w:r w:rsidRPr="002B1199">
        <w:t>includ</w:t>
      </w:r>
      <w:r>
        <w:t xml:space="preserve">ing </w:t>
      </w:r>
      <w:r w:rsidRPr="002B1199">
        <w:t xml:space="preserve">annual CARE </w:t>
      </w:r>
      <w:r>
        <w:t>p</w:t>
      </w:r>
      <w:r w:rsidRPr="002B1199">
        <w:t>rogram bill insert</w:t>
      </w:r>
      <w:r>
        <w:t xml:space="preserve">s, </w:t>
      </w:r>
      <w:r w:rsidRPr="002B1199">
        <w:t>two</w:t>
      </w:r>
      <w:r>
        <w:t xml:space="preserve"> </w:t>
      </w:r>
      <w:r w:rsidRPr="002B1199">
        <w:t>rotating advertisements at bus stops</w:t>
      </w:r>
      <w:r>
        <w:t xml:space="preserve">, </w:t>
      </w:r>
      <w:r w:rsidRPr="002B1199">
        <w:t>monthly/bi-monthly newspaper advertisements and targeted radio spots throughout the year.</w:t>
      </w:r>
      <w:r>
        <w:t xml:space="preserve">  Bear Valley proposes to </w:t>
      </w:r>
      <w:r w:rsidRPr="004D2513">
        <w:t xml:space="preserve">expand its outreach efforts among </w:t>
      </w:r>
      <w:r>
        <w:t>CBOs</w:t>
      </w:r>
      <w:r w:rsidRPr="004D2513">
        <w:t xml:space="preserve"> </w:t>
      </w:r>
      <w:r>
        <w:t>and</w:t>
      </w:r>
      <w:r w:rsidRPr="004D2513">
        <w:t xml:space="preserve"> non-profit organizations to advertise and inform its customers about CARE.</w:t>
      </w:r>
      <w:r>
        <w:rPr>
          <w:rStyle w:val="FootnoteReference"/>
        </w:rPr>
        <w:footnoteReference w:id="59"/>
      </w:r>
      <w:r>
        <w:t xml:space="preserve"> </w:t>
      </w:r>
      <w:r w:rsidRPr="004D2513">
        <w:t xml:space="preserve"> </w:t>
      </w:r>
      <w:r>
        <w:t xml:space="preserve">Bear Valley also </w:t>
      </w:r>
      <w:r w:rsidRPr="00D324DB">
        <w:t xml:space="preserve">proposes </w:t>
      </w:r>
      <w:r>
        <w:t>to</w:t>
      </w:r>
      <w:r w:rsidRPr="00BE3091">
        <w:t xml:space="preserve"> </w:t>
      </w:r>
      <w:r>
        <w:t>combine</w:t>
      </w:r>
      <w:r w:rsidRPr="00BE3091">
        <w:t xml:space="preserve"> its </w:t>
      </w:r>
      <w:r>
        <w:t xml:space="preserve">CARE </w:t>
      </w:r>
      <w:r w:rsidRPr="00BE3091">
        <w:t>outreach</w:t>
      </w:r>
      <w:r>
        <w:t xml:space="preserve"> </w:t>
      </w:r>
      <w:r w:rsidRPr="00BE3091">
        <w:t>efforts with the ESA program</w:t>
      </w:r>
      <w:r>
        <w:t xml:space="preserve"> outreach by informing </w:t>
      </w:r>
      <w:r w:rsidRPr="00BE3091">
        <w:t>homeowner</w:t>
      </w:r>
      <w:r>
        <w:t>s</w:t>
      </w:r>
      <w:r w:rsidRPr="00BE3091">
        <w:t xml:space="preserve"> about CARE while ESA treatments are being conducted</w:t>
      </w:r>
      <w:r>
        <w:t xml:space="preserve"> and will </w:t>
      </w:r>
      <w:r w:rsidRPr="00967C37">
        <w:t>redouble its</w:t>
      </w:r>
      <w:r>
        <w:t xml:space="preserve"> </w:t>
      </w:r>
      <w:r w:rsidRPr="00967C37">
        <w:t>outreach efforts to enroll customers who are already on its existing list of potential CARE</w:t>
      </w:r>
      <w:r>
        <w:t xml:space="preserve"> </w:t>
      </w:r>
      <w:r w:rsidRPr="00967C37">
        <w:t xml:space="preserve">participants. </w:t>
      </w:r>
    </w:p>
    <w:p w:rsidRPr="00B21E03" w:rsidR="008959A4" w:rsidP="008959A4" w:rsidRDefault="008959A4" w14:paraId="32E8177F" w14:textId="77777777">
      <w:pPr>
        <w:pStyle w:val="ALJBodyText"/>
      </w:pPr>
      <w:r w:rsidRPr="00A2582D">
        <w:rPr>
          <w:b/>
          <w:bCs/>
          <w:i/>
          <w:iCs/>
          <w:u w:val="single"/>
        </w:rPr>
        <w:t>Leveraging</w:t>
      </w:r>
      <w:r>
        <w:t xml:space="preserve">:  </w:t>
      </w:r>
      <w:r w:rsidRPr="00967C37">
        <w:t xml:space="preserve">In prior years, </w:t>
      </w:r>
      <w:r>
        <w:t>Bear Valley</w:t>
      </w:r>
      <w:r w:rsidRPr="00967C37">
        <w:t xml:space="preserve"> leveraged LIHEAP to expand CARE </w:t>
      </w:r>
      <w:r>
        <w:t>enrollment</w:t>
      </w:r>
      <w:r w:rsidRPr="00967C37">
        <w:t>, but the lack of enrollees in the federal program among</w:t>
      </w:r>
      <w:r>
        <w:t xml:space="preserve"> Bear Valley</w:t>
      </w:r>
      <w:r w:rsidRPr="00967C37">
        <w:t xml:space="preserve"> customers led to its termination. </w:t>
      </w:r>
      <w:r>
        <w:t xml:space="preserve"> </w:t>
      </w:r>
      <w:r w:rsidRPr="00967C37">
        <w:t>Customers are still able to take advantage of LIHEAP, but</w:t>
      </w:r>
      <w:r>
        <w:t xml:space="preserve"> </w:t>
      </w:r>
      <w:r w:rsidRPr="00967C37">
        <w:t xml:space="preserve">it is solely through the County of San Bernardino, not through </w:t>
      </w:r>
      <w:r>
        <w:t>Bear Valley</w:t>
      </w:r>
      <w:r w:rsidRPr="00967C37">
        <w:t>.</w:t>
      </w:r>
      <w:r w:rsidRPr="00D324DB">
        <w:rPr>
          <w:vertAlign w:val="superscript"/>
        </w:rPr>
        <w:footnoteReference w:id="60"/>
      </w:r>
      <w:r>
        <w:t xml:space="preserve">  Bear Valley will continue to: </w:t>
      </w:r>
      <w:r w:rsidRPr="00764622">
        <w:t>1)</w:t>
      </w:r>
      <w:r>
        <w:t xml:space="preserve"> </w:t>
      </w:r>
      <w:r w:rsidRPr="00764622">
        <w:t>work</w:t>
      </w:r>
      <w:r>
        <w:t xml:space="preserve"> </w:t>
      </w:r>
      <w:r w:rsidRPr="00764622">
        <w:t>with the Big Bear Lake community to reach eligible customers who have</w:t>
      </w:r>
      <w:r>
        <w:t xml:space="preserve"> </w:t>
      </w:r>
      <w:r w:rsidRPr="00764622">
        <w:t>resisted participating in the program</w:t>
      </w:r>
      <w:r>
        <w:t>,</w:t>
      </w:r>
      <w:r w:rsidRPr="00764622">
        <w:t xml:space="preserve"> 2) work with the ESA </w:t>
      </w:r>
      <w:r>
        <w:t>p</w:t>
      </w:r>
      <w:r w:rsidRPr="00764622">
        <w:t>rogram contractor to refer</w:t>
      </w:r>
      <w:r>
        <w:t xml:space="preserve"> </w:t>
      </w:r>
      <w:r w:rsidRPr="00764622">
        <w:t xml:space="preserve">customers to the </w:t>
      </w:r>
      <w:r w:rsidRPr="00764622">
        <w:lastRenderedPageBreak/>
        <w:t xml:space="preserve">CARE </w:t>
      </w:r>
      <w:r>
        <w:t>p</w:t>
      </w:r>
      <w:r w:rsidRPr="00764622">
        <w:t>rogram</w:t>
      </w:r>
      <w:r>
        <w:t>,</w:t>
      </w:r>
      <w:r w:rsidRPr="00764622">
        <w:t xml:space="preserve"> 3) work with customers who do not reply to re-verification</w:t>
      </w:r>
      <w:r>
        <w:t xml:space="preserve"> </w:t>
      </w:r>
      <w:r w:rsidRPr="00764622">
        <w:t>letters and direct mail</w:t>
      </w:r>
      <w:r>
        <w:t xml:space="preserve">, </w:t>
      </w:r>
      <w:r w:rsidRPr="00764622">
        <w:t>and 4) work with Southwest Gas to identify and share customers who are enrolled in ESA.</w:t>
      </w:r>
      <w:r>
        <w:rPr>
          <w:rStyle w:val="FootnoteReference"/>
        </w:rPr>
        <w:footnoteReference w:id="61"/>
      </w:r>
    </w:p>
    <w:p w:rsidRPr="00A2582D" w:rsidR="008959A4" w:rsidP="008959A4" w:rsidRDefault="008959A4" w14:paraId="0CDA31E4" w14:textId="77777777">
      <w:pPr>
        <w:pStyle w:val="Heading3"/>
      </w:pPr>
      <w:bookmarkStart w:name="_Toc82159685" w:id="91"/>
      <w:r w:rsidRPr="00A2582D">
        <w:t xml:space="preserve">Liberty </w:t>
      </w:r>
      <w:r>
        <w:t>Proposal</w:t>
      </w:r>
      <w:bookmarkEnd w:id="91"/>
    </w:p>
    <w:p w:rsidR="008959A4" w:rsidP="008959A4" w:rsidRDefault="008959A4" w14:paraId="29B8A7A2" w14:textId="77777777">
      <w:pPr>
        <w:pStyle w:val="Standard"/>
      </w:pPr>
      <w:r w:rsidRPr="00487809">
        <w:rPr>
          <w:b/>
          <w:bCs/>
          <w:i/>
          <w:iCs/>
          <w:u w:val="single"/>
        </w:rPr>
        <w:t>ME</w:t>
      </w:r>
      <w:r>
        <w:rPr>
          <w:b/>
          <w:bCs/>
          <w:i/>
          <w:iCs/>
          <w:u w:val="single"/>
        </w:rPr>
        <w:t>&amp;</w:t>
      </w:r>
      <w:r w:rsidRPr="00487809">
        <w:rPr>
          <w:b/>
          <w:bCs/>
          <w:i/>
          <w:iCs/>
          <w:u w:val="single"/>
        </w:rPr>
        <w:t>O</w:t>
      </w:r>
      <w:r>
        <w:t xml:space="preserve">:  </w:t>
      </w:r>
      <w:r w:rsidRPr="00FA3C45">
        <w:t xml:space="preserve">Liberty </w:t>
      </w:r>
      <w:r>
        <w:t>will</w:t>
      </w:r>
      <w:r w:rsidRPr="0091087B">
        <w:t xml:space="preserve"> </w:t>
      </w:r>
      <w:r w:rsidRPr="00FA3C45">
        <w:t>continue to target potential eligible CARE customers through online media</w:t>
      </w:r>
      <w:r w:rsidRPr="0091087B">
        <w:t xml:space="preserve"> </w:t>
      </w:r>
      <w:r w:rsidRPr="00FA3C45">
        <w:t>advertising, direct mailings</w:t>
      </w:r>
      <w:r>
        <w:t xml:space="preserve">/bill inserts, </w:t>
      </w:r>
      <w:r w:rsidRPr="00FA3C45">
        <w:t>marketing in local papers, coordination with established CBOs</w:t>
      </w:r>
      <w:r>
        <w:t xml:space="preserve">, and will </w:t>
      </w:r>
      <w:r w:rsidRPr="00FA3C45">
        <w:t>increas</w:t>
      </w:r>
      <w:r>
        <w:t>e</w:t>
      </w:r>
      <w:r w:rsidRPr="00FA3C45">
        <w:t xml:space="preserve"> efforts to reach new move-in</w:t>
      </w:r>
      <w:r w:rsidRPr="0091087B">
        <w:t xml:space="preserve"> </w:t>
      </w:r>
      <w:r w:rsidRPr="00FA3C45">
        <w:t>customers identified in areas with a higher percentage of low</w:t>
      </w:r>
      <w:r>
        <w:noBreakHyphen/>
      </w:r>
      <w:r w:rsidRPr="00FA3C45">
        <w:t xml:space="preserve">income households. </w:t>
      </w:r>
      <w:r>
        <w:t xml:space="preserve"> Other s</w:t>
      </w:r>
      <w:r w:rsidRPr="00FA3C45">
        <w:t>pecific strategies</w:t>
      </w:r>
      <w:r w:rsidRPr="0091087B">
        <w:t xml:space="preserve"> </w:t>
      </w:r>
      <w:r w:rsidRPr="00FA3C45">
        <w:t>include canvassing neighborhoods and working with rental property owners to inform tenants about the</w:t>
      </w:r>
      <w:r w:rsidRPr="0091087B">
        <w:t xml:space="preserve"> program benefits.</w:t>
      </w:r>
      <w:r w:rsidRPr="0091087B">
        <w:rPr>
          <w:rStyle w:val="FootnoteReference"/>
        </w:rPr>
        <w:footnoteReference w:id="62"/>
      </w:r>
      <w:r>
        <w:t xml:space="preserve">  </w:t>
      </w:r>
      <w:r w:rsidRPr="00824540">
        <w:t>In order to reach eligible customers not currently enrolled in the CARE program, Liberty</w:t>
      </w:r>
      <w:r>
        <w:t xml:space="preserve"> plans to </w:t>
      </w:r>
      <w:r w:rsidRPr="00824540">
        <w:t>continue to target and conduct outreach specifically focused on customers at the margins of</w:t>
      </w:r>
      <w:r>
        <w:t xml:space="preserve"> </w:t>
      </w:r>
      <w:r w:rsidRPr="00824540">
        <w:t>the qualifying income level</w:t>
      </w:r>
      <w:r>
        <w:t xml:space="preserve">, including </w:t>
      </w:r>
      <w:r w:rsidRPr="00824540">
        <w:t xml:space="preserve">prominently displaying CARE program information and applications at local libraries and Boys </w:t>
      </w:r>
      <w:r>
        <w:t xml:space="preserve">&amp; </w:t>
      </w:r>
      <w:r w:rsidRPr="00824540">
        <w:t>Girls Clubs to inform people who may have recently met eligibility requirements.</w:t>
      </w:r>
      <w:r>
        <w:rPr>
          <w:rStyle w:val="FootnoteReference"/>
        </w:rPr>
        <w:footnoteReference w:id="63"/>
      </w:r>
    </w:p>
    <w:p w:rsidR="008959A4" w:rsidP="008959A4" w:rsidRDefault="008959A4" w14:paraId="2C03C759" w14:textId="77777777">
      <w:pPr>
        <w:pStyle w:val="Standard"/>
      </w:pPr>
      <w:r>
        <w:rPr>
          <w:b/>
          <w:bCs/>
          <w:i/>
          <w:iCs/>
          <w:u w:val="single"/>
        </w:rPr>
        <w:t>Leveraging</w:t>
      </w:r>
      <w:r w:rsidRPr="000E485A">
        <w:rPr>
          <w:b/>
          <w:bCs/>
          <w:i/>
          <w:iCs/>
        </w:rPr>
        <w:t>:</w:t>
      </w:r>
      <w:r w:rsidRPr="000E485A">
        <w:t xml:space="preserve">  </w:t>
      </w:r>
      <w:r w:rsidRPr="00487809">
        <w:t xml:space="preserve">Liberty </w:t>
      </w:r>
      <w:r>
        <w:t>will</w:t>
      </w:r>
      <w:r w:rsidRPr="00487809">
        <w:t xml:space="preserve"> continue collaborat</w:t>
      </w:r>
      <w:r>
        <w:t>ing</w:t>
      </w:r>
      <w:r w:rsidRPr="00487809">
        <w:t xml:space="preserve"> with Southwest Gas to streamline the process for biannual</w:t>
      </w:r>
      <w:r>
        <w:t xml:space="preserve"> </w:t>
      </w:r>
      <w:r w:rsidRPr="00487809">
        <w:t>data sharing</w:t>
      </w:r>
      <w:r>
        <w:t xml:space="preserve"> and</w:t>
      </w:r>
      <w:r w:rsidRPr="00487809">
        <w:t xml:space="preserve"> </w:t>
      </w:r>
      <w:r>
        <w:t xml:space="preserve">will </w:t>
      </w:r>
      <w:r w:rsidRPr="00487809">
        <w:t>continue to use a consultant to identify common customers who are enrolled in</w:t>
      </w:r>
      <w:r>
        <w:t xml:space="preserve"> </w:t>
      </w:r>
      <w:r w:rsidRPr="00487809">
        <w:t>CARE at Southwest Gas and not enrolled at Liberty.</w:t>
      </w:r>
      <w:r>
        <w:rPr>
          <w:rStyle w:val="FootnoteReference"/>
        </w:rPr>
        <w:footnoteReference w:id="64"/>
      </w:r>
    </w:p>
    <w:p w:rsidR="008959A4" w:rsidP="008959A4" w:rsidRDefault="008959A4" w14:paraId="28035E7A" w14:textId="77777777">
      <w:pPr>
        <w:pStyle w:val="Heading3"/>
      </w:pPr>
      <w:bookmarkStart w:name="_Toc82159686" w:id="92"/>
      <w:r>
        <w:lastRenderedPageBreak/>
        <w:t>PacifiCorp Proposal</w:t>
      </w:r>
      <w:bookmarkEnd w:id="92"/>
    </w:p>
    <w:p w:rsidR="008959A4" w:rsidP="008959A4" w:rsidRDefault="008959A4" w14:paraId="244C2A31" w14:textId="77777777">
      <w:pPr>
        <w:pStyle w:val="ALJBodyText"/>
      </w:pPr>
      <w:r w:rsidRPr="00487809">
        <w:rPr>
          <w:b/>
          <w:bCs/>
          <w:i/>
          <w:iCs/>
          <w:u w:val="single"/>
        </w:rPr>
        <w:t>ME&amp;O</w:t>
      </w:r>
      <w:r w:rsidRPr="000E485A">
        <w:t xml:space="preserve">:  </w:t>
      </w:r>
      <w:r w:rsidRPr="00BC0097">
        <w:t xml:space="preserve">PacifiCorp </w:t>
      </w:r>
      <w:r>
        <w:t xml:space="preserve">will continue to use </w:t>
      </w:r>
      <w:r w:rsidRPr="00BC0097">
        <w:t>a variety of media for outreach</w:t>
      </w:r>
      <w:r>
        <w:t xml:space="preserve"> including </w:t>
      </w:r>
      <w:r w:rsidRPr="00BC0097">
        <w:t>bill inserts</w:t>
      </w:r>
      <w:r>
        <w:t xml:space="preserve">, </w:t>
      </w:r>
      <w:r w:rsidRPr="00662B4F">
        <w:t>radio, print, digital and social (Facebook) advertisements</w:t>
      </w:r>
      <w:r>
        <w:t xml:space="preserve">, and </w:t>
      </w:r>
      <w:r w:rsidRPr="00662B4F">
        <w:t>direct mail.</w:t>
      </w:r>
      <w:r>
        <w:t xml:space="preserve"> </w:t>
      </w:r>
      <w:r w:rsidRPr="00662B4F">
        <w:t xml:space="preserve"> </w:t>
      </w:r>
      <w:r>
        <w:t xml:space="preserve">Since direct </w:t>
      </w:r>
      <w:r w:rsidRPr="00055DF6">
        <w:t xml:space="preserve">mail </w:t>
      </w:r>
      <w:r>
        <w:t>has</w:t>
      </w:r>
      <w:r w:rsidRPr="00055DF6">
        <w:t xml:space="preserve"> prove</w:t>
      </w:r>
      <w:r>
        <w:t>n</w:t>
      </w:r>
      <w:r w:rsidRPr="00055DF6">
        <w:t xml:space="preserve"> to be </w:t>
      </w:r>
      <w:r>
        <w:t xml:space="preserve">one of the most </w:t>
      </w:r>
      <w:r w:rsidRPr="00055DF6">
        <w:t>effective outreach tool</w:t>
      </w:r>
      <w:r>
        <w:t xml:space="preserve">s, </w:t>
      </w:r>
      <w:r w:rsidRPr="00055DF6">
        <w:t>PacifiCorp</w:t>
      </w:r>
      <w:r>
        <w:t xml:space="preserve"> </w:t>
      </w:r>
      <w:r w:rsidRPr="00055DF6">
        <w:t>proposes to increase the frequency of direct mail outreach to twice per year to</w:t>
      </w:r>
      <w:r>
        <w:t xml:space="preserve"> </w:t>
      </w:r>
      <w:r w:rsidRPr="00055DF6">
        <w:t xml:space="preserve">increase awareness and potential </w:t>
      </w:r>
      <w:r>
        <w:t>p</w:t>
      </w:r>
      <w:r w:rsidRPr="00055DF6">
        <w:t>articipation</w:t>
      </w:r>
      <w:r>
        <w:t>.  PacifiCorp</w:t>
      </w:r>
      <w:r w:rsidRPr="00436CDA">
        <w:t xml:space="preserve"> </w:t>
      </w:r>
      <w:r>
        <w:t xml:space="preserve">will also </w:t>
      </w:r>
      <w:r w:rsidRPr="00436CDA">
        <w:t>adjust</w:t>
      </w:r>
      <w:r>
        <w:t xml:space="preserve"> </w:t>
      </w:r>
      <w:r w:rsidRPr="00436CDA">
        <w:t>media buying based on market trends and shift outreach costs that were previously used for the</w:t>
      </w:r>
      <w:r>
        <w:t xml:space="preserve"> </w:t>
      </w:r>
      <w:r w:rsidRPr="00436CDA">
        <w:t>CARE grocery bags to other forms of outreach that are more effective.</w:t>
      </w:r>
      <w:r>
        <w:t xml:space="preserve">  Although </w:t>
      </w:r>
      <w:r w:rsidRPr="00BC0097">
        <w:t>PacifiCorp</w:t>
      </w:r>
      <w:r w:rsidRPr="00436CDA">
        <w:t xml:space="preserve"> </w:t>
      </w:r>
      <w:r>
        <w:t xml:space="preserve">does not identify any specific customer segments to target, it will </w:t>
      </w:r>
      <w:r w:rsidRPr="00436CDA">
        <w:t>provide</w:t>
      </w:r>
      <w:r>
        <w:t xml:space="preserve"> </w:t>
      </w:r>
      <w:r w:rsidRPr="00436CDA">
        <w:t xml:space="preserve">collateral and website content in </w:t>
      </w:r>
      <w:r>
        <w:t xml:space="preserve">both </w:t>
      </w:r>
      <w:r w:rsidRPr="00436CDA">
        <w:t>English and Spanish.</w:t>
      </w:r>
      <w:r>
        <w:t xml:space="preserve">  In previous years, </w:t>
      </w:r>
      <w:r w:rsidRPr="00BC0097">
        <w:t>PacifiCorp</w:t>
      </w:r>
      <w:r w:rsidRPr="00662B4F">
        <w:t xml:space="preserve"> distributed</w:t>
      </w:r>
      <w:r>
        <w:t xml:space="preserve"> </w:t>
      </w:r>
      <w:r w:rsidRPr="00662B4F">
        <w:t>grocery bags to agencies with food banks that contain CARE applications affixed to the bags.</w:t>
      </w:r>
      <w:r>
        <w:t xml:space="preserve">  </w:t>
      </w:r>
      <w:r w:rsidRPr="00BC0097">
        <w:t xml:space="preserve">PacifiCorp </w:t>
      </w:r>
      <w:r>
        <w:t>states that w</w:t>
      </w:r>
      <w:r w:rsidRPr="00662B4F">
        <w:t>hile these bags create</w:t>
      </w:r>
      <w:r>
        <w:t>d</w:t>
      </w:r>
      <w:r w:rsidRPr="00662B4F">
        <w:t xml:space="preserve"> program awareness, they </w:t>
      </w:r>
      <w:r>
        <w:t>were</w:t>
      </w:r>
      <w:r w:rsidRPr="00662B4F">
        <w:t xml:space="preserve"> not generating enrollment with less</w:t>
      </w:r>
      <w:r>
        <w:t xml:space="preserve"> </w:t>
      </w:r>
      <w:r w:rsidRPr="00662B4F">
        <w:t xml:space="preserve">than 5 percent of grocery bag applications being returned annually. </w:t>
      </w:r>
      <w:r>
        <w:t xml:space="preserve"> Therefore, for PYs 2021-2026, PacifiCorp proposes to discontinue use of the </w:t>
      </w:r>
      <w:r w:rsidRPr="00662B4F">
        <w:t>grocery bags</w:t>
      </w:r>
      <w:r>
        <w:t>.</w:t>
      </w:r>
    </w:p>
    <w:p w:rsidRPr="0082131E" w:rsidR="008959A4" w:rsidP="008959A4" w:rsidRDefault="008959A4" w14:paraId="18FB524D" w14:textId="77777777">
      <w:pPr>
        <w:pStyle w:val="ALJBodyText"/>
      </w:pPr>
      <w:r w:rsidRPr="00D52F3C">
        <w:rPr>
          <w:b/>
          <w:bCs/>
          <w:i/>
          <w:iCs/>
          <w:u w:val="single"/>
        </w:rPr>
        <w:t>Leveraging</w:t>
      </w:r>
      <w:r>
        <w:t xml:space="preserve">:  </w:t>
      </w:r>
      <w:r w:rsidRPr="00BC0097">
        <w:t>PacifiCorp</w:t>
      </w:r>
      <w:r w:rsidRPr="00436CDA">
        <w:t xml:space="preserve"> </w:t>
      </w:r>
      <w:r>
        <w:t xml:space="preserve">plans to </w:t>
      </w:r>
      <w:r w:rsidRPr="00436CDA">
        <w:t>enhance its relationships with the Yurok Tribal</w:t>
      </w:r>
      <w:r>
        <w:t xml:space="preserve"> </w:t>
      </w:r>
      <w:r w:rsidRPr="00436CDA">
        <w:t>Housing Authority, Elk Valley Rancheria and Smith River Rancheria Housing Authority as well</w:t>
      </w:r>
      <w:r>
        <w:t xml:space="preserve"> </w:t>
      </w:r>
      <w:r w:rsidRPr="00436CDA">
        <w:t>as the other local agencies to promot</w:t>
      </w:r>
      <w:r>
        <w:t>e</w:t>
      </w:r>
      <w:r w:rsidRPr="00436CDA">
        <w:t xml:space="preserve"> CARE</w:t>
      </w:r>
      <w:r>
        <w:t xml:space="preserve">.  </w:t>
      </w:r>
      <w:r w:rsidRPr="00436CDA">
        <w:t>PacifiCorp will continue partner</w:t>
      </w:r>
      <w:r>
        <w:t>ing</w:t>
      </w:r>
      <w:r w:rsidRPr="00436CDA">
        <w:t xml:space="preserve"> with CBOs for the </w:t>
      </w:r>
      <w:r>
        <w:t>PEV</w:t>
      </w:r>
      <w:r w:rsidRPr="00436CDA">
        <w:t xml:space="preserve"> process </w:t>
      </w:r>
      <w:r>
        <w:t>and</w:t>
      </w:r>
      <w:r w:rsidRPr="00436CDA">
        <w:t xml:space="preserve"> will continue to be active in</w:t>
      </w:r>
      <w:r>
        <w:t xml:space="preserve"> </w:t>
      </w:r>
      <w:r w:rsidRPr="00436CDA">
        <w:t xml:space="preserve">the local communities and provide CARE information to promote the </w:t>
      </w:r>
      <w:r>
        <w:t>p</w:t>
      </w:r>
      <w:r w:rsidRPr="00436CDA">
        <w:t>rogram.</w:t>
      </w:r>
      <w:r>
        <w:rPr>
          <w:rStyle w:val="FootnoteReference"/>
        </w:rPr>
        <w:footnoteReference w:id="65"/>
      </w:r>
    </w:p>
    <w:p w:rsidR="008959A4" w:rsidP="008959A4" w:rsidRDefault="008959A4" w14:paraId="7C9105CC" w14:textId="77777777">
      <w:pPr>
        <w:pStyle w:val="Heading3"/>
      </w:pPr>
      <w:bookmarkStart w:name="_Toc82159687" w:id="93"/>
      <w:r>
        <w:lastRenderedPageBreak/>
        <w:t>Southwest Gas Proposal</w:t>
      </w:r>
      <w:bookmarkEnd w:id="93"/>
      <w:r>
        <w:t xml:space="preserve"> </w:t>
      </w:r>
    </w:p>
    <w:p w:rsidRPr="00C80111" w:rsidR="008959A4" w:rsidP="008959A4" w:rsidRDefault="008959A4" w14:paraId="62985B4B" w14:textId="77777777">
      <w:pPr>
        <w:pStyle w:val="ALJBodyText"/>
      </w:pPr>
      <w:r w:rsidRPr="00487809">
        <w:rPr>
          <w:b/>
          <w:bCs/>
          <w:i/>
          <w:iCs/>
          <w:u w:val="single"/>
        </w:rPr>
        <w:t>ME&amp;O</w:t>
      </w:r>
      <w:r>
        <w:t xml:space="preserve">:  </w:t>
      </w:r>
      <w:r w:rsidRPr="00F41A4E">
        <w:t xml:space="preserve">Southwest Gas </w:t>
      </w:r>
      <w:r>
        <w:t xml:space="preserve">will continue </w:t>
      </w:r>
      <w:r w:rsidRPr="00F41A4E">
        <w:t>current program outreach</w:t>
      </w:r>
      <w:r>
        <w:t xml:space="preserve"> </w:t>
      </w:r>
      <w:r w:rsidRPr="00F41A4E">
        <w:t>activities, including bill inserts, direct mailings, newspaper ads, attendance and distribution</w:t>
      </w:r>
      <w:r>
        <w:t xml:space="preserve"> </w:t>
      </w:r>
      <w:r w:rsidRPr="00F41A4E">
        <w:t>of applications at public events, online enrollment,</w:t>
      </w:r>
      <w:r>
        <w:t xml:space="preserve"> </w:t>
      </w:r>
      <w:r w:rsidRPr="00F41A4E">
        <w:t>brochures, bus shelter</w:t>
      </w:r>
      <w:r w:rsidRPr="00B660D5">
        <w:t xml:space="preserve"> </w:t>
      </w:r>
      <w:r w:rsidRPr="00007D21">
        <w:t xml:space="preserve">ads, </w:t>
      </w:r>
      <w:r>
        <w:t xml:space="preserve">and </w:t>
      </w:r>
      <w:r w:rsidRPr="00007D21">
        <w:t>social media post</w:t>
      </w:r>
      <w:r>
        <w:t>s.</w:t>
      </w:r>
      <w:r w:rsidRPr="00C80111">
        <w:t xml:space="preserve"> </w:t>
      </w:r>
      <w:r>
        <w:t xml:space="preserve"> N</w:t>
      </w:r>
      <w:r w:rsidRPr="00C80111">
        <w:t>ew CARE program strategies includ</w:t>
      </w:r>
      <w:r>
        <w:t>e</w:t>
      </w:r>
      <w:r w:rsidRPr="00C80111">
        <w:t xml:space="preserve"> incorporating the use of the PRIZM Premier data analysis system to improve CARE program </w:t>
      </w:r>
      <w:r>
        <w:t xml:space="preserve">enrollment </w:t>
      </w:r>
      <w:r w:rsidRPr="00C80111">
        <w:t xml:space="preserve">levels. </w:t>
      </w:r>
      <w:r>
        <w:t xml:space="preserve"> </w:t>
      </w:r>
      <w:r w:rsidRPr="00C80111">
        <w:t xml:space="preserve">The initial PRIZM Premier analysis identified 11,524 unique Southwest Gas customers not currently enrolled in the CARE program with income characteristics consistent with the CARE program’s income requirements. </w:t>
      </w:r>
      <w:r>
        <w:t xml:space="preserve"> </w:t>
      </w:r>
      <w:r w:rsidRPr="00C80111">
        <w:t xml:space="preserve">With the unique identification of these individuals, Southwest Gas can better identify and target eligible CARE program customers and increase and maintain program </w:t>
      </w:r>
      <w:r>
        <w:t xml:space="preserve">enrollment </w:t>
      </w:r>
      <w:r w:rsidRPr="00C80111">
        <w:t xml:space="preserve">levels. </w:t>
      </w:r>
      <w:r>
        <w:t xml:space="preserve"> </w:t>
      </w:r>
      <w:r w:rsidRPr="00C80111">
        <w:t>Southwest Gas therefore proposes continued utilization of the PRIZM Premier data analysis system for PYs 2021-2026.</w:t>
      </w:r>
      <w:r w:rsidRPr="00C80111">
        <w:rPr>
          <w:vertAlign w:val="superscript"/>
        </w:rPr>
        <w:footnoteReference w:id="66"/>
      </w:r>
    </w:p>
    <w:p w:rsidR="008959A4" w:rsidP="008959A4" w:rsidRDefault="008959A4" w14:paraId="09F33393" w14:textId="77777777">
      <w:pPr>
        <w:pStyle w:val="ALJBodyText"/>
      </w:pPr>
      <w:r>
        <w:rPr>
          <w:b/>
          <w:bCs/>
          <w:i/>
          <w:iCs/>
          <w:u w:val="single"/>
        </w:rPr>
        <w:t>Leveraging:</w:t>
      </w:r>
      <w:r w:rsidRPr="00007D21">
        <w:t xml:space="preserve"> </w:t>
      </w:r>
      <w:r>
        <w:t xml:space="preserve"> </w:t>
      </w:r>
      <w:r w:rsidRPr="007B4796">
        <w:t xml:space="preserve">Southwest Gas </w:t>
      </w:r>
      <w:r>
        <w:t xml:space="preserve">will </w:t>
      </w:r>
      <w:r w:rsidRPr="007B4796">
        <w:t xml:space="preserve">continue to data share lists of active CARE </w:t>
      </w:r>
      <w:r>
        <w:t>p</w:t>
      </w:r>
      <w:r w:rsidRPr="007B4796">
        <w:t>rogram</w:t>
      </w:r>
      <w:r>
        <w:t xml:space="preserve"> </w:t>
      </w:r>
      <w:r w:rsidRPr="007B4796">
        <w:t>customers with</w:t>
      </w:r>
      <w:r w:rsidRPr="00007D21">
        <w:t xml:space="preserve"> S</w:t>
      </w:r>
      <w:r>
        <w:t xml:space="preserve">outhern </w:t>
      </w:r>
      <w:r w:rsidRPr="00007D21">
        <w:t>C</w:t>
      </w:r>
      <w:r>
        <w:t xml:space="preserve">alifornia </w:t>
      </w:r>
      <w:r w:rsidRPr="00007D21">
        <w:t>E</w:t>
      </w:r>
      <w:r>
        <w:t>dison</w:t>
      </w:r>
      <w:r w:rsidRPr="00007D21">
        <w:t>,</w:t>
      </w:r>
      <w:r>
        <w:t xml:space="preserve"> </w:t>
      </w:r>
      <w:r w:rsidRPr="00007D21">
        <w:t>Liberty, B</w:t>
      </w:r>
      <w:r>
        <w:t xml:space="preserve">ear </w:t>
      </w:r>
      <w:r w:rsidRPr="00007D21">
        <w:t>V</w:t>
      </w:r>
      <w:r>
        <w:t>alley</w:t>
      </w:r>
      <w:r w:rsidRPr="00007D21">
        <w:t>, Apple Valley Water, capitation agencies</w:t>
      </w:r>
      <w:r>
        <w:t xml:space="preserve"> and </w:t>
      </w:r>
      <w:r w:rsidRPr="007B4796">
        <w:t xml:space="preserve">with </w:t>
      </w:r>
      <w:r>
        <w:t xml:space="preserve">its </w:t>
      </w:r>
      <w:r w:rsidRPr="007B4796">
        <w:t xml:space="preserve">Energy Share </w:t>
      </w:r>
      <w:r>
        <w:t>p</w:t>
      </w:r>
      <w:r w:rsidRPr="007B4796">
        <w:t>rogram.</w:t>
      </w:r>
      <w:r>
        <w:rPr>
          <w:rStyle w:val="FootnoteReference"/>
        </w:rPr>
        <w:footnoteReference w:id="67"/>
      </w:r>
    </w:p>
    <w:p w:rsidR="008959A4" w:rsidP="008959A4" w:rsidRDefault="008959A4" w14:paraId="520E5462" w14:textId="77777777">
      <w:pPr>
        <w:pStyle w:val="Heading3"/>
      </w:pPr>
      <w:bookmarkStart w:name="_Toc82159688" w:id="94"/>
      <w:r>
        <w:t>West Coast Gas Proposal</w:t>
      </w:r>
      <w:bookmarkEnd w:id="94"/>
      <w:r>
        <w:t xml:space="preserve"> </w:t>
      </w:r>
    </w:p>
    <w:p w:rsidR="008959A4" w:rsidP="008959A4" w:rsidRDefault="008959A4" w14:paraId="0AC82678" w14:textId="77777777">
      <w:pPr>
        <w:pStyle w:val="Standard"/>
      </w:pPr>
      <w:r w:rsidRPr="00487809">
        <w:rPr>
          <w:b/>
          <w:bCs/>
          <w:i/>
          <w:iCs/>
          <w:u w:val="single"/>
        </w:rPr>
        <w:t>ME&amp;O</w:t>
      </w:r>
      <w:r>
        <w:t xml:space="preserve">:  </w:t>
      </w:r>
      <w:r w:rsidRPr="00E761A3">
        <w:t>W</w:t>
      </w:r>
      <w:r>
        <w:t xml:space="preserve">est </w:t>
      </w:r>
      <w:r w:rsidRPr="00E761A3">
        <w:t>C</w:t>
      </w:r>
      <w:r>
        <w:t xml:space="preserve">oast </w:t>
      </w:r>
      <w:r w:rsidRPr="00E761A3">
        <w:t>G</w:t>
      </w:r>
      <w:r>
        <w:t>as</w:t>
      </w:r>
      <w:r w:rsidRPr="00E761A3">
        <w:t xml:space="preserve"> </w:t>
      </w:r>
      <w:r>
        <w:t>will</w:t>
      </w:r>
      <w:r w:rsidRPr="00E761A3">
        <w:t xml:space="preserve"> continue the outreach strategies of prior years and explore broader local partnerships to energize and deepen community engagement.  These include sending CARE program information to customers quarterly, providing new customers with a CARE brochure and application, and including CARE information on its website.</w:t>
      </w:r>
      <w:r w:rsidRPr="00E761A3">
        <w:rPr>
          <w:vertAlign w:val="superscript"/>
        </w:rPr>
        <w:footnoteReference w:id="68"/>
      </w:r>
      <w:r w:rsidRPr="00E761A3">
        <w:t xml:space="preserve"> </w:t>
      </w:r>
    </w:p>
    <w:p w:rsidR="008959A4" w:rsidP="008959A4" w:rsidRDefault="008959A4" w14:paraId="3B788E87" w14:textId="77777777">
      <w:pPr>
        <w:pStyle w:val="Standard"/>
      </w:pPr>
      <w:r>
        <w:rPr>
          <w:b/>
          <w:bCs/>
          <w:i/>
          <w:iCs/>
          <w:u w:val="single"/>
        </w:rPr>
        <w:lastRenderedPageBreak/>
        <w:t>Leveraging</w:t>
      </w:r>
      <w:r w:rsidRPr="000E485A">
        <w:rPr>
          <w:b/>
          <w:bCs/>
          <w:i/>
          <w:iCs/>
        </w:rPr>
        <w:t>:</w:t>
      </w:r>
      <w:r w:rsidRPr="000E485A">
        <w:t xml:space="preserve">  </w:t>
      </w:r>
      <w:r w:rsidRPr="00E761A3">
        <w:t>W</w:t>
      </w:r>
      <w:r>
        <w:t xml:space="preserve">est </w:t>
      </w:r>
      <w:r w:rsidRPr="00E761A3">
        <w:t>C</w:t>
      </w:r>
      <w:r>
        <w:t xml:space="preserve">oast </w:t>
      </w:r>
      <w:r w:rsidRPr="00E761A3">
        <w:t>G</w:t>
      </w:r>
      <w:r>
        <w:t>as</w:t>
      </w:r>
      <w:r w:rsidRPr="00E761A3">
        <w:t xml:space="preserve"> </w:t>
      </w:r>
      <w:r>
        <w:t>does not propose any specific leveraging efforts with regards to the CARE program, other than continuing relationships with local agencies.</w:t>
      </w:r>
      <w:r w:rsidRPr="00E761A3">
        <w:rPr>
          <w:vertAlign w:val="superscript"/>
        </w:rPr>
        <w:footnoteReference w:id="69"/>
      </w:r>
      <w:r>
        <w:t xml:space="preserve"> </w:t>
      </w:r>
    </w:p>
    <w:p w:rsidR="008959A4" w:rsidP="008959A4" w:rsidRDefault="008959A4" w14:paraId="1B00AF15" w14:textId="77777777">
      <w:pPr>
        <w:pStyle w:val="Heading3"/>
      </w:pPr>
      <w:bookmarkStart w:name="_Toc82159689" w:id="95"/>
      <w:r>
        <w:t>Party Comments</w:t>
      </w:r>
      <w:bookmarkEnd w:id="95"/>
    </w:p>
    <w:p w:rsidR="008959A4" w:rsidP="008959A4" w:rsidRDefault="008959A4" w14:paraId="04496A89" w14:textId="77777777">
      <w:pPr>
        <w:pStyle w:val="Heading4"/>
        <w:ind w:left="3600" w:hanging="1260"/>
      </w:pPr>
      <w:bookmarkStart w:name="_Toc82159690" w:id="96"/>
      <w:r>
        <w:t>Cal Advocates</w:t>
      </w:r>
      <w:bookmarkEnd w:id="96"/>
    </w:p>
    <w:p w:rsidRPr="007B5BFD" w:rsidR="008959A4" w:rsidP="008959A4" w:rsidRDefault="008959A4" w14:paraId="0F88BC33" w14:textId="77777777">
      <w:pPr>
        <w:pStyle w:val="Standard"/>
        <w:rPr>
          <w:b/>
          <w:bCs/>
        </w:rPr>
      </w:pPr>
      <w:r>
        <w:rPr>
          <w:b/>
          <w:bCs/>
          <w:i/>
          <w:iCs/>
          <w:u w:val="single"/>
        </w:rPr>
        <w:t>Mid Cycle Evaluation of Liberty’s ME&amp;O Efforts</w:t>
      </w:r>
      <w:r w:rsidRPr="000E485A">
        <w:rPr>
          <w:b/>
          <w:bCs/>
          <w:i/>
          <w:iCs/>
        </w:rPr>
        <w:t>:</w:t>
      </w:r>
      <w:r w:rsidRPr="000E485A">
        <w:t xml:space="preserve">  </w:t>
      </w:r>
      <w:r>
        <w:t xml:space="preserve">Cal Advocates propose that Liberty be required to </w:t>
      </w:r>
      <w:r w:rsidRPr="00D379F7">
        <w:t>submit a mid-cycle evaluation report by February</w:t>
      </w:r>
      <w:r>
        <w:t> </w:t>
      </w:r>
      <w:r w:rsidRPr="00D379F7">
        <w:t>1,</w:t>
      </w:r>
      <w:r>
        <w:t> </w:t>
      </w:r>
      <w:r w:rsidRPr="00D379F7">
        <w:t>2024,</w:t>
      </w:r>
      <w:r>
        <w:t xml:space="preserve"> to the Commission and service list, </w:t>
      </w:r>
      <w:r w:rsidRPr="00D379F7">
        <w:t xml:space="preserve">on the cost effectiveness and </w:t>
      </w:r>
      <w:r>
        <w:t xml:space="preserve">progress </w:t>
      </w:r>
      <w:r w:rsidRPr="00D379F7">
        <w:t>of its</w:t>
      </w:r>
      <w:r>
        <w:t xml:space="preserve"> </w:t>
      </w:r>
      <w:r w:rsidRPr="00D379F7">
        <w:t>proposed CARE outreach approaches</w:t>
      </w:r>
      <w:r>
        <w:t xml:space="preserve">.  Cal Advocates state that Liberty’s proposal to rapidly </w:t>
      </w:r>
      <w:r w:rsidRPr="00AB7713">
        <w:t xml:space="preserve">increase </w:t>
      </w:r>
      <w:r>
        <w:t>its</w:t>
      </w:r>
      <w:r w:rsidRPr="00AB7713">
        <w:t xml:space="preserve"> CARE </w:t>
      </w:r>
      <w:r>
        <w:t xml:space="preserve">enrollment </w:t>
      </w:r>
      <w:r w:rsidRPr="00AB7713">
        <w:t>rate from 58</w:t>
      </w:r>
      <w:r>
        <w:t> percent</w:t>
      </w:r>
      <w:r w:rsidRPr="00AB7713">
        <w:t xml:space="preserve"> to </w:t>
      </w:r>
      <w:r w:rsidRPr="006B5D27">
        <w:t>82</w:t>
      </w:r>
      <w:r>
        <w:t> </w:t>
      </w:r>
      <w:r w:rsidRPr="006B5D27">
        <w:t>percent</w:t>
      </w:r>
      <w:r w:rsidRPr="00AB7713">
        <w:t xml:space="preserve"> for PY</w:t>
      </w:r>
      <w:r>
        <w:t>s</w:t>
      </w:r>
      <w:r w:rsidRPr="00AB7713">
        <w:t xml:space="preserve"> 2020-2021</w:t>
      </w:r>
      <w:r>
        <w:t xml:space="preserve"> i</w:t>
      </w:r>
      <w:r w:rsidRPr="00AB7713">
        <w:t>s an ambitious and challenging plan</w:t>
      </w:r>
      <w:r>
        <w:t xml:space="preserve"> to which the </w:t>
      </w:r>
      <w:r w:rsidRPr="00AB7713">
        <w:t>Commission</w:t>
      </w:r>
      <w:r>
        <w:t xml:space="preserve"> should increase its </w:t>
      </w:r>
      <w:r w:rsidRPr="00AB7713">
        <w:t xml:space="preserve">oversight through </w:t>
      </w:r>
      <w:r>
        <w:t>this</w:t>
      </w:r>
      <w:r w:rsidRPr="00AB7713">
        <w:t xml:space="preserve"> mid-cycle evaluation to ensure that ratepayers’ funds are</w:t>
      </w:r>
      <w:r>
        <w:t xml:space="preserve"> </w:t>
      </w:r>
      <w:r w:rsidRPr="00AB7713">
        <w:t>prudently spent on reasonable and cost</w:t>
      </w:r>
      <w:r>
        <w:noBreakHyphen/>
      </w:r>
      <w:r w:rsidRPr="00AB7713">
        <w:t>effective outreach activities.</w:t>
      </w:r>
      <w:r w:rsidRPr="00D379F7">
        <w:rPr>
          <w:vertAlign w:val="superscript"/>
        </w:rPr>
        <w:footnoteReference w:id="70"/>
      </w:r>
      <w:r>
        <w:t xml:space="preserve">  Additionally,</w:t>
      </w:r>
      <w:r w:rsidRPr="00D379F7">
        <w:t xml:space="preserve"> if Liberty fails to</w:t>
      </w:r>
      <w:r>
        <w:t xml:space="preserve"> </w:t>
      </w:r>
      <w:r w:rsidRPr="00D379F7">
        <w:t>meet the 90</w:t>
      </w:r>
      <w:r>
        <w:t> percent</w:t>
      </w:r>
      <w:r w:rsidRPr="00D379F7">
        <w:t xml:space="preserve"> </w:t>
      </w:r>
      <w:r>
        <w:t xml:space="preserve">enrollment </w:t>
      </w:r>
      <w:r w:rsidRPr="00D379F7">
        <w:t>goal by mid-cycle, Liberty should file a Tier 3</w:t>
      </w:r>
      <w:r>
        <w:t xml:space="preserve"> </w:t>
      </w:r>
      <w:r w:rsidRPr="00D379F7">
        <w:t>advice letter along with the above mid-cycle evaluation report no later than February</w:t>
      </w:r>
      <w:r>
        <w:t> </w:t>
      </w:r>
      <w:r w:rsidRPr="00D379F7">
        <w:t>1,</w:t>
      </w:r>
      <w:r>
        <w:t> </w:t>
      </w:r>
      <w:r w:rsidRPr="00D379F7">
        <w:t>2024</w:t>
      </w:r>
      <w:r>
        <w:t>.</w:t>
      </w:r>
      <w:r w:rsidRPr="00D379F7">
        <w:rPr>
          <w:vertAlign w:val="superscript"/>
        </w:rPr>
        <w:footnoteReference w:id="71"/>
      </w:r>
      <w:r w:rsidRPr="00F52E1C">
        <w:t xml:space="preserve"> </w:t>
      </w:r>
      <w:r>
        <w:t xml:space="preserve"> The advice letter should include </w:t>
      </w:r>
      <w:r w:rsidRPr="00331969">
        <w:t>the cost of various outreach strategies Liberty implemented in the first three years of the program cycle, Liberty’s most cost-effective strategies for increasing CARE enrollment, and any proposed outreach adjustments for the remaining program cycle</w:t>
      </w:r>
      <w:r>
        <w:t xml:space="preserve"> </w:t>
      </w:r>
      <w:r w:rsidRPr="00331969">
        <w:t>based on the evaluation.</w:t>
      </w:r>
      <w:r w:rsidRPr="00F52E1C">
        <w:t xml:space="preserve"> </w:t>
      </w:r>
      <w:r>
        <w:t xml:space="preserve"> </w:t>
      </w:r>
      <w:r w:rsidRPr="00F52E1C">
        <w:t xml:space="preserve">Cal Advocates further recommend that in reviewing Liberty’s advice letter, the Commission should deny the use of any outreach methods that do not </w:t>
      </w:r>
      <w:r w:rsidRPr="00F52E1C">
        <w:lastRenderedPageBreak/>
        <w:t>support increased CARE enrollment and do not provide meaningful benefits to low-income customers for the remainder of the program cycle.</w:t>
      </w:r>
    </w:p>
    <w:p w:rsidR="008959A4" w:rsidP="008959A4" w:rsidRDefault="008959A4" w14:paraId="0BA8AD5F" w14:textId="77777777">
      <w:pPr>
        <w:pStyle w:val="Heading4"/>
        <w:ind w:left="3600" w:hanging="1260"/>
      </w:pPr>
      <w:bookmarkStart w:name="_Toc82159691" w:id="97"/>
      <w:r>
        <w:t>EEC and Free Energy</w:t>
      </w:r>
      <w:bookmarkEnd w:id="97"/>
      <w:r>
        <w:t xml:space="preserve"> </w:t>
      </w:r>
    </w:p>
    <w:p w:rsidR="008959A4" w:rsidP="008959A4" w:rsidRDefault="008959A4" w14:paraId="610FDBDE" w14:textId="77777777">
      <w:pPr>
        <w:pStyle w:val="Standard"/>
      </w:pPr>
      <w:r>
        <w:rPr>
          <w:b/>
          <w:bCs/>
          <w:i/>
          <w:iCs/>
          <w:u w:val="single"/>
        </w:rPr>
        <w:t>Direct CBO One-On-One Outreach via ESA Contractors</w:t>
      </w:r>
      <w:r>
        <w:t>:  EEC and Free Energy state that income verifications and recertifications are problematic because they result in the removal of many</w:t>
      </w:r>
      <w:r w:rsidRPr="00E709EB">
        <w:t xml:space="preserve"> low-income families </w:t>
      </w:r>
      <w:r>
        <w:t xml:space="preserve">from the program.  These households are dropped from the program for one of two reasons; either they are not qualified for the program, or they are still </w:t>
      </w:r>
      <w:r w:rsidRPr="00E709EB">
        <w:t xml:space="preserve">eligible but do not respond </w:t>
      </w:r>
      <w:r>
        <w:t xml:space="preserve">to </w:t>
      </w:r>
      <w:r w:rsidRPr="00E709EB">
        <w:t>outreach efforts</w:t>
      </w:r>
      <w:r>
        <w:t xml:space="preserve"> to verify their status</w:t>
      </w:r>
      <w:r w:rsidRPr="00E709EB">
        <w:t xml:space="preserve">. </w:t>
      </w:r>
      <w:r>
        <w:t xml:space="preserve"> </w:t>
      </w:r>
      <w:r w:rsidRPr="00E709EB">
        <w:t>EEC</w:t>
      </w:r>
      <w:r>
        <w:t xml:space="preserve"> assumes the latter and </w:t>
      </w:r>
      <w:r w:rsidRPr="00E709EB">
        <w:t>recommend</w:t>
      </w:r>
      <w:r>
        <w:t>s</w:t>
      </w:r>
      <w:r w:rsidRPr="00E709EB">
        <w:t xml:space="preserve"> more aggressive and</w:t>
      </w:r>
      <w:r>
        <w:t xml:space="preserve"> </w:t>
      </w:r>
      <w:r w:rsidRPr="00E709EB">
        <w:t>direct one-on-one outreach</w:t>
      </w:r>
      <w:r>
        <w:t xml:space="preserve"> through an </w:t>
      </w:r>
      <w:r w:rsidRPr="00E709EB">
        <w:t xml:space="preserve">extension of the </w:t>
      </w:r>
      <w:r>
        <w:t>c</w:t>
      </w:r>
      <w:r w:rsidRPr="00E709EB">
        <w:t xml:space="preserve">apitation </w:t>
      </w:r>
      <w:r>
        <w:t>f</w:t>
      </w:r>
      <w:r w:rsidRPr="00E709EB">
        <w:t xml:space="preserve">ee program. </w:t>
      </w:r>
      <w:r>
        <w:t xml:space="preserve"> EEC and Free Energy recommend that the SMJUs provide i</w:t>
      </w:r>
      <w:r w:rsidRPr="00E709EB">
        <w:t xml:space="preserve">nterested ESA </w:t>
      </w:r>
      <w:r>
        <w:t>c</w:t>
      </w:r>
      <w:r w:rsidRPr="00E709EB">
        <w:t>ontractors with lists of recently or about to</w:t>
      </w:r>
      <w:r>
        <w:t xml:space="preserve"> </w:t>
      </w:r>
      <w:r w:rsidRPr="00E709EB">
        <w:t>be terminated CARE customers and allow them to perform outreach to secure the needed</w:t>
      </w:r>
      <w:r>
        <w:t xml:space="preserve"> </w:t>
      </w:r>
      <w:r w:rsidRPr="00E709EB">
        <w:t xml:space="preserve">paperwork or documents. </w:t>
      </w:r>
      <w:r>
        <w:t xml:space="preserve"> And s</w:t>
      </w:r>
      <w:r w:rsidRPr="00E709EB">
        <w:t xml:space="preserve">hould an ESA </w:t>
      </w:r>
      <w:r>
        <w:t>c</w:t>
      </w:r>
      <w:r w:rsidRPr="00E709EB">
        <w:t>ontractor collect data as part of their</w:t>
      </w:r>
      <w:r>
        <w:t xml:space="preserve"> </w:t>
      </w:r>
      <w:r w:rsidRPr="00E709EB">
        <w:t>regular outreach and enrollment efforts, this should be used as recertification and/or</w:t>
      </w:r>
      <w:r>
        <w:t xml:space="preserve"> </w:t>
      </w:r>
      <w:r w:rsidRPr="00E709EB">
        <w:t>verification to re-start the clock for that CARE customer</w:t>
      </w:r>
      <w:r>
        <w:t xml:space="preserve">, preventing </w:t>
      </w:r>
      <w:r w:rsidRPr="00E709EB">
        <w:t>that customer</w:t>
      </w:r>
      <w:r>
        <w:t xml:space="preserve"> </w:t>
      </w:r>
      <w:r w:rsidRPr="00E709EB">
        <w:t xml:space="preserve">from becoming a </w:t>
      </w:r>
      <w:r>
        <w:t>“</w:t>
      </w:r>
      <w:r w:rsidRPr="00E709EB">
        <w:t>false negative</w:t>
      </w:r>
      <w:r>
        <w:t>”</w:t>
      </w:r>
      <w:r w:rsidRPr="00E709EB">
        <w:t xml:space="preserve"> for a non-response until the new cycle is completed.</w:t>
      </w:r>
      <w:r>
        <w:rPr>
          <w:rStyle w:val="FootnoteReference"/>
        </w:rPr>
        <w:footnoteReference w:id="72"/>
      </w:r>
    </w:p>
    <w:p w:rsidR="008959A4" w:rsidP="008959A4" w:rsidRDefault="008959A4" w14:paraId="3872C2FE" w14:textId="77777777">
      <w:pPr>
        <w:pStyle w:val="Heading3"/>
      </w:pPr>
      <w:bookmarkStart w:name="_Toc82159692" w:id="98"/>
      <w:r>
        <w:t>SMJU Responses</w:t>
      </w:r>
      <w:bookmarkEnd w:id="98"/>
    </w:p>
    <w:p w:rsidR="008959A4" w:rsidP="008959A4" w:rsidRDefault="008959A4" w14:paraId="25AF60F8" w14:textId="77777777">
      <w:pPr>
        <w:pStyle w:val="Heading4"/>
        <w:ind w:left="3600" w:hanging="1260"/>
      </w:pPr>
      <w:bookmarkStart w:name="_Toc82159693" w:id="99"/>
      <w:r>
        <w:t>PacifiCorp Response</w:t>
      </w:r>
      <w:bookmarkEnd w:id="99"/>
    </w:p>
    <w:p w:rsidR="008959A4" w:rsidP="008959A4" w:rsidRDefault="008959A4" w14:paraId="5427C3A3" w14:textId="77777777">
      <w:pPr>
        <w:pStyle w:val="Standard"/>
      </w:pPr>
      <w:r>
        <w:rPr>
          <w:b/>
          <w:bCs/>
          <w:i/>
          <w:iCs/>
          <w:u w:val="single"/>
        </w:rPr>
        <w:t>Direct CBO One-On-One Outreach</w:t>
      </w:r>
      <w:r w:rsidRPr="008B6C4A">
        <w:rPr>
          <w:b/>
          <w:bCs/>
          <w:i/>
          <w:iCs/>
          <w:u w:val="single"/>
        </w:rPr>
        <w:t xml:space="preserve"> </w:t>
      </w:r>
      <w:r>
        <w:rPr>
          <w:b/>
          <w:bCs/>
          <w:i/>
          <w:iCs/>
          <w:u w:val="single"/>
        </w:rPr>
        <w:t>via ESA Contractors</w:t>
      </w:r>
      <w:r>
        <w:t xml:space="preserve">:  First, PacifiCorp takes issue with </w:t>
      </w:r>
      <w:r w:rsidRPr="00C43B6D">
        <w:t xml:space="preserve">EEC </w:t>
      </w:r>
      <w:r>
        <w:t>and Free Energy’s pro</w:t>
      </w:r>
      <w:r w:rsidRPr="00C43B6D">
        <w:t>pos</w:t>
      </w:r>
      <w:r>
        <w:t>al</w:t>
      </w:r>
      <w:r w:rsidRPr="00C43B6D">
        <w:t xml:space="preserve"> </w:t>
      </w:r>
      <w:r>
        <w:t>in its Opening Brief to</w:t>
      </w:r>
      <w:r w:rsidRPr="00C43B6D">
        <w:t xml:space="preserve"> </w:t>
      </w:r>
      <w:r>
        <w:t>introduce this outreach proposal wh</w:t>
      </w:r>
      <w:r w:rsidRPr="00742901">
        <w:t xml:space="preserve">ich </w:t>
      </w:r>
      <w:r>
        <w:t>was</w:t>
      </w:r>
      <w:r w:rsidRPr="00742901">
        <w:t xml:space="preserve"> not properly supported by testimony or evidence in the record</w:t>
      </w:r>
      <w:r>
        <w:t xml:space="preserve">.  Regardless of this due process issue, PacifiCorp states that 1) the </w:t>
      </w:r>
      <w:r w:rsidRPr="004B35D8">
        <w:t>record does not establish that there is a</w:t>
      </w:r>
      <w:r>
        <w:t xml:space="preserve"> </w:t>
      </w:r>
      <w:r w:rsidRPr="004B35D8">
        <w:t xml:space="preserve">“massive </w:t>
      </w:r>
      <w:r w:rsidRPr="004B35D8">
        <w:lastRenderedPageBreak/>
        <w:t>problem</w:t>
      </w:r>
      <w:r>
        <w:t>,</w:t>
      </w:r>
      <w:r w:rsidRPr="004B35D8">
        <w:t>” or these measures are necessary</w:t>
      </w:r>
      <w:r>
        <w:t>, 2) w</w:t>
      </w:r>
      <w:r w:rsidRPr="004B35D8">
        <w:t>ithout the opportunity to respond</w:t>
      </w:r>
      <w:r>
        <w:t xml:space="preserve"> </w:t>
      </w:r>
      <w:r w:rsidRPr="004B35D8">
        <w:t>in testimony, PacifiCorp cannot describe its recertification process, which is undertaken twice a</w:t>
      </w:r>
      <w:r>
        <w:t xml:space="preserve"> </w:t>
      </w:r>
      <w:r w:rsidRPr="004B35D8">
        <w:t xml:space="preserve">year, and how it engages </w:t>
      </w:r>
      <w:r w:rsidRPr="00C43B6D">
        <w:t xml:space="preserve">Great Northern Services </w:t>
      </w:r>
      <w:r w:rsidRPr="004B35D8">
        <w:t>in the process</w:t>
      </w:r>
      <w:r>
        <w:t>, and 3) this recommendation w</w:t>
      </w:r>
      <w:r w:rsidRPr="004B35D8">
        <w:t>ould likely</w:t>
      </w:r>
      <w:r>
        <w:t xml:space="preserve"> </w:t>
      </w:r>
      <w:r w:rsidRPr="004B35D8">
        <w:t xml:space="preserve">result in higher costs for the program. </w:t>
      </w:r>
      <w:r>
        <w:t xml:space="preserve"> </w:t>
      </w:r>
      <w:r w:rsidRPr="004B35D8">
        <w:t>Without record evidence that a problem exists or that its</w:t>
      </w:r>
      <w:r>
        <w:t xml:space="preserve"> </w:t>
      </w:r>
      <w:r w:rsidRPr="004B35D8">
        <w:t>proposals are reasonable or necessary, this</w:t>
      </w:r>
      <w:r>
        <w:t xml:space="preserve"> proposal s</w:t>
      </w:r>
      <w:r w:rsidRPr="004B35D8">
        <w:t xml:space="preserve">hould </w:t>
      </w:r>
      <w:r>
        <w:t xml:space="preserve">be </w:t>
      </w:r>
      <w:r w:rsidRPr="004B35D8">
        <w:t>reject</w:t>
      </w:r>
      <w:r>
        <w:t>ed.</w:t>
      </w:r>
      <w:r>
        <w:rPr>
          <w:rStyle w:val="FootnoteReference"/>
        </w:rPr>
        <w:footnoteReference w:id="73"/>
      </w:r>
    </w:p>
    <w:p w:rsidRPr="00F6154C" w:rsidR="008959A4" w:rsidP="008959A4" w:rsidRDefault="008959A4" w14:paraId="1489313D" w14:textId="77777777">
      <w:pPr>
        <w:pStyle w:val="Heading3"/>
      </w:pPr>
      <w:bookmarkStart w:name="_Toc82159694" w:id="100"/>
      <w:r w:rsidRPr="00F6154C">
        <w:t>Discussion</w:t>
      </w:r>
      <w:bookmarkEnd w:id="100"/>
    </w:p>
    <w:p w:rsidR="008959A4" w:rsidP="008959A4" w:rsidRDefault="008959A4" w14:paraId="6E32AFA6" w14:textId="77777777">
      <w:pPr>
        <w:pStyle w:val="Heading4"/>
        <w:ind w:left="3600" w:hanging="1260"/>
      </w:pPr>
      <w:bookmarkStart w:name="_Toc69947801" w:id="101"/>
      <w:bookmarkStart w:name="_Toc82159695" w:id="102"/>
      <w:r>
        <w:t>SMJU Proposed ME&amp;O and Leveraging</w:t>
      </w:r>
      <w:r w:rsidRPr="00A51326">
        <w:t xml:space="preserve"> </w:t>
      </w:r>
      <w:r>
        <w:t>Efforts</w:t>
      </w:r>
      <w:r w:rsidRPr="00A51326">
        <w:t xml:space="preserve">: </w:t>
      </w:r>
      <w:r>
        <w:t xml:space="preserve"> </w:t>
      </w:r>
      <w:r w:rsidRPr="00B262E0">
        <w:rPr>
          <w:u w:val="single"/>
        </w:rPr>
        <w:t xml:space="preserve">Approved with Additional </w:t>
      </w:r>
      <w:r w:rsidRPr="00B262E0">
        <w:rPr>
          <w:u w:val="single"/>
        </w:rPr>
        <w:br/>
        <w:t>Reporting Requirements</w:t>
      </w:r>
      <w:bookmarkEnd w:id="101"/>
      <w:bookmarkEnd w:id="102"/>
    </w:p>
    <w:p w:rsidR="008959A4" w:rsidP="008959A4" w:rsidRDefault="008959A4" w14:paraId="29895FE1" w14:textId="77777777">
      <w:pPr>
        <w:pStyle w:val="Standard"/>
      </w:pPr>
      <w:r w:rsidRPr="005322FA">
        <w:t xml:space="preserve">We approve the </w:t>
      </w:r>
      <w:r>
        <w:t>SMJUs’</w:t>
      </w:r>
      <w:r w:rsidRPr="005322FA">
        <w:t xml:space="preserve"> CARE ME&amp;O </w:t>
      </w:r>
      <w:r>
        <w:t xml:space="preserve">and leveraging </w:t>
      </w:r>
      <w:r w:rsidRPr="005322FA">
        <w:t xml:space="preserve">strategies and </w:t>
      </w:r>
      <w:r>
        <w:t xml:space="preserve">efforts and </w:t>
      </w:r>
      <w:r w:rsidRPr="005322FA">
        <w:t xml:space="preserve">commend each utility for </w:t>
      </w:r>
      <w:r>
        <w:t>their thoughtful</w:t>
      </w:r>
      <w:r w:rsidRPr="005322FA">
        <w:t xml:space="preserve"> approach to maintaining the 90 plus percent </w:t>
      </w:r>
      <w:r>
        <w:t xml:space="preserve">enrollment </w:t>
      </w:r>
      <w:r w:rsidRPr="005322FA">
        <w:t>rate and enrolling that very last group of hard</w:t>
      </w:r>
      <w:r w:rsidRPr="005322FA">
        <w:noBreakHyphen/>
        <w:t>to</w:t>
      </w:r>
      <w:r w:rsidRPr="005322FA">
        <w:noBreakHyphen/>
        <w:t xml:space="preserve">reach customers.  We trust that each </w:t>
      </w:r>
      <w:r>
        <w:t>SMJU</w:t>
      </w:r>
      <w:r w:rsidRPr="005322FA">
        <w:t xml:space="preserve"> has crafted strategies that best tackle their respective service areas’ challenges and will therefore not require a statewide implementation of all </w:t>
      </w:r>
      <w:r>
        <w:t>ME&amp;O</w:t>
      </w:r>
      <w:r w:rsidRPr="005322FA">
        <w:t xml:space="preserve"> efforts being approved in this decision.  However, we highlight below aspects of each </w:t>
      </w:r>
      <w:r>
        <w:t>SMJU</w:t>
      </w:r>
      <w:r w:rsidRPr="005322FA">
        <w:t xml:space="preserve"> strategy that we find interesting and worthwhile for all the </w:t>
      </w:r>
      <w:r>
        <w:t>SMJUs</w:t>
      </w:r>
      <w:r w:rsidRPr="005322FA">
        <w:t xml:space="preserve"> to consider integrating if not already doing so.  </w:t>
      </w:r>
    </w:p>
    <w:p w:rsidR="008959A4" w:rsidP="008959A4" w:rsidRDefault="008959A4" w14:paraId="162FF5DC" w14:textId="77777777">
      <w:pPr>
        <w:pStyle w:val="ListParagraph"/>
        <w:numPr>
          <w:ilvl w:val="0"/>
          <w:numId w:val="17"/>
        </w:numPr>
        <w:spacing w:after="120"/>
        <w:ind w:left="1080" w:right="1440"/>
        <w:rPr>
          <w:rFonts w:eastAsia="Calibri"/>
          <w:color w:val="000000" w:themeColor="text1"/>
        </w:rPr>
      </w:pPr>
      <w:r>
        <w:rPr>
          <w:rFonts w:eastAsia="Calibri"/>
          <w:color w:val="000000" w:themeColor="text1"/>
        </w:rPr>
        <w:t xml:space="preserve">Southwest Gas’ use of </w:t>
      </w:r>
      <w:r w:rsidRPr="006375B6">
        <w:rPr>
          <w:rFonts w:eastAsia="Calibri"/>
          <w:color w:val="000000" w:themeColor="text1"/>
        </w:rPr>
        <w:t>PRIZM to target certain DACs and other vulnerable communities for CARE enrollment.</w:t>
      </w:r>
      <w:r>
        <w:rPr>
          <w:rFonts w:eastAsia="Calibri"/>
          <w:color w:val="000000" w:themeColor="text1"/>
        </w:rPr>
        <w:t xml:space="preserve"> </w:t>
      </w:r>
    </w:p>
    <w:p w:rsidR="008959A4" w:rsidP="008959A4" w:rsidRDefault="008959A4" w14:paraId="48F7B876" w14:textId="77777777">
      <w:pPr>
        <w:pStyle w:val="ListParagraph"/>
        <w:numPr>
          <w:ilvl w:val="0"/>
          <w:numId w:val="17"/>
        </w:numPr>
        <w:spacing w:after="120"/>
        <w:ind w:left="1080" w:right="1440"/>
        <w:rPr>
          <w:rFonts w:eastAsia="Calibri"/>
          <w:color w:val="000000" w:themeColor="text1"/>
        </w:rPr>
      </w:pPr>
      <w:r>
        <w:rPr>
          <w:rFonts w:eastAsia="Calibri"/>
          <w:color w:val="000000" w:themeColor="text1"/>
        </w:rPr>
        <w:t xml:space="preserve">Southwest Gas, Liberty, and Bear Valley’s current data sharing efforts on eligible CARE customers. </w:t>
      </w:r>
    </w:p>
    <w:p w:rsidR="008959A4" w:rsidP="008959A4" w:rsidRDefault="008959A4" w14:paraId="626C61E7" w14:textId="77777777">
      <w:pPr>
        <w:pStyle w:val="ListParagraph"/>
        <w:numPr>
          <w:ilvl w:val="0"/>
          <w:numId w:val="17"/>
        </w:numPr>
        <w:spacing w:after="120"/>
        <w:ind w:left="1080" w:right="1440"/>
        <w:rPr>
          <w:rFonts w:eastAsia="Calibri"/>
          <w:color w:val="000000" w:themeColor="text1"/>
        </w:rPr>
      </w:pPr>
      <w:r>
        <w:rPr>
          <w:rFonts w:eastAsia="Calibri"/>
          <w:color w:val="000000" w:themeColor="text1"/>
        </w:rPr>
        <w:t xml:space="preserve">PacifiCorp’s </w:t>
      </w:r>
      <w:r w:rsidRPr="00E75768">
        <w:rPr>
          <w:rFonts w:eastAsia="Calibri"/>
          <w:color w:val="000000" w:themeColor="text1"/>
        </w:rPr>
        <w:t>partners</w:t>
      </w:r>
      <w:r>
        <w:rPr>
          <w:rFonts w:eastAsia="Calibri"/>
          <w:color w:val="000000" w:themeColor="text1"/>
        </w:rPr>
        <w:t>hips</w:t>
      </w:r>
      <w:r w:rsidRPr="00E75768">
        <w:rPr>
          <w:rFonts w:eastAsia="Calibri"/>
          <w:color w:val="000000" w:themeColor="text1"/>
        </w:rPr>
        <w:t xml:space="preserve"> with CBOs that administer the federal LIHEAP to assist customers with completing the CARE applications</w:t>
      </w:r>
      <w:r>
        <w:rPr>
          <w:rFonts w:eastAsia="Calibri"/>
          <w:color w:val="000000" w:themeColor="text1"/>
        </w:rPr>
        <w:t>.</w:t>
      </w:r>
    </w:p>
    <w:p w:rsidRPr="00D23F0C" w:rsidR="008959A4" w:rsidP="008959A4" w:rsidRDefault="008959A4" w14:paraId="72F4CF5B" w14:textId="77777777">
      <w:pPr>
        <w:pStyle w:val="Standard"/>
        <w:rPr>
          <w:rFonts w:ascii="Garamond" w:hAnsi="Garamond" w:eastAsia="Garamond" w:cs="Garamond"/>
        </w:rPr>
      </w:pPr>
      <w:r w:rsidRPr="00C448FF">
        <w:lastRenderedPageBreak/>
        <w:t>As</w:t>
      </w:r>
      <w:r>
        <w:t xml:space="preserve"> for additional reporting requirements, each SMJU, as</w:t>
      </w:r>
      <w:r w:rsidRPr="00C448FF">
        <w:t xml:space="preserve"> part of </w:t>
      </w:r>
      <w:r>
        <w:t>its</w:t>
      </w:r>
      <w:r w:rsidRPr="00C448FF">
        <w:t xml:space="preserve"> </w:t>
      </w:r>
      <w:r>
        <w:t>a</w:t>
      </w:r>
      <w:r w:rsidRPr="00C448FF">
        <w:t xml:space="preserve">nnual </w:t>
      </w:r>
      <w:r>
        <w:t>r</w:t>
      </w:r>
      <w:r w:rsidRPr="00C448FF">
        <w:t xml:space="preserve">eporting, </w:t>
      </w:r>
      <w:r>
        <w:t>will</w:t>
      </w:r>
      <w:r w:rsidRPr="00C448FF">
        <w:t xml:space="preserve"> provide a list of </w:t>
      </w:r>
      <w:r>
        <w:t>its</w:t>
      </w:r>
      <w:r w:rsidRPr="00C448FF">
        <w:t xml:space="preserve"> capitation agencies and any other CBOs </w:t>
      </w:r>
      <w:r>
        <w:t>it</w:t>
      </w:r>
      <w:r w:rsidRPr="00C448FF">
        <w:t xml:space="preserve"> </w:t>
      </w:r>
      <w:r>
        <w:t>partners with</w:t>
      </w:r>
      <w:r w:rsidRPr="00C448FF">
        <w:t xml:space="preserve"> for </w:t>
      </w:r>
      <w:r>
        <w:t>its</w:t>
      </w:r>
      <w:r w:rsidRPr="00C448FF">
        <w:t xml:space="preserve"> ME&amp;O efforts. </w:t>
      </w:r>
      <w:r>
        <w:t xml:space="preserve"> Energy Division staff will work with the SMJUs to develop and update the reporting template to collect these data, starting with the PY 2022 Annual Report.</w:t>
      </w:r>
    </w:p>
    <w:p w:rsidR="008959A4" w:rsidP="008959A4" w:rsidRDefault="008959A4" w14:paraId="34C3BA3D" w14:textId="77777777">
      <w:pPr>
        <w:pStyle w:val="Heading4"/>
        <w:tabs>
          <w:tab w:val="clear" w:pos="2160"/>
        </w:tabs>
        <w:ind w:left="3510" w:hanging="1170"/>
        <w:rPr>
          <w:iCs/>
          <w:u w:val="single"/>
        </w:rPr>
      </w:pPr>
      <w:bookmarkStart w:name="_Toc82159696" w:id="103"/>
      <w:r>
        <w:t xml:space="preserve">Requiring a </w:t>
      </w:r>
      <w:r w:rsidRPr="00F246CD">
        <w:t xml:space="preserve">Mid Cycle Evaluation of </w:t>
      </w:r>
      <w:r>
        <w:br/>
      </w:r>
      <w:r w:rsidRPr="00F246CD">
        <w:t>Liberty’s ME&amp;O Efforts:</w:t>
      </w:r>
      <w:r>
        <w:t xml:space="preserve"> </w:t>
      </w:r>
      <w:r>
        <w:br/>
      </w:r>
      <w:r w:rsidRPr="00B95939">
        <w:rPr>
          <w:u w:val="single"/>
        </w:rPr>
        <w:t>Approved with Modification</w:t>
      </w:r>
      <w:bookmarkEnd w:id="103"/>
    </w:p>
    <w:p w:rsidR="008959A4" w:rsidP="008959A4" w:rsidRDefault="008959A4" w14:paraId="53CC8A74" w14:textId="77777777">
      <w:pPr>
        <w:pStyle w:val="Standard"/>
      </w:pPr>
      <w:r>
        <w:t>As discussed in Section 4.1.10.2, if</w:t>
      </w:r>
      <w:r w:rsidRPr="00D379F7">
        <w:t xml:space="preserve"> Liberty fails to</w:t>
      </w:r>
      <w:r>
        <w:t xml:space="preserve"> </w:t>
      </w:r>
      <w:r w:rsidRPr="00D379F7">
        <w:t>meet the 90</w:t>
      </w:r>
      <w:r>
        <w:t xml:space="preserve"> percent</w:t>
      </w:r>
      <w:r w:rsidRPr="00D379F7">
        <w:t xml:space="preserve"> </w:t>
      </w:r>
      <w:r>
        <w:t xml:space="preserve">enrollment </w:t>
      </w:r>
      <w:r w:rsidRPr="00D379F7">
        <w:t xml:space="preserve">goal by </w:t>
      </w:r>
      <w:r>
        <w:t>December 31, 2023</w:t>
      </w:r>
      <w:r w:rsidRPr="00D379F7">
        <w:t xml:space="preserve">, Liberty </w:t>
      </w:r>
      <w:r>
        <w:t>must</w:t>
      </w:r>
      <w:r w:rsidRPr="00D379F7">
        <w:t xml:space="preserve"> file a Tier </w:t>
      </w:r>
      <w:r>
        <w:t xml:space="preserve">1 </w:t>
      </w:r>
      <w:r w:rsidRPr="00D379F7">
        <w:t xml:space="preserve">advice letter </w:t>
      </w:r>
      <w:r>
        <w:t>by</w:t>
      </w:r>
      <w:r w:rsidRPr="00D379F7">
        <w:t xml:space="preserve"> no later than February 1, 2024</w:t>
      </w:r>
      <w:r>
        <w:t xml:space="preserve"> that will contain the following information: </w:t>
      </w:r>
      <w:r w:rsidRPr="00A300EC">
        <w:t xml:space="preserve">the cost of various outreach strategies Liberty implemented in the first three years of the program cycle, Liberty’s most cost-effective strategies for increasing CARE enrollment, and any proposed </w:t>
      </w:r>
      <w:r>
        <w:t>ME&amp;O</w:t>
      </w:r>
      <w:r w:rsidRPr="00A300EC">
        <w:t xml:space="preserve"> adjustments for the remaining program cycle based on the evaluation</w:t>
      </w:r>
      <w:r>
        <w:t xml:space="preserve"> of previous outreach strategies.</w:t>
      </w:r>
      <w:r w:rsidRPr="00F52E1C">
        <w:t xml:space="preserve"> </w:t>
      </w:r>
      <w:r>
        <w:t xml:space="preserve"> We extend this Tier 1 advice letter requirement to all the SMJUs that fail to reach the 90 percent goal by PY 2023.</w:t>
      </w:r>
    </w:p>
    <w:p w:rsidRPr="003261F8" w:rsidR="008959A4" w:rsidP="008959A4" w:rsidRDefault="008959A4" w14:paraId="68E86B3D" w14:textId="77777777">
      <w:pPr>
        <w:pStyle w:val="Heading4"/>
        <w:tabs>
          <w:tab w:val="clear" w:pos="2160"/>
        </w:tabs>
        <w:ind w:left="3510" w:hanging="1170"/>
        <w:rPr>
          <w:iCs/>
          <w:u w:val="single"/>
        </w:rPr>
      </w:pPr>
      <w:bookmarkStart w:name="_Toc82159697" w:id="104"/>
      <w:r>
        <w:t xml:space="preserve">Implementing </w:t>
      </w:r>
      <w:r w:rsidRPr="00925A11">
        <w:t xml:space="preserve">Direct CBO </w:t>
      </w:r>
      <w:r>
        <w:br/>
      </w:r>
      <w:r w:rsidRPr="00925A11">
        <w:t>One-On-One Outreach</w:t>
      </w:r>
      <w:r>
        <w:t xml:space="preserve"> via</w:t>
      </w:r>
      <w:r>
        <w:br/>
        <w:t>ESA Contractors</w:t>
      </w:r>
      <w:r w:rsidRPr="00925A11">
        <w:t>:</w:t>
      </w:r>
      <w:r>
        <w:t xml:space="preserve"> </w:t>
      </w:r>
      <w:r w:rsidRPr="00A62897">
        <w:rPr>
          <w:u w:val="single"/>
        </w:rPr>
        <w:t>Denied</w:t>
      </w:r>
      <w:bookmarkEnd w:id="104"/>
    </w:p>
    <w:p w:rsidRPr="00A62897" w:rsidR="008959A4" w:rsidP="008959A4" w:rsidRDefault="008959A4" w14:paraId="376700F7" w14:textId="77777777">
      <w:pPr>
        <w:pStyle w:val="Standard"/>
      </w:pPr>
      <w:r>
        <w:t xml:space="preserve">Although we understand that there can be high attrition with the income verification and recertification process, we do not agree with EEC and Free Energy that requiring recertifications every two years or income verification for a small percentage of the enrolled population is as problematic as described.  Current recertification and income verification polices are put in place to </w:t>
      </w:r>
      <w:r w:rsidRPr="0022043A">
        <w:t>protect the integrity of the self-certification option</w:t>
      </w:r>
      <w:r>
        <w:t xml:space="preserve"> which balances </w:t>
      </w:r>
      <w:r w:rsidRPr="0022043A">
        <w:t xml:space="preserve">the desire </w:t>
      </w:r>
      <w:r>
        <w:t>to enroll the</w:t>
      </w:r>
      <w:r w:rsidRPr="0022043A">
        <w:t xml:space="preserve"> maximum number of eligible customers with the need to verify participant eligibility.</w:t>
      </w:r>
      <w:r>
        <w:t xml:space="preserve">  Aside from the due process issue we have with EEC and Free </w:t>
      </w:r>
      <w:r>
        <w:lastRenderedPageBreak/>
        <w:t xml:space="preserve">Energy’s untimely recommendation, EEC and Free Energy also fail to support why and how its proposal to require the SMJUs to outsource the recertification and income verification process to </w:t>
      </w:r>
      <w:r w:rsidRPr="00E709EB">
        <w:t xml:space="preserve">ESA </w:t>
      </w:r>
      <w:r>
        <w:t>c</w:t>
      </w:r>
      <w:r w:rsidRPr="00E709EB">
        <w:t xml:space="preserve">ontractors </w:t>
      </w:r>
      <w:r>
        <w:t>would result in less attrition if income documentation were still required.  Additionally, there is little support provided to help understand what the budgetary impact to the program would be, other than the proposal that this be an extension of the c</w:t>
      </w:r>
      <w:r w:rsidRPr="00E709EB">
        <w:t xml:space="preserve">apitation </w:t>
      </w:r>
      <w:r>
        <w:t xml:space="preserve">fee </w:t>
      </w:r>
      <w:r w:rsidRPr="00E709EB">
        <w:t>program</w:t>
      </w:r>
      <w:r>
        <w:t xml:space="preserve"> in which EEC and Free Energy also propose to be increased from $20 to $100 per customer</w:t>
      </w:r>
      <w:r w:rsidRPr="00E709EB">
        <w:t>.</w:t>
      </w:r>
      <w:r>
        <w:t xml:space="preserve">  Therefore, this proposal is denied.</w:t>
      </w:r>
    </w:p>
    <w:p w:rsidR="008959A4" w:rsidP="008959A4" w:rsidRDefault="008959A4" w14:paraId="059CDC99" w14:textId="77777777">
      <w:pPr>
        <w:pStyle w:val="Heading2"/>
      </w:pPr>
      <w:bookmarkStart w:name="_Toc82159698" w:id="105"/>
      <w:r>
        <w:t xml:space="preserve">CARE </w:t>
      </w:r>
      <w:r w:rsidRPr="00E5693D">
        <w:t>Budgets</w:t>
      </w:r>
      <w:bookmarkEnd w:id="105"/>
      <w:r>
        <w:t xml:space="preserve"> </w:t>
      </w:r>
    </w:p>
    <w:p w:rsidR="008959A4" w:rsidP="008959A4" w:rsidRDefault="008959A4" w14:paraId="6DC79D64" w14:textId="77777777">
      <w:pPr>
        <w:pStyle w:val="Heading3"/>
      </w:pPr>
      <w:bookmarkStart w:name="_Toc82159699" w:id="106"/>
      <w:bookmarkStart w:name="_Hlk55563052" w:id="107"/>
      <w:r>
        <w:t>Background</w:t>
      </w:r>
      <w:bookmarkEnd w:id="106"/>
      <w:r>
        <w:t xml:space="preserve"> </w:t>
      </w:r>
    </w:p>
    <w:p w:rsidRPr="009F691F" w:rsidR="008959A4" w:rsidP="008959A4" w:rsidRDefault="008959A4" w14:paraId="1DEDEDEE" w14:textId="56D5589F">
      <w:pPr>
        <w:pStyle w:val="Standard"/>
      </w:pPr>
      <w:r>
        <w:t>The CARE budget is made up of two components:</w:t>
      </w:r>
      <w:r w:rsidR="00C478B4">
        <w:t xml:space="preserve"> </w:t>
      </w:r>
      <w:r>
        <w:t xml:space="preserve"> 1) the CARE subsidy, and 2) the program management, or administrative costs to implement the program.  The CARE subsidy is the actual discount provided to the customers whereas the program management</w:t>
      </w:r>
      <w:r w:rsidRPr="00497F15">
        <w:t xml:space="preserve"> budget include</w:t>
      </w:r>
      <w:r>
        <w:t>s</w:t>
      </w:r>
      <w:r w:rsidRPr="00497F15">
        <w:t xml:space="preserve"> categories such as</w:t>
      </w:r>
      <w:r>
        <w:t xml:space="preserve"> o</w:t>
      </w:r>
      <w:r w:rsidRPr="00497F15">
        <w:t>utreach</w:t>
      </w:r>
      <w:r>
        <w:t>, p</w:t>
      </w:r>
      <w:r w:rsidRPr="00497F15">
        <w:t>rocessing,</w:t>
      </w:r>
      <w:r>
        <w:t xml:space="preserve"> c</w:t>
      </w:r>
      <w:r w:rsidRPr="00497F15">
        <w:t xml:space="preserve">ertification, </w:t>
      </w:r>
      <w:r>
        <w:t>r</w:t>
      </w:r>
      <w:r w:rsidRPr="00497F15">
        <w:t>ecertification</w:t>
      </w:r>
      <w:r>
        <w:t>, and g</w:t>
      </w:r>
      <w:r w:rsidRPr="009F691F">
        <w:t xml:space="preserve">eneral </w:t>
      </w:r>
      <w:r>
        <w:t>a</w:t>
      </w:r>
      <w:r w:rsidRPr="009F691F">
        <w:t>dministration.</w:t>
      </w:r>
      <w:r>
        <w:t xml:space="preserve"> </w:t>
      </w:r>
      <w:r w:rsidRPr="009F691F">
        <w:t xml:space="preserve"> </w:t>
      </w:r>
      <w:r>
        <w:t>Both the subsidy and the program management</w:t>
      </w:r>
      <w:r w:rsidRPr="009F691F">
        <w:t xml:space="preserve"> expenses are based on estimates and are adjusted annually.  The table below summarizes the </w:t>
      </w:r>
      <w:r>
        <w:t>SMJUs’</w:t>
      </w:r>
      <w:r w:rsidRPr="009F691F">
        <w:t xml:space="preserve"> proposed overall CARE Budgets as presented in their applications.</w:t>
      </w:r>
    </w:p>
    <w:p w:rsidRPr="00644B6B" w:rsidR="008959A4" w:rsidP="008959A4" w:rsidRDefault="008959A4" w14:paraId="4BCD8CD1" w14:textId="77777777">
      <w:pPr>
        <w:pStyle w:val="BlockQuote"/>
        <w:spacing w:after="240"/>
        <w:ind w:left="0" w:right="-630"/>
        <w:jc w:val="center"/>
        <w:rPr>
          <w:b/>
          <w:bCs/>
        </w:rPr>
      </w:pPr>
      <w:bookmarkStart w:name="OLE_LINK2" w:id="108"/>
      <w:r w:rsidRPr="00644B6B">
        <w:rPr>
          <w:b/>
          <w:bCs/>
        </w:rPr>
        <w:t xml:space="preserve">Table </w:t>
      </w:r>
      <w:r>
        <w:rPr>
          <w:b/>
          <w:bCs/>
        </w:rPr>
        <w:t xml:space="preserve">2:  </w:t>
      </w:r>
      <w:r w:rsidRPr="00644B6B">
        <w:rPr>
          <w:b/>
          <w:bCs/>
        </w:rPr>
        <w:t>Proposed CARE Budgets</w:t>
      </w:r>
      <w:r>
        <w:rPr>
          <w:b/>
          <w:bCs/>
        </w:rPr>
        <w:t>, PYs 2021-2026</w:t>
      </w:r>
    </w:p>
    <w:tbl>
      <w:tblPr>
        <w:tblW w:w="10161" w:type="dxa"/>
        <w:jc w:val="center"/>
        <w:tblLook w:val="04A0" w:firstRow="1" w:lastRow="0" w:firstColumn="1" w:lastColumn="0" w:noHBand="0" w:noVBand="1"/>
      </w:tblPr>
      <w:tblGrid>
        <w:gridCol w:w="1530"/>
        <w:gridCol w:w="1260"/>
        <w:gridCol w:w="1260"/>
        <w:gridCol w:w="1260"/>
        <w:gridCol w:w="1260"/>
        <w:gridCol w:w="1216"/>
        <w:gridCol w:w="1216"/>
        <w:gridCol w:w="1476"/>
      </w:tblGrid>
      <w:tr w:rsidRPr="003261F8" w:rsidR="008959A4" w:rsidTr="00717A84" w14:paraId="60F7897E" w14:textId="77777777">
        <w:trPr>
          <w:trHeight w:val="248"/>
          <w:jc w:val="center"/>
        </w:trPr>
        <w:tc>
          <w:tcPr>
            <w:tcW w:w="153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bookmarkEnd w:id="108"/>
          <w:p w:rsidRPr="003261F8" w:rsidR="008959A4" w:rsidP="00717A84" w:rsidRDefault="008959A4" w14:paraId="27A00119" w14:textId="77777777">
            <w:pPr>
              <w:rPr>
                <w:rFonts w:eastAsia="Times New Roman" w:cs="Calibri"/>
                <w:b/>
                <w:bCs/>
                <w:color w:val="000000"/>
                <w:sz w:val="20"/>
              </w:rPr>
            </w:pPr>
            <w:r w:rsidRPr="003261F8">
              <w:rPr>
                <w:rFonts w:eastAsia="Times New Roman" w:cs="Calibri"/>
                <w:b/>
                <w:bCs/>
                <w:color w:val="000000"/>
                <w:sz w:val="20"/>
              </w:rPr>
              <w:t>SMJU</w:t>
            </w:r>
          </w:p>
        </w:tc>
        <w:tc>
          <w:tcPr>
            <w:tcW w:w="8631" w:type="dxa"/>
            <w:gridSpan w:val="7"/>
            <w:tcBorders>
              <w:top w:val="single" w:color="auto" w:sz="4" w:space="0"/>
              <w:left w:val="nil"/>
              <w:bottom w:val="single" w:color="auto" w:sz="4" w:space="0"/>
              <w:right w:val="single" w:color="auto" w:sz="4" w:space="0"/>
            </w:tcBorders>
            <w:shd w:val="clear" w:color="auto" w:fill="auto"/>
            <w:noWrap/>
            <w:vAlign w:val="bottom"/>
            <w:hideMark/>
          </w:tcPr>
          <w:p w:rsidRPr="003261F8" w:rsidR="008959A4" w:rsidP="00717A84" w:rsidRDefault="008959A4" w14:paraId="4056E763" w14:textId="77777777">
            <w:pPr>
              <w:ind w:left="360"/>
              <w:jc w:val="center"/>
              <w:rPr>
                <w:rFonts w:eastAsia="Times New Roman" w:cs="Calibri"/>
                <w:b/>
                <w:bCs/>
                <w:color w:val="000000"/>
                <w:sz w:val="20"/>
              </w:rPr>
            </w:pPr>
            <w:r w:rsidRPr="003261F8">
              <w:rPr>
                <w:rFonts w:eastAsia="Times New Roman" w:cs="Calibri"/>
                <w:b/>
                <w:bCs/>
                <w:color w:val="000000"/>
                <w:sz w:val="20"/>
              </w:rPr>
              <w:t>CARE Proposed Administrative Budget</w:t>
            </w:r>
          </w:p>
        </w:tc>
      </w:tr>
      <w:tr w:rsidRPr="003261F8" w:rsidR="008959A4" w:rsidTr="00717A84" w14:paraId="524009A5" w14:textId="77777777">
        <w:trPr>
          <w:trHeight w:val="279"/>
          <w:jc w:val="center"/>
        </w:trPr>
        <w:tc>
          <w:tcPr>
            <w:tcW w:w="1530" w:type="dxa"/>
            <w:vMerge/>
            <w:tcBorders>
              <w:top w:val="single" w:color="auto" w:sz="4" w:space="0"/>
              <w:left w:val="single" w:color="auto" w:sz="4" w:space="0"/>
              <w:bottom w:val="single" w:color="auto" w:sz="4" w:space="0"/>
              <w:right w:val="single" w:color="auto" w:sz="4" w:space="0"/>
            </w:tcBorders>
            <w:vAlign w:val="center"/>
            <w:hideMark/>
          </w:tcPr>
          <w:p w:rsidRPr="003261F8" w:rsidR="008959A4" w:rsidP="00717A84" w:rsidRDefault="008959A4" w14:paraId="1362A063" w14:textId="77777777">
            <w:pPr>
              <w:ind w:left="360"/>
              <w:jc w:val="center"/>
              <w:rPr>
                <w:rFonts w:eastAsia="Times New Roman" w:cs="Calibri"/>
                <w:b/>
                <w:bCs/>
                <w:color w:val="000000"/>
                <w:sz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49AFA1DF" w14:textId="77777777">
            <w:pPr>
              <w:ind w:left="360"/>
              <w:jc w:val="center"/>
              <w:rPr>
                <w:rFonts w:eastAsia="Times New Roman" w:cs="Calibri"/>
                <w:b/>
                <w:bCs/>
                <w:color w:val="000000"/>
                <w:sz w:val="20"/>
              </w:rPr>
            </w:pPr>
            <w:r w:rsidRPr="003261F8">
              <w:rPr>
                <w:rFonts w:eastAsia="Times New Roman" w:cs="Calibri"/>
                <w:b/>
                <w:bCs/>
                <w:color w:val="000000"/>
                <w:sz w:val="20"/>
              </w:rPr>
              <w:t>2021</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71E1D2C8" w14:textId="77777777">
            <w:pPr>
              <w:ind w:left="360"/>
              <w:jc w:val="center"/>
              <w:rPr>
                <w:rFonts w:eastAsia="Times New Roman" w:cs="Calibri"/>
                <w:b/>
                <w:bCs/>
                <w:color w:val="000000"/>
                <w:sz w:val="20"/>
              </w:rPr>
            </w:pPr>
            <w:r w:rsidRPr="003261F8">
              <w:rPr>
                <w:rFonts w:eastAsia="Times New Roman" w:cs="Calibri"/>
                <w:b/>
                <w:bCs/>
                <w:color w:val="000000"/>
                <w:sz w:val="20"/>
              </w:rPr>
              <w:t>2022</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7F603CA3" w14:textId="77777777">
            <w:pPr>
              <w:ind w:left="360"/>
              <w:jc w:val="center"/>
              <w:rPr>
                <w:rFonts w:eastAsia="Times New Roman" w:cs="Calibri"/>
                <w:b/>
                <w:bCs/>
                <w:color w:val="000000"/>
                <w:sz w:val="20"/>
              </w:rPr>
            </w:pPr>
            <w:r w:rsidRPr="003261F8">
              <w:rPr>
                <w:rFonts w:eastAsia="Times New Roman" w:cs="Calibri"/>
                <w:b/>
                <w:bCs/>
                <w:color w:val="000000"/>
                <w:sz w:val="20"/>
              </w:rPr>
              <w:t>2023</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2A032E54" w14:textId="77777777">
            <w:pPr>
              <w:ind w:left="360"/>
              <w:jc w:val="center"/>
              <w:rPr>
                <w:rFonts w:eastAsia="Times New Roman" w:cs="Calibri"/>
                <w:b/>
                <w:bCs/>
                <w:color w:val="000000"/>
                <w:sz w:val="20"/>
              </w:rPr>
            </w:pPr>
            <w:r w:rsidRPr="003261F8">
              <w:rPr>
                <w:rFonts w:eastAsia="Times New Roman" w:cs="Calibri"/>
                <w:b/>
                <w:bCs/>
                <w:color w:val="000000"/>
                <w:sz w:val="20"/>
              </w:rPr>
              <w:t>2024</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571522C2" w14:textId="77777777">
            <w:pPr>
              <w:ind w:left="360"/>
              <w:jc w:val="center"/>
              <w:rPr>
                <w:rFonts w:eastAsia="Times New Roman" w:cs="Calibri"/>
                <w:b/>
                <w:bCs/>
                <w:color w:val="000000"/>
                <w:sz w:val="20"/>
              </w:rPr>
            </w:pPr>
            <w:r w:rsidRPr="003261F8">
              <w:rPr>
                <w:rFonts w:eastAsia="Times New Roman" w:cs="Calibri"/>
                <w:b/>
                <w:bCs/>
                <w:color w:val="000000"/>
                <w:sz w:val="20"/>
              </w:rPr>
              <w:t>2025</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60E348F0" w14:textId="77777777">
            <w:pPr>
              <w:ind w:left="360"/>
              <w:jc w:val="center"/>
              <w:rPr>
                <w:rFonts w:eastAsia="Times New Roman" w:cs="Calibri"/>
                <w:b/>
                <w:bCs/>
                <w:color w:val="000000"/>
                <w:sz w:val="20"/>
              </w:rPr>
            </w:pPr>
            <w:r w:rsidRPr="003261F8">
              <w:rPr>
                <w:rFonts w:eastAsia="Times New Roman" w:cs="Calibri"/>
                <w:b/>
                <w:bCs/>
                <w:color w:val="000000"/>
                <w:sz w:val="20"/>
              </w:rPr>
              <w:t>2026</w:t>
            </w:r>
          </w:p>
        </w:tc>
        <w:tc>
          <w:tcPr>
            <w:tcW w:w="1251"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0A71FE93" w14:textId="77777777">
            <w:pPr>
              <w:ind w:left="360"/>
              <w:jc w:val="center"/>
              <w:rPr>
                <w:rFonts w:eastAsia="Times New Roman" w:cs="Calibri"/>
                <w:b/>
                <w:bCs/>
                <w:color w:val="000000"/>
                <w:sz w:val="20"/>
              </w:rPr>
            </w:pPr>
            <w:r w:rsidRPr="003261F8">
              <w:rPr>
                <w:rFonts w:eastAsia="Times New Roman" w:cs="Calibri"/>
                <w:b/>
                <w:bCs/>
                <w:color w:val="000000"/>
                <w:sz w:val="20"/>
              </w:rPr>
              <w:t>Total</w:t>
            </w:r>
          </w:p>
        </w:tc>
      </w:tr>
      <w:tr w:rsidRPr="003261F8" w:rsidR="008959A4" w:rsidTr="00717A84" w14:paraId="7CED4E78"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7DBEDA47" w14:textId="77777777">
            <w:pPr>
              <w:rPr>
                <w:rFonts w:eastAsia="Times New Roman" w:cs="Calibri"/>
                <w:b/>
                <w:bCs/>
                <w:color w:val="000000"/>
                <w:sz w:val="20"/>
              </w:rPr>
            </w:pPr>
            <w:r w:rsidRPr="003261F8">
              <w:rPr>
                <w:rFonts w:eastAsia="Times New Roman" w:cs="Calibri"/>
                <w:b/>
                <w:bCs/>
                <w:color w:val="000000"/>
                <w:sz w:val="20"/>
              </w:rPr>
              <w:t>Alpine</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DC8BFBE" w14:textId="77777777">
            <w:pPr>
              <w:jc w:val="right"/>
              <w:rPr>
                <w:rFonts w:eastAsia="Times New Roman" w:cs="Calibri"/>
                <w:color w:val="000000"/>
                <w:sz w:val="20"/>
              </w:rPr>
            </w:pPr>
            <w:r w:rsidRPr="003261F8">
              <w:rPr>
                <w:rFonts w:cs="Calibri"/>
                <w:color w:val="000000"/>
                <w:sz w:val="20"/>
              </w:rPr>
              <w:t>$6,000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970AFDE" w14:textId="77777777">
            <w:pPr>
              <w:jc w:val="right"/>
              <w:rPr>
                <w:rFonts w:eastAsia="Times New Roman" w:cs="Calibri"/>
                <w:color w:val="000000"/>
                <w:sz w:val="20"/>
              </w:rPr>
            </w:pPr>
            <w:r w:rsidRPr="003261F8">
              <w:rPr>
                <w:rFonts w:cs="Calibri"/>
                <w:color w:val="000000"/>
                <w:sz w:val="20"/>
              </w:rPr>
              <w:t>$6,000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317BB4E" w14:textId="77777777">
            <w:pPr>
              <w:jc w:val="right"/>
              <w:rPr>
                <w:rFonts w:eastAsia="Times New Roman" w:cs="Calibri"/>
                <w:color w:val="000000"/>
                <w:sz w:val="20"/>
              </w:rPr>
            </w:pPr>
            <w:r w:rsidRPr="003261F8">
              <w:rPr>
                <w:rFonts w:cs="Calibri"/>
                <w:color w:val="000000"/>
                <w:sz w:val="20"/>
              </w:rPr>
              <w:t>$6,000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0796924" w14:textId="77777777">
            <w:pPr>
              <w:jc w:val="right"/>
              <w:rPr>
                <w:rFonts w:eastAsia="Times New Roman" w:cs="Calibri"/>
                <w:color w:val="000000"/>
                <w:sz w:val="20"/>
              </w:rPr>
            </w:pPr>
            <w:r w:rsidRPr="003261F8">
              <w:rPr>
                <w:rFonts w:cs="Calibri"/>
                <w:color w:val="000000"/>
                <w:sz w:val="20"/>
              </w:rPr>
              <w:t>$6,000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CC360B2" w14:textId="77777777">
            <w:pPr>
              <w:jc w:val="right"/>
              <w:rPr>
                <w:rFonts w:eastAsia="Times New Roman" w:cs="Calibri"/>
                <w:color w:val="000000"/>
                <w:sz w:val="20"/>
              </w:rPr>
            </w:pPr>
            <w:r w:rsidRPr="003261F8">
              <w:rPr>
                <w:rFonts w:cs="Calibri"/>
                <w:color w:val="000000"/>
                <w:sz w:val="20"/>
              </w:rPr>
              <w:t>$6,000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E61659B" w14:textId="77777777">
            <w:pPr>
              <w:jc w:val="right"/>
              <w:rPr>
                <w:rFonts w:eastAsia="Times New Roman" w:cs="Calibri"/>
                <w:color w:val="000000"/>
                <w:sz w:val="20"/>
              </w:rPr>
            </w:pPr>
            <w:r w:rsidRPr="003261F8">
              <w:rPr>
                <w:rFonts w:cs="Calibri"/>
                <w:color w:val="000000"/>
                <w:sz w:val="20"/>
              </w:rPr>
              <w:t>$6,000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983B616" w14:textId="77777777">
            <w:pPr>
              <w:jc w:val="right"/>
              <w:rPr>
                <w:rFonts w:eastAsia="Times New Roman" w:cs="Calibri"/>
                <w:b/>
                <w:bCs/>
                <w:color w:val="000000"/>
                <w:sz w:val="20"/>
              </w:rPr>
            </w:pPr>
            <w:r w:rsidRPr="003261F8">
              <w:rPr>
                <w:rFonts w:cs="Calibri"/>
                <w:b/>
                <w:bCs/>
                <w:color w:val="000000"/>
                <w:sz w:val="20"/>
              </w:rPr>
              <w:t>$36,000</w:t>
            </w:r>
          </w:p>
        </w:tc>
      </w:tr>
      <w:tr w:rsidRPr="003261F8" w:rsidR="008959A4" w:rsidTr="00717A84" w14:paraId="29115744"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36E841B0" w14:textId="77777777">
            <w:pPr>
              <w:rPr>
                <w:rFonts w:eastAsia="Times New Roman" w:cs="Calibri"/>
                <w:b/>
                <w:bCs/>
                <w:color w:val="000000"/>
                <w:sz w:val="20"/>
              </w:rPr>
            </w:pPr>
            <w:r w:rsidRPr="003261F8">
              <w:rPr>
                <w:rFonts w:eastAsia="Times New Roman" w:cs="Calibri"/>
                <w:b/>
                <w:bCs/>
                <w:color w:val="000000"/>
                <w:sz w:val="20"/>
              </w:rPr>
              <w:t>Bear Valley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72CCC97" w14:textId="77777777">
            <w:pPr>
              <w:jc w:val="right"/>
              <w:rPr>
                <w:rFonts w:eastAsia="Times New Roman" w:cs="Calibri"/>
                <w:sz w:val="20"/>
              </w:rPr>
            </w:pPr>
            <w:r w:rsidRPr="003261F8">
              <w:rPr>
                <w:rFonts w:cs="Calibri"/>
                <w:color w:val="000000"/>
                <w:sz w:val="20"/>
              </w:rPr>
              <w:t>$9,393</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CB1738D" w14:textId="77777777">
            <w:pPr>
              <w:jc w:val="right"/>
              <w:rPr>
                <w:rFonts w:eastAsia="Times New Roman" w:cs="Calibri"/>
                <w:sz w:val="20"/>
              </w:rPr>
            </w:pPr>
            <w:r w:rsidRPr="003261F8">
              <w:rPr>
                <w:rFonts w:cs="Calibri"/>
                <w:color w:val="000000"/>
                <w:sz w:val="20"/>
              </w:rPr>
              <w:t>$9,863</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EAAD8FE" w14:textId="77777777">
            <w:pPr>
              <w:jc w:val="right"/>
              <w:rPr>
                <w:rFonts w:eastAsia="Times New Roman" w:cs="Calibri"/>
                <w:sz w:val="20"/>
              </w:rPr>
            </w:pPr>
            <w:r w:rsidRPr="003261F8">
              <w:rPr>
                <w:rFonts w:cs="Calibri"/>
                <w:color w:val="000000"/>
                <w:sz w:val="20"/>
              </w:rPr>
              <w:t>$10,356</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B5349EA" w14:textId="77777777">
            <w:pPr>
              <w:jc w:val="right"/>
              <w:rPr>
                <w:rFonts w:eastAsia="Times New Roman" w:cs="Calibri"/>
                <w:sz w:val="20"/>
              </w:rPr>
            </w:pPr>
            <w:r w:rsidRPr="003261F8">
              <w:rPr>
                <w:rFonts w:cs="Calibri"/>
                <w:color w:val="000000"/>
                <w:sz w:val="20"/>
              </w:rPr>
              <w:t>$10,874</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5474DFA" w14:textId="77777777">
            <w:pPr>
              <w:jc w:val="right"/>
              <w:rPr>
                <w:rFonts w:eastAsia="Times New Roman" w:cs="Calibri"/>
                <w:sz w:val="20"/>
              </w:rPr>
            </w:pPr>
            <w:r w:rsidRPr="003261F8">
              <w:rPr>
                <w:rFonts w:cs="Calibri"/>
                <w:color w:val="000000"/>
                <w:sz w:val="20"/>
              </w:rPr>
              <w:t>$11,418</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B8763F5" w14:textId="77777777">
            <w:pPr>
              <w:jc w:val="right"/>
              <w:rPr>
                <w:rFonts w:eastAsia="Times New Roman" w:cs="Calibri"/>
                <w:sz w:val="20"/>
              </w:rPr>
            </w:pPr>
            <w:r w:rsidRPr="003261F8">
              <w:rPr>
                <w:rFonts w:cs="Calibri"/>
                <w:color w:val="000000"/>
                <w:sz w:val="20"/>
              </w:rPr>
              <w:t>$11,988</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4129CAD" w14:textId="77777777">
            <w:pPr>
              <w:jc w:val="right"/>
              <w:rPr>
                <w:rFonts w:eastAsia="Times New Roman" w:cs="Calibri"/>
                <w:b/>
                <w:bCs/>
                <w:color w:val="000000"/>
                <w:sz w:val="20"/>
              </w:rPr>
            </w:pPr>
            <w:r w:rsidRPr="003261F8">
              <w:rPr>
                <w:rFonts w:cs="Calibri"/>
                <w:b/>
                <w:bCs/>
                <w:color w:val="000000"/>
                <w:sz w:val="20"/>
              </w:rPr>
              <w:t>$63,892</w:t>
            </w:r>
          </w:p>
        </w:tc>
      </w:tr>
      <w:tr w:rsidRPr="003261F8" w:rsidR="008959A4" w:rsidTr="00717A84" w14:paraId="750D7E9C"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717A84" w:rsidRDefault="008959A4" w14:paraId="194D8AF2" w14:textId="77777777">
            <w:pPr>
              <w:rPr>
                <w:rFonts w:eastAsia="Times New Roman" w:cs="Calibri"/>
                <w:b/>
                <w:bCs/>
                <w:color w:val="000000"/>
                <w:sz w:val="20"/>
              </w:rPr>
            </w:pPr>
            <w:r w:rsidRPr="003261F8">
              <w:rPr>
                <w:rFonts w:eastAsia="Times New Roman" w:cs="Calibri"/>
                <w:b/>
                <w:bCs/>
                <w:color w:val="000000"/>
                <w:sz w:val="20"/>
              </w:rPr>
              <w:t>Liberty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ED82514" w14:textId="77777777">
            <w:pPr>
              <w:jc w:val="right"/>
              <w:rPr>
                <w:rFonts w:eastAsia="Times New Roman" w:cs="Calibri"/>
                <w:sz w:val="20"/>
              </w:rPr>
            </w:pPr>
            <w:r w:rsidRPr="003261F8">
              <w:rPr>
                <w:rFonts w:cs="Calibri"/>
                <w:color w:val="000000"/>
                <w:sz w:val="20"/>
              </w:rPr>
              <w:t>$154,534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5134ED3" w14:textId="77777777">
            <w:pPr>
              <w:jc w:val="right"/>
              <w:rPr>
                <w:rFonts w:eastAsia="Times New Roman" w:cs="Calibri"/>
                <w:sz w:val="20"/>
              </w:rPr>
            </w:pPr>
            <w:r w:rsidRPr="003261F8">
              <w:rPr>
                <w:rFonts w:cs="Calibri"/>
                <w:color w:val="000000"/>
                <w:sz w:val="20"/>
              </w:rPr>
              <w:t>$157,625</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0C3D755" w14:textId="77777777">
            <w:pPr>
              <w:jc w:val="right"/>
              <w:rPr>
                <w:rFonts w:eastAsia="Times New Roman" w:cs="Calibri"/>
                <w:sz w:val="20"/>
              </w:rPr>
            </w:pPr>
            <w:r w:rsidRPr="003261F8">
              <w:rPr>
                <w:rFonts w:cs="Calibri"/>
                <w:color w:val="000000"/>
                <w:sz w:val="20"/>
              </w:rPr>
              <w:t>$160,777</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428BA2F" w14:textId="77777777">
            <w:pPr>
              <w:jc w:val="right"/>
              <w:rPr>
                <w:rFonts w:eastAsia="Times New Roman" w:cs="Calibri"/>
                <w:sz w:val="20"/>
              </w:rPr>
            </w:pPr>
            <w:r w:rsidRPr="003261F8">
              <w:rPr>
                <w:rFonts w:cs="Calibri"/>
                <w:color w:val="000000"/>
                <w:sz w:val="20"/>
              </w:rPr>
              <w:t>$163,993</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97B82E7" w14:textId="77777777">
            <w:pPr>
              <w:jc w:val="right"/>
              <w:rPr>
                <w:rFonts w:eastAsia="Times New Roman" w:cs="Calibri"/>
                <w:sz w:val="20"/>
              </w:rPr>
            </w:pPr>
            <w:r w:rsidRPr="003261F8">
              <w:rPr>
                <w:rFonts w:cs="Calibri"/>
                <w:color w:val="000000"/>
                <w:sz w:val="20"/>
              </w:rPr>
              <w:t>$167,273</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259ABFD" w14:textId="77777777">
            <w:pPr>
              <w:jc w:val="right"/>
              <w:rPr>
                <w:rFonts w:eastAsia="Times New Roman" w:cs="Calibri"/>
                <w:sz w:val="20"/>
              </w:rPr>
            </w:pPr>
            <w:r w:rsidRPr="003261F8">
              <w:rPr>
                <w:rFonts w:cs="Calibri"/>
                <w:color w:val="000000"/>
                <w:sz w:val="20"/>
              </w:rPr>
              <w:t>$170,618</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527DB1B" w14:textId="77777777">
            <w:pPr>
              <w:jc w:val="right"/>
              <w:rPr>
                <w:rFonts w:eastAsia="Times New Roman" w:cs="Calibri"/>
                <w:b/>
                <w:bCs/>
                <w:color w:val="000000"/>
                <w:sz w:val="20"/>
              </w:rPr>
            </w:pPr>
            <w:r w:rsidRPr="003261F8">
              <w:rPr>
                <w:rFonts w:cs="Calibri"/>
                <w:b/>
                <w:bCs/>
                <w:color w:val="000000"/>
                <w:sz w:val="20"/>
              </w:rPr>
              <w:t>$974,821</w:t>
            </w:r>
          </w:p>
        </w:tc>
      </w:tr>
      <w:tr w:rsidRPr="003261F8" w:rsidR="008959A4" w:rsidTr="00717A84" w14:paraId="34D5C1E2"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21BF24C7" w14:textId="77777777">
            <w:pPr>
              <w:rPr>
                <w:rFonts w:eastAsia="Times New Roman" w:cs="Calibri"/>
                <w:b/>
                <w:bCs/>
                <w:color w:val="000000"/>
                <w:sz w:val="20"/>
              </w:rPr>
            </w:pPr>
            <w:r w:rsidRPr="003261F8">
              <w:rPr>
                <w:rFonts w:eastAsia="Times New Roman" w:cs="Calibri"/>
                <w:b/>
                <w:bCs/>
                <w:color w:val="000000"/>
                <w:sz w:val="20"/>
              </w:rPr>
              <w:t>PacifiCorp</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CF2B4BE" w14:textId="77777777">
            <w:pPr>
              <w:jc w:val="right"/>
              <w:rPr>
                <w:rFonts w:eastAsia="Times New Roman" w:cs="Calibri"/>
                <w:color w:val="000000"/>
                <w:sz w:val="20"/>
              </w:rPr>
            </w:pPr>
            <w:r w:rsidRPr="003261F8">
              <w:rPr>
                <w:rFonts w:cs="Calibri"/>
                <w:color w:val="000000"/>
                <w:sz w:val="20"/>
              </w:rPr>
              <w:t>$140,000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60CBDAE" w14:textId="77777777">
            <w:pPr>
              <w:jc w:val="right"/>
              <w:rPr>
                <w:rFonts w:eastAsia="Times New Roman" w:cs="Calibri"/>
                <w:color w:val="000000"/>
                <w:sz w:val="20"/>
              </w:rPr>
            </w:pPr>
            <w:r w:rsidRPr="003261F8">
              <w:rPr>
                <w:rFonts w:cs="Calibri"/>
                <w:color w:val="000000"/>
                <w:sz w:val="20"/>
              </w:rPr>
              <w:t>$145,000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1D5A230" w14:textId="77777777">
            <w:pPr>
              <w:jc w:val="right"/>
              <w:rPr>
                <w:rFonts w:eastAsia="Times New Roman" w:cs="Calibri"/>
                <w:color w:val="000000"/>
                <w:sz w:val="20"/>
              </w:rPr>
            </w:pPr>
            <w:r w:rsidRPr="003261F8">
              <w:rPr>
                <w:rFonts w:cs="Calibri"/>
                <w:color w:val="000000"/>
                <w:sz w:val="20"/>
              </w:rPr>
              <w:t>$150,000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BBBED72" w14:textId="77777777">
            <w:pPr>
              <w:jc w:val="right"/>
              <w:rPr>
                <w:rFonts w:eastAsia="Times New Roman" w:cs="Calibri"/>
                <w:color w:val="000000"/>
                <w:sz w:val="20"/>
              </w:rPr>
            </w:pPr>
            <w:r w:rsidRPr="003261F8">
              <w:rPr>
                <w:rFonts w:cs="Calibri"/>
                <w:color w:val="000000"/>
                <w:sz w:val="20"/>
              </w:rPr>
              <w:t>$155,000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390F85E" w14:textId="77777777">
            <w:pPr>
              <w:jc w:val="right"/>
              <w:rPr>
                <w:rFonts w:eastAsia="Times New Roman" w:cs="Calibri"/>
                <w:color w:val="000000"/>
                <w:sz w:val="20"/>
              </w:rPr>
            </w:pPr>
            <w:r w:rsidRPr="003261F8">
              <w:rPr>
                <w:rFonts w:cs="Calibri"/>
                <w:color w:val="000000"/>
                <w:sz w:val="20"/>
              </w:rPr>
              <w:t>$160,000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B9512B4" w14:textId="77777777">
            <w:pPr>
              <w:jc w:val="right"/>
              <w:rPr>
                <w:rFonts w:eastAsia="Times New Roman" w:cs="Calibri"/>
                <w:color w:val="000000"/>
                <w:sz w:val="20"/>
              </w:rPr>
            </w:pPr>
            <w:r w:rsidRPr="003261F8">
              <w:rPr>
                <w:rFonts w:cs="Calibri"/>
                <w:color w:val="000000"/>
                <w:sz w:val="20"/>
              </w:rPr>
              <w:t>$160,000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0FB5417" w14:textId="77777777">
            <w:pPr>
              <w:jc w:val="right"/>
              <w:rPr>
                <w:rFonts w:eastAsia="Times New Roman" w:cs="Calibri"/>
                <w:b/>
                <w:bCs/>
                <w:color w:val="000000"/>
                <w:sz w:val="20"/>
              </w:rPr>
            </w:pPr>
            <w:r w:rsidRPr="003261F8">
              <w:rPr>
                <w:rFonts w:cs="Calibri"/>
                <w:b/>
                <w:bCs/>
                <w:color w:val="000000"/>
                <w:sz w:val="20"/>
              </w:rPr>
              <w:t>$910,000</w:t>
            </w:r>
          </w:p>
        </w:tc>
      </w:tr>
      <w:tr w:rsidRPr="003261F8" w:rsidR="008959A4" w:rsidTr="00717A84" w14:paraId="4357F211"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717A84" w:rsidRDefault="008959A4" w14:paraId="077BD88A" w14:textId="77777777">
            <w:pPr>
              <w:rPr>
                <w:rFonts w:eastAsia="Times New Roman" w:cs="Calibri"/>
                <w:b/>
                <w:bCs/>
                <w:color w:val="000000"/>
                <w:sz w:val="20"/>
              </w:rPr>
            </w:pPr>
            <w:r w:rsidRPr="003261F8">
              <w:rPr>
                <w:rFonts w:eastAsia="Times New Roman" w:cs="Calibri"/>
                <w:b/>
                <w:bCs/>
                <w:color w:val="000000"/>
                <w:sz w:val="20"/>
              </w:rPr>
              <w:t>Southwest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52EED04" w14:textId="77777777">
            <w:pPr>
              <w:jc w:val="right"/>
              <w:rPr>
                <w:rFonts w:eastAsia="Times New Roman" w:cs="Calibri"/>
                <w:color w:val="000000"/>
                <w:sz w:val="20"/>
              </w:rPr>
            </w:pPr>
            <w:r w:rsidRPr="003261F8">
              <w:rPr>
                <w:rFonts w:cs="Calibri"/>
                <w:color w:val="000000"/>
                <w:sz w:val="20"/>
              </w:rPr>
              <w:t>$340,000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44785D9" w14:textId="77777777">
            <w:pPr>
              <w:jc w:val="right"/>
              <w:rPr>
                <w:rFonts w:eastAsia="Times New Roman" w:cs="Calibri"/>
                <w:color w:val="000000"/>
                <w:sz w:val="20"/>
              </w:rPr>
            </w:pPr>
            <w:r w:rsidRPr="003261F8">
              <w:rPr>
                <w:rFonts w:cs="Calibri"/>
                <w:color w:val="000000"/>
                <w:sz w:val="20"/>
              </w:rPr>
              <w:t>$346,800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6E6B60B" w14:textId="77777777">
            <w:pPr>
              <w:jc w:val="right"/>
              <w:rPr>
                <w:rFonts w:eastAsia="Times New Roman" w:cs="Calibri"/>
                <w:color w:val="000000"/>
                <w:sz w:val="20"/>
              </w:rPr>
            </w:pPr>
            <w:r w:rsidRPr="003261F8">
              <w:rPr>
                <w:rFonts w:cs="Calibri"/>
                <w:color w:val="000000"/>
                <w:sz w:val="20"/>
              </w:rPr>
              <w:t>$353,736</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BE28029" w14:textId="77777777">
            <w:pPr>
              <w:jc w:val="right"/>
              <w:rPr>
                <w:rFonts w:eastAsia="Times New Roman" w:cs="Calibri"/>
                <w:color w:val="000000"/>
                <w:sz w:val="20"/>
              </w:rPr>
            </w:pPr>
            <w:r w:rsidRPr="003261F8">
              <w:rPr>
                <w:rFonts w:cs="Calibri"/>
                <w:color w:val="000000"/>
                <w:sz w:val="20"/>
              </w:rPr>
              <w:t>$360,811</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B5B9FA1" w14:textId="77777777">
            <w:pPr>
              <w:jc w:val="right"/>
              <w:rPr>
                <w:rFonts w:eastAsia="Times New Roman" w:cs="Calibri"/>
                <w:color w:val="000000"/>
                <w:sz w:val="20"/>
              </w:rPr>
            </w:pPr>
            <w:r w:rsidRPr="003261F8">
              <w:rPr>
                <w:rFonts w:cs="Calibri"/>
                <w:color w:val="000000"/>
                <w:sz w:val="20"/>
              </w:rPr>
              <w:t>$368,027</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507AB58" w14:textId="77777777">
            <w:pPr>
              <w:jc w:val="right"/>
              <w:rPr>
                <w:rFonts w:eastAsia="Times New Roman" w:cs="Calibri"/>
                <w:color w:val="000000"/>
                <w:sz w:val="20"/>
              </w:rPr>
            </w:pPr>
            <w:r w:rsidRPr="003261F8">
              <w:rPr>
                <w:rFonts w:cs="Calibri"/>
                <w:color w:val="000000"/>
                <w:sz w:val="20"/>
              </w:rPr>
              <w:t>$375,387</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245303A" w14:textId="77777777">
            <w:pPr>
              <w:jc w:val="right"/>
              <w:rPr>
                <w:rFonts w:eastAsia="Times New Roman" w:cs="Calibri"/>
                <w:b/>
                <w:bCs/>
                <w:color w:val="000000"/>
                <w:sz w:val="20"/>
              </w:rPr>
            </w:pPr>
            <w:r w:rsidRPr="003261F8">
              <w:rPr>
                <w:rFonts w:cs="Calibri"/>
                <w:b/>
                <w:bCs/>
                <w:color w:val="000000"/>
                <w:sz w:val="20"/>
              </w:rPr>
              <w:t>$2,144,761</w:t>
            </w:r>
          </w:p>
        </w:tc>
      </w:tr>
      <w:tr w:rsidRPr="003261F8" w:rsidR="008959A4" w:rsidTr="00717A84" w14:paraId="1D80F059"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1FEE5D94" w14:textId="77777777">
            <w:pPr>
              <w:rPr>
                <w:rFonts w:eastAsia="Times New Roman" w:cs="Calibri"/>
                <w:b/>
                <w:bCs/>
                <w:color w:val="000000"/>
                <w:sz w:val="20"/>
              </w:rPr>
            </w:pPr>
            <w:r w:rsidRPr="003261F8">
              <w:rPr>
                <w:rFonts w:eastAsia="Times New Roman" w:cs="Calibri"/>
                <w:b/>
                <w:bCs/>
                <w:color w:val="000000"/>
                <w:sz w:val="20"/>
              </w:rPr>
              <w:t>West Coast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688C3B8" w14:textId="77777777">
            <w:pPr>
              <w:jc w:val="right"/>
              <w:rPr>
                <w:rFonts w:eastAsia="Times New Roman" w:cs="Calibri"/>
                <w:color w:val="000000"/>
                <w:sz w:val="20"/>
              </w:rPr>
            </w:pPr>
            <w:r w:rsidRPr="003261F8">
              <w:rPr>
                <w:rFonts w:cs="Calibri"/>
                <w:color w:val="000000"/>
                <w:sz w:val="20"/>
              </w:rPr>
              <w:t>$8,064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7C9323A" w14:textId="77777777">
            <w:pPr>
              <w:jc w:val="right"/>
              <w:rPr>
                <w:rFonts w:eastAsia="Times New Roman" w:cs="Calibri"/>
                <w:color w:val="000000"/>
                <w:sz w:val="20"/>
              </w:rPr>
            </w:pPr>
            <w:r w:rsidRPr="003261F8">
              <w:rPr>
                <w:rFonts w:cs="Calibri"/>
                <w:color w:val="000000"/>
                <w:sz w:val="20"/>
              </w:rPr>
              <w:t>$8,064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C98A062" w14:textId="77777777">
            <w:pPr>
              <w:jc w:val="right"/>
              <w:rPr>
                <w:rFonts w:eastAsia="Times New Roman" w:cs="Calibri"/>
                <w:color w:val="000000"/>
                <w:sz w:val="20"/>
              </w:rPr>
            </w:pPr>
            <w:r w:rsidRPr="003261F8">
              <w:rPr>
                <w:rFonts w:cs="Calibri"/>
                <w:color w:val="000000"/>
                <w:sz w:val="20"/>
              </w:rPr>
              <w:t>$8,064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64D83C1" w14:textId="77777777">
            <w:pPr>
              <w:jc w:val="right"/>
              <w:rPr>
                <w:rFonts w:eastAsia="Times New Roman" w:cs="Calibri"/>
                <w:color w:val="000000"/>
                <w:sz w:val="20"/>
              </w:rPr>
            </w:pPr>
            <w:r w:rsidRPr="003261F8">
              <w:rPr>
                <w:rFonts w:cs="Calibri"/>
                <w:color w:val="000000"/>
                <w:sz w:val="20"/>
              </w:rPr>
              <w:t>$8,064</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6C446C7" w14:textId="77777777">
            <w:pPr>
              <w:jc w:val="right"/>
              <w:rPr>
                <w:rFonts w:eastAsia="Times New Roman" w:cs="Calibri"/>
                <w:color w:val="000000"/>
                <w:sz w:val="20"/>
              </w:rPr>
            </w:pPr>
            <w:r w:rsidRPr="003261F8">
              <w:rPr>
                <w:rFonts w:cs="Calibri"/>
                <w:color w:val="000000"/>
                <w:sz w:val="20"/>
              </w:rPr>
              <w:t>$8,064</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2DBF498" w14:textId="77777777">
            <w:pPr>
              <w:jc w:val="right"/>
              <w:rPr>
                <w:rFonts w:eastAsia="Times New Roman" w:cs="Calibri"/>
                <w:color w:val="000000"/>
                <w:sz w:val="20"/>
              </w:rPr>
            </w:pPr>
            <w:r w:rsidRPr="003261F8">
              <w:rPr>
                <w:rFonts w:cs="Calibri"/>
                <w:color w:val="000000"/>
                <w:sz w:val="20"/>
              </w:rPr>
              <w:t>$8,064</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B433CD1" w14:textId="77777777">
            <w:pPr>
              <w:jc w:val="right"/>
              <w:rPr>
                <w:rFonts w:eastAsia="Times New Roman" w:cs="Calibri"/>
                <w:b/>
                <w:bCs/>
                <w:color w:val="000000"/>
                <w:sz w:val="20"/>
              </w:rPr>
            </w:pPr>
            <w:r w:rsidRPr="003261F8">
              <w:rPr>
                <w:rFonts w:cs="Calibri"/>
                <w:b/>
                <w:bCs/>
                <w:color w:val="000000"/>
                <w:sz w:val="20"/>
              </w:rPr>
              <w:t>$48,384</w:t>
            </w:r>
          </w:p>
        </w:tc>
      </w:tr>
      <w:tr w:rsidRPr="003261F8" w:rsidR="008959A4" w:rsidTr="00717A84" w14:paraId="5DC91C9F"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769158AD" w14:textId="77777777">
            <w:pPr>
              <w:rPr>
                <w:rFonts w:eastAsia="Times New Roman" w:cs="Calibri"/>
                <w:b/>
                <w:bCs/>
                <w:color w:val="000000"/>
                <w:sz w:val="20"/>
              </w:rPr>
            </w:pPr>
            <w:r w:rsidRPr="003261F8">
              <w:rPr>
                <w:rFonts w:eastAsia="Times New Roman" w:cs="Calibri"/>
                <w:b/>
                <w:bCs/>
                <w:color w:val="000000"/>
                <w:sz w:val="20"/>
              </w:rPr>
              <w:t>Total</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103D697" w14:textId="77777777">
            <w:pPr>
              <w:jc w:val="right"/>
              <w:rPr>
                <w:rFonts w:eastAsia="Times New Roman" w:cs="Calibri"/>
                <w:b/>
                <w:bCs/>
                <w:color w:val="000000"/>
                <w:sz w:val="20"/>
              </w:rPr>
            </w:pPr>
            <w:r w:rsidRPr="003261F8">
              <w:rPr>
                <w:rFonts w:cs="Calibri"/>
                <w:b/>
                <w:bCs/>
                <w:color w:val="000000"/>
                <w:sz w:val="20"/>
              </w:rPr>
              <w:t>$657,992</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B4C2E81" w14:textId="77777777">
            <w:pPr>
              <w:jc w:val="right"/>
              <w:rPr>
                <w:rFonts w:eastAsia="Times New Roman" w:cs="Calibri"/>
                <w:b/>
                <w:bCs/>
                <w:color w:val="000000"/>
                <w:sz w:val="20"/>
              </w:rPr>
            </w:pPr>
            <w:r w:rsidRPr="003261F8">
              <w:rPr>
                <w:rFonts w:cs="Calibri"/>
                <w:b/>
                <w:bCs/>
                <w:color w:val="000000"/>
                <w:sz w:val="20"/>
              </w:rPr>
              <w:t>$673,352</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4A0E7ED" w14:textId="77777777">
            <w:pPr>
              <w:jc w:val="right"/>
              <w:rPr>
                <w:rFonts w:eastAsia="Times New Roman" w:cs="Calibri"/>
                <w:b/>
                <w:bCs/>
                <w:color w:val="000000"/>
                <w:sz w:val="20"/>
              </w:rPr>
            </w:pPr>
            <w:r w:rsidRPr="003261F8">
              <w:rPr>
                <w:rFonts w:cs="Calibri"/>
                <w:b/>
                <w:bCs/>
                <w:color w:val="000000"/>
                <w:sz w:val="20"/>
              </w:rPr>
              <w:t>$688,934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BEE3980" w14:textId="77777777">
            <w:pPr>
              <w:jc w:val="right"/>
              <w:rPr>
                <w:rFonts w:eastAsia="Times New Roman" w:cs="Calibri"/>
                <w:b/>
                <w:bCs/>
                <w:color w:val="000000"/>
                <w:sz w:val="20"/>
              </w:rPr>
            </w:pPr>
            <w:r w:rsidRPr="003261F8">
              <w:rPr>
                <w:rFonts w:cs="Calibri"/>
                <w:b/>
                <w:bCs/>
                <w:color w:val="000000"/>
                <w:sz w:val="20"/>
              </w:rPr>
              <w:t>$704,742</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D20CB80" w14:textId="77777777">
            <w:pPr>
              <w:jc w:val="right"/>
              <w:rPr>
                <w:rFonts w:eastAsia="Times New Roman" w:cs="Calibri"/>
                <w:b/>
                <w:bCs/>
                <w:color w:val="000000"/>
                <w:sz w:val="20"/>
              </w:rPr>
            </w:pPr>
            <w:r w:rsidRPr="003261F8">
              <w:rPr>
                <w:rFonts w:cs="Calibri"/>
                <w:b/>
                <w:bCs/>
                <w:color w:val="000000"/>
                <w:sz w:val="20"/>
              </w:rPr>
              <w:t>$720,781</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E2BCBD5" w14:textId="77777777">
            <w:pPr>
              <w:jc w:val="right"/>
              <w:rPr>
                <w:rFonts w:eastAsia="Times New Roman" w:cs="Calibri"/>
                <w:b/>
                <w:bCs/>
                <w:color w:val="000000"/>
                <w:sz w:val="20"/>
              </w:rPr>
            </w:pPr>
            <w:r w:rsidRPr="003261F8">
              <w:rPr>
                <w:rFonts w:cs="Calibri"/>
                <w:b/>
                <w:bCs/>
                <w:color w:val="000000"/>
                <w:sz w:val="20"/>
              </w:rPr>
              <w:t>$732,058</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1379E84" w14:textId="77777777">
            <w:pPr>
              <w:ind w:left="360"/>
              <w:jc w:val="right"/>
              <w:rPr>
                <w:rFonts w:eastAsia="Times New Roman" w:cs="Calibri"/>
                <w:b/>
                <w:bCs/>
                <w:color w:val="000000"/>
                <w:sz w:val="20"/>
              </w:rPr>
            </w:pPr>
            <w:r w:rsidRPr="003261F8">
              <w:rPr>
                <w:rFonts w:cs="Calibri"/>
                <w:b/>
                <w:bCs/>
                <w:color w:val="000000"/>
                <w:sz w:val="20"/>
              </w:rPr>
              <w:t>$4,177,858</w:t>
            </w:r>
          </w:p>
        </w:tc>
      </w:tr>
      <w:tr w:rsidRPr="003261F8" w:rsidR="008959A4" w:rsidTr="00717A84" w14:paraId="385D4B27" w14:textId="77777777">
        <w:trPr>
          <w:trHeight w:val="248"/>
          <w:jc w:val="center"/>
        </w:trPr>
        <w:tc>
          <w:tcPr>
            <w:tcW w:w="1530" w:type="dxa"/>
            <w:tcBorders>
              <w:top w:val="nil"/>
              <w:left w:val="nil"/>
              <w:bottom w:val="nil"/>
              <w:right w:val="nil"/>
            </w:tcBorders>
            <w:shd w:val="clear" w:color="auto" w:fill="auto"/>
            <w:noWrap/>
            <w:vAlign w:val="bottom"/>
            <w:hideMark/>
          </w:tcPr>
          <w:p w:rsidRPr="003261F8" w:rsidR="008959A4" w:rsidP="00717A84" w:rsidRDefault="008959A4" w14:paraId="075BE478" w14:textId="77777777">
            <w:pPr>
              <w:ind w:left="360"/>
              <w:jc w:val="right"/>
              <w:rPr>
                <w:rFonts w:eastAsia="Times New Roman" w:cs="Calibri"/>
                <w:b/>
                <w:bCs/>
                <w:color w:val="000000"/>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6B5887DD"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3E6112EF"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2D203929"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483DA7AC" w14:textId="77777777">
            <w:pPr>
              <w:ind w:left="360"/>
              <w:rPr>
                <w:rFonts w:eastAsia="Times New Roman"/>
                <w:sz w:val="20"/>
              </w:rPr>
            </w:pPr>
          </w:p>
        </w:tc>
        <w:tc>
          <w:tcPr>
            <w:tcW w:w="1170" w:type="dxa"/>
            <w:tcBorders>
              <w:top w:val="nil"/>
              <w:left w:val="nil"/>
              <w:bottom w:val="nil"/>
              <w:right w:val="nil"/>
            </w:tcBorders>
            <w:shd w:val="clear" w:color="auto" w:fill="auto"/>
            <w:noWrap/>
            <w:vAlign w:val="bottom"/>
            <w:hideMark/>
          </w:tcPr>
          <w:p w:rsidRPr="003261F8" w:rsidR="008959A4" w:rsidP="00717A84" w:rsidRDefault="008959A4" w14:paraId="005639CB" w14:textId="77777777">
            <w:pPr>
              <w:ind w:left="360"/>
              <w:rPr>
                <w:rFonts w:eastAsia="Times New Roman"/>
                <w:sz w:val="20"/>
              </w:rPr>
            </w:pPr>
          </w:p>
        </w:tc>
        <w:tc>
          <w:tcPr>
            <w:tcW w:w="1170" w:type="dxa"/>
            <w:tcBorders>
              <w:top w:val="nil"/>
              <w:left w:val="nil"/>
              <w:bottom w:val="nil"/>
              <w:right w:val="nil"/>
            </w:tcBorders>
            <w:shd w:val="clear" w:color="auto" w:fill="auto"/>
            <w:noWrap/>
            <w:vAlign w:val="bottom"/>
            <w:hideMark/>
          </w:tcPr>
          <w:p w:rsidRPr="003261F8" w:rsidR="008959A4" w:rsidP="00717A84" w:rsidRDefault="008959A4" w14:paraId="06F3DF17" w14:textId="77777777">
            <w:pPr>
              <w:ind w:left="360"/>
              <w:rPr>
                <w:rFonts w:eastAsia="Times New Roman"/>
                <w:sz w:val="20"/>
              </w:rPr>
            </w:pPr>
          </w:p>
        </w:tc>
        <w:tc>
          <w:tcPr>
            <w:tcW w:w="1251" w:type="dxa"/>
            <w:tcBorders>
              <w:top w:val="nil"/>
              <w:left w:val="nil"/>
              <w:bottom w:val="nil"/>
              <w:right w:val="nil"/>
            </w:tcBorders>
            <w:shd w:val="clear" w:color="auto" w:fill="auto"/>
            <w:noWrap/>
            <w:vAlign w:val="bottom"/>
            <w:hideMark/>
          </w:tcPr>
          <w:p w:rsidRPr="003261F8" w:rsidR="008959A4" w:rsidP="00717A84" w:rsidRDefault="008959A4" w14:paraId="54C22DA1" w14:textId="77777777">
            <w:pPr>
              <w:ind w:left="360"/>
              <w:rPr>
                <w:rFonts w:eastAsia="Times New Roman"/>
                <w:sz w:val="20"/>
              </w:rPr>
            </w:pPr>
          </w:p>
        </w:tc>
      </w:tr>
      <w:tr w:rsidRPr="003261F8" w:rsidR="008959A4" w:rsidTr="00717A84" w14:paraId="16136468" w14:textId="77777777">
        <w:trPr>
          <w:trHeight w:val="248"/>
          <w:jc w:val="center"/>
        </w:trPr>
        <w:tc>
          <w:tcPr>
            <w:tcW w:w="1530"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3261F8" w:rsidR="008959A4" w:rsidP="00BC48EE" w:rsidRDefault="008959A4" w14:paraId="6E18E145" w14:textId="77777777">
            <w:pPr>
              <w:keepNext/>
              <w:rPr>
                <w:rFonts w:eastAsia="Times New Roman" w:cs="Calibri"/>
                <w:b/>
                <w:bCs/>
                <w:color w:val="000000"/>
                <w:sz w:val="20"/>
              </w:rPr>
            </w:pPr>
            <w:r w:rsidRPr="003261F8">
              <w:rPr>
                <w:rFonts w:eastAsia="Times New Roman" w:cs="Calibri"/>
                <w:b/>
                <w:bCs/>
                <w:color w:val="000000"/>
                <w:sz w:val="20"/>
              </w:rPr>
              <w:lastRenderedPageBreak/>
              <w:t>SMJU</w:t>
            </w:r>
          </w:p>
        </w:tc>
        <w:tc>
          <w:tcPr>
            <w:tcW w:w="8631"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3261F8" w:rsidR="008959A4" w:rsidP="00BC48EE" w:rsidRDefault="008959A4" w14:paraId="4B87068E" w14:textId="77777777">
            <w:pPr>
              <w:keepNext/>
              <w:ind w:left="360"/>
              <w:jc w:val="center"/>
              <w:rPr>
                <w:rFonts w:eastAsia="Times New Roman" w:cs="Calibri"/>
                <w:b/>
                <w:bCs/>
                <w:color w:val="000000"/>
                <w:sz w:val="20"/>
              </w:rPr>
            </w:pPr>
            <w:r w:rsidRPr="003261F8">
              <w:rPr>
                <w:rFonts w:eastAsia="Times New Roman" w:cs="Calibri"/>
                <w:b/>
                <w:bCs/>
                <w:color w:val="000000"/>
                <w:sz w:val="20"/>
              </w:rPr>
              <w:t>CARE Proposed Subsidies</w:t>
            </w:r>
          </w:p>
        </w:tc>
      </w:tr>
      <w:tr w:rsidRPr="003261F8" w:rsidR="008959A4" w:rsidTr="00717A84" w14:paraId="730FB99A" w14:textId="77777777">
        <w:trPr>
          <w:trHeight w:val="248"/>
          <w:jc w:val="center"/>
        </w:trPr>
        <w:tc>
          <w:tcPr>
            <w:tcW w:w="1530" w:type="dxa"/>
            <w:vMerge/>
            <w:tcBorders>
              <w:top w:val="single" w:color="auto" w:sz="4" w:space="0"/>
              <w:left w:val="single" w:color="auto" w:sz="4" w:space="0"/>
              <w:bottom w:val="single" w:color="000000" w:sz="4" w:space="0"/>
              <w:right w:val="single" w:color="auto" w:sz="4" w:space="0"/>
            </w:tcBorders>
            <w:vAlign w:val="center"/>
            <w:hideMark/>
          </w:tcPr>
          <w:p w:rsidRPr="003261F8" w:rsidR="008959A4" w:rsidP="00BC48EE" w:rsidRDefault="008959A4" w14:paraId="00FFB610" w14:textId="77777777">
            <w:pPr>
              <w:keepNext/>
              <w:ind w:left="360"/>
              <w:rPr>
                <w:rFonts w:eastAsia="Times New Roman" w:cs="Calibri"/>
                <w:b/>
                <w:bCs/>
                <w:color w:val="000000"/>
                <w:sz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6CF833D7" w14:textId="77777777">
            <w:pPr>
              <w:keepNext/>
              <w:ind w:left="360"/>
              <w:jc w:val="center"/>
              <w:rPr>
                <w:rFonts w:eastAsia="Times New Roman" w:cs="Calibri"/>
                <w:b/>
                <w:bCs/>
                <w:color w:val="000000"/>
                <w:sz w:val="20"/>
              </w:rPr>
            </w:pPr>
            <w:r w:rsidRPr="003261F8">
              <w:rPr>
                <w:rFonts w:eastAsia="Times New Roman" w:cs="Calibri"/>
                <w:b/>
                <w:bCs/>
                <w:color w:val="000000"/>
                <w:sz w:val="20"/>
              </w:rPr>
              <w:t>2021</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08E9A982" w14:textId="77777777">
            <w:pPr>
              <w:keepNext/>
              <w:ind w:left="360"/>
              <w:jc w:val="center"/>
              <w:rPr>
                <w:rFonts w:eastAsia="Times New Roman" w:cs="Calibri"/>
                <w:b/>
                <w:bCs/>
                <w:color w:val="000000"/>
                <w:sz w:val="20"/>
              </w:rPr>
            </w:pPr>
            <w:r w:rsidRPr="003261F8">
              <w:rPr>
                <w:rFonts w:eastAsia="Times New Roman" w:cs="Calibri"/>
                <w:b/>
                <w:bCs/>
                <w:color w:val="000000"/>
                <w:sz w:val="20"/>
              </w:rPr>
              <w:t>2022</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07189C8C" w14:textId="77777777">
            <w:pPr>
              <w:keepNext/>
              <w:ind w:left="360"/>
              <w:jc w:val="center"/>
              <w:rPr>
                <w:rFonts w:eastAsia="Times New Roman" w:cs="Calibri"/>
                <w:b/>
                <w:bCs/>
                <w:color w:val="000000"/>
                <w:sz w:val="20"/>
              </w:rPr>
            </w:pPr>
            <w:r w:rsidRPr="003261F8">
              <w:rPr>
                <w:rFonts w:eastAsia="Times New Roman" w:cs="Calibri"/>
                <w:b/>
                <w:bCs/>
                <w:color w:val="000000"/>
                <w:sz w:val="20"/>
              </w:rPr>
              <w:t>2023</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563A62CD" w14:textId="77777777">
            <w:pPr>
              <w:keepNext/>
              <w:ind w:left="360"/>
              <w:jc w:val="center"/>
              <w:rPr>
                <w:rFonts w:eastAsia="Times New Roman" w:cs="Calibri"/>
                <w:b/>
                <w:bCs/>
                <w:color w:val="000000"/>
                <w:sz w:val="20"/>
              </w:rPr>
            </w:pPr>
            <w:r w:rsidRPr="003261F8">
              <w:rPr>
                <w:rFonts w:eastAsia="Times New Roman" w:cs="Calibri"/>
                <w:b/>
                <w:bCs/>
                <w:color w:val="000000"/>
                <w:sz w:val="20"/>
              </w:rPr>
              <w:t>2024</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18ED384E" w14:textId="77777777">
            <w:pPr>
              <w:keepNext/>
              <w:ind w:left="360"/>
              <w:jc w:val="center"/>
              <w:rPr>
                <w:rFonts w:eastAsia="Times New Roman" w:cs="Calibri"/>
                <w:b/>
                <w:bCs/>
                <w:color w:val="000000"/>
                <w:sz w:val="20"/>
              </w:rPr>
            </w:pPr>
            <w:r w:rsidRPr="003261F8">
              <w:rPr>
                <w:rFonts w:eastAsia="Times New Roman" w:cs="Calibri"/>
                <w:b/>
                <w:bCs/>
                <w:color w:val="000000"/>
                <w:sz w:val="20"/>
              </w:rPr>
              <w:t>2025</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5F95B60A" w14:textId="77777777">
            <w:pPr>
              <w:keepNext/>
              <w:ind w:left="360"/>
              <w:jc w:val="center"/>
              <w:rPr>
                <w:rFonts w:eastAsia="Times New Roman" w:cs="Calibri"/>
                <w:b/>
                <w:bCs/>
                <w:color w:val="000000"/>
                <w:sz w:val="20"/>
              </w:rPr>
            </w:pPr>
            <w:r w:rsidRPr="003261F8">
              <w:rPr>
                <w:rFonts w:eastAsia="Times New Roman" w:cs="Calibri"/>
                <w:b/>
                <w:bCs/>
                <w:color w:val="000000"/>
                <w:sz w:val="20"/>
              </w:rPr>
              <w:t>2026</w:t>
            </w:r>
          </w:p>
        </w:tc>
        <w:tc>
          <w:tcPr>
            <w:tcW w:w="1251" w:type="dxa"/>
            <w:tcBorders>
              <w:top w:val="nil"/>
              <w:left w:val="nil"/>
              <w:bottom w:val="single" w:color="auto" w:sz="4" w:space="0"/>
              <w:right w:val="single" w:color="auto" w:sz="4" w:space="0"/>
            </w:tcBorders>
            <w:shd w:val="clear" w:color="auto" w:fill="auto"/>
            <w:noWrap/>
            <w:vAlign w:val="bottom"/>
            <w:hideMark/>
          </w:tcPr>
          <w:p w:rsidRPr="003261F8" w:rsidR="008959A4" w:rsidP="00BC48EE" w:rsidRDefault="008959A4" w14:paraId="0D759632" w14:textId="77777777">
            <w:pPr>
              <w:keepNext/>
              <w:ind w:left="360"/>
              <w:jc w:val="center"/>
              <w:rPr>
                <w:rFonts w:eastAsia="Times New Roman" w:cs="Calibri"/>
                <w:b/>
                <w:bCs/>
                <w:color w:val="000000"/>
                <w:sz w:val="20"/>
              </w:rPr>
            </w:pPr>
            <w:r w:rsidRPr="003261F8">
              <w:rPr>
                <w:rFonts w:eastAsia="Times New Roman" w:cs="Calibri"/>
                <w:b/>
                <w:bCs/>
                <w:color w:val="000000"/>
                <w:sz w:val="20"/>
              </w:rPr>
              <w:t>Total</w:t>
            </w:r>
          </w:p>
        </w:tc>
      </w:tr>
      <w:tr w:rsidRPr="003261F8" w:rsidR="008959A4" w:rsidTr="00717A84" w14:paraId="5CF94EEE"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BC48EE" w:rsidRDefault="008959A4" w14:paraId="3D50470D" w14:textId="77777777">
            <w:pPr>
              <w:keepNext/>
              <w:rPr>
                <w:rFonts w:eastAsia="Times New Roman" w:cs="Calibri"/>
                <w:b/>
                <w:bCs/>
                <w:color w:val="000000"/>
                <w:sz w:val="20"/>
              </w:rPr>
            </w:pPr>
            <w:r w:rsidRPr="003261F8">
              <w:rPr>
                <w:rFonts w:eastAsia="Times New Roman" w:cs="Calibri"/>
                <w:b/>
                <w:bCs/>
                <w:color w:val="000000"/>
                <w:sz w:val="20"/>
              </w:rPr>
              <w:t>Alpine</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4BC28C2C" w14:textId="77777777">
            <w:pPr>
              <w:keepNext/>
              <w:jc w:val="right"/>
              <w:rPr>
                <w:rFonts w:eastAsia="Times New Roman" w:cs="Calibri"/>
                <w:color w:val="000000"/>
                <w:sz w:val="20"/>
              </w:rPr>
            </w:pPr>
            <w:r w:rsidRPr="003261F8">
              <w:rPr>
                <w:rFonts w:cs="Calibri"/>
                <w:color w:val="000000"/>
                <w:sz w:val="20"/>
              </w:rPr>
              <w:t>$27,000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018854A5" w14:textId="77777777">
            <w:pPr>
              <w:keepNext/>
              <w:jc w:val="right"/>
              <w:rPr>
                <w:rFonts w:eastAsia="Times New Roman" w:cs="Calibri"/>
                <w:color w:val="000000"/>
                <w:sz w:val="20"/>
              </w:rPr>
            </w:pPr>
            <w:r w:rsidRPr="003261F8">
              <w:rPr>
                <w:rFonts w:cs="Calibri"/>
                <w:color w:val="000000"/>
                <w:sz w:val="20"/>
              </w:rPr>
              <w:t>$27,000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6623FD8E" w14:textId="77777777">
            <w:pPr>
              <w:keepNext/>
              <w:jc w:val="right"/>
              <w:rPr>
                <w:rFonts w:eastAsia="Times New Roman" w:cs="Calibri"/>
                <w:color w:val="000000"/>
                <w:sz w:val="20"/>
              </w:rPr>
            </w:pPr>
            <w:r w:rsidRPr="003261F8">
              <w:rPr>
                <w:rFonts w:cs="Calibri"/>
                <w:color w:val="000000"/>
                <w:sz w:val="20"/>
              </w:rPr>
              <w:t>$27,000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0DC31299" w14:textId="77777777">
            <w:pPr>
              <w:keepNext/>
              <w:jc w:val="right"/>
              <w:rPr>
                <w:rFonts w:eastAsia="Times New Roman" w:cs="Calibri"/>
                <w:color w:val="000000"/>
                <w:sz w:val="20"/>
              </w:rPr>
            </w:pPr>
            <w:r w:rsidRPr="003261F8">
              <w:rPr>
                <w:rFonts w:cs="Calibri"/>
                <w:color w:val="000000"/>
                <w:sz w:val="20"/>
              </w:rPr>
              <w:t>$28,000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0FAD26A4" w14:textId="77777777">
            <w:pPr>
              <w:keepNext/>
              <w:jc w:val="right"/>
              <w:rPr>
                <w:rFonts w:eastAsia="Times New Roman" w:cs="Calibri"/>
                <w:color w:val="000000"/>
                <w:sz w:val="20"/>
              </w:rPr>
            </w:pPr>
            <w:r w:rsidRPr="003261F8">
              <w:rPr>
                <w:rFonts w:cs="Calibri"/>
                <w:color w:val="000000"/>
                <w:sz w:val="20"/>
              </w:rPr>
              <w:t>$28,000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00B017C1" w14:textId="77777777">
            <w:pPr>
              <w:keepNext/>
              <w:jc w:val="right"/>
              <w:rPr>
                <w:rFonts w:eastAsia="Times New Roman" w:cs="Calibri"/>
                <w:color w:val="000000"/>
                <w:sz w:val="20"/>
              </w:rPr>
            </w:pPr>
            <w:r w:rsidRPr="003261F8">
              <w:rPr>
                <w:rFonts w:cs="Calibri"/>
                <w:color w:val="000000"/>
                <w:sz w:val="20"/>
              </w:rPr>
              <w:t>$28,000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7E8C0719" w14:textId="77777777">
            <w:pPr>
              <w:keepNext/>
              <w:jc w:val="right"/>
              <w:rPr>
                <w:rFonts w:eastAsia="Times New Roman" w:cs="Calibri"/>
                <w:b/>
                <w:bCs/>
                <w:color w:val="000000"/>
                <w:sz w:val="20"/>
              </w:rPr>
            </w:pPr>
            <w:r w:rsidRPr="003261F8">
              <w:rPr>
                <w:rFonts w:cs="Calibri"/>
                <w:b/>
                <w:bCs/>
                <w:color w:val="000000"/>
                <w:sz w:val="20"/>
              </w:rPr>
              <w:t>$165,000</w:t>
            </w:r>
          </w:p>
        </w:tc>
      </w:tr>
      <w:tr w:rsidRPr="003261F8" w:rsidR="008959A4" w:rsidTr="00717A84" w14:paraId="78B6DD70"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BC48EE" w:rsidRDefault="008959A4" w14:paraId="6355E7C9" w14:textId="77777777">
            <w:pPr>
              <w:keepNext/>
              <w:rPr>
                <w:rFonts w:eastAsia="Times New Roman" w:cs="Calibri"/>
                <w:b/>
                <w:bCs/>
                <w:color w:val="000000"/>
                <w:sz w:val="20"/>
              </w:rPr>
            </w:pPr>
            <w:r w:rsidRPr="003261F8">
              <w:rPr>
                <w:rFonts w:eastAsia="Times New Roman" w:cs="Calibri"/>
                <w:b/>
                <w:bCs/>
                <w:color w:val="000000"/>
                <w:sz w:val="20"/>
              </w:rPr>
              <w:t>Bear Valley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71A9F65D" w14:textId="77777777">
            <w:pPr>
              <w:keepNext/>
              <w:jc w:val="right"/>
              <w:rPr>
                <w:rFonts w:eastAsia="Times New Roman" w:cs="Calibri"/>
                <w:sz w:val="20"/>
              </w:rPr>
            </w:pPr>
            <w:r w:rsidRPr="003261F8">
              <w:rPr>
                <w:rFonts w:cs="Calibri"/>
                <w:color w:val="000000"/>
                <w:sz w:val="20"/>
              </w:rPr>
              <w:t>$268,128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205D40A7" w14:textId="77777777">
            <w:pPr>
              <w:keepNext/>
              <w:jc w:val="right"/>
              <w:rPr>
                <w:rFonts w:eastAsia="Times New Roman" w:cs="Calibri"/>
                <w:sz w:val="20"/>
              </w:rPr>
            </w:pPr>
            <w:r w:rsidRPr="003261F8">
              <w:rPr>
                <w:rFonts w:cs="Calibri"/>
                <w:color w:val="000000"/>
                <w:sz w:val="20"/>
              </w:rPr>
              <w:t>$281,534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34860BAE" w14:textId="77777777">
            <w:pPr>
              <w:keepNext/>
              <w:jc w:val="right"/>
              <w:rPr>
                <w:rFonts w:eastAsia="Times New Roman" w:cs="Calibri"/>
                <w:sz w:val="20"/>
              </w:rPr>
            </w:pPr>
            <w:r w:rsidRPr="003261F8">
              <w:rPr>
                <w:rFonts w:cs="Calibri"/>
                <w:color w:val="000000"/>
                <w:sz w:val="20"/>
              </w:rPr>
              <w:t>$295,611</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157AD0DB" w14:textId="77777777">
            <w:pPr>
              <w:keepNext/>
              <w:jc w:val="right"/>
              <w:rPr>
                <w:rFonts w:eastAsia="Times New Roman" w:cs="Calibri"/>
                <w:sz w:val="20"/>
              </w:rPr>
            </w:pPr>
            <w:r w:rsidRPr="003261F8">
              <w:rPr>
                <w:rFonts w:cs="Calibri"/>
                <w:color w:val="000000"/>
                <w:sz w:val="20"/>
              </w:rPr>
              <w:t>$310,392</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23AB0F58" w14:textId="77777777">
            <w:pPr>
              <w:keepNext/>
              <w:jc w:val="right"/>
              <w:rPr>
                <w:rFonts w:eastAsia="Times New Roman" w:cs="Calibri"/>
                <w:sz w:val="20"/>
              </w:rPr>
            </w:pPr>
            <w:r w:rsidRPr="003261F8">
              <w:rPr>
                <w:rFonts w:cs="Calibri"/>
                <w:color w:val="000000"/>
                <w:sz w:val="20"/>
              </w:rPr>
              <w:t>$325,911</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747855C4" w14:textId="77777777">
            <w:pPr>
              <w:keepNext/>
              <w:jc w:val="right"/>
              <w:rPr>
                <w:rFonts w:eastAsia="Times New Roman" w:cs="Calibri"/>
                <w:sz w:val="20"/>
              </w:rPr>
            </w:pPr>
            <w:r w:rsidRPr="003261F8">
              <w:rPr>
                <w:rFonts w:cs="Calibri"/>
                <w:color w:val="000000"/>
                <w:sz w:val="20"/>
              </w:rPr>
              <w:t>$342,207</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477F4640" w14:textId="77777777">
            <w:pPr>
              <w:keepNext/>
              <w:jc w:val="right"/>
              <w:rPr>
                <w:rFonts w:eastAsia="Times New Roman" w:cs="Calibri"/>
                <w:b/>
                <w:bCs/>
                <w:color w:val="000000"/>
                <w:sz w:val="20"/>
              </w:rPr>
            </w:pPr>
            <w:r w:rsidRPr="003261F8">
              <w:rPr>
                <w:rFonts w:cs="Calibri"/>
                <w:b/>
                <w:bCs/>
                <w:color w:val="000000"/>
                <w:sz w:val="20"/>
              </w:rPr>
              <w:t>$1,823,783</w:t>
            </w:r>
          </w:p>
        </w:tc>
      </w:tr>
      <w:tr w:rsidRPr="003261F8" w:rsidR="008959A4" w:rsidTr="00717A84" w14:paraId="25385886"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BC48EE" w:rsidRDefault="008959A4" w14:paraId="1A5A09E0" w14:textId="77777777">
            <w:pPr>
              <w:keepNext/>
              <w:rPr>
                <w:rFonts w:eastAsia="Times New Roman" w:cs="Calibri"/>
                <w:b/>
                <w:bCs/>
                <w:color w:val="000000"/>
                <w:sz w:val="20"/>
              </w:rPr>
            </w:pPr>
            <w:r w:rsidRPr="003261F8">
              <w:rPr>
                <w:rFonts w:eastAsia="Times New Roman" w:cs="Calibri"/>
                <w:b/>
                <w:bCs/>
                <w:color w:val="000000"/>
                <w:sz w:val="20"/>
              </w:rPr>
              <w:t>Liberty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0B399757" w14:textId="77777777">
            <w:pPr>
              <w:keepNext/>
              <w:jc w:val="right"/>
              <w:rPr>
                <w:rFonts w:eastAsia="Times New Roman" w:cs="Calibri"/>
                <w:sz w:val="20"/>
              </w:rPr>
            </w:pPr>
            <w:r w:rsidRPr="003261F8">
              <w:rPr>
                <w:rFonts w:cs="Calibri"/>
                <w:color w:val="000000"/>
                <w:sz w:val="20"/>
              </w:rPr>
              <w:t>$913,960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3B6FAA97" w14:textId="77777777">
            <w:pPr>
              <w:keepNext/>
              <w:jc w:val="right"/>
              <w:rPr>
                <w:rFonts w:eastAsia="Times New Roman" w:cs="Calibri"/>
                <w:sz w:val="20"/>
              </w:rPr>
            </w:pPr>
            <w:r w:rsidRPr="003261F8">
              <w:rPr>
                <w:rFonts w:cs="Calibri"/>
                <w:color w:val="000000"/>
                <w:sz w:val="20"/>
              </w:rPr>
              <w:t>$913,960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45F02F5B" w14:textId="77777777">
            <w:pPr>
              <w:keepNext/>
              <w:jc w:val="right"/>
              <w:rPr>
                <w:rFonts w:eastAsia="Times New Roman" w:cs="Calibri"/>
                <w:sz w:val="20"/>
              </w:rPr>
            </w:pPr>
            <w:r w:rsidRPr="003261F8">
              <w:rPr>
                <w:rFonts w:cs="Calibri"/>
                <w:color w:val="000000"/>
                <w:sz w:val="20"/>
              </w:rPr>
              <w:t>$913,960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2A55A15C" w14:textId="77777777">
            <w:pPr>
              <w:keepNext/>
              <w:jc w:val="right"/>
              <w:rPr>
                <w:rFonts w:eastAsia="Times New Roman" w:cs="Calibri"/>
                <w:sz w:val="20"/>
              </w:rPr>
            </w:pPr>
            <w:r w:rsidRPr="003261F8">
              <w:rPr>
                <w:rFonts w:cs="Calibri"/>
                <w:color w:val="000000"/>
                <w:sz w:val="20"/>
              </w:rPr>
              <w:t>$1,097,229</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321BFE18" w14:textId="77777777">
            <w:pPr>
              <w:keepNext/>
              <w:jc w:val="right"/>
              <w:rPr>
                <w:rFonts w:eastAsia="Times New Roman" w:cs="Calibri"/>
                <w:sz w:val="20"/>
              </w:rPr>
            </w:pPr>
            <w:r w:rsidRPr="003261F8">
              <w:rPr>
                <w:rFonts w:cs="Calibri"/>
                <w:color w:val="000000"/>
                <w:sz w:val="20"/>
              </w:rPr>
              <w:t>$1,097,229</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76EFB6FB" w14:textId="77777777">
            <w:pPr>
              <w:keepNext/>
              <w:jc w:val="right"/>
              <w:rPr>
                <w:rFonts w:eastAsia="Times New Roman" w:cs="Calibri"/>
                <w:sz w:val="20"/>
              </w:rPr>
            </w:pPr>
            <w:r w:rsidRPr="003261F8">
              <w:rPr>
                <w:rFonts w:cs="Calibri"/>
                <w:color w:val="000000"/>
                <w:sz w:val="20"/>
              </w:rPr>
              <w:t>$1,097,229</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654BBA56" w14:textId="77777777">
            <w:pPr>
              <w:keepNext/>
              <w:jc w:val="right"/>
              <w:rPr>
                <w:rFonts w:eastAsia="Times New Roman" w:cs="Calibri"/>
                <w:b/>
                <w:bCs/>
                <w:color w:val="000000"/>
                <w:sz w:val="20"/>
              </w:rPr>
            </w:pPr>
            <w:r w:rsidRPr="003261F8">
              <w:rPr>
                <w:rFonts w:cs="Calibri"/>
                <w:b/>
                <w:bCs/>
                <w:color w:val="000000"/>
                <w:sz w:val="20"/>
              </w:rPr>
              <w:t>$6,033,566</w:t>
            </w:r>
          </w:p>
        </w:tc>
      </w:tr>
      <w:tr w:rsidRPr="003261F8" w:rsidR="008959A4" w:rsidTr="00717A84" w14:paraId="4D7EADDB"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BC48EE" w:rsidRDefault="008959A4" w14:paraId="7DA8DA01" w14:textId="77777777">
            <w:pPr>
              <w:keepNext/>
              <w:rPr>
                <w:rFonts w:eastAsia="Times New Roman" w:cs="Calibri"/>
                <w:b/>
                <w:bCs/>
                <w:color w:val="000000"/>
                <w:sz w:val="20"/>
              </w:rPr>
            </w:pPr>
            <w:r w:rsidRPr="003261F8">
              <w:rPr>
                <w:rFonts w:eastAsia="Times New Roman" w:cs="Calibri"/>
                <w:b/>
                <w:bCs/>
                <w:color w:val="000000"/>
                <w:sz w:val="20"/>
              </w:rPr>
              <w:t>PacifiCorp</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51C04396" w14:textId="77777777">
            <w:pPr>
              <w:keepNext/>
              <w:jc w:val="right"/>
              <w:rPr>
                <w:rFonts w:eastAsia="Times New Roman" w:cs="Calibri"/>
                <w:color w:val="000000"/>
                <w:sz w:val="20"/>
              </w:rPr>
            </w:pPr>
            <w:r w:rsidRPr="003261F8">
              <w:rPr>
                <w:rFonts w:cs="Calibri"/>
                <w:color w:val="000000"/>
                <w:sz w:val="20"/>
              </w:rPr>
              <w:t>$3,515,000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57EDA8A2" w14:textId="77777777">
            <w:pPr>
              <w:keepNext/>
              <w:jc w:val="right"/>
              <w:rPr>
                <w:rFonts w:eastAsia="Times New Roman" w:cs="Calibri"/>
                <w:color w:val="000000"/>
                <w:sz w:val="20"/>
              </w:rPr>
            </w:pPr>
            <w:r w:rsidRPr="003261F8">
              <w:rPr>
                <w:rFonts w:cs="Calibri"/>
                <w:color w:val="000000"/>
                <w:sz w:val="20"/>
              </w:rPr>
              <w:t>$3,585,000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536B3235" w14:textId="77777777">
            <w:pPr>
              <w:keepNext/>
              <w:jc w:val="right"/>
              <w:rPr>
                <w:rFonts w:eastAsia="Times New Roman" w:cs="Calibri"/>
                <w:color w:val="000000"/>
                <w:sz w:val="20"/>
              </w:rPr>
            </w:pPr>
            <w:r w:rsidRPr="003261F8">
              <w:rPr>
                <w:rFonts w:cs="Calibri"/>
                <w:color w:val="000000"/>
                <w:sz w:val="20"/>
              </w:rPr>
              <w:t>$3,657,000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5271EF8C" w14:textId="77777777">
            <w:pPr>
              <w:keepNext/>
              <w:jc w:val="right"/>
              <w:rPr>
                <w:rFonts w:eastAsia="Times New Roman" w:cs="Calibri"/>
                <w:color w:val="000000"/>
                <w:sz w:val="20"/>
              </w:rPr>
            </w:pPr>
            <w:r w:rsidRPr="003261F8">
              <w:rPr>
                <w:rFonts w:cs="Calibri"/>
                <w:color w:val="000000"/>
                <w:sz w:val="20"/>
              </w:rPr>
              <w:t>$3,730,000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77FFB4F5" w14:textId="77777777">
            <w:pPr>
              <w:keepNext/>
              <w:jc w:val="right"/>
              <w:rPr>
                <w:rFonts w:eastAsia="Times New Roman" w:cs="Calibri"/>
                <w:color w:val="000000"/>
                <w:sz w:val="20"/>
              </w:rPr>
            </w:pPr>
            <w:r w:rsidRPr="003261F8">
              <w:rPr>
                <w:rFonts w:cs="Calibri"/>
                <w:color w:val="000000"/>
                <w:sz w:val="20"/>
              </w:rPr>
              <w:t>$3,805,000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27CE18CF" w14:textId="77777777">
            <w:pPr>
              <w:keepNext/>
              <w:jc w:val="right"/>
              <w:rPr>
                <w:rFonts w:eastAsia="Times New Roman" w:cs="Calibri"/>
                <w:color w:val="000000"/>
                <w:sz w:val="20"/>
              </w:rPr>
            </w:pPr>
            <w:r w:rsidRPr="003261F8">
              <w:rPr>
                <w:rFonts w:cs="Calibri"/>
                <w:color w:val="000000"/>
                <w:sz w:val="20"/>
              </w:rPr>
              <w:t>$3,881,000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BC48EE" w:rsidRDefault="008959A4" w14:paraId="289A9624" w14:textId="77777777">
            <w:pPr>
              <w:keepNext/>
              <w:jc w:val="right"/>
              <w:rPr>
                <w:rFonts w:eastAsia="Times New Roman" w:cs="Calibri"/>
                <w:b/>
                <w:bCs/>
                <w:color w:val="000000"/>
                <w:sz w:val="20"/>
              </w:rPr>
            </w:pPr>
            <w:r w:rsidRPr="003261F8">
              <w:rPr>
                <w:rFonts w:cs="Calibri"/>
                <w:b/>
                <w:bCs/>
                <w:color w:val="000000"/>
                <w:sz w:val="20"/>
              </w:rPr>
              <w:t>$22,173,000</w:t>
            </w:r>
          </w:p>
        </w:tc>
      </w:tr>
      <w:tr w:rsidRPr="003261F8" w:rsidR="008959A4" w:rsidTr="00717A84" w14:paraId="21178574"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717A84" w:rsidRDefault="008959A4" w14:paraId="0FE08F0A" w14:textId="77777777">
            <w:pPr>
              <w:rPr>
                <w:rFonts w:eastAsia="Times New Roman" w:cs="Calibri"/>
                <w:b/>
                <w:bCs/>
                <w:color w:val="000000"/>
                <w:sz w:val="20"/>
              </w:rPr>
            </w:pPr>
            <w:r w:rsidRPr="003261F8">
              <w:rPr>
                <w:rFonts w:eastAsia="Times New Roman" w:cs="Calibri"/>
                <w:b/>
                <w:bCs/>
                <w:color w:val="000000"/>
                <w:sz w:val="20"/>
              </w:rPr>
              <w:t>Southwest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4DC3C5D" w14:textId="77777777">
            <w:pPr>
              <w:jc w:val="right"/>
              <w:rPr>
                <w:rFonts w:eastAsia="Times New Roman" w:cs="Calibri"/>
                <w:color w:val="000000"/>
                <w:sz w:val="20"/>
              </w:rPr>
            </w:pPr>
            <w:r w:rsidRPr="003261F8">
              <w:rPr>
                <w:rFonts w:cs="Calibri"/>
                <w:color w:val="000000"/>
                <w:sz w:val="20"/>
              </w:rPr>
              <w:t>$8,122,378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0048B70" w14:textId="77777777">
            <w:pPr>
              <w:jc w:val="right"/>
              <w:rPr>
                <w:rFonts w:eastAsia="Times New Roman" w:cs="Calibri"/>
                <w:color w:val="000000"/>
                <w:sz w:val="20"/>
              </w:rPr>
            </w:pPr>
            <w:r w:rsidRPr="003261F8">
              <w:rPr>
                <w:rFonts w:cs="Calibri"/>
                <w:color w:val="000000"/>
                <w:sz w:val="20"/>
              </w:rPr>
              <w:t>$8,122,378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965FE63" w14:textId="77777777">
            <w:pPr>
              <w:jc w:val="right"/>
              <w:rPr>
                <w:rFonts w:eastAsia="Times New Roman" w:cs="Calibri"/>
                <w:color w:val="000000"/>
                <w:sz w:val="20"/>
              </w:rPr>
            </w:pPr>
            <w:r w:rsidRPr="003261F8">
              <w:rPr>
                <w:rFonts w:cs="Calibri"/>
                <w:color w:val="000000"/>
                <w:sz w:val="20"/>
              </w:rPr>
              <w:t>$8,122,378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8DCE65E" w14:textId="77777777">
            <w:pPr>
              <w:jc w:val="right"/>
              <w:rPr>
                <w:rFonts w:eastAsia="Times New Roman" w:cs="Calibri"/>
                <w:color w:val="000000"/>
                <w:sz w:val="20"/>
              </w:rPr>
            </w:pPr>
            <w:r w:rsidRPr="003261F8">
              <w:rPr>
                <w:rFonts w:cs="Calibri"/>
                <w:color w:val="000000"/>
                <w:sz w:val="20"/>
              </w:rPr>
              <w:t>$8,122,378</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D7E9A02" w14:textId="77777777">
            <w:pPr>
              <w:jc w:val="right"/>
              <w:rPr>
                <w:rFonts w:eastAsia="Times New Roman" w:cs="Calibri"/>
                <w:color w:val="000000"/>
                <w:sz w:val="20"/>
              </w:rPr>
            </w:pPr>
            <w:r w:rsidRPr="003261F8">
              <w:rPr>
                <w:rFonts w:cs="Calibri"/>
                <w:color w:val="000000"/>
                <w:sz w:val="20"/>
              </w:rPr>
              <w:t>$8,122,378</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CE73436" w14:textId="77777777">
            <w:pPr>
              <w:jc w:val="right"/>
              <w:rPr>
                <w:rFonts w:eastAsia="Times New Roman" w:cs="Calibri"/>
                <w:color w:val="000000"/>
                <w:sz w:val="20"/>
              </w:rPr>
            </w:pPr>
            <w:r w:rsidRPr="003261F8">
              <w:rPr>
                <w:rFonts w:cs="Calibri"/>
                <w:color w:val="000000"/>
                <w:sz w:val="20"/>
              </w:rPr>
              <w:t>$8,122,378</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CCAF4A0" w14:textId="77777777">
            <w:pPr>
              <w:jc w:val="right"/>
              <w:rPr>
                <w:rFonts w:eastAsia="Times New Roman" w:cs="Calibri"/>
                <w:b/>
                <w:bCs/>
                <w:color w:val="000000"/>
                <w:sz w:val="20"/>
              </w:rPr>
            </w:pPr>
            <w:r w:rsidRPr="003261F8">
              <w:rPr>
                <w:rFonts w:cs="Calibri"/>
                <w:b/>
                <w:bCs/>
                <w:color w:val="000000"/>
                <w:sz w:val="20"/>
              </w:rPr>
              <w:t>$48,734,268</w:t>
            </w:r>
          </w:p>
        </w:tc>
      </w:tr>
      <w:tr w:rsidRPr="003261F8" w:rsidR="008959A4" w:rsidTr="00717A84" w14:paraId="0F199C24"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1E677920" w14:textId="77777777">
            <w:pPr>
              <w:rPr>
                <w:rFonts w:eastAsia="Times New Roman" w:cs="Calibri"/>
                <w:b/>
                <w:bCs/>
                <w:color w:val="000000"/>
                <w:sz w:val="20"/>
              </w:rPr>
            </w:pPr>
            <w:r w:rsidRPr="003261F8">
              <w:rPr>
                <w:rFonts w:eastAsia="Times New Roman" w:cs="Calibri"/>
                <w:b/>
                <w:bCs/>
                <w:color w:val="000000"/>
                <w:sz w:val="20"/>
              </w:rPr>
              <w:t>West Coast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29E8D22" w14:textId="77777777">
            <w:pPr>
              <w:jc w:val="right"/>
              <w:rPr>
                <w:rFonts w:eastAsia="Times New Roman" w:cs="Calibri"/>
                <w:color w:val="000000"/>
                <w:sz w:val="20"/>
              </w:rPr>
            </w:pPr>
            <w:r w:rsidRPr="003261F8">
              <w:rPr>
                <w:rFonts w:cs="Calibri"/>
                <w:color w:val="000000"/>
                <w:sz w:val="20"/>
              </w:rPr>
              <w:t>$5,474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798EFED" w14:textId="77777777">
            <w:pPr>
              <w:jc w:val="right"/>
              <w:rPr>
                <w:rFonts w:eastAsia="Times New Roman" w:cs="Calibri"/>
                <w:color w:val="000000"/>
                <w:sz w:val="20"/>
              </w:rPr>
            </w:pPr>
            <w:r w:rsidRPr="003261F8">
              <w:rPr>
                <w:rFonts w:cs="Calibri"/>
                <w:color w:val="000000"/>
                <w:sz w:val="20"/>
              </w:rPr>
              <w:t>$5,650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1390EC5" w14:textId="77777777">
            <w:pPr>
              <w:jc w:val="right"/>
              <w:rPr>
                <w:rFonts w:eastAsia="Times New Roman" w:cs="Calibri"/>
                <w:color w:val="000000"/>
                <w:sz w:val="20"/>
              </w:rPr>
            </w:pPr>
            <w:r w:rsidRPr="003261F8">
              <w:rPr>
                <w:rFonts w:cs="Calibri"/>
                <w:color w:val="000000"/>
                <w:sz w:val="20"/>
              </w:rPr>
              <w:t>$5,833</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4F88AD5" w14:textId="77777777">
            <w:pPr>
              <w:jc w:val="right"/>
              <w:rPr>
                <w:rFonts w:eastAsia="Times New Roman" w:cs="Calibri"/>
                <w:color w:val="000000"/>
                <w:sz w:val="20"/>
              </w:rPr>
            </w:pPr>
            <w:r w:rsidRPr="003261F8">
              <w:rPr>
                <w:rFonts w:cs="Calibri"/>
                <w:color w:val="000000"/>
                <w:sz w:val="20"/>
              </w:rPr>
              <w:t>$6,021</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DF30378" w14:textId="77777777">
            <w:pPr>
              <w:jc w:val="right"/>
              <w:rPr>
                <w:rFonts w:eastAsia="Times New Roman" w:cs="Calibri"/>
                <w:color w:val="000000"/>
                <w:sz w:val="20"/>
              </w:rPr>
            </w:pPr>
            <w:r w:rsidRPr="003261F8">
              <w:rPr>
                <w:rFonts w:cs="Calibri"/>
                <w:color w:val="000000"/>
                <w:sz w:val="20"/>
              </w:rPr>
              <w:t>$6,216</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ED8D042" w14:textId="77777777">
            <w:pPr>
              <w:jc w:val="right"/>
              <w:rPr>
                <w:rFonts w:eastAsia="Times New Roman" w:cs="Calibri"/>
                <w:color w:val="000000"/>
                <w:sz w:val="20"/>
              </w:rPr>
            </w:pPr>
            <w:r w:rsidRPr="003261F8">
              <w:rPr>
                <w:rFonts w:cs="Calibri"/>
                <w:color w:val="000000"/>
                <w:sz w:val="20"/>
              </w:rPr>
              <w:t>$6,417</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EBA609F" w14:textId="77777777">
            <w:pPr>
              <w:jc w:val="right"/>
              <w:rPr>
                <w:rFonts w:eastAsia="Times New Roman" w:cs="Calibri"/>
                <w:b/>
                <w:bCs/>
                <w:color w:val="000000"/>
                <w:sz w:val="20"/>
              </w:rPr>
            </w:pPr>
            <w:r w:rsidRPr="003261F8">
              <w:rPr>
                <w:rFonts w:cs="Calibri"/>
                <w:b/>
                <w:bCs/>
                <w:color w:val="000000"/>
                <w:sz w:val="20"/>
              </w:rPr>
              <w:t>$35,611</w:t>
            </w:r>
          </w:p>
        </w:tc>
      </w:tr>
      <w:tr w:rsidRPr="003261F8" w:rsidR="008959A4" w:rsidTr="00717A84" w14:paraId="79609CD7"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6487C587" w14:textId="77777777">
            <w:pPr>
              <w:rPr>
                <w:rFonts w:eastAsia="Times New Roman" w:cs="Calibri"/>
                <w:b/>
                <w:bCs/>
                <w:color w:val="000000"/>
                <w:sz w:val="20"/>
              </w:rPr>
            </w:pPr>
            <w:r w:rsidRPr="003261F8">
              <w:rPr>
                <w:rFonts w:eastAsia="Times New Roman" w:cs="Calibri"/>
                <w:b/>
                <w:bCs/>
                <w:color w:val="000000"/>
                <w:sz w:val="20"/>
              </w:rPr>
              <w:t>Total</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7B1AB94" w14:textId="77777777">
            <w:pPr>
              <w:jc w:val="right"/>
              <w:rPr>
                <w:rFonts w:eastAsia="Times New Roman" w:cs="Calibri"/>
                <w:b/>
                <w:bCs/>
                <w:color w:val="000000"/>
                <w:sz w:val="20"/>
              </w:rPr>
            </w:pPr>
            <w:r w:rsidRPr="003261F8">
              <w:rPr>
                <w:rFonts w:cs="Calibri"/>
                <w:b/>
                <w:bCs/>
                <w:color w:val="000000"/>
                <w:sz w:val="20"/>
              </w:rPr>
              <w:t>$12,851,940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61016F3" w14:textId="77777777">
            <w:pPr>
              <w:jc w:val="right"/>
              <w:rPr>
                <w:rFonts w:eastAsia="Times New Roman" w:cs="Calibri"/>
                <w:b/>
                <w:bCs/>
                <w:color w:val="000000"/>
                <w:sz w:val="20"/>
              </w:rPr>
            </w:pPr>
            <w:r w:rsidRPr="003261F8">
              <w:rPr>
                <w:rFonts w:cs="Calibri"/>
                <w:b/>
                <w:bCs/>
                <w:color w:val="000000"/>
                <w:sz w:val="20"/>
              </w:rPr>
              <w:t>$12,935,523</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24D1503" w14:textId="77777777">
            <w:pPr>
              <w:jc w:val="right"/>
              <w:rPr>
                <w:rFonts w:eastAsia="Times New Roman" w:cs="Calibri"/>
                <w:b/>
                <w:bCs/>
                <w:color w:val="000000"/>
                <w:sz w:val="20"/>
              </w:rPr>
            </w:pPr>
            <w:r w:rsidRPr="003261F8">
              <w:rPr>
                <w:rFonts w:cs="Calibri"/>
                <w:b/>
                <w:bCs/>
                <w:color w:val="000000"/>
                <w:sz w:val="20"/>
              </w:rPr>
              <w:t>$13,021,782</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22BD86C" w14:textId="77777777">
            <w:pPr>
              <w:jc w:val="right"/>
              <w:rPr>
                <w:rFonts w:eastAsia="Times New Roman" w:cs="Calibri"/>
                <w:b/>
                <w:bCs/>
                <w:color w:val="000000"/>
                <w:sz w:val="20"/>
              </w:rPr>
            </w:pPr>
            <w:r w:rsidRPr="003261F8">
              <w:rPr>
                <w:rFonts w:cs="Calibri"/>
                <w:b/>
                <w:bCs/>
                <w:color w:val="000000"/>
                <w:sz w:val="20"/>
              </w:rPr>
              <w:t>$13,294,020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71A9A3F" w14:textId="77777777">
            <w:pPr>
              <w:jc w:val="right"/>
              <w:rPr>
                <w:rFonts w:eastAsia="Times New Roman" w:cs="Calibri"/>
                <w:b/>
                <w:bCs/>
                <w:color w:val="000000"/>
                <w:sz w:val="20"/>
              </w:rPr>
            </w:pPr>
            <w:r w:rsidRPr="003261F8">
              <w:rPr>
                <w:rFonts w:cs="Calibri"/>
                <w:b/>
                <w:bCs/>
                <w:color w:val="000000"/>
                <w:sz w:val="20"/>
              </w:rPr>
              <w:t>$13,384,734</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29C5C1F" w14:textId="77777777">
            <w:pPr>
              <w:jc w:val="right"/>
              <w:rPr>
                <w:rFonts w:eastAsia="Times New Roman" w:cs="Calibri"/>
                <w:b/>
                <w:bCs/>
                <w:color w:val="000000"/>
                <w:sz w:val="20"/>
              </w:rPr>
            </w:pPr>
            <w:r w:rsidRPr="003261F8">
              <w:rPr>
                <w:rFonts w:cs="Calibri"/>
                <w:b/>
                <w:bCs/>
                <w:color w:val="000000"/>
                <w:sz w:val="20"/>
              </w:rPr>
              <w:t>$13,477,230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386E734" w14:textId="77777777">
            <w:pPr>
              <w:jc w:val="right"/>
              <w:rPr>
                <w:rFonts w:eastAsia="Times New Roman" w:cs="Calibri"/>
                <w:b/>
                <w:bCs/>
                <w:color w:val="000000"/>
                <w:sz w:val="20"/>
              </w:rPr>
            </w:pPr>
            <w:r w:rsidRPr="003261F8">
              <w:rPr>
                <w:rFonts w:cs="Calibri"/>
                <w:b/>
                <w:bCs/>
                <w:color w:val="000000"/>
                <w:sz w:val="20"/>
              </w:rPr>
              <w:t>$78,965,228</w:t>
            </w:r>
          </w:p>
        </w:tc>
      </w:tr>
      <w:tr w:rsidRPr="003261F8" w:rsidR="008959A4" w:rsidTr="00717A84" w14:paraId="3234FF1B" w14:textId="77777777">
        <w:trPr>
          <w:trHeight w:val="248"/>
          <w:jc w:val="center"/>
        </w:trPr>
        <w:tc>
          <w:tcPr>
            <w:tcW w:w="1530" w:type="dxa"/>
            <w:tcBorders>
              <w:top w:val="nil"/>
              <w:left w:val="nil"/>
              <w:bottom w:val="nil"/>
              <w:right w:val="nil"/>
            </w:tcBorders>
            <w:shd w:val="clear" w:color="auto" w:fill="auto"/>
            <w:noWrap/>
            <w:vAlign w:val="bottom"/>
            <w:hideMark/>
          </w:tcPr>
          <w:p w:rsidRPr="003261F8" w:rsidR="008959A4" w:rsidP="00717A84" w:rsidRDefault="008959A4" w14:paraId="0A6DD3FA" w14:textId="77777777">
            <w:pPr>
              <w:ind w:left="360"/>
              <w:jc w:val="right"/>
              <w:rPr>
                <w:rFonts w:eastAsia="Times New Roman" w:cs="Calibri"/>
                <w:b/>
                <w:bCs/>
                <w:color w:val="000000"/>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3269D8A4"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21A8D59C"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651786D4" w14:textId="77777777">
            <w:pPr>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3261F8" w:rsidR="008959A4" w:rsidP="00717A84" w:rsidRDefault="008959A4" w14:paraId="529C65F4" w14:textId="77777777">
            <w:pPr>
              <w:ind w:left="360"/>
              <w:rPr>
                <w:rFonts w:eastAsia="Times New Roman"/>
                <w:sz w:val="20"/>
              </w:rPr>
            </w:pPr>
          </w:p>
        </w:tc>
        <w:tc>
          <w:tcPr>
            <w:tcW w:w="1170" w:type="dxa"/>
            <w:tcBorders>
              <w:top w:val="nil"/>
              <w:left w:val="nil"/>
              <w:bottom w:val="nil"/>
              <w:right w:val="nil"/>
            </w:tcBorders>
            <w:shd w:val="clear" w:color="auto" w:fill="auto"/>
            <w:noWrap/>
            <w:vAlign w:val="bottom"/>
            <w:hideMark/>
          </w:tcPr>
          <w:p w:rsidRPr="003261F8" w:rsidR="008959A4" w:rsidP="00717A84" w:rsidRDefault="008959A4" w14:paraId="550033E8" w14:textId="77777777">
            <w:pPr>
              <w:ind w:left="360"/>
              <w:rPr>
                <w:rFonts w:eastAsia="Times New Roman"/>
                <w:sz w:val="20"/>
              </w:rPr>
            </w:pPr>
          </w:p>
        </w:tc>
        <w:tc>
          <w:tcPr>
            <w:tcW w:w="1170" w:type="dxa"/>
            <w:tcBorders>
              <w:top w:val="nil"/>
              <w:left w:val="nil"/>
              <w:bottom w:val="nil"/>
              <w:right w:val="nil"/>
            </w:tcBorders>
            <w:shd w:val="clear" w:color="auto" w:fill="auto"/>
            <w:noWrap/>
            <w:vAlign w:val="bottom"/>
            <w:hideMark/>
          </w:tcPr>
          <w:p w:rsidRPr="003261F8" w:rsidR="008959A4" w:rsidP="00717A84" w:rsidRDefault="008959A4" w14:paraId="03D42533" w14:textId="77777777">
            <w:pPr>
              <w:ind w:left="360"/>
              <w:rPr>
                <w:rFonts w:eastAsia="Times New Roman"/>
                <w:sz w:val="20"/>
              </w:rPr>
            </w:pPr>
          </w:p>
        </w:tc>
        <w:tc>
          <w:tcPr>
            <w:tcW w:w="1251" w:type="dxa"/>
            <w:tcBorders>
              <w:top w:val="nil"/>
              <w:left w:val="nil"/>
              <w:bottom w:val="nil"/>
              <w:right w:val="nil"/>
            </w:tcBorders>
            <w:shd w:val="clear" w:color="auto" w:fill="auto"/>
            <w:noWrap/>
            <w:vAlign w:val="bottom"/>
            <w:hideMark/>
          </w:tcPr>
          <w:p w:rsidRPr="003261F8" w:rsidR="008959A4" w:rsidP="00717A84" w:rsidRDefault="008959A4" w14:paraId="7CA3C7CD" w14:textId="77777777">
            <w:pPr>
              <w:ind w:left="360"/>
              <w:rPr>
                <w:rFonts w:eastAsia="Times New Roman"/>
                <w:sz w:val="20"/>
              </w:rPr>
            </w:pPr>
          </w:p>
        </w:tc>
      </w:tr>
      <w:tr w:rsidRPr="003261F8" w:rsidR="008959A4" w:rsidTr="00717A84" w14:paraId="730A2D64" w14:textId="77777777">
        <w:trPr>
          <w:trHeight w:val="248"/>
          <w:jc w:val="center"/>
        </w:trPr>
        <w:tc>
          <w:tcPr>
            <w:tcW w:w="153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362B7D8F" w14:textId="77777777">
            <w:pPr>
              <w:rPr>
                <w:rFonts w:eastAsia="Times New Roman" w:cs="Calibri"/>
                <w:b/>
                <w:bCs/>
                <w:color w:val="000000"/>
                <w:sz w:val="20"/>
              </w:rPr>
            </w:pPr>
            <w:r w:rsidRPr="003261F8">
              <w:rPr>
                <w:rFonts w:eastAsia="Times New Roman" w:cs="Calibri"/>
                <w:b/>
                <w:bCs/>
                <w:color w:val="000000"/>
                <w:sz w:val="20"/>
              </w:rPr>
              <w:t>SMJU</w:t>
            </w:r>
          </w:p>
        </w:tc>
        <w:tc>
          <w:tcPr>
            <w:tcW w:w="8631" w:type="dxa"/>
            <w:gridSpan w:val="7"/>
            <w:tcBorders>
              <w:top w:val="single" w:color="auto" w:sz="4" w:space="0"/>
              <w:left w:val="nil"/>
              <w:bottom w:val="single" w:color="auto" w:sz="4" w:space="0"/>
              <w:right w:val="single" w:color="auto" w:sz="4" w:space="0"/>
            </w:tcBorders>
            <w:shd w:val="clear" w:color="auto" w:fill="auto"/>
            <w:noWrap/>
            <w:vAlign w:val="bottom"/>
            <w:hideMark/>
          </w:tcPr>
          <w:p w:rsidRPr="003261F8" w:rsidR="008959A4" w:rsidP="00717A84" w:rsidRDefault="008959A4" w14:paraId="3D7CAD1E" w14:textId="77777777">
            <w:pPr>
              <w:ind w:left="360"/>
              <w:jc w:val="center"/>
              <w:rPr>
                <w:rFonts w:eastAsia="Times New Roman" w:cs="Calibri"/>
                <w:b/>
                <w:bCs/>
                <w:color w:val="000000"/>
                <w:sz w:val="20"/>
              </w:rPr>
            </w:pPr>
            <w:r w:rsidRPr="003261F8">
              <w:rPr>
                <w:rFonts w:eastAsia="Times New Roman" w:cs="Calibri"/>
                <w:b/>
                <w:bCs/>
                <w:color w:val="000000"/>
                <w:sz w:val="20"/>
              </w:rPr>
              <w:t>CARE Proposed Administrative Budget and Subsidies</w:t>
            </w:r>
          </w:p>
        </w:tc>
      </w:tr>
      <w:tr w:rsidRPr="003261F8" w:rsidR="008959A4" w:rsidTr="00717A84" w14:paraId="08CACDA2" w14:textId="77777777">
        <w:trPr>
          <w:trHeight w:val="248"/>
          <w:jc w:val="center"/>
        </w:trPr>
        <w:tc>
          <w:tcPr>
            <w:tcW w:w="1530" w:type="dxa"/>
            <w:vMerge/>
            <w:tcBorders>
              <w:top w:val="single" w:color="auto" w:sz="4" w:space="0"/>
              <w:left w:val="single" w:color="auto" w:sz="4" w:space="0"/>
              <w:bottom w:val="single" w:color="auto" w:sz="4" w:space="0"/>
              <w:right w:val="single" w:color="auto" w:sz="4" w:space="0"/>
            </w:tcBorders>
            <w:vAlign w:val="center"/>
            <w:hideMark/>
          </w:tcPr>
          <w:p w:rsidRPr="003261F8" w:rsidR="008959A4" w:rsidP="00717A84" w:rsidRDefault="008959A4" w14:paraId="687C38D5" w14:textId="77777777">
            <w:pPr>
              <w:ind w:left="360"/>
              <w:rPr>
                <w:rFonts w:eastAsia="Times New Roman" w:cs="Calibri"/>
                <w:b/>
                <w:bCs/>
                <w:color w:val="000000"/>
                <w:sz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009D259D" w14:textId="77777777">
            <w:pPr>
              <w:ind w:left="360"/>
              <w:jc w:val="center"/>
              <w:rPr>
                <w:rFonts w:eastAsia="Times New Roman" w:cs="Calibri"/>
                <w:b/>
                <w:bCs/>
                <w:color w:val="000000"/>
                <w:sz w:val="20"/>
              </w:rPr>
            </w:pPr>
            <w:r w:rsidRPr="003261F8">
              <w:rPr>
                <w:rFonts w:eastAsia="Times New Roman" w:cs="Calibri"/>
                <w:b/>
                <w:bCs/>
                <w:color w:val="000000"/>
                <w:sz w:val="20"/>
              </w:rPr>
              <w:t>2021</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27B8B088" w14:textId="77777777">
            <w:pPr>
              <w:ind w:left="360"/>
              <w:jc w:val="center"/>
              <w:rPr>
                <w:rFonts w:eastAsia="Times New Roman" w:cs="Calibri"/>
                <w:b/>
                <w:bCs/>
                <w:color w:val="000000"/>
                <w:sz w:val="20"/>
              </w:rPr>
            </w:pPr>
            <w:r w:rsidRPr="003261F8">
              <w:rPr>
                <w:rFonts w:eastAsia="Times New Roman" w:cs="Calibri"/>
                <w:b/>
                <w:bCs/>
                <w:color w:val="000000"/>
                <w:sz w:val="20"/>
              </w:rPr>
              <w:t>2022</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73592998" w14:textId="77777777">
            <w:pPr>
              <w:ind w:left="360"/>
              <w:jc w:val="center"/>
              <w:rPr>
                <w:rFonts w:eastAsia="Times New Roman" w:cs="Calibri"/>
                <w:b/>
                <w:bCs/>
                <w:color w:val="000000"/>
                <w:sz w:val="20"/>
              </w:rPr>
            </w:pPr>
            <w:r w:rsidRPr="003261F8">
              <w:rPr>
                <w:rFonts w:eastAsia="Times New Roman" w:cs="Calibri"/>
                <w:b/>
                <w:bCs/>
                <w:color w:val="000000"/>
                <w:sz w:val="20"/>
              </w:rPr>
              <w:t>2023</w:t>
            </w:r>
          </w:p>
        </w:tc>
        <w:tc>
          <w:tcPr>
            <w:tcW w:w="126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3E9DAFE8" w14:textId="77777777">
            <w:pPr>
              <w:ind w:left="360"/>
              <w:jc w:val="center"/>
              <w:rPr>
                <w:rFonts w:eastAsia="Times New Roman" w:cs="Calibri"/>
                <w:b/>
                <w:bCs/>
                <w:color w:val="000000"/>
                <w:sz w:val="20"/>
              </w:rPr>
            </w:pPr>
            <w:r w:rsidRPr="003261F8">
              <w:rPr>
                <w:rFonts w:eastAsia="Times New Roman" w:cs="Calibri"/>
                <w:b/>
                <w:bCs/>
                <w:color w:val="000000"/>
                <w:sz w:val="20"/>
              </w:rPr>
              <w:t>2024</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427226EE" w14:textId="77777777">
            <w:pPr>
              <w:ind w:left="360"/>
              <w:jc w:val="center"/>
              <w:rPr>
                <w:rFonts w:eastAsia="Times New Roman" w:cs="Calibri"/>
                <w:b/>
                <w:bCs/>
                <w:color w:val="000000"/>
                <w:sz w:val="20"/>
              </w:rPr>
            </w:pPr>
            <w:r w:rsidRPr="003261F8">
              <w:rPr>
                <w:rFonts w:eastAsia="Times New Roman" w:cs="Calibri"/>
                <w:b/>
                <w:bCs/>
                <w:color w:val="000000"/>
                <w:sz w:val="20"/>
              </w:rPr>
              <w:t>2025</w:t>
            </w:r>
          </w:p>
        </w:tc>
        <w:tc>
          <w:tcPr>
            <w:tcW w:w="1170"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304C5586" w14:textId="77777777">
            <w:pPr>
              <w:ind w:left="360"/>
              <w:jc w:val="center"/>
              <w:rPr>
                <w:rFonts w:eastAsia="Times New Roman" w:cs="Calibri"/>
                <w:b/>
                <w:bCs/>
                <w:color w:val="000000"/>
                <w:sz w:val="20"/>
              </w:rPr>
            </w:pPr>
            <w:r w:rsidRPr="003261F8">
              <w:rPr>
                <w:rFonts w:eastAsia="Times New Roman" w:cs="Calibri"/>
                <w:b/>
                <w:bCs/>
                <w:color w:val="000000"/>
                <w:sz w:val="20"/>
              </w:rPr>
              <w:t>2026</w:t>
            </w:r>
          </w:p>
        </w:tc>
        <w:tc>
          <w:tcPr>
            <w:tcW w:w="1251" w:type="dxa"/>
            <w:tcBorders>
              <w:top w:val="nil"/>
              <w:left w:val="nil"/>
              <w:bottom w:val="single" w:color="auto" w:sz="4" w:space="0"/>
              <w:right w:val="single" w:color="auto" w:sz="4" w:space="0"/>
            </w:tcBorders>
            <w:shd w:val="clear" w:color="auto" w:fill="auto"/>
            <w:noWrap/>
            <w:vAlign w:val="bottom"/>
            <w:hideMark/>
          </w:tcPr>
          <w:p w:rsidRPr="003261F8" w:rsidR="008959A4" w:rsidP="00717A84" w:rsidRDefault="008959A4" w14:paraId="7B79C015" w14:textId="77777777">
            <w:pPr>
              <w:ind w:left="360"/>
              <w:jc w:val="center"/>
              <w:rPr>
                <w:rFonts w:eastAsia="Times New Roman" w:cs="Calibri"/>
                <w:b/>
                <w:bCs/>
                <w:color w:val="000000"/>
                <w:sz w:val="20"/>
              </w:rPr>
            </w:pPr>
            <w:r w:rsidRPr="003261F8">
              <w:rPr>
                <w:rFonts w:eastAsia="Times New Roman" w:cs="Calibri"/>
                <w:b/>
                <w:bCs/>
                <w:color w:val="000000"/>
                <w:sz w:val="20"/>
              </w:rPr>
              <w:t>Total</w:t>
            </w:r>
          </w:p>
        </w:tc>
      </w:tr>
      <w:tr w:rsidRPr="003261F8" w:rsidR="008959A4" w:rsidTr="00717A84" w14:paraId="3CC7DBE8"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673F77D2" w14:textId="77777777">
            <w:pPr>
              <w:rPr>
                <w:rFonts w:eastAsia="Times New Roman" w:cs="Calibri"/>
                <w:b/>
                <w:bCs/>
                <w:color w:val="000000"/>
                <w:sz w:val="20"/>
              </w:rPr>
            </w:pPr>
            <w:r w:rsidRPr="003261F8">
              <w:rPr>
                <w:rFonts w:eastAsia="Times New Roman" w:cs="Calibri"/>
                <w:b/>
                <w:bCs/>
                <w:color w:val="000000"/>
                <w:sz w:val="20"/>
              </w:rPr>
              <w:t>Alpine</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8E4A76E" w14:textId="77777777">
            <w:pPr>
              <w:jc w:val="right"/>
              <w:rPr>
                <w:rFonts w:eastAsia="Times New Roman" w:cs="Calibri"/>
                <w:color w:val="000000"/>
                <w:sz w:val="20"/>
              </w:rPr>
            </w:pPr>
            <w:r w:rsidRPr="003261F8">
              <w:rPr>
                <w:rFonts w:cs="Calibri"/>
                <w:color w:val="000000"/>
                <w:sz w:val="20"/>
              </w:rPr>
              <w:t>$33,000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6F7EF44" w14:textId="77777777">
            <w:pPr>
              <w:jc w:val="right"/>
              <w:rPr>
                <w:rFonts w:eastAsia="Times New Roman" w:cs="Calibri"/>
                <w:color w:val="000000"/>
                <w:sz w:val="20"/>
              </w:rPr>
            </w:pPr>
            <w:r w:rsidRPr="003261F8">
              <w:rPr>
                <w:rFonts w:cs="Calibri"/>
                <w:color w:val="000000"/>
                <w:sz w:val="20"/>
              </w:rPr>
              <w:t>$33,000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0A2E868" w14:textId="77777777">
            <w:pPr>
              <w:jc w:val="right"/>
              <w:rPr>
                <w:rFonts w:eastAsia="Times New Roman" w:cs="Calibri"/>
                <w:color w:val="000000"/>
                <w:sz w:val="20"/>
              </w:rPr>
            </w:pPr>
            <w:r w:rsidRPr="003261F8">
              <w:rPr>
                <w:rFonts w:cs="Calibri"/>
                <w:color w:val="000000"/>
                <w:sz w:val="20"/>
              </w:rPr>
              <w:t>$33,000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4BABC6A" w14:textId="77777777">
            <w:pPr>
              <w:jc w:val="right"/>
              <w:rPr>
                <w:rFonts w:eastAsia="Times New Roman" w:cs="Calibri"/>
                <w:color w:val="000000"/>
                <w:sz w:val="20"/>
              </w:rPr>
            </w:pPr>
            <w:r w:rsidRPr="003261F8">
              <w:rPr>
                <w:rFonts w:cs="Calibri"/>
                <w:color w:val="000000"/>
                <w:sz w:val="20"/>
              </w:rPr>
              <w:t>$34,000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ADB1828" w14:textId="77777777">
            <w:pPr>
              <w:jc w:val="right"/>
              <w:rPr>
                <w:rFonts w:eastAsia="Times New Roman" w:cs="Calibri"/>
                <w:color w:val="000000"/>
                <w:sz w:val="20"/>
              </w:rPr>
            </w:pPr>
            <w:r w:rsidRPr="003261F8">
              <w:rPr>
                <w:rFonts w:cs="Calibri"/>
                <w:color w:val="000000"/>
                <w:sz w:val="20"/>
              </w:rPr>
              <w:t>$34,000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23A94DF" w14:textId="77777777">
            <w:pPr>
              <w:jc w:val="right"/>
              <w:rPr>
                <w:rFonts w:eastAsia="Times New Roman" w:cs="Calibri"/>
                <w:color w:val="000000"/>
                <w:sz w:val="20"/>
              </w:rPr>
            </w:pPr>
            <w:r w:rsidRPr="003261F8">
              <w:rPr>
                <w:rFonts w:cs="Calibri"/>
                <w:color w:val="000000"/>
                <w:sz w:val="20"/>
              </w:rPr>
              <w:t>$34,000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C6DD66D" w14:textId="77777777">
            <w:pPr>
              <w:jc w:val="right"/>
              <w:rPr>
                <w:rFonts w:eastAsia="Times New Roman" w:cs="Calibri"/>
                <w:b/>
                <w:bCs/>
                <w:color w:val="000000"/>
                <w:sz w:val="20"/>
              </w:rPr>
            </w:pPr>
            <w:r w:rsidRPr="003261F8">
              <w:rPr>
                <w:rFonts w:cs="Calibri"/>
                <w:b/>
                <w:bCs/>
                <w:color w:val="000000"/>
                <w:sz w:val="20"/>
              </w:rPr>
              <w:t>$201,000</w:t>
            </w:r>
          </w:p>
        </w:tc>
      </w:tr>
      <w:tr w:rsidRPr="003261F8" w:rsidR="008959A4" w:rsidTr="00717A84" w14:paraId="3C5880FF"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717A84" w:rsidRDefault="008959A4" w14:paraId="5A4C28A0" w14:textId="77777777">
            <w:pPr>
              <w:rPr>
                <w:rFonts w:eastAsia="Times New Roman" w:cs="Calibri"/>
                <w:b/>
                <w:bCs/>
                <w:color w:val="000000"/>
                <w:sz w:val="20"/>
              </w:rPr>
            </w:pPr>
            <w:r w:rsidRPr="003261F8">
              <w:rPr>
                <w:rFonts w:eastAsia="Times New Roman" w:cs="Calibri"/>
                <w:b/>
                <w:bCs/>
                <w:color w:val="000000"/>
                <w:sz w:val="20"/>
              </w:rPr>
              <w:t>Bear Valley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6BF57B2" w14:textId="77777777">
            <w:pPr>
              <w:jc w:val="right"/>
              <w:rPr>
                <w:rFonts w:eastAsia="Times New Roman" w:cs="Calibri"/>
                <w:color w:val="000000"/>
                <w:sz w:val="20"/>
              </w:rPr>
            </w:pPr>
            <w:r w:rsidRPr="003261F8">
              <w:rPr>
                <w:rFonts w:cs="Calibri"/>
                <w:color w:val="000000"/>
                <w:sz w:val="20"/>
              </w:rPr>
              <w:t>$277,521</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5940BC6" w14:textId="77777777">
            <w:pPr>
              <w:jc w:val="right"/>
              <w:rPr>
                <w:rFonts w:eastAsia="Times New Roman" w:cs="Calibri"/>
                <w:color w:val="000000"/>
                <w:sz w:val="20"/>
              </w:rPr>
            </w:pPr>
            <w:r w:rsidRPr="003261F8">
              <w:rPr>
                <w:rFonts w:cs="Calibri"/>
                <w:color w:val="000000"/>
                <w:sz w:val="20"/>
              </w:rPr>
              <w:t>$291,397</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B948909" w14:textId="77777777">
            <w:pPr>
              <w:jc w:val="right"/>
              <w:rPr>
                <w:rFonts w:eastAsia="Times New Roman" w:cs="Calibri"/>
                <w:color w:val="000000"/>
                <w:sz w:val="20"/>
              </w:rPr>
            </w:pPr>
            <w:r w:rsidRPr="003261F8">
              <w:rPr>
                <w:rFonts w:cs="Calibri"/>
                <w:color w:val="000000"/>
                <w:sz w:val="20"/>
              </w:rPr>
              <w:t>$305,967</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C5A23DF" w14:textId="77777777">
            <w:pPr>
              <w:jc w:val="right"/>
              <w:rPr>
                <w:rFonts w:eastAsia="Times New Roman" w:cs="Calibri"/>
                <w:color w:val="000000"/>
                <w:sz w:val="20"/>
              </w:rPr>
            </w:pPr>
            <w:r w:rsidRPr="003261F8">
              <w:rPr>
                <w:rFonts w:cs="Calibri"/>
                <w:color w:val="000000"/>
                <w:sz w:val="20"/>
              </w:rPr>
              <w:t>$321,266</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91ED064" w14:textId="77777777">
            <w:pPr>
              <w:jc w:val="right"/>
              <w:rPr>
                <w:rFonts w:eastAsia="Times New Roman" w:cs="Calibri"/>
                <w:color w:val="000000"/>
                <w:sz w:val="20"/>
              </w:rPr>
            </w:pPr>
            <w:r w:rsidRPr="003261F8">
              <w:rPr>
                <w:rFonts w:cs="Calibri"/>
                <w:color w:val="000000"/>
                <w:sz w:val="20"/>
              </w:rPr>
              <w:t>$337,329</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E2D76E1" w14:textId="77777777">
            <w:pPr>
              <w:jc w:val="right"/>
              <w:rPr>
                <w:rFonts w:eastAsia="Times New Roman" w:cs="Calibri"/>
                <w:color w:val="000000"/>
                <w:sz w:val="20"/>
              </w:rPr>
            </w:pPr>
            <w:r w:rsidRPr="003261F8">
              <w:rPr>
                <w:rFonts w:cs="Calibri"/>
                <w:color w:val="000000"/>
                <w:sz w:val="20"/>
              </w:rPr>
              <w:t>$354,195</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136549B" w14:textId="77777777">
            <w:pPr>
              <w:jc w:val="right"/>
              <w:rPr>
                <w:rFonts w:eastAsia="Times New Roman" w:cs="Calibri"/>
                <w:b/>
                <w:bCs/>
                <w:color w:val="000000"/>
                <w:sz w:val="20"/>
              </w:rPr>
            </w:pPr>
            <w:r w:rsidRPr="003261F8">
              <w:rPr>
                <w:rFonts w:cs="Calibri"/>
                <w:b/>
                <w:bCs/>
                <w:color w:val="000000"/>
                <w:sz w:val="20"/>
              </w:rPr>
              <w:t>$1,887,676</w:t>
            </w:r>
          </w:p>
        </w:tc>
      </w:tr>
      <w:tr w:rsidRPr="003261F8" w:rsidR="008959A4" w:rsidTr="00717A84" w14:paraId="7D59E2D8"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2A598371" w14:textId="77777777">
            <w:pPr>
              <w:rPr>
                <w:rFonts w:eastAsia="Times New Roman" w:cs="Calibri"/>
                <w:b/>
                <w:bCs/>
                <w:color w:val="000000"/>
                <w:sz w:val="20"/>
              </w:rPr>
            </w:pPr>
            <w:r w:rsidRPr="003261F8">
              <w:rPr>
                <w:rFonts w:eastAsia="Times New Roman" w:cs="Calibri"/>
                <w:b/>
                <w:bCs/>
                <w:color w:val="000000"/>
                <w:sz w:val="20"/>
              </w:rPr>
              <w:t>Liberty</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714407F" w14:textId="77777777">
            <w:pPr>
              <w:jc w:val="right"/>
              <w:rPr>
                <w:rFonts w:eastAsia="Times New Roman" w:cs="Calibri"/>
                <w:color w:val="000000"/>
                <w:sz w:val="20"/>
              </w:rPr>
            </w:pPr>
            <w:r w:rsidRPr="003261F8">
              <w:rPr>
                <w:rFonts w:cs="Calibri"/>
                <w:color w:val="000000"/>
                <w:sz w:val="20"/>
              </w:rPr>
              <w:t>$1,068,494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EFB15AF" w14:textId="77777777">
            <w:pPr>
              <w:jc w:val="right"/>
              <w:rPr>
                <w:rFonts w:eastAsia="Times New Roman" w:cs="Calibri"/>
                <w:color w:val="000000"/>
                <w:sz w:val="20"/>
              </w:rPr>
            </w:pPr>
            <w:r w:rsidRPr="003261F8">
              <w:rPr>
                <w:rFonts w:cs="Calibri"/>
                <w:color w:val="000000"/>
                <w:sz w:val="20"/>
              </w:rPr>
              <w:t>$1,071,585</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17BDAB4" w14:textId="77777777">
            <w:pPr>
              <w:jc w:val="right"/>
              <w:rPr>
                <w:rFonts w:eastAsia="Times New Roman" w:cs="Calibri"/>
                <w:color w:val="000000"/>
                <w:sz w:val="20"/>
              </w:rPr>
            </w:pPr>
            <w:r w:rsidRPr="003261F8">
              <w:rPr>
                <w:rFonts w:cs="Calibri"/>
                <w:color w:val="000000"/>
                <w:sz w:val="20"/>
              </w:rPr>
              <w:t>$1,074,737</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7781F63E" w14:textId="77777777">
            <w:pPr>
              <w:jc w:val="right"/>
              <w:rPr>
                <w:rFonts w:eastAsia="Times New Roman" w:cs="Calibri"/>
                <w:color w:val="000000"/>
                <w:sz w:val="20"/>
              </w:rPr>
            </w:pPr>
            <w:r w:rsidRPr="003261F8">
              <w:rPr>
                <w:rFonts w:cs="Calibri"/>
                <w:color w:val="000000"/>
                <w:sz w:val="20"/>
              </w:rPr>
              <w:t>$1,261,222</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FD093F8" w14:textId="77777777">
            <w:pPr>
              <w:jc w:val="right"/>
              <w:rPr>
                <w:rFonts w:eastAsia="Times New Roman" w:cs="Calibri"/>
                <w:color w:val="000000"/>
                <w:sz w:val="20"/>
              </w:rPr>
            </w:pPr>
            <w:r w:rsidRPr="003261F8">
              <w:rPr>
                <w:rFonts w:cs="Calibri"/>
                <w:color w:val="000000"/>
                <w:sz w:val="20"/>
              </w:rPr>
              <w:t>$1,264,501</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FC97D38" w14:textId="77777777">
            <w:pPr>
              <w:jc w:val="right"/>
              <w:rPr>
                <w:rFonts w:eastAsia="Times New Roman" w:cs="Calibri"/>
                <w:color w:val="000000"/>
                <w:sz w:val="20"/>
              </w:rPr>
            </w:pPr>
            <w:r w:rsidRPr="003261F8">
              <w:rPr>
                <w:rFonts w:cs="Calibri"/>
                <w:color w:val="000000"/>
                <w:sz w:val="20"/>
              </w:rPr>
              <w:t>$1,267,847</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FD584F1" w14:textId="77777777">
            <w:pPr>
              <w:jc w:val="right"/>
              <w:rPr>
                <w:rFonts w:eastAsia="Times New Roman" w:cs="Calibri"/>
                <w:b/>
                <w:bCs/>
                <w:color w:val="000000"/>
                <w:sz w:val="20"/>
              </w:rPr>
            </w:pPr>
            <w:r w:rsidRPr="003261F8">
              <w:rPr>
                <w:rFonts w:cs="Calibri"/>
                <w:b/>
                <w:bCs/>
                <w:color w:val="000000"/>
                <w:sz w:val="20"/>
              </w:rPr>
              <w:t>$7,008,387</w:t>
            </w:r>
          </w:p>
        </w:tc>
      </w:tr>
      <w:tr w:rsidRPr="003261F8" w:rsidR="008959A4" w:rsidTr="00717A84" w14:paraId="36495676"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tcPr>
          <w:p w:rsidRPr="003261F8" w:rsidR="008959A4" w:rsidP="00717A84" w:rsidRDefault="008959A4" w14:paraId="7C607BBD" w14:textId="77777777">
            <w:pPr>
              <w:rPr>
                <w:rFonts w:eastAsia="Times New Roman" w:cs="Calibri"/>
                <w:b/>
                <w:bCs/>
                <w:color w:val="000000"/>
                <w:sz w:val="20"/>
              </w:rPr>
            </w:pPr>
            <w:r w:rsidRPr="003261F8">
              <w:rPr>
                <w:rFonts w:eastAsia="Times New Roman" w:cs="Calibri"/>
                <w:b/>
                <w:bCs/>
                <w:color w:val="000000"/>
                <w:sz w:val="20"/>
              </w:rPr>
              <w:t>PacifiCorp</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C780ADB" w14:textId="77777777">
            <w:pPr>
              <w:jc w:val="right"/>
              <w:rPr>
                <w:rFonts w:eastAsia="Times New Roman" w:cs="Calibri"/>
                <w:color w:val="000000"/>
                <w:sz w:val="20"/>
              </w:rPr>
            </w:pPr>
            <w:r w:rsidRPr="003261F8">
              <w:rPr>
                <w:rFonts w:cs="Calibri"/>
                <w:color w:val="000000"/>
                <w:sz w:val="20"/>
              </w:rPr>
              <w:t>$3,655,000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4453D83" w14:textId="77777777">
            <w:pPr>
              <w:jc w:val="right"/>
              <w:rPr>
                <w:rFonts w:eastAsia="Times New Roman" w:cs="Calibri"/>
                <w:color w:val="000000"/>
                <w:sz w:val="20"/>
              </w:rPr>
            </w:pPr>
            <w:r w:rsidRPr="003261F8">
              <w:rPr>
                <w:rFonts w:cs="Calibri"/>
                <w:color w:val="000000"/>
                <w:sz w:val="20"/>
              </w:rPr>
              <w:t>$3,730,000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F55AF25" w14:textId="77777777">
            <w:pPr>
              <w:jc w:val="right"/>
              <w:rPr>
                <w:rFonts w:eastAsia="Times New Roman" w:cs="Calibri"/>
                <w:color w:val="000000"/>
                <w:sz w:val="20"/>
              </w:rPr>
            </w:pPr>
            <w:r w:rsidRPr="003261F8">
              <w:rPr>
                <w:rFonts w:cs="Calibri"/>
                <w:color w:val="000000"/>
                <w:sz w:val="20"/>
              </w:rPr>
              <w:t>$3,807,000</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52CEF25" w14:textId="77777777">
            <w:pPr>
              <w:jc w:val="right"/>
              <w:rPr>
                <w:rFonts w:eastAsia="Times New Roman" w:cs="Calibri"/>
                <w:color w:val="000000"/>
                <w:sz w:val="20"/>
              </w:rPr>
            </w:pPr>
            <w:r w:rsidRPr="003261F8">
              <w:rPr>
                <w:rFonts w:cs="Calibri"/>
                <w:color w:val="000000"/>
                <w:sz w:val="20"/>
              </w:rPr>
              <w:t>$3,885,000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7DF039C" w14:textId="77777777">
            <w:pPr>
              <w:jc w:val="right"/>
              <w:rPr>
                <w:rFonts w:eastAsia="Times New Roman" w:cs="Calibri"/>
                <w:color w:val="000000"/>
                <w:sz w:val="20"/>
              </w:rPr>
            </w:pPr>
            <w:r w:rsidRPr="003261F8">
              <w:rPr>
                <w:rFonts w:cs="Calibri"/>
                <w:color w:val="000000"/>
                <w:sz w:val="20"/>
              </w:rPr>
              <w:t>$3,965,000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19A2EBF" w14:textId="77777777">
            <w:pPr>
              <w:jc w:val="right"/>
              <w:rPr>
                <w:rFonts w:eastAsia="Times New Roman" w:cs="Calibri"/>
                <w:color w:val="000000"/>
                <w:sz w:val="20"/>
              </w:rPr>
            </w:pPr>
            <w:r w:rsidRPr="003261F8">
              <w:rPr>
                <w:rFonts w:cs="Calibri"/>
                <w:color w:val="000000"/>
                <w:sz w:val="20"/>
              </w:rPr>
              <w:t>$4,041,000</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3001C46" w14:textId="77777777">
            <w:pPr>
              <w:jc w:val="right"/>
              <w:rPr>
                <w:rFonts w:eastAsia="Times New Roman" w:cs="Calibri"/>
                <w:b/>
                <w:bCs/>
                <w:color w:val="000000"/>
                <w:sz w:val="20"/>
              </w:rPr>
            </w:pPr>
            <w:r w:rsidRPr="003261F8">
              <w:rPr>
                <w:rFonts w:cs="Calibri"/>
                <w:b/>
                <w:bCs/>
                <w:color w:val="000000"/>
                <w:sz w:val="20"/>
              </w:rPr>
              <w:t>$23,083,000</w:t>
            </w:r>
          </w:p>
        </w:tc>
      </w:tr>
      <w:tr w:rsidRPr="003261F8" w:rsidR="008959A4" w:rsidTr="00717A84" w14:paraId="536E635F"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3686CD14" w14:textId="77777777">
            <w:pPr>
              <w:rPr>
                <w:rFonts w:eastAsia="Times New Roman" w:cs="Calibri"/>
                <w:b/>
                <w:bCs/>
                <w:color w:val="000000"/>
                <w:sz w:val="20"/>
              </w:rPr>
            </w:pPr>
            <w:r w:rsidRPr="003261F8">
              <w:rPr>
                <w:rFonts w:eastAsia="Times New Roman" w:cs="Calibri"/>
                <w:b/>
                <w:bCs/>
                <w:color w:val="000000"/>
                <w:sz w:val="20"/>
              </w:rPr>
              <w:t>Southwest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C764B6F" w14:textId="77777777">
            <w:pPr>
              <w:jc w:val="right"/>
              <w:rPr>
                <w:rFonts w:eastAsia="Times New Roman" w:cs="Calibri"/>
                <w:color w:val="000000"/>
                <w:sz w:val="20"/>
              </w:rPr>
            </w:pPr>
            <w:r w:rsidRPr="003261F8">
              <w:rPr>
                <w:rFonts w:cs="Calibri"/>
                <w:color w:val="000000"/>
                <w:sz w:val="20"/>
              </w:rPr>
              <w:t>$8,462,378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1138D2FE" w14:textId="77777777">
            <w:pPr>
              <w:jc w:val="right"/>
              <w:rPr>
                <w:rFonts w:eastAsia="Times New Roman" w:cs="Calibri"/>
                <w:color w:val="000000"/>
                <w:sz w:val="20"/>
              </w:rPr>
            </w:pPr>
            <w:r w:rsidRPr="003261F8">
              <w:rPr>
                <w:rFonts w:cs="Calibri"/>
                <w:color w:val="000000"/>
                <w:sz w:val="20"/>
              </w:rPr>
              <w:t>$8,469,178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C0322E1" w14:textId="77777777">
            <w:pPr>
              <w:jc w:val="right"/>
              <w:rPr>
                <w:rFonts w:eastAsia="Times New Roman" w:cs="Calibri"/>
                <w:color w:val="000000"/>
                <w:sz w:val="20"/>
              </w:rPr>
            </w:pPr>
            <w:r w:rsidRPr="003261F8">
              <w:rPr>
                <w:rFonts w:cs="Calibri"/>
                <w:color w:val="000000"/>
                <w:sz w:val="20"/>
              </w:rPr>
              <w:t>$8,476,114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F5DEBF4" w14:textId="77777777">
            <w:pPr>
              <w:jc w:val="right"/>
              <w:rPr>
                <w:rFonts w:eastAsia="Times New Roman" w:cs="Calibri"/>
                <w:color w:val="000000"/>
                <w:sz w:val="20"/>
              </w:rPr>
            </w:pPr>
            <w:r w:rsidRPr="003261F8">
              <w:rPr>
                <w:rFonts w:cs="Calibri"/>
                <w:color w:val="000000"/>
                <w:sz w:val="20"/>
              </w:rPr>
              <w:t>$8,483,189</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131BDCB" w14:textId="77777777">
            <w:pPr>
              <w:jc w:val="right"/>
              <w:rPr>
                <w:rFonts w:eastAsia="Times New Roman" w:cs="Calibri"/>
                <w:color w:val="000000"/>
                <w:sz w:val="20"/>
              </w:rPr>
            </w:pPr>
            <w:r w:rsidRPr="003261F8">
              <w:rPr>
                <w:rFonts w:cs="Calibri"/>
                <w:color w:val="000000"/>
                <w:sz w:val="20"/>
              </w:rPr>
              <w:t>$8,490,405</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C4AD988" w14:textId="77777777">
            <w:pPr>
              <w:jc w:val="right"/>
              <w:rPr>
                <w:rFonts w:eastAsia="Times New Roman" w:cs="Calibri"/>
                <w:color w:val="000000"/>
                <w:sz w:val="20"/>
              </w:rPr>
            </w:pPr>
            <w:r w:rsidRPr="003261F8">
              <w:rPr>
                <w:rFonts w:cs="Calibri"/>
                <w:color w:val="000000"/>
                <w:sz w:val="20"/>
              </w:rPr>
              <w:t>$8,497,765</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E880681" w14:textId="77777777">
            <w:pPr>
              <w:jc w:val="right"/>
              <w:rPr>
                <w:rFonts w:eastAsia="Times New Roman" w:cs="Calibri"/>
                <w:b/>
                <w:bCs/>
                <w:color w:val="000000"/>
                <w:sz w:val="20"/>
              </w:rPr>
            </w:pPr>
            <w:r w:rsidRPr="003261F8">
              <w:rPr>
                <w:rFonts w:cs="Calibri"/>
                <w:b/>
                <w:bCs/>
                <w:color w:val="000000"/>
                <w:sz w:val="20"/>
              </w:rPr>
              <w:t>$50,879,029</w:t>
            </w:r>
          </w:p>
        </w:tc>
      </w:tr>
      <w:tr w:rsidRPr="003261F8" w:rsidR="008959A4" w:rsidTr="00717A84" w14:paraId="00328EE2"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4CE70B8D" w14:textId="77777777">
            <w:pPr>
              <w:rPr>
                <w:rFonts w:eastAsia="Times New Roman" w:cs="Calibri"/>
                <w:b/>
                <w:bCs/>
                <w:color w:val="000000"/>
                <w:sz w:val="20"/>
              </w:rPr>
            </w:pPr>
            <w:r w:rsidRPr="003261F8">
              <w:rPr>
                <w:rFonts w:eastAsia="Times New Roman" w:cs="Calibri"/>
                <w:b/>
                <w:bCs/>
                <w:color w:val="000000"/>
                <w:sz w:val="20"/>
              </w:rPr>
              <w:t>West Coast Gas</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6B30A78" w14:textId="77777777">
            <w:pPr>
              <w:jc w:val="right"/>
              <w:rPr>
                <w:rFonts w:eastAsia="Times New Roman" w:cs="Calibri"/>
                <w:color w:val="000000"/>
                <w:sz w:val="20"/>
              </w:rPr>
            </w:pPr>
            <w:r w:rsidRPr="003261F8">
              <w:rPr>
                <w:rFonts w:cs="Calibri"/>
                <w:color w:val="000000"/>
                <w:sz w:val="20"/>
              </w:rPr>
              <w:t>$13,538</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2DA58D2A" w14:textId="77777777">
            <w:pPr>
              <w:jc w:val="right"/>
              <w:rPr>
                <w:rFonts w:eastAsia="Times New Roman" w:cs="Calibri"/>
                <w:color w:val="000000"/>
                <w:sz w:val="20"/>
              </w:rPr>
            </w:pPr>
            <w:r w:rsidRPr="003261F8">
              <w:rPr>
                <w:rFonts w:cs="Calibri"/>
                <w:color w:val="000000"/>
                <w:sz w:val="20"/>
              </w:rPr>
              <w:t>$13,714</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325497E" w14:textId="77777777">
            <w:pPr>
              <w:jc w:val="right"/>
              <w:rPr>
                <w:rFonts w:eastAsia="Times New Roman" w:cs="Calibri"/>
                <w:color w:val="000000"/>
                <w:sz w:val="20"/>
              </w:rPr>
            </w:pPr>
            <w:r w:rsidRPr="003261F8">
              <w:rPr>
                <w:rFonts w:cs="Calibri"/>
                <w:color w:val="000000"/>
                <w:sz w:val="20"/>
              </w:rPr>
              <w:t>$13,897</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8813A52" w14:textId="77777777">
            <w:pPr>
              <w:jc w:val="right"/>
              <w:rPr>
                <w:rFonts w:eastAsia="Times New Roman" w:cs="Calibri"/>
                <w:color w:val="000000"/>
                <w:sz w:val="20"/>
              </w:rPr>
            </w:pPr>
            <w:r w:rsidRPr="003261F8">
              <w:rPr>
                <w:rFonts w:cs="Calibri"/>
                <w:color w:val="000000"/>
                <w:sz w:val="20"/>
              </w:rPr>
              <w:t>$14,085</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60A72392" w14:textId="77777777">
            <w:pPr>
              <w:jc w:val="right"/>
              <w:rPr>
                <w:rFonts w:eastAsia="Times New Roman" w:cs="Calibri"/>
                <w:color w:val="000000"/>
                <w:sz w:val="20"/>
              </w:rPr>
            </w:pPr>
            <w:r w:rsidRPr="003261F8">
              <w:rPr>
                <w:rFonts w:cs="Calibri"/>
                <w:color w:val="000000"/>
                <w:sz w:val="20"/>
              </w:rPr>
              <w:t>$14,280</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70C7255" w14:textId="77777777">
            <w:pPr>
              <w:jc w:val="right"/>
              <w:rPr>
                <w:rFonts w:eastAsia="Times New Roman" w:cs="Calibri"/>
                <w:color w:val="000000"/>
                <w:sz w:val="20"/>
              </w:rPr>
            </w:pPr>
            <w:r w:rsidRPr="003261F8">
              <w:rPr>
                <w:rFonts w:cs="Calibri"/>
                <w:color w:val="000000"/>
                <w:sz w:val="20"/>
              </w:rPr>
              <w:t>$14,481</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038AD5A3" w14:textId="77777777">
            <w:pPr>
              <w:jc w:val="right"/>
              <w:rPr>
                <w:rFonts w:eastAsia="Times New Roman" w:cs="Calibri"/>
                <w:b/>
                <w:bCs/>
                <w:color w:val="000000"/>
                <w:sz w:val="20"/>
              </w:rPr>
            </w:pPr>
            <w:r w:rsidRPr="003261F8">
              <w:rPr>
                <w:rFonts w:cs="Calibri"/>
                <w:b/>
                <w:bCs/>
                <w:color w:val="000000"/>
                <w:sz w:val="20"/>
              </w:rPr>
              <w:t>$83,995</w:t>
            </w:r>
          </w:p>
        </w:tc>
      </w:tr>
      <w:tr w:rsidRPr="003261F8" w:rsidR="008959A4" w:rsidTr="00717A84" w14:paraId="7AD0716D" w14:textId="77777777">
        <w:trPr>
          <w:trHeight w:val="248"/>
          <w:jc w:val="center"/>
        </w:trPr>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3261F8" w:rsidR="008959A4" w:rsidP="00717A84" w:rsidRDefault="008959A4" w14:paraId="2EA01E36" w14:textId="77777777">
            <w:pPr>
              <w:rPr>
                <w:rFonts w:eastAsia="Times New Roman" w:cs="Calibri"/>
                <w:b/>
                <w:bCs/>
                <w:color w:val="000000"/>
                <w:sz w:val="20"/>
              </w:rPr>
            </w:pPr>
            <w:r w:rsidRPr="003261F8">
              <w:rPr>
                <w:rFonts w:eastAsia="Times New Roman" w:cs="Calibri"/>
                <w:b/>
                <w:bCs/>
                <w:color w:val="000000"/>
                <w:sz w:val="20"/>
              </w:rPr>
              <w:t>Total</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FB3DA9B" w14:textId="77777777">
            <w:pPr>
              <w:jc w:val="right"/>
              <w:rPr>
                <w:rFonts w:eastAsia="Times New Roman" w:cs="Calibri"/>
                <w:b/>
                <w:bCs/>
                <w:color w:val="000000"/>
                <w:sz w:val="20"/>
              </w:rPr>
            </w:pPr>
            <w:r w:rsidRPr="003261F8">
              <w:rPr>
                <w:rFonts w:cs="Calibri"/>
                <w:b/>
                <w:bCs/>
                <w:color w:val="000000"/>
                <w:sz w:val="20"/>
              </w:rPr>
              <w:t>$13,509,931</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41D63E21" w14:textId="77777777">
            <w:pPr>
              <w:jc w:val="right"/>
              <w:rPr>
                <w:rFonts w:eastAsia="Times New Roman" w:cs="Calibri"/>
                <w:b/>
                <w:bCs/>
                <w:color w:val="000000"/>
                <w:sz w:val="20"/>
              </w:rPr>
            </w:pPr>
            <w:r w:rsidRPr="003261F8">
              <w:rPr>
                <w:rFonts w:cs="Calibri"/>
                <w:b/>
                <w:bCs/>
                <w:color w:val="000000"/>
                <w:sz w:val="20"/>
              </w:rPr>
              <w:t>$13,608,875</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531A5F50" w14:textId="77777777">
            <w:pPr>
              <w:jc w:val="right"/>
              <w:rPr>
                <w:rFonts w:eastAsia="Times New Roman" w:cs="Calibri"/>
                <w:b/>
                <w:bCs/>
                <w:color w:val="000000"/>
                <w:sz w:val="20"/>
              </w:rPr>
            </w:pPr>
            <w:r w:rsidRPr="003261F8">
              <w:rPr>
                <w:rFonts w:cs="Calibri"/>
                <w:b/>
                <w:bCs/>
                <w:color w:val="000000"/>
                <w:sz w:val="20"/>
              </w:rPr>
              <w:t>$13,710,716</w:t>
            </w:r>
          </w:p>
        </w:tc>
        <w:tc>
          <w:tcPr>
            <w:tcW w:w="126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5C76C69" w14:textId="77777777">
            <w:pPr>
              <w:jc w:val="right"/>
              <w:rPr>
                <w:rFonts w:eastAsia="Times New Roman" w:cs="Calibri"/>
                <w:b/>
                <w:bCs/>
                <w:color w:val="000000"/>
                <w:sz w:val="20"/>
              </w:rPr>
            </w:pPr>
            <w:r w:rsidRPr="003261F8">
              <w:rPr>
                <w:rFonts w:cs="Calibri"/>
                <w:b/>
                <w:bCs/>
                <w:color w:val="000000"/>
                <w:sz w:val="20"/>
              </w:rPr>
              <w:t>$13,998,762</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E96C4A6" w14:textId="77777777">
            <w:pPr>
              <w:jc w:val="right"/>
              <w:rPr>
                <w:rFonts w:eastAsia="Times New Roman" w:cs="Calibri"/>
                <w:b/>
                <w:bCs/>
                <w:color w:val="000000"/>
                <w:sz w:val="20"/>
              </w:rPr>
            </w:pPr>
            <w:r w:rsidRPr="003261F8">
              <w:rPr>
                <w:rFonts w:cs="Calibri"/>
                <w:b/>
                <w:bCs/>
                <w:color w:val="000000"/>
                <w:sz w:val="20"/>
              </w:rPr>
              <w:t>$14,105,515</w:t>
            </w:r>
          </w:p>
        </w:tc>
        <w:tc>
          <w:tcPr>
            <w:tcW w:w="1170"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902D93D" w14:textId="77777777">
            <w:pPr>
              <w:jc w:val="right"/>
              <w:rPr>
                <w:rFonts w:eastAsia="Times New Roman" w:cs="Calibri"/>
                <w:b/>
                <w:bCs/>
                <w:color w:val="000000"/>
                <w:sz w:val="20"/>
              </w:rPr>
            </w:pPr>
            <w:r w:rsidRPr="003261F8">
              <w:rPr>
                <w:rFonts w:cs="Calibri"/>
                <w:b/>
                <w:bCs/>
                <w:color w:val="000000"/>
                <w:sz w:val="20"/>
              </w:rPr>
              <w:t>$14,209,288</w:t>
            </w:r>
          </w:p>
        </w:tc>
        <w:tc>
          <w:tcPr>
            <w:tcW w:w="1251" w:type="dxa"/>
            <w:tcBorders>
              <w:top w:val="nil"/>
              <w:left w:val="nil"/>
              <w:bottom w:val="single" w:color="auto" w:sz="4" w:space="0"/>
              <w:right w:val="single" w:color="auto" w:sz="4" w:space="0"/>
            </w:tcBorders>
            <w:shd w:val="clear" w:color="auto" w:fill="auto"/>
            <w:noWrap/>
            <w:vAlign w:val="center"/>
          </w:tcPr>
          <w:p w:rsidRPr="003261F8" w:rsidR="008959A4" w:rsidP="00717A84" w:rsidRDefault="008959A4" w14:paraId="3D54D732" w14:textId="77777777">
            <w:pPr>
              <w:jc w:val="right"/>
              <w:rPr>
                <w:rFonts w:eastAsia="Times New Roman" w:cs="Calibri"/>
                <w:b/>
                <w:bCs/>
                <w:color w:val="000000"/>
                <w:sz w:val="20"/>
              </w:rPr>
            </w:pPr>
            <w:r w:rsidRPr="003261F8">
              <w:rPr>
                <w:rFonts w:cs="Calibri"/>
                <w:b/>
                <w:bCs/>
                <w:color w:val="000000"/>
                <w:sz w:val="20"/>
              </w:rPr>
              <w:t>$83,143,086</w:t>
            </w:r>
          </w:p>
        </w:tc>
      </w:tr>
    </w:tbl>
    <w:p w:rsidRPr="003261F8" w:rsidR="008959A4" w:rsidP="008959A4" w:rsidRDefault="008959A4" w14:paraId="299C61C1" w14:textId="77777777">
      <w:pPr>
        <w:pStyle w:val="BlockQuote"/>
        <w:ind w:left="360"/>
        <w:rPr>
          <w:sz w:val="20"/>
        </w:rPr>
      </w:pPr>
    </w:p>
    <w:p w:rsidR="008959A4" w:rsidP="008959A4" w:rsidRDefault="008959A4" w14:paraId="6F5EE607" w14:textId="77777777">
      <w:pPr>
        <w:pStyle w:val="Heading3"/>
      </w:pPr>
      <w:bookmarkStart w:name="_Toc82159700" w:id="109"/>
      <w:bookmarkEnd w:id="107"/>
      <w:r>
        <w:t>Alpine Proposal</w:t>
      </w:r>
      <w:bookmarkEnd w:id="109"/>
    </w:p>
    <w:p w:rsidR="008959A4" w:rsidP="008959A4" w:rsidRDefault="008959A4" w14:paraId="26AB8E3C" w14:textId="77777777">
      <w:pPr>
        <w:pStyle w:val="ALJBodyText"/>
      </w:pPr>
      <w:r w:rsidRPr="00FA3F94">
        <w:rPr>
          <w:b/>
          <w:bCs/>
          <w:i/>
          <w:iCs/>
          <w:u w:val="single"/>
        </w:rPr>
        <w:t>Total CARE Budget</w:t>
      </w:r>
      <w:r>
        <w:t>:  Alpine</w:t>
      </w:r>
      <w:r w:rsidRPr="00815640">
        <w:t xml:space="preserve"> proposes a total </w:t>
      </w:r>
      <w:r>
        <w:t xml:space="preserve">CARE </w:t>
      </w:r>
      <w:r w:rsidRPr="00815640">
        <w:t>budget of $</w:t>
      </w:r>
      <w:r>
        <w:t xml:space="preserve">201,000, or approximately </w:t>
      </w:r>
      <w:r w:rsidRPr="00815640">
        <w:t>$</w:t>
      </w:r>
      <w:r>
        <w:t>33,500</w:t>
      </w:r>
      <w:r w:rsidRPr="00815640">
        <w:t xml:space="preserve"> </w:t>
      </w:r>
      <w:r>
        <w:t>annually with an estimated average enrollment population of 173 households</w:t>
      </w:r>
      <w:r w:rsidRPr="00737F09">
        <w:t xml:space="preserve"> </w:t>
      </w:r>
      <w:r>
        <w:t>annually</w:t>
      </w:r>
      <w:r w:rsidRPr="00815640">
        <w:t>.</w:t>
      </w:r>
      <w:r w:rsidRPr="007C7BF6">
        <w:rPr>
          <w:vertAlign w:val="superscript"/>
        </w:rPr>
        <w:footnoteReference w:id="74"/>
      </w:r>
      <w:r w:rsidRPr="007C7BF6">
        <w:t xml:space="preserve"> </w:t>
      </w:r>
    </w:p>
    <w:p w:rsidR="008959A4" w:rsidP="008959A4" w:rsidRDefault="008959A4" w14:paraId="1E7C58A9" w14:textId="77777777">
      <w:pPr>
        <w:pStyle w:val="ALJBodyText"/>
      </w:pPr>
      <w:r w:rsidRPr="00AB6E3E">
        <w:rPr>
          <w:b/>
          <w:bCs/>
          <w:i/>
          <w:iCs/>
          <w:u w:val="single"/>
        </w:rPr>
        <w:t xml:space="preserve">CARE </w:t>
      </w:r>
      <w:r>
        <w:rPr>
          <w:b/>
          <w:bCs/>
          <w:i/>
          <w:iCs/>
          <w:u w:val="single"/>
        </w:rPr>
        <w:t>Subsidy</w:t>
      </w:r>
      <w:r w:rsidRPr="00AB6E3E">
        <w:rPr>
          <w:b/>
          <w:bCs/>
          <w:i/>
          <w:iCs/>
          <w:u w:val="single"/>
        </w:rPr>
        <w:t xml:space="preserve"> Budgets</w:t>
      </w:r>
      <w:r w:rsidRPr="003261F8">
        <w:rPr>
          <w:b/>
          <w:bCs/>
          <w:i/>
          <w:iCs/>
        </w:rPr>
        <w:t xml:space="preserve">: </w:t>
      </w:r>
      <w:r w:rsidRPr="003261F8">
        <w:t xml:space="preserve"> </w:t>
      </w:r>
      <w:r w:rsidRPr="00815640">
        <w:t xml:space="preserve">The CARE </w:t>
      </w:r>
      <w:r>
        <w:t>s</w:t>
      </w:r>
      <w:r w:rsidRPr="00815640">
        <w:t xml:space="preserve">ubsidy </w:t>
      </w:r>
      <w:r>
        <w:t>totals</w:t>
      </w:r>
      <w:r w:rsidRPr="00815640">
        <w:t xml:space="preserve"> </w:t>
      </w:r>
      <w:r>
        <w:t>$165,000 for PYs 2021</w:t>
      </w:r>
      <w:r>
        <w:noBreakHyphen/>
        <w:t xml:space="preserve">2026, or an average of $27,500 annually, (82 percent of total CARE budget). </w:t>
      </w:r>
      <w:r w:rsidRPr="00815640">
        <w:t xml:space="preserve"> </w:t>
      </w:r>
    </w:p>
    <w:p w:rsidR="008959A4" w:rsidP="008959A4" w:rsidRDefault="008959A4" w14:paraId="2361FC1A" w14:textId="77777777">
      <w:pPr>
        <w:pStyle w:val="ALJBodyText"/>
      </w:pPr>
      <w:r w:rsidRPr="00AB6E3E">
        <w:rPr>
          <w:b/>
          <w:bCs/>
          <w:i/>
          <w:iCs/>
          <w:u w:val="single"/>
        </w:rPr>
        <w:t xml:space="preserve">CARE </w:t>
      </w:r>
      <w:r>
        <w:rPr>
          <w:b/>
          <w:bCs/>
          <w:i/>
          <w:iCs/>
          <w:u w:val="single"/>
        </w:rPr>
        <w:t>P</w:t>
      </w:r>
      <w:r w:rsidRPr="005A3DC8">
        <w:rPr>
          <w:b/>
          <w:bCs/>
          <w:i/>
          <w:iCs/>
          <w:u w:val="single"/>
        </w:rPr>
        <w:t xml:space="preserve">rogram </w:t>
      </w:r>
      <w:r>
        <w:rPr>
          <w:b/>
          <w:bCs/>
          <w:i/>
          <w:iCs/>
          <w:u w:val="single"/>
        </w:rPr>
        <w:t>M</w:t>
      </w:r>
      <w:r w:rsidRPr="005A3DC8">
        <w:rPr>
          <w:b/>
          <w:bCs/>
          <w:i/>
          <w:iCs/>
          <w:u w:val="single"/>
        </w:rPr>
        <w:t xml:space="preserve">anagement </w:t>
      </w:r>
      <w:r w:rsidRPr="00AB6E3E">
        <w:rPr>
          <w:b/>
          <w:bCs/>
          <w:i/>
          <w:iCs/>
          <w:u w:val="single"/>
        </w:rPr>
        <w:t>Budgets</w:t>
      </w:r>
      <w:r w:rsidRPr="003261F8">
        <w:rPr>
          <w:b/>
          <w:bCs/>
          <w:i/>
          <w:iCs/>
        </w:rPr>
        <w:t>:</w:t>
      </w:r>
      <w:r w:rsidRPr="003261F8">
        <w:t xml:space="preserve">  </w:t>
      </w:r>
      <w:r w:rsidRPr="00815640">
        <w:t xml:space="preserve">The CARE </w:t>
      </w:r>
      <w:r>
        <w:t>p</w:t>
      </w:r>
      <w:r w:rsidRPr="002458CF">
        <w:t xml:space="preserve">rogram </w:t>
      </w:r>
      <w:r>
        <w:t>m</w:t>
      </w:r>
      <w:r w:rsidRPr="002458CF">
        <w:t xml:space="preserve">anagement </w:t>
      </w:r>
      <w:r w:rsidRPr="00815640">
        <w:t>budget total</w:t>
      </w:r>
      <w:r>
        <w:t>s</w:t>
      </w:r>
      <w:r w:rsidRPr="00815640">
        <w:t xml:space="preserve"> $</w:t>
      </w:r>
      <w:r>
        <w:t>36,000 for PYs 2021-2026, or $6,000 annually, (18</w:t>
      </w:r>
      <w:r w:rsidRPr="00AF2F67">
        <w:t xml:space="preserve"> percent</w:t>
      </w:r>
      <w:r>
        <w:t xml:space="preserve"> of total CARE budget)</w:t>
      </w:r>
      <w:r w:rsidRPr="00B50A52">
        <w:t>.</w:t>
      </w:r>
      <w:r>
        <w:t xml:space="preserve">  This represents a 54 percent increase from PY 2020 authorized management budgets, as well as a 54 percent increase from PYs 2017-2019 actual expenditures.</w:t>
      </w:r>
      <w:r w:rsidRPr="00755F37">
        <w:t xml:space="preserve"> </w:t>
      </w:r>
      <w:r>
        <w:t xml:space="preserve"> Alpine attributes the increase in budget to </w:t>
      </w:r>
      <w:r w:rsidRPr="00164ACE">
        <w:t xml:space="preserve">increasing marketing </w:t>
      </w:r>
      <w:r w:rsidRPr="00164ACE">
        <w:lastRenderedPageBreak/>
        <w:t>for all non-</w:t>
      </w:r>
      <w:r>
        <w:t xml:space="preserve">enrolled </w:t>
      </w:r>
      <w:r w:rsidRPr="00164ACE">
        <w:t>CARE</w:t>
      </w:r>
      <w:r>
        <w:t>-eligible</w:t>
      </w:r>
      <w:r w:rsidRPr="00164ACE">
        <w:t xml:space="preserve"> customers for PYs 2021-2026 to achieve and then exceed the</w:t>
      </w:r>
      <w:r>
        <w:t xml:space="preserve"> proposed CARE</w:t>
      </w:r>
      <w:r w:rsidRPr="00164ACE">
        <w:t xml:space="preserve"> </w:t>
      </w:r>
      <w:r>
        <w:t xml:space="preserve">enrollment </w:t>
      </w:r>
      <w:r w:rsidRPr="00164ACE">
        <w:t>goals</w:t>
      </w:r>
      <w:r>
        <w:t>.</w:t>
      </w:r>
      <w:r>
        <w:rPr>
          <w:rStyle w:val="FootnoteReference"/>
        </w:rPr>
        <w:footnoteReference w:id="75"/>
      </w:r>
    </w:p>
    <w:p w:rsidR="008959A4" w:rsidP="008959A4" w:rsidRDefault="008959A4" w14:paraId="01112779" w14:textId="77777777">
      <w:pPr>
        <w:pStyle w:val="Heading3"/>
      </w:pPr>
      <w:bookmarkStart w:name="_Toc82159701" w:id="110"/>
      <w:r>
        <w:t>Bear Valley Proposal</w:t>
      </w:r>
      <w:bookmarkEnd w:id="110"/>
    </w:p>
    <w:p w:rsidR="008959A4" w:rsidP="008959A4" w:rsidRDefault="008959A4" w14:paraId="0A23FF03" w14:textId="77777777">
      <w:pPr>
        <w:pStyle w:val="ALJBodyText"/>
      </w:pPr>
      <w:bookmarkStart w:name="_Hlk55480959" w:id="111"/>
      <w:r w:rsidRPr="00FA3F94">
        <w:rPr>
          <w:b/>
          <w:bCs/>
          <w:i/>
          <w:iCs/>
          <w:u w:val="single"/>
        </w:rPr>
        <w:t>Total CARE Budget</w:t>
      </w:r>
      <w:r>
        <w:t>:  Bear Valley</w:t>
      </w:r>
      <w:r w:rsidRPr="00815640">
        <w:t xml:space="preserve"> </w:t>
      </w:r>
      <w:r>
        <w:t>p</w:t>
      </w:r>
      <w:r w:rsidRPr="00815640">
        <w:t xml:space="preserve">roposes a total </w:t>
      </w:r>
      <w:r>
        <w:t xml:space="preserve">CARE </w:t>
      </w:r>
      <w:r w:rsidRPr="00815640">
        <w:t>budget of $</w:t>
      </w:r>
      <w:r>
        <w:t>1.89 million</w:t>
      </w:r>
      <w:r w:rsidRPr="00815640">
        <w:t xml:space="preserve">, </w:t>
      </w:r>
      <w:r>
        <w:t>or</w:t>
      </w:r>
      <w:r w:rsidRPr="00815640">
        <w:t xml:space="preserve"> </w:t>
      </w:r>
      <w:bookmarkStart w:name="_Hlk76674479" w:id="112"/>
      <w:r>
        <w:t xml:space="preserve">approximately </w:t>
      </w:r>
      <w:bookmarkEnd w:id="112"/>
      <w:r w:rsidRPr="00815640">
        <w:t>$</w:t>
      </w:r>
      <w:r>
        <w:t>315,000 annually for PYs 2021-2026, with an estimated average enrollment population of 2,440 households</w:t>
      </w:r>
      <w:r w:rsidRPr="00737F09">
        <w:t xml:space="preserve"> </w:t>
      </w:r>
      <w:r>
        <w:t>annually</w:t>
      </w:r>
      <w:r w:rsidRPr="00815640">
        <w:t>.</w:t>
      </w:r>
      <w:r w:rsidRPr="00815640">
        <w:rPr>
          <w:vertAlign w:val="superscript"/>
        </w:rPr>
        <w:footnoteReference w:id="76"/>
      </w:r>
      <w:r>
        <w:t xml:space="preserve"> </w:t>
      </w:r>
      <w:r w:rsidRPr="00815640">
        <w:t xml:space="preserve"> </w:t>
      </w:r>
    </w:p>
    <w:p w:rsidR="008959A4" w:rsidP="008959A4" w:rsidRDefault="008959A4" w14:paraId="21FAD675" w14:textId="77777777">
      <w:pPr>
        <w:pStyle w:val="ALJBodyText"/>
      </w:pPr>
      <w:r w:rsidRPr="00AB6E3E">
        <w:rPr>
          <w:b/>
          <w:bCs/>
          <w:i/>
          <w:iCs/>
          <w:u w:val="single"/>
        </w:rPr>
        <w:t xml:space="preserve">CARE </w:t>
      </w:r>
      <w:r>
        <w:rPr>
          <w:b/>
          <w:bCs/>
          <w:i/>
          <w:iCs/>
          <w:u w:val="single"/>
        </w:rPr>
        <w:t>Subsidy</w:t>
      </w:r>
      <w:r w:rsidRPr="00AB6E3E">
        <w:rPr>
          <w:b/>
          <w:bCs/>
          <w:i/>
          <w:iCs/>
          <w:u w:val="single"/>
        </w:rPr>
        <w:t xml:space="preserve"> Budgets:</w:t>
      </w:r>
      <w:r w:rsidRPr="00AB6E3E">
        <w:t xml:space="preserve"> </w:t>
      </w:r>
      <w:r>
        <w:t xml:space="preserve"> </w:t>
      </w:r>
      <w:r w:rsidRPr="00815640">
        <w:t xml:space="preserve">The CARE </w:t>
      </w:r>
      <w:r>
        <w:t>s</w:t>
      </w:r>
      <w:r w:rsidRPr="00815640">
        <w:t xml:space="preserve">ubsidy </w:t>
      </w:r>
      <w:r>
        <w:t>totals</w:t>
      </w:r>
      <w:r w:rsidRPr="00815640">
        <w:t xml:space="preserve"> </w:t>
      </w:r>
      <w:r>
        <w:t xml:space="preserve">$1.82 million for PYs 2021-2026, or $303,964 annually, (97 percent of total CARE budget). </w:t>
      </w:r>
      <w:r w:rsidRPr="00815640">
        <w:t xml:space="preserve"> </w:t>
      </w:r>
    </w:p>
    <w:p w:rsidR="008959A4" w:rsidP="008959A4" w:rsidRDefault="008959A4" w14:paraId="2F02069B" w14:textId="5772B5A7">
      <w:pPr>
        <w:pStyle w:val="ALJBodyText"/>
      </w:pPr>
      <w:r w:rsidRPr="00AB6E3E">
        <w:rPr>
          <w:b/>
          <w:bCs/>
          <w:i/>
          <w:iCs/>
          <w:u w:val="single"/>
        </w:rPr>
        <w:t xml:space="preserve">CARE </w:t>
      </w:r>
      <w:r>
        <w:rPr>
          <w:b/>
          <w:bCs/>
          <w:i/>
          <w:iCs/>
          <w:u w:val="single"/>
        </w:rPr>
        <w:t>P</w:t>
      </w:r>
      <w:r w:rsidRPr="005A3DC8">
        <w:rPr>
          <w:b/>
          <w:bCs/>
          <w:i/>
          <w:iCs/>
          <w:u w:val="single"/>
        </w:rPr>
        <w:t xml:space="preserve">rogram </w:t>
      </w:r>
      <w:r>
        <w:rPr>
          <w:b/>
          <w:bCs/>
          <w:i/>
          <w:iCs/>
          <w:u w:val="single"/>
        </w:rPr>
        <w:t>M</w:t>
      </w:r>
      <w:r w:rsidRPr="005A3DC8">
        <w:rPr>
          <w:b/>
          <w:bCs/>
          <w:i/>
          <w:iCs/>
          <w:u w:val="single"/>
        </w:rPr>
        <w:t xml:space="preserve">anagement </w:t>
      </w:r>
      <w:r w:rsidRPr="00AB6E3E">
        <w:rPr>
          <w:b/>
          <w:bCs/>
          <w:i/>
          <w:iCs/>
          <w:u w:val="single"/>
        </w:rPr>
        <w:t>Budgets</w:t>
      </w:r>
      <w:r w:rsidRPr="003261F8">
        <w:rPr>
          <w:b/>
          <w:bCs/>
          <w:i/>
          <w:iCs/>
        </w:rPr>
        <w:t xml:space="preserve">: </w:t>
      </w:r>
      <w:r>
        <w:t xml:space="preserve"> </w:t>
      </w:r>
      <w:r w:rsidRPr="00815640">
        <w:t xml:space="preserve">The CARE </w:t>
      </w:r>
      <w:r>
        <w:t>p</w:t>
      </w:r>
      <w:r w:rsidRPr="002458CF">
        <w:t xml:space="preserve">rogram </w:t>
      </w:r>
      <w:r>
        <w:t>m</w:t>
      </w:r>
      <w:r w:rsidRPr="002458CF">
        <w:t xml:space="preserve">anagement </w:t>
      </w:r>
      <w:r w:rsidRPr="00815640">
        <w:t>budget total</w:t>
      </w:r>
      <w:r>
        <w:t>s</w:t>
      </w:r>
      <w:r w:rsidRPr="00815640">
        <w:t xml:space="preserve"> $</w:t>
      </w:r>
      <w:r w:rsidR="003C6CBA">
        <w:t xml:space="preserve">63,892 </w:t>
      </w:r>
      <w:r>
        <w:t>for PYs 2021-2026, or $</w:t>
      </w:r>
      <w:r w:rsidR="000E1D91">
        <w:t xml:space="preserve">10,649 </w:t>
      </w:r>
      <w:r>
        <w:t>annually, (3.4</w:t>
      </w:r>
      <w:r w:rsidRPr="00AF2F67">
        <w:t xml:space="preserve"> percent</w:t>
      </w:r>
      <w:r>
        <w:t xml:space="preserve"> of total CARE budget), with the largest portion of the p</w:t>
      </w:r>
      <w:r w:rsidRPr="002458CF">
        <w:t xml:space="preserve">rogram </w:t>
      </w:r>
      <w:r>
        <w:t>m</w:t>
      </w:r>
      <w:r w:rsidRPr="002458CF">
        <w:t xml:space="preserve">anagement </w:t>
      </w:r>
      <w:r w:rsidRPr="00A31AE5">
        <w:t xml:space="preserve">cost </w:t>
      </w:r>
      <w:r>
        <w:t>attributed to</w:t>
      </w:r>
      <w:r w:rsidRPr="00A31AE5">
        <w:t xml:space="preserve"> </w:t>
      </w:r>
      <w:r>
        <w:t>o</w:t>
      </w:r>
      <w:r w:rsidRPr="00A31AE5">
        <w:t xml:space="preserve">utreach, </w:t>
      </w:r>
      <w:r>
        <w:t>at</w:t>
      </w:r>
      <w:r w:rsidRPr="00A31AE5">
        <w:t xml:space="preserve"> </w:t>
      </w:r>
      <w:r>
        <w:t xml:space="preserve">82 </w:t>
      </w:r>
      <w:r w:rsidRPr="0026503D">
        <w:t>percent</w:t>
      </w:r>
      <w:r w:rsidRPr="00A31AE5">
        <w:t xml:space="preserve"> of the </w:t>
      </w:r>
      <w:r>
        <w:t>p</w:t>
      </w:r>
      <w:r w:rsidRPr="002458CF">
        <w:t xml:space="preserve">rogram </w:t>
      </w:r>
      <w:r>
        <w:t>m</w:t>
      </w:r>
      <w:r w:rsidRPr="002458CF">
        <w:t xml:space="preserve">anagement </w:t>
      </w:r>
      <w:r w:rsidRPr="00A31AE5">
        <w:t xml:space="preserve">budget, </w:t>
      </w:r>
      <w:r>
        <w:t>and g</w:t>
      </w:r>
      <w:r w:rsidRPr="00A31AE5">
        <w:t xml:space="preserve">eneral </w:t>
      </w:r>
      <w:r>
        <w:t>a</w:t>
      </w:r>
      <w:r w:rsidRPr="00A31AE5">
        <w:t xml:space="preserve">dministration </w:t>
      </w:r>
      <w:r>
        <w:t>at</w:t>
      </w:r>
      <w:r w:rsidRPr="00A31AE5">
        <w:t xml:space="preserve"> </w:t>
      </w:r>
      <w:r>
        <w:t xml:space="preserve">18 </w:t>
      </w:r>
      <w:r w:rsidRPr="00A31AE5">
        <w:t xml:space="preserve">percent of the total CARE </w:t>
      </w:r>
      <w:r>
        <w:t>p</w:t>
      </w:r>
      <w:r w:rsidRPr="002458CF">
        <w:t xml:space="preserve">rogram </w:t>
      </w:r>
      <w:r>
        <w:t>m</w:t>
      </w:r>
      <w:r w:rsidRPr="002458CF">
        <w:t xml:space="preserve">anagement </w:t>
      </w:r>
      <w:r w:rsidRPr="00A31AE5">
        <w:t>cost</w:t>
      </w:r>
      <w:r>
        <w:t>s.</w:t>
      </w:r>
      <w:r w:rsidRPr="00A31AE5">
        <w:rPr>
          <w:vertAlign w:val="superscript"/>
        </w:rPr>
        <w:footnoteReference w:id="77"/>
      </w:r>
      <w:r>
        <w:t xml:space="preserve">  This represents a 25 percent increase from PY 2020 authorized management budgets but only a 9 percent </w:t>
      </w:r>
      <w:r w:rsidRPr="00C448FF">
        <w:t>increase</w:t>
      </w:r>
      <w:r>
        <w:t xml:space="preserve"> from PYs 2017-2019 actual expenditures.</w:t>
      </w:r>
      <w:r w:rsidRPr="00755F37">
        <w:t xml:space="preserve"> </w:t>
      </w:r>
      <w:r>
        <w:t xml:space="preserve"> Bear Valley attributes the increase in budget to its </w:t>
      </w:r>
      <w:r w:rsidRPr="00D324DB">
        <w:t>propos</w:t>
      </w:r>
      <w:r>
        <w:t>al</w:t>
      </w:r>
      <w:r w:rsidRPr="00D324DB">
        <w:t xml:space="preserve"> </w:t>
      </w:r>
      <w:r>
        <w:t>to</w:t>
      </w:r>
      <w:r w:rsidRPr="00BE3091">
        <w:t xml:space="preserve"> </w:t>
      </w:r>
      <w:r>
        <w:t>combine</w:t>
      </w:r>
      <w:r w:rsidRPr="00BE3091">
        <w:t xml:space="preserve"> its </w:t>
      </w:r>
      <w:r>
        <w:t xml:space="preserve">CARE </w:t>
      </w:r>
      <w:r w:rsidRPr="00BE3091">
        <w:t>outreach</w:t>
      </w:r>
      <w:r>
        <w:t xml:space="preserve"> </w:t>
      </w:r>
      <w:r w:rsidRPr="00BE3091">
        <w:t>efforts with the ESA program</w:t>
      </w:r>
      <w:r>
        <w:t xml:space="preserve"> outreach (</w:t>
      </w:r>
      <w:r w:rsidRPr="00AA01E3">
        <w:rPr>
          <w:i/>
          <w:iCs/>
        </w:rPr>
        <w:t>see</w:t>
      </w:r>
      <w:r>
        <w:t xml:space="preserve"> Section 4.3.3)</w:t>
      </w:r>
      <w:r w:rsidRPr="00764622">
        <w:t>.</w:t>
      </w:r>
      <w:r>
        <w:rPr>
          <w:rStyle w:val="FootnoteReference"/>
        </w:rPr>
        <w:footnoteReference w:id="78"/>
      </w:r>
      <w:r>
        <w:t xml:space="preserve">  </w:t>
      </w:r>
      <w:r w:rsidRPr="001A2AC0">
        <w:t xml:space="preserve">Bear Valley states that </w:t>
      </w:r>
      <w:r w:rsidRPr="0037463D">
        <w:t xml:space="preserve">most CARE related administrative efforts are recorded in </w:t>
      </w:r>
      <w:r>
        <w:t>Bear Valley’s</w:t>
      </w:r>
      <w:r w:rsidRPr="0037463D">
        <w:t xml:space="preserve"> customer</w:t>
      </w:r>
      <w:r>
        <w:t xml:space="preserve"> </w:t>
      </w:r>
      <w:r w:rsidRPr="0037463D">
        <w:t>service administrative and general costs accounts and are not included in the CARE</w:t>
      </w:r>
      <w:r>
        <w:t xml:space="preserve"> </w:t>
      </w:r>
      <w:r w:rsidRPr="0037463D">
        <w:t xml:space="preserve">budget request. </w:t>
      </w:r>
      <w:r>
        <w:t xml:space="preserve"> Bear Valley also</w:t>
      </w:r>
      <w:r w:rsidRPr="0037463D">
        <w:t xml:space="preserve"> </w:t>
      </w:r>
      <w:r w:rsidRPr="0037463D">
        <w:lastRenderedPageBreak/>
        <w:t>does not have any direct CARE administrative costs for</w:t>
      </w:r>
      <w:r>
        <w:t xml:space="preserve"> p</w:t>
      </w:r>
      <w:r w:rsidRPr="0037463D">
        <w:t xml:space="preserve">rocessing the verification, eligibility, enrollment, self-certification, </w:t>
      </w:r>
      <w:r>
        <w:t>or</w:t>
      </w:r>
      <w:r w:rsidRPr="0037463D">
        <w:t xml:space="preserve"> recertification.</w:t>
      </w:r>
      <w:r>
        <w:rPr>
          <w:rStyle w:val="FootnoteReference"/>
        </w:rPr>
        <w:footnoteReference w:id="79"/>
      </w:r>
      <w:r>
        <w:t xml:space="preserve"> </w:t>
      </w:r>
    </w:p>
    <w:p w:rsidRPr="00C87B57" w:rsidR="008959A4" w:rsidP="008959A4" w:rsidRDefault="008959A4" w14:paraId="7BC43E10" w14:textId="77777777">
      <w:pPr>
        <w:pStyle w:val="Heading3"/>
      </w:pPr>
      <w:bookmarkStart w:name="_Toc82159702" w:id="113"/>
      <w:bookmarkEnd w:id="111"/>
      <w:r w:rsidRPr="00C87B57">
        <w:t>Liberty Proposal</w:t>
      </w:r>
      <w:bookmarkEnd w:id="113"/>
    </w:p>
    <w:p w:rsidRPr="00767D35" w:rsidR="008959A4" w:rsidP="008959A4" w:rsidRDefault="008959A4" w14:paraId="328DD487" w14:textId="77777777">
      <w:pPr>
        <w:pStyle w:val="ALJBodyText"/>
      </w:pPr>
      <w:r w:rsidRPr="00FA3F94">
        <w:rPr>
          <w:b/>
          <w:bCs/>
          <w:i/>
          <w:iCs/>
          <w:u w:val="single"/>
        </w:rPr>
        <w:t>Total CARE Budget</w:t>
      </w:r>
      <w:r>
        <w:t xml:space="preserve">:  </w:t>
      </w:r>
      <w:r w:rsidRPr="00767D35">
        <w:t>Liberty proposes a total CARE budget of $7.008</w:t>
      </w:r>
      <w:r>
        <w:t> </w:t>
      </w:r>
      <w:r w:rsidRPr="00767D35">
        <w:t xml:space="preserve">million, or approximately $1.17 million annually for PYs 2021-2026 with an estimated average enrollment population of </w:t>
      </w:r>
      <w:r>
        <w:t>4,725</w:t>
      </w:r>
      <w:r w:rsidRPr="00767D35">
        <w:t xml:space="preserve"> households annually. </w:t>
      </w:r>
    </w:p>
    <w:p w:rsidRPr="00164E8F" w:rsidR="008959A4" w:rsidP="008959A4" w:rsidRDefault="008959A4" w14:paraId="061EFFB6" w14:textId="1218E439">
      <w:pPr>
        <w:pStyle w:val="ALJBodyText"/>
      </w:pPr>
      <w:r w:rsidRPr="00164E8F">
        <w:rPr>
          <w:b/>
          <w:bCs/>
          <w:i/>
          <w:iCs/>
          <w:u w:val="single"/>
        </w:rPr>
        <w:t>CARE Subsidy Budgets</w:t>
      </w:r>
      <w:r w:rsidRPr="003261F8">
        <w:rPr>
          <w:b/>
          <w:bCs/>
          <w:i/>
          <w:iCs/>
        </w:rPr>
        <w:t xml:space="preserve">: </w:t>
      </w:r>
      <w:r w:rsidRPr="00164E8F">
        <w:t xml:space="preserve"> The CARE subsidy totals $6.033 </w:t>
      </w:r>
      <w:r w:rsidR="00CD6D34">
        <w:t xml:space="preserve">million </w:t>
      </w:r>
      <w:r w:rsidRPr="00164E8F">
        <w:t>for PYs 2021</w:t>
      </w:r>
      <w:r>
        <w:noBreakHyphen/>
      </w:r>
      <w:r w:rsidRPr="00164E8F">
        <w:t>2026, or</w:t>
      </w:r>
      <w:r w:rsidRPr="00164E8F">
        <w:rPr>
          <w:rFonts w:ascii="ArialMT" w:hAnsi="ArialMT" w:cs="ArialMT"/>
          <w:color w:val="0F0F0F"/>
          <w:sz w:val="23"/>
          <w:szCs w:val="23"/>
        </w:rPr>
        <w:t xml:space="preserve"> $</w:t>
      </w:r>
      <w:r w:rsidRPr="00164E8F">
        <w:t xml:space="preserve">1 million annually (86 percent of total CARE budget).  </w:t>
      </w:r>
    </w:p>
    <w:p w:rsidR="008959A4" w:rsidP="008959A4" w:rsidRDefault="008959A4" w14:paraId="6E449339" w14:textId="24EC31D2">
      <w:pPr>
        <w:pStyle w:val="ALJBodyText"/>
      </w:pPr>
      <w:r w:rsidRPr="009D284D">
        <w:rPr>
          <w:b/>
          <w:bCs/>
          <w:i/>
          <w:iCs/>
          <w:u w:val="single"/>
        </w:rPr>
        <w:t>CARE Program Management Budgets</w:t>
      </w:r>
      <w:r w:rsidRPr="003261F8">
        <w:rPr>
          <w:b/>
          <w:bCs/>
          <w:i/>
          <w:iCs/>
        </w:rPr>
        <w:t>:</w:t>
      </w:r>
      <w:r w:rsidRPr="003261F8">
        <w:t xml:space="preserve">  </w:t>
      </w:r>
      <w:r w:rsidRPr="009D284D">
        <w:t>The CARE program management budget totals $974,</w:t>
      </w:r>
      <w:r w:rsidR="00996FC0">
        <w:t>821</w:t>
      </w:r>
      <w:r w:rsidRPr="009D284D" w:rsidR="00996FC0">
        <w:t xml:space="preserve"> </w:t>
      </w:r>
      <w:r w:rsidRPr="009D284D">
        <w:t>for PYs 2021-2026, or $162,4</w:t>
      </w:r>
      <w:r w:rsidR="00996FC0">
        <w:t>7</w:t>
      </w:r>
      <w:r w:rsidRPr="009D284D">
        <w:t xml:space="preserve">0 annually (14 percent of total CARE budget) </w:t>
      </w:r>
      <w:r>
        <w:t>with the largest portion of the p</w:t>
      </w:r>
      <w:r w:rsidRPr="002458CF">
        <w:t xml:space="preserve">rogram </w:t>
      </w:r>
      <w:r>
        <w:t>m</w:t>
      </w:r>
      <w:r w:rsidRPr="002458CF">
        <w:t xml:space="preserve">anagement </w:t>
      </w:r>
      <w:r w:rsidRPr="00A31AE5">
        <w:t xml:space="preserve">cost </w:t>
      </w:r>
      <w:r>
        <w:t>attributed to</w:t>
      </w:r>
      <w:r w:rsidRPr="00A31AE5">
        <w:t xml:space="preserve"> </w:t>
      </w:r>
      <w:r>
        <w:t>o</w:t>
      </w:r>
      <w:r w:rsidRPr="00A31AE5">
        <w:t xml:space="preserve">utreach, </w:t>
      </w:r>
      <w:r>
        <w:t>at</w:t>
      </w:r>
      <w:r w:rsidRPr="00A31AE5">
        <w:t xml:space="preserve"> </w:t>
      </w:r>
      <w:r>
        <w:t xml:space="preserve">57 </w:t>
      </w:r>
      <w:r w:rsidRPr="0026503D">
        <w:t>percent</w:t>
      </w:r>
      <w:r w:rsidRPr="00A31AE5">
        <w:t xml:space="preserve"> of the </w:t>
      </w:r>
      <w:r>
        <w:t>p</w:t>
      </w:r>
      <w:r w:rsidRPr="002458CF">
        <w:t xml:space="preserve">rogram </w:t>
      </w:r>
      <w:r>
        <w:t>m</w:t>
      </w:r>
      <w:r w:rsidRPr="002458CF">
        <w:t xml:space="preserve">anagement </w:t>
      </w:r>
      <w:r w:rsidRPr="00A31AE5">
        <w:t xml:space="preserve">budget, </w:t>
      </w:r>
      <w:r>
        <w:t>and g</w:t>
      </w:r>
      <w:r w:rsidRPr="00A31AE5">
        <w:t xml:space="preserve">eneral </w:t>
      </w:r>
      <w:r>
        <w:t>a</w:t>
      </w:r>
      <w:r w:rsidRPr="00A31AE5">
        <w:t>dministration</w:t>
      </w:r>
      <w:r>
        <w:t xml:space="preserve"> (which Liberty includes p</w:t>
      </w:r>
      <w:r w:rsidRPr="00BC349B">
        <w:t>rocessing,</w:t>
      </w:r>
      <w:r>
        <w:t xml:space="preserve"> c</w:t>
      </w:r>
      <w:r w:rsidRPr="00BC349B">
        <w:t>ertification,</w:t>
      </w:r>
      <w:r>
        <w:t xml:space="preserve"> </w:t>
      </w:r>
      <w:r w:rsidRPr="00BC349B">
        <w:t>and</w:t>
      </w:r>
      <w:r>
        <w:t xml:space="preserve"> v</w:t>
      </w:r>
      <w:r w:rsidRPr="00BC349B">
        <w:t>erification</w:t>
      </w:r>
      <w:r>
        <w:t>)</w:t>
      </w:r>
      <w:r w:rsidRPr="00A31AE5">
        <w:t xml:space="preserve"> </w:t>
      </w:r>
      <w:r>
        <w:t>at</w:t>
      </w:r>
      <w:r w:rsidRPr="00A31AE5">
        <w:t xml:space="preserve"> </w:t>
      </w:r>
      <w:r>
        <w:t xml:space="preserve">43 </w:t>
      </w:r>
      <w:r w:rsidRPr="00A31AE5">
        <w:t xml:space="preserve">percent of the total CARE </w:t>
      </w:r>
      <w:r>
        <w:t>p</w:t>
      </w:r>
      <w:r w:rsidRPr="002458CF">
        <w:t xml:space="preserve">rogram </w:t>
      </w:r>
      <w:r>
        <w:t>m</w:t>
      </w:r>
      <w:r w:rsidRPr="002458CF">
        <w:t xml:space="preserve">anagement </w:t>
      </w:r>
      <w:r w:rsidRPr="00A31AE5">
        <w:t>costs</w:t>
      </w:r>
      <w:r w:rsidRPr="00B50A52">
        <w:t>.</w:t>
      </w:r>
      <w:r>
        <w:rPr>
          <w:rStyle w:val="FootnoteReference"/>
        </w:rPr>
        <w:footnoteReference w:id="80"/>
      </w:r>
      <w:r>
        <w:t xml:space="preserve">  This represents a 9 percent decrease from PY 2020 authorized management budgets but a 200 percent increase from PYs 2017-2020 actual expenditures.  </w:t>
      </w:r>
      <w:r w:rsidRPr="00C85AE0">
        <w:t>Liberty is proposing a two percent increase in its 2020 authorized outreach budget per</w:t>
      </w:r>
      <w:r>
        <w:t xml:space="preserve"> </w:t>
      </w:r>
      <w:r w:rsidRPr="00C85AE0">
        <w:t>year</w:t>
      </w:r>
      <w:r>
        <w:t xml:space="preserve"> as part of its PYs 2021-2026 proposal, and states that this</w:t>
      </w:r>
      <w:r w:rsidRPr="00C85AE0">
        <w:t xml:space="preserve"> escalation is reflective of inflation and to cover the costs</w:t>
      </w:r>
      <w:r>
        <w:t xml:space="preserve"> of</w:t>
      </w:r>
      <w:r w:rsidRPr="00C85AE0">
        <w:t xml:space="preserve"> </w:t>
      </w:r>
      <w:r>
        <w:t>its</w:t>
      </w:r>
      <w:r w:rsidRPr="00C85AE0">
        <w:t xml:space="preserve"> </w:t>
      </w:r>
      <w:r>
        <w:t>ME&amp;O</w:t>
      </w:r>
      <w:r w:rsidRPr="00C85AE0">
        <w:t>.</w:t>
      </w:r>
      <w:r>
        <w:rPr>
          <w:rStyle w:val="FootnoteReference"/>
        </w:rPr>
        <w:footnoteReference w:id="81"/>
      </w:r>
      <w:r w:rsidRPr="00C85AE0">
        <w:t xml:space="preserve"> </w:t>
      </w:r>
    </w:p>
    <w:p w:rsidR="008959A4" w:rsidP="008959A4" w:rsidRDefault="008959A4" w14:paraId="57D0F50E" w14:textId="77777777">
      <w:pPr>
        <w:pStyle w:val="Heading3"/>
      </w:pPr>
      <w:bookmarkStart w:name="_Toc82159703" w:id="114"/>
      <w:r>
        <w:lastRenderedPageBreak/>
        <w:t>PacifiCorp Proposal</w:t>
      </w:r>
      <w:bookmarkEnd w:id="114"/>
    </w:p>
    <w:p w:rsidR="008959A4" w:rsidP="008959A4" w:rsidRDefault="008959A4" w14:paraId="065603F7" w14:textId="77777777">
      <w:pPr>
        <w:pStyle w:val="ALJBodyText"/>
      </w:pPr>
      <w:r w:rsidRPr="00FA3F94">
        <w:rPr>
          <w:b/>
          <w:bCs/>
          <w:i/>
          <w:iCs/>
          <w:u w:val="single"/>
        </w:rPr>
        <w:t>Total CARE Budget</w:t>
      </w:r>
      <w:r>
        <w:t>:  PacifiCorp</w:t>
      </w:r>
      <w:r w:rsidRPr="00815640">
        <w:t xml:space="preserve"> </w:t>
      </w:r>
      <w:r>
        <w:t>p</w:t>
      </w:r>
      <w:r w:rsidRPr="00815640">
        <w:t xml:space="preserve">roposes a total </w:t>
      </w:r>
      <w:r>
        <w:t xml:space="preserve">CARE </w:t>
      </w:r>
      <w:r w:rsidRPr="00815640">
        <w:t>budget of $</w:t>
      </w:r>
      <w:r>
        <w:t>23 </w:t>
      </w:r>
      <w:r w:rsidRPr="00815640">
        <w:t>million</w:t>
      </w:r>
      <w:r>
        <w:t>, or</w:t>
      </w:r>
      <w:r w:rsidRPr="00815640">
        <w:t xml:space="preserve"> </w:t>
      </w:r>
      <w:r>
        <w:t xml:space="preserve">approximately </w:t>
      </w:r>
      <w:r w:rsidRPr="00815640">
        <w:t>$</w:t>
      </w:r>
      <w:r>
        <w:t>3.8</w:t>
      </w:r>
      <w:r w:rsidRPr="00815640">
        <w:t xml:space="preserve"> million </w:t>
      </w:r>
      <w:r>
        <w:t>annually</w:t>
      </w:r>
      <w:r w:rsidRPr="002A537D">
        <w:t xml:space="preserve"> </w:t>
      </w:r>
      <w:r>
        <w:t>for PYs 2021-2026 with an estimated average enrollment population of 12,061 households</w:t>
      </w:r>
      <w:r w:rsidRPr="00737F09">
        <w:t xml:space="preserve"> </w:t>
      </w:r>
      <w:r>
        <w:t>annually</w:t>
      </w:r>
      <w:r w:rsidRPr="00815640">
        <w:t>.</w:t>
      </w:r>
      <w:r w:rsidRPr="007C7BF6">
        <w:rPr>
          <w:vertAlign w:val="superscript"/>
        </w:rPr>
        <w:footnoteReference w:id="82"/>
      </w:r>
      <w:r>
        <w:t xml:space="preserve"> </w:t>
      </w:r>
    </w:p>
    <w:p w:rsidR="008959A4" w:rsidP="008959A4" w:rsidRDefault="008959A4" w14:paraId="2CE2C118" w14:textId="77777777">
      <w:pPr>
        <w:pStyle w:val="ALJBodyText"/>
      </w:pPr>
      <w:r w:rsidRPr="00AB6E3E">
        <w:rPr>
          <w:b/>
          <w:bCs/>
          <w:i/>
          <w:iCs/>
          <w:u w:val="single"/>
        </w:rPr>
        <w:t xml:space="preserve">CARE </w:t>
      </w:r>
      <w:r>
        <w:rPr>
          <w:b/>
          <w:bCs/>
          <w:i/>
          <w:iCs/>
          <w:u w:val="single"/>
        </w:rPr>
        <w:t>Subsidy</w:t>
      </w:r>
      <w:r w:rsidRPr="00AB6E3E">
        <w:rPr>
          <w:b/>
          <w:bCs/>
          <w:i/>
          <w:iCs/>
          <w:u w:val="single"/>
        </w:rPr>
        <w:t xml:space="preserve"> Budgets:</w:t>
      </w:r>
      <w:r w:rsidRPr="00AB6E3E">
        <w:t xml:space="preserve"> </w:t>
      </w:r>
      <w:r>
        <w:t xml:space="preserve"> </w:t>
      </w:r>
      <w:r w:rsidRPr="00815640">
        <w:t xml:space="preserve">The CARE </w:t>
      </w:r>
      <w:r>
        <w:t>s</w:t>
      </w:r>
      <w:r w:rsidRPr="00815640">
        <w:t xml:space="preserve">ubsidy </w:t>
      </w:r>
      <w:r>
        <w:t>totals</w:t>
      </w:r>
      <w:r w:rsidRPr="00815640">
        <w:t xml:space="preserve"> </w:t>
      </w:r>
      <w:r>
        <w:t xml:space="preserve">$22.2 million for PYs 2021-2026, or approximately $3.7 million annually (96 percent of total CARE budget). </w:t>
      </w:r>
      <w:r w:rsidRPr="00815640">
        <w:t xml:space="preserve"> </w:t>
      </w:r>
    </w:p>
    <w:p w:rsidR="008959A4" w:rsidP="008959A4" w:rsidRDefault="008959A4" w14:paraId="12168F90" w14:textId="77777777">
      <w:pPr>
        <w:pStyle w:val="ALJBodyText"/>
      </w:pPr>
      <w:r w:rsidRPr="00AB6E3E">
        <w:rPr>
          <w:b/>
          <w:bCs/>
          <w:i/>
          <w:iCs/>
          <w:u w:val="single"/>
        </w:rPr>
        <w:t xml:space="preserve">CARE </w:t>
      </w:r>
      <w:r>
        <w:rPr>
          <w:b/>
          <w:bCs/>
          <w:i/>
          <w:iCs/>
          <w:u w:val="single"/>
        </w:rPr>
        <w:t>P</w:t>
      </w:r>
      <w:r w:rsidRPr="005A3DC8">
        <w:rPr>
          <w:b/>
          <w:bCs/>
          <w:i/>
          <w:iCs/>
          <w:u w:val="single"/>
        </w:rPr>
        <w:t xml:space="preserve">rogram </w:t>
      </w:r>
      <w:r>
        <w:rPr>
          <w:b/>
          <w:bCs/>
          <w:i/>
          <w:iCs/>
          <w:u w:val="single"/>
        </w:rPr>
        <w:t>M</w:t>
      </w:r>
      <w:r w:rsidRPr="005A3DC8">
        <w:rPr>
          <w:b/>
          <w:bCs/>
          <w:i/>
          <w:iCs/>
          <w:u w:val="single"/>
        </w:rPr>
        <w:t xml:space="preserve">anagement </w:t>
      </w:r>
      <w:r w:rsidRPr="00AB6E3E">
        <w:rPr>
          <w:b/>
          <w:bCs/>
          <w:i/>
          <w:iCs/>
          <w:u w:val="single"/>
        </w:rPr>
        <w:t>Budgets:</w:t>
      </w:r>
      <w:r>
        <w:t xml:space="preserve">  </w:t>
      </w:r>
      <w:r w:rsidRPr="00815640">
        <w:t xml:space="preserve">The CARE </w:t>
      </w:r>
      <w:r>
        <w:t>p</w:t>
      </w:r>
      <w:r w:rsidRPr="002458CF">
        <w:t xml:space="preserve">rogram </w:t>
      </w:r>
      <w:r>
        <w:t>m</w:t>
      </w:r>
      <w:r w:rsidRPr="002458CF">
        <w:t xml:space="preserve">anagement </w:t>
      </w:r>
      <w:r w:rsidRPr="00815640">
        <w:t>budget total</w:t>
      </w:r>
      <w:r>
        <w:t>s</w:t>
      </w:r>
      <w:r w:rsidRPr="00815640">
        <w:t xml:space="preserve"> $</w:t>
      </w:r>
      <w:r>
        <w:t>910,000 for PYs 2021-2026, or approximately $151,667 annually (4 </w:t>
      </w:r>
      <w:r w:rsidRPr="00AF2F67">
        <w:t>percent</w:t>
      </w:r>
      <w:r>
        <w:t xml:space="preserve"> of total CARE budget) with the largest portion of the p</w:t>
      </w:r>
      <w:r w:rsidRPr="002458CF">
        <w:t xml:space="preserve">rogram </w:t>
      </w:r>
      <w:r>
        <w:t>m</w:t>
      </w:r>
      <w:r w:rsidRPr="002458CF">
        <w:t xml:space="preserve">anagement </w:t>
      </w:r>
      <w:r w:rsidRPr="00A31AE5">
        <w:t xml:space="preserve">cost </w:t>
      </w:r>
      <w:r>
        <w:t>attributed to</w:t>
      </w:r>
      <w:r w:rsidRPr="00A31AE5">
        <w:t xml:space="preserve"> </w:t>
      </w:r>
      <w:r>
        <w:t>o</w:t>
      </w:r>
      <w:r w:rsidRPr="00A31AE5">
        <w:t xml:space="preserve">utreach, </w:t>
      </w:r>
      <w:r>
        <w:t>at</w:t>
      </w:r>
      <w:r w:rsidRPr="00A31AE5">
        <w:t xml:space="preserve"> </w:t>
      </w:r>
      <w:r>
        <w:t xml:space="preserve">57 </w:t>
      </w:r>
      <w:r w:rsidRPr="0026503D">
        <w:t>percent</w:t>
      </w:r>
      <w:r w:rsidRPr="00A31AE5">
        <w:t xml:space="preserve"> of the </w:t>
      </w:r>
      <w:r>
        <w:t>p</w:t>
      </w:r>
      <w:r w:rsidRPr="002458CF">
        <w:t xml:space="preserve">rogram </w:t>
      </w:r>
      <w:r>
        <w:t>m</w:t>
      </w:r>
      <w:r w:rsidRPr="002458CF">
        <w:t xml:space="preserve">anagement </w:t>
      </w:r>
      <w:r w:rsidRPr="00A31AE5">
        <w:t xml:space="preserve">budget, </w:t>
      </w:r>
      <w:r>
        <w:t>g</w:t>
      </w:r>
      <w:r w:rsidRPr="00A31AE5">
        <w:t xml:space="preserve">eneral </w:t>
      </w:r>
      <w:r>
        <w:t>a</w:t>
      </w:r>
      <w:r w:rsidRPr="00A31AE5">
        <w:t xml:space="preserve">dministration </w:t>
      </w:r>
      <w:r>
        <w:t>at</w:t>
      </w:r>
      <w:r w:rsidRPr="00A31AE5">
        <w:t xml:space="preserve"> </w:t>
      </w:r>
      <w:r>
        <w:t xml:space="preserve">33 </w:t>
      </w:r>
      <w:r w:rsidRPr="00A31AE5">
        <w:t xml:space="preserve">percent of the total CARE </w:t>
      </w:r>
      <w:r>
        <w:t>p</w:t>
      </w:r>
      <w:r w:rsidRPr="002458CF">
        <w:t xml:space="preserve">rogram </w:t>
      </w:r>
      <w:r>
        <w:t>m</w:t>
      </w:r>
      <w:r w:rsidRPr="002458CF">
        <w:t xml:space="preserve">anagement </w:t>
      </w:r>
      <w:r w:rsidRPr="00A31AE5">
        <w:t>costs</w:t>
      </w:r>
      <w:r>
        <w:t>, and p</w:t>
      </w:r>
      <w:r w:rsidRPr="009315BD">
        <w:t xml:space="preserve">rocessing, </w:t>
      </w:r>
      <w:r>
        <w:t>c</w:t>
      </w:r>
      <w:r w:rsidRPr="009315BD">
        <w:t xml:space="preserve">ertification, </w:t>
      </w:r>
      <w:r>
        <w:t>r</w:t>
      </w:r>
      <w:r w:rsidRPr="009315BD">
        <w:t>ecertification</w:t>
      </w:r>
      <w:r>
        <w:t>, which PacifiCorp broke-out from general administration line-item, at 10 percent of the total CARE program management budget.</w:t>
      </w:r>
      <w:r>
        <w:rPr>
          <w:rStyle w:val="FootnoteReference"/>
        </w:rPr>
        <w:footnoteReference w:id="83"/>
      </w:r>
      <w:r>
        <w:t xml:space="preserve">  This represents a 1 percent increase from PY 2020 authorized management budgets and a 62 percent increase from PYs 2017-2019 actual expenditures. </w:t>
      </w:r>
      <w:r w:rsidRPr="00755F37">
        <w:t xml:space="preserve"> </w:t>
      </w:r>
      <w:r>
        <w:t>PacifiCorp states that this budget i</w:t>
      </w:r>
      <w:r w:rsidRPr="009A2A47">
        <w:t>ncreas</w:t>
      </w:r>
      <w:r>
        <w:t xml:space="preserve">e is needed to </w:t>
      </w:r>
      <w:r w:rsidRPr="009A2A47">
        <w:t xml:space="preserve">increase and maintain a participation rate of 92 percent by the end of 2026. </w:t>
      </w:r>
      <w:r>
        <w:t xml:space="preserve"> </w:t>
      </w:r>
      <w:r w:rsidRPr="009A2A47">
        <w:t>The</w:t>
      </w:r>
      <w:r>
        <w:t xml:space="preserve"> p</w:t>
      </w:r>
      <w:r w:rsidRPr="009A2A47">
        <w:t>rocessing</w:t>
      </w:r>
      <w:r>
        <w:t>, c</w:t>
      </w:r>
      <w:r w:rsidRPr="009A2A47">
        <w:t>ertification</w:t>
      </w:r>
      <w:r>
        <w:t>, and v</w:t>
      </w:r>
      <w:r w:rsidRPr="009A2A47">
        <w:t>erification cost</w:t>
      </w:r>
      <w:r>
        <w:t>s are proposed to</w:t>
      </w:r>
      <w:r w:rsidRPr="009A2A47">
        <w:t xml:space="preserve"> remain at $15,000 throughout the six years</w:t>
      </w:r>
      <w:r>
        <w:t xml:space="preserve"> </w:t>
      </w:r>
      <w:r w:rsidRPr="009A2A47">
        <w:t>consistent with budget authorized for 2020</w:t>
      </w:r>
      <w:r>
        <w:t>, however, g</w:t>
      </w:r>
      <w:r w:rsidRPr="009A2A47">
        <w:t xml:space="preserve">eneral </w:t>
      </w:r>
      <w:r>
        <w:t>e</w:t>
      </w:r>
      <w:r w:rsidRPr="009A2A47">
        <w:t>xpenses are proposed to</w:t>
      </w:r>
      <w:r>
        <w:t xml:space="preserve"> </w:t>
      </w:r>
      <w:r w:rsidRPr="009A2A47">
        <w:t xml:space="preserve">decrease from the $55,000 authorized for 2020 to $45,000 in </w:t>
      </w:r>
      <w:r>
        <w:t>PYs</w:t>
      </w:r>
      <w:r w:rsidRPr="009A2A47">
        <w:t xml:space="preserve"> 2021-2022, $50,000</w:t>
      </w:r>
      <w:r>
        <w:t xml:space="preserve"> </w:t>
      </w:r>
      <w:r w:rsidRPr="009A2A47">
        <w:t xml:space="preserve">in </w:t>
      </w:r>
      <w:r>
        <w:t>PYs</w:t>
      </w:r>
      <w:r w:rsidRPr="009A2A47">
        <w:t xml:space="preserve"> 2023-2024, and $55,000 in </w:t>
      </w:r>
      <w:r>
        <w:t>PYs</w:t>
      </w:r>
      <w:r w:rsidRPr="009A2A47">
        <w:t xml:space="preserve"> 2025-2026</w:t>
      </w:r>
      <w:r>
        <w:t xml:space="preserve"> to </w:t>
      </w:r>
      <w:r w:rsidRPr="009A2A47">
        <w:t>align with 2019 actual spend plus additional costs required</w:t>
      </w:r>
      <w:r>
        <w:t xml:space="preserve"> </w:t>
      </w:r>
      <w:r w:rsidRPr="009A2A47">
        <w:t xml:space="preserve">to enroll </w:t>
      </w:r>
      <w:r w:rsidRPr="009A2A47">
        <w:lastRenderedPageBreak/>
        <w:t>and serve an increased number of participants, proposed modification to high user post</w:t>
      </w:r>
      <w:r>
        <w:t xml:space="preserve"> </w:t>
      </w:r>
      <w:r w:rsidRPr="009A2A47">
        <w:t>enrollment</w:t>
      </w:r>
      <w:r>
        <w:t xml:space="preserve"> </w:t>
      </w:r>
      <w:r w:rsidRPr="009A2A47">
        <w:t xml:space="preserve">verification process, and the annual cost for </w:t>
      </w:r>
      <w:r>
        <w:t>CARE eligibility reports</w:t>
      </w:r>
      <w:r w:rsidRPr="009A2A47">
        <w:t xml:space="preserve"> co-funded</w:t>
      </w:r>
      <w:r>
        <w:t xml:space="preserve"> </w:t>
      </w:r>
      <w:r w:rsidRPr="009A2A47">
        <w:t>by SMJUs.</w:t>
      </w:r>
      <w:r>
        <w:rPr>
          <w:rStyle w:val="FootnoteReference"/>
        </w:rPr>
        <w:footnoteReference w:id="84"/>
      </w:r>
      <w:r>
        <w:t xml:space="preserve"> </w:t>
      </w:r>
    </w:p>
    <w:p w:rsidR="008959A4" w:rsidP="008959A4" w:rsidRDefault="008959A4" w14:paraId="068E32A0" w14:textId="77777777">
      <w:pPr>
        <w:pStyle w:val="Heading3"/>
      </w:pPr>
      <w:bookmarkStart w:name="_Toc82159704" w:id="115"/>
      <w:r>
        <w:t>Southwest Gas Proposal</w:t>
      </w:r>
      <w:bookmarkEnd w:id="115"/>
    </w:p>
    <w:p w:rsidR="008959A4" w:rsidP="008959A4" w:rsidRDefault="008959A4" w14:paraId="1838D727" w14:textId="77777777">
      <w:pPr>
        <w:pStyle w:val="ALJBodyText"/>
      </w:pPr>
      <w:r w:rsidRPr="00FA3F94">
        <w:rPr>
          <w:b/>
          <w:bCs/>
          <w:i/>
          <w:iCs/>
          <w:u w:val="single"/>
        </w:rPr>
        <w:t>Total CARE Budget</w:t>
      </w:r>
      <w:r>
        <w:t>:  Southwest Gas</w:t>
      </w:r>
      <w:r w:rsidRPr="00815640">
        <w:t xml:space="preserve"> proposes a total </w:t>
      </w:r>
      <w:r>
        <w:t xml:space="preserve">CARE </w:t>
      </w:r>
      <w:r w:rsidRPr="00815640">
        <w:t>budget of $</w:t>
      </w:r>
      <w:r>
        <w:t>50.9 million, or</w:t>
      </w:r>
      <w:r w:rsidRPr="00815640">
        <w:t xml:space="preserve"> </w:t>
      </w:r>
      <w:r>
        <w:t xml:space="preserve">approximately </w:t>
      </w:r>
      <w:r w:rsidRPr="00815640">
        <w:t>$</w:t>
      </w:r>
      <w:r>
        <w:t>8.48 million</w:t>
      </w:r>
      <w:r w:rsidRPr="00815640">
        <w:t xml:space="preserve"> </w:t>
      </w:r>
      <w:r>
        <w:t>annually</w:t>
      </w:r>
      <w:r w:rsidRPr="005F1706">
        <w:t xml:space="preserve"> </w:t>
      </w:r>
      <w:r>
        <w:t>with an estimated average enrollment population of 57,000 households</w:t>
      </w:r>
      <w:r w:rsidRPr="00737F09">
        <w:t xml:space="preserve"> </w:t>
      </w:r>
      <w:r>
        <w:t>annually</w:t>
      </w:r>
      <w:r w:rsidRPr="00815640">
        <w:t>.</w:t>
      </w:r>
      <w:r w:rsidRPr="007C7BF6">
        <w:rPr>
          <w:vertAlign w:val="superscript"/>
        </w:rPr>
        <w:footnoteReference w:id="85"/>
      </w:r>
      <w:r w:rsidRPr="007C7BF6">
        <w:t xml:space="preserve"> </w:t>
      </w:r>
    </w:p>
    <w:p w:rsidR="008959A4" w:rsidP="008959A4" w:rsidRDefault="008959A4" w14:paraId="57A2C164" w14:textId="77777777">
      <w:pPr>
        <w:pStyle w:val="ALJBodyText"/>
      </w:pPr>
      <w:r w:rsidRPr="00AB6E3E">
        <w:rPr>
          <w:b/>
          <w:bCs/>
          <w:i/>
          <w:iCs/>
          <w:u w:val="single"/>
        </w:rPr>
        <w:t xml:space="preserve">CARE </w:t>
      </w:r>
      <w:r>
        <w:rPr>
          <w:b/>
          <w:bCs/>
          <w:i/>
          <w:iCs/>
          <w:u w:val="single"/>
        </w:rPr>
        <w:t>Subsidy</w:t>
      </w:r>
      <w:r w:rsidRPr="00AB6E3E">
        <w:rPr>
          <w:b/>
          <w:bCs/>
          <w:i/>
          <w:iCs/>
          <w:u w:val="single"/>
        </w:rPr>
        <w:t xml:space="preserve"> Budgets</w:t>
      </w:r>
      <w:r w:rsidRPr="00C64BE1">
        <w:rPr>
          <w:b/>
          <w:bCs/>
          <w:i/>
          <w:iCs/>
        </w:rPr>
        <w:t>:</w:t>
      </w:r>
      <w:r w:rsidRPr="00C64BE1">
        <w:t xml:space="preserve">  </w:t>
      </w:r>
      <w:r w:rsidRPr="00815640">
        <w:t xml:space="preserve">The CARE </w:t>
      </w:r>
      <w:r>
        <w:t>s</w:t>
      </w:r>
      <w:r w:rsidRPr="00815640">
        <w:t xml:space="preserve">ubsidy </w:t>
      </w:r>
      <w:r>
        <w:t>totals</w:t>
      </w:r>
      <w:r w:rsidRPr="00815640">
        <w:t xml:space="preserve"> </w:t>
      </w:r>
      <w:r>
        <w:t xml:space="preserve">$48.7 million for PYs 2021-2026, or $8.12 million annually (96 percent of total CARE budget). </w:t>
      </w:r>
      <w:r w:rsidRPr="00815640">
        <w:t xml:space="preserve"> </w:t>
      </w:r>
    </w:p>
    <w:p w:rsidR="008959A4" w:rsidP="008959A4" w:rsidRDefault="008959A4" w14:paraId="19E20B72" w14:textId="761D3E87">
      <w:pPr>
        <w:pStyle w:val="ALJBodyText"/>
      </w:pPr>
      <w:r w:rsidRPr="00AB6E3E">
        <w:rPr>
          <w:b/>
          <w:bCs/>
          <w:i/>
          <w:iCs/>
          <w:u w:val="single"/>
        </w:rPr>
        <w:t xml:space="preserve">CARE </w:t>
      </w:r>
      <w:r>
        <w:rPr>
          <w:b/>
          <w:bCs/>
          <w:i/>
          <w:iCs/>
          <w:u w:val="single"/>
        </w:rPr>
        <w:t>P</w:t>
      </w:r>
      <w:r w:rsidRPr="005A3DC8">
        <w:rPr>
          <w:b/>
          <w:bCs/>
          <w:i/>
          <w:iCs/>
          <w:u w:val="single"/>
        </w:rPr>
        <w:t xml:space="preserve">rogram </w:t>
      </w:r>
      <w:r>
        <w:rPr>
          <w:b/>
          <w:bCs/>
          <w:i/>
          <w:iCs/>
          <w:u w:val="single"/>
        </w:rPr>
        <w:t>M</w:t>
      </w:r>
      <w:r w:rsidRPr="005A3DC8">
        <w:rPr>
          <w:b/>
          <w:bCs/>
          <w:i/>
          <w:iCs/>
          <w:u w:val="single"/>
        </w:rPr>
        <w:t xml:space="preserve">anagement </w:t>
      </w:r>
      <w:r w:rsidRPr="00AB6E3E">
        <w:rPr>
          <w:b/>
          <w:bCs/>
          <w:i/>
          <w:iCs/>
          <w:u w:val="single"/>
        </w:rPr>
        <w:t>Budgets</w:t>
      </w:r>
      <w:r w:rsidRPr="00C64BE1">
        <w:rPr>
          <w:b/>
          <w:bCs/>
          <w:i/>
          <w:iCs/>
        </w:rPr>
        <w:t>:</w:t>
      </w:r>
      <w:r w:rsidRPr="00C64BE1">
        <w:t xml:space="preserve">  </w:t>
      </w:r>
      <w:r w:rsidRPr="00815640">
        <w:t xml:space="preserve">The CARE </w:t>
      </w:r>
      <w:r>
        <w:t>p</w:t>
      </w:r>
      <w:r w:rsidRPr="002458CF">
        <w:t xml:space="preserve">rogram </w:t>
      </w:r>
      <w:r>
        <w:t>m</w:t>
      </w:r>
      <w:r w:rsidRPr="002458CF">
        <w:t xml:space="preserve">anagement </w:t>
      </w:r>
      <w:r w:rsidRPr="00815640">
        <w:t>budget total</w:t>
      </w:r>
      <w:r>
        <w:t>s</w:t>
      </w:r>
      <w:r w:rsidRPr="00815640">
        <w:t xml:space="preserve"> $</w:t>
      </w:r>
      <w:r>
        <w:t>2.14 million for PYs 2021-2026, or $</w:t>
      </w:r>
      <w:r w:rsidR="00E52A85">
        <w:t xml:space="preserve">357,460 </w:t>
      </w:r>
      <w:r>
        <w:t>annually (4</w:t>
      </w:r>
      <w:r w:rsidRPr="00AF2F67">
        <w:t xml:space="preserve"> percent</w:t>
      </w:r>
      <w:r>
        <w:t xml:space="preserve"> of total CARE budget), with the largest portion of the p</w:t>
      </w:r>
      <w:r w:rsidRPr="002458CF">
        <w:t xml:space="preserve">rogram </w:t>
      </w:r>
      <w:r>
        <w:t>m</w:t>
      </w:r>
      <w:r w:rsidRPr="002458CF">
        <w:t xml:space="preserve">anagement </w:t>
      </w:r>
      <w:r w:rsidRPr="00A31AE5">
        <w:t xml:space="preserve">cost </w:t>
      </w:r>
      <w:r>
        <w:t>attributed to</w:t>
      </w:r>
      <w:r w:rsidRPr="00A31AE5">
        <w:t xml:space="preserve"> </w:t>
      </w:r>
      <w:r>
        <w:t>o</w:t>
      </w:r>
      <w:r w:rsidRPr="00A31AE5">
        <w:t xml:space="preserve">utreach, </w:t>
      </w:r>
      <w:r>
        <w:t>at</w:t>
      </w:r>
      <w:r w:rsidRPr="00A31AE5">
        <w:t xml:space="preserve"> </w:t>
      </w:r>
      <w:r>
        <w:t xml:space="preserve">91 </w:t>
      </w:r>
      <w:r w:rsidRPr="0026503D">
        <w:t>percent</w:t>
      </w:r>
      <w:r w:rsidRPr="00A31AE5">
        <w:t xml:space="preserve"> of the </w:t>
      </w:r>
      <w:r>
        <w:t>p</w:t>
      </w:r>
      <w:r w:rsidRPr="002458CF">
        <w:t xml:space="preserve">rogram </w:t>
      </w:r>
      <w:r>
        <w:t>m</w:t>
      </w:r>
      <w:r w:rsidRPr="002458CF">
        <w:t xml:space="preserve">anagement </w:t>
      </w:r>
      <w:r w:rsidRPr="00A31AE5">
        <w:t xml:space="preserve">budget, </w:t>
      </w:r>
      <w:r>
        <w:t>g</w:t>
      </w:r>
      <w:r w:rsidRPr="00A31AE5">
        <w:t xml:space="preserve">eneral </w:t>
      </w:r>
      <w:r>
        <w:t>a</w:t>
      </w:r>
      <w:r w:rsidRPr="00A31AE5">
        <w:t xml:space="preserve">dministration </w:t>
      </w:r>
      <w:r>
        <w:t>at</w:t>
      </w:r>
      <w:r w:rsidRPr="00A31AE5">
        <w:t xml:space="preserve"> </w:t>
      </w:r>
      <w:r>
        <w:t xml:space="preserve">6 </w:t>
      </w:r>
      <w:r w:rsidRPr="00A31AE5">
        <w:t xml:space="preserve">percent of the total CARE </w:t>
      </w:r>
      <w:r>
        <w:t>p</w:t>
      </w:r>
      <w:r w:rsidRPr="002458CF">
        <w:t xml:space="preserve">rogram </w:t>
      </w:r>
      <w:r>
        <w:t>m</w:t>
      </w:r>
      <w:r w:rsidRPr="002458CF">
        <w:t xml:space="preserve">anagement </w:t>
      </w:r>
      <w:r w:rsidRPr="00A31AE5">
        <w:t>costs</w:t>
      </w:r>
      <w:r>
        <w:t>, and p</w:t>
      </w:r>
      <w:r w:rsidRPr="009315BD">
        <w:t xml:space="preserve">rocessing, </w:t>
      </w:r>
      <w:r>
        <w:t>c</w:t>
      </w:r>
      <w:r w:rsidRPr="009315BD">
        <w:t xml:space="preserve">ertification, </w:t>
      </w:r>
      <w:r>
        <w:t>r</w:t>
      </w:r>
      <w:r w:rsidRPr="009315BD">
        <w:t>ecertification</w:t>
      </w:r>
      <w:r>
        <w:t>, which Southwest Gas broke-out from general administration line-item, at 3 percent of the total CARE program management budget.</w:t>
      </w:r>
      <w:r>
        <w:rPr>
          <w:rStyle w:val="FootnoteReference"/>
        </w:rPr>
        <w:footnoteReference w:id="86"/>
      </w:r>
      <w:r>
        <w:t xml:space="preserve">  This represents a 20 percent increase from PY 2020 authorized management budgets and a 90 percent increase from PYs 2107-2019 actual expenditures. </w:t>
      </w:r>
      <w:r w:rsidRPr="00755F37">
        <w:t xml:space="preserve"> </w:t>
      </w:r>
      <w:r>
        <w:t xml:space="preserve">Southwest Gas attributes the increase in budget to the additional outreach strategy </w:t>
      </w:r>
      <w:r w:rsidRPr="00316A2F">
        <w:t>enhancements, including use of detailed analytics to better identify and target eligible populations, and the addition of improved processes for program enrollment and recertification.</w:t>
      </w:r>
      <w:r>
        <w:t xml:space="preserve">  </w:t>
      </w:r>
      <w:r w:rsidRPr="00A74E40">
        <w:t xml:space="preserve">Southwest Gas plans to </w:t>
      </w:r>
      <w:r w:rsidRPr="00A74E40">
        <w:lastRenderedPageBreak/>
        <w:t xml:space="preserve">refresh </w:t>
      </w:r>
      <w:r>
        <w:t>its outreach</w:t>
      </w:r>
      <w:r w:rsidRPr="00A74E40">
        <w:t xml:space="preserve"> data analysis multiple times during the year and apply these marketing techniques to identify newly eligible </w:t>
      </w:r>
      <w:r>
        <w:t xml:space="preserve">CARE </w:t>
      </w:r>
      <w:r w:rsidRPr="00A74E40">
        <w:t>customers.</w:t>
      </w:r>
      <w:r>
        <w:rPr>
          <w:rStyle w:val="FootnoteReference"/>
        </w:rPr>
        <w:footnoteReference w:id="87"/>
      </w:r>
      <w:r>
        <w:t xml:space="preserve"> </w:t>
      </w:r>
    </w:p>
    <w:p w:rsidRPr="009F691F" w:rsidR="008959A4" w:rsidP="008959A4" w:rsidRDefault="008959A4" w14:paraId="0FDDE065" w14:textId="77777777">
      <w:pPr>
        <w:pStyle w:val="Heading3"/>
      </w:pPr>
      <w:bookmarkStart w:name="_Toc82159705" w:id="116"/>
      <w:r>
        <w:t xml:space="preserve">West Coast Gas </w:t>
      </w:r>
      <w:r w:rsidRPr="009F691F">
        <w:t>Proposal</w:t>
      </w:r>
      <w:bookmarkEnd w:id="116"/>
    </w:p>
    <w:p w:rsidR="008959A4" w:rsidP="008959A4" w:rsidRDefault="008959A4" w14:paraId="4DF63D36" w14:textId="77777777">
      <w:pPr>
        <w:pStyle w:val="ALJBodyText"/>
      </w:pPr>
      <w:bookmarkStart w:name="_Hlk55563034" w:id="117"/>
      <w:r w:rsidRPr="00FA3F94">
        <w:rPr>
          <w:b/>
          <w:bCs/>
          <w:i/>
          <w:iCs/>
          <w:u w:val="single"/>
        </w:rPr>
        <w:t>Total CARE Budget</w:t>
      </w:r>
      <w:r>
        <w:t>:  West Coast Gas</w:t>
      </w:r>
      <w:r w:rsidRPr="009F691F">
        <w:t xml:space="preserve"> proposes a total CARE budget </w:t>
      </w:r>
      <w:r w:rsidRPr="00FC3DC1">
        <w:t>of $</w:t>
      </w:r>
      <w:r>
        <w:t>83</w:t>
      </w:r>
      <w:r w:rsidRPr="00FC3DC1">
        <w:t>,</w:t>
      </w:r>
      <w:r>
        <w:t xml:space="preserve">995, or approximately </w:t>
      </w:r>
      <w:r w:rsidRPr="00FC3DC1">
        <w:t>$</w:t>
      </w:r>
      <w:r>
        <w:t>14,000</w:t>
      </w:r>
      <w:r w:rsidRPr="00FC3DC1">
        <w:t xml:space="preserve"> </w:t>
      </w:r>
      <w:r>
        <w:t>annually for PYs 2021-2026</w:t>
      </w:r>
      <w:r w:rsidRPr="00F053C5">
        <w:t xml:space="preserve"> </w:t>
      </w:r>
      <w:r>
        <w:t>with an estimated average enrollment population of 56 households annually</w:t>
      </w:r>
      <w:r w:rsidRPr="00FC3DC1">
        <w:t xml:space="preserve">. </w:t>
      </w:r>
    </w:p>
    <w:p w:rsidR="008959A4" w:rsidP="008959A4" w:rsidRDefault="008959A4" w14:paraId="7A971522" w14:textId="64744B8F">
      <w:pPr>
        <w:pStyle w:val="ALJBodyText"/>
      </w:pPr>
      <w:r w:rsidRPr="00AB6E3E">
        <w:rPr>
          <w:b/>
          <w:bCs/>
          <w:i/>
          <w:iCs/>
          <w:u w:val="single"/>
        </w:rPr>
        <w:t xml:space="preserve">CARE </w:t>
      </w:r>
      <w:r>
        <w:rPr>
          <w:b/>
          <w:bCs/>
          <w:i/>
          <w:iCs/>
          <w:u w:val="single"/>
        </w:rPr>
        <w:t>Subsidy</w:t>
      </w:r>
      <w:r w:rsidRPr="00AB6E3E">
        <w:rPr>
          <w:b/>
          <w:bCs/>
          <w:i/>
          <w:iCs/>
          <w:u w:val="single"/>
        </w:rPr>
        <w:t xml:space="preserve"> Budgets</w:t>
      </w:r>
      <w:r w:rsidRPr="00C64BE1">
        <w:rPr>
          <w:b/>
          <w:bCs/>
          <w:i/>
          <w:iCs/>
        </w:rPr>
        <w:t>:</w:t>
      </w:r>
      <w:r w:rsidRPr="00C64BE1">
        <w:t xml:space="preserve">  </w:t>
      </w:r>
      <w:r w:rsidRPr="00815640">
        <w:t xml:space="preserve">The CARE </w:t>
      </w:r>
      <w:r>
        <w:t>s</w:t>
      </w:r>
      <w:r w:rsidRPr="00815640">
        <w:t xml:space="preserve">ubsidy </w:t>
      </w:r>
      <w:r>
        <w:t>totals</w:t>
      </w:r>
      <w:r w:rsidRPr="00815640">
        <w:t xml:space="preserve"> </w:t>
      </w:r>
      <w:r>
        <w:t>$35,611 for PYs 2021</w:t>
      </w:r>
      <w:r>
        <w:noBreakHyphen/>
        <w:t>2026, or</w:t>
      </w:r>
      <w:r w:rsidRPr="00EA096D">
        <w:rPr>
          <w:rFonts w:ascii="ArialMT" w:hAnsi="ArialMT" w:cs="ArialMT"/>
          <w:color w:val="0F0F0F"/>
          <w:sz w:val="23"/>
          <w:szCs w:val="23"/>
        </w:rPr>
        <w:t xml:space="preserve"> </w:t>
      </w:r>
      <w:r w:rsidRPr="00A32307" w:rsidR="00F9607A">
        <w:t>approximately</w:t>
      </w:r>
      <w:r w:rsidR="00F9607A">
        <w:rPr>
          <w:rFonts w:ascii="ArialMT" w:hAnsi="ArialMT" w:cs="ArialMT"/>
          <w:color w:val="0F0F0F"/>
          <w:sz w:val="23"/>
          <w:szCs w:val="23"/>
        </w:rPr>
        <w:t xml:space="preserve"> </w:t>
      </w:r>
      <w:r>
        <w:rPr>
          <w:rFonts w:ascii="ArialMT" w:hAnsi="ArialMT" w:cs="ArialMT"/>
          <w:color w:val="0F0F0F"/>
          <w:sz w:val="23"/>
          <w:szCs w:val="23"/>
        </w:rPr>
        <w:t>$</w:t>
      </w:r>
      <w:r>
        <w:t xml:space="preserve">6,000 annually (42 percent of total CARE budget). </w:t>
      </w:r>
      <w:r w:rsidRPr="00815640">
        <w:t xml:space="preserve"> </w:t>
      </w:r>
    </w:p>
    <w:p w:rsidR="008959A4" w:rsidP="008959A4" w:rsidRDefault="008959A4" w14:paraId="1112B55C" w14:textId="77777777">
      <w:pPr>
        <w:pStyle w:val="ALJBodyText"/>
      </w:pPr>
      <w:r w:rsidRPr="00AB6E3E">
        <w:rPr>
          <w:b/>
          <w:bCs/>
          <w:i/>
          <w:iCs/>
          <w:u w:val="single"/>
        </w:rPr>
        <w:t xml:space="preserve">CARE </w:t>
      </w:r>
      <w:r>
        <w:rPr>
          <w:b/>
          <w:bCs/>
          <w:i/>
          <w:iCs/>
          <w:u w:val="single"/>
        </w:rPr>
        <w:t>P</w:t>
      </w:r>
      <w:r w:rsidRPr="005A3DC8">
        <w:rPr>
          <w:b/>
          <w:bCs/>
          <w:i/>
          <w:iCs/>
          <w:u w:val="single"/>
        </w:rPr>
        <w:t xml:space="preserve">rogram </w:t>
      </w:r>
      <w:r>
        <w:rPr>
          <w:b/>
          <w:bCs/>
          <w:i/>
          <w:iCs/>
          <w:u w:val="single"/>
        </w:rPr>
        <w:t>M</w:t>
      </w:r>
      <w:r w:rsidRPr="005A3DC8">
        <w:rPr>
          <w:b/>
          <w:bCs/>
          <w:i/>
          <w:iCs/>
          <w:u w:val="single"/>
        </w:rPr>
        <w:t xml:space="preserve">anagement </w:t>
      </w:r>
      <w:r w:rsidRPr="00AB6E3E">
        <w:rPr>
          <w:b/>
          <w:bCs/>
          <w:i/>
          <w:iCs/>
          <w:u w:val="single"/>
        </w:rPr>
        <w:t>Budgets</w:t>
      </w:r>
      <w:r w:rsidRPr="00C64BE1">
        <w:rPr>
          <w:b/>
          <w:bCs/>
          <w:i/>
          <w:iCs/>
        </w:rPr>
        <w:t>:</w:t>
      </w:r>
      <w:r w:rsidRPr="00C64BE1">
        <w:t xml:space="preserve">  </w:t>
      </w:r>
      <w:r w:rsidRPr="00815640">
        <w:t xml:space="preserve">The </w:t>
      </w:r>
      <w:r w:rsidRPr="002458CF">
        <w:t xml:space="preserve">CARE </w:t>
      </w:r>
      <w:bookmarkStart w:name="_Hlk63762242" w:id="118"/>
      <w:r>
        <w:t>p</w:t>
      </w:r>
      <w:r w:rsidRPr="002458CF">
        <w:t xml:space="preserve">rogram </w:t>
      </w:r>
      <w:r>
        <w:t>m</w:t>
      </w:r>
      <w:r w:rsidRPr="002458CF">
        <w:t xml:space="preserve">anagement </w:t>
      </w:r>
      <w:bookmarkEnd w:id="118"/>
      <w:r w:rsidRPr="002458CF">
        <w:t xml:space="preserve">budget totals </w:t>
      </w:r>
      <w:r>
        <w:t xml:space="preserve">$48,384 for PYs 2021-2026, or </w:t>
      </w:r>
      <w:r w:rsidRPr="002458CF">
        <w:t>$</w:t>
      </w:r>
      <w:r w:rsidRPr="00EA096D">
        <w:t>8,064</w:t>
      </w:r>
      <w:r>
        <w:t xml:space="preserve"> annually (58</w:t>
      </w:r>
      <w:r w:rsidRPr="002458CF">
        <w:t xml:space="preserve"> percent of total CARE budget)</w:t>
      </w:r>
      <w:r>
        <w:t xml:space="preserve"> with the equal proportions of the p</w:t>
      </w:r>
      <w:r w:rsidRPr="002458CF">
        <w:t xml:space="preserve">rogram </w:t>
      </w:r>
      <w:r>
        <w:t>m</w:t>
      </w:r>
      <w:r w:rsidRPr="002458CF">
        <w:t xml:space="preserve">anagement </w:t>
      </w:r>
      <w:r w:rsidRPr="00A31AE5">
        <w:t xml:space="preserve">cost </w:t>
      </w:r>
      <w:r>
        <w:t>split between o</w:t>
      </w:r>
      <w:r w:rsidRPr="00A31AE5">
        <w:t xml:space="preserve">utreach, </w:t>
      </w:r>
      <w:r>
        <w:t>at</w:t>
      </w:r>
      <w:r w:rsidRPr="00A31AE5">
        <w:t xml:space="preserve"> </w:t>
      </w:r>
      <w:r>
        <w:t xml:space="preserve">33 </w:t>
      </w:r>
      <w:r w:rsidRPr="0026503D">
        <w:t>percent</w:t>
      </w:r>
      <w:r w:rsidRPr="00A31AE5">
        <w:t xml:space="preserve">, </w:t>
      </w:r>
      <w:r>
        <w:t>g</w:t>
      </w:r>
      <w:r w:rsidRPr="00A31AE5">
        <w:t xml:space="preserve">eneral </w:t>
      </w:r>
      <w:r>
        <w:t>a</w:t>
      </w:r>
      <w:r w:rsidRPr="00A31AE5">
        <w:t xml:space="preserve">dministration </w:t>
      </w:r>
      <w:r>
        <w:t>at</w:t>
      </w:r>
      <w:r w:rsidRPr="00A31AE5">
        <w:t xml:space="preserve"> </w:t>
      </w:r>
      <w:r>
        <w:t xml:space="preserve">33 </w:t>
      </w:r>
      <w:r w:rsidRPr="00A31AE5">
        <w:t>percent</w:t>
      </w:r>
      <w:r>
        <w:t>, and processing, certification, and recertification at 33 percent of the total CARE program management costs</w:t>
      </w:r>
      <w:r w:rsidRPr="00B50A52">
        <w:t>.</w:t>
      </w:r>
      <w:r>
        <w:rPr>
          <w:rStyle w:val="FootnoteReference"/>
        </w:rPr>
        <w:footnoteReference w:id="88"/>
      </w:r>
      <w:r>
        <w:t xml:space="preserve">  This represents a zero percent increase from PY 2020 authorized management budgets and a 143 percent increase from PYs 2017</w:t>
      </w:r>
      <w:r>
        <w:noBreakHyphen/>
        <w:t>2019 actual expenditures.</w:t>
      </w:r>
      <w:r w:rsidRPr="00755F37">
        <w:t xml:space="preserve"> </w:t>
      </w:r>
      <w:r>
        <w:t xml:space="preserve"> West Coast Gas proposes to keep their program management costs the same as previously authorized budgets to maintain their outreach efforts and high CARE enrollment rate.</w:t>
      </w:r>
      <w:r>
        <w:rPr>
          <w:rStyle w:val="FootnoteReference"/>
        </w:rPr>
        <w:footnoteReference w:id="89"/>
      </w:r>
      <w:r>
        <w:t xml:space="preserve"> </w:t>
      </w:r>
    </w:p>
    <w:p w:rsidR="008959A4" w:rsidP="008959A4" w:rsidRDefault="008959A4" w14:paraId="15C45594" w14:textId="77777777">
      <w:pPr>
        <w:pStyle w:val="Heading3"/>
      </w:pPr>
      <w:bookmarkStart w:name="_Toc82159706" w:id="119"/>
      <w:bookmarkEnd w:id="117"/>
      <w:r>
        <w:t>Party Comments</w:t>
      </w:r>
      <w:bookmarkEnd w:id="119"/>
    </w:p>
    <w:p w:rsidRPr="00C64BE1" w:rsidR="008959A4" w:rsidP="008959A4" w:rsidRDefault="008959A4" w14:paraId="2813C95D" w14:textId="77777777">
      <w:pPr>
        <w:pStyle w:val="Heading4"/>
        <w:tabs>
          <w:tab w:val="clear" w:pos="2160"/>
        </w:tabs>
        <w:ind w:left="3510" w:hanging="1170"/>
        <w:rPr>
          <w:iCs/>
          <w:u w:val="single"/>
        </w:rPr>
      </w:pPr>
      <w:bookmarkStart w:name="_Toc82159707" w:id="120"/>
      <w:r w:rsidRPr="009351F2">
        <w:t>Cal Advocates</w:t>
      </w:r>
      <w:bookmarkEnd w:id="120"/>
    </w:p>
    <w:p w:rsidRPr="00E400C4" w:rsidR="008959A4" w:rsidP="008959A4" w:rsidRDefault="008959A4" w14:paraId="1A20A9E9" w14:textId="77777777">
      <w:pPr>
        <w:pStyle w:val="Standard"/>
      </w:pPr>
      <w:r>
        <w:rPr>
          <w:b/>
          <w:bCs/>
          <w:i/>
          <w:iCs/>
          <w:u w:val="single"/>
        </w:rPr>
        <w:t>Budget Adjustments via Tier 3 Advice Letter</w:t>
      </w:r>
      <w:r w:rsidRPr="000E485A">
        <w:rPr>
          <w:b/>
          <w:bCs/>
          <w:i/>
          <w:iCs/>
        </w:rPr>
        <w:t>:</w:t>
      </w:r>
      <w:r w:rsidRPr="000E485A">
        <w:t xml:space="preserve">  </w:t>
      </w:r>
      <w:r>
        <w:t xml:space="preserve">Cal </w:t>
      </w:r>
      <w:r w:rsidRPr="00EB0954">
        <w:t xml:space="preserve">Advocates </w:t>
      </w:r>
      <w:r>
        <w:t xml:space="preserve">state that the </w:t>
      </w:r>
      <w:r w:rsidRPr="00A51FC8">
        <w:t xml:space="preserve">COVID-19 pandemic </w:t>
      </w:r>
      <w:r>
        <w:t>has l</w:t>
      </w:r>
      <w:r w:rsidRPr="00A51FC8">
        <w:t xml:space="preserve">ikely </w:t>
      </w:r>
      <w:r>
        <w:t>i</w:t>
      </w:r>
      <w:r w:rsidRPr="00A51FC8">
        <w:t>ncrease</w:t>
      </w:r>
      <w:r>
        <w:t>d</w:t>
      </w:r>
      <w:r w:rsidRPr="00A51FC8">
        <w:t xml:space="preserve"> the number of CARE</w:t>
      </w:r>
      <w:r w:rsidRPr="00EB0954">
        <w:t xml:space="preserve"> e</w:t>
      </w:r>
      <w:r w:rsidRPr="00A51FC8">
        <w:t xml:space="preserve">ligible customers in </w:t>
      </w:r>
      <w:r>
        <w:t>the</w:t>
      </w:r>
      <w:r w:rsidRPr="00A51FC8">
        <w:t xml:space="preserve"> SMJUs’ service territories</w:t>
      </w:r>
      <w:r w:rsidRPr="00EB0954">
        <w:t>, which impact the budgets</w:t>
      </w:r>
      <w:r>
        <w:t xml:space="preserve">, and </w:t>
      </w:r>
      <w:r>
        <w:lastRenderedPageBreak/>
        <w:t>r</w:t>
      </w:r>
      <w:r w:rsidRPr="00EB0954">
        <w:t xml:space="preserve">ecommend that the SMJUs </w:t>
      </w:r>
      <w:r w:rsidRPr="00A51FC8">
        <w:t xml:space="preserve">propose budget </w:t>
      </w:r>
      <w:r>
        <w:t>updates</w:t>
      </w:r>
      <w:r w:rsidRPr="00A51FC8">
        <w:t xml:space="preserve"> for the remainder of the program cycle through a Tier 3 advice</w:t>
      </w:r>
      <w:r>
        <w:t xml:space="preserve"> </w:t>
      </w:r>
      <w:r w:rsidRPr="00A51FC8">
        <w:t xml:space="preserve">letter. </w:t>
      </w:r>
      <w:r>
        <w:t xml:space="preserve"> </w:t>
      </w:r>
      <w:r w:rsidRPr="00A51FC8">
        <w:t xml:space="preserve">The advice letters </w:t>
      </w:r>
      <w:r>
        <w:t>would include</w:t>
      </w:r>
      <w:r w:rsidRPr="00A51FC8">
        <w:t xml:space="preserve"> metrics related to CARE </w:t>
      </w:r>
      <w:r>
        <w:t>e</w:t>
      </w:r>
      <w:r w:rsidRPr="00A51FC8">
        <w:t>nrollment, including the number of enrolled customers, the</w:t>
      </w:r>
      <w:r>
        <w:t xml:space="preserve"> </w:t>
      </w:r>
      <w:r w:rsidRPr="00A51FC8">
        <w:t xml:space="preserve">number of estimated CARE-eligible customers, the CARE </w:t>
      </w:r>
      <w:r>
        <w:t xml:space="preserve">enrollment </w:t>
      </w:r>
      <w:r w:rsidRPr="00A51FC8">
        <w:t>rate, CARE</w:t>
      </w:r>
      <w:r>
        <w:t xml:space="preserve"> </w:t>
      </w:r>
      <w:r w:rsidRPr="00A51FC8">
        <w:t>discount expenditures (total and per customer), and CARE outreach expenditures (total</w:t>
      </w:r>
      <w:r>
        <w:t xml:space="preserve"> </w:t>
      </w:r>
      <w:r w:rsidRPr="00A51FC8">
        <w:t>and per customer).</w:t>
      </w:r>
      <w:r>
        <w:t xml:space="preserve">  The</w:t>
      </w:r>
      <w:r w:rsidRPr="00A51FC8">
        <w:t xml:space="preserve"> SMJUs should also report whether they are on</w:t>
      </w:r>
      <w:r>
        <w:t xml:space="preserve"> </w:t>
      </w:r>
      <w:r w:rsidRPr="00A51FC8">
        <w:t xml:space="preserve">the track to meet the CARE </w:t>
      </w:r>
      <w:r>
        <w:t xml:space="preserve">enrollment </w:t>
      </w:r>
      <w:r w:rsidRPr="00A51FC8">
        <w:t>rate of 90</w:t>
      </w:r>
      <w:r>
        <w:t> percent</w:t>
      </w:r>
      <w:r w:rsidRPr="00A51FC8">
        <w:t>, whether they overspent or</w:t>
      </w:r>
      <w:r>
        <w:t xml:space="preserve"> </w:t>
      </w:r>
      <w:r w:rsidRPr="00A51FC8">
        <w:t>underspent the authorized CARE enrollment or outreach budget, and whether they are</w:t>
      </w:r>
      <w:r>
        <w:t xml:space="preserve"> </w:t>
      </w:r>
      <w:r w:rsidRPr="00A51FC8">
        <w:t>requesting increased enrollment or outreach budgets for PY</w:t>
      </w:r>
      <w:r>
        <w:t>s</w:t>
      </w:r>
      <w:r w:rsidRPr="00A51FC8">
        <w:t xml:space="preserve"> 2022-2026</w:t>
      </w:r>
      <w:r w:rsidRPr="003A2A07">
        <w:t>.</w:t>
      </w:r>
      <w:r w:rsidRPr="003A2A07">
        <w:rPr>
          <w:rStyle w:val="FootnoteReference"/>
        </w:rPr>
        <w:footnoteReference w:id="90"/>
      </w:r>
    </w:p>
    <w:p w:rsidRPr="00D379F7" w:rsidR="008959A4" w:rsidP="008959A4" w:rsidRDefault="008959A4" w14:paraId="7223212A" w14:textId="77777777">
      <w:pPr>
        <w:pStyle w:val="Standard"/>
      </w:pPr>
      <w:r>
        <w:rPr>
          <w:b/>
          <w:bCs/>
          <w:i/>
          <w:iCs/>
          <w:u w:val="single"/>
        </w:rPr>
        <w:t>Evaluation of Liberty’s CARE P</w:t>
      </w:r>
      <w:r w:rsidRPr="005A3DC8">
        <w:rPr>
          <w:b/>
          <w:bCs/>
          <w:i/>
          <w:iCs/>
          <w:u w:val="single"/>
        </w:rPr>
        <w:t xml:space="preserve">rogram </w:t>
      </w:r>
      <w:r>
        <w:rPr>
          <w:b/>
          <w:bCs/>
          <w:i/>
          <w:iCs/>
          <w:u w:val="single"/>
        </w:rPr>
        <w:t>M</w:t>
      </w:r>
      <w:r w:rsidRPr="005A3DC8">
        <w:rPr>
          <w:b/>
          <w:bCs/>
          <w:i/>
          <w:iCs/>
          <w:u w:val="single"/>
        </w:rPr>
        <w:t>anagement</w:t>
      </w:r>
      <w:r>
        <w:rPr>
          <w:b/>
          <w:bCs/>
          <w:i/>
          <w:iCs/>
          <w:u w:val="single"/>
        </w:rPr>
        <w:t xml:space="preserve"> Budget</w:t>
      </w:r>
      <w:r>
        <w:t xml:space="preserve">:  Cal Advocates recommend that Liberty </w:t>
      </w:r>
      <w:r w:rsidRPr="00D379F7">
        <w:t xml:space="preserve">submit a mid-cycle evaluation report </w:t>
      </w:r>
      <w:r>
        <w:t>on the effectiveness of its outreach strategies and be required to file a Tier 3 advice letter if it fails to meet the 90 percent CARE enrollment goal (</w:t>
      </w:r>
      <w:r w:rsidRPr="00AA01E3">
        <w:rPr>
          <w:i/>
          <w:iCs/>
        </w:rPr>
        <w:t>see</w:t>
      </w:r>
      <w:r>
        <w:t xml:space="preserve"> Section 4.1.8.1) given that it is proposing a </w:t>
      </w:r>
      <w:r w:rsidRPr="00AB7713">
        <w:t>near 650</w:t>
      </w:r>
      <w:r>
        <w:t xml:space="preserve"> percent</w:t>
      </w:r>
      <w:r w:rsidRPr="00AB7713">
        <w:t xml:space="preserve"> increase in </w:t>
      </w:r>
      <w:r>
        <w:t xml:space="preserve">its </w:t>
      </w:r>
      <w:r w:rsidRPr="00AB7713">
        <w:t>outreach budget for PYs 2021-2026 ($93,039 annually) as compared to the previous PYs</w:t>
      </w:r>
      <w:r>
        <w:t xml:space="preserve"> </w:t>
      </w:r>
      <w:r w:rsidRPr="00AB7713">
        <w:t>($14,361 plus labor costs in PYs 2018-2019 annually)</w:t>
      </w:r>
      <w:r>
        <w:t xml:space="preserve">.  </w:t>
      </w:r>
      <w:r w:rsidRPr="00AB7713">
        <w:t>Cal Advocates</w:t>
      </w:r>
      <w:r>
        <w:t xml:space="preserve"> state that </w:t>
      </w:r>
      <w:r w:rsidRPr="00AB7713">
        <w:t xml:space="preserve">a Tier 3 advice letter process </w:t>
      </w:r>
      <w:r>
        <w:t>is necessary to</w:t>
      </w:r>
      <w:r w:rsidRPr="00AB7713">
        <w:t xml:space="preserve"> evaluat</w:t>
      </w:r>
      <w:r>
        <w:t>e</w:t>
      </w:r>
      <w:r w:rsidRPr="00AB7713">
        <w:t xml:space="preserve"> </w:t>
      </w:r>
      <w:r>
        <w:t xml:space="preserve">the </w:t>
      </w:r>
      <w:r w:rsidRPr="00AB7713">
        <w:t xml:space="preserve">effectiveness </w:t>
      </w:r>
      <w:r>
        <w:t xml:space="preserve">of </w:t>
      </w:r>
      <w:r w:rsidRPr="00AB7713">
        <w:t xml:space="preserve">Liberty’s spending </w:t>
      </w:r>
      <w:r>
        <w:t xml:space="preserve">and efforts and will provide the </w:t>
      </w:r>
      <w:r w:rsidRPr="00AB7713">
        <w:t xml:space="preserve">Commission </w:t>
      </w:r>
      <w:r>
        <w:t>with</w:t>
      </w:r>
      <w:r w:rsidRPr="00AB7713">
        <w:t xml:space="preserve"> a more complete record to properly identify the necessary</w:t>
      </w:r>
      <w:r>
        <w:t xml:space="preserve"> </w:t>
      </w:r>
      <w:r w:rsidRPr="00AB7713">
        <w:t>adjustments to Liberty’s outreach program for the remainder of the program cycle.</w:t>
      </w:r>
      <w:r>
        <w:rPr>
          <w:rStyle w:val="FootnoteReference"/>
        </w:rPr>
        <w:footnoteReference w:id="91"/>
      </w:r>
      <w:r>
        <w:t xml:space="preserve">  Given’s Liberty’s huge, and unsupported, increase in the outreach budget, </w:t>
      </w:r>
      <w:r w:rsidRPr="00D379F7">
        <w:t>Cal Advocates recommend that if Liberty’s expanded outreach methods</w:t>
      </w:r>
      <w:r>
        <w:t xml:space="preserve"> </w:t>
      </w:r>
      <w:r w:rsidRPr="00D379F7">
        <w:t xml:space="preserve">prove to be ineffective by the time of </w:t>
      </w:r>
      <w:r>
        <w:t xml:space="preserve">the advice </w:t>
      </w:r>
      <w:r>
        <w:lastRenderedPageBreak/>
        <w:t xml:space="preserve">letter </w:t>
      </w:r>
      <w:r w:rsidRPr="00D379F7">
        <w:t>review, the Commission should reduce</w:t>
      </w:r>
      <w:r>
        <w:t xml:space="preserve"> </w:t>
      </w:r>
      <w:r w:rsidRPr="00D379F7">
        <w:t>Liberty’s outreach budget to the level of expenditures for PYs 2018-2019, including</w:t>
      </w:r>
      <w:r>
        <w:t xml:space="preserve"> </w:t>
      </w:r>
      <w:r w:rsidRPr="00D379F7">
        <w:t>average annual outreach labor costs</w:t>
      </w:r>
      <w:r>
        <w:t>.</w:t>
      </w:r>
      <w:r w:rsidRPr="00D379F7">
        <w:rPr>
          <w:vertAlign w:val="superscript"/>
        </w:rPr>
        <w:footnoteReference w:id="92"/>
      </w:r>
      <w:r>
        <w:t xml:space="preserve"> </w:t>
      </w:r>
    </w:p>
    <w:p w:rsidR="008959A4" w:rsidP="008959A4" w:rsidRDefault="008959A4" w14:paraId="48BC3A13" w14:textId="77777777">
      <w:pPr>
        <w:pStyle w:val="Heading4"/>
      </w:pPr>
      <w:bookmarkStart w:name="_Toc82159708" w:id="121"/>
      <w:r>
        <w:t>EEC and Free Energy</w:t>
      </w:r>
      <w:bookmarkEnd w:id="121"/>
      <w:r>
        <w:t xml:space="preserve">  </w:t>
      </w:r>
    </w:p>
    <w:p w:rsidR="008959A4" w:rsidP="008959A4" w:rsidRDefault="008959A4" w14:paraId="780CC171" w14:textId="77777777">
      <w:pPr>
        <w:pStyle w:val="ALJBodyText"/>
      </w:pPr>
      <w:r>
        <w:rPr>
          <w:b/>
          <w:bCs/>
          <w:i/>
          <w:iCs/>
          <w:u w:val="single"/>
        </w:rPr>
        <w:t>CARE Subsidy Budgets</w:t>
      </w:r>
      <w:r w:rsidRPr="00C64BE1">
        <w:rPr>
          <w:b/>
          <w:bCs/>
          <w:i/>
          <w:iCs/>
        </w:rPr>
        <w:t>:</w:t>
      </w:r>
      <w:r w:rsidRPr="00C64BE1">
        <w:t xml:space="preserve"> </w:t>
      </w:r>
      <w:r>
        <w:t xml:space="preserve"> </w:t>
      </w:r>
      <w:r w:rsidRPr="008F3336">
        <w:t xml:space="preserve">EEC </w:t>
      </w:r>
      <w:r>
        <w:t xml:space="preserve">and Free Energy state </w:t>
      </w:r>
      <w:r w:rsidRPr="008F3336">
        <w:t xml:space="preserve">that the </w:t>
      </w:r>
      <w:r>
        <w:t xml:space="preserve">SMJU </w:t>
      </w:r>
      <w:r w:rsidRPr="008F3336">
        <w:t>proposed CARE budgets are insufficient to cover the actual or</w:t>
      </w:r>
      <w:r>
        <w:t xml:space="preserve"> </w:t>
      </w:r>
      <w:r w:rsidRPr="008F3336">
        <w:t>projected CARE needs</w:t>
      </w:r>
      <w:r>
        <w:t xml:space="preserve"> because they believe that the CARE eligible population and the SMJU proposed CARE household enrollment goals (which the budgets are based upon) are understated (</w:t>
      </w:r>
      <w:r w:rsidRPr="00AA01E3">
        <w:rPr>
          <w:i/>
          <w:iCs/>
        </w:rPr>
        <w:t>see</w:t>
      </w:r>
      <w:r>
        <w:t xml:space="preserve"> Section 4.1.8.2).  After increasing the CARE household enrollment estimates, EEC and Free Energy propose the following new SMJU subsidy budgets</w:t>
      </w:r>
      <w:r w:rsidRPr="0020306F">
        <w:t>:</w:t>
      </w:r>
      <w:r>
        <w:rPr>
          <w:rStyle w:val="FootnoteReference"/>
        </w:rPr>
        <w:footnoteReference w:id="93"/>
      </w:r>
    </w:p>
    <w:p w:rsidR="008959A4" w:rsidP="008959A4" w:rsidRDefault="008959A4" w14:paraId="1C660463" w14:textId="77777777">
      <w:pPr>
        <w:pStyle w:val="ALJBodyText"/>
        <w:keepNext/>
        <w:keepLines/>
        <w:spacing w:line="240" w:lineRule="auto"/>
        <w:ind w:firstLine="0"/>
        <w:jc w:val="center"/>
        <w:rPr>
          <w:b/>
          <w:bCs/>
        </w:rPr>
      </w:pPr>
      <w:r w:rsidRPr="008B0631">
        <w:rPr>
          <w:b/>
          <w:bCs/>
        </w:rPr>
        <w:t xml:space="preserve">Table </w:t>
      </w:r>
      <w:r>
        <w:rPr>
          <w:b/>
          <w:bCs/>
        </w:rPr>
        <w:t>3:</w:t>
      </w:r>
    </w:p>
    <w:p w:rsidR="008959A4" w:rsidP="008959A4" w:rsidRDefault="008959A4" w14:paraId="10C31904" w14:textId="77777777">
      <w:pPr>
        <w:pStyle w:val="ALJBodyText"/>
        <w:keepNext/>
        <w:keepLines/>
        <w:spacing w:line="240" w:lineRule="auto"/>
        <w:ind w:firstLine="0"/>
        <w:jc w:val="center"/>
        <w:rPr>
          <w:b/>
          <w:bCs/>
        </w:rPr>
      </w:pPr>
      <w:r w:rsidRPr="00D85426">
        <w:rPr>
          <w:b/>
          <w:bCs/>
        </w:rPr>
        <w:t xml:space="preserve">EEC &amp; Free Energy’s Proposed CARE </w:t>
      </w:r>
      <w:r>
        <w:rPr>
          <w:b/>
          <w:bCs/>
        </w:rPr>
        <w:t>Subsidy Budgets</w:t>
      </w:r>
    </w:p>
    <w:p w:rsidRPr="009823DA" w:rsidR="008959A4" w:rsidP="008959A4" w:rsidRDefault="008959A4" w14:paraId="27A37A22" w14:textId="77777777">
      <w:pPr>
        <w:pStyle w:val="ALJBodyText"/>
        <w:keepNext/>
        <w:keepLines/>
        <w:spacing w:line="240" w:lineRule="auto"/>
        <w:ind w:left="360"/>
        <w:jc w:val="center"/>
        <w:rPr>
          <w:b/>
          <w:bCs/>
        </w:rPr>
      </w:pPr>
    </w:p>
    <w:tbl>
      <w:tblPr>
        <w:tblStyle w:val="TableTheme"/>
        <w:tblW w:w="11070" w:type="dxa"/>
        <w:jc w:val="center"/>
        <w:tblLayout w:type="fixed"/>
        <w:tblLook w:val="04A0" w:firstRow="1" w:lastRow="0" w:firstColumn="1" w:lastColumn="0" w:noHBand="0" w:noVBand="1"/>
      </w:tblPr>
      <w:tblGrid>
        <w:gridCol w:w="540"/>
        <w:gridCol w:w="810"/>
        <w:gridCol w:w="1170"/>
        <w:gridCol w:w="810"/>
        <w:gridCol w:w="900"/>
        <w:gridCol w:w="810"/>
        <w:gridCol w:w="900"/>
        <w:gridCol w:w="810"/>
        <w:gridCol w:w="900"/>
        <w:gridCol w:w="810"/>
        <w:gridCol w:w="900"/>
        <w:gridCol w:w="810"/>
        <w:gridCol w:w="900"/>
      </w:tblGrid>
      <w:tr w:rsidRPr="00C64BE1" w:rsidR="008959A4" w:rsidTr="00717A84" w14:paraId="5800F32C" w14:textId="77777777">
        <w:trPr>
          <w:trHeight w:val="647"/>
          <w:jc w:val="center"/>
        </w:trPr>
        <w:tc>
          <w:tcPr>
            <w:tcW w:w="540" w:type="dxa"/>
            <w:noWrap/>
            <w:vAlign w:val="bottom"/>
            <w:hideMark/>
          </w:tcPr>
          <w:p w:rsidRPr="00C64BE1" w:rsidR="008959A4" w:rsidP="00717A84" w:rsidRDefault="008959A4" w14:paraId="45912F5C" w14:textId="77777777">
            <w:pPr>
              <w:keepNext/>
              <w:keepLines/>
              <w:jc w:val="center"/>
              <w:rPr>
                <w:rFonts w:eastAsia="Times New Roman" w:cs="Calibri"/>
                <w:b/>
                <w:bCs/>
                <w:color w:val="000000" w:themeColor="text1"/>
                <w:sz w:val="16"/>
                <w:szCs w:val="16"/>
              </w:rPr>
            </w:pPr>
            <w:r w:rsidRPr="00C64BE1">
              <w:rPr>
                <w:rFonts w:eastAsia="Times New Roman" w:cs="Calibri"/>
                <w:color w:val="000000" w:themeColor="text1"/>
                <w:sz w:val="16"/>
                <w:szCs w:val="16"/>
              </w:rPr>
              <w:t>PY</w:t>
            </w:r>
          </w:p>
        </w:tc>
        <w:tc>
          <w:tcPr>
            <w:tcW w:w="1980" w:type="dxa"/>
            <w:gridSpan w:val="2"/>
          </w:tcPr>
          <w:p w:rsidRPr="00C64BE1" w:rsidR="008959A4" w:rsidP="00717A84" w:rsidRDefault="008959A4" w14:paraId="6DD2C16C"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West Coast Gas</w:t>
            </w:r>
          </w:p>
        </w:tc>
        <w:tc>
          <w:tcPr>
            <w:tcW w:w="1710" w:type="dxa"/>
            <w:gridSpan w:val="2"/>
          </w:tcPr>
          <w:p w:rsidRPr="00C64BE1" w:rsidR="008959A4" w:rsidP="00717A84" w:rsidRDefault="008959A4" w14:paraId="495346BE"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Bear Valley</w:t>
            </w:r>
          </w:p>
        </w:tc>
        <w:tc>
          <w:tcPr>
            <w:tcW w:w="1710" w:type="dxa"/>
            <w:gridSpan w:val="2"/>
          </w:tcPr>
          <w:p w:rsidRPr="00C64BE1" w:rsidR="008959A4" w:rsidP="00717A84" w:rsidRDefault="008959A4" w14:paraId="1ACDC044"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PacifiCorp</w:t>
            </w:r>
          </w:p>
        </w:tc>
        <w:tc>
          <w:tcPr>
            <w:tcW w:w="1710" w:type="dxa"/>
            <w:gridSpan w:val="2"/>
            <w:vAlign w:val="center"/>
          </w:tcPr>
          <w:p w:rsidRPr="00C64BE1" w:rsidR="008959A4" w:rsidP="00717A84" w:rsidRDefault="008959A4" w14:paraId="6255B0FD"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Southwest Gas</w:t>
            </w:r>
          </w:p>
        </w:tc>
        <w:tc>
          <w:tcPr>
            <w:tcW w:w="1710" w:type="dxa"/>
            <w:gridSpan w:val="2"/>
          </w:tcPr>
          <w:p w:rsidRPr="00C64BE1" w:rsidR="008959A4" w:rsidP="00717A84" w:rsidRDefault="008959A4" w14:paraId="0C73D446"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Liberty</w:t>
            </w:r>
          </w:p>
        </w:tc>
        <w:tc>
          <w:tcPr>
            <w:tcW w:w="1710" w:type="dxa"/>
            <w:gridSpan w:val="2"/>
          </w:tcPr>
          <w:p w:rsidRPr="00C64BE1" w:rsidR="008959A4" w:rsidP="00717A84" w:rsidRDefault="008959A4" w14:paraId="52A3264B" w14:textId="77777777">
            <w:pPr>
              <w:keepNext/>
              <w:keepLines/>
              <w:jc w:val="center"/>
              <w:rPr>
                <w:rFonts w:eastAsia="Times New Roman" w:cs="Calibri"/>
                <w:b/>
                <w:bCs/>
                <w:color w:val="000000" w:themeColor="text1"/>
                <w:sz w:val="16"/>
                <w:szCs w:val="16"/>
              </w:rPr>
            </w:pPr>
            <w:r w:rsidRPr="00C64BE1">
              <w:rPr>
                <w:rFonts w:eastAsia="Times New Roman" w:cs="Calibri"/>
                <w:b/>
                <w:bCs/>
                <w:color w:val="000000" w:themeColor="text1"/>
                <w:sz w:val="16"/>
                <w:szCs w:val="16"/>
              </w:rPr>
              <w:t>Alpine</w:t>
            </w:r>
          </w:p>
        </w:tc>
      </w:tr>
      <w:tr w:rsidRPr="0047055A" w:rsidR="008959A4" w:rsidTr="00717A84" w14:paraId="6436815D" w14:textId="77777777">
        <w:trPr>
          <w:trHeight w:val="130"/>
          <w:jc w:val="center"/>
        </w:trPr>
        <w:tc>
          <w:tcPr>
            <w:tcW w:w="540" w:type="dxa"/>
            <w:noWrap/>
            <w:vAlign w:val="bottom"/>
          </w:tcPr>
          <w:p w:rsidRPr="004D223C" w:rsidR="008959A4" w:rsidP="00717A84" w:rsidRDefault="008959A4" w14:paraId="377DB65A" w14:textId="77777777">
            <w:pPr>
              <w:keepNext/>
              <w:keepLines/>
              <w:jc w:val="center"/>
              <w:rPr>
                <w:rFonts w:eastAsia="Times New Roman" w:cs="Calibri"/>
                <w:color w:val="000000" w:themeColor="text1"/>
                <w:sz w:val="15"/>
                <w:szCs w:val="15"/>
              </w:rPr>
            </w:pPr>
          </w:p>
        </w:tc>
        <w:tc>
          <w:tcPr>
            <w:tcW w:w="810" w:type="dxa"/>
          </w:tcPr>
          <w:p w:rsidRPr="004D223C" w:rsidR="008959A4" w:rsidP="00717A84" w:rsidRDefault="008959A4" w14:paraId="6CC96C97"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1170" w:type="dxa"/>
            <w:noWrap/>
          </w:tcPr>
          <w:p w:rsidRPr="004D223C" w:rsidR="008959A4" w:rsidP="00717A84" w:rsidRDefault="008959A4" w14:paraId="0657CB27"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EEC/Free Energy Proposal</w:t>
            </w:r>
          </w:p>
        </w:tc>
        <w:tc>
          <w:tcPr>
            <w:tcW w:w="810" w:type="dxa"/>
          </w:tcPr>
          <w:p w:rsidRPr="004D223C" w:rsidR="008959A4" w:rsidP="00717A84" w:rsidRDefault="008959A4" w14:paraId="71195907"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900" w:type="dxa"/>
            <w:noWrap/>
          </w:tcPr>
          <w:p w:rsidRPr="004D223C" w:rsidR="008959A4" w:rsidP="00717A84" w:rsidRDefault="008959A4" w14:paraId="747954C8"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EEC/Free Energy Proposal</w:t>
            </w:r>
          </w:p>
        </w:tc>
        <w:tc>
          <w:tcPr>
            <w:tcW w:w="810" w:type="dxa"/>
          </w:tcPr>
          <w:p w:rsidRPr="004D223C" w:rsidR="008959A4" w:rsidP="00717A84" w:rsidRDefault="008959A4" w14:paraId="6DB66494"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900" w:type="dxa"/>
          </w:tcPr>
          <w:p w:rsidRPr="004D223C" w:rsidR="008959A4" w:rsidP="00717A84" w:rsidRDefault="008959A4" w14:paraId="093D7F93"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EEC/Free Energy Proposal</w:t>
            </w:r>
          </w:p>
        </w:tc>
        <w:tc>
          <w:tcPr>
            <w:tcW w:w="810" w:type="dxa"/>
            <w:noWrap/>
          </w:tcPr>
          <w:p w:rsidRPr="004D223C" w:rsidR="008959A4" w:rsidP="00717A84" w:rsidRDefault="008959A4" w14:paraId="1753DCFB"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900" w:type="dxa"/>
          </w:tcPr>
          <w:p w:rsidRPr="004D223C" w:rsidR="008959A4" w:rsidP="00717A84" w:rsidRDefault="008959A4" w14:paraId="075153F7" w14:textId="77777777">
            <w:pPr>
              <w:keepNext/>
              <w:keepLines/>
              <w:jc w:val="center"/>
              <w:rPr>
                <w:rFonts w:cs="ArialMT"/>
                <w:sz w:val="15"/>
                <w:szCs w:val="15"/>
              </w:rPr>
            </w:pPr>
            <w:r w:rsidRPr="004D223C">
              <w:rPr>
                <w:rFonts w:eastAsia="Times New Roman" w:cs="Calibri"/>
                <w:color w:val="000000" w:themeColor="text1"/>
                <w:sz w:val="15"/>
                <w:szCs w:val="15"/>
              </w:rPr>
              <w:t>EEC/Free Energy Proposal</w:t>
            </w:r>
          </w:p>
        </w:tc>
        <w:tc>
          <w:tcPr>
            <w:tcW w:w="810" w:type="dxa"/>
          </w:tcPr>
          <w:p w:rsidRPr="004D223C" w:rsidR="008959A4" w:rsidP="00717A84" w:rsidRDefault="008959A4" w14:paraId="560EE8D8"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900" w:type="dxa"/>
          </w:tcPr>
          <w:p w:rsidRPr="004D223C" w:rsidR="008959A4" w:rsidP="00717A84" w:rsidRDefault="008959A4" w14:paraId="15079690"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EEC/Free Energy Proposal</w:t>
            </w:r>
          </w:p>
        </w:tc>
        <w:tc>
          <w:tcPr>
            <w:tcW w:w="810" w:type="dxa"/>
          </w:tcPr>
          <w:p w:rsidRPr="004D223C" w:rsidR="008959A4" w:rsidP="00717A84" w:rsidRDefault="008959A4" w14:paraId="5F27E1F6"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SMJU Proposal</w:t>
            </w:r>
          </w:p>
        </w:tc>
        <w:tc>
          <w:tcPr>
            <w:tcW w:w="900" w:type="dxa"/>
            <w:noWrap/>
          </w:tcPr>
          <w:p w:rsidRPr="004D223C" w:rsidR="008959A4" w:rsidP="00717A84" w:rsidRDefault="008959A4" w14:paraId="1814776E" w14:textId="77777777">
            <w:pPr>
              <w:keepNext/>
              <w:keepLines/>
              <w:jc w:val="center"/>
              <w:rPr>
                <w:rFonts w:eastAsia="Times New Roman" w:cs="Calibri"/>
                <w:color w:val="000000" w:themeColor="text1"/>
                <w:sz w:val="15"/>
                <w:szCs w:val="15"/>
              </w:rPr>
            </w:pPr>
            <w:r w:rsidRPr="004D223C">
              <w:rPr>
                <w:rFonts w:eastAsia="Times New Roman" w:cs="Calibri"/>
                <w:color w:val="000000" w:themeColor="text1"/>
                <w:sz w:val="15"/>
                <w:szCs w:val="15"/>
              </w:rPr>
              <w:t>EEC/Free Energy Proposal</w:t>
            </w:r>
          </w:p>
        </w:tc>
      </w:tr>
      <w:tr w:rsidRPr="00C64BE1" w:rsidR="008959A4" w:rsidTr="00717A84" w14:paraId="6E82AC6F" w14:textId="77777777">
        <w:trPr>
          <w:trHeight w:val="130"/>
          <w:jc w:val="center"/>
        </w:trPr>
        <w:tc>
          <w:tcPr>
            <w:tcW w:w="540" w:type="dxa"/>
            <w:noWrap/>
            <w:vAlign w:val="bottom"/>
            <w:hideMark/>
          </w:tcPr>
          <w:p w:rsidRPr="00C64BE1" w:rsidR="008959A4" w:rsidP="00717A84" w:rsidRDefault="008959A4" w14:paraId="1A0DB4CA"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2021</w:t>
            </w:r>
          </w:p>
        </w:tc>
        <w:tc>
          <w:tcPr>
            <w:tcW w:w="810" w:type="dxa"/>
            <w:vAlign w:val="bottom"/>
          </w:tcPr>
          <w:p w:rsidRPr="00C64BE1" w:rsidR="008959A4" w:rsidP="00717A84" w:rsidRDefault="008959A4" w14:paraId="1ADD615B" w14:textId="77777777">
            <w:pPr>
              <w:keepNext/>
              <w:keepLines/>
              <w:jc w:val="center"/>
              <w:rPr>
                <w:rFonts w:cs="ArialMT"/>
                <w:sz w:val="16"/>
                <w:szCs w:val="16"/>
              </w:rPr>
            </w:pPr>
            <w:r w:rsidRPr="00C64BE1">
              <w:rPr>
                <w:rFonts w:cs="ArialMT"/>
                <w:sz w:val="16"/>
                <w:szCs w:val="16"/>
              </w:rPr>
              <w:t>$5,474</w:t>
            </w:r>
          </w:p>
        </w:tc>
        <w:tc>
          <w:tcPr>
            <w:tcW w:w="1170" w:type="dxa"/>
            <w:noWrap/>
          </w:tcPr>
          <w:p w:rsidRPr="00C64BE1" w:rsidR="008959A4" w:rsidP="00717A84" w:rsidRDefault="008959A4" w14:paraId="39ECADD6"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47D5B30C" w14:textId="77777777">
            <w:pPr>
              <w:keepNext/>
              <w:keepLines/>
              <w:jc w:val="center"/>
              <w:rPr>
                <w:rFonts w:cs="ArialMT"/>
                <w:sz w:val="16"/>
                <w:szCs w:val="16"/>
              </w:rPr>
            </w:pPr>
            <w:r w:rsidRPr="00C64BE1">
              <w:rPr>
                <w:rFonts w:cs="ArialMT"/>
                <w:sz w:val="16"/>
                <w:szCs w:val="16"/>
              </w:rPr>
              <w:t>$268K</w:t>
            </w:r>
          </w:p>
        </w:tc>
        <w:tc>
          <w:tcPr>
            <w:tcW w:w="900" w:type="dxa"/>
            <w:noWrap/>
          </w:tcPr>
          <w:p w:rsidRPr="00C64BE1" w:rsidR="008959A4" w:rsidP="00717A84" w:rsidRDefault="008959A4" w14:paraId="6C42B810" w14:textId="77777777">
            <w:pPr>
              <w:keepNext/>
              <w:keepLines/>
              <w:jc w:val="center"/>
              <w:rPr>
                <w:rFonts w:cs="ArialMT"/>
                <w:sz w:val="16"/>
                <w:szCs w:val="16"/>
              </w:rPr>
            </w:pPr>
            <w:r w:rsidRPr="00C64BE1">
              <w:rPr>
                <w:rFonts w:cs="ArialMT"/>
                <w:sz w:val="16"/>
                <w:szCs w:val="16"/>
              </w:rPr>
              <w:t>$281K</w:t>
            </w:r>
          </w:p>
        </w:tc>
        <w:tc>
          <w:tcPr>
            <w:tcW w:w="810" w:type="dxa"/>
          </w:tcPr>
          <w:p w:rsidRPr="00C64BE1" w:rsidR="008959A4" w:rsidP="00717A84" w:rsidRDefault="008959A4" w14:paraId="569C1C72" w14:textId="77777777">
            <w:pPr>
              <w:keepNext/>
              <w:keepLines/>
              <w:jc w:val="center"/>
              <w:rPr>
                <w:rFonts w:cs="ArialMT"/>
                <w:sz w:val="16"/>
                <w:szCs w:val="16"/>
              </w:rPr>
            </w:pPr>
            <w:r w:rsidRPr="00C64BE1">
              <w:rPr>
                <w:rFonts w:cs="Calibri"/>
                <w:color w:val="000000" w:themeColor="text1"/>
                <w:sz w:val="16"/>
                <w:szCs w:val="16"/>
              </w:rPr>
              <w:t>$3.5M</w:t>
            </w:r>
          </w:p>
        </w:tc>
        <w:tc>
          <w:tcPr>
            <w:tcW w:w="900" w:type="dxa"/>
          </w:tcPr>
          <w:p w:rsidRPr="00C64BE1" w:rsidR="008959A4" w:rsidP="00717A84" w:rsidRDefault="008959A4" w14:paraId="3DFC2B23" w14:textId="77777777">
            <w:pPr>
              <w:keepNext/>
              <w:keepLines/>
              <w:jc w:val="center"/>
              <w:rPr>
                <w:rFonts w:cs="ArialMT"/>
                <w:sz w:val="16"/>
                <w:szCs w:val="16"/>
              </w:rPr>
            </w:pPr>
            <w:r w:rsidRPr="00C64BE1">
              <w:rPr>
                <w:rFonts w:cs="Calibri"/>
                <w:color w:val="000000" w:themeColor="text1"/>
                <w:sz w:val="16"/>
                <w:szCs w:val="16"/>
              </w:rPr>
              <w:t>$4M</w:t>
            </w:r>
          </w:p>
        </w:tc>
        <w:tc>
          <w:tcPr>
            <w:tcW w:w="810" w:type="dxa"/>
            <w:noWrap/>
          </w:tcPr>
          <w:p w:rsidRPr="00C64BE1" w:rsidR="008959A4" w:rsidP="00717A84" w:rsidRDefault="008959A4" w14:paraId="0E0FC2DF"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0DB3A0BC" w14:textId="77777777">
            <w:pPr>
              <w:keepNext/>
              <w:keepLines/>
              <w:jc w:val="center"/>
              <w:rPr>
                <w:rFonts w:cs="ArialMT"/>
                <w:sz w:val="16"/>
                <w:szCs w:val="16"/>
              </w:rPr>
            </w:pPr>
            <w:r w:rsidRPr="00C64BE1">
              <w:rPr>
                <w:rFonts w:cs="Calibri"/>
                <w:color w:val="000000" w:themeColor="text1"/>
                <w:sz w:val="16"/>
                <w:szCs w:val="16"/>
              </w:rPr>
              <w:t>$9.6M</w:t>
            </w:r>
          </w:p>
        </w:tc>
        <w:tc>
          <w:tcPr>
            <w:tcW w:w="810" w:type="dxa"/>
          </w:tcPr>
          <w:p w:rsidRPr="00C64BE1" w:rsidR="008959A4" w:rsidP="00717A84" w:rsidRDefault="008959A4" w14:paraId="3F29F6DB" w14:textId="77777777">
            <w:pPr>
              <w:keepNext/>
              <w:keepLines/>
              <w:jc w:val="center"/>
              <w:rPr>
                <w:rFonts w:cs="ArialMT"/>
                <w:sz w:val="16"/>
                <w:szCs w:val="16"/>
              </w:rPr>
            </w:pPr>
            <w:r w:rsidRPr="00C64BE1">
              <w:rPr>
                <w:rFonts w:cs="ArialMT"/>
                <w:sz w:val="16"/>
                <w:szCs w:val="16"/>
              </w:rPr>
              <w:t>$914K</w:t>
            </w:r>
          </w:p>
        </w:tc>
        <w:tc>
          <w:tcPr>
            <w:tcW w:w="900" w:type="dxa"/>
          </w:tcPr>
          <w:p w:rsidRPr="00C64BE1" w:rsidR="008959A4" w:rsidP="00717A84" w:rsidRDefault="008959A4" w14:paraId="47F00FFE" w14:textId="77777777">
            <w:pPr>
              <w:keepNext/>
              <w:keepLines/>
              <w:jc w:val="center"/>
              <w:rPr>
                <w:rFonts w:cs="ArialMT"/>
                <w:sz w:val="16"/>
                <w:szCs w:val="16"/>
              </w:rPr>
            </w:pPr>
            <w:r w:rsidRPr="00C64BE1">
              <w:rPr>
                <w:rFonts w:cs="ArialMT"/>
                <w:sz w:val="16"/>
                <w:szCs w:val="16"/>
              </w:rPr>
              <w:t>$980K</w:t>
            </w:r>
          </w:p>
        </w:tc>
        <w:tc>
          <w:tcPr>
            <w:tcW w:w="810" w:type="dxa"/>
          </w:tcPr>
          <w:p w:rsidRPr="00C64BE1" w:rsidR="008959A4" w:rsidP="00717A84" w:rsidRDefault="008959A4" w14:paraId="5FA25458" w14:textId="77777777">
            <w:pPr>
              <w:keepNext/>
              <w:keepLines/>
              <w:jc w:val="center"/>
              <w:rPr>
                <w:rFonts w:cs="ArialMT"/>
                <w:sz w:val="16"/>
                <w:szCs w:val="16"/>
              </w:rPr>
            </w:pPr>
            <w:r w:rsidRPr="00C64BE1">
              <w:rPr>
                <w:rFonts w:cs="ArialMT"/>
                <w:sz w:val="16"/>
                <w:szCs w:val="16"/>
              </w:rPr>
              <w:t>$27K</w:t>
            </w:r>
          </w:p>
        </w:tc>
        <w:tc>
          <w:tcPr>
            <w:tcW w:w="900" w:type="dxa"/>
            <w:noWrap/>
          </w:tcPr>
          <w:p w:rsidRPr="00C64BE1" w:rsidR="008959A4" w:rsidP="00717A84" w:rsidRDefault="008959A4" w14:paraId="718AA256" w14:textId="77777777">
            <w:pPr>
              <w:keepNext/>
              <w:keepLines/>
              <w:jc w:val="center"/>
              <w:rPr>
                <w:rFonts w:cs="ArialMT"/>
                <w:sz w:val="16"/>
                <w:szCs w:val="16"/>
              </w:rPr>
            </w:pPr>
            <w:r w:rsidRPr="00C64BE1">
              <w:rPr>
                <w:rFonts w:cs="ArialMT"/>
                <w:sz w:val="16"/>
                <w:szCs w:val="16"/>
              </w:rPr>
              <w:t>$36.7K</w:t>
            </w:r>
          </w:p>
        </w:tc>
      </w:tr>
      <w:tr w:rsidRPr="00C64BE1" w:rsidR="008959A4" w:rsidTr="00717A84" w14:paraId="0A9D80CA" w14:textId="77777777">
        <w:trPr>
          <w:trHeight w:val="130"/>
          <w:jc w:val="center"/>
        </w:trPr>
        <w:tc>
          <w:tcPr>
            <w:tcW w:w="540" w:type="dxa"/>
            <w:noWrap/>
            <w:vAlign w:val="bottom"/>
            <w:hideMark/>
          </w:tcPr>
          <w:p w:rsidRPr="00C64BE1" w:rsidR="008959A4" w:rsidP="00717A84" w:rsidRDefault="008959A4" w14:paraId="261E0D72"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2022</w:t>
            </w:r>
          </w:p>
        </w:tc>
        <w:tc>
          <w:tcPr>
            <w:tcW w:w="810" w:type="dxa"/>
            <w:vAlign w:val="bottom"/>
          </w:tcPr>
          <w:p w:rsidRPr="00C64BE1" w:rsidR="008959A4" w:rsidP="00717A84" w:rsidRDefault="008959A4" w14:paraId="69F69046" w14:textId="77777777">
            <w:pPr>
              <w:keepNext/>
              <w:keepLines/>
              <w:jc w:val="center"/>
              <w:rPr>
                <w:rFonts w:cs="ArialMT"/>
                <w:sz w:val="16"/>
                <w:szCs w:val="16"/>
              </w:rPr>
            </w:pPr>
            <w:r w:rsidRPr="00C64BE1">
              <w:rPr>
                <w:rFonts w:cs="ArialMT"/>
                <w:sz w:val="16"/>
                <w:szCs w:val="16"/>
              </w:rPr>
              <w:t>$5,650</w:t>
            </w:r>
          </w:p>
        </w:tc>
        <w:tc>
          <w:tcPr>
            <w:tcW w:w="1170" w:type="dxa"/>
            <w:noWrap/>
          </w:tcPr>
          <w:p w:rsidRPr="00C64BE1" w:rsidR="008959A4" w:rsidP="00717A84" w:rsidRDefault="008959A4" w14:paraId="3309C0AC"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183147E6" w14:textId="77777777">
            <w:pPr>
              <w:keepNext/>
              <w:keepLines/>
              <w:jc w:val="center"/>
              <w:rPr>
                <w:rFonts w:cs="ArialMT"/>
                <w:sz w:val="16"/>
                <w:szCs w:val="16"/>
              </w:rPr>
            </w:pPr>
            <w:r w:rsidRPr="00C64BE1">
              <w:rPr>
                <w:rFonts w:cs="ArialMT"/>
                <w:sz w:val="16"/>
                <w:szCs w:val="16"/>
              </w:rPr>
              <w:t>$282K</w:t>
            </w:r>
          </w:p>
        </w:tc>
        <w:tc>
          <w:tcPr>
            <w:tcW w:w="900" w:type="dxa"/>
            <w:noWrap/>
          </w:tcPr>
          <w:p w:rsidRPr="00C64BE1" w:rsidR="008959A4" w:rsidP="00717A84" w:rsidRDefault="008959A4" w14:paraId="35A00BFC" w14:textId="77777777">
            <w:pPr>
              <w:keepNext/>
              <w:keepLines/>
              <w:jc w:val="center"/>
              <w:rPr>
                <w:rFonts w:cs="ArialMT"/>
                <w:sz w:val="16"/>
                <w:szCs w:val="16"/>
              </w:rPr>
            </w:pPr>
            <w:r w:rsidRPr="00C64BE1">
              <w:rPr>
                <w:rFonts w:cs="ArialMT"/>
                <w:sz w:val="16"/>
                <w:szCs w:val="16"/>
              </w:rPr>
              <w:t>$326K</w:t>
            </w:r>
          </w:p>
        </w:tc>
        <w:tc>
          <w:tcPr>
            <w:tcW w:w="810" w:type="dxa"/>
          </w:tcPr>
          <w:p w:rsidRPr="00C64BE1" w:rsidR="008959A4" w:rsidP="00717A84" w:rsidRDefault="008959A4" w14:paraId="57F89CAF" w14:textId="77777777">
            <w:pPr>
              <w:keepNext/>
              <w:keepLines/>
              <w:jc w:val="center"/>
              <w:rPr>
                <w:rFonts w:cs="ArialMT"/>
                <w:sz w:val="16"/>
                <w:szCs w:val="16"/>
              </w:rPr>
            </w:pPr>
            <w:r w:rsidRPr="00C64BE1">
              <w:rPr>
                <w:rFonts w:cs="Calibri"/>
                <w:color w:val="000000" w:themeColor="text1"/>
                <w:sz w:val="16"/>
                <w:szCs w:val="16"/>
              </w:rPr>
              <w:t>$3.6M</w:t>
            </w:r>
          </w:p>
        </w:tc>
        <w:tc>
          <w:tcPr>
            <w:tcW w:w="900" w:type="dxa"/>
          </w:tcPr>
          <w:p w:rsidRPr="00C64BE1" w:rsidR="008959A4" w:rsidP="00717A84" w:rsidRDefault="008959A4" w14:paraId="779FD31E" w14:textId="77777777">
            <w:pPr>
              <w:keepNext/>
              <w:keepLines/>
              <w:jc w:val="center"/>
              <w:rPr>
                <w:rFonts w:cs="ArialMT"/>
                <w:sz w:val="16"/>
                <w:szCs w:val="16"/>
              </w:rPr>
            </w:pPr>
            <w:r w:rsidRPr="00C64BE1">
              <w:rPr>
                <w:rFonts w:cs="Calibri"/>
                <w:color w:val="000000" w:themeColor="text1"/>
                <w:sz w:val="16"/>
                <w:szCs w:val="16"/>
              </w:rPr>
              <w:t>$3.9M</w:t>
            </w:r>
          </w:p>
        </w:tc>
        <w:tc>
          <w:tcPr>
            <w:tcW w:w="810" w:type="dxa"/>
            <w:noWrap/>
          </w:tcPr>
          <w:p w:rsidRPr="00C64BE1" w:rsidR="008959A4" w:rsidP="00717A84" w:rsidRDefault="008959A4" w14:paraId="4973152B"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5EFFE26B" w14:textId="77777777">
            <w:pPr>
              <w:keepNext/>
              <w:keepLines/>
              <w:jc w:val="center"/>
              <w:rPr>
                <w:rFonts w:cs="ArialMT"/>
                <w:sz w:val="16"/>
                <w:szCs w:val="16"/>
              </w:rPr>
            </w:pPr>
            <w:r w:rsidRPr="00C64BE1">
              <w:rPr>
                <w:rFonts w:cs="Calibri"/>
                <w:color w:val="000000" w:themeColor="text1"/>
                <w:sz w:val="16"/>
                <w:szCs w:val="16"/>
              </w:rPr>
              <w:t>$10.3M</w:t>
            </w:r>
          </w:p>
        </w:tc>
        <w:tc>
          <w:tcPr>
            <w:tcW w:w="810" w:type="dxa"/>
          </w:tcPr>
          <w:p w:rsidRPr="00C64BE1" w:rsidR="008959A4" w:rsidP="00717A84" w:rsidRDefault="008959A4" w14:paraId="199E0DDF" w14:textId="77777777">
            <w:pPr>
              <w:keepNext/>
              <w:keepLines/>
              <w:rPr>
                <w:rFonts w:cs="ArialMT"/>
                <w:sz w:val="16"/>
                <w:szCs w:val="16"/>
              </w:rPr>
            </w:pPr>
            <w:r w:rsidRPr="00C64BE1">
              <w:rPr>
                <w:rFonts w:cs="ArialMT"/>
                <w:sz w:val="16"/>
                <w:szCs w:val="16"/>
              </w:rPr>
              <w:t>$914K</w:t>
            </w:r>
          </w:p>
        </w:tc>
        <w:tc>
          <w:tcPr>
            <w:tcW w:w="900" w:type="dxa"/>
          </w:tcPr>
          <w:p w:rsidRPr="00C64BE1" w:rsidR="008959A4" w:rsidP="00717A84" w:rsidRDefault="008959A4" w14:paraId="5F86E62C" w14:textId="77777777">
            <w:pPr>
              <w:keepNext/>
              <w:keepLines/>
              <w:jc w:val="center"/>
              <w:rPr>
                <w:rFonts w:cs="ArialMT"/>
                <w:sz w:val="16"/>
                <w:szCs w:val="16"/>
              </w:rPr>
            </w:pPr>
            <w:r w:rsidRPr="00C64BE1">
              <w:rPr>
                <w:rFonts w:cs="ArialMT"/>
                <w:sz w:val="16"/>
                <w:szCs w:val="16"/>
              </w:rPr>
              <w:t>$1.1M</w:t>
            </w:r>
          </w:p>
        </w:tc>
        <w:tc>
          <w:tcPr>
            <w:tcW w:w="810" w:type="dxa"/>
          </w:tcPr>
          <w:p w:rsidRPr="00C64BE1" w:rsidR="008959A4" w:rsidP="00717A84" w:rsidRDefault="008959A4" w14:paraId="55390EBC" w14:textId="77777777">
            <w:pPr>
              <w:keepNext/>
              <w:keepLines/>
              <w:jc w:val="center"/>
              <w:rPr>
                <w:rFonts w:cs="ArialMT"/>
                <w:sz w:val="16"/>
                <w:szCs w:val="16"/>
              </w:rPr>
            </w:pPr>
            <w:r w:rsidRPr="00C64BE1">
              <w:rPr>
                <w:rFonts w:cs="ArialMT"/>
                <w:sz w:val="16"/>
                <w:szCs w:val="16"/>
              </w:rPr>
              <w:t>$27K</w:t>
            </w:r>
          </w:p>
        </w:tc>
        <w:tc>
          <w:tcPr>
            <w:tcW w:w="900" w:type="dxa"/>
            <w:noWrap/>
          </w:tcPr>
          <w:p w:rsidRPr="00C64BE1" w:rsidR="008959A4" w:rsidP="00717A84" w:rsidRDefault="008959A4" w14:paraId="08F71998" w14:textId="77777777">
            <w:pPr>
              <w:keepNext/>
              <w:keepLines/>
              <w:jc w:val="center"/>
              <w:rPr>
                <w:rFonts w:cs="ArialMT"/>
                <w:sz w:val="16"/>
                <w:szCs w:val="16"/>
              </w:rPr>
            </w:pPr>
            <w:r w:rsidRPr="00C64BE1">
              <w:rPr>
                <w:rFonts w:cs="ArialMT"/>
                <w:sz w:val="16"/>
                <w:szCs w:val="16"/>
              </w:rPr>
              <w:t>$48K</w:t>
            </w:r>
          </w:p>
        </w:tc>
      </w:tr>
      <w:tr w:rsidRPr="00C64BE1" w:rsidR="008959A4" w:rsidTr="00717A84" w14:paraId="788CF1AC" w14:textId="77777777">
        <w:trPr>
          <w:trHeight w:val="130"/>
          <w:jc w:val="center"/>
        </w:trPr>
        <w:tc>
          <w:tcPr>
            <w:tcW w:w="540" w:type="dxa"/>
            <w:noWrap/>
            <w:vAlign w:val="bottom"/>
            <w:hideMark/>
          </w:tcPr>
          <w:p w:rsidRPr="00C64BE1" w:rsidR="008959A4" w:rsidP="00717A84" w:rsidRDefault="008959A4" w14:paraId="57626B12"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2023</w:t>
            </w:r>
          </w:p>
        </w:tc>
        <w:tc>
          <w:tcPr>
            <w:tcW w:w="810" w:type="dxa"/>
            <w:vAlign w:val="bottom"/>
          </w:tcPr>
          <w:p w:rsidRPr="00C64BE1" w:rsidR="008959A4" w:rsidP="00717A84" w:rsidRDefault="008959A4" w14:paraId="75B27963" w14:textId="77777777">
            <w:pPr>
              <w:keepNext/>
              <w:keepLines/>
              <w:jc w:val="center"/>
              <w:rPr>
                <w:rFonts w:cs="ArialMT"/>
                <w:sz w:val="16"/>
                <w:szCs w:val="16"/>
              </w:rPr>
            </w:pPr>
            <w:r w:rsidRPr="00C64BE1">
              <w:rPr>
                <w:rFonts w:cs="ArialMT"/>
                <w:sz w:val="16"/>
                <w:szCs w:val="16"/>
              </w:rPr>
              <w:t>$5,833</w:t>
            </w:r>
          </w:p>
        </w:tc>
        <w:tc>
          <w:tcPr>
            <w:tcW w:w="1170" w:type="dxa"/>
            <w:noWrap/>
          </w:tcPr>
          <w:p w:rsidRPr="00C64BE1" w:rsidR="008959A4" w:rsidP="00717A84" w:rsidRDefault="008959A4" w14:paraId="5AE7C1BA"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07FFD2AB" w14:textId="77777777">
            <w:pPr>
              <w:keepNext/>
              <w:keepLines/>
              <w:jc w:val="center"/>
              <w:rPr>
                <w:rFonts w:cs="ArialMT"/>
                <w:sz w:val="16"/>
                <w:szCs w:val="16"/>
              </w:rPr>
            </w:pPr>
            <w:r w:rsidRPr="00C64BE1">
              <w:rPr>
                <w:rFonts w:cs="ArialMT"/>
                <w:sz w:val="16"/>
                <w:szCs w:val="16"/>
              </w:rPr>
              <w:t>$296K</w:t>
            </w:r>
          </w:p>
        </w:tc>
        <w:tc>
          <w:tcPr>
            <w:tcW w:w="900" w:type="dxa"/>
            <w:noWrap/>
          </w:tcPr>
          <w:p w:rsidRPr="00C64BE1" w:rsidR="008959A4" w:rsidP="00717A84" w:rsidRDefault="008959A4" w14:paraId="7C419248" w14:textId="77777777">
            <w:pPr>
              <w:keepNext/>
              <w:keepLines/>
              <w:jc w:val="center"/>
              <w:rPr>
                <w:rFonts w:cs="ArialMT"/>
                <w:sz w:val="16"/>
                <w:szCs w:val="16"/>
              </w:rPr>
            </w:pPr>
            <w:r w:rsidRPr="00C64BE1">
              <w:rPr>
                <w:rFonts w:cs="ArialMT"/>
                <w:sz w:val="16"/>
                <w:szCs w:val="16"/>
              </w:rPr>
              <w:t>$372K</w:t>
            </w:r>
          </w:p>
        </w:tc>
        <w:tc>
          <w:tcPr>
            <w:tcW w:w="810" w:type="dxa"/>
          </w:tcPr>
          <w:p w:rsidRPr="00C64BE1" w:rsidR="008959A4" w:rsidP="00717A84" w:rsidRDefault="008959A4" w14:paraId="7A95BBC7" w14:textId="77777777">
            <w:pPr>
              <w:keepNext/>
              <w:keepLines/>
              <w:jc w:val="center"/>
              <w:rPr>
                <w:rFonts w:cs="ArialMT"/>
                <w:sz w:val="16"/>
                <w:szCs w:val="16"/>
              </w:rPr>
            </w:pPr>
            <w:r w:rsidRPr="00C64BE1">
              <w:rPr>
                <w:rFonts w:cs="Calibri"/>
                <w:color w:val="000000" w:themeColor="text1"/>
                <w:sz w:val="16"/>
                <w:szCs w:val="16"/>
              </w:rPr>
              <w:t>$3.7M</w:t>
            </w:r>
          </w:p>
        </w:tc>
        <w:tc>
          <w:tcPr>
            <w:tcW w:w="900" w:type="dxa"/>
          </w:tcPr>
          <w:p w:rsidRPr="00C64BE1" w:rsidR="008959A4" w:rsidP="00717A84" w:rsidRDefault="008959A4" w14:paraId="5D51C996" w14:textId="77777777">
            <w:pPr>
              <w:keepNext/>
              <w:keepLines/>
              <w:jc w:val="center"/>
              <w:rPr>
                <w:rFonts w:cs="ArialMT"/>
                <w:sz w:val="16"/>
                <w:szCs w:val="16"/>
              </w:rPr>
            </w:pPr>
            <w:r w:rsidRPr="00C64BE1">
              <w:rPr>
                <w:rFonts w:cs="Calibri"/>
                <w:color w:val="000000" w:themeColor="text1"/>
                <w:sz w:val="16"/>
                <w:szCs w:val="16"/>
              </w:rPr>
              <w:t>$4.1M</w:t>
            </w:r>
          </w:p>
        </w:tc>
        <w:tc>
          <w:tcPr>
            <w:tcW w:w="810" w:type="dxa"/>
            <w:noWrap/>
          </w:tcPr>
          <w:p w:rsidRPr="00C64BE1" w:rsidR="008959A4" w:rsidP="00717A84" w:rsidRDefault="008959A4" w14:paraId="25AF68EB"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5558C8A6" w14:textId="77777777">
            <w:pPr>
              <w:keepNext/>
              <w:keepLines/>
              <w:jc w:val="center"/>
              <w:rPr>
                <w:rFonts w:cs="ArialMT"/>
                <w:sz w:val="16"/>
                <w:szCs w:val="16"/>
              </w:rPr>
            </w:pPr>
            <w:r w:rsidRPr="00C64BE1">
              <w:rPr>
                <w:rFonts w:cs="Calibri"/>
                <w:color w:val="000000" w:themeColor="text1"/>
                <w:sz w:val="16"/>
                <w:szCs w:val="16"/>
              </w:rPr>
              <w:t>$11M</w:t>
            </w:r>
          </w:p>
        </w:tc>
        <w:tc>
          <w:tcPr>
            <w:tcW w:w="810" w:type="dxa"/>
          </w:tcPr>
          <w:p w:rsidRPr="00C64BE1" w:rsidR="008959A4" w:rsidP="00717A84" w:rsidRDefault="008959A4" w14:paraId="4A167ADF" w14:textId="77777777">
            <w:pPr>
              <w:keepNext/>
              <w:keepLines/>
              <w:jc w:val="center"/>
              <w:rPr>
                <w:rFonts w:cs="ArialMT"/>
                <w:sz w:val="16"/>
                <w:szCs w:val="16"/>
              </w:rPr>
            </w:pPr>
            <w:r w:rsidRPr="00C64BE1">
              <w:rPr>
                <w:rFonts w:cs="ArialMT"/>
                <w:sz w:val="16"/>
                <w:szCs w:val="16"/>
              </w:rPr>
              <w:t>$914K</w:t>
            </w:r>
          </w:p>
        </w:tc>
        <w:tc>
          <w:tcPr>
            <w:tcW w:w="900" w:type="dxa"/>
          </w:tcPr>
          <w:p w:rsidRPr="00C64BE1" w:rsidR="008959A4" w:rsidP="00717A84" w:rsidRDefault="008959A4" w14:paraId="5B748C6F" w14:textId="77777777">
            <w:pPr>
              <w:keepNext/>
              <w:keepLines/>
              <w:jc w:val="center"/>
              <w:rPr>
                <w:rFonts w:cs="ArialMT"/>
                <w:sz w:val="16"/>
                <w:szCs w:val="16"/>
              </w:rPr>
            </w:pPr>
            <w:r w:rsidRPr="00C64BE1">
              <w:rPr>
                <w:rFonts w:cs="ArialMT"/>
                <w:sz w:val="16"/>
                <w:szCs w:val="16"/>
              </w:rPr>
              <w:t>$1.3M</w:t>
            </w:r>
          </w:p>
        </w:tc>
        <w:tc>
          <w:tcPr>
            <w:tcW w:w="810" w:type="dxa"/>
          </w:tcPr>
          <w:p w:rsidRPr="00C64BE1" w:rsidR="008959A4" w:rsidP="00717A84" w:rsidRDefault="008959A4" w14:paraId="213C6CD8" w14:textId="77777777">
            <w:pPr>
              <w:keepNext/>
              <w:keepLines/>
              <w:jc w:val="center"/>
              <w:rPr>
                <w:rFonts w:cs="ArialMT"/>
                <w:sz w:val="16"/>
                <w:szCs w:val="16"/>
              </w:rPr>
            </w:pPr>
            <w:r w:rsidRPr="00C64BE1">
              <w:rPr>
                <w:rFonts w:cs="ArialMT"/>
                <w:sz w:val="16"/>
                <w:szCs w:val="16"/>
              </w:rPr>
              <w:t>$27K</w:t>
            </w:r>
          </w:p>
        </w:tc>
        <w:tc>
          <w:tcPr>
            <w:tcW w:w="900" w:type="dxa"/>
            <w:noWrap/>
          </w:tcPr>
          <w:p w:rsidRPr="00C64BE1" w:rsidR="008959A4" w:rsidP="00717A84" w:rsidRDefault="008959A4" w14:paraId="2628713D" w14:textId="77777777">
            <w:pPr>
              <w:keepNext/>
              <w:keepLines/>
              <w:jc w:val="center"/>
              <w:rPr>
                <w:rFonts w:cs="ArialMT"/>
                <w:sz w:val="16"/>
                <w:szCs w:val="16"/>
              </w:rPr>
            </w:pPr>
            <w:r w:rsidRPr="00C64BE1">
              <w:rPr>
                <w:rFonts w:cs="ArialMT"/>
                <w:sz w:val="16"/>
                <w:szCs w:val="16"/>
              </w:rPr>
              <w:t>$59.3K</w:t>
            </w:r>
          </w:p>
        </w:tc>
      </w:tr>
      <w:tr w:rsidRPr="00C64BE1" w:rsidR="008959A4" w:rsidTr="00717A84" w14:paraId="0FAC0C3A" w14:textId="77777777">
        <w:trPr>
          <w:trHeight w:val="130"/>
          <w:jc w:val="center"/>
        </w:trPr>
        <w:tc>
          <w:tcPr>
            <w:tcW w:w="540" w:type="dxa"/>
            <w:noWrap/>
            <w:vAlign w:val="bottom"/>
            <w:hideMark/>
          </w:tcPr>
          <w:p w:rsidRPr="00C64BE1" w:rsidR="008959A4" w:rsidP="00717A84" w:rsidRDefault="008959A4" w14:paraId="52203C62"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2024</w:t>
            </w:r>
          </w:p>
        </w:tc>
        <w:tc>
          <w:tcPr>
            <w:tcW w:w="810" w:type="dxa"/>
            <w:vAlign w:val="bottom"/>
          </w:tcPr>
          <w:p w:rsidRPr="00C64BE1" w:rsidR="008959A4" w:rsidP="00717A84" w:rsidRDefault="008959A4" w14:paraId="39B960D5" w14:textId="77777777">
            <w:pPr>
              <w:keepNext/>
              <w:keepLines/>
              <w:jc w:val="center"/>
              <w:rPr>
                <w:rFonts w:cs="ArialMT"/>
                <w:sz w:val="16"/>
                <w:szCs w:val="16"/>
              </w:rPr>
            </w:pPr>
            <w:r w:rsidRPr="00C64BE1">
              <w:rPr>
                <w:rFonts w:cs="ArialMT"/>
                <w:sz w:val="16"/>
                <w:szCs w:val="16"/>
              </w:rPr>
              <w:t>$6,021</w:t>
            </w:r>
          </w:p>
        </w:tc>
        <w:tc>
          <w:tcPr>
            <w:tcW w:w="1170" w:type="dxa"/>
            <w:noWrap/>
          </w:tcPr>
          <w:p w:rsidRPr="00C64BE1" w:rsidR="008959A4" w:rsidP="00717A84" w:rsidRDefault="008959A4" w14:paraId="17C48E11"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6A8AEEFA" w14:textId="77777777">
            <w:pPr>
              <w:keepNext/>
              <w:keepLines/>
              <w:jc w:val="center"/>
              <w:rPr>
                <w:rFonts w:cs="ArialMT"/>
                <w:sz w:val="16"/>
                <w:szCs w:val="16"/>
              </w:rPr>
            </w:pPr>
            <w:r w:rsidRPr="00C64BE1">
              <w:rPr>
                <w:rFonts w:cs="ArialMT"/>
                <w:sz w:val="16"/>
                <w:szCs w:val="16"/>
              </w:rPr>
              <w:t>$310K</w:t>
            </w:r>
          </w:p>
        </w:tc>
        <w:tc>
          <w:tcPr>
            <w:tcW w:w="900" w:type="dxa"/>
            <w:noWrap/>
          </w:tcPr>
          <w:p w:rsidRPr="00C64BE1" w:rsidR="008959A4" w:rsidP="00717A84" w:rsidRDefault="008959A4" w14:paraId="6EFECDA0" w14:textId="77777777">
            <w:pPr>
              <w:keepNext/>
              <w:keepLines/>
              <w:jc w:val="center"/>
              <w:rPr>
                <w:rFonts w:cs="ArialMT"/>
                <w:sz w:val="16"/>
                <w:szCs w:val="16"/>
              </w:rPr>
            </w:pPr>
            <w:r w:rsidRPr="00C64BE1">
              <w:rPr>
                <w:rFonts w:cs="ArialMT"/>
                <w:sz w:val="16"/>
                <w:szCs w:val="16"/>
              </w:rPr>
              <w:t>$407K</w:t>
            </w:r>
          </w:p>
        </w:tc>
        <w:tc>
          <w:tcPr>
            <w:tcW w:w="810" w:type="dxa"/>
          </w:tcPr>
          <w:p w:rsidRPr="00C64BE1" w:rsidR="008959A4" w:rsidP="00717A84" w:rsidRDefault="008959A4" w14:paraId="4023670A" w14:textId="77777777">
            <w:pPr>
              <w:keepNext/>
              <w:keepLines/>
              <w:jc w:val="center"/>
              <w:rPr>
                <w:rFonts w:cs="ArialMT"/>
                <w:sz w:val="16"/>
                <w:szCs w:val="16"/>
              </w:rPr>
            </w:pPr>
            <w:r w:rsidRPr="00C64BE1">
              <w:rPr>
                <w:rFonts w:cs="Calibri"/>
                <w:color w:val="000000" w:themeColor="text1"/>
                <w:sz w:val="16"/>
                <w:szCs w:val="16"/>
              </w:rPr>
              <w:t>$3.7M</w:t>
            </w:r>
          </w:p>
        </w:tc>
        <w:tc>
          <w:tcPr>
            <w:tcW w:w="900" w:type="dxa"/>
          </w:tcPr>
          <w:p w:rsidRPr="00C64BE1" w:rsidR="008959A4" w:rsidP="00717A84" w:rsidRDefault="008959A4" w14:paraId="2934C479" w14:textId="77777777">
            <w:pPr>
              <w:keepNext/>
              <w:keepLines/>
              <w:jc w:val="center"/>
              <w:rPr>
                <w:rFonts w:cs="ArialMT"/>
                <w:sz w:val="16"/>
                <w:szCs w:val="16"/>
              </w:rPr>
            </w:pPr>
            <w:r w:rsidRPr="00C64BE1">
              <w:rPr>
                <w:rFonts w:cs="Calibri"/>
                <w:color w:val="000000" w:themeColor="text1"/>
                <w:sz w:val="16"/>
                <w:szCs w:val="16"/>
              </w:rPr>
              <w:t>$4.3M</w:t>
            </w:r>
          </w:p>
        </w:tc>
        <w:tc>
          <w:tcPr>
            <w:tcW w:w="810" w:type="dxa"/>
            <w:noWrap/>
          </w:tcPr>
          <w:p w:rsidRPr="00C64BE1" w:rsidR="008959A4" w:rsidP="00717A84" w:rsidRDefault="008959A4" w14:paraId="686227A0"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189724E1" w14:textId="77777777">
            <w:pPr>
              <w:keepNext/>
              <w:keepLines/>
              <w:jc w:val="center"/>
              <w:rPr>
                <w:rFonts w:cs="ArialMT"/>
                <w:sz w:val="16"/>
                <w:szCs w:val="16"/>
              </w:rPr>
            </w:pPr>
            <w:r w:rsidRPr="00C64BE1">
              <w:rPr>
                <w:rFonts w:cs="Calibri"/>
                <w:color w:val="000000" w:themeColor="text1"/>
                <w:sz w:val="16"/>
                <w:szCs w:val="16"/>
              </w:rPr>
              <w:t>$11.6M</w:t>
            </w:r>
          </w:p>
        </w:tc>
        <w:tc>
          <w:tcPr>
            <w:tcW w:w="810" w:type="dxa"/>
          </w:tcPr>
          <w:p w:rsidRPr="00C64BE1" w:rsidR="008959A4" w:rsidP="00717A84" w:rsidRDefault="008959A4" w14:paraId="796E99F6" w14:textId="77777777">
            <w:pPr>
              <w:keepNext/>
              <w:keepLines/>
              <w:jc w:val="center"/>
              <w:rPr>
                <w:rFonts w:cs="ArialMT"/>
                <w:sz w:val="16"/>
                <w:szCs w:val="16"/>
              </w:rPr>
            </w:pPr>
            <w:r w:rsidRPr="00C64BE1">
              <w:rPr>
                <w:rFonts w:cs="ArialMT"/>
                <w:sz w:val="16"/>
                <w:szCs w:val="16"/>
              </w:rPr>
              <w:t>$1.1M</w:t>
            </w:r>
          </w:p>
        </w:tc>
        <w:tc>
          <w:tcPr>
            <w:tcW w:w="900" w:type="dxa"/>
          </w:tcPr>
          <w:p w:rsidRPr="00C64BE1" w:rsidR="008959A4" w:rsidP="00717A84" w:rsidRDefault="008959A4" w14:paraId="2315647C" w14:textId="77777777">
            <w:pPr>
              <w:keepNext/>
              <w:keepLines/>
              <w:jc w:val="center"/>
              <w:rPr>
                <w:rFonts w:cs="ArialMT"/>
                <w:sz w:val="16"/>
                <w:szCs w:val="16"/>
              </w:rPr>
            </w:pPr>
            <w:r w:rsidRPr="00C64BE1">
              <w:rPr>
                <w:rFonts w:cs="ArialMT"/>
                <w:sz w:val="16"/>
                <w:szCs w:val="16"/>
              </w:rPr>
              <w:t>$1.4M</w:t>
            </w:r>
          </w:p>
        </w:tc>
        <w:tc>
          <w:tcPr>
            <w:tcW w:w="810" w:type="dxa"/>
          </w:tcPr>
          <w:p w:rsidRPr="00C64BE1" w:rsidR="008959A4" w:rsidP="00717A84" w:rsidRDefault="008959A4" w14:paraId="06BCB51A" w14:textId="77777777">
            <w:pPr>
              <w:keepNext/>
              <w:keepLines/>
              <w:jc w:val="center"/>
              <w:rPr>
                <w:rFonts w:cs="ArialMT"/>
                <w:sz w:val="16"/>
                <w:szCs w:val="16"/>
              </w:rPr>
            </w:pPr>
            <w:r w:rsidRPr="00C64BE1">
              <w:rPr>
                <w:rFonts w:cs="ArialMT"/>
                <w:sz w:val="16"/>
                <w:szCs w:val="16"/>
              </w:rPr>
              <w:t>$28K</w:t>
            </w:r>
          </w:p>
        </w:tc>
        <w:tc>
          <w:tcPr>
            <w:tcW w:w="900" w:type="dxa"/>
            <w:noWrap/>
          </w:tcPr>
          <w:p w:rsidRPr="00C64BE1" w:rsidR="008959A4" w:rsidP="00717A84" w:rsidRDefault="008959A4" w14:paraId="107C67F0" w14:textId="77777777">
            <w:pPr>
              <w:keepNext/>
              <w:keepLines/>
              <w:jc w:val="center"/>
              <w:rPr>
                <w:rFonts w:cs="ArialMT"/>
                <w:sz w:val="16"/>
                <w:szCs w:val="16"/>
              </w:rPr>
            </w:pPr>
            <w:r w:rsidRPr="00C64BE1">
              <w:rPr>
                <w:rFonts w:cs="ArialMT"/>
                <w:sz w:val="16"/>
                <w:szCs w:val="16"/>
              </w:rPr>
              <w:t>$58.3K</w:t>
            </w:r>
          </w:p>
        </w:tc>
      </w:tr>
      <w:tr w:rsidRPr="00C64BE1" w:rsidR="008959A4" w:rsidTr="00717A84" w14:paraId="14B3698B" w14:textId="77777777">
        <w:trPr>
          <w:trHeight w:val="130"/>
          <w:jc w:val="center"/>
        </w:trPr>
        <w:tc>
          <w:tcPr>
            <w:tcW w:w="540" w:type="dxa"/>
            <w:noWrap/>
            <w:vAlign w:val="bottom"/>
            <w:hideMark/>
          </w:tcPr>
          <w:p w:rsidRPr="00C64BE1" w:rsidR="008959A4" w:rsidP="00717A84" w:rsidRDefault="008959A4" w14:paraId="565DBCB9"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2025</w:t>
            </w:r>
          </w:p>
        </w:tc>
        <w:tc>
          <w:tcPr>
            <w:tcW w:w="810" w:type="dxa"/>
            <w:vAlign w:val="bottom"/>
          </w:tcPr>
          <w:p w:rsidRPr="00C64BE1" w:rsidR="008959A4" w:rsidP="00717A84" w:rsidRDefault="008959A4" w14:paraId="651DF320" w14:textId="77777777">
            <w:pPr>
              <w:keepNext/>
              <w:keepLines/>
              <w:jc w:val="center"/>
              <w:rPr>
                <w:rFonts w:cs="ArialMT"/>
                <w:sz w:val="16"/>
                <w:szCs w:val="16"/>
              </w:rPr>
            </w:pPr>
            <w:r w:rsidRPr="00C64BE1">
              <w:rPr>
                <w:rFonts w:cs="ArialMT"/>
                <w:sz w:val="16"/>
                <w:szCs w:val="16"/>
              </w:rPr>
              <w:t>$6,216</w:t>
            </w:r>
          </w:p>
        </w:tc>
        <w:tc>
          <w:tcPr>
            <w:tcW w:w="1170" w:type="dxa"/>
            <w:noWrap/>
          </w:tcPr>
          <w:p w:rsidRPr="00C64BE1" w:rsidR="008959A4" w:rsidP="00717A84" w:rsidRDefault="008959A4" w14:paraId="4904FE5F"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5F9F63FE" w14:textId="77777777">
            <w:pPr>
              <w:keepNext/>
              <w:keepLines/>
              <w:jc w:val="center"/>
              <w:rPr>
                <w:rFonts w:cs="ArialMT"/>
                <w:sz w:val="16"/>
                <w:szCs w:val="16"/>
              </w:rPr>
            </w:pPr>
            <w:r w:rsidRPr="00C64BE1">
              <w:rPr>
                <w:rFonts w:cs="ArialMT"/>
                <w:sz w:val="16"/>
                <w:szCs w:val="16"/>
              </w:rPr>
              <w:t>$326K</w:t>
            </w:r>
          </w:p>
        </w:tc>
        <w:tc>
          <w:tcPr>
            <w:tcW w:w="900" w:type="dxa"/>
            <w:noWrap/>
          </w:tcPr>
          <w:p w:rsidRPr="00C64BE1" w:rsidR="008959A4" w:rsidP="00717A84" w:rsidRDefault="008959A4" w14:paraId="00CBED2E" w14:textId="77777777">
            <w:pPr>
              <w:keepNext/>
              <w:keepLines/>
              <w:jc w:val="center"/>
              <w:rPr>
                <w:rFonts w:cs="ArialMT"/>
                <w:sz w:val="16"/>
                <w:szCs w:val="16"/>
              </w:rPr>
            </w:pPr>
            <w:r w:rsidRPr="00C64BE1">
              <w:rPr>
                <w:rFonts w:cs="ArialMT"/>
                <w:sz w:val="16"/>
                <w:szCs w:val="16"/>
              </w:rPr>
              <w:t>$443K</w:t>
            </w:r>
          </w:p>
        </w:tc>
        <w:tc>
          <w:tcPr>
            <w:tcW w:w="810" w:type="dxa"/>
          </w:tcPr>
          <w:p w:rsidRPr="00C64BE1" w:rsidR="008959A4" w:rsidP="00717A84" w:rsidRDefault="008959A4" w14:paraId="2A56B263" w14:textId="77777777">
            <w:pPr>
              <w:keepNext/>
              <w:keepLines/>
              <w:jc w:val="center"/>
              <w:rPr>
                <w:rFonts w:cs="ArialMT"/>
                <w:sz w:val="16"/>
                <w:szCs w:val="16"/>
              </w:rPr>
            </w:pPr>
            <w:r w:rsidRPr="00C64BE1">
              <w:rPr>
                <w:rFonts w:cs="Calibri"/>
                <w:color w:val="000000" w:themeColor="text1"/>
                <w:sz w:val="16"/>
                <w:szCs w:val="16"/>
              </w:rPr>
              <w:t>$3.8M</w:t>
            </w:r>
          </w:p>
        </w:tc>
        <w:tc>
          <w:tcPr>
            <w:tcW w:w="900" w:type="dxa"/>
          </w:tcPr>
          <w:p w:rsidRPr="00C64BE1" w:rsidR="008959A4" w:rsidP="00717A84" w:rsidRDefault="008959A4" w14:paraId="5B064E0A" w14:textId="77777777">
            <w:pPr>
              <w:keepNext/>
              <w:keepLines/>
              <w:jc w:val="center"/>
              <w:rPr>
                <w:rFonts w:cs="ArialMT"/>
                <w:sz w:val="16"/>
                <w:szCs w:val="16"/>
              </w:rPr>
            </w:pPr>
            <w:r w:rsidRPr="00C64BE1">
              <w:rPr>
                <w:rFonts w:cs="Calibri"/>
                <w:color w:val="000000" w:themeColor="text1"/>
                <w:sz w:val="16"/>
                <w:szCs w:val="16"/>
              </w:rPr>
              <w:t>$4.5M</w:t>
            </w:r>
          </w:p>
        </w:tc>
        <w:tc>
          <w:tcPr>
            <w:tcW w:w="810" w:type="dxa"/>
            <w:noWrap/>
          </w:tcPr>
          <w:p w:rsidRPr="00C64BE1" w:rsidR="008959A4" w:rsidP="00717A84" w:rsidRDefault="008959A4" w14:paraId="1BECC551"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655A70F7" w14:textId="77777777">
            <w:pPr>
              <w:keepNext/>
              <w:keepLines/>
              <w:jc w:val="center"/>
              <w:rPr>
                <w:rFonts w:cs="ArialMT"/>
                <w:sz w:val="16"/>
                <w:szCs w:val="16"/>
              </w:rPr>
            </w:pPr>
            <w:r w:rsidRPr="00C64BE1">
              <w:rPr>
                <w:rFonts w:cs="Calibri"/>
                <w:color w:val="000000" w:themeColor="text1"/>
                <w:sz w:val="16"/>
                <w:szCs w:val="16"/>
              </w:rPr>
              <w:t>$12.3M</w:t>
            </w:r>
          </w:p>
        </w:tc>
        <w:tc>
          <w:tcPr>
            <w:tcW w:w="810" w:type="dxa"/>
          </w:tcPr>
          <w:p w:rsidRPr="00C64BE1" w:rsidR="008959A4" w:rsidP="00717A84" w:rsidRDefault="008959A4" w14:paraId="59ACAAF1" w14:textId="77777777">
            <w:pPr>
              <w:keepNext/>
              <w:keepLines/>
              <w:jc w:val="center"/>
              <w:rPr>
                <w:rFonts w:cs="ArialMT"/>
                <w:sz w:val="16"/>
                <w:szCs w:val="16"/>
              </w:rPr>
            </w:pPr>
            <w:r w:rsidRPr="00C64BE1">
              <w:rPr>
                <w:rFonts w:cs="ArialMT"/>
                <w:sz w:val="16"/>
                <w:szCs w:val="16"/>
              </w:rPr>
              <w:t>$1.1M</w:t>
            </w:r>
          </w:p>
        </w:tc>
        <w:tc>
          <w:tcPr>
            <w:tcW w:w="900" w:type="dxa"/>
          </w:tcPr>
          <w:p w:rsidRPr="00C64BE1" w:rsidR="008959A4" w:rsidP="00717A84" w:rsidRDefault="008959A4" w14:paraId="5026B904" w14:textId="77777777">
            <w:pPr>
              <w:keepNext/>
              <w:keepLines/>
              <w:jc w:val="center"/>
              <w:rPr>
                <w:rFonts w:cs="ArialMT"/>
                <w:sz w:val="16"/>
                <w:szCs w:val="16"/>
              </w:rPr>
            </w:pPr>
            <w:r w:rsidRPr="00C64BE1">
              <w:rPr>
                <w:rFonts w:cs="ArialMT"/>
                <w:sz w:val="16"/>
                <w:szCs w:val="16"/>
              </w:rPr>
              <w:t>$1.5M</w:t>
            </w:r>
          </w:p>
        </w:tc>
        <w:tc>
          <w:tcPr>
            <w:tcW w:w="810" w:type="dxa"/>
          </w:tcPr>
          <w:p w:rsidRPr="00C64BE1" w:rsidR="008959A4" w:rsidP="00717A84" w:rsidRDefault="008959A4" w14:paraId="7894A3A5" w14:textId="77777777">
            <w:pPr>
              <w:keepNext/>
              <w:keepLines/>
              <w:jc w:val="center"/>
              <w:rPr>
                <w:rFonts w:cs="ArialMT"/>
                <w:sz w:val="16"/>
                <w:szCs w:val="16"/>
              </w:rPr>
            </w:pPr>
            <w:r w:rsidRPr="00C64BE1">
              <w:rPr>
                <w:rFonts w:cs="ArialMT"/>
                <w:sz w:val="16"/>
                <w:szCs w:val="16"/>
              </w:rPr>
              <w:t>$28K</w:t>
            </w:r>
          </w:p>
        </w:tc>
        <w:tc>
          <w:tcPr>
            <w:tcW w:w="900" w:type="dxa"/>
            <w:noWrap/>
          </w:tcPr>
          <w:p w:rsidRPr="00C64BE1" w:rsidR="008959A4" w:rsidP="00717A84" w:rsidRDefault="008959A4" w14:paraId="7956DEEF" w14:textId="77777777">
            <w:pPr>
              <w:keepNext/>
              <w:keepLines/>
              <w:jc w:val="center"/>
              <w:rPr>
                <w:rFonts w:cs="ArialMT"/>
                <w:sz w:val="16"/>
                <w:szCs w:val="16"/>
              </w:rPr>
            </w:pPr>
            <w:r w:rsidRPr="00C64BE1">
              <w:rPr>
                <w:rFonts w:cs="ArialMT"/>
                <w:sz w:val="16"/>
                <w:szCs w:val="16"/>
              </w:rPr>
              <w:t>$58.3K</w:t>
            </w:r>
          </w:p>
        </w:tc>
      </w:tr>
      <w:tr w:rsidRPr="00C64BE1" w:rsidR="008959A4" w:rsidTr="00717A84" w14:paraId="79B68FDD" w14:textId="77777777">
        <w:trPr>
          <w:trHeight w:val="130"/>
          <w:jc w:val="center"/>
        </w:trPr>
        <w:tc>
          <w:tcPr>
            <w:tcW w:w="540" w:type="dxa"/>
            <w:noWrap/>
            <w:vAlign w:val="bottom"/>
            <w:hideMark/>
          </w:tcPr>
          <w:p w:rsidRPr="00C64BE1" w:rsidR="008959A4" w:rsidP="00717A84" w:rsidRDefault="008959A4" w14:paraId="41E4B092" w14:textId="77777777">
            <w:pPr>
              <w:keepNext/>
              <w:keepLines/>
              <w:jc w:val="center"/>
              <w:rPr>
                <w:rFonts w:eastAsia="Times New Roman" w:cs="Calibri"/>
                <w:color w:val="000000" w:themeColor="text1"/>
                <w:sz w:val="16"/>
                <w:szCs w:val="16"/>
              </w:rPr>
            </w:pPr>
            <w:r w:rsidRPr="00C64BE1">
              <w:rPr>
                <w:rFonts w:eastAsia="Times New Roman" w:cs="Calibri"/>
                <w:color w:val="000000" w:themeColor="text1"/>
                <w:sz w:val="16"/>
                <w:szCs w:val="16"/>
              </w:rPr>
              <w:t>2026</w:t>
            </w:r>
          </w:p>
        </w:tc>
        <w:tc>
          <w:tcPr>
            <w:tcW w:w="810" w:type="dxa"/>
            <w:vAlign w:val="bottom"/>
          </w:tcPr>
          <w:p w:rsidRPr="00C64BE1" w:rsidR="008959A4" w:rsidP="00717A84" w:rsidRDefault="008959A4" w14:paraId="7D5697EB" w14:textId="77777777">
            <w:pPr>
              <w:keepNext/>
              <w:keepLines/>
              <w:jc w:val="center"/>
              <w:rPr>
                <w:rFonts w:cs="ArialMT"/>
                <w:sz w:val="16"/>
                <w:szCs w:val="16"/>
              </w:rPr>
            </w:pPr>
            <w:r w:rsidRPr="00C64BE1">
              <w:rPr>
                <w:rFonts w:cs="ArialMT"/>
                <w:sz w:val="16"/>
                <w:szCs w:val="16"/>
              </w:rPr>
              <w:t>$6,417</w:t>
            </w:r>
          </w:p>
        </w:tc>
        <w:tc>
          <w:tcPr>
            <w:tcW w:w="1170" w:type="dxa"/>
            <w:noWrap/>
          </w:tcPr>
          <w:p w:rsidRPr="00C64BE1" w:rsidR="008959A4" w:rsidP="00717A84" w:rsidRDefault="008959A4" w14:paraId="7E0F0C20" w14:textId="77777777">
            <w:pPr>
              <w:keepNext/>
              <w:keepLines/>
              <w:jc w:val="center"/>
              <w:rPr>
                <w:rFonts w:cs="ArialMT"/>
                <w:sz w:val="16"/>
                <w:szCs w:val="16"/>
              </w:rPr>
            </w:pPr>
            <w:r w:rsidRPr="00C64BE1">
              <w:rPr>
                <w:rFonts w:cs="ArialMT"/>
                <w:sz w:val="16"/>
                <w:szCs w:val="16"/>
              </w:rPr>
              <w:t>N/A</w:t>
            </w:r>
          </w:p>
        </w:tc>
        <w:tc>
          <w:tcPr>
            <w:tcW w:w="810" w:type="dxa"/>
          </w:tcPr>
          <w:p w:rsidRPr="00C64BE1" w:rsidR="008959A4" w:rsidP="00717A84" w:rsidRDefault="008959A4" w14:paraId="22512E46" w14:textId="77777777">
            <w:pPr>
              <w:keepNext/>
              <w:keepLines/>
              <w:jc w:val="center"/>
              <w:rPr>
                <w:rFonts w:cs="ArialMT"/>
                <w:sz w:val="16"/>
                <w:szCs w:val="16"/>
              </w:rPr>
            </w:pPr>
            <w:r w:rsidRPr="00C64BE1">
              <w:rPr>
                <w:rFonts w:cs="ArialMT"/>
                <w:sz w:val="16"/>
                <w:szCs w:val="16"/>
              </w:rPr>
              <w:t>$342K</w:t>
            </w:r>
          </w:p>
        </w:tc>
        <w:tc>
          <w:tcPr>
            <w:tcW w:w="900" w:type="dxa"/>
            <w:noWrap/>
          </w:tcPr>
          <w:p w:rsidRPr="00C64BE1" w:rsidR="008959A4" w:rsidP="00717A84" w:rsidRDefault="008959A4" w14:paraId="1F68F6A5" w14:textId="77777777">
            <w:pPr>
              <w:keepNext/>
              <w:keepLines/>
              <w:jc w:val="center"/>
              <w:rPr>
                <w:rFonts w:cs="ArialMT"/>
                <w:sz w:val="16"/>
                <w:szCs w:val="16"/>
              </w:rPr>
            </w:pPr>
            <w:r w:rsidRPr="00C64BE1">
              <w:rPr>
                <w:rFonts w:cs="ArialMT"/>
                <w:sz w:val="16"/>
                <w:szCs w:val="16"/>
              </w:rPr>
              <w:t>$481K</w:t>
            </w:r>
          </w:p>
        </w:tc>
        <w:tc>
          <w:tcPr>
            <w:tcW w:w="810" w:type="dxa"/>
          </w:tcPr>
          <w:p w:rsidRPr="00C64BE1" w:rsidR="008959A4" w:rsidP="00717A84" w:rsidRDefault="008959A4" w14:paraId="18CAC8CC" w14:textId="77777777">
            <w:pPr>
              <w:keepNext/>
              <w:keepLines/>
              <w:jc w:val="center"/>
              <w:rPr>
                <w:rFonts w:cs="ArialMT"/>
                <w:sz w:val="16"/>
                <w:szCs w:val="16"/>
              </w:rPr>
            </w:pPr>
            <w:r w:rsidRPr="00C64BE1">
              <w:rPr>
                <w:rFonts w:cs="Calibri"/>
                <w:color w:val="000000" w:themeColor="text1"/>
                <w:sz w:val="16"/>
                <w:szCs w:val="16"/>
              </w:rPr>
              <w:t>$3.9M</w:t>
            </w:r>
          </w:p>
        </w:tc>
        <w:tc>
          <w:tcPr>
            <w:tcW w:w="900" w:type="dxa"/>
          </w:tcPr>
          <w:p w:rsidRPr="00C64BE1" w:rsidR="008959A4" w:rsidP="00717A84" w:rsidRDefault="008959A4" w14:paraId="3685FE12" w14:textId="77777777">
            <w:pPr>
              <w:keepNext/>
              <w:keepLines/>
              <w:jc w:val="center"/>
              <w:rPr>
                <w:rFonts w:cs="ArialMT"/>
                <w:sz w:val="16"/>
                <w:szCs w:val="16"/>
              </w:rPr>
            </w:pPr>
            <w:r w:rsidRPr="00C64BE1">
              <w:rPr>
                <w:rFonts w:cs="Calibri"/>
                <w:color w:val="000000" w:themeColor="text1"/>
                <w:sz w:val="16"/>
                <w:szCs w:val="16"/>
              </w:rPr>
              <w:t>$4.7M</w:t>
            </w:r>
          </w:p>
        </w:tc>
        <w:tc>
          <w:tcPr>
            <w:tcW w:w="810" w:type="dxa"/>
            <w:noWrap/>
          </w:tcPr>
          <w:p w:rsidRPr="00C64BE1" w:rsidR="008959A4" w:rsidP="00717A84" w:rsidRDefault="008959A4" w14:paraId="4D70C8B6" w14:textId="77777777">
            <w:pPr>
              <w:keepNext/>
              <w:keepLines/>
              <w:jc w:val="center"/>
              <w:rPr>
                <w:rFonts w:cs="ArialMT"/>
                <w:sz w:val="16"/>
                <w:szCs w:val="16"/>
              </w:rPr>
            </w:pPr>
            <w:r w:rsidRPr="00C64BE1">
              <w:rPr>
                <w:rFonts w:cs="Calibri"/>
                <w:color w:val="000000" w:themeColor="text1"/>
                <w:sz w:val="16"/>
                <w:szCs w:val="16"/>
              </w:rPr>
              <w:t>$8.1M</w:t>
            </w:r>
          </w:p>
        </w:tc>
        <w:tc>
          <w:tcPr>
            <w:tcW w:w="900" w:type="dxa"/>
          </w:tcPr>
          <w:p w:rsidRPr="00C64BE1" w:rsidR="008959A4" w:rsidP="00717A84" w:rsidRDefault="008959A4" w14:paraId="7AD0D597" w14:textId="77777777">
            <w:pPr>
              <w:keepNext/>
              <w:keepLines/>
              <w:jc w:val="center"/>
              <w:rPr>
                <w:rFonts w:cs="ArialMT"/>
                <w:sz w:val="16"/>
                <w:szCs w:val="16"/>
              </w:rPr>
            </w:pPr>
            <w:r w:rsidRPr="00C64BE1">
              <w:rPr>
                <w:rFonts w:cs="Calibri"/>
                <w:color w:val="000000" w:themeColor="text1"/>
                <w:sz w:val="16"/>
                <w:szCs w:val="16"/>
              </w:rPr>
              <w:t>$13M</w:t>
            </w:r>
          </w:p>
        </w:tc>
        <w:tc>
          <w:tcPr>
            <w:tcW w:w="810" w:type="dxa"/>
          </w:tcPr>
          <w:p w:rsidRPr="00C64BE1" w:rsidR="008959A4" w:rsidP="00717A84" w:rsidRDefault="008959A4" w14:paraId="389EFC24" w14:textId="77777777">
            <w:pPr>
              <w:keepNext/>
              <w:keepLines/>
              <w:jc w:val="center"/>
              <w:rPr>
                <w:rFonts w:cs="ArialMT"/>
                <w:sz w:val="16"/>
                <w:szCs w:val="16"/>
              </w:rPr>
            </w:pPr>
            <w:r w:rsidRPr="00C64BE1">
              <w:rPr>
                <w:rFonts w:cs="ArialMT"/>
                <w:sz w:val="16"/>
                <w:szCs w:val="16"/>
              </w:rPr>
              <w:t>$1.1M</w:t>
            </w:r>
          </w:p>
        </w:tc>
        <w:tc>
          <w:tcPr>
            <w:tcW w:w="900" w:type="dxa"/>
          </w:tcPr>
          <w:p w:rsidRPr="00C64BE1" w:rsidR="008959A4" w:rsidP="00717A84" w:rsidRDefault="008959A4" w14:paraId="463BB556" w14:textId="77777777">
            <w:pPr>
              <w:keepNext/>
              <w:keepLines/>
              <w:jc w:val="center"/>
              <w:rPr>
                <w:rFonts w:cs="ArialMT"/>
                <w:sz w:val="16"/>
                <w:szCs w:val="16"/>
              </w:rPr>
            </w:pPr>
            <w:r w:rsidRPr="00C64BE1">
              <w:rPr>
                <w:rFonts w:cs="ArialMT"/>
                <w:sz w:val="16"/>
                <w:szCs w:val="16"/>
              </w:rPr>
              <w:t>$1.5M</w:t>
            </w:r>
          </w:p>
        </w:tc>
        <w:tc>
          <w:tcPr>
            <w:tcW w:w="810" w:type="dxa"/>
          </w:tcPr>
          <w:p w:rsidRPr="00C64BE1" w:rsidR="008959A4" w:rsidP="00717A84" w:rsidRDefault="008959A4" w14:paraId="7BA89049" w14:textId="77777777">
            <w:pPr>
              <w:keepNext/>
              <w:keepLines/>
              <w:jc w:val="center"/>
              <w:rPr>
                <w:rFonts w:cs="ArialMT"/>
                <w:sz w:val="16"/>
                <w:szCs w:val="16"/>
              </w:rPr>
            </w:pPr>
            <w:r w:rsidRPr="00C64BE1">
              <w:rPr>
                <w:rFonts w:cs="ArialMT"/>
                <w:sz w:val="16"/>
                <w:szCs w:val="16"/>
              </w:rPr>
              <w:t>$28K</w:t>
            </w:r>
          </w:p>
        </w:tc>
        <w:tc>
          <w:tcPr>
            <w:tcW w:w="900" w:type="dxa"/>
            <w:noWrap/>
          </w:tcPr>
          <w:p w:rsidRPr="00C64BE1" w:rsidR="008959A4" w:rsidP="00717A84" w:rsidRDefault="008959A4" w14:paraId="0CB43DE1" w14:textId="77777777">
            <w:pPr>
              <w:keepNext/>
              <w:keepLines/>
              <w:jc w:val="center"/>
              <w:rPr>
                <w:rFonts w:cs="ArialMT"/>
                <w:sz w:val="16"/>
                <w:szCs w:val="16"/>
              </w:rPr>
            </w:pPr>
            <w:r w:rsidRPr="00C64BE1">
              <w:rPr>
                <w:rFonts w:cs="ArialMT"/>
                <w:sz w:val="16"/>
                <w:szCs w:val="16"/>
              </w:rPr>
              <w:t>$58.3K</w:t>
            </w:r>
          </w:p>
        </w:tc>
      </w:tr>
    </w:tbl>
    <w:p w:rsidRPr="00C64BE1" w:rsidR="008959A4" w:rsidP="008959A4" w:rsidRDefault="008959A4" w14:paraId="6BBA1B27" w14:textId="77777777">
      <w:pPr>
        <w:pStyle w:val="ALJBodyText"/>
        <w:ind w:firstLine="0"/>
        <w:rPr>
          <w:sz w:val="16"/>
          <w:szCs w:val="16"/>
        </w:rPr>
      </w:pPr>
    </w:p>
    <w:p w:rsidR="008959A4" w:rsidP="008959A4" w:rsidRDefault="008959A4" w14:paraId="5DB08966" w14:textId="77777777">
      <w:pPr>
        <w:pStyle w:val="Heading3"/>
      </w:pPr>
      <w:bookmarkStart w:name="_Toc82159709" w:id="122"/>
      <w:r>
        <w:t>SMJU Responses</w:t>
      </w:r>
      <w:bookmarkEnd w:id="122"/>
    </w:p>
    <w:p w:rsidRPr="00C64BE1" w:rsidR="008959A4" w:rsidP="008959A4" w:rsidRDefault="008959A4" w14:paraId="5893ECFD" w14:textId="77777777">
      <w:pPr>
        <w:pStyle w:val="Heading4"/>
        <w:tabs>
          <w:tab w:val="clear" w:pos="2160"/>
        </w:tabs>
        <w:ind w:left="3510" w:hanging="1170"/>
        <w:rPr>
          <w:iCs/>
          <w:u w:val="single"/>
        </w:rPr>
      </w:pPr>
      <w:bookmarkStart w:name="_Toc82159710" w:id="123"/>
      <w:r>
        <w:t>Southwest Gas</w:t>
      </w:r>
      <w:r w:rsidRPr="00D03E26">
        <w:t>, P</w:t>
      </w:r>
      <w:r>
        <w:t>acifiCorp</w:t>
      </w:r>
      <w:r w:rsidRPr="00D03E26">
        <w:t>, L</w:t>
      </w:r>
      <w:r>
        <w:t>iberty</w:t>
      </w:r>
      <w:r w:rsidRPr="00D03E26">
        <w:t xml:space="preserve">, </w:t>
      </w:r>
      <w:r>
        <w:br/>
      </w:r>
      <w:r w:rsidRPr="00D03E26">
        <w:t>B</w:t>
      </w:r>
      <w:r>
        <w:t>ear Valley (Joint SMJU) Response</w:t>
      </w:r>
      <w:bookmarkEnd w:id="123"/>
    </w:p>
    <w:p w:rsidR="008959A4" w:rsidP="008959A4" w:rsidRDefault="008959A4" w14:paraId="3DF78512" w14:textId="77777777">
      <w:pPr>
        <w:pStyle w:val="Standard"/>
      </w:pPr>
      <w:r>
        <w:rPr>
          <w:b/>
          <w:bCs/>
          <w:i/>
          <w:iCs/>
          <w:u w:val="single"/>
        </w:rPr>
        <w:t>CARE Subsidy Budgets:</w:t>
      </w:r>
      <w:r w:rsidRPr="008F3336">
        <w:t xml:space="preserve"> </w:t>
      </w:r>
      <w:r>
        <w:t xml:space="preserve"> The Joint SMJUs state that </w:t>
      </w:r>
      <w:r w:rsidRPr="00307C71">
        <w:t>EEC</w:t>
      </w:r>
      <w:r>
        <w:t xml:space="preserve"> and Free Energy’s claim that the CARE goals and budgets are </w:t>
      </w:r>
      <w:r w:rsidRPr="00307C71">
        <w:t>based on outdated data</w:t>
      </w:r>
      <w:r>
        <w:t xml:space="preserve"> is </w:t>
      </w:r>
      <w:r w:rsidRPr="00307C71">
        <w:t>misplaced</w:t>
      </w:r>
      <w:r>
        <w:t xml:space="preserve">, </w:t>
      </w:r>
      <w:r w:rsidRPr="00307C71">
        <w:lastRenderedPageBreak/>
        <w:t>unwarranted</w:t>
      </w:r>
      <w:r>
        <w:t xml:space="preserve"> and should be </w:t>
      </w:r>
      <w:r w:rsidRPr="00307C71">
        <w:t>rejected.</w:t>
      </w:r>
      <w:r>
        <w:t xml:space="preserve">  In </w:t>
      </w:r>
      <w:r w:rsidRPr="00307C71">
        <w:t>preparing their applications, the SMJUs considered</w:t>
      </w:r>
      <w:r>
        <w:t xml:space="preserve"> </w:t>
      </w:r>
      <w:r w:rsidRPr="00307C71">
        <w:t>the relevant findings of the 2016 LINA and the most recent</w:t>
      </w:r>
      <w:r>
        <w:t xml:space="preserve"> </w:t>
      </w:r>
      <w:r w:rsidRPr="00307C71">
        <w:t>Athens report available at the time of filing and</w:t>
      </w:r>
      <w:r>
        <w:t xml:space="preserve"> </w:t>
      </w:r>
      <w:r w:rsidRPr="00307C71">
        <w:t>acknowledge that data relied upon may have been</w:t>
      </w:r>
      <w:r>
        <w:t xml:space="preserve"> </w:t>
      </w:r>
      <w:r w:rsidRPr="00307C71">
        <w:t>impacted by the COVID-19 pandemic.</w:t>
      </w:r>
      <w:r>
        <w:t xml:space="preserve"> </w:t>
      </w:r>
      <w:r w:rsidRPr="00307C71">
        <w:t xml:space="preserve"> </w:t>
      </w:r>
      <w:r>
        <w:t>However, t</w:t>
      </w:r>
      <w:r w:rsidRPr="00307C71">
        <w:t>o the</w:t>
      </w:r>
      <w:r>
        <w:t xml:space="preserve"> </w:t>
      </w:r>
      <w:r w:rsidRPr="00307C71">
        <w:t xml:space="preserve">extent that the </w:t>
      </w:r>
      <w:r>
        <w:t xml:space="preserve">Joint </w:t>
      </w:r>
      <w:r w:rsidRPr="00307C71">
        <w:t xml:space="preserve">SMJUs’ budgets and goals require </w:t>
      </w:r>
      <w:r>
        <w:t>updates</w:t>
      </w:r>
      <w:r w:rsidRPr="00307C71">
        <w:t>, the</w:t>
      </w:r>
      <w:r>
        <w:t xml:space="preserve"> Commission’s a</w:t>
      </w:r>
      <w:r w:rsidRPr="00307C71">
        <w:t xml:space="preserve">dvice </w:t>
      </w:r>
      <w:r>
        <w:t>l</w:t>
      </w:r>
      <w:r w:rsidRPr="00307C71">
        <w:t xml:space="preserve">etter process </w:t>
      </w:r>
      <w:r>
        <w:t xml:space="preserve">should be used as it provides the </w:t>
      </w:r>
      <w:r w:rsidRPr="00307C71">
        <w:t>SMJUs</w:t>
      </w:r>
      <w:r w:rsidRPr="00307C71">
        <w:rPr>
          <w:rFonts w:ascii="TimesNewRomanPSMT" w:hAnsi="TimesNewRomanPSMT" w:cs="TimesNewRomanPSMT"/>
          <w:sz w:val="24"/>
          <w:szCs w:val="24"/>
        </w:rPr>
        <w:t xml:space="preserve"> </w:t>
      </w:r>
      <w:r w:rsidRPr="00307C71">
        <w:t>the flexibility to respond to any unforeseen impacts</w:t>
      </w:r>
      <w:r>
        <w:t xml:space="preserve">.  Requiring </w:t>
      </w:r>
      <w:r w:rsidRPr="00307C71">
        <w:t>changes now to the budgets</w:t>
      </w:r>
      <w:r>
        <w:t xml:space="preserve"> </w:t>
      </w:r>
      <w:r w:rsidRPr="00307C71">
        <w:t>and goals for PY</w:t>
      </w:r>
      <w:r>
        <w:t>s</w:t>
      </w:r>
      <w:r w:rsidRPr="00307C71">
        <w:t xml:space="preserve"> 2021-2026 would only cause unreasonable and unnecessary delay in</w:t>
      </w:r>
      <w:r>
        <w:t xml:space="preserve"> program </w:t>
      </w:r>
      <w:r w:rsidRPr="00307C71">
        <w:t>implement</w:t>
      </w:r>
      <w:r>
        <w:t>ation</w:t>
      </w:r>
      <w:r w:rsidRPr="00307C71">
        <w:t>.</w:t>
      </w:r>
      <w:r>
        <w:rPr>
          <w:rStyle w:val="FootnoteReference"/>
        </w:rPr>
        <w:footnoteReference w:id="94"/>
      </w:r>
    </w:p>
    <w:p w:rsidR="008959A4" w:rsidP="008959A4" w:rsidRDefault="008959A4" w14:paraId="5BB8D13D" w14:textId="77777777">
      <w:pPr>
        <w:pStyle w:val="Standard"/>
      </w:pPr>
      <w:r>
        <w:rPr>
          <w:b/>
          <w:bCs/>
          <w:i/>
          <w:iCs/>
          <w:u w:val="single"/>
        </w:rPr>
        <w:t>Budget Adjustments via Tier 2 Advice Letter</w:t>
      </w:r>
      <w:r w:rsidRPr="00C64BE1">
        <w:rPr>
          <w:b/>
          <w:bCs/>
          <w:i/>
          <w:iCs/>
        </w:rPr>
        <w:t>:</w:t>
      </w:r>
      <w:r w:rsidRPr="00C64BE1">
        <w:t xml:space="preserve">  </w:t>
      </w:r>
      <w:r>
        <w:t>T</w:t>
      </w:r>
      <w:r w:rsidRPr="00D170CD">
        <w:t>he</w:t>
      </w:r>
      <w:r w:rsidRPr="00542F63">
        <w:t xml:space="preserve"> Joint </w:t>
      </w:r>
      <w:r w:rsidRPr="00D170CD">
        <w:t xml:space="preserve">SMJUs recommend that the Commission allow the </w:t>
      </w:r>
      <w:r>
        <w:t>SMJUs</w:t>
      </w:r>
      <w:r w:rsidRPr="00D170CD">
        <w:t xml:space="preserve"> to file a Tier 2 advice letter rather</w:t>
      </w:r>
      <w:r>
        <w:t xml:space="preserve"> </w:t>
      </w:r>
      <w:r w:rsidRPr="00D170CD">
        <w:t xml:space="preserve">than </w:t>
      </w:r>
      <w:r>
        <w:t>Cal Advocates’</w:t>
      </w:r>
      <w:r w:rsidRPr="00D170CD">
        <w:t xml:space="preserve"> proposed Tier 3 advice letter, </w:t>
      </w:r>
      <w:r>
        <w:t>because it is a more</w:t>
      </w:r>
      <w:r w:rsidRPr="00D170CD">
        <w:t xml:space="preserve"> reasonable and expedient alternative. </w:t>
      </w:r>
      <w:r>
        <w:t xml:space="preserve"> </w:t>
      </w:r>
      <w:r w:rsidRPr="00D170CD">
        <w:t>The Tier 2 advice letter provides for a quicker review process that</w:t>
      </w:r>
      <w:r>
        <w:t xml:space="preserve"> </w:t>
      </w:r>
      <w:r w:rsidRPr="00D170CD">
        <w:t>would allow the SMJUs to be nimble and responsive to future events and customer needs.</w:t>
      </w:r>
      <w:r>
        <w:t xml:space="preserve">  </w:t>
      </w:r>
      <w:r w:rsidRPr="00D170CD">
        <w:t>In contrast, a Tier 3 advice letter, if contested, can take months to resolve and receive a</w:t>
      </w:r>
      <w:r>
        <w:t xml:space="preserve"> </w:t>
      </w:r>
      <w:r w:rsidRPr="00D170CD">
        <w:t>Commission decision; thereby, handcuffing the SMJU requesting the needed budget</w:t>
      </w:r>
      <w:r>
        <w:t xml:space="preserve"> </w:t>
      </w:r>
      <w:r w:rsidRPr="00D170CD">
        <w:t>change.</w:t>
      </w:r>
      <w:r>
        <w:rPr>
          <w:rStyle w:val="FootnoteReference"/>
        </w:rPr>
        <w:footnoteReference w:id="95"/>
      </w:r>
    </w:p>
    <w:p w:rsidRPr="00C64BE1" w:rsidR="008959A4" w:rsidP="008959A4" w:rsidRDefault="008959A4" w14:paraId="5C3FF8DC" w14:textId="77777777">
      <w:pPr>
        <w:pStyle w:val="Heading4"/>
        <w:tabs>
          <w:tab w:val="clear" w:pos="2160"/>
        </w:tabs>
        <w:ind w:left="3510" w:hanging="1170"/>
        <w:rPr>
          <w:iCs/>
          <w:u w:val="single"/>
        </w:rPr>
      </w:pPr>
      <w:bookmarkStart w:name="_Toc82159711" w:id="124"/>
      <w:r w:rsidRPr="004F18BE">
        <w:t xml:space="preserve">Liberty </w:t>
      </w:r>
      <w:r>
        <w:t>Response</w:t>
      </w:r>
      <w:bookmarkEnd w:id="124"/>
    </w:p>
    <w:p w:rsidR="008959A4" w:rsidP="008959A4" w:rsidRDefault="008959A4" w14:paraId="1D3AF8C0" w14:textId="77777777">
      <w:pPr>
        <w:pStyle w:val="ALJBodyText"/>
      </w:pPr>
      <w:bookmarkStart w:name="_Hlk77932118" w:id="125"/>
      <w:r>
        <w:rPr>
          <w:b/>
          <w:bCs/>
          <w:i/>
          <w:iCs/>
          <w:u w:val="single"/>
        </w:rPr>
        <w:t>Evaluation of Liberty’s CARE P</w:t>
      </w:r>
      <w:r w:rsidRPr="005A3DC8">
        <w:rPr>
          <w:b/>
          <w:bCs/>
          <w:i/>
          <w:iCs/>
          <w:u w:val="single"/>
        </w:rPr>
        <w:t xml:space="preserve">rogram </w:t>
      </w:r>
      <w:r>
        <w:rPr>
          <w:b/>
          <w:bCs/>
          <w:i/>
          <w:iCs/>
          <w:u w:val="single"/>
        </w:rPr>
        <w:t>M</w:t>
      </w:r>
      <w:r w:rsidRPr="005A3DC8">
        <w:rPr>
          <w:b/>
          <w:bCs/>
          <w:i/>
          <w:iCs/>
          <w:u w:val="single"/>
        </w:rPr>
        <w:t>anagement</w:t>
      </w:r>
      <w:r>
        <w:rPr>
          <w:b/>
          <w:bCs/>
          <w:i/>
          <w:iCs/>
          <w:u w:val="single"/>
        </w:rPr>
        <w:t xml:space="preserve"> Budget</w:t>
      </w:r>
      <w:r w:rsidRPr="000E485A">
        <w:rPr>
          <w:b/>
          <w:bCs/>
          <w:i/>
          <w:iCs/>
        </w:rPr>
        <w:t>:</w:t>
      </w:r>
      <w:r w:rsidRPr="000E485A">
        <w:t xml:space="preserve"> </w:t>
      </w:r>
      <w:r>
        <w:t xml:space="preserve"> </w:t>
      </w:r>
      <w:r w:rsidRPr="00C85AE0">
        <w:t xml:space="preserve">Liberty </w:t>
      </w:r>
      <w:r>
        <w:t xml:space="preserve">states that its proposed budget </w:t>
      </w:r>
      <w:r w:rsidRPr="00C85AE0">
        <w:t>increase is reflective of inflation</w:t>
      </w:r>
      <w:r>
        <w:t xml:space="preserve"> and is needed </w:t>
      </w:r>
      <w:r w:rsidRPr="00C85AE0">
        <w:t xml:space="preserve">to cover the costs </w:t>
      </w:r>
      <w:r>
        <w:t>of its ME&amp;O, which also includes labor</w:t>
      </w:r>
      <w:r w:rsidRPr="00C85AE0">
        <w:t xml:space="preserve">. </w:t>
      </w:r>
      <w:r>
        <w:t xml:space="preserve"> Liberty claims that Cal Advocates fail to account for all of </w:t>
      </w:r>
      <w:r w:rsidRPr="00C85AE0">
        <w:t>Liberty’s prior outreach expenses</w:t>
      </w:r>
      <w:r>
        <w:t xml:space="preserve"> in its assessment and </w:t>
      </w:r>
      <w:r w:rsidRPr="00C85AE0">
        <w:t>argu</w:t>
      </w:r>
      <w:r>
        <w:t>ment that the</w:t>
      </w:r>
      <w:r w:rsidRPr="00C85AE0">
        <w:t xml:space="preserve"> proposed increase is</w:t>
      </w:r>
      <w:r>
        <w:t xml:space="preserve"> too</w:t>
      </w:r>
      <w:r w:rsidRPr="00C85AE0">
        <w:t xml:space="preserve"> significant</w:t>
      </w:r>
      <w:r>
        <w:t xml:space="preserve">.  </w:t>
      </w:r>
      <w:r w:rsidRPr="00C85AE0">
        <w:lastRenderedPageBreak/>
        <w:t xml:space="preserve">Specifically, Liberty </w:t>
      </w:r>
      <w:r>
        <w:t xml:space="preserve">states that </w:t>
      </w:r>
      <w:r w:rsidRPr="00C85AE0">
        <w:t>Cal</w:t>
      </w:r>
      <w:r>
        <w:t xml:space="preserve"> Advocates’ assessment of its PY 2018 outreach expenses did not </w:t>
      </w:r>
      <w:r w:rsidRPr="00C85AE0">
        <w:t>include</w:t>
      </w:r>
      <w:r>
        <w:t xml:space="preserve"> </w:t>
      </w:r>
      <w:r w:rsidRPr="00C85AE0">
        <w:t>labor for outreach</w:t>
      </w:r>
      <w:r>
        <w:t xml:space="preserve"> and did not account for the new budgets approved in</w:t>
      </w:r>
      <w:r w:rsidRPr="00C85AE0">
        <w:t xml:space="preserve"> D.18-08-020 </w:t>
      </w:r>
      <w:r>
        <w:t xml:space="preserve">which ended up </w:t>
      </w:r>
      <w:r w:rsidRPr="00C85AE0">
        <w:t>increas</w:t>
      </w:r>
      <w:r>
        <w:t>ing</w:t>
      </w:r>
      <w:r w:rsidRPr="00C85AE0">
        <w:t xml:space="preserve"> the outreach budgets </w:t>
      </w:r>
      <w:r>
        <w:t>at</w:t>
      </w:r>
      <w:r w:rsidRPr="00C85AE0">
        <w:t xml:space="preserve"> the end of</w:t>
      </w:r>
      <w:r>
        <w:t xml:space="preserve"> </w:t>
      </w:r>
      <w:r w:rsidRPr="00C85AE0">
        <w:t xml:space="preserve">August 2018. </w:t>
      </w:r>
      <w:r>
        <w:t xml:space="preserve"> A</w:t>
      </w:r>
      <w:r w:rsidRPr="00C85AE0">
        <w:t xml:space="preserve">ccordingly, Liberty’s </w:t>
      </w:r>
      <w:r>
        <w:t xml:space="preserve">proposed </w:t>
      </w:r>
      <w:r w:rsidRPr="00C85AE0">
        <w:t xml:space="preserve">outreach </w:t>
      </w:r>
      <w:r>
        <w:t xml:space="preserve">budget is not a </w:t>
      </w:r>
      <w:r w:rsidRPr="00C85AE0">
        <w:t>large increase</w:t>
      </w:r>
      <w:r>
        <w:t xml:space="preserve"> </w:t>
      </w:r>
      <w:r w:rsidRPr="00C85AE0">
        <w:t>compar</w:t>
      </w:r>
      <w:r>
        <w:t>ed</w:t>
      </w:r>
      <w:r w:rsidRPr="00C85AE0">
        <w:t xml:space="preserve"> to actual prior outreach expenditures, as claimed by Cal</w:t>
      </w:r>
      <w:r>
        <w:t xml:space="preserve"> Advocates</w:t>
      </w:r>
      <w:r w:rsidRPr="00C85AE0">
        <w:t>.</w:t>
      </w:r>
      <w:r>
        <w:t xml:space="preserve">  Lastly, Liberty opposes both the mid-cycle evaluation report and advice letter requirements, stating that the evaluation </w:t>
      </w:r>
      <w:r w:rsidRPr="00C85AE0">
        <w:t xml:space="preserve">would be duplicative of </w:t>
      </w:r>
      <w:r>
        <w:t xml:space="preserve">its annual report, is </w:t>
      </w:r>
      <w:r w:rsidRPr="00C85AE0">
        <w:t>unnecessary</w:t>
      </w:r>
      <w:r>
        <w:t xml:space="preserve">, and </w:t>
      </w:r>
      <w:r w:rsidRPr="00C85AE0">
        <w:t>unduly</w:t>
      </w:r>
      <w:r>
        <w:t xml:space="preserve"> </w:t>
      </w:r>
      <w:r w:rsidRPr="00C85AE0">
        <w:t>burdensome given Liberty’s small size and more limited resources.</w:t>
      </w:r>
      <w:r>
        <w:rPr>
          <w:rStyle w:val="FootnoteReference"/>
        </w:rPr>
        <w:footnoteReference w:id="96"/>
      </w:r>
    </w:p>
    <w:p w:rsidRPr="007D7FBC" w:rsidR="008959A4" w:rsidP="008959A4" w:rsidRDefault="008959A4" w14:paraId="7A6595A5" w14:textId="77777777">
      <w:pPr>
        <w:pStyle w:val="Heading4"/>
      </w:pPr>
      <w:bookmarkStart w:name="_Toc82159712" w:id="126"/>
      <w:r w:rsidRPr="007D7FBC">
        <w:t>Southwest Gas</w:t>
      </w:r>
      <w:r w:rsidRPr="009E3CBA">
        <w:t xml:space="preserve"> </w:t>
      </w:r>
      <w:r>
        <w:t>Response</w:t>
      </w:r>
      <w:bookmarkEnd w:id="126"/>
    </w:p>
    <w:p w:rsidR="008959A4" w:rsidP="008959A4" w:rsidRDefault="008959A4" w14:paraId="262AC81D" w14:textId="77777777">
      <w:pPr>
        <w:pStyle w:val="Standard"/>
      </w:pPr>
      <w:r>
        <w:rPr>
          <w:b/>
          <w:bCs/>
          <w:i/>
          <w:iCs/>
          <w:u w:val="single"/>
        </w:rPr>
        <w:t>CARE Subsidy Budgets</w:t>
      </w:r>
      <w:r w:rsidRPr="000E485A">
        <w:rPr>
          <w:b/>
          <w:bCs/>
          <w:i/>
          <w:iCs/>
        </w:rPr>
        <w:t>:</w:t>
      </w:r>
      <w:r w:rsidRPr="008F3336">
        <w:t xml:space="preserve"> </w:t>
      </w:r>
      <w:r>
        <w:t xml:space="preserve"> Southwest Gas reiterates that </w:t>
      </w:r>
      <w:r w:rsidRPr="002A3248">
        <w:t>EEC</w:t>
      </w:r>
      <w:r>
        <w:t xml:space="preserve"> and Free Energy </w:t>
      </w:r>
      <w:r w:rsidRPr="002A3248">
        <w:t>rel</w:t>
      </w:r>
      <w:r>
        <w:t>y</w:t>
      </w:r>
      <w:r w:rsidRPr="002A3248">
        <w:t xml:space="preserve"> on inaccurate CARE enrollment estimates</w:t>
      </w:r>
      <w:r>
        <w:t xml:space="preserve"> to propose new CARE budgets, </w:t>
      </w:r>
      <w:r w:rsidRPr="002A3248">
        <w:t>resulting</w:t>
      </w:r>
      <w:r>
        <w:t xml:space="preserve"> in </w:t>
      </w:r>
      <w:r w:rsidRPr="002A3248">
        <w:t>inaccurate and unreasonable program goals and budgets</w:t>
      </w:r>
      <w:r>
        <w:t xml:space="preserve">, which </w:t>
      </w:r>
      <w:r w:rsidRPr="002A3248">
        <w:t>should be rejected.</w:t>
      </w:r>
      <w:r>
        <w:rPr>
          <w:rStyle w:val="FootnoteReference"/>
        </w:rPr>
        <w:footnoteReference w:id="97"/>
      </w:r>
    </w:p>
    <w:p w:rsidRPr="00C64BE1" w:rsidR="008959A4" w:rsidP="008959A4" w:rsidRDefault="008959A4" w14:paraId="524BCD09" w14:textId="77777777">
      <w:pPr>
        <w:pStyle w:val="Heading4"/>
        <w:tabs>
          <w:tab w:val="clear" w:pos="2160"/>
        </w:tabs>
        <w:ind w:left="3510" w:hanging="1170"/>
        <w:rPr>
          <w:iCs/>
          <w:u w:val="single"/>
        </w:rPr>
      </w:pPr>
      <w:bookmarkStart w:name="_Toc82159713" w:id="127"/>
      <w:r>
        <w:t>PacifiCorp</w:t>
      </w:r>
      <w:r w:rsidRPr="009E3CBA">
        <w:t xml:space="preserve"> </w:t>
      </w:r>
      <w:r>
        <w:t>Response</w:t>
      </w:r>
      <w:bookmarkEnd w:id="127"/>
    </w:p>
    <w:p w:rsidRPr="003A55D2" w:rsidR="008959A4" w:rsidP="008959A4" w:rsidRDefault="008959A4" w14:paraId="4105BD91" w14:textId="77777777">
      <w:pPr>
        <w:pStyle w:val="Standard"/>
      </w:pPr>
      <w:r>
        <w:rPr>
          <w:b/>
          <w:bCs/>
          <w:i/>
          <w:iCs/>
          <w:u w:val="single"/>
        </w:rPr>
        <w:t>CARE Subsidy Budgets</w:t>
      </w:r>
      <w:r w:rsidRPr="000E485A">
        <w:rPr>
          <w:b/>
          <w:bCs/>
          <w:i/>
          <w:iCs/>
        </w:rPr>
        <w:t>:</w:t>
      </w:r>
      <w:r w:rsidRPr="000E485A">
        <w:t xml:space="preserve"> </w:t>
      </w:r>
      <w:r>
        <w:t xml:space="preserve"> PacifiCorp reiterates that </w:t>
      </w:r>
      <w:r w:rsidRPr="002A3248">
        <w:t>EEC</w:t>
      </w:r>
      <w:r>
        <w:t xml:space="preserve"> and Free Energy’s</w:t>
      </w:r>
      <w:r w:rsidRPr="002B625C">
        <w:t xml:space="preserve"> </w:t>
      </w:r>
      <w:r>
        <w:t>“</w:t>
      </w:r>
      <w:r w:rsidRPr="002B625C">
        <w:t>back of the envelope</w:t>
      </w:r>
      <w:r>
        <w:t>”</w:t>
      </w:r>
      <w:r w:rsidRPr="002B625C">
        <w:t xml:space="preserve"> calculation </w:t>
      </w:r>
      <w:r>
        <w:t xml:space="preserve">and proposal </w:t>
      </w:r>
      <w:r w:rsidRPr="002B625C">
        <w:t xml:space="preserve">is </w:t>
      </w:r>
      <w:r>
        <w:t xml:space="preserve">just as </w:t>
      </w:r>
      <w:r w:rsidRPr="002B625C">
        <w:t xml:space="preserve">uncertain as the impacts of the COVID-19 pandemic on the CARE </w:t>
      </w:r>
      <w:r>
        <w:t>p</w:t>
      </w:r>
      <w:r w:rsidRPr="002B625C">
        <w:t>rogram</w:t>
      </w:r>
      <w:r>
        <w:t xml:space="preserve">.  Because </w:t>
      </w:r>
      <w:r w:rsidRPr="002B625C">
        <w:t>PacifiCorp recognizes th</w:t>
      </w:r>
      <w:r>
        <w:t>at there may be</w:t>
      </w:r>
      <w:r w:rsidRPr="002B625C">
        <w:t xml:space="preserve"> </w:t>
      </w:r>
      <w:r>
        <w:t xml:space="preserve">potential impacts of the </w:t>
      </w:r>
      <w:r w:rsidRPr="002B625C">
        <w:t>COVID-19 pandemic</w:t>
      </w:r>
      <w:r>
        <w:t>, it is</w:t>
      </w:r>
      <w:r w:rsidRPr="002B625C">
        <w:t xml:space="preserve"> commit</w:t>
      </w:r>
      <w:r>
        <w:t>ted</w:t>
      </w:r>
      <w:r w:rsidRPr="002B625C">
        <w:t xml:space="preserve"> to re-evaluating the CARE program goals and budgets for the PY</w:t>
      </w:r>
      <w:r>
        <w:t>s</w:t>
      </w:r>
      <w:r w:rsidRPr="002B625C">
        <w:t xml:space="preserve"> 2021-2026</w:t>
      </w:r>
      <w:r>
        <w:t xml:space="preserve"> </w:t>
      </w:r>
      <w:r w:rsidRPr="002B625C">
        <w:t>in the fourth quarter of 2021 to evaluate the impacts and/or change</w:t>
      </w:r>
      <w:r>
        <w:t xml:space="preserve">s </w:t>
      </w:r>
      <w:r w:rsidRPr="002B625C">
        <w:t xml:space="preserve">that might have occurred since the filing of its application. </w:t>
      </w:r>
      <w:r>
        <w:t xml:space="preserve"> And </w:t>
      </w:r>
      <w:r w:rsidRPr="002B625C">
        <w:t xml:space="preserve">if adjustments </w:t>
      </w:r>
      <w:r>
        <w:t>to the</w:t>
      </w:r>
      <w:r w:rsidRPr="002B625C">
        <w:t xml:space="preserve"> goals and/or budgets are necessary, PacifiCorp will</w:t>
      </w:r>
      <w:r>
        <w:t xml:space="preserve"> </w:t>
      </w:r>
      <w:r w:rsidRPr="002B625C">
        <w:t xml:space="preserve">file a Tier 2 </w:t>
      </w:r>
      <w:r>
        <w:t>a</w:t>
      </w:r>
      <w:r w:rsidRPr="002B625C">
        <w:t xml:space="preserve">dvice </w:t>
      </w:r>
      <w:r>
        <w:t>l</w:t>
      </w:r>
      <w:r w:rsidRPr="002B625C">
        <w:t xml:space="preserve">etter </w:t>
      </w:r>
      <w:r w:rsidRPr="002B625C">
        <w:lastRenderedPageBreak/>
        <w:t>to effectuate the changes.</w:t>
      </w:r>
      <w:r>
        <w:t xml:space="preserve">  But until that re-evaluation, </w:t>
      </w:r>
      <w:r w:rsidRPr="002B625C">
        <w:t>PacifiCorp</w:t>
      </w:r>
      <w:r>
        <w:t xml:space="preserve"> states that it</w:t>
      </w:r>
      <w:r w:rsidRPr="002B625C">
        <w:t>s propos</w:t>
      </w:r>
      <w:r>
        <w:t xml:space="preserve">ed budget </w:t>
      </w:r>
      <w:r w:rsidRPr="002B625C">
        <w:t>is reasonable</w:t>
      </w:r>
      <w:r>
        <w:t xml:space="preserve"> and should be accepted</w:t>
      </w:r>
      <w:r w:rsidRPr="002B625C">
        <w:t>.</w:t>
      </w:r>
      <w:r>
        <w:rPr>
          <w:rStyle w:val="FootnoteReference"/>
        </w:rPr>
        <w:footnoteReference w:id="98"/>
      </w:r>
    </w:p>
    <w:p w:rsidRPr="00E13008" w:rsidR="008959A4" w:rsidP="008959A4" w:rsidRDefault="008959A4" w14:paraId="144641B7" w14:textId="77777777">
      <w:pPr>
        <w:pStyle w:val="Heading3"/>
      </w:pPr>
      <w:bookmarkStart w:name="_Toc82159714" w:id="128"/>
      <w:bookmarkEnd w:id="125"/>
      <w:r w:rsidRPr="00E13008">
        <w:t>Discussion</w:t>
      </w:r>
      <w:bookmarkEnd w:id="128"/>
    </w:p>
    <w:p w:rsidRPr="001013A3" w:rsidR="008959A4" w:rsidP="008959A4" w:rsidRDefault="008959A4" w14:paraId="6653BB61" w14:textId="77777777">
      <w:pPr>
        <w:pStyle w:val="Heading4"/>
        <w:ind w:left="3600" w:hanging="1260"/>
      </w:pPr>
      <w:bookmarkStart w:name="_Toc82159715" w:id="129"/>
      <w:r>
        <w:t xml:space="preserve">SMJU Proposed </w:t>
      </w:r>
      <w:r w:rsidRPr="001013A3">
        <w:t>CARE Subsidy</w:t>
      </w:r>
      <w:r>
        <w:t xml:space="preserve"> </w:t>
      </w:r>
      <w:r>
        <w:br/>
        <w:t>Budgets</w:t>
      </w:r>
      <w:r w:rsidRPr="001013A3">
        <w:t>:</w:t>
      </w:r>
      <w:r>
        <w:t xml:space="preserve"> </w:t>
      </w:r>
      <w:r w:rsidRPr="001013A3">
        <w:t xml:space="preserve"> </w:t>
      </w:r>
      <w:r w:rsidRPr="001013A3">
        <w:rPr>
          <w:u w:val="single"/>
        </w:rPr>
        <w:t>Approved</w:t>
      </w:r>
      <w:bookmarkEnd w:id="129"/>
    </w:p>
    <w:p w:rsidRPr="00E3575C" w:rsidR="008959A4" w:rsidP="008959A4" w:rsidRDefault="008959A4" w14:paraId="35487764" w14:textId="77777777">
      <w:pPr>
        <w:spacing w:after="160" w:line="360" w:lineRule="auto"/>
        <w:ind w:firstLine="720"/>
        <w:contextualSpacing/>
      </w:pPr>
      <w:bookmarkStart w:name="_Hlk57719850" w:id="130"/>
      <w:r w:rsidRPr="00E3575C">
        <w:t xml:space="preserve">In comparing the historical subsidy expenditures from PYs 2017-2020 below, we can see that the </w:t>
      </w:r>
      <w:r>
        <w:t xml:space="preserve">SMJU </w:t>
      </w:r>
      <w:r w:rsidRPr="00E3575C">
        <w:t xml:space="preserve">proposed yearly CARE subsidy budgets have increased for all the SMJUs.  We find this reasonable given the comparable increase in the number of households enrolled and the changes to residential electric and gas rates. </w:t>
      </w:r>
      <w:r>
        <w:t xml:space="preserve"> </w:t>
      </w:r>
      <w:r w:rsidRPr="00E3575C">
        <w:t xml:space="preserve">Therefore, we approve the below CARE subsidy budgets. </w:t>
      </w:r>
    </w:p>
    <w:p w:rsidRPr="00027CAD" w:rsidR="008959A4" w:rsidP="008959A4" w:rsidRDefault="008959A4" w14:paraId="38191A89" w14:textId="77777777">
      <w:pPr>
        <w:pStyle w:val="Quote"/>
        <w:keepNext/>
        <w:keepLines/>
        <w:ind w:left="0"/>
        <w:jc w:val="center"/>
        <w:rPr>
          <w:rFonts w:ascii="Book Antiqua" w:hAnsi="Book Antiqua" w:eastAsiaTheme="minorHAnsi"/>
          <w:b/>
          <w:bCs/>
          <w:iCs w:val="0"/>
          <w:color w:val="auto"/>
        </w:rPr>
      </w:pPr>
      <w:r w:rsidRPr="00027CAD">
        <w:rPr>
          <w:rFonts w:ascii="Book Antiqua" w:hAnsi="Book Antiqua" w:eastAsiaTheme="minorHAnsi"/>
          <w:b/>
          <w:bCs/>
          <w:iCs w:val="0"/>
          <w:color w:val="auto"/>
        </w:rPr>
        <w:t>Table 4:  Historical Authorized CARE Subsidy Expenditures versus Proposed CARE Subsidy Budgets</w:t>
      </w:r>
    </w:p>
    <w:tbl>
      <w:tblPr>
        <w:tblStyle w:val="TableGrid"/>
        <w:tblW w:w="10291" w:type="dxa"/>
        <w:jc w:val="center"/>
        <w:tblLook w:val="04A0" w:firstRow="1" w:lastRow="0" w:firstColumn="1" w:lastColumn="0" w:noHBand="0" w:noVBand="1"/>
      </w:tblPr>
      <w:tblGrid>
        <w:gridCol w:w="976"/>
        <w:gridCol w:w="1359"/>
        <w:gridCol w:w="1251"/>
        <w:gridCol w:w="1386"/>
        <w:gridCol w:w="1386"/>
        <w:gridCol w:w="1386"/>
        <w:gridCol w:w="1071"/>
        <w:gridCol w:w="1476"/>
      </w:tblGrid>
      <w:tr w:rsidRPr="00A455EF" w:rsidR="008959A4" w:rsidTr="00717A84" w14:paraId="656A1288" w14:textId="77777777">
        <w:trPr>
          <w:trHeight w:val="320"/>
          <w:jc w:val="center"/>
        </w:trPr>
        <w:tc>
          <w:tcPr>
            <w:tcW w:w="976" w:type="dxa"/>
            <w:noWrap/>
            <w:hideMark/>
          </w:tcPr>
          <w:p w:rsidRPr="00A455EF" w:rsidR="008959A4" w:rsidP="00717A84" w:rsidRDefault="008959A4" w14:paraId="361BC021" w14:textId="77777777">
            <w:pPr>
              <w:keepNext/>
              <w:keepLines/>
              <w:jc w:val="center"/>
              <w:rPr>
                <w:rFonts w:eastAsia="Times New Roman" w:cs="Calibri"/>
                <w:b/>
                <w:bCs/>
                <w:color w:val="000000"/>
                <w:sz w:val="20"/>
              </w:rPr>
            </w:pPr>
            <w:r w:rsidRPr="00950445">
              <w:rPr>
                <w:rFonts w:cs="Calibri"/>
                <w:b/>
                <w:bCs/>
                <w:color w:val="000000"/>
                <w:sz w:val="20"/>
              </w:rPr>
              <w:t>PY</w:t>
            </w:r>
          </w:p>
        </w:tc>
        <w:tc>
          <w:tcPr>
            <w:tcW w:w="1359" w:type="dxa"/>
            <w:noWrap/>
            <w:hideMark/>
          </w:tcPr>
          <w:p w:rsidRPr="00A455EF" w:rsidR="008959A4" w:rsidP="00717A84" w:rsidRDefault="008959A4" w14:paraId="61A67AF7" w14:textId="77777777">
            <w:pPr>
              <w:keepNext/>
              <w:keepLines/>
              <w:jc w:val="center"/>
              <w:rPr>
                <w:rFonts w:eastAsia="Times New Roman" w:cs="Calibri"/>
                <w:b/>
                <w:bCs/>
                <w:color w:val="000000"/>
                <w:sz w:val="20"/>
              </w:rPr>
            </w:pPr>
            <w:r w:rsidRPr="00950445">
              <w:rPr>
                <w:rFonts w:cs="Calibri"/>
                <w:b/>
                <w:bCs/>
                <w:color w:val="000000"/>
                <w:sz w:val="20"/>
              </w:rPr>
              <w:t>Alpine</w:t>
            </w:r>
          </w:p>
        </w:tc>
        <w:tc>
          <w:tcPr>
            <w:tcW w:w="1251" w:type="dxa"/>
          </w:tcPr>
          <w:p w:rsidRPr="00A455EF" w:rsidR="008959A4" w:rsidP="00717A84" w:rsidRDefault="008959A4" w14:paraId="4AC852C9" w14:textId="77777777">
            <w:pPr>
              <w:keepNext/>
              <w:keepLines/>
              <w:jc w:val="center"/>
              <w:rPr>
                <w:rFonts w:eastAsia="Times New Roman" w:cs="Calibri"/>
                <w:b/>
                <w:bCs/>
                <w:color w:val="000000"/>
                <w:sz w:val="20"/>
              </w:rPr>
            </w:pPr>
            <w:r w:rsidRPr="00950445">
              <w:rPr>
                <w:rFonts w:cs="Calibri"/>
                <w:b/>
                <w:bCs/>
                <w:color w:val="000000"/>
                <w:sz w:val="20"/>
              </w:rPr>
              <w:t>Bear Valley</w:t>
            </w:r>
          </w:p>
        </w:tc>
        <w:tc>
          <w:tcPr>
            <w:tcW w:w="1386" w:type="dxa"/>
            <w:noWrap/>
            <w:hideMark/>
          </w:tcPr>
          <w:p w:rsidRPr="00A455EF" w:rsidR="008959A4" w:rsidP="00717A84" w:rsidRDefault="008959A4" w14:paraId="021CC8EF" w14:textId="77777777">
            <w:pPr>
              <w:keepNext/>
              <w:keepLines/>
              <w:jc w:val="center"/>
              <w:rPr>
                <w:rFonts w:eastAsia="Times New Roman" w:cs="Calibri"/>
                <w:b/>
                <w:bCs/>
                <w:color w:val="000000"/>
                <w:sz w:val="20"/>
              </w:rPr>
            </w:pPr>
            <w:r w:rsidRPr="00950445">
              <w:rPr>
                <w:rFonts w:cs="Calibri"/>
                <w:b/>
                <w:bCs/>
                <w:color w:val="000000"/>
                <w:sz w:val="20"/>
              </w:rPr>
              <w:t>Liberty</w:t>
            </w:r>
          </w:p>
        </w:tc>
        <w:tc>
          <w:tcPr>
            <w:tcW w:w="1386" w:type="dxa"/>
            <w:noWrap/>
            <w:hideMark/>
          </w:tcPr>
          <w:p w:rsidRPr="00A455EF" w:rsidR="008959A4" w:rsidP="00717A84" w:rsidRDefault="008959A4" w14:paraId="2555191F" w14:textId="77777777">
            <w:pPr>
              <w:keepNext/>
              <w:keepLines/>
              <w:jc w:val="center"/>
              <w:rPr>
                <w:rFonts w:eastAsia="Times New Roman" w:cs="Calibri"/>
                <w:b/>
                <w:bCs/>
                <w:color w:val="000000"/>
                <w:sz w:val="20"/>
              </w:rPr>
            </w:pPr>
            <w:r w:rsidRPr="00950445">
              <w:rPr>
                <w:rFonts w:cs="Calibri"/>
                <w:b/>
                <w:bCs/>
                <w:color w:val="000000"/>
                <w:sz w:val="20"/>
              </w:rPr>
              <w:t>PacifiCorp</w:t>
            </w:r>
          </w:p>
        </w:tc>
        <w:tc>
          <w:tcPr>
            <w:tcW w:w="1386" w:type="dxa"/>
            <w:noWrap/>
            <w:hideMark/>
          </w:tcPr>
          <w:p w:rsidRPr="00A455EF" w:rsidR="008959A4" w:rsidP="00717A84" w:rsidRDefault="008959A4" w14:paraId="4CB178C1" w14:textId="77777777">
            <w:pPr>
              <w:keepNext/>
              <w:keepLines/>
              <w:jc w:val="center"/>
              <w:rPr>
                <w:rFonts w:eastAsia="Times New Roman" w:cs="Calibri"/>
                <w:b/>
                <w:bCs/>
                <w:color w:val="000000"/>
                <w:sz w:val="20"/>
              </w:rPr>
            </w:pPr>
            <w:r w:rsidRPr="00950445">
              <w:rPr>
                <w:rFonts w:cs="Calibri"/>
                <w:b/>
                <w:bCs/>
                <w:color w:val="000000"/>
                <w:sz w:val="20"/>
              </w:rPr>
              <w:t>Southwest Gas</w:t>
            </w:r>
          </w:p>
        </w:tc>
        <w:tc>
          <w:tcPr>
            <w:tcW w:w="1341" w:type="dxa"/>
          </w:tcPr>
          <w:p w:rsidRPr="00A455EF" w:rsidR="008959A4" w:rsidP="00717A84" w:rsidRDefault="008959A4" w14:paraId="4F726153" w14:textId="77777777">
            <w:pPr>
              <w:keepNext/>
              <w:keepLines/>
              <w:jc w:val="center"/>
              <w:rPr>
                <w:rFonts w:eastAsia="Times New Roman" w:cs="Calibri"/>
                <w:b/>
                <w:bCs/>
                <w:color w:val="000000"/>
                <w:sz w:val="20"/>
              </w:rPr>
            </w:pPr>
            <w:r w:rsidRPr="00950445">
              <w:rPr>
                <w:rFonts w:cs="Calibri"/>
                <w:b/>
                <w:bCs/>
                <w:color w:val="000000"/>
                <w:sz w:val="20"/>
              </w:rPr>
              <w:t>West Coast Gas</w:t>
            </w:r>
          </w:p>
        </w:tc>
        <w:tc>
          <w:tcPr>
            <w:tcW w:w="1206" w:type="dxa"/>
            <w:noWrap/>
            <w:hideMark/>
          </w:tcPr>
          <w:p w:rsidRPr="00A455EF" w:rsidR="008959A4" w:rsidP="00717A84" w:rsidRDefault="008959A4" w14:paraId="720C857D" w14:textId="77777777">
            <w:pPr>
              <w:keepNext/>
              <w:keepLines/>
              <w:jc w:val="center"/>
              <w:rPr>
                <w:rFonts w:eastAsia="Times New Roman" w:cs="Calibri"/>
                <w:b/>
                <w:bCs/>
                <w:color w:val="000000"/>
                <w:sz w:val="20"/>
              </w:rPr>
            </w:pPr>
            <w:r w:rsidRPr="00950445">
              <w:rPr>
                <w:rFonts w:cs="Calibri"/>
                <w:b/>
                <w:bCs/>
                <w:color w:val="000000"/>
                <w:sz w:val="20"/>
              </w:rPr>
              <w:t>Total</w:t>
            </w:r>
          </w:p>
        </w:tc>
      </w:tr>
      <w:tr w:rsidRPr="00A455EF" w:rsidR="008959A4" w:rsidTr="00717A84" w14:paraId="434BCA3F" w14:textId="77777777">
        <w:trPr>
          <w:trHeight w:val="320"/>
          <w:jc w:val="center"/>
        </w:trPr>
        <w:tc>
          <w:tcPr>
            <w:tcW w:w="10291" w:type="dxa"/>
            <w:gridSpan w:val="8"/>
          </w:tcPr>
          <w:p w:rsidRPr="00A455EF" w:rsidR="008959A4" w:rsidP="00717A84" w:rsidRDefault="008959A4" w14:paraId="3155CAA4" w14:textId="77777777">
            <w:pPr>
              <w:keepNext/>
              <w:keepLines/>
              <w:ind w:left="360"/>
              <w:jc w:val="center"/>
              <w:rPr>
                <w:rFonts w:eastAsia="Times New Roman" w:cs="Calibri"/>
                <w:color w:val="000000"/>
                <w:sz w:val="20"/>
              </w:rPr>
            </w:pPr>
            <w:r w:rsidRPr="00950445">
              <w:rPr>
                <w:rFonts w:cs="Calibri"/>
                <w:b/>
                <w:bCs/>
                <w:color w:val="000000"/>
                <w:sz w:val="20"/>
              </w:rPr>
              <w:t>Historical CARE Subsidy Expenditures</w:t>
            </w:r>
          </w:p>
        </w:tc>
      </w:tr>
      <w:tr w:rsidRPr="00A455EF" w:rsidR="008959A4" w:rsidTr="00717A84" w14:paraId="2EB96FF4" w14:textId="77777777">
        <w:trPr>
          <w:trHeight w:val="386"/>
          <w:jc w:val="center"/>
        </w:trPr>
        <w:tc>
          <w:tcPr>
            <w:tcW w:w="976" w:type="dxa"/>
            <w:noWrap/>
            <w:hideMark/>
          </w:tcPr>
          <w:p w:rsidRPr="00A455EF" w:rsidR="008959A4" w:rsidP="00717A84" w:rsidRDefault="008959A4" w14:paraId="4D9AB677" w14:textId="77777777">
            <w:pPr>
              <w:keepNext/>
              <w:keepLines/>
              <w:ind w:left="360"/>
              <w:rPr>
                <w:rFonts w:eastAsia="Times New Roman" w:cs="Calibri"/>
                <w:color w:val="000000"/>
                <w:sz w:val="20"/>
              </w:rPr>
            </w:pPr>
            <w:r w:rsidRPr="00950445">
              <w:rPr>
                <w:rFonts w:cs="Calibri"/>
                <w:color w:val="000000"/>
                <w:sz w:val="18"/>
                <w:szCs w:val="18"/>
              </w:rPr>
              <w:t>2017</w:t>
            </w:r>
          </w:p>
        </w:tc>
        <w:tc>
          <w:tcPr>
            <w:tcW w:w="1359" w:type="dxa"/>
            <w:noWrap/>
          </w:tcPr>
          <w:p w:rsidRPr="00A455EF" w:rsidR="008959A4" w:rsidP="00717A84" w:rsidRDefault="008959A4" w14:paraId="4356DC6E" w14:textId="77777777">
            <w:pPr>
              <w:keepNext/>
              <w:keepLines/>
              <w:ind w:left="360"/>
              <w:jc w:val="right"/>
              <w:rPr>
                <w:rFonts w:eastAsia="Times New Roman" w:cs="Calibri"/>
                <w:color w:val="000000"/>
                <w:sz w:val="20"/>
              </w:rPr>
            </w:pPr>
            <w:r w:rsidRPr="00950445">
              <w:rPr>
                <w:rFonts w:cs="Calibri"/>
                <w:color w:val="000000"/>
                <w:sz w:val="18"/>
                <w:szCs w:val="18"/>
              </w:rPr>
              <w:t>$23,106</w:t>
            </w:r>
          </w:p>
        </w:tc>
        <w:tc>
          <w:tcPr>
            <w:tcW w:w="1251" w:type="dxa"/>
          </w:tcPr>
          <w:p w:rsidRPr="00A455EF" w:rsidR="008959A4" w:rsidP="00717A84" w:rsidRDefault="008959A4" w14:paraId="765342B2" w14:textId="77777777">
            <w:pPr>
              <w:keepNext/>
              <w:keepLines/>
              <w:ind w:left="360"/>
              <w:jc w:val="right"/>
              <w:rPr>
                <w:rFonts w:eastAsia="Times New Roman" w:cs="Calibri"/>
                <w:color w:val="000000"/>
                <w:sz w:val="20"/>
              </w:rPr>
            </w:pPr>
            <w:r w:rsidRPr="00950445">
              <w:rPr>
                <w:rFonts w:cs="Calibri"/>
                <w:color w:val="000000"/>
                <w:sz w:val="18"/>
                <w:szCs w:val="18"/>
              </w:rPr>
              <w:t>$278,737</w:t>
            </w:r>
          </w:p>
        </w:tc>
        <w:tc>
          <w:tcPr>
            <w:tcW w:w="1386" w:type="dxa"/>
            <w:noWrap/>
          </w:tcPr>
          <w:p w:rsidRPr="00A455EF" w:rsidR="008959A4" w:rsidP="00717A84" w:rsidRDefault="008959A4" w14:paraId="7332A597" w14:textId="77777777">
            <w:pPr>
              <w:keepNext/>
              <w:keepLines/>
              <w:ind w:left="360"/>
              <w:jc w:val="right"/>
              <w:rPr>
                <w:rFonts w:eastAsia="Times New Roman" w:cs="Calibri"/>
                <w:color w:val="000000"/>
                <w:sz w:val="20"/>
              </w:rPr>
            </w:pPr>
            <w:r w:rsidRPr="00950445">
              <w:rPr>
                <w:rFonts w:cs="Calibri"/>
                <w:color w:val="000000"/>
                <w:sz w:val="18"/>
                <w:szCs w:val="18"/>
              </w:rPr>
              <w:t>$818,223</w:t>
            </w:r>
          </w:p>
        </w:tc>
        <w:tc>
          <w:tcPr>
            <w:tcW w:w="1386" w:type="dxa"/>
            <w:noWrap/>
          </w:tcPr>
          <w:p w:rsidRPr="00A455EF" w:rsidR="008959A4" w:rsidP="00717A84" w:rsidRDefault="008959A4" w14:paraId="790786AA" w14:textId="77777777">
            <w:pPr>
              <w:keepNext/>
              <w:keepLines/>
              <w:ind w:left="360"/>
              <w:jc w:val="right"/>
              <w:rPr>
                <w:rFonts w:eastAsia="Times New Roman" w:cs="Calibri"/>
                <w:color w:val="000000"/>
                <w:sz w:val="20"/>
              </w:rPr>
            </w:pPr>
            <w:r w:rsidRPr="00950445">
              <w:rPr>
                <w:rFonts w:cs="Calibri"/>
                <w:color w:val="000000"/>
                <w:sz w:val="18"/>
                <w:szCs w:val="18"/>
              </w:rPr>
              <w:t>$3,903,947</w:t>
            </w:r>
          </w:p>
        </w:tc>
        <w:tc>
          <w:tcPr>
            <w:tcW w:w="1386" w:type="dxa"/>
          </w:tcPr>
          <w:p w:rsidRPr="00A455EF" w:rsidR="008959A4" w:rsidP="00717A84" w:rsidRDefault="008959A4" w14:paraId="30C62EDB" w14:textId="77777777">
            <w:pPr>
              <w:keepNext/>
              <w:keepLines/>
              <w:ind w:left="360"/>
              <w:jc w:val="right"/>
              <w:rPr>
                <w:rFonts w:eastAsia="Times New Roman" w:cs="Calibri"/>
                <w:color w:val="000000"/>
                <w:sz w:val="20"/>
              </w:rPr>
            </w:pPr>
            <w:r w:rsidRPr="00950445">
              <w:rPr>
                <w:rFonts w:cs="Calibri"/>
                <w:color w:val="000000"/>
                <w:sz w:val="18"/>
                <w:szCs w:val="18"/>
              </w:rPr>
              <w:t>$6,389,376</w:t>
            </w:r>
          </w:p>
        </w:tc>
        <w:tc>
          <w:tcPr>
            <w:tcW w:w="1341" w:type="dxa"/>
          </w:tcPr>
          <w:p w:rsidRPr="00A455EF" w:rsidR="008959A4" w:rsidP="00717A84" w:rsidRDefault="008959A4" w14:paraId="3E004E37" w14:textId="77777777">
            <w:pPr>
              <w:keepNext/>
              <w:keepLines/>
              <w:ind w:left="360"/>
              <w:jc w:val="right"/>
              <w:rPr>
                <w:rFonts w:eastAsia="Times New Roman" w:cs="Calibri"/>
                <w:color w:val="000000"/>
                <w:sz w:val="20"/>
              </w:rPr>
            </w:pPr>
            <w:r w:rsidRPr="00950445">
              <w:rPr>
                <w:rFonts w:cs="Calibri"/>
                <w:color w:val="000000"/>
                <w:sz w:val="18"/>
                <w:szCs w:val="18"/>
              </w:rPr>
              <w:t>$4,750</w:t>
            </w:r>
          </w:p>
        </w:tc>
        <w:tc>
          <w:tcPr>
            <w:tcW w:w="1206" w:type="dxa"/>
            <w:noWrap/>
          </w:tcPr>
          <w:p w:rsidRPr="00A455EF" w:rsidR="008959A4" w:rsidP="00717A84" w:rsidRDefault="008959A4" w14:paraId="2CC578D6" w14:textId="77777777">
            <w:pPr>
              <w:keepNext/>
              <w:keepLines/>
              <w:ind w:left="360"/>
              <w:jc w:val="right"/>
              <w:rPr>
                <w:rFonts w:eastAsia="Times New Roman" w:cs="Calibri"/>
                <w:color w:val="000000"/>
                <w:sz w:val="20"/>
              </w:rPr>
            </w:pPr>
            <w:r w:rsidRPr="00950445">
              <w:rPr>
                <w:rFonts w:cs="Calibri"/>
                <w:color w:val="000000"/>
                <w:sz w:val="18"/>
                <w:szCs w:val="18"/>
              </w:rPr>
              <w:t>$11,418,138</w:t>
            </w:r>
          </w:p>
        </w:tc>
      </w:tr>
      <w:tr w:rsidRPr="00A455EF" w:rsidR="008959A4" w:rsidTr="00717A84" w14:paraId="7607C7DF" w14:textId="77777777">
        <w:trPr>
          <w:trHeight w:val="413"/>
          <w:jc w:val="center"/>
        </w:trPr>
        <w:tc>
          <w:tcPr>
            <w:tcW w:w="976" w:type="dxa"/>
            <w:noWrap/>
            <w:hideMark/>
          </w:tcPr>
          <w:p w:rsidRPr="00A455EF" w:rsidR="008959A4" w:rsidP="00717A84" w:rsidRDefault="008959A4" w14:paraId="1B089EB0" w14:textId="77777777">
            <w:pPr>
              <w:keepNext/>
              <w:keepLines/>
              <w:ind w:left="360"/>
              <w:rPr>
                <w:rFonts w:eastAsia="Times New Roman" w:cs="Calibri"/>
                <w:color w:val="000000"/>
                <w:sz w:val="20"/>
              </w:rPr>
            </w:pPr>
            <w:r w:rsidRPr="00950445">
              <w:rPr>
                <w:rFonts w:cs="Calibri"/>
                <w:color w:val="000000"/>
                <w:sz w:val="18"/>
                <w:szCs w:val="18"/>
              </w:rPr>
              <w:t>2018</w:t>
            </w:r>
          </w:p>
        </w:tc>
        <w:tc>
          <w:tcPr>
            <w:tcW w:w="1359" w:type="dxa"/>
            <w:noWrap/>
          </w:tcPr>
          <w:p w:rsidRPr="00A455EF" w:rsidR="008959A4" w:rsidP="00717A84" w:rsidRDefault="008959A4" w14:paraId="34BC7E82" w14:textId="77777777">
            <w:pPr>
              <w:keepNext/>
              <w:keepLines/>
              <w:ind w:left="360"/>
              <w:jc w:val="right"/>
              <w:rPr>
                <w:rFonts w:eastAsia="Times New Roman" w:cs="Calibri"/>
                <w:color w:val="000000"/>
                <w:sz w:val="20"/>
              </w:rPr>
            </w:pPr>
            <w:r w:rsidRPr="00950445">
              <w:rPr>
                <w:rFonts w:cs="Calibri"/>
                <w:color w:val="000000"/>
                <w:sz w:val="18"/>
                <w:szCs w:val="18"/>
              </w:rPr>
              <w:t>$22,092</w:t>
            </w:r>
          </w:p>
        </w:tc>
        <w:tc>
          <w:tcPr>
            <w:tcW w:w="1251" w:type="dxa"/>
          </w:tcPr>
          <w:p w:rsidRPr="00A455EF" w:rsidR="008959A4" w:rsidP="00717A84" w:rsidRDefault="008959A4" w14:paraId="3E4E2063" w14:textId="77777777">
            <w:pPr>
              <w:keepNext/>
              <w:keepLines/>
              <w:ind w:left="360"/>
              <w:jc w:val="right"/>
              <w:rPr>
                <w:rFonts w:eastAsia="Times New Roman" w:cs="Calibri"/>
                <w:color w:val="000000"/>
                <w:sz w:val="20"/>
              </w:rPr>
            </w:pPr>
            <w:r w:rsidRPr="00950445">
              <w:rPr>
                <w:rFonts w:cs="Calibri"/>
                <w:color w:val="000000"/>
                <w:sz w:val="18"/>
                <w:szCs w:val="18"/>
              </w:rPr>
              <w:t>$256,114</w:t>
            </w:r>
          </w:p>
        </w:tc>
        <w:tc>
          <w:tcPr>
            <w:tcW w:w="1386" w:type="dxa"/>
            <w:noWrap/>
          </w:tcPr>
          <w:p w:rsidRPr="00A455EF" w:rsidR="008959A4" w:rsidP="00717A84" w:rsidRDefault="008959A4" w14:paraId="563D43AA" w14:textId="77777777">
            <w:pPr>
              <w:keepNext/>
              <w:keepLines/>
              <w:ind w:left="360"/>
              <w:jc w:val="right"/>
              <w:rPr>
                <w:rFonts w:eastAsia="Times New Roman" w:cs="Calibri"/>
                <w:color w:val="000000"/>
                <w:sz w:val="20"/>
              </w:rPr>
            </w:pPr>
            <w:r w:rsidRPr="00950445">
              <w:rPr>
                <w:rFonts w:cs="Calibri"/>
                <w:color w:val="000000"/>
                <w:sz w:val="18"/>
                <w:szCs w:val="18"/>
              </w:rPr>
              <w:t>$765,364</w:t>
            </w:r>
          </w:p>
        </w:tc>
        <w:tc>
          <w:tcPr>
            <w:tcW w:w="1386" w:type="dxa"/>
            <w:noWrap/>
          </w:tcPr>
          <w:p w:rsidRPr="00A455EF" w:rsidR="008959A4" w:rsidP="00717A84" w:rsidRDefault="008959A4" w14:paraId="0759B876" w14:textId="77777777">
            <w:pPr>
              <w:keepNext/>
              <w:keepLines/>
              <w:ind w:left="360"/>
              <w:jc w:val="right"/>
              <w:rPr>
                <w:rFonts w:eastAsia="Times New Roman" w:cs="Calibri"/>
                <w:color w:val="000000"/>
                <w:sz w:val="20"/>
              </w:rPr>
            </w:pPr>
            <w:r w:rsidRPr="00950445">
              <w:rPr>
                <w:rFonts w:cs="Calibri"/>
                <w:color w:val="000000"/>
                <w:sz w:val="18"/>
                <w:szCs w:val="18"/>
              </w:rPr>
              <w:t>$3,723,353</w:t>
            </w:r>
          </w:p>
        </w:tc>
        <w:tc>
          <w:tcPr>
            <w:tcW w:w="1386" w:type="dxa"/>
          </w:tcPr>
          <w:p w:rsidRPr="00A455EF" w:rsidR="008959A4" w:rsidP="00717A84" w:rsidRDefault="008959A4" w14:paraId="18064955" w14:textId="77777777">
            <w:pPr>
              <w:keepNext/>
              <w:keepLines/>
              <w:ind w:left="360"/>
              <w:jc w:val="right"/>
              <w:rPr>
                <w:rFonts w:eastAsia="Times New Roman" w:cs="Calibri"/>
                <w:color w:val="000000"/>
                <w:sz w:val="20"/>
              </w:rPr>
            </w:pPr>
            <w:r w:rsidRPr="00950445">
              <w:rPr>
                <w:rFonts w:cs="Calibri"/>
                <w:color w:val="000000"/>
                <w:sz w:val="18"/>
                <w:szCs w:val="18"/>
              </w:rPr>
              <w:t>$6,231,813</w:t>
            </w:r>
          </w:p>
        </w:tc>
        <w:tc>
          <w:tcPr>
            <w:tcW w:w="1341" w:type="dxa"/>
          </w:tcPr>
          <w:p w:rsidRPr="00A455EF" w:rsidR="008959A4" w:rsidP="00717A84" w:rsidRDefault="008959A4" w14:paraId="4437F9C7" w14:textId="77777777">
            <w:pPr>
              <w:keepNext/>
              <w:keepLines/>
              <w:ind w:left="360"/>
              <w:jc w:val="right"/>
              <w:rPr>
                <w:rFonts w:eastAsia="Times New Roman" w:cs="Calibri"/>
                <w:color w:val="000000"/>
                <w:sz w:val="20"/>
              </w:rPr>
            </w:pPr>
            <w:r w:rsidRPr="00950445">
              <w:rPr>
                <w:rFonts w:cs="Calibri"/>
                <w:color w:val="000000"/>
                <w:sz w:val="18"/>
                <w:szCs w:val="18"/>
              </w:rPr>
              <w:t>$5,877</w:t>
            </w:r>
          </w:p>
        </w:tc>
        <w:tc>
          <w:tcPr>
            <w:tcW w:w="1206" w:type="dxa"/>
            <w:noWrap/>
          </w:tcPr>
          <w:p w:rsidRPr="00A455EF" w:rsidR="008959A4" w:rsidP="00717A84" w:rsidRDefault="008959A4" w14:paraId="32760E1A" w14:textId="77777777">
            <w:pPr>
              <w:keepNext/>
              <w:keepLines/>
              <w:ind w:left="360"/>
              <w:jc w:val="right"/>
              <w:rPr>
                <w:rFonts w:eastAsia="Times New Roman" w:cs="Calibri"/>
                <w:color w:val="000000"/>
                <w:sz w:val="20"/>
              </w:rPr>
            </w:pPr>
            <w:r w:rsidRPr="00950445">
              <w:rPr>
                <w:rFonts w:cs="Calibri"/>
                <w:color w:val="000000"/>
                <w:sz w:val="18"/>
                <w:szCs w:val="18"/>
              </w:rPr>
              <w:t>$11,004,613</w:t>
            </w:r>
          </w:p>
        </w:tc>
      </w:tr>
      <w:tr w:rsidRPr="00A455EF" w:rsidR="008959A4" w:rsidTr="00717A84" w14:paraId="10D79C27" w14:textId="77777777">
        <w:trPr>
          <w:trHeight w:val="449"/>
          <w:jc w:val="center"/>
        </w:trPr>
        <w:tc>
          <w:tcPr>
            <w:tcW w:w="976" w:type="dxa"/>
            <w:noWrap/>
            <w:hideMark/>
          </w:tcPr>
          <w:p w:rsidRPr="00A455EF" w:rsidR="008959A4" w:rsidP="00717A84" w:rsidRDefault="008959A4" w14:paraId="238B9A58" w14:textId="77777777">
            <w:pPr>
              <w:ind w:left="360"/>
              <w:rPr>
                <w:rFonts w:eastAsia="Times New Roman" w:cs="Calibri"/>
                <w:color w:val="000000"/>
                <w:sz w:val="20"/>
              </w:rPr>
            </w:pPr>
            <w:r w:rsidRPr="00950445">
              <w:rPr>
                <w:rFonts w:cs="Calibri"/>
                <w:color w:val="000000"/>
                <w:sz w:val="18"/>
                <w:szCs w:val="18"/>
              </w:rPr>
              <w:t>2019</w:t>
            </w:r>
          </w:p>
        </w:tc>
        <w:tc>
          <w:tcPr>
            <w:tcW w:w="1359" w:type="dxa"/>
            <w:noWrap/>
          </w:tcPr>
          <w:p w:rsidRPr="00A455EF" w:rsidR="008959A4" w:rsidP="00717A84" w:rsidRDefault="008959A4" w14:paraId="3DACDDD6" w14:textId="77777777">
            <w:pPr>
              <w:ind w:left="360"/>
              <w:jc w:val="right"/>
              <w:rPr>
                <w:rFonts w:eastAsia="Times New Roman" w:cs="Calibri"/>
                <w:color w:val="000000"/>
                <w:sz w:val="20"/>
              </w:rPr>
            </w:pPr>
            <w:r w:rsidRPr="00950445">
              <w:rPr>
                <w:rFonts w:cs="Calibri"/>
                <w:color w:val="000000"/>
                <w:sz w:val="18"/>
                <w:szCs w:val="18"/>
              </w:rPr>
              <w:t>$23,790</w:t>
            </w:r>
          </w:p>
        </w:tc>
        <w:tc>
          <w:tcPr>
            <w:tcW w:w="1251" w:type="dxa"/>
          </w:tcPr>
          <w:p w:rsidRPr="00A455EF" w:rsidR="008959A4" w:rsidP="00717A84" w:rsidRDefault="008959A4" w14:paraId="2BC7399A" w14:textId="77777777">
            <w:pPr>
              <w:ind w:left="360"/>
              <w:jc w:val="right"/>
              <w:rPr>
                <w:rFonts w:eastAsia="Times New Roman" w:cs="Calibri"/>
                <w:color w:val="000000"/>
                <w:sz w:val="20"/>
              </w:rPr>
            </w:pPr>
            <w:r w:rsidRPr="00950445">
              <w:rPr>
                <w:rFonts w:cs="Calibri"/>
                <w:color w:val="000000"/>
                <w:sz w:val="18"/>
                <w:szCs w:val="18"/>
              </w:rPr>
              <w:t>$243,201</w:t>
            </w:r>
          </w:p>
        </w:tc>
        <w:tc>
          <w:tcPr>
            <w:tcW w:w="1386" w:type="dxa"/>
            <w:noWrap/>
          </w:tcPr>
          <w:p w:rsidRPr="00A455EF" w:rsidR="008959A4" w:rsidP="00717A84" w:rsidRDefault="008959A4" w14:paraId="14F9A124" w14:textId="77777777">
            <w:pPr>
              <w:ind w:left="360"/>
              <w:jc w:val="right"/>
              <w:rPr>
                <w:rFonts w:eastAsia="Times New Roman" w:cs="Calibri"/>
                <w:color w:val="000000"/>
                <w:sz w:val="20"/>
              </w:rPr>
            </w:pPr>
            <w:r w:rsidRPr="00950445">
              <w:rPr>
                <w:rFonts w:cs="Calibri"/>
                <w:color w:val="000000"/>
                <w:sz w:val="18"/>
                <w:szCs w:val="18"/>
              </w:rPr>
              <w:t>$693,637</w:t>
            </w:r>
          </w:p>
        </w:tc>
        <w:tc>
          <w:tcPr>
            <w:tcW w:w="1386" w:type="dxa"/>
            <w:noWrap/>
          </w:tcPr>
          <w:p w:rsidRPr="00A455EF" w:rsidR="008959A4" w:rsidP="00717A84" w:rsidRDefault="008959A4" w14:paraId="47A78D89" w14:textId="77777777">
            <w:pPr>
              <w:ind w:left="360"/>
              <w:jc w:val="right"/>
              <w:rPr>
                <w:rFonts w:eastAsia="Times New Roman" w:cs="Calibri"/>
                <w:color w:val="000000"/>
                <w:sz w:val="20"/>
              </w:rPr>
            </w:pPr>
            <w:r w:rsidRPr="00950445">
              <w:rPr>
                <w:rFonts w:cs="Calibri"/>
                <w:color w:val="000000"/>
                <w:sz w:val="18"/>
                <w:szCs w:val="18"/>
              </w:rPr>
              <w:t>$3,825,883</w:t>
            </w:r>
          </w:p>
        </w:tc>
        <w:tc>
          <w:tcPr>
            <w:tcW w:w="1386" w:type="dxa"/>
          </w:tcPr>
          <w:p w:rsidRPr="00A455EF" w:rsidR="008959A4" w:rsidP="00717A84" w:rsidRDefault="008959A4" w14:paraId="01EDA81A" w14:textId="77777777">
            <w:pPr>
              <w:ind w:left="360"/>
              <w:jc w:val="right"/>
              <w:rPr>
                <w:rFonts w:eastAsia="Times New Roman" w:cs="Calibri"/>
                <w:color w:val="000000"/>
                <w:sz w:val="20"/>
              </w:rPr>
            </w:pPr>
            <w:r w:rsidRPr="00950445">
              <w:rPr>
                <w:rFonts w:cs="Calibri"/>
                <w:color w:val="000000"/>
                <w:sz w:val="18"/>
                <w:szCs w:val="18"/>
              </w:rPr>
              <w:t>$8,356,893</w:t>
            </w:r>
          </w:p>
        </w:tc>
        <w:tc>
          <w:tcPr>
            <w:tcW w:w="1341" w:type="dxa"/>
          </w:tcPr>
          <w:p w:rsidRPr="00A455EF" w:rsidR="008959A4" w:rsidP="00717A84" w:rsidRDefault="008959A4" w14:paraId="15568D11" w14:textId="77777777">
            <w:pPr>
              <w:ind w:left="360"/>
              <w:jc w:val="right"/>
              <w:rPr>
                <w:rFonts w:eastAsia="Times New Roman" w:cs="Calibri"/>
                <w:color w:val="000000"/>
                <w:sz w:val="20"/>
              </w:rPr>
            </w:pPr>
            <w:r w:rsidRPr="00950445">
              <w:rPr>
                <w:rFonts w:cs="Calibri"/>
                <w:color w:val="000000"/>
                <w:sz w:val="18"/>
                <w:szCs w:val="18"/>
              </w:rPr>
              <w:t>$6,853</w:t>
            </w:r>
          </w:p>
        </w:tc>
        <w:tc>
          <w:tcPr>
            <w:tcW w:w="1206" w:type="dxa"/>
            <w:noWrap/>
          </w:tcPr>
          <w:p w:rsidRPr="00A455EF" w:rsidR="008959A4" w:rsidP="00717A84" w:rsidRDefault="008959A4" w14:paraId="346E91AE" w14:textId="77777777">
            <w:pPr>
              <w:ind w:left="360"/>
              <w:jc w:val="right"/>
              <w:rPr>
                <w:rFonts w:eastAsia="Times New Roman" w:cs="Calibri"/>
                <w:color w:val="000000"/>
                <w:sz w:val="20"/>
              </w:rPr>
            </w:pPr>
            <w:r w:rsidRPr="00950445">
              <w:rPr>
                <w:rFonts w:cs="Calibri"/>
                <w:color w:val="000000"/>
                <w:sz w:val="18"/>
                <w:szCs w:val="18"/>
              </w:rPr>
              <w:t>$13,150,257</w:t>
            </w:r>
          </w:p>
        </w:tc>
      </w:tr>
      <w:tr w:rsidRPr="00A455EF" w:rsidR="008959A4" w:rsidTr="00717A84" w14:paraId="6435A255" w14:textId="77777777">
        <w:trPr>
          <w:trHeight w:val="386"/>
          <w:jc w:val="center"/>
        </w:trPr>
        <w:tc>
          <w:tcPr>
            <w:tcW w:w="976" w:type="dxa"/>
            <w:noWrap/>
            <w:hideMark/>
          </w:tcPr>
          <w:p w:rsidRPr="00A455EF" w:rsidR="008959A4" w:rsidP="00717A84" w:rsidRDefault="008959A4" w14:paraId="3A8E32C6" w14:textId="77777777">
            <w:pPr>
              <w:ind w:left="360"/>
              <w:rPr>
                <w:rFonts w:eastAsia="Times New Roman" w:cs="Calibri"/>
                <w:color w:val="000000"/>
                <w:sz w:val="20"/>
              </w:rPr>
            </w:pPr>
            <w:r w:rsidRPr="00950445">
              <w:rPr>
                <w:rFonts w:cs="Calibri"/>
                <w:color w:val="000000"/>
                <w:sz w:val="18"/>
                <w:szCs w:val="18"/>
              </w:rPr>
              <w:t>2020</w:t>
            </w:r>
          </w:p>
        </w:tc>
        <w:tc>
          <w:tcPr>
            <w:tcW w:w="1359" w:type="dxa"/>
            <w:noWrap/>
          </w:tcPr>
          <w:p w:rsidRPr="00A455EF" w:rsidR="008959A4" w:rsidP="00717A84" w:rsidRDefault="008959A4" w14:paraId="7C3EAF04" w14:textId="77777777">
            <w:pPr>
              <w:ind w:left="360"/>
              <w:jc w:val="right"/>
              <w:rPr>
                <w:rFonts w:eastAsia="Times New Roman" w:cs="Calibri"/>
                <w:color w:val="000000"/>
                <w:sz w:val="20"/>
              </w:rPr>
            </w:pPr>
            <w:r w:rsidRPr="00950445">
              <w:rPr>
                <w:rFonts w:cs="Calibri"/>
                <w:color w:val="000000"/>
                <w:sz w:val="18"/>
                <w:szCs w:val="18"/>
              </w:rPr>
              <w:t>$19,065</w:t>
            </w:r>
          </w:p>
        </w:tc>
        <w:tc>
          <w:tcPr>
            <w:tcW w:w="1251" w:type="dxa"/>
          </w:tcPr>
          <w:p w:rsidRPr="00A455EF" w:rsidR="008959A4" w:rsidP="00717A84" w:rsidRDefault="008959A4" w14:paraId="0BCD2B89" w14:textId="77777777">
            <w:pPr>
              <w:ind w:left="360"/>
              <w:jc w:val="right"/>
              <w:rPr>
                <w:rFonts w:eastAsia="Times New Roman" w:cs="Calibri"/>
                <w:color w:val="000000"/>
                <w:sz w:val="20"/>
              </w:rPr>
            </w:pPr>
            <w:r w:rsidRPr="00950445">
              <w:rPr>
                <w:rFonts w:cs="Calibri"/>
                <w:color w:val="000000"/>
                <w:sz w:val="18"/>
                <w:szCs w:val="18"/>
              </w:rPr>
              <w:t>$246,511</w:t>
            </w:r>
          </w:p>
        </w:tc>
        <w:tc>
          <w:tcPr>
            <w:tcW w:w="1386" w:type="dxa"/>
            <w:noWrap/>
          </w:tcPr>
          <w:p w:rsidRPr="00A455EF" w:rsidR="008959A4" w:rsidP="00717A84" w:rsidRDefault="008959A4" w14:paraId="590BDCA4" w14:textId="77777777">
            <w:pPr>
              <w:ind w:left="360"/>
              <w:jc w:val="right"/>
              <w:rPr>
                <w:rFonts w:eastAsia="Times New Roman" w:cs="Calibri"/>
                <w:color w:val="000000"/>
                <w:sz w:val="20"/>
              </w:rPr>
            </w:pPr>
            <w:r w:rsidRPr="00950445">
              <w:rPr>
                <w:rFonts w:cs="Calibri"/>
                <w:color w:val="000000"/>
                <w:sz w:val="18"/>
                <w:szCs w:val="18"/>
              </w:rPr>
              <w:t>$744,015</w:t>
            </w:r>
          </w:p>
        </w:tc>
        <w:tc>
          <w:tcPr>
            <w:tcW w:w="1386" w:type="dxa"/>
            <w:noWrap/>
          </w:tcPr>
          <w:p w:rsidRPr="00A455EF" w:rsidR="008959A4" w:rsidP="00717A84" w:rsidRDefault="008959A4" w14:paraId="371C706C" w14:textId="77777777">
            <w:pPr>
              <w:ind w:left="360"/>
              <w:jc w:val="right"/>
              <w:rPr>
                <w:rFonts w:eastAsia="Times New Roman" w:cs="Calibri"/>
                <w:color w:val="000000"/>
                <w:sz w:val="20"/>
              </w:rPr>
            </w:pPr>
            <w:r w:rsidRPr="00950445">
              <w:rPr>
                <w:rFonts w:cs="Calibri"/>
                <w:color w:val="000000"/>
                <w:sz w:val="18"/>
                <w:szCs w:val="18"/>
              </w:rPr>
              <w:t>$3,610,270</w:t>
            </w:r>
          </w:p>
        </w:tc>
        <w:tc>
          <w:tcPr>
            <w:tcW w:w="1386" w:type="dxa"/>
            <w:noWrap/>
          </w:tcPr>
          <w:p w:rsidRPr="00A455EF" w:rsidR="008959A4" w:rsidP="00717A84" w:rsidRDefault="008959A4" w14:paraId="5911A7D7" w14:textId="77777777">
            <w:pPr>
              <w:ind w:left="360"/>
              <w:jc w:val="right"/>
              <w:rPr>
                <w:rFonts w:eastAsia="Times New Roman" w:cs="Calibri"/>
                <w:color w:val="000000"/>
                <w:sz w:val="20"/>
              </w:rPr>
            </w:pPr>
            <w:r w:rsidRPr="00950445">
              <w:rPr>
                <w:rFonts w:cs="Calibri"/>
                <w:color w:val="000000"/>
                <w:sz w:val="18"/>
                <w:szCs w:val="18"/>
              </w:rPr>
              <w:t>$7,135,777</w:t>
            </w:r>
          </w:p>
        </w:tc>
        <w:tc>
          <w:tcPr>
            <w:tcW w:w="1341" w:type="dxa"/>
          </w:tcPr>
          <w:p w:rsidRPr="00A455EF" w:rsidR="008959A4" w:rsidP="00717A84" w:rsidRDefault="008959A4" w14:paraId="1560BD52" w14:textId="77777777">
            <w:pPr>
              <w:ind w:left="360"/>
              <w:jc w:val="right"/>
              <w:rPr>
                <w:rFonts w:eastAsia="Times New Roman" w:cs="Calibri"/>
                <w:color w:val="000000"/>
                <w:sz w:val="20"/>
              </w:rPr>
            </w:pPr>
            <w:r w:rsidRPr="00950445">
              <w:rPr>
                <w:rFonts w:cs="Calibri"/>
                <w:color w:val="000000"/>
                <w:sz w:val="18"/>
                <w:szCs w:val="18"/>
              </w:rPr>
              <w:t>$7,755</w:t>
            </w:r>
          </w:p>
        </w:tc>
        <w:tc>
          <w:tcPr>
            <w:tcW w:w="1206" w:type="dxa"/>
            <w:noWrap/>
          </w:tcPr>
          <w:p w:rsidRPr="00A455EF" w:rsidR="008959A4" w:rsidP="00717A84" w:rsidRDefault="008959A4" w14:paraId="3B4BC0F1" w14:textId="77777777">
            <w:pPr>
              <w:ind w:left="360"/>
              <w:jc w:val="right"/>
              <w:rPr>
                <w:rFonts w:eastAsia="Times New Roman" w:cs="Calibri"/>
                <w:color w:val="000000"/>
                <w:sz w:val="20"/>
              </w:rPr>
            </w:pPr>
            <w:r w:rsidRPr="00950445">
              <w:rPr>
                <w:rFonts w:cs="Calibri"/>
                <w:color w:val="000000"/>
                <w:sz w:val="18"/>
                <w:szCs w:val="18"/>
              </w:rPr>
              <w:t>$11,763,393</w:t>
            </w:r>
          </w:p>
        </w:tc>
      </w:tr>
      <w:tr w:rsidRPr="00A455EF" w:rsidR="008959A4" w:rsidTr="00717A84" w14:paraId="68B8231C" w14:textId="77777777">
        <w:trPr>
          <w:trHeight w:val="320"/>
          <w:jc w:val="center"/>
        </w:trPr>
        <w:tc>
          <w:tcPr>
            <w:tcW w:w="10291" w:type="dxa"/>
            <w:gridSpan w:val="8"/>
          </w:tcPr>
          <w:p w:rsidRPr="00A455EF" w:rsidR="008959A4" w:rsidP="00717A84" w:rsidRDefault="008959A4" w14:paraId="78A18D56" w14:textId="77777777">
            <w:pPr>
              <w:ind w:left="360"/>
              <w:jc w:val="center"/>
              <w:rPr>
                <w:rFonts w:eastAsia="Times New Roman" w:cs="Calibri"/>
                <w:b/>
                <w:bCs/>
                <w:color w:val="000000"/>
                <w:sz w:val="20"/>
              </w:rPr>
            </w:pPr>
            <w:r w:rsidRPr="00844AAA">
              <w:rPr>
                <w:rFonts w:cs="Calibri"/>
                <w:b/>
                <w:bCs/>
                <w:color w:val="000000"/>
                <w:sz w:val="20"/>
              </w:rPr>
              <w:t>Approved CARE Subsidy Budgets</w:t>
            </w:r>
          </w:p>
        </w:tc>
      </w:tr>
      <w:tr w:rsidRPr="00A455EF" w:rsidR="008959A4" w:rsidTr="00717A84" w14:paraId="022DCF2B" w14:textId="77777777">
        <w:trPr>
          <w:trHeight w:val="320"/>
          <w:jc w:val="center"/>
        </w:trPr>
        <w:tc>
          <w:tcPr>
            <w:tcW w:w="976" w:type="dxa"/>
            <w:noWrap/>
            <w:hideMark/>
          </w:tcPr>
          <w:p w:rsidRPr="00A455EF" w:rsidR="008959A4" w:rsidP="00717A84" w:rsidRDefault="008959A4" w14:paraId="7B27E793" w14:textId="77777777">
            <w:pPr>
              <w:ind w:left="360"/>
              <w:rPr>
                <w:rFonts w:eastAsia="Times New Roman" w:cs="Calibri"/>
                <w:color w:val="000000"/>
                <w:sz w:val="20"/>
              </w:rPr>
            </w:pPr>
            <w:r w:rsidRPr="00950445">
              <w:rPr>
                <w:rFonts w:cs="Calibri"/>
                <w:color w:val="000000"/>
                <w:sz w:val="18"/>
                <w:szCs w:val="18"/>
              </w:rPr>
              <w:t>2021</w:t>
            </w:r>
          </w:p>
        </w:tc>
        <w:tc>
          <w:tcPr>
            <w:tcW w:w="1359" w:type="dxa"/>
            <w:noWrap/>
          </w:tcPr>
          <w:p w:rsidRPr="00A455EF" w:rsidR="008959A4" w:rsidP="00717A84" w:rsidRDefault="008959A4" w14:paraId="44EBDCA7" w14:textId="77777777">
            <w:pPr>
              <w:ind w:left="360"/>
              <w:jc w:val="right"/>
              <w:rPr>
                <w:rFonts w:eastAsia="Times New Roman" w:cs="Calibri"/>
                <w:color w:val="000000"/>
                <w:sz w:val="20"/>
              </w:rPr>
            </w:pPr>
            <w:r w:rsidRPr="00950445">
              <w:rPr>
                <w:rFonts w:cs="Calibri"/>
                <w:color w:val="000000"/>
                <w:sz w:val="18"/>
                <w:szCs w:val="18"/>
              </w:rPr>
              <w:t>$27,000</w:t>
            </w:r>
          </w:p>
        </w:tc>
        <w:tc>
          <w:tcPr>
            <w:tcW w:w="1251" w:type="dxa"/>
          </w:tcPr>
          <w:p w:rsidRPr="00A455EF" w:rsidR="008959A4" w:rsidP="00717A84" w:rsidRDefault="008959A4" w14:paraId="277CBC06" w14:textId="77777777">
            <w:pPr>
              <w:ind w:left="360"/>
              <w:jc w:val="right"/>
              <w:rPr>
                <w:rFonts w:eastAsia="Times New Roman" w:cs="Calibri"/>
                <w:color w:val="000000"/>
                <w:sz w:val="20"/>
              </w:rPr>
            </w:pPr>
            <w:r w:rsidRPr="00950445">
              <w:rPr>
                <w:rFonts w:cs="Calibri"/>
                <w:color w:val="000000"/>
                <w:sz w:val="18"/>
                <w:szCs w:val="18"/>
              </w:rPr>
              <w:t>$268,128</w:t>
            </w:r>
          </w:p>
        </w:tc>
        <w:tc>
          <w:tcPr>
            <w:tcW w:w="1386" w:type="dxa"/>
            <w:noWrap/>
          </w:tcPr>
          <w:p w:rsidRPr="00A455EF" w:rsidR="008959A4" w:rsidP="00717A84" w:rsidRDefault="008959A4" w14:paraId="77460559" w14:textId="77777777">
            <w:pPr>
              <w:ind w:left="360"/>
              <w:jc w:val="right"/>
              <w:rPr>
                <w:rFonts w:eastAsia="Times New Roman" w:cs="Calibri"/>
                <w:color w:val="000000"/>
                <w:sz w:val="20"/>
              </w:rPr>
            </w:pPr>
            <w:r w:rsidRPr="00950445">
              <w:rPr>
                <w:rFonts w:cs="Calibri"/>
                <w:color w:val="000000"/>
                <w:sz w:val="18"/>
                <w:szCs w:val="18"/>
              </w:rPr>
              <w:t>$913,960</w:t>
            </w:r>
          </w:p>
        </w:tc>
        <w:tc>
          <w:tcPr>
            <w:tcW w:w="1386" w:type="dxa"/>
            <w:noWrap/>
          </w:tcPr>
          <w:p w:rsidRPr="00A455EF" w:rsidR="008959A4" w:rsidP="00717A84" w:rsidRDefault="008959A4" w14:paraId="544818FF" w14:textId="77777777">
            <w:pPr>
              <w:ind w:left="360"/>
              <w:jc w:val="right"/>
              <w:rPr>
                <w:rFonts w:eastAsia="Times New Roman" w:cs="Calibri"/>
                <w:color w:val="000000"/>
                <w:sz w:val="20"/>
              </w:rPr>
            </w:pPr>
            <w:r w:rsidRPr="00950445">
              <w:rPr>
                <w:rFonts w:cs="Calibri"/>
                <w:color w:val="000000"/>
                <w:sz w:val="18"/>
                <w:szCs w:val="18"/>
              </w:rPr>
              <w:t>$3,515,000</w:t>
            </w:r>
          </w:p>
        </w:tc>
        <w:tc>
          <w:tcPr>
            <w:tcW w:w="1386" w:type="dxa"/>
            <w:noWrap/>
          </w:tcPr>
          <w:p w:rsidRPr="00A455EF" w:rsidR="008959A4" w:rsidP="00717A84" w:rsidRDefault="008959A4" w14:paraId="6CF3DD9A"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62895D85" w14:textId="77777777">
            <w:pPr>
              <w:ind w:left="360"/>
              <w:jc w:val="right"/>
              <w:rPr>
                <w:rFonts w:eastAsia="Times New Roman" w:cs="Calibri"/>
                <w:color w:val="000000"/>
                <w:sz w:val="20"/>
              </w:rPr>
            </w:pPr>
            <w:r w:rsidRPr="00950445">
              <w:rPr>
                <w:rFonts w:cs="Calibri"/>
                <w:color w:val="000000"/>
                <w:sz w:val="18"/>
                <w:szCs w:val="18"/>
              </w:rPr>
              <w:t>$5,474</w:t>
            </w:r>
          </w:p>
        </w:tc>
        <w:tc>
          <w:tcPr>
            <w:tcW w:w="1206" w:type="dxa"/>
            <w:noWrap/>
          </w:tcPr>
          <w:p w:rsidRPr="00A455EF" w:rsidR="008959A4" w:rsidP="00717A84" w:rsidRDefault="008959A4" w14:paraId="4AD5ABD4" w14:textId="77777777">
            <w:pPr>
              <w:ind w:left="360"/>
              <w:jc w:val="right"/>
              <w:rPr>
                <w:rFonts w:eastAsia="Times New Roman" w:cs="Calibri"/>
                <w:color w:val="000000"/>
                <w:sz w:val="20"/>
              </w:rPr>
            </w:pPr>
            <w:r w:rsidRPr="00950445">
              <w:rPr>
                <w:rFonts w:cs="Calibri"/>
                <w:color w:val="000000"/>
                <w:sz w:val="18"/>
                <w:szCs w:val="18"/>
              </w:rPr>
              <w:t>$12,851,940</w:t>
            </w:r>
          </w:p>
        </w:tc>
      </w:tr>
      <w:tr w:rsidRPr="00A455EF" w:rsidR="008959A4" w:rsidTr="00717A84" w14:paraId="2C0F01D9" w14:textId="77777777">
        <w:trPr>
          <w:trHeight w:val="320"/>
          <w:jc w:val="center"/>
        </w:trPr>
        <w:tc>
          <w:tcPr>
            <w:tcW w:w="976" w:type="dxa"/>
            <w:noWrap/>
            <w:hideMark/>
          </w:tcPr>
          <w:p w:rsidRPr="00A455EF" w:rsidR="008959A4" w:rsidP="00717A84" w:rsidRDefault="008959A4" w14:paraId="32714E5B" w14:textId="77777777">
            <w:pPr>
              <w:ind w:left="360"/>
              <w:rPr>
                <w:rFonts w:eastAsia="Times New Roman" w:cs="Calibri"/>
                <w:color w:val="000000"/>
                <w:sz w:val="20"/>
              </w:rPr>
            </w:pPr>
            <w:r w:rsidRPr="00950445">
              <w:rPr>
                <w:rFonts w:cs="Calibri"/>
                <w:color w:val="000000"/>
                <w:sz w:val="18"/>
                <w:szCs w:val="18"/>
              </w:rPr>
              <w:t>2022</w:t>
            </w:r>
          </w:p>
        </w:tc>
        <w:tc>
          <w:tcPr>
            <w:tcW w:w="1359" w:type="dxa"/>
            <w:noWrap/>
          </w:tcPr>
          <w:p w:rsidRPr="00A455EF" w:rsidR="008959A4" w:rsidP="00717A84" w:rsidRDefault="008959A4" w14:paraId="3FD7D992" w14:textId="77777777">
            <w:pPr>
              <w:ind w:left="360"/>
              <w:jc w:val="right"/>
              <w:rPr>
                <w:rFonts w:eastAsia="Times New Roman" w:cs="Calibri"/>
                <w:color w:val="000000"/>
                <w:sz w:val="20"/>
              </w:rPr>
            </w:pPr>
            <w:r w:rsidRPr="00950445">
              <w:rPr>
                <w:rFonts w:cs="Calibri"/>
                <w:color w:val="000000"/>
                <w:sz w:val="18"/>
                <w:szCs w:val="18"/>
              </w:rPr>
              <w:t>$27,000</w:t>
            </w:r>
          </w:p>
        </w:tc>
        <w:tc>
          <w:tcPr>
            <w:tcW w:w="1251" w:type="dxa"/>
          </w:tcPr>
          <w:p w:rsidRPr="00A455EF" w:rsidR="008959A4" w:rsidP="00717A84" w:rsidRDefault="008959A4" w14:paraId="56C27EB8" w14:textId="77777777">
            <w:pPr>
              <w:ind w:left="360"/>
              <w:jc w:val="right"/>
              <w:rPr>
                <w:rFonts w:eastAsia="Times New Roman" w:cs="Calibri"/>
                <w:color w:val="000000"/>
                <w:sz w:val="20"/>
              </w:rPr>
            </w:pPr>
            <w:r w:rsidRPr="00950445">
              <w:rPr>
                <w:rFonts w:cs="Calibri"/>
                <w:color w:val="000000"/>
                <w:sz w:val="18"/>
                <w:szCs w:val="18"/>
              </w:rPr>
              <w:t>$281,534</w:t>
            </w:r>
          </w:p>
        </w:tc>
        <w:tc>
          <w:tcPr>
            <w:tcW w:w="1386" w:type="dxa"/>
            <w:noWrap/>
          </w:tcPr>
          <w:p w:rsidRPr="00A455EF" w:rsidR="008959A4" w:rsidP="00717A84" w:rsidRDefault="008959A4" w14:paraId="7E843A06" w14:textId="77777777">
            <w:pPr>
              <w:ind w:left="360"/>
              <w:jc w:val="right"/>
              <w:rPr>
                <w:rFonts w:eastAsia="Times New Roman" w:cs="Calibri"/>
                <w:color w:val="000000"/>
                <w:sz w:val="20"/>
              </w:rPr>
            </w:pPr>
            <w:r w:rsidRPr="00950445">
              <w:rPr>
                <w:rFonts w:cs="Calibri"/>
                <w:color w:val="000000"/>
                <w:sz w:val="18"/>
                <w:szCs w:val="18"/>
              </w:rPr>
              <w:t>$913,960</w:t>
            </w:r>
          </w:p>
        </w:tc>
        <w:tc>
          <w:tcPr>
            <w:tcW w:w="1386" w:type="dxa"/>
            <w:noWrap/>
          </w:tcPr>
          <w:p w:rsidRPr="00A455EF" w:rsidR="008959A4" w:rsidP="00717A84" w:rsidRDefault="008959A4" w14:paraId="31B2E893" w14:textId="77777777">
            <w:pPr>
              <w:ind w:left="360"/>
              <w:jc w:val="right"/>
              <w:rPr>
                <w:rFonts w:eastAsia="Times New Roman" w:cs="Calibri"/>
                <w:color w:val="000000"/>
                <w:sz w:val="20"/>
              </w:rPr>
            </w:pPr>
            <w:r w:rsidRPr="00950445">
              <w:rPr>
                <w:rFonts w:cs="Calibri"/>
                <w:color w:val="000000"/>
                <w:sz w:val="18"/>
                <w:szCs w:val="18"/>
              </w:rPr>
              <w:t>$3,585,000</w:t>
            </w:r>
          </w:p>
        </w:tc>
        <w:tc>
          <w:tcPr>
            <w:tcW w:w="1386" w:type="dxa"/>
            <w:noWrap/>
          </w:tcPr>
          <w:p w:rsidRPr="00A455EF" w:rsidR="008959A4" w:rsidP="00717A84" w:rsidRDefault="008959A4" w14:paraId="37911490"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53CEA4E3" w14:textId="77777777">
            <w:pPr>
              <w:ind w:left="360"/>
              <w:jc w:val="right"/>
              <w:rPr>
                <w:rFonts w:eastAsia="Times New Roman" w:cs="Calibri"/>
                <w:color w:val="000000"/>
                <w:sz w:val="20"/>
              </w:rPr>
            </w:pPr>
            <w:r w:rsidRPr="00950445">
              <w:rPr>
                <w:rFonts w:cs="Calibri"/>
                <w:color w:val="000000"/>
                <w:sz w:val="18"/>
                <w:szCs w:val="18"/>
              </w:rPr>
              <w:t>$5,650</w:t>
            </w:r>
          </w:p>
        </w:tc>
        <w:tc>
          <w:tcPr>
            <w:tcW w:w="1206" w:type="dxa"/>
            <w:noWrap/>
          </w:tcPr>
          <w:p w:rsidRPr="00A455EF" w:rsidR="008959A4" w:rsidP="00717A84" w:rsidRDefault="008959A4" w14:paraId="39988ABB" w14:textId="77777777">
            <w:pPr>
              <w:ind w:left="360"/>
              <w:jc w:val="right"/>
              <w:rPr>
                <w:rFonts w:eastAsia="Times New Roman" w:cs="Calibri"/>
                <w:color w:val="000000"/>
                <w:sz w:val="20"/>
              </w:rPr>
            </w:pPr>
            <w:r w:rsidRPr="00950445">
              <w:rPr>
                <w:rFonts w:cs="Calibri"/>
                <w:color w:val="000000"/>
                <w:sz w:val="18"/>
                <w:szCs w:val="18"/>
              </w:rPr>
              <w:t>$12,935,523</w:t>
            </w:r>
          </w:p>
        </w:tc>
      </w:tr>
      <w:tr w:rsidRPr="00A455EF" w:rsidR="008959A4" w:rsidTr="00717A84" w14:paraId="18EA62C4" w14:textId="77777777">
        <w:trPr>
          <w:trHeight w:val="320"/>
          <w:jc w:val="center"/>
        </w:trPr>
        <w:tc>
          <w:tcPr>
            <w:tcW w:w="976" w:type="dxa"/>
            <w:noWrap/>
            <w:hideMark/>
          </w:tcPr>
          <w:p w:rsidRPr="00A455EF" w:rsidR="008959A4" w:rsidP="00717A84" w:rsidRDefault="008959A4" w14:paraId="56C6BA79" w14:textId="77777777">
            <w:pPr>
              <w:ind w:left="360"/>
              <w:rPr>
                <w:rFonts w:eastAsia="Times New Roman" w:cs="Calibri"/>
                <w:color w:val="000000"/>
                <w:sz w:val="20"/>
              </w:rPr>
            </w:pPr>
            <w:r w:rsidRPr="00950445">
              <w:rPr>
                <w:rFonts w:cs="Calibri"/>
                <w:color w:val="000000"/>
                <w:sz w:val="18"/>
                <w:szCs w:val="18"/>
              </w:rPr>
              <w:t>2023</w:t>
            </w:r>
          </w:p>
        </w:tc>
        <w:tc>
          <w:tcPr>
            <w:tcW w:w="1359" w:type="dxa"/>
            <w:noWrap/>
          </w:tcPr>
          <w:p w:rsidRPr="00A455EF" w:rsidR="008959A4" w:rsidP="00717A84" w:rsidRDefault="008959A4" w14:paraId="20EC893A" w14:textId="77777777">
            <w:pPr>
              <w:ind w:left="360"/>
              <w:jc w:val="right"/>
              <w:rPr>
                <w:rFonts w:eastAsia="Times New Roman" w:cs="Calibri"/>
                <w:color w:val="000000"/>
                <w:sz w:val="20"/>
              </w:rPr>
            </w:pPr>
            <w:r w:rsidRPr="00950445">
              <w:rPr>
                <w:rFonts w:cs="Calibri"/>
                <w:color w:val="000000"/>
                <w:sz w:val="18"/>
                <w:szCs w:val="18"/>
              </w:rPr>
              <w:t>$27,000</w:t>
            </w:r>
          </w:p>
        </w:tc>
        <w:tc>
          <w:tcPr>
            <w:tcW w:w="1251" w:type="dxa"/>
          </w:tcPr>
          <w:p w:rsidRPr="00A455EF" w:rsidR="008959A4" w:rsidP="00717A84" w:rsidRDefault="008959A4" w14:paraId="2D5944AC" w14:textId="77777777">
            <w:pPr>
              <w:ind w:left="360"/>
              <w:jc w:val="right"/>
              <w:rPr>
                <w:rFonts w:eastAsia="Times New Roman" w:cs="Calibri"/>
                <w:color w:val="000000"/>
                <w:sz w:val="20"/>
              </w:rPr>
            </w:pPr>
            <w:r w:rsidRPr="00950445">
              <w:rPr>
                <w:rFonts w:cs="Calibri"/>
                <w:color w:val="000000"/>
                <w:sz w:val="18"/>
                <w:szCs w:val="18"/>
              </w:rPr>
              <w:t>$295,611</w:t>
            </w:r>
          </w:p>
        </w:tc>
        <w:tc>
          <w:tcPr>
            <w:tcW w:w="1386" w:type="dxa"/>
            <w:noWrap/>
          </w:tcPr>
          <w:p w:rsidRPr="00A455EF" w:rsidR="008959A4" w:rsidP="00717A84" w:rsidRDefault="008959A4" w14:paraId="54AC42B7" w14:textId="77777777">
            <w:pPr>
              <w:ind w:left="360"/>
              <w:jc w:val="right"/>
              <w:rPr>
                <w:rFonts w:eastAsia="Times New Roman" w:cs="Calibri"/>
                <w:color w:val="000000"/>
                <w:sz w:val="20"/>
              </w:rPr>
            </w:pPr>
            <w:r w:rsidRPr="00950445">
              <w:rPr>
                <w:rFonts w:cs="Calibri"/>
                <w:color w:val="000000"/>
                <w:sz w:val="18"/>
                <w:szCs w:val="18"/>
              </w:rPr>
              <w:t>$913,960</w:t>
            </w:r>
          </w:p>
        </w:tc>
        <w:tc>
          <w:tcPr>
            <w:tcW w:w="1386" w:type="dxa"/>
            <w:noWrap/>
          </w:tcPr>
          <w:p w:rsidRPr="00A455EF" w:rsidR="008959A4" w:rsidP="00717A84" w:rsidRDefault="008959A4" w14:paraId="6F884437" w14:textId="77777777">
            <w:pPr>
              <w:ind w:left="360"/>
              <w:jc w:val="right"/>
              <w:rPr>
                <w:rFonts w:eastAsia="Times New Roman" w:cs="Calibri"/>
                <w:color w:val="000000"/>
                <w:sz w:val="20"/>
              </w:rPr>
            </w:pPr>
            <w:r w:rsidRPr="00950445">
              <w:rPr>
                <w:rFonts w:cs="Calibri"/>
                <w:color w:val="000000"/>
                <w:sz w:val="18"/>
                <w:szCs w:val="18"/>
              </w:rPr>
              <w:t>$3,657,000</w:t>
            </w:r>
          </w:p>
        </w:tc>
        <w:tc>
          <w:tcPr>
            <w:tcW w:w="1386" w:type="dxa"/>
            <w:noWrap/>
          </w:tcPr>
          <w:p w:rsidRPr="00A455EF" w:rsidR="008959A4" w:rsidP="00717A84" w:rsidRDefault="008959A4" w14:paraId="59ADD4BC"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7CC719B8" w14:textId="77777777">
            <w:pPr>
              <w:ind w:left="360"/>
              <w:jc w:val="right"/>
              <w:rPr>
                <w:rFonts w:eastAsia="Times New Roman" w:cs="Calibri"/>
                <w:color w:val="000000"/>
                <w:sz w:val="20"/>
              </w:rPr>
            </w:pPr>
            <w:r w:rsidRPr="00950445">
              <w:rPr>
                <w:rFonts w:cs="Calibri"/>
                <w:color w:val="000000"/>
                <w:sz w:val="18"/>
                <w:szCs w:val="18"/>
              </w:rPr>
              <w:t>$5,833</w:t>
            </w:r>
          </w:p>
        </w:tc>
        <w:tc>
          <w:tcPr>
            <w:tcW w:w="1206" w:type="dxa"/>
            <w:noWrap/>
          </w:tcPr>
          <w:p w:rsidRPr="00A455EF" w:rsidR="008959A4" w:rsidP="00717A84" w:rsidRDefault="008959A4" w14:paraId="7D32977C" w14:textId="77777777">
            <w:pPr>
              <w:ind w:left="360"/>
              <w:jc w:val="right"/>
              <w:rPr>
                <w:rFonts w:eastAsia="Times New Roman" w:cs="Calibri"/>
                <w:color w:val="000000"/>
                <w:sz w:val="20"/>
              </w:rPr>
            </w:pPr>
            <w:r w:rsidRPr="00950445">
              <w:rPr>
                <w:rFonts w:cs="Calibri"/>
                <w:color w:val="000000"/>
                <w:sz w:val="18"/>
                <w:szCs w:val="18"/>
              </w:rPr>
              <w:t>$13,021,782</w:t>
            </w:r>
          </w:p>
        </w:tc>
      </w:tr>
      <w:tr w:rsidRPr="00A455EF" w:rsidR="008959A4" w:rsidTr="00717A84" w14:paraId="6E5E075D" w14:textId="77777777">
        <w:trPr>
          <w:trHeight w:val="320"/>
          <w:jc w:val="center"/>
        </w:trPr>
        <w:tc>
          <w:tcPr>
            <w:tcW w:w="976" w:type="dxa"/>
            <w:noWrap/>
            <w:hideMark/>
          </w:tcPr>
          <w:p w:rsidRPr="00A455EF" w:rsidR="008959A4" w:rsidP="00717A84" w:rsidRDefault="008959A4" w14:paraId="72DBB046" w14:textId="77777777">
            <w:pPr>
              <w:ind w:left="360"/>
              <w:rPr>
                <w:rFonts w:eastAsia="Times New Roman" w:cs="Calibri"/>
                <w:color w:val="000000"/>
                <w:sz w:val="20"/>
              </w:rPr>
            </w:pPr>
            <w:r w:rsidRPr="00950445">
              <w:rPr>
                <w:rFonts w:cs="Calibri"/>
                <w:color w:val="000000"/>
                <w:sz w:val="18"/>
                <w:szCs w:val="18"/>
              </w:rPr>
              <w:t>2024</w:t>
            </w:r>
          </w:p>
        </w:tc>
        <w:tc>
          <w:tcPr>
            <w:tcW w:w="1359" w:type="dxa"/>
            <w:noWrap/>
          </w:tcPr>
          <w:p w:rsidRPr="00A455EF" w:rsidR="008959A4" w:rsidP="00717A84" w:rsidRDefault="008959A4" w14:paraId="71065AAC" w14:textId="77777777">
            <w:pPr>
              <w:ind w:left="360"/>
              <w:jc w:val="right"/>
              <w:rPr>
                <w:rFonts w:eastAsia="Times New Roman" w:cs="Calibri"/>
                <w:color w:val="000000"/>
                <w:sz w:val="20"/>
              </w:rPr>
            </w:pPr>
            <w:r w:rsidRPr="00950445">
              <w:rPr>
                <w:rFonts w:cs="Calibri"/>
                <w:color w:val="000000"/>
                <w:sz w:val="18"/>
                <w:szCs w:val="18"/>
              </w:rPr>
              <w:t>$28,000</w:t>
            </w:r>
          </w:p>
        </w:tc>
        <w:tc>
          <w:tcPr>
            <w:tcW w:w="1251" w:type="dxa"/>
          </w:tcPr>
          <w:p w:rsidRPr="00A455EF" w:rsidR="008959A4" w:rsidP="00717A84" w:rsidRDefault="008959A4" w14:paraId="1BD17265" w14:textId="77777777">
            <w:pPr>
              <w:ind w:left="360"/>
              <w:jc w:val="right"/>
              <w:rPr>
                <w:rFonts w:eastAsia="Times New Roman" w:cs="Calibri"/>
                <w:color w:val="000000"/>
                <w:sz w:val="20"/>
              </w:rPr>
            </w:pPr>
            <w:r w:rsidRPr="00950445">
              <w:rPr>
                <w:rFonts w:cs="Calibri"/>
                <w:color w:val="000000"/>
                <w:sz w:val="18"/>
                <w:szCs w:val="18"/>
              </w:rPr>
              <w:t>$310,392</w:t>
            </w:r>
          </w:p>
        </w:tc>
        <w:tc>
          <w:tcPr>
            <w:tcW w:w="1386" w:type="dxa"/>
            <w:noWrap/>
          </w:tcPr>
          <w:p w:rsidRPr="00A455EF" w:rsidR="008959A4" w:rsidP="00717A84" w:rsidRDefault="008959A4" w14:paraId="4D1E548C" w14:textId="77777777">
            <w:pPr>
              <w:ind w:left="360"/>
              <w:jc w:val="right"/>
              <w:rPr>
                <w:rFonts w:eastAsia="Times New Roman" w:cs="Calibri"/>
                <w:color w:val="000000"/>
                <w:sz w:val="20"/>
              </w:rPr>
            </w:pPr>
            <w:r w:rsidRPr="00950445">
              <w:rPr>
                <w:rFonts w:cs="Calibri"/>
                <w:color w:val="000000"/>
                <w:sz w:val="18"/>
                <w:szCs w:val="18"/>
              </w:rPr>
              <w:t>$1,097,229</w:t>
            </w:r>
          </w:p>
        </w:tc>
        <w:tc>
          <w:tcPr>
            <w:tcW w:w="1386" w:type="dxa"/>
            <w:noWrap/>
          </w:tcPr>
          <w:p w:rsidRPr="00A455EF" w:rsidR="008959A4" w:rsidP="00717A84" w:rsidRDefault="008959A4" w14:paraId="1F9E601E" w14:textId="77777777">
            <w:pPr>
              <w:ind w:left="360"/>
              <w:jc w:val="right"/>
              <w:rPr>
                <w:rFonts w:eastAsia="Times New Roman" w:cs="Calibri"/>
                <w:color w:val="000000"/>
                <w:sz w:val="20"/>
              </w:rPr>
            </w:pPr>
            <w:r w:rsidRPr="00950445">
              <w:rPr>
                <w:rFonts w:cs="Calibri"/>
                <w:color w:val="000000"/>
                <w:sz w:val="18"/>
                <w:szCs w:val="18"/>
              </w:rPr>
              <w:t>$3,730,000</w:t>
            </w:r>
          </w:p>
        </w:tc>
        <w:tc>
          <w:tcPr>
            <w:tcW w:w="1386" w:type="dxa"/>
            <w:noWrap/>
          </w:tcPr>
          <w:p w:rsidRPr="00A455EF" w:rsidR="008959A4" w:rsidP="00717A84" w:rsidRDefault="008959A4" w14:paraId="19DA2FE6"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626C4B97" w14:textId="77777777">
            <w:pPr>
              <w:ind w:left="360"/>
              <w:jc w:val="right"/>
              <w:rPr>
                <w:rFonts w:eastAsia="Times New Roman" w:cs="Calibri"/>
                <w:color w:val="000000"/>
                <w:sz w:val="20"/>
              </w:rPr>
            </w:pPr>
            <w:r w:rsidRPr="00950445">
              <w:rPr>
                <w:rFonts w:cs="Calibri"/>
                <w:color w:val="000000"/>
                <w:sz w:val="18"/>
                <w:szCs w:val="18"/>
              </w:rPr>
              <w:t>$6,021</w:t>
            </w:r>
          </w:p>
        </w:tc>
        <w:tc>
          <w:tcPr>
            <w:tcW w:w="1206" w:type="dxa"/>
            <w:noWrap/>
          </w:tcPr>
          <w:p w:rsidRPr="00A455EF" w:rsidR="008959A4" w:rsidP="00717A84" w:rsidRDefault="008959A4" w14:paraId="6F9CD32B" w14:textId="77777777">
            <w:pPr>
              <w:ind w:left="360"/>
              <w:jc w:val="right"/>
              <w:rPr>
                <w:rFonts w:eastAsia="Times New Roman" w:cs="Calibri"/>
                <w:color w:val="000000"/>
                <w:sz w:val="20"/>
              </w:rPr>
            </w:pPr>
            <w:r w:rsidRPr="00950445">
              <w:rPr>
                <w:rFonts w:cs="Calibri"/>
                <w:color w:val="000000"/>
                <w:sz w:val="18"/>
                <w:szCs w:val="18"/>
              </w:rPr>
              <w:t>$13,294,020</w:t>
            </w:r>
          </w:p>
        </w:tc>
      </w:tr>
      <w:tr w:rsidRPr="00A455EF" w:rsidR="008959A4" w:rsidTr="00717A84" w14:paraId="73DB3074" w14:textId="77777777">
        <w:trPr>
          <w:trHeight w:val="320"/>
          <w:jc w:val="center"/>
        </w:trPr>
        <w:tc>
          <w:tcPr>
            <w:tcW w:w="976" w:type="dxa"/>
            <w:noWrap/>
            <w:hideMark/>
          </w:tcPr>
          <w:p w:rsidRPr="00A455EF" w:rsidR="008959A4" w:rsidP="00717A84" w:rsidRDefault="008959A4" w14:paraId="284D669C" w14:textId="77777777">
            <w:pPr>
              <w:ind w:left="360"/>
              <w:rPr>
                <w:rFonts w:eastAsia="Times New Roman" w:cs="Calibri"/>
                <w:color w:val="000000"/>
                <w:sz w:val="20"/>
              </w:rPr>
            </w:pPr>
            <w:r w:rsidRPr="00950445">
              <w:rPr>
                <w:rFonts w:cs="Calibri"/>
                <w:color w:val="000000"/>
                <w:sz w:val="18"/>
                <w:szCs w:val="18"/>
              </w:rPr>
              <w:t>2025</w:t>
            </w:r>
          </w:p>
        </w:tc>
        <w:tc>
          <w:tcPr>
            <w:tcW w:w="1359" w:type="dxa"/>
            <w:noWrap/>
          </w:tcPr>
          <w:p w:rsidRPr="00A455EF" w:rsidR="008959A4" w:rsidP="00717A84" w:rsidRDefault="008959A4" w14:paraId="3C6630D6" w14:textId="77777777">
            <w:pPr>
              <w:ind w:left="360"/>
              <w:jc w:val="right"/>
              <w:rPr>
                <w:rFonts w:eastAsia="Times New Roman" w:cs="Calibri"/>
                <w:color w:val="000000"/>
                <w:sz w:val="20"/>
              </w:rPr>
            </w:pPr>
            <w:r w:rsidRPr="00950445">
              <w:rPr>
                <w:rFonts w:cs="Calibri"/>
                <w:color w:val="000000"/>
                <w:sz w:val="18"/>
                <w:szCs w:val="18"/>
              </w:rPr>
              <w:t>$28,000</w:t>
            </w:r>
          </w:p>
        </w:tc>
        <w:tc>
          <w:tcPr>
            <w:tcW w:w="1251" w:type="dxa"/>
          </w:tcPr>
          <w:p w:rsidRPr="00A455EF" w:rsidR="008959A4" w:rsidP="00717A84" w:rsidRDefault="008959A4" w14:paraId="376C4421" w14:textId="77777777">
            <w:pPr>
              <w:ind w:left="360"/>
              <w:jc w:val="right"/>
              <w:rPr>
                <w:rFonts w:eastAsia="Times New Roman" w:cs="Calibri"/>
                <w:color w:val="000000"/>
                <w:sz w:val="20"/>
              </w:rPr>
            </w:pPr>
            <w:r w:rsidRPr="00950445">
              <w:rPr>
                <w:rFonts w:cs="Calibri"/>
                <w:color w:val="000000"/>
                <w:sz w:val="18"/>
                <w:szCs w:val="18"/>
              </w:rPr>
              <w:t>$325,911</w:t>
            </w:r>
          </w:p>
        </w:tc>
        <w:tc>
          <w:tcPr>
            <w:tcW w:w="1386" w:type="dxa"/>
            <w:noWrap/>
          </w:tcPr>
          <w:p w:rsidRPr="00A455EF" w:rsidR="008959A4" w:rsidP="00717A84" w:rsidRDefault="008959A4" w14:paraId="4F7E7D47" w14:textId="77777777">
            <w:pPr>
              <w:ind w:left="360"/>
              <w:jc w:val="right"/>
              <w:rPr>
                <w:rFonts w:eastAsia="Times New Roman" w:cs="Calibri"/>
                <w:color w:val="000000"/>
                <w:sz w:val="20"/>
              </w:rPr>
            </w:pPr>
            <w:r w:rsidRPr="00950445">
              <w:rPr>
                <w:rFonts w:cs="Calibri"/>
                <w:color w:val="000000"/>
                <w:sz w:val="18"/>
                <w:szCs w:val="18"/>
              </w:rPr>
              <w:t>$1,097,229</w:t>
            </w:r>
          </w:p>
        </w:tc>
        <w:tc>
          <w:tcPr>
            <w:tcW w:w="1386" w:type="dxa"/>
            <w:noWrap/>
          </w:tcPr>
          <w:p w:rsidRPr="00A455EF" w:rsidR="008959A4" w:rsidP="00717A84" w:rsidRDefault="008959A4" w14:paraId="4298FE16" w14:textId="77777777">
            <w:pPr>
              <w:ind w:left="360"/>
              <w:jc w:val="right"/>
              <w:rPr>
                <w:rFonts w:eastAsia="Times New Roman" w:cs="Calibri"/>
                <w:color w:val="000000"/>
                <w:sz w:val="20"/>
              </w:rPr>
            </w:pPr>
            <w:r w:rsidRPr="00950445">
              <w:rPr>
                <w:rFonts w:cs="Calibri"/>
                <w:color w:val="000000"/>
                <w:sz w:val="18"/>
                <w:szCs w:val="18"/>
              </w:rPr>
              <w:t>$3,805,000</w:t>
            </w:r>
          </w:p>
        </w:tc>
        <w:tc>
          <w:tcPr>
            <w:tcW w:w="1386" w:type="dxa"/>
            <w:noWrap/>
          </w:tcPr>
          <w:p w:rsidRPr="00A455EF" w:rsidR="008959A4" w:rsidP="00717A84" w:rsidRDefault="008959A4" w14:paraId="02585E0C"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131CB3DA" w14:textId="77777777">
            <w:pPr>
              <w:ind w:left="360"/>
              <w:jc w:val="right"/>
              <w:rPr>
                <w:rFonts w:eastAsia="Times New Roman" w:cs="Calibri"/>
                <w:color w:val="000000"/>
                <w:sz w:val="20"/>
              </w:rPr>
            </w:pPr>
            <w:r w:rsidRPr="00950445">
              <w:rPr>
                <w:rFonts w:cs="Calibri"/>
                <w:color w:val="000000"/>
                <w:sz w:val="18"/>
                <w:szCs w:val="18"/>
              </w:rPr>
              <w:t>$6,216</w:t>
            </w:r>
          </w:p>
        </w:tc>
        <w:tc>
          <w:tcPr>
            <w:tcW w:w="1206" w:type="dxa"/>
            <w:noWrap/>
          </w:tcPr>
          <w:p w:rsidRPr="00A455EF" w:rsidR="008959A4" w:rsidP="00717A84" w:rsidRDefault="008959A4" w14:paraId="4F2C5C3B" w14:textId="77777777">
            <w:pPr>
              <w:ind w:left="360"/>
              <w:jc w:val="right"/>
              <w:rPr>
                <w:rFonts w:eastAsia="Times New Roman" w:cs="Calibri"/>
                <w:color w:val="000000"/>
                <w:sz w:val="20"/>
              </w:rPr>
            </w:pPr>
            <w:r w:rsidRPr="00950445">
              <w:rPr>
                <w:rFonts w:cs="Calibri"/>
                <w:color w:val="000000"/>
                <w:sz w:val="18"/>
                <w:szCs w:val="18"/>
              </w:rPr>
              <w:t>$13,384,734</w:t>
            </w:r>
          </w:p>
        </w:tc>
      </w:tr>
      <w:tr w:rsidRPr="00A455EF" w:rsidR="008959A4" w:rsidTr="00717A84" w14:paraId="1E8BDAC7" w14:textId="77777777">
        <w:trPr>
          <w:trHeight w:val="320"/>
          <w:jc w:val="center"/>
        </w:trPr>
        <w:tc>
          <w:tcPr>
            <w:tcW w:w="976" w:type="dxa"/>
            <w:noWrap/>
            <w:hideMark/>
          </w:tcPr>
          <w:p w:rsidRPr="00A455EF" w:rsidR="008959A4" w:rsidP="00717A84" w:rsidRDefault="008959A4" w14:paraId="3ADEB6FF" w14:textId="77777777">
            <w:pPr>
              <w:ind w:left="360"/>
              <w:rPr>
                <w:rFonts w:eastAsia="Times New Roman" w:cs="Calibri"/>
                <w:color w:val="000000"/>
                <w:sz w:val="20"/>
              </w:rPr>
            </w:pPr>
            <w:r w:rsidRPr="00950445">
              <w:rPr>
                <w:rFonts w:cs="Calibri"/>
                <w:color w:val="000000"/>
                <w:sz w:val="18"/>
                <w:szCs w:val="18"/>
              </w:rPr>
              <w:t>2026</w:t>
            </w:r>
          </w:p>
        </w:tc>
        <w:tc>
          <w:tcPr>
            <w:tcW w:w="1359" w:type="dxa"/>
            <w:noWrap/>
          </w:tcPr>
          <w:p w:rsidRPr="00A455EF" w:rsidR="008959A4" w:rsidP="00717A84" w:rsidRDefault="008959A4" w14:paraId="0D1F1AFF" w14:textId="77777777">
            <w:pPr>
              <w:ind w:left="360"/>
              <w:jc w:val="right"/>
              <w:rPr>
                <w:rFonts w:eastAsia="Times New Roman" w:cs="Calibri"/>
                <w:color w:val="000000"/>
                <w:sz w:val="20"/>
              </w:rPr>
            </w:pPr>
            <w:r w:rsidRPr="00950445">
              <w:rPr>
                <w:rFonts w:cs="Calibri"/>
                <w:color w:val="000000"/>
                <w:sz w:val="18"/>
                <w:szCs w:val="18"/>
              </w:rPr>
              <w:t>$28,000</w:t>
            </w:r>
          </w:p>
        </w:tc>
        <w:tc>
          <w:tcPr>
            <w:tcW w:w="1251" w:type="dxa"/>
          </w:tcPr>
          <w:p w:rsidRPr="00A455EF" w:rsidR="008959A4" w:rsidP="00717A84" w:rsidRDefault="008959A4" w14:paraId="7D5B719D" w14:textId="77777777">
            <w:pPr>
              <w:ind w:left="360"/>
              <w:jc w:val="right"/>
              <w:rPr>
                <w:rFonts w:eastAsia="Times New Roman" w:cs="Calibri"/>
                <w:color w:val="000000"/>
                <w:sz w:val="20"/>
              </w:rPr>
            </w:pPr>
            <w:r w:rsidRPr="00950445">
              <w:rPr>
                <w:rFonts w:cs="Calibri"/>
                <w:color w:val="000000"/>
                <w:sz w:val="18"/>
                <w:szCs w:val="18"/>
              </w:rPr>
              <w:t>$342,207</w:t>
            </w:r>
          </w:p>
        </w:tc>
        <w:tc>
          <w:tcPr>
            <w:tcW w:w="1386" w:type="dxa"/>
            <w:noWrap/>
          </w:tcPr>
          <w:p w:rsidRPr="00A455EF" w:rsidR="008959A4" w:rsidP="00717A84" w:rsidRDefault="008959A4" w14:paraId="38229117" w14:textId="77777777">
            <w:pPr>
              <w:ind w:left="360"/>
              <w:jc w:val="right"/>
              <w:rPr>
                <w:rFonts w:eastAsia="Times New Roman" w:cs="Calibri"/>
                <w:color w:val="000000"/>
                <w:sz w:val="20"/>
              </w:rPr>
            </w:pPr>
            <w:r w:rsidRPr="00950445">
              <w:rPr>
                <w:rFonts w:cs="Calibri"/>
                <w:color w:val="000000"/>
                <w:sz w:val="18"/>
                <w:szCs w:val="18"/>
              </w:rPr>
              <w:t>$1,097,229</w:t>
            </w:r>
          </w:p>
        </w:tc>
        <w:tc>
          <w:tcPr>
            <w:tcW w:w="1386" w:type="dxa"/>
            <w:noWrap/>
          </w:tcPr>
          <w:p w:rsidRPr="00A455EF" w:rsidR="008959A4" w:rsidP="00717A84" w:rsidRDefault="008959A4" w14:paraId="2124FF57" w14:textId="77777777">
            <w:pPr>
              <w:ind w:left="360"/>
              <w:jc w:val="right"/>
              <w:rPr>
                <w:rFonts w:eastAsia="Times New Roman" w:cs="Calibri"/>
                <w:color w:val="000000"/>
                <w:sz w:val="20"/>
              </w:rPr>
            </w:pPr>
            <w:r w:rsidRPr="00950445">
              <w:rPr>
                <w:rFonts w:cs="Calibri"/>
                <w:color w:val="000000"/>
                <w:sz w:val="18"/>
                <w:szCs w:val="18"/>
              </w:rPr>
              <w:t>$3,881,000</w:t>
            </w:r>
          </w:p>
        </w:tc>
        <w:tc>
          <w:tcPr>
            <w:tcW w:w="1386" w:type="dxa"/>
            <w:noWrap/>
          </w:tcPr>
          <w:p w:rsidRPr="00A455EF" w:rsidR="008959A4" w:rsidP="00717A84" w:rsidRDefault="008959A4" w14:paraId="23647A3C" w14:textId="77777777">
            <w:pPr>
              <w:ind w:left="360"/>
              <w:jc w:val="right"/>
              <w:rPr>
                <w:rFonts w:eastAsia="Times New Roman" w:cs="Calibri"/>
                <w:color w:val="000000"/>
                <w:sz w:val="20"/>
              </w:rPr>
            </w:pPr>
            <w:r w:rsidRPr="00950445">
              <w:rPr>
                <w:rFonts w:cs="Calibri"/>
                <w:color w:val="000000"/>
                <w:sz w:val="18"/>
                <w:szCs w:val="18"/>
              </w:rPr>
              <w:t>$8,122,378</w:t>
            </w:r>
          </w:p>
        </w:tc>
        <w:tc>
          <w:tcPr>
            <w:tcW w:w="1341" w:type="dxa"/>
          </w:tcPr>
          <w:p w:rsidRPr="00A455EF" w:rsidR="008959A4" w:rsidP="00717A84" w:rsidRDefault="008959A4" w14:paraId="60B20A2A" w14:textId="77777777">
            <w:pPr>
              <w:ind w:left="360"/>
              <w:jc w:val="right"/>
              <w:rPr>
                <w:rFonts w:eastAsia="Times New Roman" w:cs="Calibri"/>
                <w:color w:val="000000"/>
                <w:sz w:val="20"/>
              </w:rPr>
            </w:pPr>
            <w:r w:rsidRPr="00950445">
              <w:rPr>
                <w:rFonts w:cs="Calibri"/>
                <w:color w:val="000000"/>
                <w:sz w:val="18"/>
                <w:szCs w:val="18"/>
              </w:rPr>
              <w:t>$6,417</w:t>
            </w:r>
          </w:p>
        </w:tc>
        <w:tc>
          <w:tcPr>
            <w:tcW w:w="1206" w:type="dxa"/>
            <w:noWrap/>
          </w:tcPr>
          <w:p w:rsidRPr="00A455EF" w:rsidR="008959A4" w:rsidP="00717A84" w:rsidRDefault="008959A4" w14:paraId="293CDA35" w14:textId="77777777">
            <w:pPr>
              <w:ind w:left="360"/>
              <w:jc w:val="right"/>
              <w:rPr>
                <w:rFonts w:eastAsia="Times New Roman" w:cs="Calibri"/>
                <w:color w:val="000000"/>
                <w:sz w:val="20"/>
              </w:rPr>
            </w:pPr>
            <w:r w:rsidRPr="00950445">
              <w:rPr>
                <w:rFonts w:cs="Calibri"/>
                <w:color w:val="000000"/>
                <w:sz w:val="18"/>
                <w:szCs w:val="18"/>
              </w:rPr>
              <w:t>$13,477,230</w:t>
            </w:r>
          </w:p>
        </w:tc>
      </w:tr>
    </w:tbl>
    <w:p w:rsidRPr="00A455EF" w:rsidR="008959A4" w:rsidP="008959A4" w:rsidRDefault="008959A4" w14:paraId="7654CE9E" w14:textId="77777777">
      <w:pPr>
        <w:spacing w:after="160" w:line="360" w:lineRule="auto"/>
        <w:ind w:left="360"/>
        <w:contextualSpacing/>
        <w:rPr>
          <w:sz w:val="10"/>
          <w:szCs w:val="10"/>
        </w:rPr>
      </w:pPr>
    </w:p>
    <w:p w:rsidRPr="006B5D27" w:rsidR="008959A4" w:rsidP="008959A4" w:rsidRDefault="008959A4" w14:paraId="2E878ACC" w14:textId="77777777">
      <w:pPr>
        <w:pStyle w:val="Heading4"/>
        <w:ind w:left="3600" w:hanging="1260"/>
      </w:pPr>
      <w:bookmarkStart w:name="_Toc82159716" w:id="131"/>
      <w:r w:rsidRPr="00A455EF">
        <w:lastRenderedPageBreak/>
        <w:t xml:space="preserve">SMJU Proposed CARE Program </w:t>
      </w:r>
      <w:r>
        <w:br/>
      </w:r>
      <w:r w:rsidRPr="00A455EF">
        <w:t xml:space="preserve">Management Budgets: </w:t>
      </w:r>
      <w:r>
        <w:t xml:space="preserve"> </w:t>
      </w:r>
      <w:r w:rsidRPr="00A455EF">
        <w:rPr>
          <w:u w:val="single"/>
        </w:rPr>
        <w:t>Approved</w:t>
      </w:r>
      <w:bookmarkEnd w:id="131"/>
      <w:r w:rsidRPr="00A455EF">
        <w:t xml:space="preserve"> </w:t>
      </w:r>
    </w:p>
    <w:p w:rsidRPr="006B5D27" w:rsidR="008959A4" w:rsidP="008959A4" w:rsidRDefault="008959A4" w14:paraId="20E47047" w14:textId="77777777">
      <w:pPr>
        <w:pStyle w:val="Heading5"/>
      </w:pPr>
      <w:bookmarkStart w:name="_Toc82159717" w:id="132"/>
      <w:r w:rsidRPr="006B5D27">
        <w:t xml:space="preserve">Alpine’s Program Management Budget: </w:t>
      </w:r>
      <w:r>
        <w:t xml:space="preserve"> </w:t>
      </w:r>
      <w:r w:rsidRPr="00B262E0">
        <w:rPr>
          <w:u w:val="single"/>
        </w:rPr>
        <w:t>Approved</w:t>
      </w:r>
      <w:bookmarkEnd w:id="132"/>
    </w:p>
    <w:p w:rsidR="008959A4" w:rsidP="008959A4" w:rsidRDefault="008959A4" w14:paraId="76B42829" w14:textId="77777777">
      <w:pPr>
        <w:spacing w:after="160" w:line="360" w:lineRule="auto"/>
        <w:ind w:firstLine="720"/>
        <w:contextualSpacing/>
      </w:pPr>
      <w:r>
        <w:t>We</w:t>
      </w:r>
      <w:r w:rsidRPr="0021637A">
        <w:t xml:space="preserve"> approve </w:t>
      </w:r>
      <w:r>
        <w:t>Alpine’s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about $6,000 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18 </w:t>
      </w:r>
      <w:r w:rsidRPr="0021637A">
        <w:t xml:space="preserve">percent </w:t>
      </w:r>
      <w:r>
        <w:t>of total program costs and is an average increase of about $2,100 annually, or a 54 percent increase from PYs 2017-2019 average administrative expenditures of $3,900.</w:t>
      </w:r>
      <w:r w:rsidRPr="00AC033C">
        <w:t xml:space="preserve"> </w:t>
      </w:r>
      <w:r>
        <w:t xml:space="preserve"> These costs </w:t>
      </w:r>
      <w:r w:rsidRPr="0021637A">
        <w:t xml:space="preserve">align with </w:t>
      </w:r>
      <w:r>
        <w:t>Alpine’s</w:t>
      </w:r>
      <w:r w:rsidRPr="0021637A">
        <w:t xml:space="preserve"> plans for increase</w:t>
      </w:r>
      <w:r>
        <w:t>d</w:t>
      </w:r>
      <w:r w:rsidRPr="0021637A">
        <w:t xml:space="preserve"> marketing and outreach efforts to </w:t>
      </w:r>
      <w:r>
        <w:t>reach the 90 percent goal and are reasonable</w:t>
      </w:r>
      <w:r w:rsidRPr="0021637A">
        <w:t>.</w:t>
      </w:r>
    </w:p>
    <w:p w:rsidR="008959A4" w:rsidP="008959A4" w:rsidRDefault="008959A4" w14:paraId="78759AF6" w14:textId="77777777">
      <w:pPr>
        <w:pStyle w:val="Heading5"/>
        <w:rPr>
          <w:u w:val="single"/>
        </w:rPr>
      </w:pPr>
      <w:bookmarkStart w:name="_Toc82159718" w:id="133"/>
      <w:bookmarkStart w:name="_Toc69947834" w:id="134"/>
      <w:bookmarkEnd w:id="130"/>
      <w:r>
        <w:t>Bear Valley’s Program Management</w:t>
      </w:r>
      <w:r w:rsidRPr="001013A3">
        <w:t xml:space="preserve"> Budget: </w:t>
      </w:r>
      <w:r>
        <w:br/>
      </w:r>
      <w:r w:rsidRPr="0074720D">
        <w:rPr>
          <w:u w:val="single"/>
        </w:rPr>
        <w:t>Approved</w:t>
      </w:r>
      <w:bookmarkEnd w:id="133"/>
    </w:p>
    <w:p w:rsidRPr="0021637A" w:rsidR="008959A4" w:rsidP="008959A4" w:rsidRDefault="008959A4" w14:paraId="52C6C920" w14:textId="1B496F5E">
      <w:pPr>
        <w:spacing w:after="160" w:line="360" w:lineRule="auto"/>
        <w:ind w:firstLine="720"/>
        <w:contextualSpacing/>
      </w:pPr>
      <w:r>
        <w:t>We</w:t>
      </w:r>
      <w:r w:rsidRPr="0021637A">
        <w:t xml:space="preserve"> approve </w:t>
      </w:r>
      <w:r>
        <w:t>Bear Valley’s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w:t>
      </w:r>
      <w:r w:rsidR="007D033D">
        <w:t xml:space="preserve">10,649 </w:t>
      </w:r>
      <w:r>
        <w:t>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3.4 </w:t>
      </w:r>
      <w:r w:rsidRPr="0021637A">
        <w:t xml:space="preserve">percent </w:t>
      </w:r>
      <w:r>
        <w:t xml:space="preserve">of total program costs and is an average increase of about $883 annually, or a 9 percent increase from PYs 2017-2019 average </w:t>
      </w:r>
      <w:bookmarkStart w:name="OLE_LINK1" w:id="135"/>
      <w:r>
        <w:t xml:space="preserve">administrative </w:t>
      </w:r>
      <w:bookmarkEnd w:id="135"/>
      <w:r>
        <w:t>expenditures.  Most of the increase comes from the o</w:t>
      </w:r>
      <w:r w:rsidRPr="0021637A">
        <w:t xml:space="preserve">utreach budget </w:t>
      </w:r>
      <w:r>
        <w:t>which is projected at</w:t>
      </w:r>
      <w:r w:rsidRPr="0021637A">
        <w:t xml:space="preserve"> $</w:t>
      </w:r>
      <w:r>
        <w:t>8,774</w:t>
      </w:r>
      <w:r w:rsidRPr="0021637A">
        <w:t xml:space="preserve"> annually and</w:t>
      </w:r>
      <w:r>
        <w:t xml:space="preserve"> </w:t>
      </w:r>
      <w:r w:rsidRPr="0021637A">
        <w:t xml:space="preserve">is an increase of about </w:t>
      </w:r>
      <w:r>
        <w:t>$2,228</w:t>
      </w:r>
      <w:r w:rsidRPr="0021637A">
        <w:t xml:space="preserve"> annually</w:t>
      </w:r>
      <w:r>
        <w:t xml:space="preserve"> compared to PYs 2017-2019 average annual outreach expenditures of $6,546</w:t>
      </w:r>
      <w:r w:rsidRPr="0021637A">
        <w:t>.</w:t>
      </w:r>
      <w:r>
        <w:t xml:space="preserve">  General administration category, which is estimated to be $1,875 annually during PYs 2021-2026 is decreasing by 42 percent from the average annual general administrative expenditures of $3,220 during PY 2017</w:t>
      </w:r>
      <w:r>
        <w:noBreakHyphen/>
        <w:t xml:space="preserve">2019.  </w:t>
      </w:r>
      <w:r w:rsidRPr="00762694">
        <w:t>Bear Valley attributes the increase in</w:t>
      </w:r>
      <w:r>
        <w:t xml:space="preserve"> the overall program management</w:t>
      </w:r>
      <w:r w:rsidRPr="00762694">
        <w:t xml:space="preserve"> budget to its proposal to combine its CARE outreach efforts with the ESA program outreach (</w:t>
      </w:r>
      <w:r w:rsidRPr="00AA01E3">
        <w:rPr>
          <w:i/>
          <w:iCs/>
        </w:rPr>
        <w:t>see</w:t>
      </w:r>
      <w:r>
        <w:t xml:space="preserve"> Section </w:t>
      </w:r>
      <w:r w:rsidRPr="00762694">
        <w:t>4.3.3)</w:t>
      </w:r>
      <w:r>
        <w:t xml:space="preserve">.  These costs </w:t>
      </w:r>
      <w:r w:rsidRPr="0021637A">
        <w:t xml:space="preserve">align with </w:t>
      </w:r>
      <w:r>
        <w:t xml:space="preserve">Bear </w:t>
      </w:r>
      <w:r>
        <w:lastRenderedPageBreak/>
        <w:t>Valley’s</w:t>
      </w:r>
      <w:r w:rsidRPr="0021637A">
        <w:t xml:space="preserve"> plans for increase</w:t>
      </w:r>
      <w:r>
        <w:t>d</w:t>
      </w:r>
      <w:r w:rsidRPr="0021637A">
        <w:t xml:space="preserve"> marketing and outreach efforts to </w:t>
      </w:r>
      <w:r>
        <w:t>reach the 90 percent goal and are reasonable</w:t>
      </w:r>
      <w:r w:rsidRPr="0021637A">
        <w:t>.</w:t>
      </w:r>
    </w:p>
    <w:p w:rsidR="008959A4" w:rsidP="008959A4" w:rsidRDefault="008959A4" w14:paraId="2F1EB0E9" w14:textId="77777777">
      <w:pPr>
        <w:pStyle w:val="Heading5"/>
      </w:pPr>
      <w:bookmarkStart w:name="_Toc82159719" w:id="136"/>
      <w:r>
        <w:t xml:space="preserve">Liberty’s </w:t>
      </w:r>
      <w:r w:rsidRPr="001013A3">
        <w:t xml:space="preserve">Management </w:t>
      </w:r>
      <w:r>
        <w:br/>
      </w:r>
      <w:r w:rsidRPr="001013A3">
        <w:t xml:space="preserve">Budgets: </w:t>
      </w:r>
      <w:r>
        <w:t xml:space="preserve"> </w:t>
      </w:r>
      <w:r w:rsidRPr="00424DD7">
        <w:rPr>
          <w:u w:val="single"/>
        </w:rPr>
        <w:t>Approved</w:t>
      </w:r>
      <w:bookmarkEnd w:id="134"/>
      <w:bookmarkEnd w:id="136"/>
      <w:r w:rsidRPr="00424DD7">
        <w:t xml:space="preserve"> </w:t>
      </w:r>
    </w:p>
    <w:p w:rsidRPr="004F4AD6" w:rsidR="008959A4" w:rsidP="008959A4" w:rsidRDefault="008959A4" w14:paraId="47759DC8" w14:textId="4ADC11E3">
      <w:pPr>
        <w:spacing w:after="160" w:line="360" w:lineRule="auto"/>
        <w:ind w:firstLine="720"/>
        <w:contextualSpacing/>
      </w:pPr>
      <w:r>
        <w:t>We</w:t>
      </w:r>
      <w:r w:rsidRPr="0021637A">
        <w:t xml:space="preserve"> approve </w:t>
      </w:r>
      <w:r>
        <w:t>Liberty’s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about $</w:t>
      </w:r>
      <w:r w:rsidR="009D7C64">
        <w:t xml:space="preserve">162,470 </w:t>
      </w:r>
      <w:r>
        <w:t>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14 </w:t>
      </w:r>
      <w:r w:rsidRPr="0021637A">
        <w:t xml:space="preserve">percent </w:t>
      </w:r>
      <w:r>
        <w:t>of total program costs and is an average increase of about $109,000 annually, or a 200 percent increase from PYs 2017-2019 average expenditures.  The increase is driven from the o</w:t>
      </w:r>
      <w:r w:rsidRPr="0021637A">
        <w:t xml:space="preserve">utreach budget, </w:t>
      </w:r>
      <w:r>
        <w:t>which is projected at</w:t>
      </w:r>
      <w:r w:rsidRPr="0021637A">
        <w:t xml:space="preserve"> </w:t>
      </w:r>
      <w:r>
        <w:t>$93,000</w:t>
      </w:r>
      <w:r w:rsidRPr="0021637A">
        <w:t xml:space="preserve"> annually,</w:t>
      </w:r>
      <w:r>
        <w:t xml:space="preserve"> and </w:t>
      </w:r>
      <w:r w:rsidRPr="0021637A">
        <w:t xml:space="preserve">is an increase of about </w:t>
      </w:r>
      <w:r>
        <w:t>$81,000</w:t>
      </w:r>
      <w:r w:rsidRPr="0021637A">
        <w:t xml:space="preserve"> annually</w:t>
      </w:r>
      <w:r>
        <w:t xml:space="preserve"> when compared to the annual average outreach expenditures during PYs 2017-2019</w:t>
      </w:r>
      <w:r w:rsidRPr="0021637A">
        <w:t>.</w:t>
      </w:r>
      <w:r>
        <w:t xml:space="preserve">  However, PY 2020 authorized outreach budget of $86,000 and outreach expenditures of $79,000 provide additional context for the reasonableness of Liberty’s proposed outreach budgets for PYs 2021-2026.  These costs align with Liberty’s</w:t>
      </w:r>
      <w:r w:rsidRPr="0021637A">
        <w:t xml:space="preserve"> plans for increase</w:t>
      </w:r>
      <w:r>
        <w:t>d</w:t>
      </w:r>
      <w:r w:rsidRPr="0021637A">
        <w:t xml:space="preserve"> marketing and outreach efforts to </w:t>
      </w:r>
      <w:r>
        <w:t>reach the 90 percent goal</w:t>
      </w:r>
      <w:r w:rsidRPr="00DE1968">
        <w:t xml:space="preserve"> </w:t>
      </w:r>
      <w:r>
        <w:t>and are reasonable</w:t>
      </w:r>
      <w:r w:rsidRPr="0021637A">
        <w:t xml:space="preserve">. </w:t>
      </w:r>
      <w:r>
        <w:t xml:space="preserve"> </w:t>
      </w:r>
      <w:r w:rsidRPr="0021637A">
        <w:t xml:space="preserve"> </w:t>
      </w:r>
    </w:p>
    <w:p w:rsidR="008959A4" w:rsidP="008959A4" w:rsidRDefault="008959A4" w14:paraId="0632D1E9" w14:textId="77777777">
      <w:pPr>
        <w:pStyle w:val="Heading5"/>
        <w:rPr>
          <w:u w:val="single"/>
        </w:rPr>
      </w:pPr>
      <w:bookmarkStart w:name="_Toc82159720" w:id="137"/>
      <w:r>
        <w:t xml:space="preserve">PacifiCorp’s Program </w:t>
      </w:r>
      <w:r>
        <w:br/>
        <w:t>Management</w:t>
      </w:r>
      <w:r w:rsidRPr="001013A3">
        <w:t xml:space="preserve"> Budget: </w:t>
      </w:r>
      <w:r>
        <w:t xml:space="preserve"> </w:t>
      </w:r>
      <w:r>
        <w:br/>
      </w:r>
      <w:r w:rsidRPr="0074720D">
        <w:rPr>
          <w:u w:val="single"/>
        </w:rPr>
        <w:t>Approved</w:t>
      </w:r>
      <w:bookmarkEnd w:id="137"/>
    </w:p>
    <w:p w:rsidRPr="004F4AD6" w:rsidR="008959A4" w:rsidP="008959A4" w:rsidRDefault="008959A4" w14:paraId="66AB795C" w14:textId="77A7095A">
      <w:pPr>
        <w:spacing w:after="160" w:line="360" w:lineRule="auto"/>
        <w:ind w:firstLine="720"/>
        <w:contextualSpacing/>
      </w:pPr>
      <w:r>
        <w:t>We</w:t>
      </w:r>
      <w:r w:rsidRPr="0021637A">
        <w:t xml:space="preserve"> approve </w:t>
      </w:r>
      <w:r>
        <w:t>PacifiCorp’s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about $</w:t>
      </w:r>
      <w:r w:rsidR="00E42AC0">
        <w:t xml:space="preserve">151,667 </w:t>
      </w:r>
      <w:r>
        <w:t>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4 </w:t>
      </w:r>
      <w:r w:rsidRPr="0021637A">
        <w:t xml:space="preserve">percent </w:t>
      </w:r>
      <w:r>
        <w:t>of total program costs and is an average increase of about $58,000 annually, or a 62 percent increase from PYs 2017-2019 average expenditures.  Most of the increase comes from the o</w:t>
      </w:r>
      <w:r w:rsidRPr="0021637A">
        <w:t xml:space="preserve">utreach budget </w:t>
      </w:r>
      <w:r>
        <w:t>which is projected at</w:t>
      </w:r>
      <w:r w:rsidRPr="0021637A">
        <w:t xml:space="preserve"> </w:t>
      </w:r>
      <w:r>
        <w:t>$87,000</w:t>
      </w:r>
      <w:r w:rsidRPr="0021637A">
        <w:t xml:space="preserve"> annually and</w:t>
      </w:r>
      <w:r>
        <w:t xml:space="preserve"> </w:t>
      </w:r>
      <w:r w:rsidRPr="0021637A">
        <w:t>is an increase of about $</w:t>
      </w:r>
      <w:r>
        <w:t>30,000</w:t>
      </w:r>
      <w:r w:rsidRPr="0021637A">
        <w:t xml:space="preserve"> annually</w:t>
      </w:r>
      <w:r>
        <w:t xml:space="preserve"> when compared to the average annual outreach expenditures of $57,000 </w:t>
      </w:r>
      <w:r>
        <w:lastRenderedPageBreak/>
        <w:t>during PYs 2017-2019</w:t>
      </w:r>
      <w:r w:rsidRPr="0021637A">
        <w:t>.</w:t>
      </w:r>
      <w:r>
        <w:t xml:space="preserve">  These costs </w:t>
      </w:r>
      <w:r w:rsidRPr="0021637A">
        <w:t xml:space="preserve">align with </w:t>
      </w:r>
      <w:r w:rsidRPr="004F4AD6">
        <w:t xml:space="preserve">PacifiCorp’s </w:t>
      </w:r>
      <w:r w:rsidRPr="0021637A">
        <w:t>plans for increase</w:t>
      </w:r>
      <w:r>
        <w:t>d</w:t>
      </w:r>
      <w:r w:rsidRPr="0021637A">
        <w:t xml:space="preserve"> marketing and outreach efforts to </w:t>
      </w:r>
      <w:r>
        <w:t>reach the 90 percent goal and are reasonable</w:t>
      </w:r>
      <w:r w:rsidRPr="0021637A">
        <w:t xml:space="preserve">. </w:t>
      </w:r>
      <w:r>
        <w:t xml:space="preserve">   </w:t>
      </w:r>
      <w:r w:rsidRPr="0021637A">
        <w:t xml:space="preserve"> </w:t>
      </w:r>
    </w:p>
    <w:p w:rsidR="008959A4" w:rsidP="008959A4" w:rsidRDefault="008959A4" w14:paraId="5B5BB495" w14:textId="77777777">
      <w:pPr>
        <w:pStyle w:val="Heading5"/>
        <w:rPr>
          <w:u w:val="single"/>
        </w:rPr>
      </w:pPr>
      <w:bookmarkStart w:name="_Toc82159721" w:id="138"/>
      <w:r>
        <w:t>Southwest Gas’ Program Management</w:t>
      </w:r>
      <w:r w:rsidRPr="001013A3">
        <w:t xml:space="preserve"> Budget:</w:t>
      </w:r>
      <w:r>
        <w:br/>
      </w:r>
      <w:r w:rsidRPr="0074720D">
        <w:rPr>
          <w:u w:val="single"/>
        </w:rPr>
        <w:t>Approved</w:t>
      </w:r>
      <w:bookmarkEnd w:id="138"/>
    </w:p>
    <w:p w:rsidRPr="004F4AD6" w:rsidR="008959A4" w:rsidP="008959A4" w:rsidRDefault="008959A4" w14:paraId="682BA320" w14:textId="5E1EC45E">
      <w:pPr>
        <w:spacing w:after="160" w:line="360" w:lineRule="auto"/>
        <w:ind w:firstLine="720"/>
        <w:contextualSpacing/>
      </w:pPr>
      <w:r>
        <w:t>We</w:t>
      </w:r>
      <w:r w:rsidRPr="0021637A">
        <w:t xml:space="preserve"> approve </w:t>
      </w:r>
      <w:r>
        <w:t>Southwest Gas’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about $</w:t>
      </w:r>
      <w:r w:rsidR="00B66E0B">
        <w:t xml:space="preserve">357,460 </w:t>
      </w:r>
      <w:r>
        <w:t>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4 </w:t>
      </w:r>
      <w:r w:rsidRPr="0021637A">
        <w:t xml:space="preserve">percent </w:t>
      </w:r>
      <w:r>
        <w:t>of total program costs and is an average increase of about $169,000 annually, or a 90 percent increase from PYs 2017-2019 average expenditures</w:t>
      </w:r>
      <w:r w:rsidRPr="0021637A">
        <w:t xml:space="preserve">. </w:t>
      </w:r>
      <w:r>
        <w:t xml:space="preserve"> Most of the increase comes from the o</w:t>
      </w:r>
      <w:r w:rsidRPr="0021637A">
        <w:t xml:space="preserve">utreach budget, </w:t>
      </w:r>
      <w:r>
        <w:t>which is projected at</w:t>
      </w:r>
      <w:r w:rsidRPr="0021637A">
        <w:t xml:space="preserve"> $</w:t>
      </w:r>
      <w:r>
        <w:t>326,000</w:t>
      </w:r>
      <w:r w:rsidRPr="0021637A">
        <w:t xml:space="preserve"> annually</w:t>
      </w:r>
      <w:r>
        <w:t>,</w:t>
      </w:r>
      <w:r w:rsidRPr="0021637A">
        <w:t xml:space="preserve"> and</w:t>
      </w:r>
      <w:r>
        <w:t xml:space="preserve"> </w:t>
      </w:r>
      <w:r w:rsidRPr="0021637A">
        <w:t>is an increase of about $</w:t>
      </w:r>
      <w:r>
        <w:t>211,000</w:t>
      </w:r>
      <w:r w:rsidRPr="0021637A">
        <w:t xml:space="preserve"> annually</w:t>
      </w:r>
      <w:r>
        <w:t xml:space="preserve"> when compared to the average annual outreach expenditures of $115,000 during PYs 2017-2019</w:t>
      </w:r>
      <w:r w:rsidRPr="0021637A">
        <w:t>.</w:t>
      </w:r>
      <w:r>
        <w:t xml:space="preserve">  Both general administration and processing, certification and recertification are decreasing when compared to previous program years, with the former decreasing an average of 74 percent (from $40,000 annually to $10,000 annually), and the latter decreasing 37 percent (from $33,000 annually to $21,000 annually).  These costs </w:t>
      </w:r>
      <w:r w:rsidRPr="0021637A">
        <w:t xml:space="preserve">align with </w:t>
      </w:r>
      <w:r>
        <w:t>Southwest Gas’</w:t>
      </w:r>
      <w:r w:rsidRPr="0021637A">
        <w:t xml:space="preserve"> plans for increase</w:t>
      </w:r>
      <w:r>
        <w:t>d</w:t>
      </w:r>
      <w:r w:rsidRPr="0021637A">
        <w:t xml:space="preserve"> marketing and outreach efforts to </w:t>
      </w:r>
      <w:r>
        <w:t>reach the 90 percent goal and are reasonable</w:t>
      </w:r>
      <w:r w:rsidRPr="0021637A">
        <w:t xml:space="preserve">. </w:t>
      </w:r>
      <w:r>
        <w:t xml:space="preserve">   </w:t>
      </w:r>
      <w:r w:rsidRPr="0021637A">
        <w:t xml:space="preserve"> </w:t>
      </w:r>
    </w:p>
    <w:p w:rsidR="008959A4" w:rsidP="008959A4" w:rsidRDefault="008959A4" w14:paraId="6D1DEB26" w14:textId="77777777">
      <w:pPr>
        <w:pStyle w:val="Heading5"/>
        <w:rPr>
          <w:u w:val="single"/>
        </w:rPr>
      </w:pPr>
      <w:bookmarkStart w:name="_Toc82159722" w:id="139"/>
      <w:r>
        <w:t>West Coast Gas’ Program Management</w:t>
      </w:r>
      <w:r w:rsidRPr="001013A3">
        <w:t xml:space="preserve"> Budget: </w:t>
      </w:r>
      <w:r>
        <w:t xml:space="preserve"> </w:t>
      </w:r>
      <w:r>
        <w:br/>
      </w:r>
      <w:r w:rsidRPr="0074720D">
        <w:rPr>
          <w:u w:val="single"/>
        </w:rPr>
        <w:t>Approved</w:t>
      </w:r>
      <w:bookmarkEnd w:id="139"/>
    </w:p>
    <w:p w:rsidRPr="004F4AD6" w:rsidR="008959A4" w:rsidP="008959A4" w:rsidRDefault="008959A4" w14:paraId="2FD2F98E" w14:textId="5D6041F5">
      <w:pPr>
        <w:spacing w:after="160" w:line="360" w:lineRule="auto"/>
        <w:ind w:firstLine="720"/>
        <w:contextualSpacing/>
      </w:pPr>
      <w:r>
        <w:t>We</w:t>
      </w:r>
      <w:r w:rsidRPr="0021637A">
        <w:t xml:space="preserve"> approve </w:t>
      </w:r>
      <w:r>
        <w:t>West Coast Gas’</w:t>
      </w:r>
      <w:r w:rsidRPr="0021637A">
        <w:t xml:space="preserve"> </w:t>
      </w:r>
      <w:r>
        <w:t>p</w:t>
      </w:r>
      <w:r w:rsidRPr="002458CF">
        <w:t xml:space="preserve">rogram </w:t>
      </w:r>
      <w:r>
        <w:t>m</w:t>
      </w:r>
      <w:r w:rsidRPr="002458CF">
        <w:t xml:space="preserve">anagement </w:t>
      </w:r>
      <w:r w:rsidRPr="0021637A">
        <w:t>budget</w:t>
      </w:r>
      <w:r>
        <w:t xml:space="preserve"> as proposed, with an average annual budget of about $</w:t>
      </w:r>
      <w:r w:rsidR="006447FB">
        <w:t xml:space="preserve">8,064 </w:t>
      </w:r>
      <w:r>
        <w:t>from PYs 2021-2026</w:t>
      </w:r>
      <w:r w:rsidRPr="0021637A">
        <w:t xml:space="preserve">. </w:t>
      </w:r>
      <w:r>
        <w:t xml:space="preserve"> </w:t>
      </w:r>
      <w:r w:rsidRPr="0021637A">
        <w:t xml:space="preserve">The </w:t>
      </w:r>
      <w:r>
        <w:t xml:space="preserve">proposed </w:t>
      </w:r>
      <w:r w:rsidRPr="002458CF">
        <w:t xml:space="preserve">program management </w:t>
      </w:r>
      <w:r>
        <w:t>costs</w:t>
      </w:r>
      <w:r w:rsidRPr="0021637A">
        <w:t xml:space="preserve"> </w:t>
      </w:r>
      <w:r>
        <w:t xml:space="preserve">account for 58 </w:t>
      </w:r>
      <w:r w:rsidRPr="0021637A">
        <w:t xml:space="preserve">percent </w:t>
      </w:r>
      <w:r>
        <w:t xml:space="preserve">of total program costs and is an average increase of about $4,700 annually, or a 143 percent increase from PYs 2017-2019 average expenditures.  These costs </w:t>
      </w:r>
      <w:r w:rsidRPr="0021637A">
        <w:t xml:space="preserve">align with </w:t>
      </w:r>
      <w:r>
        <w:t xml:space="preserve">West </w:t>
      </w:r>
      <w:r>
        <w:lastRenderedPageBreak/>
        <w:t>Coast Gas’</w:t>
      </w:r>
      <w:r w:rsidRPr="0021637A">
        <w:t xml:space="preserve"> plans for increase</w:t>
      </w:r>
      <w:r>
        <w:t>d</w:t>
      </w:r>
      <w:r w:rsidRPr="0021637A">
        <w:t xml:space="preserve"> marketing and outreach efforts to </w:t>
      </w:r>
      <w:r>
        <w:t>maintain CARE enrollment over the 90 percent goal and are reasonable</w:t>
      </w:r>
      <w:r w:rsidRPr="0021637A">
        <w:t xml:space="preserve">. </w:t>
      </w:r>
      <w:r>
        <w:t xml:space="preserve">   </w:t>
      </w:r>
      <w:r w:rsidRPr="0021637A">
        <w:t xml:space="preserve"> </w:t>
      </w:r>
    </w:p>
    <w:p w:rsidRPr="00AD5B6E" w:rsidR="008959A4" w:rsidP="008959A4" w:rsidRDefault="008959A4" w14:paraId="4BBC9407" w14:textId="77777777">
      <w:pPr>
        <w:pStyle w:val="Heading4"/>
        <w:ind w:left="3600" w:hanging="1260"/>
      </w:pPr>
      <w:bookmarkStart w:name="_Toc69947838" w:id="140"/>
      <w:bookmarkStart w:name="_Toc82159723" w:id="141"/>
      <w:r w:rsidRPr="00AD5B6E">
        <w:t xml:space="preserve">Total Approved CARE </w:t>
      </w:r>
      <w:r>
        <w:br/>
      </w:r>
      <w:r w:rsidRPr="00AD5B6E">
        <w:t xml:space="preserve">Budgets: </w:t>
      </w:r>
      <w:r>
        <w:t xml:space="preserve"> </w:t>
      </w:r>
      <w:r w:rsidRPr="00AD5B6E">
        <w:rPr>
          <w:u w:val="single"/>
        </w:rPr>
        <w:t>Summary</w:t>
      </w:r>
      <w:bookmarkEnd w:id="140"/>
      <w:bookmarkEnd w:id="141"/>
    </w:p>
    <w:p w:rsidR="008959A4" w:rsidP="008959A4" w:rsidRDefault="008959A4" w14:paraId="1C87A969" w14:textId="77777777">
      <w:pPr>
        <w:pStyle w:val="ALJBodyText"/>
      </w:pPr>
      <w:r>
        <w:t>In summary, the total approved CARE budgets (Subsidy + Program Management) are provided below.</w:t>
      </w:r>
    </w:p>
    <w:p w:rsidRPr="00111AAA" w:rsidR="008959A4" w:rsidP="008959A4" w:rsidRDefault="008959A4" w14:paraId="1B7AE4F5" w14:textId="77777777">
      <w:pPr>
        <w:pStyle w:val="BlockQuote"/>
        <w:keepNext/>
        <w:spacing w:before="120"/>
        <w:ind w:left="0"/>
        <w:jc w:val="center"/>
        <w:rPr>
          <w:b/>
          <w:bCs/>
          <w:szCs w:val="26"/>
        </w:rPr>
      </w:pPr>
      <w:r w:rsidRPr="00111AAA">
        <w:rPr>
          <w:b/>
          <w:bCs/>
          <w:szCs w:val="26"/>
        </w:rPr>
        <w:lastRenderedPageBreak/>
        <w:t xml:space="preserve">Table 5: </w:t>
      </w:r>
      <w:r>
        <w:rPr>
          <w:b/>
          <w:bCs/>
          <w:szCs w:val="26"/>
        </w:rPr>
        <w:t xml:space="preserve"> </w:t>
      </w:r>
      <w:r w:rsidRPr="00111AAA">
        <w:rPr>
          <w:b/>
          <w:bCs/>
          <w:szCs w:val="26"/>
        </w:rPr>
        <w:t>Approved CARE Budgets, PYs 2021-2026</w:t>
      </w:r>
    </w:p>
    <w:tbl>
      <w:tblPr>
        <w:tblW w:w="10621" w:type="dxa"/>
        <w:jc w:val="center"/>
        <w:tblLook w:val="04A0" w:firstRow="1" w:lastRow="0" w:firstColumn="1" w:lastColumn="0" w:noHBand="0" w:noVBand="1"/>
      </w:tblPr>
      <w:tblGrid>
        <w:gridCol w:w="1483"/>
        <w:gridCol w:w="1440"/>
        <w:gridCol w:w="1216"/>
        <w:gridCol w:w="1216"/>
        <w:gridCol w:w="1216"/>
        <w:gridCol w:w="1260"/>
        <w:gridCol w:w="1260"/>
        <w:gridCol w:w="1530"/>
      </w:tblGrid>
      <w:tr w:rsidRPr="00111AAA" w:rsidR="008959A4" w:rsidTr="004153B6" w14:paraId="57B8E6E8" w14:textId="77777777">
        <w:trPr>
          <w:trHeight w:val="260"/>
          <w:jc w:val="center"/>
        </w:trPr>
        <w:tc>
          <w:tcPr>
            <w:tcW w:w="1483"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54AE4D3D" w14:textId="77777777">
            <w:pPr>
              <w:keepNext/>
              <w:rPr>
                <w:rFonts w:eastAsia="Times New Roman" w:cs="Calibri"/>
                <w:b/>
                <w:bCs/>
                <w:color w:val="000000"/>
                <w:sz w:val="20"/>
              </w:rPr>
            </w:pPr>
            <w:r w:rsidRPr="00111AAA">
              <w:rPr>
                <w:rFonts w:eastAsia="Times New Roman" w:cs="Calibri"/>
                <w:b/>
                <w:bCs/>
                <w:color w:val="000000"/>
                <w:sz w:val="20"/>
              </w:rPr>
              <w:t>SMJU</w:t>
            </w:r>
          </w:p>
        </w:tc>
        <w:tc>
          <w:tcPr>
            <w:tcW w:w="9138" w:type="dxa"/>
            <w:gridSpan w:val="7"/>
            <w:tcBorders>
              <w:top w:val="single" w:color="auto" w:sz="4" w:space="0"/>
              <w:left w:val="nil"/>
              <w:bottom w:val="single" w:color="auto" w:sz="4" w:space="0"/>
              <w:right w:val="single" w:color="auto" w:sz="4" w:space="0"/>
            </w:tcBorders>
            <w:shd w:val="clear" w:color="auto" w:fill="auto"/>
            <w:noWrap/>
            <w:vAlign w:val="bottom"/>
            <w:hideMark/>
          </w:tcPr>
          <w:p w:rsidRPr="00111AAA" w:rsidR="008959A4" w:rsidP="00717A84" w:rsidRDefault="008959A4" w14:paraId="3DD60CE1" w14:textId="77777777">
            <w:pPr>
              <w:keepNext/>
              <w:ind w:left="360"/>
              <w:jc w:val="center"/>
              <w:rPr>
                <w:rFonts w:eastAsia="Times New Roman" w:cs="Calibri"/>
                <w:b/>
                <w:bCs/>
                <w:color w:val="000000"/>
                <w:sz w:val="20"/>
              </w:rPr>
            </w:pPr>
            <w:r w:rsidRPr="00111AAA">
              <w:rPr>
                <w:rFonts w:eastAsia="Times New Roman" w:cs="Calibri"/>
                <w:b/>
                <w:bCs/>
                <w:color w:val="000000"/>
                <w:sz w:val="20"/>
              </w:rPr>
              <w:t>Approved CARE Administrative Budget</w:t>
            </w:r>
          </w:p>
        </w:tc>
      </w:tr>
      <w:tr w:rsidRPr="00111AAA" w:rsidR="008959A4" w:rsidTr="004153B6" w14:paraId="316C1FA2" w14:textId="77777777">
        <w:trPr>
          <w:trHeight w:val="260"/>
          <w:jc w:val="center"/>
        </w:trPr>
        <w:tc>
          <w:tcPr>
            <w:tcW w:w="1483" w:type="dxa"/>
            <w:vMerge/>
            <w:tcBorders>
              <w:top w:val="single" w:color="auto" w:sz="4" w:space="0"/>
              <w:left w:val="single" w:color="auto" w:sz="4" w:space="0"/>
              <w:bottom w:val="single" w:color="auto" w:sz="4" w:space="0"/>
              <w:right w:val="single" w:color="auto" w:sz="4" w:space="0"/>
            </w:tcBorders>
            <w:vAlign w:val="center"/>
            <w:hideMark/>
          </w:tcPr>
          <w:p w:rsidRPr="00111AAA" w:rsidR="008959A4" w:rsidP="00717A84" w:rsidRDefault="008959A4" w14:paraId="6B7F43F2" w14:textId="77777777">
            <w:pPr>
              <w:keepNext/>
              <w:ind w:left="360"/>
              <w:rPr>
                <w:rFonts w:eastAsia="Times New Roman" w:cs="Calibri"/>
                <w:b/>
                <w:bCs/>
                <w:color w:val="000000"/>
                <w:sz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0C5E89D0" w14:textId="77777777">
            <w:pPr>
              <w:keepNext/>
              <w:ind w:left="360"/>
              <w:jc w:val="right"/>
              <w:rPr>
                <w:rFonts w:eastAsia="Times New Roman" w:cs="Calibri"/>
                <w:b/>
                <w:bCs/>
                <w:color w:val="000000"/>
                <w:sz w:val="20"/>
              </w:rPr>
            </w:pPr>
            <w:r w:rsidRPr="00111AAA">
              <w:rPr>
                <w:rFonts w:eastAsia="Times New Roman" w:cs="Calibri"/>
                <w:b/>
                <w:bCs/>
                <w:color w:val="000000"/>
                <w:sz w:val="20"/>
              </w:rPr>
              <w:t>2021</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21D99D72" w14:textId="77777777">
            <w:pPr>
              <w:keepNext/>
              <w:ind w:left="360"/>
              <w:jc w:val="right"/>
              <w:rPr>
                <w:rFonts w:eastAsia="Times New Roman" w:cs="Calibri"/>
                <w:b/>
                <w:bCs/>
                <w:color w:val="000000"/>
                <w:sz w:val="20"/>
              </w:rPr>
            </w:pPr>
            <w:r w:rsidRPr="00111AAA">
              <w:rPr>
                <w:rFonts w:eastAsia="Times New Roman" w:cs="Calibri"/>
                <w:b/>
                <w:bCs/>
                <w:color w:val="000000"/>
                <w:sz w:val="20"/>
              </w:rPr>
              <w:t>2022</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3479F0B0" w14:textId="77777777">
            <w:pPr>
              <w:keepNext/>
              <w:ind w:left="360"/>
              <w:jc w:val="right"/>
              <w:rPr>
                <w:rFonts w:eastAsia="Times New Roman" w:cs="Calibri"/>
                <w:b/>
                <w:bCs/>
                <w:color w:val="000000"/>
                <w:sz w:val="20"/>
              </w:rPr>
            </w:pPr>
            <w:r w:rsidRPr="00111AAA">
              <w:rPr>
                <w:rFonts w:eastAsia="Times New Roman" w:cs="Calibri"/>
                <w:b/>
                <w:bCs/>
                <w:color w:val="000000"/>
                <w:sz w:val="20"/>
              </w:rPr>
              <w:t>2023</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45135459" w14:textId="77777777">
            <w:pPr>
              <w:keepNext/>
              <w:ind w:left="360"/>
              <w:jc w:val="right"/>
              <w:rPr>
                <w:rFonts w:eastAsia="Times New Roman" w:cs="Calibri"/>
                <w:b/>
                <w:bCs/>
                <w:color w:val="000000"/>
                <w:sz w:val="20"/>
              </w:rPr>
            </w:pPr>
            <w:r w:rsidRPr="00111AAA">
              <w:rPr>
                <w:rFonts w:eastAsia="Times New Roman" w:cs="Calibri"/>
                <w:b/>
                <w:bCs/>
                <w:color w:val="000000"/>
                <w:sz w:val="20"/>
              </w:rPr>
              <w:t>2024</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1197ADF5" w14:textId="77777777">
            <w:pPr>
              <w:keepNext/>
              <w:ind w:left="360"/>
              <w:jc w:val="right"/>
              <w:rPr>
                <w:rFonts w:eastAsia="Times New Roman" w:cs="Calibri"/>
                <w:b/>
                <w:bCs/>
                <w:color w:val="000000"/>
                <w:sz w:val="20"/>
              </w:rPr>
            </w:pPr>
            <w:r w:rsidRPr="00111AAA">
              <w:rPr>
                <w:rFonts w:eastAsia="Times New Roman" w:cs="Calibri"/>
                <w:b/>
                <w:bCs/>
                <w:color w:val="000000"/>
                <w:sz w:val="20"/>
              </w:rPr>
              <w:t>2025</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02F93865" w14:textId="77777777">
            <w:pPr>
              <w:keepNext/>
              <w:ind w:left="360"/>
              <w:jc w:val="right"/>
              <w:rPr>
                <w:rFonts w:eastAsia="Times New Roman" w:cs="Calibri"/>
                <w:b/>
                <w:bCs/>
                <w:color w:val="000000"/>
                <w:sz w:val="20"/>
              </w:rPr>
            </w:pPr>
            <w:r w:rsidRPr="00111AAA">
              <w:rPr>
                <w:rFonts w:eastAsia="Times New Roman" w:cs="Calibri"/>
                <w:b/>
                <w:bCs/>
                <w:color w:val="000000"/>
                <w:sz w:val="20"/>
              </w:rPr>
              <w:t>2026</w:t>
            </w:r>
          </w:p>
        </w:tc>
        <w:tc>
          <w:tcPr>
            <w:tcW w:w="153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2DF52A7F" w14:textId="77777777">
            <w:pPr>
              <w:keepNext/>
              <w:ind w:left="360"/>
              <w:rPr>
                <w:rFonts w:eastAsia="Times New Roman" w:cs="Calibri"/>
                <w:b/>
                <w:bCs/>
                <w:color w:val="000000"/>
                <w:sz w:val="20"/>
              </w:rPr>
            </w:pPr>
            <w:r w:rsidRPr="00111AAA">
              <w:rPr>
                <w:rFonts w:eastAsia="Times New Roman" w:cs="Calibri"/>
                <w:b/>
                <w:bCs/>
                <w:color w:val="000000"/>
                <w:sz w:val="20"/>
              </w:rPr>
              <w:t>Total</w:t>
            </w:r>
          </w:p>
        </w:tc>
      </w:tr>
      <w:tr w:rsidRPr="00111AAA" w:rsidR="008959A4" w:rsidTr="004153B6" w14:paraId="51940E67"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1C065E00" w14:textId="77777777">
            <w:pPr>
              <w:keepNext/>
              <w:rPr>
                <w:rFonts w:eastAsia="Times New Roman" w:cs="Calibri"/>
                <w:b/>
                <w:bCs/>
                <w:color w:val="000000"/>
                <w:sz w:val="20"/>
              </w:rPr>
            </w:pPr>
            <w:r w:rsidRPr="00111AAA">
              <w:rPr>
                <w:rFonts w:eastAsia="Times New Roman" w:cs="Calibri"/>
                <w:b/>
                <w:bCs/>
                <w:sz w:val="20"/>
              </w:rPr>
              <w:t>Alpine</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B50D8CD" w14:textId="77777777">
            <w:pPr>
              <w:keepNext/>
              <w:jc w:val="right"/>
              <w:rPr>
                <w:rFonts w:eastAsia="Times New Roman" w:cs="Calibri"/>
                <w:color w:val="000000"/>
                <w:sz w:val="20"/>
              </w:rPr>
            </w:pPr>
            <w:r w:rsidRPr="00111AAA">
              <w:rPr>
                <w:rFonts w:cs="Calibri"/>
                <w:color w:val="000000"/>
                <w:sz w:val="20"/>
              </w:rPr>
              <w:t>$6,000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79A1028" w14:textId="77777777">
            <w:pPr>
              <w:keepNext/>
              <w:jc w:val="right"/>
              <w:rPr>
                <w:rFonts w:eastAsia="Times New Roman" w:cs="Calibri"/>
                <w:color w:val="000000"/>
                <w:sz w:val="20"/>
              </w:rPr>
            </w:pPr>
            <w:r w:rsidRPr="00111AAA">
              <w:rPr>
                <w:rFonts w:cs="Calibri"/>
                <w:color w:val="000000"/>
                <w:sz w:val="20"/>
              </w:rPr>
              <w:t>$6,000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C6AA6A5" w14:textId="77777777">
            <w:pPr>
              <w:keepNext/>
              <w:jc w:val="right"/>
              <w:rPr>
                <w:rFonts w:eastAsia="Times New Roman" w:cs="Calibri"/>
                <w:color w:val="000000"/>
                <w:sz w:val="20"/>
              </w:rPr>
            </w:pPr>
            <w:r w:rsidRPr="00111AAA">
              <w:rPr>
                <w:rFonts w:cs="Calibri"/>
                <w:color w:val="000000"/>
                <w:sz w:val="20"/>
              </w:rPr>
              <w:t>$6,000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287F92A" w14:textId="77777777">
            <w:pPr>
              <w:keepNext/>
              <w:jc w:val="right"/>
              <w:rPr>
                <w:rFonts w:eastAsia="Times New Roman" w:cs="Calibri"/>
                <w:color w:val="000000"/>
                <w:sz w:val="20"/>
              </w:rPr>
            </w:pPr>
            <w:r w:rsidRPr="00111AAA">
              <w:rPr>
                <w:rFonts w:cs="Calibri"/>
                <w:color w:val="000000"/>
                <w:sz w:val="20"/>
              </w:rPr>
              <w:t>$6,000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56E5EFB" w14:textId="77777777">
            <w:pPr>
              <w:keepNext/>
              <w:jc w:val="right"/>
              <w:rPr>
                <w:rFonts w:eastAsia="Times New Roman" w:cs="Calibri"/>
                <w:color w:val="000000"/>
                <w:sz w:val="20"/>
              </w:rPr>
            </w:pPr>
            <w:r w:rsidRPr="00111AAA">
              <w:rPr>
                <w:rFonts w:cs="Calibri"/>
                <w:color w:val="000000"/>
                <w:sz w:val="20"/>
              </w:rPr>
              <w:t>$6,000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63E88CB" w14:textId="77777777">
            <w:pPr>
              <w:keepNext/>
              <w:jc w:val="right"/>
              <w:rPr>
                <w:rFonts w:eastAsia="Times New Roman" w:cs="Calibri"/>
                <w:color w:val="000000"/>
                <w:sz w:val="20"/>
              </w:rPr>
            </w:pPr>
            <w:r w:rsidRPr="00111AAA">
              <w:rPr>
                <w:rFonts w:cs="Calibri"/>
                <w:color w:val="000000"/>
                <w:sz w:val="20"/>
              </w:rPr>
              <w:t>$6,000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812BAC7" w14:textId="77777777">
            <w:pPr>
              <w:keepNext/>
              <w:jc w:val="right"/>
              <w:rPr>
                <w:rFonts w:eastAsia="Times New Roman" w:cs="Calibri"/>
                <w:b/>
                <w:bCs/>
                <w:color w:val="000000"/>
                <w:sz w:val="20"/>
              </w:rPr>
            </w:pPr>
            <w:r w:rsidRPr="00111AAA">
              <w:rPr>
                <w:rFonts w:cs="Calibri"/>
                <w:b/>
                <w:bCs/>
                <w:color w:val="000000"/>
                <w:sz w:val="20"/>
              </w:rPr>
              <w:t>$36,000</w:t>
            </w:r>
          </w:p>
        </w:tc>
      </w:tr>
      <w:tr w:rsidRPr="00111AAA" w:rsidR="008959A4" w:rsidTr="004153B6" w14:paraId="5C1BBD3D"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8959A4" w:rsidP="00717A84" w:rsidRDefault="008959A4" w14:paraId="37F96268" w14:textId="49CAC6B5">
            <w:pPr>
              <w:keepNext/>
              <w:rPr>
                <w:rFonts w:eastAsia="Times New Roman" w:cs="Calibri"/>
                <w:b/>
                <w:bCs/>
                <w:color w:val="000000"/>
                <w:sz w:val="20"/>
              </w:rPr>
            </w:pPr>
            <w:r w:rsidRPr="00111AAA">
              <w:rPr>
                <w:rFonts w:eastAsia="Times New Roman" w:cs="Calibri"/>
                <w:b/>
                <w:bCs/>
                <w:color w:val="000000"/>
                <w:sz w:val="20"/>
              </w:rPr>
              <w:t xml:space="preserve">Bear Valley </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540F337" w14:textId="77777777">
            <w:pPr>
              <w:keepNext/>
              <w:jc w:val="right"/>
              <w:rPr>
                <w:rFonts w:eastAsia="Times New Roman" w:cs="Calibri"/>
                <w:color w:val="000000"/>
                <w:sz w:val="20"/>
              </w:rPr>
            </w:pPr>
            <w:r w:rsidRPr="00111AAA">
              <w:rPr>
                <w:rFonts w:cs="Calibri"/>
                <w:color w:val="000000"/>
                <w:sz w:val="20"/>
              </w:rPr>
              <w:t>$9,393</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7BF711A" w14:textId="77777777">
            <w:pPr>
              <w:keepNext/>
              <w:jc w:val="right"/>
              <w:rPr>
                <w:rFonts w:eastAsia="Times New Roman" w:cs="Calibri"/>
                <w:color w:val="000000"/>
                <w:sz w:val="20"/>
              </w:rPr>
            </w:pPr>
            <w:r w:rsidRPr="00111AAA">
              <w:rPr>
                <w:rFonts w:cs="Calibri"/>
                <w:color w:val="000000"/>
                <w:sz w:val="20"/>
              </w:rPr>
              <w:t>$9,863</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662D07A" w14:textId="77777777">
            <w:pPr>
              <w:keepNext/>
              <w:jc w:val="right"/>
              <w:rPr>
                <w:rFonts w:eastAsia="Times New Roman" w:cs="Calibri"/>
                <w:color w:val="000000"/>
                <w:sz w:val="20"/>
              </w:rPr>
            </w:pPr>
            <w:r w:rsidRPr="00111AAA">
              <w:rPr>
                <w:rFonts w:cs="Calibri"/>
                <w:color w:val="000000"/>
                <w:sz w:val="20"/>
              </w:rPr>
              <w:t>$10,356</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7E4D6F2" w14:textId="77777777">
            <w:pPr>
              <w:keepNext/>
              <w:jc w:val="right"/>
              <w:rPr>
                <w:rFonts w:eastAsia="Times New Roman" w:cs="Calibri"/>
                <w:color w:val="000000"/>
                <w:sz w:val="20"/>
              </w:rPr>
            </w:pPr>
            <w:r w:rsidRPr="00111AAA">
              <w:rPr>
                <w:rFonts w:cs="Calibri"/>
                <w:color w:val="000000"/>
                <w:sz w:val="20"/>
              </w:rPr>
              <w:t>$10,874</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1170112" w14:textId="77777777">
            <w:pPr>
              <w:keepNext/>
              <w:jc w:val="right"/>
              <w:rPr>
                <w:rFonts w:eastAsia="Times New Roman" w:cs="Calibri"/>
                <w:color w:val="000000"/>
                <w:sz w:val="20"/>
              </w:rPr>
            </w:pPr>
            <w:r w:rsidRPr="00111AAA">
              <w:rPr>
                <w:rFonts w:cs="Calibri"/>
                <w:color w:val="000000"/>
                <w:sz w:val="20"/>
              </w:rPr>
              <w:t>$11,418</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A90CC76" w14:textId="77777777">
            <w:pPr>
              <w:keepNext/>
              <w:jc w:val="right"/>
              <w:rPr>
                <w:rFonts w:eastAsia="Times New Roman" w:cs="Calibri"/>
                <w:color w:val="000000"/>
                <w:sz w:val="20"/>
              </w:rPr>
            </w:pPr>
            <w:r w:rsidRPr="00111AAA">
              <w:rPr>
                <w:rFonts w:cs="Calibri"/>
                <w:color w:val="000000"/>
                <w:sz w:val="20"/>
              </w:rPr>
              <w:t>$11,988</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00071D4" w14:textId="77777777">
            <w:pPr>
              <w:keepNext/>
              <w:jc w:val="right"/>
              <w:rPr>
                <w:rFonts w:eastAsia="Times New Roman" w:cs="Calibri"/>
                <w:b/>
                <w:bCs/>
                <w:color w:val="000000"/>
                <w:sz w:val="20"/>
              </w:rPr>
            </w:pPr>
            <w:r w:rsidRPr="00111AAA">
              <w:rPr>
                <w:rFonts w:cs="Calibri"/>
                <w:b/>
                <w:bCs/>
                <w:color w:val="000000"/>
                <w:sz w:val="20"/>
              </w:rPr>
              <w:t>$63,892</w:t>
            </w:r>
          </w:p>
        </w:tc>
      </w:tr>
      <w:tr w:rsidRPr="00111AAA" w:rsidR="008959A4" w:rsidTr="004153B6" w14:paraId="3DA14334"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2F37A44E" w14:textId="0335DA1C">
            <w:pPr>
              <w:keepNext/>
              <w:rPr>
                <w:rFonts w:eastAsia="Times New Roman" w:cs="Calibri"/>
                <w:b/>
                <w:bCs/>
                <w:color w:val="000000"/>
                <w:sz w:val="20"/>
              </w:rPr>
            </w:pPr>
            <w:r w:rsidRPr="00111AAA">
              <w:rPr>
                <w:rFonts w:eastAsia="Times New Roman" w:cs="Calibri"/>
                <w:b/>
                <w:bCs/>
                <w:color w:val="000000"/>
                <w:sz w:val="20"/>
              </w:rPr>
              <w:t>Liberty</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4A70155" w14:textId="77777777">
            <w:pPr>
              <w:keepNext/>
              <w:jc w:val="right"/>
              <w:rPr>
                <w:rFonts w:eastAsia="Times New Roman" w:cs="Calibri"/>
                <w:sz w:val="20"/>
              </w:rPr>
            </w:pPr>
            <w:r w:rsidRPr="00111AAA">
              <w:rPr>
                <w:rFonts w:cs="Calibri"/>
                <w:color w:val="000000"/>
                <w:sz w:val="20"/>
              </w:rPr>
              <w:t>$154,534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5EAC7D0" w14:textId="77777777">
            <w:pPr>
              <w:keepNext/>
              <w:jc w:val="right"/>
              <w:rPr>
                <w:rFonts w:eastAsia="Times New Roman" w:cs="Calibri"/>
                <w:sz w:val="20"/>
              </w:rPr>
            </w:pPr>
            <w:r w:rsidRPr="00111AAA">
              <w:rPr>
                <w:rFonts w:cs="Calibri"/>
                <w:color w:val="000000"/>
                <w:sz w:val="20"/>
              </w:rPr>
              <w:t>$157,625</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B00374C" w14:textId="77777777">
            <w:pPr>
              <w:keepNext/>
              <w:jc w:val="right"/>
              <w:rPr>
                <w:rFonts w:eastAsia="Times New Roman" w:cs="Calibri"/>
                <w:sz w:val="20"/>
              </w:rPr>
            </w:pPr>
            <w:r w:rsidRPr="00111AAA">
              <w:rPr>
                <w:rFonts w:cs="Calibri"/>
                <w:color w:val="000000"/>
                <w:sz w:val="20"/>
              </w:rPr>
              <w:t>$160,777</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2565C6B" w14:textId="77777777">
            <w:pPr>
              <w:keepNext/>
              <w:jc w:val="right"/>
              <w:rPr>
                <w:rFonts w:eastAsia="Times New Roman" w:cs="Calibri"/>
                <w:sz w:val="20"/>
              </w:rPr>
            </w:pPr>
            <w:r w:rsidRPr="00111AAA">
              <w:rPr>
                <w:rFonts w:cs="Calibri"/>
                <w:color w:val="000000"/>
                <w:sz w:val="20"/>
              </w:rPr>
              <w:t>$163,993</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6242773" w14:textId="77777777">
            <w:pPr>
              <w:keepNext/>
              <w:jc w:val="right"/>
              <w:rPr>
                <w:rFonts w:eastAsia="Times New Roman" w:cs="Calibri"/>
                <w:sz w:val="20"/>
              </w:rPr>
            </w:pPr>
            <w:r w:rsidRPr="00111AAA">
              <w:rPr>
                <w:rFonts w:cs="Calibri"/>
                <w:color w:val="000000"/>
                <w:sz w:val="20"/>
              </w:rPr>
              <w:t>$167,273</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40A318E" w14:textId="77777777">
            <w:pPr>
              <w:keepNext/>
              <w:jc w:val="right"/>
              <w:rPr>
                <w:rFonts w:eastAsia="Times New Roman" w:cs="Calibri"/>
                <w:sz w:val="20"/>
              </w:rPr>
            </w:pPr>
            <w:r w:rsidRPr="00111AAA">
              <w:rPr>
                <w:rFonts w:cs="Calibri"/>
                <w:color w:val="000000"/>
                <w:sz w:val="20"/>
              </w:rPr>
              <w:t>$170,618</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61C1011" w14:textId="77777777">
            <w:pPr>
              <w:keepNext/>
              <w:jc w:val="right"/>
              <w:rPr>
                <w:rFonts w:eastAsia="Times New Roman" w:cs="Calibri"/>
                <w:b/>
                <w:bCs/>
                <w:color w:val="000000"/>
                <w:sz w:val="20"/>
              </w:rPr>
            </w:pPr>
            <w:r w:rsidRPr="00111AAA">
              <w:rPr>
                <w:rFonts w:cs="Calibri"/>
                <w:b/>
                <w:bCs/>
                <w:color w:val="000000"/>
                <w:sz w:val="20"/>
              </w:rPr>
              <w:t>$974,821</w:t>
            </w:r>
          </w:p>
        </w:tc>
      </w:tr>
      <w:tr w:rsidRPr="00111AAA" w:rsidR="008959A4" w:rsidTr="004153B6" w14:paraId="2B98D2EF"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8959A4" w:rsidP="00717A84" w:rsidRDefault="008959A4" w14:paraId="6E9BF25C" w14:textId="77777777">
            <w:pPr>
              <w:keepNext/>
              <w:rPr>
                <w:rFonts w:eastAsia="Times New Roman" w:cs="Calibri"/>
                <w:b/>
                <w:bCs/>
                <w:color w:val="000000"/>
                <w:sz w:val="20"/>
              </w:rPr>
            </w:pPr>
            <w:r w:rsidRPr="00111AAA">
              <w:rPr>
                <w:rFonts w:eastAsia="Times New Roman" w:cs="Calibri"/>
                <w:b/>
                <w:bCs/>
                <w:color w:val="000000"/>
                <w:sz w:val="20"/>
              </w:rPr>
              <w:t>PacifiCorp</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FADB6C5" w14:textId="77777777">
            <w:pPr>
              <w:keepNext/>
              <w:jc w:val="right"/>
              <w:rPr>
                <w:rFonts w:eastAsia="Times New Roman" w:cs="Calibri"/>
                <w:sz w:val="20"/>
              </w:rPr>
            </w:pPr>
            <w:r w:rsidRPr="00111AAA">
              <w:rPr>
                <w:rFonts w:cs="Calibri"/>
                <w:color w:val="000000"/>
                <w:sz w:val="20"/>
              </w:rPr>
              <w:t>$140,000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6498D70" w14:textId="77777777">
            <w:pPr>
              <w:keepNext/>
              <w:jc w:val="right"/>
              <w:rPr>
                <w:rFonts w:eastAsia="Times New Roman" w:cs="Calibri"/>
                <w:sz w:val="20"/>
              </w:rPr>
            </w:pPr>
            <w:r w:rsidRPr="00111AAA">
              <w:rPr>
                <w:rFonts w:cs="Calibri"/>
                <w:color w:val="000000"/>
                <w:sz w:val="20"/>
              </w:rPr>
              <w:t>$145,000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EC3F4D9" w14:textId="77777777">
            <w:pPr>
              <w:keepNext/>
              <w:jc w:val="right"/>
              <w:rPr>
                <w:rFonts w:eastAsia="Times New Roman" w:cs="Calibri"/>
                <w:sz w:val="20"/>
              </w:rPr>
            </w:pPr>
            <w:r w:rsidRPr="00111AAA">
              <w:rPr>
                <w:rFonts w:cs="Calibri"/>
                <w:color w:val="000000"/>
                <w:sz w:val="20"/>
              </w:rPr>
              <w:t>$150,000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E953014" w14:textId="77777777">
            <w:pPr>
              <w:keepNext/>
              <w:jc w:val="right"/>
              <w:rPr>
                <w:rFonts w:eastAsia="Times New Roman" w:cs="Calibri"/>
                <w:sz w:val="20"/>
              </w:rPr>
            </w:pPr>
            <w:r w:rsidRPr="00111AAA">
              <w:rPr>
                <w:rFonts w:cs="Calibri"/>
                <w:color w:val="000000"/>
                <w:sz w:val="20"/>
              </w:rPr>
              <w:t>$155,000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C6243DB" w14:textId="77777777">
            <w:pPr>
              <w:keepNext/>
              <w:jc w:val="right"/>
              <w:rPr>
                <w:rFonts w:eastAsia="Times New Roman" w:cs="Calibri"/>
                <w:sz w:val="20"/>
              </w:rPr>
            </w:pPr>
            <w:r w:rsidRPr="00111AAA">
              <w:rPr>
                <w:rFonts w:cs="Calibri"/>
                <w:color w:val="000000"/>
                <w:sz w:val="20"/>
              </w:rPr>
              <w:t>$160,000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0D22B88" w14:textId="77777777">
            <w:pPr>
              <w:keepNext/>
              <w:jc w:val="right"/>
              <w:rPr>
                <w:rFonts w:eastAsia="Times New Roman" w:cs="Calibri"/>
                <w:sz w:val="20"/>
              </w:rPr>
            </w:pPr>
            <w:r w:rsidRPr="00111AAA">
              <w:rPr>
                <w:rFonts w:cs="Calibri"/>
                <w:color w:val="000000"/>
                <w:sz w:val="20"/>
              </w:rPr>
              <w:t>$160,000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9DCEDB9" w14:textId="77777777">
            <w:pPr>
              <w:keepNext/>
              <w:jc w:val="right"/>
              <w:rPr>
                <w:rFonts w:eastAsia="Times New Roman" w:cs="Calibri"/>
                <w:b/>
                <w:bCs/>
                <w:color w:val="000000"/>
                <w:sz w:val="20"/>
              </w:rPr>
            </w:pPr>
            <w:r w:rsidRPr="00111AAA">
              <w:rPr>
                <w:rFonts w:cs="Calibri"/>
                <w:b/>
                <w:bCs/>
                <w:color w:val="000000"/>
                <w:sz w:val="20"/>
              </w:rPr>
              <w:t>$910,000</w:t>
            </w:r>
          </w:p>
        </w:tc>
      </w:tr>
      <w:tr w:rsidRPr="00111AAA" w:rsidR="008959A4" w:rsidTr="004153B6" w14:paraId="6316CF84"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20E0F710" w14:textId="77777777">
            <w:pPr>
              <w:keepNext/>
              <w:rPr>
                <w:rFonts w:eastAsia="Times New Roman" w:cs="Calibri"/>
                <w:b/>
                <w:bCs/>
                <w:color w:val="000000"/>
                <w:sz w:val="20"/>
              </w:rPr>
            </w:pPr>
            <w:r w:rsidRPr="00111AAA">
              <w:rPr>
                <w:rFonts w:eastAsia="Times New Roman" w:cs="Calibri"/>
                <w:b/>
                <w:bCs/>
                <w:color w:val="000000"/>
                <w:sz w:val="20"/>
              </w:rPr>
              <w:t>Southwest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172EB4A" w14:textId="77777777">
            <w:pPr>
              <w:keepNext/>
              <w:jc w:val="right"/>
              <w:rPr>
                <w:rFonts w:eastAsia="Times New Roman" w:cs="Calibri"/>
                <w:color w:val="000000"/>
                <w:sz w:val="20"/>
              </w:rPr>
            </w:pPr>
            <w:r w:rsidRPr="00111AAA">
              <w:rPr>
                <w:rFonts w:cs="Calibri"/>
                <w:color w:val="000000"/>
                <w:sz w:val="20"/>
              </w:rPr>
              <w:t>$340,000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0B964DA" w14:textId="77777777">
            <w:pPr>
              <w:keepNext/>
              <w:jc w:val="right"/>
              <w:rPr>
                <w:rFonts w:eastAsia="Times New Roman" w:cs="Calibri"/>
                <w:sz w:val="20"/>
              </w:rPr>
            </w:pPr>
            <w:r w:rsidRPr="00111AAA">
              <w:rPr>
                <w:rFonts w:cs="Calibri"/>
                <w:color w:val="000000"/>
                <w:sz w:val="20"/>
              </w:rPr>
              <w:t>$346,800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35ED97C" w14:textId="77777777">
            <w:pPr>
              <w:keepNext/>
              <w:jc w:val="right"/>
              <w:rPr>
                <w:rFonts w:eastAsia="Times New Roman" w:cs="Calibri"/>
                <w:sz w:val="20"/>
              </w:rPr>
            </w:pPr>
            <w:r w:rsidRPr="00111AAA">
              <w:rPr>
                <w:rFonts w:cs="Calibri"/>
                <w:color w:val="000000"/>
                <w:sz w:val="20"/>
              </w:rPr>
              <w:t>$353,736</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8CA3F2B" w14:textId="77777777">
            <w:pPr>
              <w:keepNext/>
              <w:jc w:val="right"/>
              <w:rPr>
                <w:rFonts w:eastAsia="Times New Roman" w:cs="Calibri"/>
                <w:color w:val="000000"/>
                <w:sz w:val="20"/>
              </w:rPr>
            </w:pPr>
            <w:r w:rsidRPr="00111AAA">
              <w:rPr>
                <w:rFonts w:cs="Calibri"/>
                <w:color w:val="000000"/>
                <w:sz w:val="20"/>
              </w:rPr>
              <w:t>$360,811</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1E61548" w14:textId="77777777">
            <w:pPr>
              <w:keepNext/>
              <w:jc w:val="right"/>
              <w:rPr>
                <w:rFonts w:eastAsia="Times New Roman" w:cs="Calibri"/>
                <w:color w:val="000000"/>
                <w:sz w:val="20"/>
              </w:rPr>
            </w:pPr>
            <w:r w:rsidRPr="00111AAA">
              <w:rPr>
                <w:rFonts w:cs="Calibri"/>
                <w:color w:val="000000"/>
                <w:sz w:val="20"/>
              </w:rPr>
              <w:t>$368,027</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2CB61FF" w14:textId="77777777">
            <w:pPr>
              <w:keepNext/>
              <w:jc w:val="right"/>
              <w:rPr>
                <w:rFonts w:eastAsia="Times New Roman" w:cs="Calibri"/>
                <w:color w:val="000000"/>
                <w:sz w:val="20"/>
              </w:rPr>
            </w:pPr>
            <w:r w:rsidRPr="00111AAA">
              <w:rPr>
                <w:rFonts w:cs="Calibri"/>
                <w:color w:val="000000"/>
                <w:sz w:val="20"/>
              </w:rPr>
              <w:t>$375,387</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F7B2A68" w14:textId="77777777">
            <w:pPr>
              <w:keepNext/>
              <w:jc w:val="right"/>
              <w:rPr>
                <w:rFonts w:eastAsia="Times New Roman" w:cs="Calibri"/>
                <w:b/>
                <w:bCs/>
                <w:color w:val="000000"/>
                <w:sz w:val="20"/>
              </w:rPr>
            </w:pPr>
            <w:r w:rsidRPr="00111AAA">
              <w:rPr>
                <w:rFonts w:cs="Calibri"/>
                <w:b/>
                <w:bCs/>
                <w:color w:val="000000"/>
                <w:sz w:val="20"/>
              </w:rPr>
              <w:t>$2,144,761</w:t>
            </w:r>
          </w:p>
        </w:tc>
      </w:tr>
      <w:tr w:rsidRPr="00111AAA" w:rsidR="008959A4" w:rsidTr="004153B6" w14:paraId="5781C51C" w14:textId="77777777">
        <w:trPr>
          <w:trHeight w:val="53"/>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7D23DEFB" w14:textId="77777777">
            <w:pPr>
              <w:keepNext/>
              <w:rPr>
                <w:rFonts w:eastAsia="Times New Roman" w:cs="Calibri"/>
                <w:b/>
                <w:bCs/>
                <w:sz w:val="20"/>
              </w:rPr>
            </w:pPr>
            <w:r w:rsidRPr="00111AAA">
              <w:rPr>
                <w:rFonts w:eastAsia="Times New Roman" w:cs="Calibri"/>
                <w:b/>
                <w:bCs/>
                <w:sz w:val="20"/>
              </w:rPr>
              <w:t>West Coast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42E2FD4" w14:textId="77777777">
            <w:pPr>
              <w:keepNext/>
              <w:jc w:val="right"/>
              <w:rPr>
                <w:rFonts w:eastAsia="Times New Roman" w:cs="Calibri"/>
                <w:sz w:val="20"/>
              </w:rPr>
            </w:pPr>
            <w:r w:rsidRPr="00111AAA">
              <w:rPr>
                <w:rFonts w:cs="Calibri"/>
                <w:color w:val="000000"/>
                <w:sz w:val="20"/>
              </w:rPr>
              <w:t>$8,064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AEDC08A" w14:textId="77777777">
            <w:pPr>
              <w:keepNext/>
              <w:jc w:val="right"/>
              <w:rPr>
                <w:rFonts w:eastAsia="Times New Roman" w:cs="Calibri"/>
                <w:sz w:val="20"/>
              </w:rPr>
            </w:pPr>
            <w:r w:rsidRPr="00111AAA">
              <w:rPr>
                <w:rFonts w:cs="Calibri"/>
                <w:color w:val="000000"/>
                <w:sz w:val="20"/>
              </w:rPr>
              <w:t>$8,064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E0056E1" w14:textId="77777777">
            <w:pPr>
              <w:keepNext/>
              <w:jc w:val="right"/>
              <w:rPr>
                <w:rFonts w:eastAsia="Times New Roman" w:cs="Calibri"/>
                <w:sz w:val="20"/>
              </w:rPr>
            </w:pPr>
            <w:r w:rsidRPr="00111AAA">
              <w:rPr>
                <w:rFonts w:cs="Calibri"/>
                <w:color w:val="000000"/>
                <w:sz w:val="20"/>
              </w:rPr>
              <w:t>$8,064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E11F365" w14:textId="77777777">
            <w:pPr>
              <w:keepNext/>
              <w:jc w:val="right"/>
              <w:rPr>
                <w:rFonts w:eastAsia="Times New Roman" w:cs="Calibri"/>
                <w:sz w:val="20"/>
              </w:rPr>
            </w:pPr>
            <w:r w:rsidRPr="00111AAA">
              <w:rPr>
                <w:rFonts w:cs="Calibri"/>
                <w:color w:val="000000"/>
                <w:sz w:val="20"/>
              </w:rPr>
              <w:t>$8,064</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1B334B2" w14:textId="77777777">
            <w:pPr>
              <w:keepNext/>
              <w:jc w:val="right"/>
              <w:rPr>
                <w:rFonts w:eastAsia="Times New Roman" w:cs="Calibri"/>
                <w:sz w:val="20"/>
              </w:rPr>
            </w:pPr>
            <w:r w:rsidRPr="00111AAA">
              <w:rPr>
                <w:rFonts w:cs="Calibri"/>
                <w:color w:val="000000"/>
                <w:sz w:val="20"/>
              </w:rPr>
              <w:t>$8,064</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2F963AF" w14:textId="77777777">
            <w:pPr>
              <w:keepNext/>
              <w:jc w:val="right"/>
              <w:rPr>
                <w:rFonts w:eastAsia="Times New Roman" w:cs="Calibri"/>
                <w:sz w:val="20"/>
              </w:rPr>
            </w:pPr>
            <w:r w:rsidRPr="00111AAA">
              <w:rPr>
                <w:rFonts w:cs="Calibri"/>
                <w:color w:val="000000"/>
                <w:sz w:val="20"/>
              </w:rPr>
              <w:t>$8,064</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472144D" w14:textId="77777777">
            <w:pPr>
              <w:keepNext/>
              <w:jc w:val="right"/>
              <w:rPr>
                <w:rFonts w:eastAsia="Times New Roman" w:cs="Calibri"/>
                <w:b/>
                <w:bCs/>
                <w:sz w:val="20"/>
              </w:rPr>
            </w:pPr>
            <w:r w:rsidRPr="00111AAA">
              <w:rPr>
                <w:rFonts w:cs="Calibri"/>
                <w:b/>
                <w:bCs/>
                <w:color w:val="000000"/>
                <w:sz w:val="20"/>
              </w:rPr>
              <w:t>$48,384</w:t>
            </w:r>
          </w:p>
        </w:tc>
      </w:tr>
      <w:tr w:rsidRPr="00111AAA" w:rsidR="008959A4" w:rsidTr="004153B6" w14:paraId="03DBE15F"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287395D2" w14:textId="77777777">
            <w:pPr>
              <w:keepNext/>
              <w:rPr>
                <w:rFonts w:eastAsia="Times New Roman" w:cs="Calibri"/>
                <w:b/>
                <w:bCs/>
                <w:color w:val="000000"/>
                <w:sz w:val="20"/>
              </w:rPr>
            </w:pPr>
            <w:r w:rsidRPr="00111AAA">
              <w:rPr>
                <w:rFonts w:eastAsia="Times New Roman" w:cs="Calibri"/>
                <w:b/>
                <w:bCs/>
                <w:color w:val="000000"/>
                <w:sz w:val="20"/>
              </w:rPr>
              <w:t>Total</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5475A2D" w14:textId="77777777">
            <w:pPr>
              <w:keepNext/>
              <w:jc w:val="right"/>
              <w:rPr>
                <w:rFonts w:eastAsia="Times New Roman" w:cs="Calibri"/>
                <w:b/>
                <w:bCs/>
                <w:color w:val="000000"/>
                <w:sz w:val="20"/>
              </w:rPr>
            </w:pPr>
            <w:r w:rsidRPr="00111AAA">
              <w:rPr>
                <w:rFonts w:cs="Calibri"/>
                <w:b/>
                <w:bCs/>
                <w:color w:val="000000"/>
                <w:sz w:val="20"/>
              </w:rPr>
              <w:t>$657,992</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D5B55BA" w14:textId="77777777">
            <w:pPr>
              <w:keepNext/>
              <w:jc w:val="right"/>
              <w:rPr>
                <w:rFonts w:eastAsia="Times New Roman" w:cs="Calibri"/>
                <w:b/>
                <w:bCs/>
                <w:color w:val="000000"/>
                <w:sz w:val="20"/>
              </w:rPr>
            </w:pPr>
            <w:r w:rsidRPr="00111AAA">
              <w:rPr>
                <w:rFonts w:cs="Calibri"/>
                <w:b/>
                <w:bCs/>
                <w:color w:val="000000"/>
                <w:sz w:val="20"/>
              </w:rPr>
              <w:t>$673,352</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3F49145" w14:textId="77777777">
            <w:pPr>
              <w:keepNext/>
              <w:jc w:val="right"/>
              <w:rPr>
                <w:rFonts w:eastAsia="Times New Roman" w:cs="Calibri"/>
                <w:b/>
                <w:bCs/>
                <w:color w:val="000000"/>
                <w:sz w:val="20"/>
              </w:rPr>
            </w:pPr>
            <w:r w:rsidRPr="00111AAA">
              <w:rPr>
                <w:rFonts w:cs="Calibri"/>
                <w:b/>
                <w:bCs/>
                <w:color w:val="000000"/>
                <w:sz w:val="20"/>
              </w:rPr>
              <w:t>$688,934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875CF99" w14:textId="77777777">
            <w:pPr>
              <w:keepNext/>
              <w:jc w:val="right"/>
              <w:rPr>
                <w:rFonts w:eastAsia="Times New Roman" w:cs="Calibri"/>
                <w:b/>
                <w:bCs/>
                <w:color w:val="000000"/>
                <w:sz w:val="20"/>
              </w:rPr>
            </w:pPr>
            <w:r w:rsidRPr="00111AAA">
              <w:rPr>
                <w:rFonts w:cs="Calibri"/>
                <w:b/>
                <w:bCs/>
                <w:color w:val="000000"/>
                <w:sz w:val="20"/>
              </w:rPr>
              <w:t>$704,742</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AA9D7A7" w14:textId="77777777">
            <w:pPr>
              <w:keepNext/>
              <w:jc w:val="right"/>
              <w:rPr>
                <w:rFonts w:eastAsia="Times New Roman" w:cs="Calibri"/>
                <w:b/>
                <w:bCs/>
                <w:color w:val="000000"/>
                <w:sz w:val="20"/>
              </w:rPr>
            </w:pPr>
            <w:r w:rsidRPr="00111AAA">
              <w:rPr>
                <w:rFonts w:cs="Calibri"/>
                <w:b/>
                <w:bCs/>
                <w:color w:val="000000"/>
                <w:sz w:val="20"/>
              </w:rPr>
              <w:t>$720,781</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0C30EE9" w14:textId="77777777">
            <w:pPr>
              <w:keepNext/>
              <w:jc w:val="right"/>
              <w:rPr>
                <w:rFonts w:eastAsia="Times New Roman" w:cs="Calibri"/>
                <w:b/>
                <w:bCs/>
                <w:color w:val="000000"/>
                <w:sz w:val="20"/>
              </w:rPr>
            </w:pPr>
            <w:r w:rsidRPr="00111AAA">
              <w:rPr>
                <w:rFonts w:cs="Calibri"/>
                <w:b/>
                <w:bCs/>
                <w:color w:val="000000"/>
                <w:sz w:val="20"/>
              </w:rPr>
              <w:t>$732,058</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61FFA8E" w14:textId="77777777">
            <w:pPr>
              <w:keepNext/>
              <w:jc w:val="right"/>
              <w:rPr>
                <w:rFonts w:eastAsia="Times New Roman" w:cs="Calibri"/>
                <w:b/>
                <w:bCs/>
                <w:color w:val="000000"/>
                <w:sz w:val="20"/>
              </w:rPr>
            </w:pPr>
            <w:r w:rsidRPr="00111AAA">
              <w:rPr>
                <w:rFonts w:cs="Calibri"/>
                <w:b/>
                <w:bCs/>
                <w:color w:val="000000"/>
                <w:sz w:val="20"/>
              </w:rPr>
              <w:t>$4,177,858</w:t>
            </w:r>
          </w:p>
        </w:tc>
      </w:tr>
      <w:tr w:rsidRPr="00111AAA" w:rsidR="008959A4" w:rsidTr="004153B6" w14:paraId="33906A53" w14:textId="77777777">
        <w:trPr>
          <w:trHeight w:val="260"/>
          <w:jc w:val="center"/>
        </w:trPr>
        <w:tc>
          <w:tcPr>
            <w:tcW w:w="1483" w:type="dxa"/>
            <w:tcBorders>
              <w:top w:val="nil"/>
              <w:left w:val="nil"/>
              <w:bottom w:val="nil"/>
              <w:right w:val="nil"/>
            </w:tcBorders>
            <w:shd w:val="clear" w:color="auto" w:fill="auto"/>
            <w:noWrap/>
            <w:vAlign w:val="bottom"/>
            <w:hideMark/>
          </w:tcPr>
          <w:p w:rsidRPr="00111AAA" w:rsidR="008959A4" w:rsidP="00717A84" w:rsidRDefault="008959A4" w14:paraId="2561AD70" w14:textId="77777777">
            <w:pPr>
              <w:keepNext/>
              <w:ind w:left="360"/>
              <w:jc w:val="right"/>
              <w:rPr>
                <w:rFonts w:eastAsia="Times New Roman" w:cs="Calibri"/>
                <w:b/>
                <w:bCs/>
                <w:color w:val="000000"/>
                <w:sz w:val="20"/>
              </w:rPr>
            </w:pPr>
          </w:p>
        </w:tc>
        <w:tc>
          <w:tcPr>
            <w:tcW w:w="1440" w:type="dxa"/>
            <w:tcBorders>
              <w:top w:val="nil"/>
              <w:left w:val="nil"/>
              <w:bottom w:val="nil"/>
              <w:right w:val="nil"/>
            </w:tcBorders>
            <w:shd w:val="clear" w:color="auto" w:fill="auto"/>
            <w:noWrap/>
            <w:vAlign w:val="bottom"/>
            <w:hideMark/>
          </w:tcPr>
          <w:p w:rsidRPr="00111AAA" w:rsidR="008959A4" w:rsidP="00717A84" w:rsidRDefault="008959A4" w14:paraId="2F4776CF"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63A5A3DC"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648C25C2"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6F916076" w14:textId="77777777">
            <w:pPr>
              <w:keepNext/>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111AAA" w:rsidR="008959A4" w:rsidP="00717A84" w:rsidRDefault="008959A4" w14:paraId="372E78AB" w14:textId="77777777">
            <w:pPr>
              <w:keepNext/>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111AAA" w:rsidR="008959A4" w:rsidP="00717A84" w:rsidRDefault="008959A4" w14:paraId="0CD7FDE2" w14:textId="77777777">
            <w:pPr>
              <w:keepNext/>
              <w:ind w:left="360"/>
              <w:rPr>
                <w:rFonts w:eastAsia="Times New Roman"/>
                <w:sz w:val="20"/>
              </w:rPr>
            </w:pPr>
          </w:p>
        </w:tc>
        <w:tc>
          <w:tcPr>
            <w:tcW w:w="1530" w:type="dxa"/>
            <w:tcBorders>
              <w:top w:val="nil"/>
              <w:left w:val="nil"/>
              <w:bottom w:val="nil"/>
              <w:right w:val="nil"/>
            </w:tcBorders>
            <w:shd w:val="clear" w:color="auto" w:fill="auto"/>
            <w:noWrap/>
            <w:vAlign w:val="bottom"/>
            <w:hideMark/>
          </w:tcPr>
          <w:p w:rsidRPr="00111AAA" w:rsidR="008959A4" w:rsidP="00717A84" w:rsidRDefault="008959A4" w14:paraId="55337EB3" w14:textId="77777777">
            <w:pPr>
              <w:keepNext/>
              <w:ind w:left="360"/>
              <w:rPr>
                <w:rFonts w:eastAsia="Times New Roman"/>
                <w:sz w:val="20"/>
              </w:rPr>
            </w:pPr>
          </w:p>
        </w:tc>
      </w:tr>
      <w:tr w:rsidRPr="00111AAA" w:rsidR="008959A4" w:rsidTr="004153B6" w14:paraId="4EBB32D2" w14:textId="77777777">
        <w:trPr>
          <w:trHeight w:val="260"/>
          <w:jc w:val="center"/>
        </w:trPr>
        <w:tc>
          <w:tcPr>
            <w:tcW w:w="1483"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111AAA" w:rsidR="008959A4" w:rsidP="00717A84" w:rsidRDefault="008959A4" w14:paraId="464BCF10" w14:textId="77777777">
            <w:pPr>
              <w:keepNext/>
              <w:rPr>
                <w:rFonts w:eastAsia="Times New Roman" w:cs="Calibri"/>
                <w:b/>
                <w:bCs/>
                <w:color w:val="000000"/>
                <w:sz w:val="20"/>
              </w:rPr>
            </w:pPr>
            <w:r w:rsidRPr="00111AAA">
              <w:rPr>
                <w:rFonts w:eastAsia="Times New Roman" w:cs="Calibri"/>
                <w:b/>
                <w:bCs/>
                <w:color w:val="000000"/>
                <w:sz w:val="20"/>
              </w:rPr>
              <w:t>SMJU</w:t>
            </w:r>
          </w:p>
        </w:tc>
        <w:tc>
          <w:tcPr>
            <w:tcW w:w="9138"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111AAA" w:rsidR="008959A4" w:rsidP="00717A84" w:rsidRDefault="008959A4" w14:paraId="65537BA4" w14:textId="77777777">
            <w:pPr>
              <w:keepNext/>
              <w:ind w:left="360"/>
              <w:jc w:val="center"/>
              <w:rPr>
                <w:rFonts w:eastAsia="Times New Roman" w:cs="Calibri"/>
                <w:b/>
                <w:bCs/>
                <w:color w:val="000000"/>
                <w:sz w:val="20"/>
              </w:rPr>
            </w:pPr>
            <w:r w:rsidRPr="00111AAA">
              <w:rPr>
                <w:rFonts w:eastAsia="Times New Roman" w:cs="Calibri"/>
                <w:b/>
                <w:bCs/>
                <w:color w:val="000000"/>
                <w:sz w:val="20"/>
              </w:rPr>
              <w:t>Approved CARE Subsidies</w:t>
            </w:r>
          </w:p>
        </w:tc>
      </w:tr>
      <w:tr w:rsidRPr="00111AAA" w:rsidR="008959A4" w:rsidTr="004153B6" w14:paraId="75EB8F11" w14:textId="77777777">
        <w:trPr>
          <w:trHeight w:val="260"/>
          <w:jc w:val="center"/>
        </w:trPr>
        <w:tc>
          <w:tcPr>
            <w:tcW w:w="1483" w:type="dxa"/>
            <w:vMerge/>
            <w:tcBorders>
              <w:top w:val="single" w:color="auto" w:sz="4" w:space="0"/>
              <w:left w:val="single" w:color="auto" w:sz="4" w:space="0"/>
              <w:bottom w:val="single" w:color="000000" w:sz="4" w:space="0"/>
              <w:right w:val="single" w:color="auto" w:sz="4" w:space="0"/>
            </w:tcBorders>
            <w:vAlign w:val="center"/>
            <w:hideMark/>
          </w:tcPr>
          <w:p w:rsidRPr="00111AAA" w:rsidR="008959A4" w:rsidP="00717A84" w:rsidRDefault="008959A4" w14:paraId="7E997FDF" w14:textId="77777777">
            <w:pPr>
              <w:keepNext/>
              <w:ind w:left="360"/>
              <w:rPr>
                <w:rFonts w:eastAsia="Times New Roman" w:cs="Calibri"/>
                <w:b/>
                <w:bCs/>
                <w:color w:val="000000"/>
                <w:sz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61CB8931" w14:textId="77777777">
            <w:pPr>
              <w:keepNext/>
              <w:ind w:left="360"/>
              <w:jc w:val="right"/>
              <w:rPr>
                <w:rFonts w:eastAsia="Times New Roman" w:cs="Calibri"/>
                <w:b/>
                <w:bCs/>
                <w:color w:val="000000"/>
                <w:sz w:val="20"/>
              </w:rPr>
            </w:pPr>
            <w:r w:rsidRPr="00111AAA">
              <w:rPr>
                <w:rFonts w:eastAsia="Times New Roman" w:cs="Calibri"/>
                <w:b/>
                <w:bCs/>
                <w:color w:val="000000"/>
                <w:sz w:val="20"/>
              </w:rPr>
              <w:t>2021</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585B0E51" w14:textId="77777777">
            <w:pPr>
              <w:keepNext/>
              <w:ind w:left="360"/>
              <w:jc w:val="right"/>
              <w:rPr>
                <w:rFonts w:eastAsia="Times New Roman" w:cs="Calibri"/>
                <w:b/>
                <w:bCs/>
                <w:color w:val="000000"/>
                <w:sz w:val="20"/>
              </w:rPr>
            </w:pPr>
            <w:r w:rsidRPr="00111AAA">
              <w:rPr>
                <w:rFonts w:eastAsia="Times New Roman" w:cs="Calibri"/>
                <w:b/>
                <w:bCs/>
                <w:color w:val="000000"/>
                <w:sz w:val="20"/>
              </w:rPr>
              <w:t>2022</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38411A62" w14:textId="77777777">
            <w:pPr>
              <w:keepNext/>
              <w:ind w:left="360"/>
              <w:jc w:val="right"/>
              <w:rPr>
                <w:rFonts w:eastAsia="Times New Roman" w:cs="Calibri"/>
                <w:b/>
                <w:bCs/>
                <w:color w:val="000000"/>
                <w:sz w:val="20"/>
              </w:rPr>
            </w:pPr>
            <w:r w:rsidRPr="00111AAA">
              <w:rPr>
                <w:rFonts w:eastAsia="Times New Roman" w:cs="Calibri"/>
                <w:b/>
                <w:bCs/>
                <w:color w:val="000000"/>
                <w:sz w:val="20"/>
              </w:rPr>
              <w:t>2023</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349DFD17" w14:textId="77777777">
            <w:pPr>
              <w:keepNext/>
              <w:ind w:left="360"/>
              <w:jc w:val="right"/>
              <w:rPr>
                <w:rFonts w:eastAsia="Times New Roman" w:cs="Calibri"/>
                <w:b/>
                <w:bCs/>
                <w:color w:val="000000"/>
                <w:sz w:val="20"/>
              </w:rPr>
            </w:pPr>
            <w:r w:rsidRPr="00111AAA">
              <w:rPr>
                <w:rFonts w:eastAsia="Times New Roman" w:cs="Calibri"/>
                <w:b/>
                <w:bCs/>
                <w:color w:val="000000"/>
                <w:sz w:val="20"/>
              </w:rPr>
              <w:t>2024</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2C032CE1" w14:textId="77777777">
            <w:pPr>
              <w:keepNext/>
              <w:ind w:left="360"/>
              <w:jc w:val="right"/>
              <w:rPr>
                <w:rFonts w:eastAsia="Times New Roman" w:cs="Calibri"/>
                <w:b/>
                <w:bCs/>
                <w:color w:val="000000"/>
                <w:sz w:val="20"/>
              </w:rPr>
            </w:pPr>
            <w:r w:rsidRPr="00111AAA">
              <w:rPr>
                <w:rFonts w:eastAsia="Times New Roman" w:cs="Calibri"/>
                <w:b/>
                <w:bCs/>
                <w:color w:val="000000"/>
                <w:sz w:val="20"/>
              </w:rPr>
              <w:t>2025</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10DD7F32" w14:textId="77777777">
            <w:pPr>
              <w:keepNext/>
              <w:ind w:left="360"/>
              <w:jc w:val="right"/>
              <w:rPr>
                <w:rFonts w:eastAsia="Times New Roman" w:cs="Calibri"/>
                <w:b/>
                <w:bCs/>
                <w:color w:val="000000"/>
                <w:sz w:val="20"/>
              </w:rPr>
            </w:pPr>
            <w:r w:rsidRPr="00111AAA">
              <w:rPr>
                <w:rFonts w:eastAsia="Times New Roman" w:cs="Calibri"/>
                <w:b/>
                <w:bCs/>
                <w:color w:val="000000"/>
                <w:sz w:val="20"/>
              </w:rPr>
              <w:t>2026</w:t>
            </w:r>
          </w:p>
        </w:tc>
        <w:tc>
          <w:tcPr>
            <w:tcW w:w="153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1C655145" w14:textId="77777777">
            <w:pPr>
              <w:keepNext/>
              <w:ind w:left="360"/>
              <w:rPr>
                <w:rFonts w:eastAsia="Times New Roman" w:cs="Calibri"/>
                <w:b/>
                <w:bCs/>
                <w:color w:val="000000"/>
                <w:sz w:val="20"/>
              </w:rPr>
            </w:pPr>
            <w:r w:rsidRPr="00111AAA">
              <w:rPr>
                <w:rFonts w:eastAsia="Times New Roman" w:cs="Calibri"/>
                <w:b/>
                <w:bCs/>
                <w:color w:val="000000"/>
                <w:sz w:val="20"/>
              </w:rPr>
              <w:t>Total</w:t>
            </w:r>
          </w:p>
        </w:tc>
      </w:tr>
      <w:tr w:rsidRPr="00111AAA" w:rsidR="008959A4" w:rsidTr="004153B6" w14:paraId="1A218B13"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68DC788F" w14:textId="77777777">
            <w:pPr>
              <w:keepNext/>
              <w:rPr>
                <w:rFonts w:eastAsia="Times New Roman" w:cs="Calibri"/>
                <w:b/>
                <w:bCs/>
                <w:color w:val="000000"/>
                <w:sz w:val="20"/>
              </w:rPr>
            </w:pPr>
            <w:r w:rsidRPr="00111AAA">
              <w:rPr>
                <w:rFonts w:eastAsia="Times New Roman" w:cs="Calibri"/>
                <w:b/>
                <w:bCs/>
                <w:sz w:val="20"/>
              </w:rPr>
              <w:t>Alpine</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D09E9AD" w14:textId="77777777">
            <w:pPr>
              <w:keepNext/>
              <w:jc w:val="right"/>
              <w:rPr>
                <w:rFonts w:eastAsia="Times New Roman" w:cs="Calibri"/>
                <w:color w:val="000000"/>
                <w:sz w:val="20"/>
              </w:rPr>
            </w:pPr>
            <w:r w:rsidRPr="00111AAA">
              <w:rPr>
                <w:rFonts w:cs="Calibri"/>
                <w:color w:val="000000"/>
                <w:sz w:val="20"/>
              </w:rPr>
              <w:t>$27,000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05688FC" w14:textId="77777777">
            <w:pPr>
              <w:keepNext/>
              <w:jc w:val="right"/>
              <w:rPr>
                <w:rFonts w:eastAsia="Times New Roman" w:cs="Calibri"/>
                <w:color w:val="000000"/>
                <w:sz w:val="20"/>
              </w:rPr>
            </w:pPr>
            <w:r w:rsidRPr="00111AAA">
              <w:rPr>
                <w:rFonts w:cs="Calibri"/>
                <w:color w:val="000000"/>
                <w:sz w:val="20"/>
              </w:rPr>
              <w:t>$27,000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2D1FE32" w14:textId="77777777">
            <w:pPr>
              <w:keepNext/>
              <w:jc w:val="right"/>
              <w:rPr>
                <w:rFonts w:eastAsia="Times New Roman" w:cs="Calibri"/>
                <w:color w:val="000000"/>
                <w:sz w:val="20"/>
              </w:rPr>
            </w:pPr>
            <w:r w:rsidRPr="00111AAA">
              <w:rPr>
                <w:rFonts w:cs="Calibri"/>
                <w:color w:val="000000"/>
                <w:sz w:val="20"/>
              </w:rPr>
              <w:t>$27,000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D11850D" w14:textId="77777777">
            <w:pPr>
              <w:keepNext/>
              <w:jc w:val="right"/>
              <w:rPr>
                <w:rFonts w:eastAsia="Times New Roman" w:cs="Calibri"/>
                <w:color w:val="000000"/>
                <w:sz w:val="20"/>
              </w:rPr>
            </w:pPr>
            <w:r w:rsidRPr="00111AAA">
              <w:rPr>
                <w:rFonts w:cs="Calibri"/>
                <w:color w:val="000000"/>
                <w:sz w:val="20"/>
              </w:rPr>
              <w:t>$28,000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42A291B" w14:textId="77777777">
            <w:pPr>
              <w:keepNext/>
              <w:jc w:val="right"/>
              <w:rPr>
                <w:rFonts w:eastAsia="Times New Roman" w:cs="Calibri"/>
                <w:color w:val="000000"/>
                <w:sz w:val="20"/>
              </w:rPr>
            </w:pPr>
            <w:r w:rsidRPr="00111AAA">
              <w:rPr>
                <w:rFonts w:cs="Calibri"/>
                <w:color w:val="000000"/>
                <w:sz w:val="20"/>
              </w:rPr>
              <w:t>$28,000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077B212" w14:textId="77777777">
            <w:pPr>
              <w:keepNext/>
              <w:jc w:val="right"/>
              <w:rPr>
                <w:rFonts w:eastAsia="Times New Roman" w:cs="Calibri"/>
                <w:color w:val="000000"/>
                <w:sz w:val="20"/>
              </w:rPr>
            </w:pPr>
            <w:r w:rsidRPr="00111AAA">
              <w:rPr>
                <w:rFonts w:cs="Calibri"/>
                <w:color w:val="000000"/>
                <w:sz w:val="20"/>
              </w:rPr>
              <w:t>$28,000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AF73E66" w14:textId="77777777">
            <w:pPr>
              <w:keepNext/>
              <w:jc w:val="right"/>
              <w:rPr>
                <w:rFonts w:eastAsia="Times New Roman" w:cs="Calibri"/>
                <w:b/>
                <w:bCs/>
                <w:color w:val="000000"/>
                <w:sz w:val="20"/>
              </w:rPr>
            </w:pPr>
            <w:r w:rsidRPr="00111AAA">
              <w:rPr>
                <w:rFonts w:cs="Calibri"/>
                <w:b/>
                <w:bCs/>
                <w:color w:val="000000"/>
                <w:sz w:val="20"/>
              </w:rPr>
              <w:t>$165,000</w:t>
            </w:r>
          </w:p>
        </w:tc>
      </w:tr>
      <w:tr w:rsidRPr="00111AAA" w:rsidR="004153B6" w:rsidTr="004153B6" w14:paraId="1E589685"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4153B6" w:rsidP="004153B6" w:rsidRDefault="004153B6" w14:paraId="13E11E57" w14:textId="33C93413">
            <w:pPr>
              <w:keepNext/>
              <w:rPr>
                <w:rFonts w:eastAsia="Times New Roman" w:cs="Calibri"/>
                <w:b/>
                <w:bCs/>
                <w:color w:val="000000"/>
                <w:sz w:val="20"/>
              </w:rPr>
            </w:pPr>
            <w:r w:rsidRPr="00111AAA">
              <w:rPr>
                <w:rFonts w:eastAsia="Times New Roman" w:cs="Calibri"/>
                <w:b/>
                <w:bCs/>
                <w:color w:val="000000"/>
                <w:sz w:val="20"/>
              </w:rPr>
              <w:t xml:space="preserve">Bear Valley </w:t>
            </w:r>
          </w:p>
        </w:tc>
        <w:tc>
          <w:tcPr>
            <w:tcW w:w="144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E559931" w14:textId="77777777">
            <w:pPr>
              <w:keepNext/>
              <w:jc w:val="right"/>
              <w:rPr>
                <w:rFonts w:eastAsia="Times New Roman" w:cs="Calibri"/>
                <w:color w:val="000000"/>
                <w:sz w:val="20"/>
              </w:rPr>
            </w:pPr>
            <w:r w:rsidRPr="00111AAA">
              <w:rPr>
                <w:rFonts w:cs="Calibri"/>
                <w:color w:val="000000"/>
                <w:sz w:val="20"/>
              </w:rPr>
              <w:t>$268,128</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4E2BF5E" w14:textId="77777777">
            <w:pPr>
              <w:keepNext/>
              <w:jc w:val="right"/>
              <w:rPr>
                <w:rFonts w:eastAsia="Times New Roman" w:cs="Calibri"/>
                <w:color w:val="000000"/>
                <w:sz w:val="20"/>
              </w:rPr>
            </w:pPr>
            <w:r w:rsidRPr="00111AAA">
              <w:rPr>
                <w:rFonts w:cs="Calibri"/>
                <w:color w:val="000000"/>
                <w:sz w:val="20"/>
              </w:rPr>
              <w:t>$281,534</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9D47FCC" w14:textId="77777777">
            <w:pPr>
              <w:keepNext/>
              <w:jc w:val="right"/>
              <w:rPr>
                <w:rFonts w:eastAsia="Times New Roman" w:cs="Calibri"/>
                <w:color w:val="000000"/>
                <w:sz w:val="20"/>
              </w:rPr>
            </w:pPr>
            <w:r w:rsidRPr="00111AAA">
              <w:rPr>
                <w:rFonts w:cs="Calibri"/>
                <w:color w:val="000000"/>
                <w:sz w:val="20"/>
              </w:rPr>
              <w:t>$295,611</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28377852" w14:textId="77777777">
            <w:pPr>
              <w:keepNext/>
              <w:jc w:val="right"/>
              <w:rPr>
                <w:rFonts w:eastAsia="Times New Roman" w:cs="Calibri"/>
                <w:color w:val="000000"/>
                <w:sz w:val="20"/>
              </w:rPr>
            </w:pPr>
            <w:r w:rsidRPr="00111AAA">
              <w:rPr>
                <w:rFonts w:cs="Calibri"/>
                <w:color w:val="000000"/>
                <w:sz w:val="20"/>
              </w:rPr>
              <w:t>$310,392</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30FB901" w14:textId="77777777">
            <w:pPr>
              <w:keepNext/>
              <w:jc w:val="right"/>
              <w:rPr>
                <w:rFonts w:eastAsia="Times New Roman" w:cs="Calibri"/>
                <w:color w:val="000000"/>
                <w:sz w:val="20"/>
              </w:rPr>
            </w:pPr>
            <w:r w:rsidRPr="00111AAA">
              <w:rPr>
                <w:rFonts w:cs="Calibri"/>
                <w:color w:val="000000"/>
                <w:sz w:val="20"/>
              </w:rPr>
              <w:t>$325,911</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D3945B0" w14:textId="77777777">
            <w:pPr>
              <w:keepNext/>
              <w:jc w:val="right"/>
              <w:rPr>
                <w:rFonts w:eastAsia="Times New Roman" w:cs="Calibri"/>
                <w:color w:val="000000"/>
                <w:sz w:val="20"/>
              </w:rPr>
            </w:pPr>
            <w:r w:rsidRPr="00111AAA">
              <w:rPr>
                <w:rFonts w:cs="Calibri"/>
                <w:color w:val="000000"/>
                <w:sz w:val="20"/>
              </w:rPr>
              <w:t>$342,207</w:t>
            </w:r>
          </w:p>
        </w:tc>
        <w:tc>
          <w:tcPr>
            <w:tcW w:w="153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5933412F" w14:textId="77777777">
            <w:pPr>
              <w:keepNext/>
              <w:jc w:val="right"/>
              <w:rPr>
                <w:rFonts w:eastAsia="Times New Roman" w:cs="Calibri"/>
                <w:b/>
                <w:bCs/>
                <w:color w:val="000000"/>
                <w:sz w:val="20"/>
              </w:rPr>
            </w:pPr>
            <w:r w:rsidRPr="00111AAA">
              <w:rPr>
                <w:rFonts w:cs="Calibri"/>
                <w:b/>
                <w:bCs/>
                <w:color w:val="000000"/>
                <w:sz w:val="20"/>
              </w:rPr>
              <w:t>$1,823,783</w:t>
            </w:r>
          </w:p>
        </w:tc>
      </w:tr>
      <w:tr w:rsidRPr="00111AAA" w:rsidR="004153B6" w:rsidTr="004153B6" w14:paraId="66D00777"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4153B6" w:rsidP="004153B6" w:rsidRDefault="004153B6" w14:paraId="47933C1D" w14:textId="48DF93AB">
            <w:pPr>
              <w:keepNext/>
              <w:rPr>
                <w:rFonts w:eastAsia="Times New Roman" w:cs="Calibri"/>
                <w:b/>
                <w:bCs/>
                <w:color w:val="000000"/>
                <w:sz w:val="20"/>
              </w:rPr>
            </w:pPr>
            <w:r w:rsidRPr="00111AAA">
              <w:rPr>
                <w:rFonts w:eastAsia="Times New Roman" w:cs="Calibri"/>
                <w:b/>
                <w:bCs/>
                <w:color w:val="000000"/>
                <w:sz w:val="20"/>
              </w:rPr>
              <w:t>Liberty</w:t>
            </w:r>
          </w:p>
        </w:tc>
        <w:tc>
          <w:tcPr>
            <w:tcW w:w="144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6760F88" w14:textId="77777777">
            <w:pPr>
              <w:keepNext/>
              <w:jc w:val="right"/>
              <w:rPr>
                <w:rFonts w:eastAsia="Times New Roman" w:cs="Calibri"/>
                <w:sz w:val="20"/>
              </w:rPr>
            </w:pPr>
            <w:r w:rsidRPr="00111AAA">
              <w:rPr>
                <w:rFonts w:cs="Calibri"/>
                <w:color w:val="000000"/>
                <w:sz w:val="20"/>
              </w:rPr>
              <w:t>$913,960</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2A3EBCEF" w14:textId="77777777">
            <w:pPr>
              <w:keepNext/>
              <w:jc w:val="right"/>
              <w:rPr>
                <w:rFonts w:eastAsia="Times New Roman" w:cs="Calibri"/>
                <w:sz w:val="20"/>
              </w:rPr>
            </w:pPr>
            <w:r w:rsidRPr="00111AAA">
              <w:rPr>
                <w:rFonts w:cs="Calibri"/>
                <w:color w:val="000000"/>
                <w:sz w:val="20"/>
              </w:rPr>
              <w:t>$913,960</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43E2DF49" w14:textId="77777777">
            <w:pPr>
              <w:keepNext/>
              <w:jc w:val="right"/>
              <w:rPr>
                <w:rFonts w:eastAsia="Times New Roman" w:cs="Calibri"/>
                <w:sz w:val="20"/>
              </w:rPr>
            </w:pPr>
            <w:r w:rsidRPr="00111AAA">
              <w:rPr>
                <w:rFonts w:cs="Calibri"/>
                <w:color w:val="000000"/>
                <w:sz w:val="20"/>
              </w:rPr>
              <w:t>$913,960</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19CD1C7" w14:textId="77777777">
            <w:pPr>
              <w:keepNext/>
              <w:jc w:val="right"/>
              <w:rPr>
                <w:rFonts w:eastAsia="Times New Roman" w:cs="Calibri"/>
                <w:sz w:val="20"/>
              </w:rPr>
            </w:pPr>
            <w:r w:rsidRPr="00111AAA">
              <w:rPr>
                <w:rFonts w:cs="Calibri"/>
                <w:color w:val="000000"/>
                <w:sz w:val="20"/>
              </w:rPr>
              <w:t>$1,097,229</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2828AC77" w14:textId="77777777">
            <w:pPr>
              <w:keepNext/>
              <w:jc w:val="right"/>
              <w:rPr>
                <w:rFonts w:eastAsia="Times New Roman" w:cs="Calibri"/>
                <w:sz w:val="20"/>
              </w:rPr>
            </w:pPr>
            <w:r w:rsidRPr="00111AAA">
              <w:rPr>
                <w:rFonts w:cs="Calibri"/>
                <w:color w:val="000000"/>
                <w:sz w:val="20"/>
              </w:rPr>
              <w:t>$1,097,229</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B6D1DBC" w14:textId="77777777">
            <w:pPr>
              <w:keepNext/>
              <w:jc w:val="right"/>
              <w:rPr>
                <w:rFonts w:eastAsia="Times New Roman" w:cs="Calibri"/>
                <w:sz w:val="20"/>
              </w:rPr>
            </w:pPr>
            <w:r w:rsidRPr="00111AAA">
              <w:rPr>
                <w:rFonts w:cs="Calibri"/>
                <w:color w:val="000000"/>
                <w:sz w:val="20"/>
              </w:rPr>
              <w:t>$1,097,229</w:t>
            </w:r>
          </w:p>
        </w:tc>
        <w:tc>
          <w:tcPr>
            <w:tcW w:w="153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641A7A3B" w14:textId="77777777">
            <w:pPr>
              <w:keepNext/>
              <w:jc w:val="right"/>
              <w:rPr>
                <w:rFonts w:eastAsia="Times New Roman" w:cs="Calibri"/>
                <w:b/>
                <w:bCs/>
                <w:color w:val="000000"/>
                <w:sz w:val="20"/>
              </w:rPr>
            </w:pPr>
            <w:r w:rsidRPr="00111AAA">
              <w:rPr>
                <w:rFonts w:cs="Calibri"/>
                <w:b/>
                <w:bCs/>
                <w:color w:val="000000"/>
                <w:sz w:val="20"/>
              </w:rPr>
              <w:t>$6,033,566</w:t>
            </w:r>
          </w:p>
        </w:tc>
      </w:tr>
      <w:tr w:rsidRPr="00111AAA" w:rsidR="008959A4" w:rsidTr="004153B6" w14:paraId="6A38387A"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55BB5EDC" w14:textId="77777777">
            <w:pPr>
              <w:keepNext/>
              <w:rPr>
                <w:rFonts w:eastAsia="Times New Roman" w:cs="Calibri"/>
                <w:b/>
                <w:bCs/>
                <w:color w:val="000000"/>
                <w:sz w:val="20"/>
              </w:rPr>
            </w:pPr>
            <w:r w:rsidRPr="00111AAA">
              <w:rPr>
                <w:rFonts w:eastAsia="Times New Roman" w:cs="Calibri"/>
                <w:b/>
                <w:bCs/>
                <w:color w:val="000000"/>
                <w:sz w:val="20"/>
              </w:rPr>
              <w:t>PacifiCorp</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032F6B7" w14:textId="77777777">
            <w:pPr>
              <w:keepNext/>
              <w:jc w:val="right"/>
              <w:rPr>
                <w:rFonts w:eastAsia="Times New Roman" w:cs="Calibri"/>
                <w:color w:val="000000"/>
                <w:sz w:val="20"/>
              </w:rPr>
            </w:pPr>
            <w:r w:rsidRPr="00111AAA">
              <w:rPr>
                <w:rFonts w:cs="Calibri"/>
                <w:color w:val="000000"/>
                <w:sz w:val="20"/>
              </w:rPr>
              <w:t>$3,515,000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E2F8753" w14:textId="77777777">
            <w:pPr>
              <w:keepNext/>
              <w:jc w:val="right"/>
              <w:rPr>
                <w:rFonts w:eastAsia="Times New Roman" w:cs="Calibri"/>
                <w:color w:val="000000"/>
                <w:sz w:val="20"/>
              </w:rPr>
            </w:pPr>
            <w:r w:rsidRPr="00111AAA">
              <w:rPr>
                <w:rFonts w:cs="Calibri"/>
                <w:color w:val="000000"/>
                <w:sz w:val="20"/>
              </w:rPr>
              <w:t>$3,585,000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0674182" w14:textId="77777777">
            <w:pPr>
              <w:keepNext/>
              <w:jc w:val="right"/>
              <w:rPr>
                <w:rFonts w:eastAsia="Times New Roman" w:cs="Calibri"/>
                <w:color w:val="000000"/>
                <w:sz w:val="20"/>
              </w:rPr>
            </w:pPr>
            <w:r w:rsidRPr="00111AAA">
              <w:rPr>
                <w:rFonts w:cs="Calibri"/>
                <w:color w:val="000000"/>
                <w:sz w:val="20"/>
              </w:rPr>
              <w:t>$3,657,000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4490792" w14:textId="77777777">
            <w:pPr>
              <w:keepNext/>
              <w:jc w:val="right"/>
              <w:rPr>
                <w:rFonts w:eastAsia="Times New Roman" w:cs="Calibri"/>
                <w:color w:val="000000"/>
                <w:sz w:val="20"/>
              </w:rPr>
            </w:pPr>
            <w:r w:rsidRPr="00111AAA">
              <w:rPr>
                <w:rFonts w:cs="Calibri"/>
                <w:color w:val="000000"/>
                <w:sz w:val="20"/>
              </w:rPr>
              <w:t>$3,730,000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0B442BC" w14:textId="77777777">
            <w:pPr>
              <w:keepNext/>
              <w:jc w:val="right"/>
              <w:rPr>
                <w:rFonts w:eastAsia="Times New Roman" w:cs="Calibri"/>
                <w:color w:val="000000"/>
                <w:sz w:val="20"/>
              </w:rPr>
            </w:pPr>
            <w:r w:rsidRPr="00111AAA">
              <w:rPr>
                <w:rFonts w:cs="Calibri"/>
                <w:color w:val="000000"/>
                <w:sz w:val="20"/>
              </w:rPr>
              <w:t>$3,805,000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E70DFD8" w14:textId="77777777">
            <w:pPr>
              <w:keepNext/>
              <w:jc w:val="right"/>
              <w:rPr>
                <w:rFonts w:eastAsia="Times New Roman" w:cs="Calibri"/>
                <w:color w:val="000000"/>
                <w:sz w:val="20"/>
              </w:rPr>
            </w:pPr>
            <w:r w:rsidRPr="00111AAA">
              <w:rPr>
                <w:rFonts w:cs="Calibri"/>
                <w:color w:val="000000"/>
                <w:sz w:val="20"/>
              </w:rPr>
              <w:t>$3,881,000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B482821" w14:textId="77777777">
            <w:pPr>
              <w:keepNext/>
              <w:jc w:val="right"/>
              <w:rPr>
                <w:rFonts w:eastAsia="Times New Roman" w:cs="Calibri"/>
                <w:b/>
                <w:bCs/>
                <w:color w:val="000000"/>
                <w:sz w:val="20"/>
              </w:rPr>
            </w:pPr>
            <w:r w:rsidRPr="00111AAA">
              <w:rPr>
                <w:rFonts w:cs="Calibri"/>
                <w:b/>
                <w:bCs/>
                <w:color w:val="000000"/>
                <w:sz w:val="20"/>
              </w:rPr>
              <w:t>$22,173,000</w:t>
            </w:r>
          </w:p>
        </w:tc>
      </w:tr>
      <w:tr w:rsidRPr="00111AAA" w:rsidR="008959A4" w:rsidTr="004153B6" w14:paraId="0A1E99AC"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8959A4" w:rsidP="00717A84" w:rsidRDefault="008959A4" w14:paraId="09DB8CE5" w14:textId="77777777">
            <w:pPr>
              <w:keepNext/>
              <w:rPr>
                <w:rFonts w:eastAsia="Times New Roman" w:cs="Calibri"/>
                <w:b/>
                <w:bCs/>
                <w:color w:val="000000"/>
                <w:sz w:val="20"/>
              </w:rPr>
            </w:pPr>
            <w:r w:rsidRPr="00111AAA">
              <w:rPr>
                <w:rFonts w:eastAsia="Times New Roman" w:cs="Calibri"/>
                <w:b/>
                <w:bCs/>
                <w:color w:val="000000"/>
                <w:sz w:val="20"/>
              </w:rPr>
              <w:t>Southwest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6B8E83C" w14:textId="77777777">
            <w:pPr>
              <w:keepNext/>
              <w:jc w:val="right"/>
              <w:rPr>
                <w:rFonts w:eastAsia="Times New Roman" w:cs="Calibri"/>
                <w:color w:val="000000"/>
                <w:sz w:val="20"/>
              </w:rPr>
            </w:pPr>
            <w:r w:rsidRPr="00111AAA">
              <w:rPr>
                <w:rFonts w:cs="Calibri"/>
                <w:color w:val="000000"/>
                <w:sz w:val="20"/>
              </w:rPr>
              <w:t>$8,122,378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EB224BB" w14:textId="77777777">
            <w:pPr>
              <w:keepNext/>
              <w:jc w:val="right"/>
              <w:rPr>
                <w:rFonts w:eastAsia="Times New Roman" w:cs="Calibri"/>
                <w:color w:val="000000"/>
                <w:sz w:val="20"/>
              </w:rPr>
            </w:pPr>
            <w:r w:rsidRPr="00111AAA">
              <w:rPr>
                <w:rFonts w:cs="Calibri"/>
                <w:color w:val="000000"/>
                <w:sz w:val="20"/>
              </w:rPr>
              <w:t>$8,122,378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337F917" w14:textId="77777777">
            <w:pPr>
              <w:keepNext/>
              <w:jc w:val="right"/>
              <w:rPr>
                <w:rFonts w:eastAsia="Times New Roman" w:cs="Calibri"/>
                <w:color w:val="000000"/>
                <w:sz w:val="20"/>
              </w:rPr>
            </w:pPr>
            <w:r w:rsidRPr="00111AAA">
              <w:rPr>
                <w:rFonts w:cs="Calibri"/>
                <w:color w:val="000000"/>
                <w:sz w:val="20"/>
              </w:rPr>
              <w:t>$8,122,378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55BDB6C" w14:textId="77777777">
            <w:pPr>
              <w:keepNext/>
              <w:jc w:val="right"/>
              <w:rPr>
                <w:rFonts w:eastAsia="Times New Roman" w:cs="Calibri"/>
                <w:color w:val="000000"/>
                <w:sz w:val="20"/>
              </w:rPr>
            </w:pPr>
            <w:r w:rsidRPr="00111AAA">
              <w:rPr>
                <w:rFonts w:cs="Calibri"/>
                <w:color w:val="000000"/>
                <w:sz w:val="20"/>
              </w:rPr>
              <w:t>$8,122,378</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FFD7F92" w14:textId="77777777">
            <w:pPr>
              <w:keepNext/>
              <w:jc w:val="right"/>
              <w:rPr>
                <w:rFonts w:eastAsia="Times New Roman" w:cs="Calibri"/>
                <w:color w:val="000000"/>
                <w:sz w:val="20"/>
              </w:rPr>
            </w:pPr>
            <w:r w:rsidRPr="00111AAA">
              <w:rPr>
                <w:rFonts w:cs="Calibri"/>
                <w:color w:val="000000"/>
                <w:sz w:val="20"/>
              </w:rPr>
              <w:t>$8,122,378</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B13ECDD" w14:textId="77777777">
            <w:pPr>
              <w:keepNext/>
              <w:jc w:val="right"/>
              <w:rPr>
                <w:rFonts w:eastAsia="Times New Roman" w:cs="Calibri"/>
                <w:color w:val="000000"/>
                <w:sz w:val="20"/>
              </w:rPr>
            </w:pPr>
            <w:r w:rsidRPr="00111AAA">
              <w:rPr>
                <w:rFonts w:cs="Calibri"/>
                <w:color w:val="000000"/>
                <w:sz w:val="20"/>
              </w:rPr>
              <w:t>$8,122,378</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672B88B" w14:textId="77777777">
            <w:pPr>
              <w:keepNext/>
              <w:jc w:val="right"/>
              <w:rPr>
                <w:rFonts w:eastAsia="Times New Roman" w:cs="Calibri"/>
                <w:b/>
                <w:bCs/>
                <w:color w:val="000000"/>
                <w:sz w:val="20"/>
              </w:rPr>
            </w:pPr>
            <w:r w:rsidRPr="00111AAA">
              <w:rPr>
                <w:rFonts w:cs="Calibri"/>
                <w:b/>
                <w:bCs/>
                <w:color w:val="000000"/>
                <w:sz w:val="20"/>
              </w:rPr>
              <w:t>$48,734,268</w:t>
            </w:r>
          </w:p>
        </w:tc>
      </w:tr>
      <w:tr w:rsidRPr="00111AAA" w:rsidR="008959A4" w:rsidTr="004153B6" w14:paraId="151FE6B2"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52FA018C" w14:textId="77777777">
            <w:pPr>
              <w:keepNext/>
              <w:rPr>
                <w:rFonts w:eastAsia="Times New Roman" w:cs="Calibri"/>
                <w:b/>
                <w:bCs/>
                <w:color w:val="000000"/>
                <w:sz w:val="20"/>
              </w:rPr>
            </w:pPr>
            <w:r w:rsidRPr="00111AAA">
              <w:rPr>
                <w:rFonts w:eastAsia="Times New Roman" w:cs="Calibri"/>
                <w:b/>
                <w:bCs/>
                <w:sz w:val="20"/>
              </w:rPr>
              <w:t>West Coast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C1A3C30" w14:textId="77777777">
            <w:pPr>
              <w:keepNext/>
              <w:jc w:val="right"/>
              <w:rPr>
                <w:rFonts w:eastAsia="Times New Roman" w:cs="Calibri"/>
                <w:color w:val="000000"/>
                <w:sz w:val="20"/>
              </w:rPr>
            </w:pPr>
            <w:r w:rsidRPr="00111AAA">
              <w:rPr>
                <w:rFonts w:cs="Calibri"/>
                <w:color w:val="000000"/>
                <w:sz w:val="20"/>
              </w:rPr>
              <w:t>$5,474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583DF97" w14:textId="77777777">
            <w:pPr>
              <w:keepNext/>
              <w:jc w:val="right"/>
              <w:rPr>
                <w:rFonts w:eastAsia="Times New Roman" w:cs="Calibri"/>
                <w:color w:val="000000"/>
                <w:sz w:val="20"/>
              </w:rPr>
            </w:pPr>
            <w:r w:rsidRPr="00111AAA">
              <w:rPr>
                <w:rFonts w:cs="Calibri"/>
                <w:color w:val="000000"/>
                <w:sz w:val="20"/>
              </w:rPr>
              <w:t>$5,650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F25A21C" w14:textId="77777777">
            <w:pPr>
              <w:keepNext/>
              <w:jc w:val="right"/>
              <w:rPr>
                <w:rFonts w:eastAsia="Times New Roman" w:cs="Calibri"/>
                <w:color w:val="000000"/>
                <w:sz w:val="20"/>
              </w:rPr>
            </w:pPr>
            <w:r w:rsidRPr="00111AAA">
              <w:rPr>
                <w:rFonts w:cs="Calibri"/>
                <w:color w:val="000000"/>
                <w:sz w:val="20"/>
              </w:rPr>
              <w:t>$5,833</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1C8E88F" w14:textId="77777777">
            <w:pPr>
              <w:keepNext/>
              <w:jc w:val="right"/>
              <w:rPr>
                <w:rFonts w:eastAsia="Times New Roman" w:cs="Calibri"/>
                <w:color w:val="000000"/>
                <w:sz w:val="20"/>
              </w:rPr>
            </w:pPr>
            <w:r w:rsidRPr="00111AAA">
              <w:rPr>
                <w:rFonts w:cs="Calibri"/>
                <w:color w:val="000000"/>
                <w:sz w:val="20"/>
              </w:rPr>
              <w:t>$6,021</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38E8E5D" w14:textId="77777777">
            <w:pPr>
              <w:keepNext/>
              <w:jc w:val="right"/>
              <w:rPr>
                <w:rFonts w:eastAsia="Times New Roman" w:cs="Calibri"/>
                <w:color w:val="000000"/>
                <w:sz w:val="20"/>
              </w:rPr>
            </w:pPr>
            <w:r w:rsidRPr="00111AAA">
              <w:rPr>
                <w:rFonts w:cs="Calibri"/>
                <w:color w:val="000000"/>
                <w:sz w:val="20"/>
              </w:rPr>
              <w:t>$6,216</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EF86C84" w14:textId="77777777">
            <w:pPr>
              <w:keepNext/>
              <w:jc w:val="right"/>
              <w:rPr>
                <w:rFonts w:eastAsia="Times New Roman" w:cs="Calibri"/>
                <w:color w:val="000000"/>
                <w:sz w:val="20"/>
              </w:rPr>
            </w:pPr>
            <w:r w:rsidRPr="00111AAA">
              <w:rPr>
                <w:rFonts w:cs="Calibri"/>
                <w:color w:val="000000"/>
                <w:sz w:val="20"/>
              </w:rPr>
              <w:t>$6,417</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B67B88E" w14:textId="77777777">
            <w:pPr>
              <w:keepNext/>
              <w:jc w:val="right"/>
              <w:rPr>
                <w:rFonts w:eastAsia="Times New Roman" w:cs="Calibri"/>
                <w:b/>
                <w:bCs/>
                <w:color w:val="000000"/>
                <w:sz w:val="20"/>
              </w:rPr>
            </w:pPr>
            <w:r w:rsidRPr="00111AAA">
              <w:rPr>
                <w:rFonts w:cs="Calibri"/>
                <w:b/>
                <w:bCs/>
                <w:color w:val="000000"/>
                <w:sz w:val="20"/>
              </w:rPr>
              <w:t>$35,611</w:t>
            </w:r>
          </w:p>
        </w:tc>
      </w:tr>
      <w:tr w:rsidRPr="00111AAA" w:rsidR="008959A4" w:rsidTr="004153B6" w14:paraId="04A2E7CB"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03E1FC9B" w14:textId="77777777">
            <w:pPr>
              <w:keepNext/>
              <w:rPr>
                <w:rFonts w:eastAsia="Times New Roman" w:cs="Calibri"/>
                <w:b/>
                <w:bCs/>
                <w:color w:val="000000"/>
                <w:sz w:val="20"/>
              </w:rPr>
            </w:pPr>
            <w:r w:rsidRPr="00111AAA">
              <w:rPr>
                <w:rFonts w:eastAsia="Times New Roman" w:cs="Calibri"/>
                <w:b/>
                <w:bCs/>
                <w:color w:val="000000"/>
                <w:sz w:val="20"/>
              </w:rPr>
              <w:t>Total</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FA473CB" w14:textId="77777777">
            <w:pPr>
              <w:keepNext/>
              <w:jc w:val="right"/>
              <w:rPr>
                <w:rFonts w:eastAsia="Times New Roman" w:cs="Calibri"/>
                <w:b/>
                <w:bCs/>
                <w:color w:val="000000"/>
                <w:sz w:val="20"/>
              </w:rPr>
            </w:pPr>
            <w:r w:rsidRPr="00111AAA">
              <w:rPr>
                <w:rFonts w:cs="Calibri"/>
                <w:b/>
                <w:bCs/>
                <w:color w:val="000000"/>
                <w:sz w:val="20"/>
              </w:rPr>
              <w:t>$12,851,940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2FAF00A" w14:textId="77777777">
            <w:pPr>
              <w:keepNext/>
              <w:jc w:val="right"/>
              <w:rPr>
                <w:rFonts w:eastAsia="Times New Roman" w:cs="Calibri"/>
                <w:b/>
                <w:bCs/>
                <w:color w:val="000000"/>
                <w:sz w:val="20"/>
              </w:rPr>
            </w:pPr>
            <w:r w:rsidRPr="00111AAA">
              <w:rPr>
                <w:rFonts w:cs="Calibri"/>
                <w:b/>
                <w:bCs/>
                <w:color w:val="000000"/>
                <w:sz w:val="20"/>
              </w:rPr>
              <w:t>$12,935,523</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FD77970" w14:textId="77777777">
            <w:pPr>
              <w:keepNext/>
              <w:jc w:val="right"/>
              <w:rPr>
                <w:rFonts w:eastAsia="Times New Roman" w:cs="Calibri"/>
                <w:b/>
                <w:bCs/>
                <w:color w:val="000000"/>
                <w:sz w:val="20"/>
              </w:rPr>
            </w:pPr>
            <w:r w:rsidRPr="00111AAA">
              <w:rPr>
                <w:rFonts w:cs="Calibri"/>
                <w:b/>
                <w:bCs/>
                <w:color w:val="000000"/>
                <w:sz w:val="20"/>
              </w:rPr>
              <w:t>$13,021,782</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85A944D" w14:textId="77777777">
            <w:pPr>
              <w:keepNext/>
              <w:jc w:val="right"/>
              <w:rPr>
                <w:rFonts w:eastAsia="Times New Roman" w:cs="Calibri"/>
                <w:b/>
                <w:bCs/>
                <w:color w:val="000000"/>
                <w:sz w:val="20"/>
              </w:rPr>
            </w:pPr>
            <w:r w:rsidRPr="00111AAA">
              <w:rPr>
                <w:rFonts w:cs="Calibri"/>
                <w:b/>
                <w:bCs/>
                <w:color w:val="000000"/>
                <w:sz w:val="20"/>
              </w:rPr>
              <w:t>$13,294,020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5F84D46" w14:textId="77777777">
            <w:pPr>
              <w:keepNext/>
              <w:jc w:val="right"/>
              <w:rPr>
                <w:rFonts w:eastAsia="Times New Roman" w:cs="Calibri"/>
                <w:b/>
                <w:bCs/>
                <w:color w:val="000000"/>
                <w:sz w:val="20"/>
              </w:rPr>
            </w:pPr>
            <w:r w:rsidRPr="00111AAA">
              <w:rPr>
                <w:rFonts w:cs="Calibri"/>
                <w:b/>
                <w:bCs/>
                <w:color w:val="000000"/>
                <w:sz w:val="20"/>
              </w:rPr>
              <w:t>$13,384,734</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1B96792" w14:textId="77777777">
            <w:pPr>
              <w:keepNext/>
              <w:jc w:val="right"/>
              <w:rPr>
                <w:rFonts w:eastAsia="Times New Roman" w:cs="Calibri"/>
                <w:b/>
                <w:bCs/>
                <w:color w:val="000000"/>
                <w:sz w:val="20"/>
              </w:rPr>
            </w:pPr>
            <w:r w:rsidRPr="00111AAA">
              <w:rPr>
                <w:rFonts w:cs="Calibri"/>
                <w:b/>
                <w:bCs/>
                <w:color w:val="000000"/>
                <w:sz w:val="20"/>
              </w:rPr>
              <w:t>$13,477,230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0C730AB" w14:textId="77777777">
            <w:pPr>
              <w:keepNext/>
              <w:jc w:val="right"/>
              <w:rPr>
                <w:rFonts w:eastAsia="Times New Roman" w:cs="Calibri"/>
                <w:b/>
                <w:bCs/>
                <w:color w:val="000000"/>
                <w:sz w:val="20"/>
              </w:rPr>
            </w:pPr>
            <w:r w:rsidRPr="00111AAA">
              <w:rPr>
                <w:rFonts w:cs="Calibri"/>
                <w:b/>
                <w:bCs/>
                <w:color w:val="000000"/>
                <w:sz w:val="20"/>
              </w:rPr>
              <w:t>$78,965,228</w:t>
            </w:r>
          </w:p>
        </w:tc>
      </w:tr>
      <w:tr w:rsidRPr="00111AAA" w:rsidR="008959A4" w:rsidTr="004153B6" w14:paraId="6C0CC835" w14:textId="77777777">
        <w:trPr>
          <w:trHeight w:val="260"/>
          <w:jc w:val="center"/>
        </w:trPr>
        <w:tc>
          <w:tcPr>
            <w:tcW w:w="1483" w:type="dxa"/>
            <w:tcBorders>
              <w:top w:val="nil"/>
              <w:left w:val="nil"/>
              <w:bottom w:val="nil"/>
              <w:right w:val="nil"/>
            </w:tcBorders>
            <w:shd w:val="clear" w:color="auto" w:fill="auto"/>
            <w:noWrap/>
            <w:vAlign w:val="bottom"/>
            <w:hideMark/>
          </w:tcPr>
          <w:p w:rsidRPr="00111AAA" w:rsidR="008959A4" w:rsidP="00717A84" w:rsidRDefault="008959A4" w14:paraId="78A2F7C9" w14:textId="77777777">
            <w:pPr>
              <w:keepNext/>
              <w:ind w:left="360"/>
              <w:jc w:val="right"/>
              <w:rPr>
                <w:rFonts w:eastAsia="Times New Roman" w:cs="Calibri"/>
                <w:b/>
                <w:bCs/>
                <w:color w:val="000000"/>
                <w:sz w:val="20"/>
              </w:rPr>
            </w:pPr>
          </w:p>
        </w:tc>
        <w:tc>
          <w:tcPr>
            <w:tcW w:w="1440" w:type="dxa"/>
            <w:tcBorders>
              <w:top w:val="nil"/>
              <w:left w:val="nil"/>
              <w:bottom w:val="nil"/>
              <w:right w:val="nil"/>
            </w:tcBorders>
            <w:shd w:val="clear" w:color="auto" w:fill="auto"/>
            <w:noWrap/>
            <w:vAlign w:val="bottom"/>
            <w:hideMark/>
          </w:tcPr>
          <w:p w:rsidRPr="00111AAA" w:rsidR="008959A4" w:rsidP="00717A84" w:rsidRDefault="008959A4" w14:paraId="1F08DE32"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3240E787"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7EFEE4D4" w14:textId="77777777">
            <w:pPr>
              <w:keepNext/>
              <w:ind w:left="360"/>
              <w:rPr>
                <w:rFonts w:eastAsia="Times New Roman"/>
                <w:sz w:val="20"/>
              </w:rPr>
            </w:pPr>
          </w:p>
        </w:tc>
        <w:tc>
          <w:tcPr>
            <w:tcW w:w="1216" w:type="dxa"/>
            <w:tcBorders>
              <w:top w:val="nil"/>
              <w:left w:val="nil"/>
              <w:bottom w:val="nil"/>
              <w:right w:val="nil"/>
            </w:tcBorders>
            <w:shd w:val="clear" w:color="auto" w:fill="auto"/>
            <w:noWrap/>
            <w:vAlign w:val="bottom"/>
            <w:hideMark/>
          </w:tcPr>
          <w:p w:rsidRPr="00111AAA" w:rsidR="008959A4" w:rsidP="00717A84" w:rsidRDefault="008959A4" w14:paraId="139DA177" w14:textId="77777777">
            <w:pPr>
              <w:keepNext/>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111AAA" w:rsidR="008959A4" w:rsidP="00717A84" w:rsidRDefault="008959A4" w14:paraId="2147FCDE" w14:textId="77777777">
            <w:pPr>
              <w:keepNext/>
              <w:ind w:left="360"/>
              <w:rPr>
                <w:rFonts w:eastAsia="Times New Roman"/>
                <w:sz w:val="20"/>
              </w:rPr>
            </w:pPr>
          </w:p>
        </w:tc>
        <w:tc>
          <w:tcPr>
            <w:tcW w:w="1260" w:type="dxa"/>
            <w:tcBorders>
              <w:top w:val="nil"/>
              <w:left w:val="nil"/>
              <w:bottom w:val="nil"/>
              <w:right w:val="nil"/>
            </w:tcBorders>
            <w:shd w:val="clear" w:color="auto" w:fill="auto"/>
            <w:noWrap/>
            <w:vAlign w:val="bottom"/>
            <w:hideMark/>
          </w:tcPr>
          <w:p w:rsidRPr="00111AAA" w:rsidR="008959A4" w:rsidP="00717A84" w:rsidRDefault="008959A4" w14:paraId="61BC91AF" w14:textId="77777777">
            <w:pPr>
              <w:keepNext/>
              <w:ind w:left="360"/>
              <w:rPr>
                <w:rFonts w:eastAsia="Times New Roman"/>
                <w:sz w:val="20"/>
              </w:rPr>
            </w:pPr>
          </w:p>
        </w:tc>
        <w:tc>
          <w:tcPr>
            <w:tcW w:w="1530" w:type="dxa"/>
            <w:tcBorders>
              <w:top w:val="nil"/>
              <w:left w:val="nil"/>
              <w:bottom w:val="nil"/>
              <w:right w:val="nil"/>
            </w:tcBorders>
            <w:shd w:val="clear" w:color="auto" w:fill="auto"/>
            <w:noWrap/>
            <w:vAlign w:val="bottom"/>
            <w:hideMark/>
          </w:tcPr>
          <w:p w:rsidRPr="00111AAA" w:rsidR="008959A4" w:rsidP="00717A84" w:rsidRDefault="008959A4" w14:paraId="1A2DD9E4" w14:textId="77777777">
            <w:pPr>
              <w:keepNext/>
              <w:ind w:left="360"/>
              <w:rPr>
                <w:rFonts w:eastAsia="Times New Roman"/>
                <w:sz w:val="20"/>
              </w:rPr>
            </w:pPr>
          </w:p>
        </w:tc>
      </w:tr>
      <w:tr w:rsidRPr="00111AAA" w:rsidR="008959A4" w:rsidTr="004153B6" w14:paraId="67F9F490" w14:textId="77777777">
        <w:trPr>
          <w:trHeight w:val="260"/>
          <w:jc w:val="center"/>
        </w:trPr>
        <w:tc>
          <w:tcPr>
            <w:tcW w:w="1483"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416984ED" w14:textId="77777777">
            <w:pPr>
              <w:keepNext/>
              <w:rPr>
                <w:rFonts w:eastAsia="Times New Roman" w:cs="Calibri"/>
                <w:b/>
                <w:bCs/>
                <w:color w:val="000000"/>
                <w:sz w:val="20"/>
              </w:rPr>
            </w:pPr>
            <w:r w:rsidRPr="00111AAA">
              <w:rPr>
                <w:rFonts w:eastAsia="Times New Roman" w:cs="Calibri"/>
                <w:b/>
                <w:bCs/>
                <w:color w:val="000000"/>
                <w:sz w:val="20"/>
              </w:rPr>
              <w:t>SMJU</w:t>
            </w:r>
          </w:p>
        </w:tc>
        <w:tc>
          <w:tcPr>
            <w:tcW w:w="9138" w:type="dxa"/>
            <w:gridSpan w:val="7"/>
            <w:tcBorders>
              <w:top w:val="single" w:color="auto" w:sz="4" w:space="0"/>
              <w:left w:val="nil"/>
              <w:bottom w:val="single" w:color="auto" w:sz="4" w:space="0"/>
              <w:right w:val="single" w:color="auto" w:sz="4" w:space="0"/>
            </w:tcBorders>
            <w:shd w:val="clear" w:color="auto" w:fill="auto"/>
            <w:noWrap/>
            <w:vAlign w:val="bottom"/>
            <w:hideMark/>
          </w:tcPr>
          <w:p w:rsidRPr="00111AAA" w:rsidR="008959A4" w:rsidP="00717A84" w:rsidRDefault="008959A4" w14:paraId="081D52B1" w14:textId="77777777">
            <w:pPr>
              <w:keepNext/>
              <w:ind w:left="360"/>
              <w:jc w:val="center"/>
              <w:rPr>
                <w:rFonts w:eastAsia="Times New Roman" w:cs="Calibri"/>
                <w:b/>
                <w:bCs/>
                <w:color w:val="000000"/>
                <w:sz w:val="20"/>
              </w:rPr>
            </w:pPr>
            <w:r w:rsidRPr="00111AAA">
              <w:rPr>
                <w:rFonts w:eastAsia="Times New Roman" w:cs="Calibri"/>
                <w:b/>
                <w:bCs/>
                <w:color w:val="000000"/>
                <w:sz w:val="20"/>
              </w:rPr>
              <w:t>Approved CARE Administrative Budget and Subsidies</w:t>
            </w:r>
          </w:p>
        </w:tc>
      </w:tr>
      <w:tr w:rsidRPr="00111AAA" w:rsidR="008959A4" w:rsidTr="004153B6" w14:paraId="3A1E9084" w14:textId="77777777">
        <w:trPr>
          <w:trHeight w:val="260"/>
          <w:jc w:val="center"/>
        </w:trPr>
        <w:tc>
          <w:tcPr>
            <w:tcW w:w="1483" w:type="dxa"/>
            <w:vMerge/>
            <w:tcBorders>
              <w:top w:val="single" w:color="auto" w:sz="4" w:space="0"/>
              <w:left w:val="single" w:color="auto" w:sz="4" w:space="0"/>
              <w:bottom w:val="single" w:color="auto" w:sz="4" w:space="0"/>
              <w:right w:val="single" w:color="auto" w:sz="4" w:space="0"/>
            </w:tcBorders>
            <w:vAlign w:val="center"/>
            <w:hideMark/>
          </w:tcPr>
          <w:p w:rsidRPr="00111AAA" w:rsidR="008959A4" w:rsidP="00717A84" w:rsidRDefault="008959A4" w14:paraId="7B283537" w14:textId="77777777">
            <w:pPr>
              <w:keepNext/>
              <w:ind w:left="360"/>
              <w:rPr>
                <w:rFonts w:eastAsia="Times New Roman" w:cs="Calibri"/>
                <w:b/>
                <w:bCs/>
                <w:color w:val="000000"/>
                <w:sz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508E7751" w14:textId="77777777">
            <w:pPr>
              <w:keepNext/>
              <w:ind w:left="360"/>
              <w:jc w:val="right"/>
              <w:rPr>
                <w:rFonts w:eastAsia="Times New Roman" w:cs="Calibri"/>
                <w:b/>
                <w:bCs/>
                <w:color w:val="000000"/>
                <w:sz w:val="20"/>
              </w:rPr>
            </w:pPr>
            <w:r w:rsidRPr="00111AAA">
              <w:rPr>
                <w:rFonts w:eastAsia="Times New Roman" w:cs="Calibri"/>
                <w:b/>
                <w:bCs/>
                <w:color w:val="000000"/>
                <w:sz w:val="20"/>
              </w:rPr>
              <w:t>2021</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04842D7B" w14:textId="77777777">
            <w:pPr>
              <w:keepNext/>
              <w:ind w:left="360"/>
              <w:jc w:val="right"/>
              <w:rPr>
                <w:rFonts w:eastAsia="Times New Roman" w:cs="Calibri"/>
                <w:b/>
                <w:bCs/>
                <w:color w:val="000000"/>
                <w:sz w:val="20"/>
              </w:rPr>
            </w:pPr>
            <w:r w:rsidRPr="00111AAA">
              <w:rPr>
                <w:rFonts w:eastAsia="Times New Roman" w:cs="Calibri"/>
                <w:b/>
                <w:bCs/>
                <w:color w:val="000000"/>
                <w:sz w:val="20"/>
              </w:rPr>
              <w:t>2022</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5DD16CFF" w14:textId="77777777">
            <w:pPr>
              <w:keepNext/>
              <w:ind w:left="360"/>
              <w:jc w:val="right"/>
              <w:rPr>
                <w:rFonts w:eastAsia="Times New Roman" w:cs="Calibri"/>
                <w:b/>
                <w:bCs/>
                <w:color w:val="000000"/>
                <w:sz w:val="20"/>
              </w:rPr>
            </w:pPr>
            <w:r w:rsidRPr="00111AAA">
              <w:rPr>
                <w:rFonts w:eastAsia="Times New Roman" w:cs="Calibri"/>
                <w:b/>
                <w:bCs/>
                <w:color w:val="000000"/>
                <w:sz w:val="20"/>
              </w:rPr>
              <w:t>2023</w:t>
            </w:r>
          </w:p>
        </w:tc>
        <w:tc>
          <w:tcPr>
            <w:tcW w:w="1216"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464F5E02" w14:textId="77777777">
            <w:pPr>
              <w:keepNext/>
              <w:ind w:left="360"/>
              <w:jc w:val="right"/>
              <w:rPr>
                <w:rFonts w:eastAsia="Times New Roman" w:cs="Calibri"/>
                <w:b/>
                <w:bCs/>
                <w:color w:val="000000"/>
                <w:sz w:val="20"/>
              </w:rPr>
            </w:pPr>
            <w:r w:rsidRPr="00111AAA">
              <w:rPr>
                <w:rFonts w:eastAsia="Times New Roman" w:cs="Calibri"/>
                <w:b/>
                <w:bCs/>
                <w:color w:val="000000"/>
                <w:sz w:val="20"/>
              </w:rPr>
              <w:t>2024</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6DD657BA" w14:textId="77777777">
            <w:pPr>
              <w:keepNext/>
              <w:ind w:left="360"/>
              <w:jc w:val="right"/>
              <w:rPr>
                <w:rFonts w:eastAsia="Times New Roman" w:cs="Calibri"/>
                <w:b/>
                <w:bCs/>
                <w:color w:val="000000"/>
                <w:sz w:val="20"/>
              </w:rPr>
            </w:pPr>
            <w:r w:rsidRPr="00111AAA">
              <w:rPr>
                <w:rFonts w:eastAsia="Times New Roman" w:cs="Calibri"/>
                <w:b/>
                <w:bCs/>
                <w:color w:val="000000"/>
                <w:sz w:val="20"/>
              </w:rPr>
              <w:t>2025</w:t>
            </w:r>
          </w:p>
        </w:tc>
        <w:tc>
          <w:tcPr>
            <w:tcW w:w="126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52F07514" w14:textId="77777777">
            <w:pPr>
              <w:keepNext/>
              <w:ind w:left="360"/>
              <w:jc w:val="right"/>
              <w:rPr>
                <w:rFonts w:eastAsia="Times New Roman" w:cs="Calibri"/>
                <w:b/>
                <w:bCs/>
                <w:color w:val="000000"/>
                <w:sz w:val="20"/>
              </w:rPr>
            </w:pPr>
            <w:r w:rsidRPr="00111AAA">
              <w:rPr>
                <w:rFonts w:eastAsia="Times New Roman" w:cs="Calibri"/>
                <w:b/>
                <w:bCs/>
                <w:color w:val="000000"/>
                <w:sz w:val="20"/>
              </w:rPr>
              <w:t>2026</w:t>
            </w:r>
          </w:p>
        </w:tc>
        <w:tc>
          <w:tcPr>
            <w:tcW w:w="1530" w:type="dxa"/>
            <w:tcBorders>
              <w:top w:val="nil"/>
              <w:left w:val="nil"/>
              <w:bottom w:val="single" w:color="auto" w:sz="4" w:space="0"/>
              <w:right w:val="single" w:color="auto" w:sz="4" w:space="0"/>
            </w:tcBorders>
            <w:shd w:val="clear" w:color="auto" w:fill="auto"/>
            <w:noWrap/>
            <w:vAlign w:val="bottom"/>
            <w:hideMark/>
          </w:tcPr>
          <w:p w:rsidRPr="00111AAA" w:rsidR="008959A4" w:rsidP="00717A84" w:rsidRDefault="008959A4" w14:paraId="6DC85981" w14:textId="77777777">
            <w:pPr>
              <w:keepNext/>
              <w:ind w:left="360"/>
              <w:rPr>
                <w:rFonts w:eastAsia="Times New Roman" w:cs="Calibri"/>
                <w:b/>
                <w:bCs/>
                <w:color w:val="000000"/>
                <w:sz w:val="20"/>
              </w:rPr>
            </w:pPr>
            <w:r w:rsidRPr="00111AAA">
              <w:rPr>
                <w:rFonts w:eastAsia="Times New Roman" w:cs="Calibri"/>
                <w:b/>
                <w:bCs/>
                <w:color w:val="000000"/>
                <w:sz w:val="20"/>
              </w:rPr>
              <w:t>Total</w:t>
            </w:r>
          </w:p>
        </w:tc>
      </w:tr>
      <w:tr w:rsidRPr="00111AAA" w:rsidR="008959A4" w:rsidTr="004153B6" w14:paraId="1DE5275E"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095E9D" w14:paraId="419AEC19" w14:textId="50CF3EDA">
            <w:pPr>
              <w:keepNext/>
              <w:rPr>
                <w:rFonts w:eastAsia="Times New Roman" w:cs="Calibri"/>
                <w:b/>
                <w:bCs/>
                <w:color w:val="000000"/>
                <w:sz w:val="20"/>
              </w:rPr>
            </w:pPr>
            <w:r>
              <w:rPr>
                <w:rFonts w:eastAsia="Times New Roman" w:cs="Calibri"/>
                <w:b/>
                <w:bCs/>
                <w:color w:val="000000"/>
                <w:sz w:val="20"/>
              </w:rPr>
              <w:t>Alpine</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F60543E" w14:textId="77777777">
            <w:pPr>
              <w:keepNext/>
              <w:jc w:val="right"/>
              <w:rPr>
                <w:rFonts w:eastAsia="Times New Roman" w:cs="Calibri"/>
                <w:color w:val="000000"/>
                <w:sz w:val="20"/>
              </w:rPr>
            </w:pPr>
            <w:r w:rsidRPr="00111AAA">
              <w:rPr>
                <w:rFonts w:cs="Calibri"/>
                <w:color w:val="000000"/>
                <w:sz w:val="20"/>
              </w:rPr>
              <w:t>$33,000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D8CD492" w14:textId="77777777">
            <w:pPr>
              <w:keepNext/>
              <w:jc w:val="right"/>
              <w:rPr>
                <w:rFonts w:eastAsia="Times New Roman" w:cs="Calibri"/>
                <w:color w:val="000000"/>
                <w:sz w:val="20"/>
              </w:rPr>
            </w:pPr>
            <w:r w:rsidRPr="00111AAA">
              <w:rPr>
                <w:rFonts w:cs="Calibri"/>
                <w:color w:val="000000"/>
                <w:sz w:val="20"/>
              </w:rPr>
              <w:t>$33,000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EC3BD3A" w14:textId="77777777">
            <w:pPr>
              <w:keepNext/>
              <w:jc w:val="right"/>
              <w:rPr>
                <w:rFonts w:eastAsia="Times New Roman" w:cs="Calibri"/>
                <w:color w:val="000000"/>
                <w:sz w:val="20"/>
              </w:rPr>
            </w:pPr>
            <w:r w:rsidRPr="00111AAA">
              <w:rPr>
                <w:rFonts w:cs="Calibri"/>
                <w:color w:val="000000"/>
                <w:sz w:val="20"/>
              </w:rPr>
              <w:t>$33,000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63F5242" w14:textId="77777777">
            <w:pPr>
              <w:keepNext/>
              <w:jc w:val="right"/>
              <w:rPr>
                <w:rFonts w:eastAsia="Times New Roman" w:cs="Calibri"/>
                <w:color w:val="000000"/>
                <w:sz w:val="20"/>
              </w:rPr>
            </w:pPr>
            <w:r w:rsidRPr="00111AAA">
              <w:rPr>
                <w:rFonts w:cs="Calibri"/>
                <w:color w:val="000000"/>
                <w:sz w:val="20"/>
              </w:rPr>
              <w:t>$34,000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6436EF1" w14:textId="77777777">
            <w:pPr>
              <w:keepNext/>
              <w:jc w:val="right"/>
              <w:rPr>
                <w:rFonts w:eastAsia="Times New Roman" w:cs="Calibri"/>
                <w:color w:val="000000"/>
                <w:sz w:val="20"/>
              </w:rPr>
            </w:pPr>
            <w:r w:rsidRPr="00111AAA">
              <w:rPr>
                <w:rFonts w:cs="Calibri"/>
                <w:color w:val="000000"/>
                <w:sz w:val="20"/>
              </w:rPr>
              <w:t>$34,000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5403D988" w14:textId="77777777">
            <w:pPr>
              <w:keepNext/>
              <w:jc w:val="right"/>
              <w:rPr>
                <w:rFonts w:eastAsia="Times New Roman" w:cs="Calibri"/>
                <w:color w:val="000000"/>
                <w:sz w:val="20"/>
              </w:rPr>
            </w:pPr>
            <w:r w:rsidRPr="00111AAA">
              <w:rPr>
                <w:rFonts w:cs="Calibri"/>
                <w:color w:val="000000"/>
                <w:sz w:val="20"/>
              </w:rPr>
              <w:t>$34,000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2BD2946" w14:textId="77777777">
            <w:pPr>
              <w:keepNext/>
              <w:jc w:val="right"/>
              <w:rPr>
                <w:rFonts w:eastAsia="Times New Roman" w:cs="Calibri"/>
                <w:b/>
                <w:bCs/>
                <w:color w:val="000000"/>
                <w:sz w:val="20"/>
              </w:rPr>
            </w:pPr>
            <w:r w:rsidRPr="00111AAA">
              <w:rPr>
                <w:rFonts w:cs="Calibri"/>
                <w:b/>
                <w:bCs/>
                <w:color w:val="000000"/>
                <w:sz w:val="20"/>
              </w:rPr>
              <w:t>$201,000</w:t>
            </w:r>
          </w:p>
        </w:tc>
      </w:tr>
      <w:tr w:rsidRPr="00111AAA" w:rsidR="004153B6" w:rsidTr="004153B6" w14:paraId="6C2A622F"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4153B6" w:rsidP="004153B6" w:rsidRDefault="00064536" w14:paraId="7B23F8D1" w14:textId="39AB0BC9">
            <w:pPr>
              <w:keepNext/>
              <w:rPr>
                <w:rFonts w:eastAsia="Times New Roman" w:cs="Calibri"/>
                <w:b/>
                <w:bCs/>
                <w:color w:val="000000"/>
                <w:sz w:val="20"/>
              </w:rPr>
            </w:pPr>
            <w:r>
              <w:rPr>
                <w:rFonts w:eastAsia="Times New Roman" w:cs="Calibri"/>
                <w:b/>
                <w:bCs/>
                <w:color w:val="000000"/>
                <w:sz w:val="20"/>
              </w:rPr>
              <w:t>Bear Valley</w:t>
            </w:r>
          </w:p>
        </w:tc>
        <w:tc>
          <w:tcPr>
            <w:tcW w:w="144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2E0D688E" w14:textId="77777777">
            <w:pPr>
              <w:keepNext/>
              <w:jc w:val="right"/>
              <w:rPr>
                <w:rFonts w:eastAsia="Times New Roman" w:cs="Calibri"/>
                <w:color w:val="000000"/>
                <w:sz w:val="20"/>
              </w:rPr>
            </w:pPr>
            <w:r w:rsidRPr="00111AAA">
              <w:rPr>
                <w:rFonts w:cs="Calibri"/>
                <w:color w:val="000000"/>
                <w:sz w:val="20"/>
              </w:rPr>
              <w:t>$277,521</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5370E886" w14:textId="77777777">
            <w:pPr>
              <w:keepNext/>
              <w:jc w:val="right"/>
              <w:rPr>
                <w:rFonts w:eastAsia="Times New Roman" w:cs="Calibri"/>
                <w:color w:val="000000"/>
                <w:sz w:val="20"/>
              </w:rPr>
            </w:pPr>
            <w:r w:rsidRPr="00111AAA">
              <w:rPr>
                <w:rFonts w:cs="Calibri"/>
                <w:color w:val="000000"/>
                <w:sz w:val="20"/>
              </w:rPr>
              <w:t>$291,397</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2D954DD3" w14:textId="77777777">
            <w:pPr>
              <w:keepNext/>
              <w:jc w:val="right"/>
              <w:rPr>
                <w:rFonts w:eastAsia="Times New Roman" w:cs="Calibri"/>
                <w:color w:val="000000"/>
                <w:sz w:val="20"/>
              </w:rPr>
            </w:pPr>
            <w:r w:rsidRPr="00111AAA">
              <w:rPr>
                <w:rFonts w:cs="Calibri"/>
                <w:color w:val="000000"/>
                <w:sz w:val="20"/>
              </w:rPr>
              <w:t>$305,967</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53D755C4" w14:textId="77777777">
            <w:pPr>
              <w:keepNext/>
              <w:jc w:val="right"/>
              <w:rPr>
                <w:rFonts w:eastAsia="Times New Roman" w:cs="Calibri"/>
                <w:color w:val="000000"/>
                <w:sz w:val="20"/>
              </w:rPr>
            </w:pPr>
            <w:r w:rsidRPr="00111AAA">
              <w:rPr>
                <w:rFonts w:cs="Calibri"/>
                <w:color w:val="000000"/>
                <w:sz w:val="20"/>
              </w:rPr>
              <w:t>$321,266</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0702304D" w14:textId="77777777">
            <w:pPr>
              <w:keepNext/>
              <w:jc w:val="right"/>
              <w:rPr>
                <w:rFonts w:eastAsia="Times New Roman" w:cs="Calibri"/>
                <w:color w:val="000000"/>
                <w:sz w:val="20"/>
              </w:rPr>
            </w:pPr>
            <w:r w:rsidRPr="00111AAA">
              <w:rPr>
                <w:rFonts w:cs="Calibri"/>
                <w:color w:val="000000"/>
                <w:sz w:val="20"/>
              </w:rPr>
              <w:t>$337,329</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A03A341" w14:textId="77777777">
            <w:pPr>
              <w:keepNext/>
              <w:jc w:val="right"/>
              <w:rPr>
                <w:rFonts w:eastAsia="Times New Roman" w:cs="Calibri"/>
                <w:color w:val="000000"/>
                <w:sz w:val="20"/>
              </w:rPr>
            </w:pPr>
            <w:r w:rsidRPr="00111AAA">
              <w:rPr>
                <w:rFonts w:cs="Calibri"/>
                <w:color w:val="000000"/>
                <w:sz w:val="20"/>
              </w:rPr>
              <w:t>$354,195</w:t>
            </w:r>
          </w:p>
        </w:tc>
        <w:tc>
          <w:tcPr>
            <w:tcW w:w="153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789AF809" w14:textId="77777777">
            <w:pPr>
              <w:keepNext/>
              <w:jc w:val="right"/>
              <w:rPr>
                <w:rFonts w:eastAsia="Times New Roman" w:cs="Calibri"/>
                <w:b/>
                <w:bCs/>
                <w:color w:val="000000"/>
                <w:sz w:val="20"/>
              </w:rPr>
            </w:pPr>
            <w:r w:rsidRPr="00111AAA">
              <w:rPr>
                <w:rFonts w:cs="Calibri"/>
                <w:b/>
                <w:bCs/>
                <w:color w:val="000000"/>
                <w:sz w:val="20"/>
              </w:rPr>
              <w:t>$1,887,676</w:t>
            </w:r>
          </w:p>
        </w:tc>
      </w:tr>
      <w:tr w:rsidRPr="00111AAA" w:rsidR="004153B6" w:rsidTr="004153B6" w14:paraId="6E70367E"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tcPr>
          <w:p w:rsidRPr="00111AAA" w:rsidR="004153B6" w:rsidP="004153B6" w:rsidRDefault="00064536" w14:paraId="31059B16" w14:textId="71EFE8A5">
            <w:pPr>
              <w:keepNext/>
              <w:rPr>
                <w:rFonts w:eastAsia="Times New Roman" w:cs="Calibri"/>
                <w:b/>
                <w:bCs/>
                <w:color w:val="000000"/>
                <w:sz w:val="20"/>
              </w:rPr>
            </w:pPr>
            <w:r>
              <w:rPr>
                <w:rFonts w:eastAsia="Times New Roman" w:cs="Calibri"/>
                <w:b/>
                <w:bCs/>
                <w:color w:val="000000"/>
                <w:sz w:val="20"/>
              </w:rPr>
              <w:t>Liberty</w:t>
            </w:r>
          </w:p>
        </w:tc>
        <w:tc>
          <w:tcPr>
            <w:tcW w:w="144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F1B7821" w14:textId="77777777">
            <w:pPr>
              <w:keepNext/>
              <w:jc w:val="right"/>
              <w:rPr>
                <w:rFonts w:eastAsia="Times New Roman" w:cs="Calibri"/>
                <w:color w:val="000000"/>
                <w:sz w:val="20"/>
              </w:rPr>
            </w:pPr>
            <w:r w:rsidRPr="00111AAA">
              <w:rPr>
                <w:rFonts w:cs="Calibri"/>
                <w:color w:val="000000"/>
                <w:sz w:val="20"/>
              </w:rPr>
              <w:t>$1,068,494</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1BDC5B5D" w14:textId="77777777">
            <w:pPr>
              <w:keepNext/>
              <w:jc w:val="right"/>
              <w:rPr>
                <w:rFonts w:eastAsia="Times New Roman" w:cs="Calibri"/>
                <w:color w:val="000000"/>
                <w:sz w:val="20"/>
              </w:rPr>
            </w:pPr>
            <w:r w:rsidRPr="00111AAA">
              <w:rPr>
                <w:rFonts w:cs="Calibri"/>
                <w:color w:val="000000"/>
                <w:sz w:val="20"/>
              </w:rPr>
              <w:t>$1,071,585</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6FA9BC4C" w14:textId="77777777">
            <w:pPr>
              <w:keepNext/>
              <w:jc w:val="right"/>
              <w:rPr>
                <w:rFonts w:eastAsia="Times New Roman" w:cs="Calibri"/>
                <w:color w:val="000000"/>
                <w:sz w:val="20"/>
              </w:rPr>
            </w:pPr>
            <w:r w:rsidRPr="00111AAA">
              <w:rPr>
                <w:rFonts w:cs="Calibri"/>
                <w:color w:val="000000"/>
                <w:sz w:val="20"/>
              </w:rPr>
              <w:t>$1,074,737</w:t>
            </w:r>
          </w:p>
        </w:tc>
        <w:tc>
          <w:tcPr>
            <w:tcW w:w="1216"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5DA9B4AE" w14:textId="77777777">
            <w:pPr>
              <w:keepNext/>
              <w:jc w:val="right"/>
              <w:rPr>
                <w:rFonts w:eastAsia="Times New Roman" w:cs="Calibri"/>
                <w:color w:val="000000"/>
                <w:sz w:val="20"/>
              </w:rPr>
            </w:pPr>
            <w:r w:rsidRPr="00111AAA">
              <w:rPr>
                <w:rFonts w:cs="Calibri"/>
                <w:color w:val="000000"/>
                <w:sz w:val="20"/>
              </w:rPr>
              <w:t>$1,261,222</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528567D4" w14:textId="77777777">
            <w:pPr>
              <w:keepNext/>
              <w:jc w:val="right"/>
              <w:rPr>
                <w:rFonts w:eastAsia="Times New Roman" w:cs="Calibri"/>
                <w:color w:val="000000"/>
                <w:sz w:val="20"/>
              </w:rPr>
            </w:pPr>
            <w:r w:rsidRPr="00111AAA">
              <w:rPr>
                <w:rFonts w:cs="Calibri"/>
                <w:color w:val="000000"/>
                <w:sz w:val="20"/>
              </w:rPr>
              <w:t>$1,264,501</w:t>
            </w:r>
          </w:p>
        </w:tc>
        <w:tc>
          <w:tcPr>
            <w:tcW w:w="126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62ED0A14" w14:textId="77777777">
            <w:pPr>
              <w:keepNext/>
              <w:jc w:val="right"/>
              <w:rPr>
                <w:rFonts w:eastAsia="Times New Roman" w:cs="Calibri"/>
                <w:color w:val="000000"/>
                <w:sz w:val="20"/>
              </w:rPr>
            </w:pPr>
            <w:r w:rsidRPr="00111AAA">
              <w:rPr>
                <w:rFonts w:cs="Calibri"/>
                <w:color w:val="000000"/>
                <w:sz w:val="20"/>
              </w:rPr>
              <w:t>$1,267,847</w:t>
            </w:r>
          </w:p>
        </w:tc>
        <w:tc>
          <w:tcPr>
            <w:tcW w:w="1530" w:type="dxa"/>
            <w:tcBorders>
              <w:top w:val="nil"/>
              <w:left w:val="nil"/>
              <w:bottom w:val="single" w:color="auto" w:sz="4" w:space="0"/>
              <w:right w:val="single" w:color="auto" w:sz="4" w:space="0"/>
            </w:tcBorders>
            <w:shd w:val="clear" w:color="auto" w:fill="auto"/>
            <w:noWrap/>
            <w:vAlign w:val="center"/>
          </w:tcPr>
          <w:p w:rsidRPr="00111AAA" w:rsidR="004153B6" w:rsidP="004153B6" w:rsidRDefault="004153B6" w14:paraId="3AA887D8" w14:textId="77777777">
            <w:pPr>
              <w:keepNext/>
              <w:jc w:val="right"/>
              <w:rPr>
                <w:rFonts w:eastAsia="Times New Roman" w:cs="Calibri"/>
                <w:b/>
                <w:bCs/>
                <w:color w:val="000000"/>
                <w:sz w:val="20"/>
              </w:rPr>
            </w:pPr>
            <w:r w:rsidRPr="00111AAA">
              <w:rPr>
                <w:rFonts w:cs="Calibri"/>
                <w:b/>
                <w:bCs/>
                <w:color w:val="000000"/>
                <w:sz w:val="20"/>
              </w:rPr>
              <w:t>$7,008,387</w:t>
            </w:r>
          </w:p>
        </w:tc>
      </w:tr>
      <w:tr w:rsidRPr="00111AAA" w:rsidR="008959A4" w:rsidTr="004153B6" w14:paraId="143BAA2E"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61E7757C" w14:textId="77777777">
            <w:pPr>
              <w:keepNext/>
              <w:rPr>
                <w:rFonts w:eastAsia="Times New Roman" w:cs="Calibri"/>
                <w:b/>
                <w:bCs/>
                <w:color w:val="000000"/>
                <w:sz w:val="20"/>
              </w:rPr>
            </w:pPr>
            <w:r w:rsidRPr="00111AAA">
              <w:rPr>
                <w:rFonts w:eastAsia="Times New Roman" w:cs="Calibri"/>
                <w:b/>
                <w:bCs/>
                <w:color w:val="000000"/>
                <w:sz w:val="20"/>
              </w:rPr>
              <w:t>PacifiCorp</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792FDAD" w14:textId="77777777">
            <w:pPr>
              <w:keepNext/>
              <w:jc w:val="right"/>
              <w:rPr>
                <w:rFonts w:eastAsia="Times New Roman" w:cs="Calibri"/>
                <w:color w:val="000000"/>
                <w:sz w:val="20"/>
              </w:rPr>
            </w:pPr>
            <w:r w:rsidRPr="00111AAA">
              <w:rPr>
                <w:rFonts w:cs="Calibri"/>
                <w:color w:val="000000"/>
                <w:sz w:val="20"/>
              </w:rPr>
              <w:t>$3,655,000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D1A9158" w14:textId="77777777">
            <w:pPr>
              <w:keepNext/>
              <w:jc w:val="right"/>
              <w:rPr>
                <w:rFonts w:eastAsia="Times New Roman" w:cs="Calibri"/>
                <w:color w:val="000000"/>
                <w:sz w:val="20"/>
              </w:rPr>
            </w:pPr>
            <w:r w:rsidRPr="00111AAA">
              <w:rPr>
                <w:rFonts w:cs="Calibri"/>
                <w:color w:val="000000"/>
                <w:sz w:val="20"/>
              </w:rPr>
              <w:t>$3,730,000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F4698FC" w14:textId="77777777">
            <w:pPr>
              <w:keepNext/>
              <w:jc w:val="right"/>
              <w:rPr>
                <w:rFonts w:eastAsia="Times New Roman" w:cs="Calibri"/>
                <w:color w:val="000000"/>
                <w:sz w:val="20"/>
              </w:rPr>
            </w:pPr>
            <w:r w:rsidRPr="00111AAA">
              <w:rPr>
                <w:rFonts w:cs="Calibri"/>
                <w:color w:val="000000"/>
                <w:sz w:val="20"/>
              </w:rPr>
              <w:t>$3,807,000</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267E859" w14:textId="77777777">
            <w:pPr>
              <w:keepNext/>
              <w:jc w:val="right"/>
              <w:rPr>
                <w:rFonts w:eastAsia="Times New Roman" w:cs="Calibri"/>
                <w:color w:val="000000"/>
                <w:sz w:val="20"/>
              </w:rPr>
            </w:pPr>
            <w:r w:rsidRPr="00111AAA">
              <w:rPr>
                <w:rFonts w:cs="Calibri"/>
                <w:color w:val="000000"/>
                <w:sz w:val="20"/>
              </w:rPr>
              <w:t>$3,885,000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74947EA" w14:textId="77777777">
            <w:pPr>
              <w:keepNext/>
              <w:jc w:val="right"/>
              <w:rPr>
                <w:rFonts w:eastAsia="Times New Roman" w:cs="Calibri"/>
                <w:color w:val="000000"/>
                <w:sz w:val="20"/>
              </w:rPr>
            </w:pPr>
            <w:r w:rsidRPr="00111AAA">
              <w:rPr>
                <w:rFonts w:cs="Calibri"/>
                <w:color w:val="000000"/>
                <w:sz w:val="20"/>
              </w:rPr>
              <w:t>$3,965,000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0158D4F3" w14:textId="77777777">
            <w:pPr>
              <w:keepNext/>
              <w:jc w:val="right"/>
              <w:rPr>
                <w:rFonts w:eastAsia="Times New Roman" w:cs="Calibri"/>
                <w:color w:val="000000"/>
                <w:sz w:val="20"/>
              </w:rPr>
            </w:pPr>
            <w:r w:rsidRPr="00111AAA">
              <w:rPr>
                <w:rFonts w:cs="Calibri"/>
                <w:color w:val="000000"/>
                <w:sz w:val="20"/>
              </w:rPr>
              <w:t>$4,041,000</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7EE18D6" w14:textId="77777777">
            <w:pPr>
              <w:keepNext/>
              <w:jc w:val="right"/>
              <w:rPr>
                <w:rFonts w:eastAsia="Times New Roman" w:cs="Calibri"/>
                <w:b/>
                <w:bCs/>
                <w:color w:val="000000"/>
                <w:sz w:val="20"/>
              </w:rPr>
            </w:pPr>
            <w:r w:rsidRPr="00111AAA">
              <w:rPr>
                <w:rFonts w:cs="Calibri"/>
                <w:b/>
                <w:bCs/>
                <w:color w:val="000000"/>
                <w:sz w:val="20"/>
              </w:rPr>
              <w:t>$23,083,000</w:t>
            </w:r>
          </w:p>
        </w:tc>
      </w:tr>
      <w:tr w:rsidRPr="00111AAA" w:rsidR="008959A4" w:rsidTr="004153B6" w14:paraId="3F984D55"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4FFC5CE2" w14:textId="77777777">
            <w:pPr>
              <w:keepNext/>
              <w:rPr>
                <w:rFonts w:eastAsia="Times New Roman" w:cs="Calibri"/>
                <w:b/>
                <w:bCs/>
                <w:color w:val="000000"/>
                <w:sz w:val="20"/>
              </w:rPr>
            </w:pPr>
            <w:r w:rsidRPr="00111AAA">
              <w:rPr>
                <w:rFonts w:eastAsia="Times New Roman" w:cs="Calibri"/>
                <w:b/>
                <w:bCs/>
                <w:color w:val="000000"/>
                <w:sz w:val="20"/>
              </w:rPr>
              <w:t>Southwest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F843075" w14:textId="77777777">
            <w:pPr>
              <w:keepNext/>
              <w:jc w:val="right"/>
              <w:rPr>
                <w:rFonts w:eastAsia="Times New Roman" w:cs="Calibri"/>
                <w:color w:val="000000"/>
                <w:sz w:val="20"/>
              </w:rPr>
            </w:pPr>
            <w:r w:rsidRPr="00111AAA">
              <w:rPr>
                <w:rFonts w:cs="Calibri"/>
                <w:color w:val="000000"/>
                <w:sz w:val="20"/>
              </w:rPr>
              <w:t>$8,462,378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D43B0A0" w14:textId="77777777">
            <w:pPr>
              <w:keepNext/>
              <w:jc w:val="right"/>
              <w:rPr>
                <w:rFonts w:eastAsia="Times New Roman" w:cs="Calibri"/>
                <w:color w:val="000000"/>
                <w:sz w:val="20"/>
              </w:rPr>
            </w:pPr>
            <w:r w:rsidRPr="00111AAA">
              <w:rPr>
                <w:rFonts w:cs="Calibri"/>
                <w:color w:val="000000"/>
                <w:sz w:val="20"/>
              </w:rPr>
              <w:t>$8,469,178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8DBC5D7" w14:textId="77777777">
            <w:pPr>
              <w:keepNext/>
              <w:jc w:val="right"/>
              <w:rPr>
                <w:rFonts w:eastAsia="Times New Roman" w:cs="Calibri"/>
                <w:color w:val="000000"/>
                <w:sz w:val="20"/>
              </w:rPr>
            </w:pPr>
            <w:r w:rsidRPr="00111AAA">
              <w:rPr>
                <w:rFonts w:cs="Calibri"/>
                <w:color w:val="000000"/>
                <w:sz w:val="20"/>
              </w:rPr>
              <w:t>$8,476,114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241892B" w14:textId="77777777">
            <w:pPr>
              <w:keepNext/>
              <w:jc w:val="right"/>
              <w:rPr>
                <w:rFonts w:eastAsia="Times New Roman" w:cs="Calibri"/>
                <w:color w:val="000000"/>
                <w:sz w:val="20"/>
              </w:rPr>
            </w:pPr>
            <w:r w:rsidRPr="00111AAA">
              <w:rPr>
                <w:rFonts w:cs="Calibri"/>
                <w:color w:val="000000"/>
                <w:sz w:val="20"/>
              </w:rPr>
              <w:t>$8,483,189</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7381C12" w14:textId="77777777">
            <w:pPr>
              <w:keepNext/>
              <w:jc w:val="right"/>
              <w:rPr>
                <w:rFonts w:eastAsia="Times New Roman" w:cs="Calibri"/>
                <w:color w:val="000000"/>
                <w:sz w:val="20"/>
              </w:rPr>
            </w:pPr>
            <w:r w:rsidRPr="00111AAA">
              <w:rPr>
                <w:rFonts w:cs="Calibri"/>
                <w:color w:val="000000"/>
                <w:sz w:val="20"/>
              </w:rPr>
              <w:t>$8,490,405</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E99DC7E" w14:textId="77777777">
            <w:pPr>
              <w:keepNext/>
              <w:jc w:val="right"/>
              <w:rPr>
                <w:rFonts w:eastAsia="Times New Roman" w:cs="Calibri"/>
                <w:color w:val="000000"/>
                <w:sz w:val="20"/>
              </w:rPr>
            </w:pPr>
            <w:r w:rsidRPr="00111AAA">
              <w:rPr>
                <w:rFonts w:cs="Calibri"/>
                <w:color w:val="000000"/>
                <w:sz w:val="20"/>
              </w:rPr>
              <w:t>$8,497,765</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FACB494" w14:textId="77777777">
            <w:pPr>
              <w:keepNext/>
              <w:jc w:val="right"/>
              <w:rPr>
                <w:rFonts w:eastAsia="Times New Roman" w:cs="Calibri"/>
                <w:b/>
                <w:bCs/>
                <w:color w:val="000000"/>
                <w:sz w:val="20"/>
              </w:rPr>
            </w:pPr>
            <w:r w:rsidRPr="00111AAA">
              <w:rPr>
                <w:rFonts w:cs="Calibri"/>
                <w:b/>
                <w:bCs/>
                <w:color w:val="000000"/>
                <w:sz w:val="20"/>
              </w:rPr>
              <w:t>$50,879,029</w:t>
            </w:r>
          </w:p>
        </w:tc>
      </w:tr>
      <w:tr w:rsidRPr="00111AAA" w:rsidR="008959A4" w:rsidTr="004153B6" w14:paraId="7B79374A"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397A" w14:paraId="50DB9F3A" w14:textId="1BBCFED9">
            <w:pPr>
              <w:keepNext/>
              <w:rPr>
                <w:rFonts w:eastAsia="Times New Roman" w:cs="Calibri"/>
                <w:b/>
                <w:bCs/>
                <w:color w:val="000000"/>
                <w:sz w:val="20"/>
              </w:rPr>
            </w:pPr>
            <w:r>
              <w:rPr>
                <w:rFonts w:eastAsia="Times New Roman" w:cs="Calibri"/>
                <w:b/>
                <w:bCs/>
                <w:sz w:val="20"/>
              </w:rPr>
              <w:t>West Coast Gas</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4785CC0" w14:textId="77777777">
            <w:pPr>
              <w:keepNext/>
              <w:jc w:val="right"/>
              <w:rPr>
                <w:rFonts w:eastAsia="Times New Roman" w:cs="Calibri"/>
                <w:color w:val="000000"/>
                <w:sz w:val="20"/>
              </w:rPr>
            </w:pPr>
            <w:r w:rsidRPr="00111AAA">
              <w:rPr>
                <w:rFonts w:cs="Calibri"/>
                <w:color w:val="000000"/>
                <w:sz w:val="20"/>
              </w:rPr>
              <w:t>$13,538</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88ADBB5" w14:textId="77777777">
            <w:pPr>
              <w:keepNext/>
              <w:jc w:val="right"/>
              <w:rPr>
                <w:rFonts w:eastAsia="Times New Roman" w:cs="Calibri"/>
                <w:color w:val="000000"/>
                <w:sz w:val="20"/>
              </w:rPr>
            </w:pPr>
            <w:r w:rsidRPr="00111AAA">
              <w:rPr>
                <w:rFonts w:cs="Calibri"/>
                <w:color w:val="000000"/>
                <w:sz w:val="20"/>
              </w:rPr>
              <w:t>$13,714</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321BA42B" w14:textId="77777777">
            <w:pPr>
              <w:keepNext/>
              <w:jc w:val="right"/>
              <w:rPr>
                <w:rFonts w:eastAsia="Times New Roman" w:cs="Calibri"/>
                <w:color w:val="000000"/>
                <w:sz w:val="20"/>
              </w:rPr>
            </w:pPr>
            <w:r w:rsidRPr="00111AAA">
              <w:rPr>
                <w:rFonts w:cs="Calibri"/>
                <w:color w:val="000000"/>
                <w:sz w:val="20"/>
              </w:rPr>
              <w:t>$13,897</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975D14C" w14:textId="77777777">
            <w:pPr>
              <w:keepNext/>
              <w:jc w:val="right"/>
              <w:rPr>
                <w:rFonts w:eastAsia="Times New Roman" w:cs="Calibri"/>
                <w:color w:val="000000"/>
                <w:sz w:val="20"/>
              </w:rPr>
            </w:pPr>
            <w:r w:rsidRPr="00111AAA">
              <w:rPr>
                <w:rFonts w:cs="Calibri"/>
                <w:color w:val="000000"/>
                <w:sz w:val="20"/>
              </w:rPr>
              <w:t>$14,085</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67EB3BFB" w14:textId="77777777">
            <w:pPr>
              <w:keepNext/>
              <w:jc w:val="right"/>
              <w:rPr>
                <w:rFonts w:eastAsia="Times New Roman" w:cs="Calibri"/>
                <w:color w:val="000000"/>
                <w:sz w:val="20"/>
              </w:rPr>
            </w:pPr>
            <w:r w:rsidRPr="00111AAA">
              <w:rPr>
                <w:rFonts w:cs="Calibri"/>
                <w:color w:val="000000"/>
                <w:sz w:val="20"/>
              </w:rPr>
              <w:t>$14,280</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668F130" w14:textId="77777777">
            <w:pPr>
              <w:keepNext/>
              <w:jc w:val="right"/>
              <w:rPr>
                <w:rFonts w:eastAsia="Times New Roman" w:cs="Calibri"/>
                <w:color w:val="000000"/>
                <w:sz w:val="20"/>
              </w:rPr>
            </w:pPr>
            <w:r w:rsidRPr="00111AAA">
              <w:rPr>
                <w:rFonts w:cs="Calibri"/>
                <w:color w:val="000000"/>
                <w:sz w:val="20"/>
              </w:rPr>
              <w:t>$14,481</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2F99295" w14:textId="77777777">
            <w:pPr>
              <w:keepNext/>
              <w:jc w:val="right"/>
              <w:rPr>
                <w:rFonts w:eastAsia="Times New Roman" w:cs="Calibri"/>
                <w:b/>
                <w:bCs/>
                <w:color w:val="000000"/>
                <w:sz w:val="20"/>
              </w:rPr>
            </w:pPr>
            <w:r w:rsidRPr="00111AAA">
              <w:rPr>
                <w:rFonts w:cs="Calibri"/>
                <w:b/>
                <w:bCs/>
                <w:color w:val="000000"/>
                <w:sz w:val="20"/>
              </w:rPr>
              <w:t>$83,995</w:t>
            </w:r>
          </w:p>
        </w:tc>
      </w:tr>
      <w:tr w:rsidRPr="00111AAA" w:rsidR="008959A4" w:rsidTr="004153B6" w14:paraId="57026879" w14:textId="77777777">
        <w:trPr>
          <w:trHeight w:val="260"/>
          <w:jc w:val="center"/>
        </w:trPr>
        <w:tc>
          <w:tcPr>
            <w:tcW w:w="1483" w:type="dxa"/>
            <w:tcBorders>
              <w:top w:val="nil"/>
              <w:left w:val="single" w:color="auto" w:sz="4" w:space="0"/>
              <w:bottom w:val="single" w:color="auto" w:sz="4" w:space="0"/>
              <w:right w:val="single" w:color="auto" w:sz="4" w:space="0"/>
            </w:tcBorders>
            <w:shd w:val="clear" w:color="auto" w:fill="auto"/>
            <w:noWrap/>
            <w:vAlign w:val="bottom"/>
            <w:hideMark/>
          </w:tcPr>
          <w:p w:rsidRPr="00111AAA" w:rsidR="008959A4" w:rsidP="00717A84" w:rsidRDefault="008959A4" w14:paraId="744B17ED" w14:textId="77777777">
            <w:pPr>
              <w:keepNext/>
              <w:rPr>
                <w:rFonts w:eastAsia="Times New Roman" w:cs="Calibri"/>
                <w:b/>
                <w:bCs/>
                <w:color w:val="000000"/>
                <w:sz w:val="20"/>
              </w:rPr>
            </w:pPr>
            <w:r w:rsidRPr="00111AAA">
              <w:rPr>
                <w:rFonts w:eastAsia="Times New Roman" w:cs="Calibri"/>
                <w:b/>
                <w:bCs/>
                <w:color w:val="000000"/>
                <w:sz w:val="20"/>
              </w:rPr>
              <w:t>Total</w:t>
            </w:r>
          </w:p>
        </w:tc>
        <w:tc>
          <w:tcPr>
            <w:tcW w:w="144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7FE1DDA6" w14:textId="77777777">
            <w:pPr>
              <w:keepNext/>
              <w:jc w:val="right"/>
              <w:rPr>
                <w:rFonts w:eastAsia="Times New Roman" w:cs="Calibri"/>
                <w:b/>
                <w:bCs/>
                <w:color w:val="000000"/>
                <w:sz w:val="20"/>
              </w:rPr>
            </w:pPr>
            <w:r w:rsidRPr="00111AAA">
              <w:rPr>
                <w:rFonts w:cs="Calibri"/>
                <w:b/>
                <w:bCs/>
                <w:color w:val="000000"/>
                <w:sz w:val="20"/>
              </w:rPr>
              <w:t>$13,509,931</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7012191" w14:textId="77777777">
            <w:pPr>
              <w:keepNext/>
              <w:jc w:val="right"/>
              <w:rPr>
                <w:rFonts w:eastAsia="Times New Roman" w:cs="Calibri"/>
                <w:b/>
                <w:bCs/>
                <w:color w:val="000000"/>
                <w:sz w:val="20"/>
              </w:rPr>
            </w:pPr>
            <w:r w:rsidRPr="00111AAA">
              <w:rPr>
                <w:rFonts w:cs="Calibri"/>
                <w:b/>
                <w:bCs/>
                <w:color w:val="000000"/>
                <w:sz w:val="20"/>
              </w:rPr>
              <w:t>$13,608,875</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21717FAF" w14:textId="77777777">
            <w:pPr>
              <w:keepNext/>
              <w:jc w:val="right"/>
              <w:rPr>
                <w:rFonts w:eastAsia="Times New Roman" w:cs="Calibri"/>
                <w:b/>
                <w:bCs/>
                <w:color w:val="000000"/>
                <w:sz w:val="20"/>
              </w:rPr>
            </w:pPr>
            <w:r w:rsidRPr="00111AAA">
              <w:rPr>
                <w:rFonts w:cs="Calibri"/>
                <w:b/>
                <w:bCs/>
                <w:color w:val="000000"/>
                <w:sz w:val="20"/>
              </w:rPr>
              <w:t>$13,710,716</w:t>
            </w:r>
          </w:p>
        </w:tc>
        <w:tc>
          <w:tcPr>
            <w:tcW w:w="1216"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A3C2568" w14:textId="77777777">
            <w:pPr>
              <w:keepNext/>
              <w:jc w:val="right"/>
              <w:rPr>
                <w:rFonts w:eastAsia="Times New Roman" w:cs="Calibri"/>
                <w:b/>
                <w:bCs/>
                <w:color w:val="000000"/>
                <w:sz w:val="20"/>
              </w:rPr>
            </w:pPr>
            <w:r w:rsidRPr="00111AAA">
              <w:rPr>
                <w:rFonts w:cs="Calibri"/>
                <w:b/>
                <w:bCs/>
                <w:color w:val="000000"/>
                <w:sz w:val="20"/>
              </w:rPr>
              <w:t>$13,998,762</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1073CF8A" w14:textId="77777777">
            <w:pPr>
              <w:keepNext/>
              <w:jc w:val="right"/>
              <w:rPr>
                <w:rFonts w:eastAsia="Times New Roman" w:cs="Calibri"/>
                <w:b/>
                <w:bCs/>
                <w:color w:val="000000"/>
                <w:sz w:val="20"/>
              </w:rPr>
            </w:pPr>
            <w:r w:rsidRPr="00111AAA">
              <w:rPr>
                <w:rFonts w:cs="Calibri"/>
                <w:b/>
                <w:bCs/>
                <w:color w:val="000000"/>
                <w:sz w:val="20"/>
              </w:rPr>
              <w:t>$14,105,515</w:t>
            </w:r>
          </w:p>
        </w:tc>
        <w:tc>
          <w:tcPr>
            <w:tcW w:w="126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5EDA2EB" w14:textId="77777777">
            <w:pPr>
              <w:keepNext/>
              <w:jc w:val="right"/>
              <w:rPr>
                <w:rFonts w:eastAsia="Times New Roman" w:cs="Calibri"/>
                <w:b/>
                <w:bCs/>
                <w:color w:val="000000"/>
                <w:sz w:val="20"/>
              </w:rPr>
            </w:pPr>
            <w:r w:rsidRPr="00111AAA">
              <w:rPr>
                <w:rFonts w:cs="Calibri"/>
                <w:b/>
                <w:bCs/>
                <w:color w:val="000000"/>
                <w:sz w:val="20"/>
              </w:rPr>
              <w:t>$14,209,288</w:t>
            </w:r>
          </w:p>
        </w:tc>
        <w:tc>
          <w:tcPr>
            <w:tcW w:w="1530" w:type="dxa"/>
            <w:tcBorders>
              <w:top w:val="nil"/>
              <w:left w:val="nil"/>
              <w:bottom w:val="single" w:color="auto" w:sz="4" w:space="0"/>
              <w:right w:val="single" w:color="auto" w:sz="4" w:space="0"/>
            </w:tcBorders>
            <w:shd w:val="clear" w:color="auto" w:fill="auto"/>
            <w:noWrap/>
            <w:vAlign w:val="center"/>
          </w:tcPr>
          <w:p w:rsidRPr="00111AAA" w:rsidR="008959A4" w:rsidP="00717A84" w:rsidRDefault="008959A4" w14:paraId="488FFDA4" w14:textId="77777777">
            <w:pPr>
              <w:keepNext/>
              <w:jc w:val="right"/>
              <w:rPr>
                <w:rFonts w:eastAsia="Times New Roman" w:cs="Calibri"/>
                <w:b/>
                <w:bCs/>
                <w:color w:val="000000"/>
                <w:sz w:val="20"/>
              </w:rPr>
            </w:pPr>
            <w:r w:rsidRPr="00111AAA">
              <w:rPr>
                <w:rFonts w:cs="Calibri"/>
                <w:b/>
                <w:bCs/>
                <w:color w:val="000000"/>
                <w:sz w:val="20"/>
              </w:rPr>
              <w:t>$83,143,086</w:t>
            </w:r>
          </w:p>
        </w:tc>
      </w:tr>
    </w:tbl>
    <w:p w:rsidR="008959A4" w:rsidP="00DB56C5" w:rsidRDefault="008959A4" w14:paraId="126ED961" w14:textId="77777777">
      <w:pPr>
        <w:pStyle w:val="Heading4"/>
        <w:keepNext w:val="0"/>
        <w:keepLines w:val="0"/>
        <w:widowControl w:val="0"/>
        <w:spacing w:before="240"/>
        <w:ind w:left="3614" w:hanging="1267"/>
        <w:rPr>
          <w:u w:val="single"/>
        </w:rPr>
      </w:pPr>
      <w:bookmarkStart w:name="_Toc82159724" w:id="142"/>
      <w:r>
        <w:t xml:space="preserve">Allowing for </w:t>
      </w:r>
      <w:r w:rsidRPr="0037634F">
        <w:t xml:space="preserve">Budget Adjustments </w:t>
      </w:r>
      <w:r>
        <w:br/>
      </w:r>
      <w:r w:rsidRPr="0037634F">
        <w:t xml:space="preserve">via Tier </w:t>
      </w:r>
      <w:r>
        <w:t>2/3</w:t>
      </w:r>
      <w:r w:rsidRPr="0037634F">
        <w:t xml:space="preserve"> Advice Letter:</w:t>
      </w:r>
      <w:r>
        <w:t xml:space="preserve">  </w:t>
      </w:r>
      <w:r>
        <w:rPr>
          <w:u w:val="single"/>
        </w:rPr>
        <w:t>Denied</w:t>
      </w:r>
      <w:bookmarkEnd w:id="142"/>
    </w:p>
    <w:p w:rsidRPr="00CA47CA" w:rsidR="008959A4" w:rsidP="00CA47CA" w:rsidRDefault="008959A4" w14:paraId="41961589" w14:textId="3C899CE1">
      <w:pPr>
        <w:pStyle w:val="Standard"/>
        <w:rPr>
          <w:rFonts w:eastAsiaTheme="minorEastAsia"/>
        </w:rPr>
      </w:pPr>
      <w:r>
        <w:t>Although w</w:t>
      </w:r>
      <w:r w:rsidRPr="00263B38">
        <w:t>e agree with Cal Advocates that the COVID-19 pandemic has likely increased the number of CARE eligible customers in the SMJUs’ service territories, which would impact the budgets</w:t>
      </w:r>
      <w:r>
        <w:t xml:space="preserve">, </w:t>
      </w:r>
      <w:r w:rsidRPr="00263B38">
        <w:t xml:space="preserve">we deny utilizing the advice letter process to make changes to the budgets approved in this decision. </w:t>
      </w:r>
      <w:r>
        <w:t xml:space="preserve"> </w:t>
      </w:r>
      <w:r w:rsidRPr="00263B38">
        <w:t xml:space="preserve">The </w:t>
      </w:r>
      <w:r w:rsidRPr="00263B38">
        <w:lastRenderedPageBreak/>
        <w:t>information being proposed by Cal Advocates can be provided by the SMJUs in the quarterly/annual CARE reports, and do</w:t>
      </w:r>
      <w:r>
        <w:t>es</w:t>
      </w:r>
      <w:r w:rsidRPr="00263B38">
        <w:t xml:space="preserve"> not require an advice letter.  </w:t>
      </w:r>
      <w:r>
        <w:t>W</w:t>
      </w:r>
      <w:r w:rsidRPr="00263B38">
        <w:t xml:space="preserve">e </w:t>
      </w:r>
      <w:r>
        <w:t xml:space="preserve">will </w:t>
      </w:r>
      <w:r w:rsidRPr="00263B38">
        <w:t xml:space="preserve">grant the SMJUs flexibility to make minor program changes via the </w:t>
      </w:r>
      <w:r>
        <w:t>low</w:t>
      </w:r>
      <w:r>
        <w:noBreakHyphen/>
        <w:t>income</w:t>
      </w:r>
      <w:r w:rsidRPr="00263B38">
        <w:t xml:space="preserve"> reports (</w:t>
      </w:r>
      <w:r w:rsidRPr="009C770F">
        <w:rPr>
          <w:i/>
          <w:iCs/>
        </w:rPr>
        <w:t>see</w:t>
      </w:r>
      <w:r w:rsidRPr="00263B38">
        <w:t xml:space="preserve"> Section 9.6</w:t>
      </w:r>
      <w:r>
        <w:t>.1</w:t>
      </w:r>
      <w:r w:rsidRPr="00263B38">
        <w:t>)</w:t>
      </w:r>
      <w:r>
        <w:t>.  However, a</w:t>
      </w:r>
      <w:r w:rsidRPr="00263B38">
        <w:t xml:space="preserve">s discussed in that section, any program updates resulting in </w:t>
      </w:r>
      <w:r w:rsidRPr="00263B38">
        <w:rPr>
          <w:rFonts w:eastAsiaTheme="minorEastAsia"/>
        </w:rPr>
        <w:t xml:space="preserve">lowering the program goals, or increasing approved budgets, </w:t>
      </w:r>
      <w:r>
        <w:rPr>
          <w:rFonts w:eastAsiaTheme="minorEastAsia"/>
        </w:rPr>
        <w:t>will</w:t>
      </w:r>
      <w:r w:rsidRPr="00263B38">
        <w:rPr>
          <w:rFonts w:eastAsiaTheme="minorEastAsia"/>
        </w:rPr>
        <w:t xml:space="preserve"> require a petition for modification</w:t>
      </w:r>
      <w:r w:rsidR="00306858">
        <w:rPr>
          <w:rFonts w:eastAsiaTheme="minorEastAsia"/>
        </w:rPr>
        <w:t>,</w:t>
      </w:r>
      <w:r w:rsidR="002B61F0">
        <w:rPr>
          <w:rFonts w:eastAsiaTheme="minorEastAsia"/>
        </w:rPr>
        <w:t xml:space="preserve"> </w:t>
      </w:r>
      <w:r w:rsidR="00306858">
        <w:rPr>
          <w:rFonts w:cstheme="minorBidi"/>
          <w:szCs w:val="22"/>
        </w:rPr>
        <w:t xml:space="preserve">with </w:t>
      </w:r>
      <w:r w:rsidR="00095E9D">
        <w:rPr>
          <w:rFonts w:cstheme="minorBidi"/>
          <w:szCs w:val="22"/>
        </w:rPr>
        <w:t>the exception</w:t>
      </w:r>
      <w:r w:rsidR="00306858">
        <w:rPr>
          <w:rFonts w:cstheme="minorBidi"/>
          <w:szCs w:val="22"/>
        </w:rPr>
        <w:t xml:space="preserve"> for i</w:t>
      </w:r>
      <w:r w:rsidR="00306858">
        <w:rPr>
          <w:rFonts w:eastAsiaTheme="minorEastAsia"/>
        </w:rPr>
        <w:t>ncreases to the CARE program subsidy budgets</w:t>
      </w:r>
      <w:r w:rsidRPr="0050478C" w:rsidR="0050478C">
        <w:rPr>
          <w:color w:val="FF0000"/>
        </w:rPr>
        <w:t xml:space="preserve"> </w:t>
      </w:r>
      <w:r w:rsidRPr="00BC48EE" w:rsidR="0050478C">
        <w:t>which should be handled through the two-way structure of the CARE balancing account</w:t>
      </w:r>
      <w:r w:rsidRPr="00CA47CA" w:rsidR="00CA47CA">
        <w:rPr>
          <w:rFonts w:eastAsiaTheme="minorEastAsia"/>
        </w:rPr>
        <w:t xml:space="preserve">. </w:t>
      </w:r>
    </w:p>
    <w:p w:rsidR="008959A4" w:rsidP="008959A4" w:rsidRDefault="008959A4" w14:paraId="35C5048F" w14:textId="77777777">
      <w:pPr>
        <w:pStyle w:val="Heading4"/>
        <w:ind w:left="3600" w:hanging="1260"/>
        <w:rPr>
          <w:u w:val="single"/>
        </w:rPr>
      </w:pPr>
      <w:bookmarkStart w:name="_Toc82159725" w:id="143"/>
      <w:r w:rsidRPr="000563D3">
        <w:t>Requiring a Mid Cycle Evaluation of</w:t>
      </w:r>
      <w:r w:rsidRPr="0037634F">
        <w:t xml:space="preserve"> </w:t>
      </w:r>
      <w:r>
        <w:br/>
      </w:r>
      <w:r w:rsidRPr="0037634F">
        <w:t xml:space="preserve">Liberty’s CARE Program Management </w:t>
      </w:r>
      <w:r>
        <w:br/>
      </w:r>
      <w:r w:rsidRPr="0037634F">
        <w:t>Budget</w:t>
      </w:r>
      <w:r>
        <w:t xml:space="preserve">:  </w:t>
      </w:r>
      <w:r w:rsidRPr="00780CDE">
        <w:rPr>
          <w:u w:val="single"/>
        </w:rPr>
        <w:t>Approved with Modifications</w:t>
      </w:r>
      <w:bookmarkEnd w:id="143"/>
    </w:p>
    <w:p w:rsidRPr="00446D71" w:rsidR="008959A4" w:rsidP="008959A4" w:rsidRDefault="008959A4" w14:paraId="624CA8FB" w14:textId="77777777">
      <w:pPr>
        <w:pStyle w:val="Standard"/>
      </w:pPr>
      <w:r>
        <w:rPr>
          <w:i/>
          <w:iCs/>
        </w:rPr>
        <w:t>S</w:t>
      </w:r>
      <w:r w:rsidRPr="00AA01E3">
        <w:rPr>
          <w:i/>
          <w:iCs/>
        </w:rPr>
        <w:t>ee</w:t>
      </w:r>
      <w:r>
        <w:t xml:space="preserve"> Section 4.1.10.2 for approval of </w:t>
      </w:r>
      <w:r w:rsidRPr="00D379F7">
        <w:t>Liberty</w:t>
      </w:r>
      <w:r>
        <w:t xml:space="preserve">’s mid-cycle review requirements and Tier 1 advice letter content in the instance the </w:t>
      </w:r>
      <w:r w:rsidRPr="00D379F7">
        <w:t>90</w:t>
      </w:r>
      <w:r>
        <w:t xml:space="preserve"> percent</w:t>
      </w:r>
      <w:r w:rsidRPr="00D379F7">
        <w:t xml:space="preserve"> </w:t>
      </w:r>
      <w:r>
        <w:t xml:space="preserve">enrollment </w:t>
      </w:r>
      <w:r w:rsidRPr="00D379F7">
        <w:t xml:space="preserve">goal </w:t>
      </w:r>
      <w:r>
        <w:t xml:space="preserve">is not met </w:t>
      </w:r>
      <w:r w:rsidRPr="00D379F7">
        <w:t xml:space="preserve">by </w:t>
      </w:r>
      <w:r>
        <w:t xml:space="preserve">December 31, 2023. </w:t>
      </w:r>
    </w:p>
    <w:p w:rsidR="008959A4" w:rsidP="008959A4" w:rsidRDefault="008959A4" w14:paraId="31FB8684" w14:textId="77777777">
      <w:pPr>
        <w:pStyle w:val="Heading1"/>
      </w:pPr>
      <w:bookmarkStart w:name="_Toc82159726" w:id="144"/>
      <w:r>
        <w:t xml:space="preserve">ESA </w:t>
      </w:r>
      <w:r w:rsidRPr="00C73AD4">
        <w:t>Program</w:t>
      </w:r>
      <w:bookmarkEnd w:id="144"/>
      <w:r>
        <w:t xml:space="preserve"> </w:t>
      </w:r>
    </w:p>
    <w:p w:rsidR="008959A4" w:rsidP="008959A4" w:rsidRDefault="008959A4" w14:paraId="19644DEC" w14:textId="77777777">
      <w:pPr>
        <w:pStyle w:val="Heading2"/>
      </w:pPr>
      <w:bookmarkStart w:name="_Toc82159727" w:id="145"/>
      <w:r>
        <w:t xml:space="preserve">2020 Statutory </w:t>
      </w:r>
      <w:r w:rsidRPr="00C73AD4">
        <w:t>Goal</w:t>
      </w:r>
      <w:r>
        <w:t xml:space="preserve"> and Completion of </w:t>
      </w:r>
      <w:r>
        <w:br/>
        <w:t>“First Touches”</w:t>
      </w:r>
      <w:bookmarkEnd w:id="145"/>
    </w:p>
    <w:p w:rsidR="008959A4" w:rsidP="008959A4" w:rsidRDefault="008959A4" w14:paraId="380E13A7" w14:textId="77777777">
      <w:pPr>
        <w:pStyle w:val="Heading3"/>
      </w:pPr>
      <w:bookmarkStart w:name="_Toc82159728" w:id="146"/>
      <w:r>
        <w:t xml:space="preserve">2020 Statutory </w:t>
      </w:r>
      <w:r w:rsidRPr="00C73AD4">
        <w:t>Goal</w:t>
      </w:r>
      <w:bookmarkEnd w:id="146"/>
    </w:p>
    <w:p w:rsidRPr="00F27128" w:rsidR="008959A4" w:rsidP="008959A4" w:rsidRDefault="008959A4" w14:paraId="0F14BAFF" w14:textId="77777777">
      <w:pPr>
        <w:pStyle w:val="ALJBodyText"/>
        <w:rPr>
          <w:iCs/>
        </w:rPr>
      </w:pPr>
      <w:r>
        <w:t>T</w:t>
      </w:r>
      <w:r w:rsidRPr="00F27128">
        <w:t>he Commission adopted a programmatic initiative in D.07</w:t>
      </w:r>
      <w:r w:rsidRPr="00F27128">
        <w:noBreakHyphen/>
        <w:t>12</w:t>
      </w:r>
      <w:r w:rsidRPr="00F27128">
        <w:noBreakHyphen/>
        <w:t>051 to “</w:t>
      </w:r>
      <w:r w:rsidRPr="00F27128">
        <w:rPr>
          <w:iCs/>
        </w:rPr>
        <w:t>provide all eligible customers the opportunity to participate in LIEE</w:t>
      </w:r>
      <w:r w:rsidRPr="00F27128">
        <w:rPr>
          <w:iCs/>
          <w:vertAlign w:val="superscript"/>
        </w:rPr>
        <w:footnoteReference w:id="99"/>
      </w:r>
      <w:r w:rsidRPr="00F27128">
        <w:rPr>
          <w:iCs/>
        </w:rPr>
        <w:t xml:space="preserve"> programs and to offer those who wish to participate all cost</w:t>
      </w:r>
      <w:r>
        <w:rPr>
          <w:iCs/>
        </w:rPr>
        <w:t>-</w:t>
      </w:r>
      <w:r w:rsidRPr="00F27128">
        <w:rPr>
          <w:iCs/>
        </w:rPr>
        <w:t>effective energy efficiency measures in their residences by 2020.”</w:t>
      </w:r>
      <w:r w:rsidRPr="00F27128">
        <w:rPr>
          <w:iCs/>
          <w:vertAlign w:val="superscript"/>
        </w:rPr>
        <w:footnoteReference w:id="100"/>
      </w:r>
      <w:r w:rsidRPr="00F27128">
        <w:rPr>
          <w:iCs/>
        </w:rPr>
        <w:t xml:space="preserve">  </w:t>
      </w:r>
      <w:r>
        <w:rPr>
          <w:iCs/>
        </w:rPr>
        <w:t>A</w:t>
      </w:r>
      <w:r w:rsidRPr="00F27128">
        <w:rPr>
          <w:iCs/>
        </w:rPr>
        <w:t>ccordingly</w:t>
      </w:r>
      <w:r>
        <w:rPr>
          <w:iCs/>
        </w:rPr>
        <w:t>, t</w:t>
      </w:r>
      <w:r w:rsidRPr="00F27128">
        <w:rPr>
          <w:iCs/>
        </w:rPr>
        <w:t xml:space="preserve">he Commission’s </w:t>
      </w:r>
      <w:r w:rsidRPr="00F27128">
        <w:t xml:space="preserve">California Long-Term Energy Efficiency Strategic Plan </w:t>
      </w:r>
      <w:r>
        <w:rPr>
          <w:iCs/>
        </w:rPr>
        <w:t>then</w:t>
      </w:r>
      <w:r w:rsidRPr="00F27128">
        <w:rPr>
          <w:iCs/>
        </w:rPr>
        <w:t xml:space="preserve"> set an aspirational goal to treat all of the eligible and willing low</w:t>
      </w:r>
      <w:r>
        <w:rPr>
          <w:iCs/>
        </w:rPr>
        <w:t>-</w:t>
      </w:r>
      <w:r w:rsidRPr="00F27128">
        <w:rPr>
          <w:iCs/>
        </w:rPr>
        <w:t>income homes by 2020.</w:t>
      </w:r>
      <w:r w:rsidRPr="00F27128">
        <w:rPr>
          <w:iCs/>
          <w:vertAlign w:val="superscript"/>
        </w:rPr>
        <w:footnoteReference w:id="101"/>
      </w:r>
      <w:r w:rsidRPr="00F27128">
        <w:rPr>
          <w:iCs/>
        </w:rPr>
        <w:t xml:space="preserve">  This </w:t>
      </w:r>
      <w:r w:rsidRPr="00F27128">
        <w:rPr>
          <w:iCs/>
        </w:rPr>
        <w:lastRenderedPageBreak/>
        <w:t xml:space="preserve">goal was later codified into California </w:t>
      </w:r>
      <w:r w:rsidRPr="008F1EE5">
        <w:t>Pub. Util</w:t>
      </w:r>
      <w:r>
        <w:t>.</w:t>
      </w:r>
      <w:r w:rsidRPr="00F27128">
        <w:rPr>
          <w:iCs/>
        </w:rPr>
        <w:t xml:space="preserve"> Code </w:t>
      </w:r>
      <w:r>
        <w:rPr>
          <w:iCs/>
        </w:rPr>
        <w:t>§</w:t>
      </w:r>
      <w:r w:rsidRPr="00F27128">
        <w:rPr>
          <w:iCs/>
        </w:rPr>
        <w:t xml:space="preserve"> 382(e) which requires that:</w:t>
      </w:r>
    </w:p>
    <w:p w:rsidRPr="00F27128" w:rsidR="008959A4" w:rsidP="008959A4" w:rsidRDefault="008959A4" w14:paraId="29568D7F" w14:textId="77777777">
      <w:pPr>
        <w:pStyle w:val="ALJBodyText"/>
        <w:spacing w:after="240" w:line="240" w:lineRule="auto"/>
        <w:ind w:left="720" w:right="1440" w:firstLine="0"/>
        <w:rPr>
          <w:iCs/>
        </w:rPr>
      </w:pPr>
      <w:r w:rsidRPr="00F27128">
        <w:rPr>
          <w:iCs/>
        </w:rPr>
        <w:t>The commission shall, by not later than December 31, 2020, ensure that all eligible low-income electricity and gas customers are given the opportunity to participate in low</w:t>
      </w:r>
      <w:r>
        <w:rPr>
          <w:iCs/>
        </w:rPr>
        <w:noBreakHyphen/>
      </w:r>
      <w:r w:rsidRPr="00F27128">
        <w:rPr>
          <w:iCs/>
        </w:rPr>
        <w:t>income energy efficiency programs, including customers occupying apartments or similar multiunit residential structures.  The commission and electrical corporations and gas corporations shall make all reasonable efforts to coordinate ratepayer-funded programs with other energy conservation and efficiency programs and to obtain additional federal funding to support actions undertaken pursuant to this subdivision.</w:t>
      </w:r>
    </w:p>
    <w:p w:rsidRPr="00F27128" w:rsidR="008959A4" w:rsidP="008959A4" w:rsidRDefault="008959A4" w14:paraId="787F1833" w14:textId="77777777">
      <w:pPr>
        <w:pStyle w:val="ALJBodyText"/>
        <w:spacing w:after="240" w:line="240" w:lineRule="auto"/>
        <w:ind w:left="720" w:right="1440" w:firstLine="0"/>
        <w:rPr>
          <w:iCs/>
        </w:rPr>
      </w:pPr>
      <w:r w:rsidRPr="00F27128">
        <w:rPr>
          <w:iCs/>
        </w:rPr>
        <w:t>These programs shall be designed to provide long-term reductions in energy consumption at the dwelling unit based on an audit or assessment of the dwelling unit, and may include improved insulation, energy efficient appliances, measures that utilize solar energy, and other improvements to the physical structure.</w:t>
      </w:r>
    </w:p>
    <w:p w:rsidRPr="00F27128" w:rsidR="008959A4" w:rsidP="008959A4" w:rsidRDefault="008959A4" w14:paraId="3ED05F47" w14:textId="77777777">
      <w:pPr>
        <w:pStyle w:val="ALJBodyText"/>
      </w:pPr>
      <w:r>
        <w:t>All past decisions authorizing funding for the ESA program have therefore adopted annual household treatment goals by SMJU service areas that would work towards the 2020 goal, with the SMJUs providing annual reports of progress being made.  Most of the SMJUs met this goal, while one fell short as further discussed below.</w:t>
      </w:r>
      <w:r w:rsidRPr="009D13CA">
        <w:rPr>
          <w:vertAlign w:val="superscript"/>
        </w:rPr>
        <w:footnoteReference w:id="102"/>
      </w:r>
    </w:p>
    <w:p w:rsidR="008959A4" w:rsidP="008959A4" w:rsidRDefault="008959A4" w14:paraId="5AE3FF48" w14:textId="77777777">
      <w:pPr>
        <w:pStyle w:val="Heading3"/>
      </w:pPr>
      <w:bookmarkStart w:name="_Toc82159729" w:id="147"/>
      <w:r>
        <w:t xml:space="preserve">Impacts from COVID-19 on </w:t>
      </w:r>
      <w:r>
        <w:br/>
        <w:t xml:space="preserve">the 2020 Statutory </w:t>
      </w:r>
      <w:r w:rsidRPr="00C73AD4">
        <w:t>Goal</w:t>
      </w:r>
      <w:bookmarkEnd w:id="147"/>
    </w:p>
    <w:p w:rsidRPr="00F05993" w:rsidR="008959A4" w:rsidP="008959A4" w:rsidRDefault="008959A4" w14:paraId="77C55AD9" w14:textId="77777777">
      <w:pPr>
        <w:pStyle w:val="ALJBodyText"/>
      </w:pPr>
      <w:r w:rsidRPr="00F27128">
        <w:t xml:space="preserve">On March 4, 2020, Governor Newsom declared a state of emergency in California related to the COVID-19 pandemic.  On March 19, 2020, Governor Newsom ordered all residents to heed state public health directives, including the order for all individuals living in the state to stay home or at their place of </w:t>
      </w:r>
      <w:r w:rsidRPr="00F27128">
        <w:lastRenderedPageBreak/>
        <w:t xml:space="preserve">residence except as needed to maintain continuity of operations at the federal critical infrastructure sectors.  To comply with this order, the </w:t>
      </w:r>
      <w:r>
        <w:t>SMJUs</w:t>
      </w:r>
      <w:r w:rsidRPr="00F27128">
        <w:t xml:space="preserve"> halted all in</w:t>
      </w:r>
      <w:r>
        <w:noBreakHyphen/>
      </w:r>
      <w:r w:rsidRPr="00F27128">
        <w:t xml:space="preserve">person ESA program activities through </w:t>
      </w:r>
      <w:r>
        <w:t>May 31, 2021.</w:t>
      </w:r>
      <w:r w:rsidRPr="00F27128">
        <w:t xml:space="preserve"> </w:t>
      </w:r>
      <w:r>
        <w:t xml:space="preserve"> </w:t>
      </w:r>
      <w:r w:rsidRPr="00F27128">
        <w:t xml:space="preserve">On </w:t>
      </w:r>
      <w:r>
        <w:t>June 1, 2021,</w:t>
      </w:r>
      <w:r w:rsidRPr="00F27128">
        <w:t xml:space="preserve"> the </w:t>
      </w:r>
      <w:r>
        <w:t>SMJUs</w:t>
      </w:r>
      <w:r w:rsidRPr="00F27128">
        <w:t xml:space="preserve"> resumed ESA program activity with protections in place to protect both the program contractors and household</w:t>
      </w:r>
      <w:r>
        <w:t>s.</w:t>
      </w:r>
      <w:r w:rsidRPr="00F27128">
        <w:t xml:space="preserve"> </w:t>
      </w:r>
      <w:r>
        <w:t xml:space="preserve"> </w:t>
      </w:r>
      <w:r w:rsidRPr="00F27128">
        <w:t xml:space="preserve">Although the ESA program was resumed, </w:t>
      </w:r>
      <w:r>
        <w:t xml:space="preserve">it was expected that </w:t>
      </w:r>
      <w:r w:rsidRPr="00F27128">
        <w:t xml:space="preserve">enrollment </w:t>
      </w:r>
      <w:r>
        <w:t xml:space="preserve">would continue to be </w:t>
      </w:r>
      <w:r w:rsidRPr="00F27128">
        <w:t>slowed due to a variety of factors including continued hesitation on the customers’ end to allow in person visits and mobiliz</w:t>
      </w:r>
      <w:r>
        <w:t>ation of</w:t>
      </w:r>
      <w:r w:rsidRPr="00F27128">
        <w:t xml:space="preserve"> the contractor workforce</w:t>
      </w:r>
      <w:r w:rsidRPr="00F05993">
        <w:t xml:space="preserve">. </w:t>
      </w:r>
      <w:r>
        <w:t xml:space="preserve"> </w:t>
      </w:r>
      <w:r w:rsidRPr="00F05993">
        <w:t>As of December</w:t>
      </w:r>
      <w:r>
        <w:t> </w:t>
      </w:r>
      <w:r w:rsidRPr="00F05993">
        <w:t>31, 2020, Bear Valley</w:t>
      </w:r>
      <w:r>
        <w:t>,</w:t>
      </w:r>
      <w:r w:rsidRPr="00F05993">
        <w:t xml:space="preserve"> </w:t>
      </w:r>
      <w:r>
        <w:t xml:space="preserve">Alpine, PacifiCorp, and Liberty </w:t>
      </w:r>
      <w:r w:rsidRPr="00F05993">
        <w:t xml:space="preserve">achieved </w:t>
      </w:r>
      <w:r>
        <w:t>100 </w:t>
      </w:r>
      <w:r w:rsidRPr="00F05993">
        <w:t xml:space="preserve">percent of its 2020 goal, </w:t>
      </w:r>
      <w:r>
        <w:t>while Southwest Gas did not.  Southwest Gas</w:t>
      </w:r>
      <w:r w:rsidRPr="00FC1034">
        <w:rPr>
          <w:rFonts w:ascii="Times New Roman" w:hAnsi="Times New Roman" w:eastAsia="Calibri"/>
          <w:sz w:val="24"/>
          <w:szCs w:val="24"/>
        </w:rPr>
        <w:t xml:space="preserve"> </w:t>
      </w:r>
      <w:r>
        <w:t>t</w:t>
      </w:r>
      <w:r w:rsidRPr="00FC1034">
        <w:t>reated 34,318 homes, falling short of the target by 2,631 homes</w:t>
      </w:r>
      <w:r w:rsidRPr="00F05993">
        <w:t>.</w:t>
      </w:r>
      <w:r w:rsidRPr="00F05993">
        <w:rPr>
          <w:vertAlign w:val="superscript"/>
        </w:rPr>
        <w:footnoteReference w:id="103"/>
      </w:r>
      <w:r>
        <w:t xml:space="preserve"> </w:t>
      </w:r>
      <w:r w:rsidRPr="00F05993">
        <w:t xml:space="preserve"> </w:t>
      </w:r>
      <w:r>
        <w:t>While the pandemic contributed to the slow-down of household treatments in PY 2020, Southwest Gas had fallen short of its PYs 2018 and 2019 first-time treatment goals as well,</w:t>
      </w:r>
      <w:r>
        <w:rPr>
          <w:rStyle w:val="FootnoteReference"/>
        </w:rPr>
        <w:footnoteReference w:id="104"/>
      </w:r>
      <w:r>
        <w:t xml:space="preserve"> which indicates that the pandemic and program slow-down was not the sole source of program underachievement for Southwest Gas.  Some of the reasons provided by Southwest Gas in their annual reports for falling short of their ESA treatment goals relate to participation barriers such as program s</w:t>
      </w:r>
      <w:r w:rsidRPr="00665D9C">
        <w:t xml:space="preserve">kepticism/outsiders unwelcome, </w:t>
      </w:r>
      <w:r>
        <w:t>l</w:t>
      </w:r>
      <w:r w:rsidRPr="00665D9C">
        <w:t xml:space="preserve">anguage barriers, </w:t>
      </w:r>
      <w:r>
        <w:t>and o</w:t>
      </w:r>
      <w:r w:rsidRPr="00665D9C">
        <w:t>wner/landlord refusal.</w:t>
      </w:r>
      <w:r>
        <w:t xml:space="preserve">  However, we note that these barriers are faced by all SMJUs implementing the ESA program, and that Southwest Gas, as the collector and user of ratepayer dollars for this program, bears the responsibility for falling </w:t>
      </w:r>
      <w:r>
        <w:lastRenderedPageBreak/>
        <w:t xml:space="preserve">short of this statutory treatment goal.  We discuss the actions being required of Southwest Gas in Section 5.5.9.5. </w:t>
      </w:r>
    </w:p>
    <w:p w:rsidRPr="00571CAA" w:rsidR="008959A4" w:rsidP="008959A4" w:rsidRDefault="008959A4" w14:paraId="693B3409" w14:textId="77777777">
      <w:pPr>
        <w:pStyle w:val="Heading2"/>
      </w:pPr>
      <w:bookmarkStart w:name="_Toc82159730" w:id="148"/>
      <w:r w:rsidRPr="00571CAA">
        <w:t xml:space="preserve">ESA </w:t>
      </w:r>
      <w:r>
        <w:t>Program Enrollment and Eligibility</w:t>
      </w:r>
      <w:bookmarkEnd w:id="148"/>
    </w:p>
    <w:p w:rsidR="008959A4" w:rsidP="008959A4" w:rsidRDefault="008959A4" w14:paraId="1F482B31" w14:textId="77777777">
      <w:pPr>
        <w:pStyle w:val="Heading3"/>
      </w:pPr>
      <w:bookmarkStart w:name="_Toc82159731" w:id="149"/>
      <w:r>
        <w:t>Background</w:t>
      </w:r>
      <w:bookmarkEnd w:id="149"/>
    </w:p>
    <w:p w:rsidR="008959A4" w:rsidP="008959A4" w:rsidRDefault="008959A4" w14:paraId="2EADBC30" w14:textId="77777777">
      <w:pPr>
        <w:pStyle w:val="ALJBodyText"/>
      </w:pPr>
      <w:r>
        <w:rPr>
          <w:b/>
          <w:bCs/>
          <w:i/>
          <w:iCs/>
          <w:u w:val="single"/>
        </w:rPr>
        <w:t xml:space="preserve">Income </w:t>
      </w:r>
      <w:r w:rsidRPr="002569D2">
        <w:rPr>
          <w:b/>
          <w:bCs/>
          <w:i/>
          <w:iCs/>
          <w:u w:val="single"/>
        </w:rPr>
        <w:t>Eligibility</w:t>
      </w:r>
      <w:r>
        <w:t>:  Currently, h</w:t>
      </w:r>
      <w:r w:rsidRPr="00E47CFC">
        <w:t>ouseholds with incomes at or below 200</w:t>
      </w:r>
      <w:r>
        <w:t> </w:t>
      </w:r>
      <w:r w:rsidRPr="00E47CFC">
        <w:t xml:space="preserve">percent of the FPG qualify for the </w:t>
      </w:r>
      <w:r>
        <w:t>ESA</w:t>
      </w:r>
      <w:r w:rsidRPr="00E47CFC">
        <w:t xml:space="preserve"> </w:t>
      </w:r>
      <w:r>
        <w:t>program, with income verification required for enrollment.</w:t>
      </w:r>
      <w:r w:rsidRPr="00653124">
        <w:t xml:space="preserve"> </w:t>
      </w:r>
      <w:r>
        <w:t xml:space="preserve"> </w:t>
      </w:r>
      <w:r w:rsidRPr="0086341B">
        <w:t xml:space="preserve">In addition to the above </w:t>
      </w:r>
      <w:r>
        <w:t xml:space="preserve">income </w:t>
      </w:r>
      <w:r w:rsidRPr="0086341B">
        <w:t>qualification requirements, there are several other practical</w:t>
      </w:r>
      <w:r>
        <w:t xml:space="preserve"> </w:t>
      </w:r>
      <w:r w:rsidRPr="0086341B">
        <w:t>requirements that must be met, including but not limited to, structural feasibility and landlord</w:t>
      </w:r>
      <w:r>
        <w:t xml:space="preserve"> </w:t>
      </w:r>
      <w:r w:rsidRPr="0086341B">
        <w:t>approval</w:t>
      </w:r>
      <w:r>
        <w:t xml:space="preserve"> for renter occupied units. </w:t>
      </w:r>
    </w:p>
    <w:p w:rsidR="008959A4" w:rsidP="008959A4" w:rsidRDefault="008959A4" w14:paraId="5A19388E" w14:textId="77777777">
      <w:pPr>
        <w:pStyle w:val="ALJBodyText"/>
      </w:pPr>
      <w:r>
        <w:rPr>
          <w:b/>
          <w:bCs/>
          <w:i/>
          <w:iCs/>
          <w:u w:val="single"/>
        </w:rPr>
        <w:t>Enrollment Options</w:t>
      </w:r>
      <w:r w:rsidRPr="00F37FE5">
        <w:t>:</w:t>
      </w:r>
      <w:r>
        <w:t xml:space="preserve">  Households may enroll into the ESA program through signing up with the SMJU or an enrollment contractor.  CARE household may also be enrolled if the household has been </w:t>
      </w:r>
      <w:r w:rsidRPr="004A70F7">
        <w:t>income-qualified through the CARE</w:t>
      </w:r>
      <w:r>
        <w:t xml:space="preserve"> PEV</w:t>
      </w:r>
      <w:r w:rsidRPr="004A70F7">
        <w:t xml:space="preserve"> process.</w:t>
      </w:r>
      <w:r w:rsidRPr="0086341B">
        <w:rPr>
          <w:rFonts w:ascii="TimesNewRomanPSMT" w:hAnsi="TimesNewRomanPSMT" w:cs="TimesNewRomanPSMT"/>
          <w:sz w:val="24"/>
          <w:szCs w:val="24"/>
        </w:rPr>
        <w:t xml:space="preserve"> </w:t>
      </w:r>
      <w:r>
        <w:rPr>
          <w:rFonts w:ascii="TimesNewRomanPSMT" w:hAnsi="TimesNewRomanPSMT" w:cs="TimesNewRomanPSMT"/>
          <w:sz w:val="24"/>
          <w:szCs w:val="24"/>
        </w:rPr>
        <w:t xml:space="preserve"> </w:t>
      </w:r>
    </w:p>
    <w:p w:rsidR="008959A4" w:rsidP="008959A4" w:rsidRDefault="008959A4" w14:paraId="149B857E" w14:textId="77777777">
      <w:pPr>
        <w:pStyle w:val="Standard"/>
      </w:pPr>
      <w:r>
        <w:rPr>
          <w:b/>
          <w:bCs/>
          <w:i/>
          <w:iCs/>
          <w:u w:val="single"/>
        </w:rPr>
        <w:t>Categorical Eligibility</w:t>
      </w:r>
      <w:r w:rsidRPr="002569D2">
        <w:t>:</w:t>
      </w:r>
      <w:r>
        <w:t xml:space="preserve"> </w:t>
      </w:r>
      <w:r w:rsidRPr="00E47CFC">
        <w:t xml:space="preserve"> </w:t>
      </w:r>
      <w:r>
        <w:t xml:space="preserve">Currently the SMJUs do not qualify households via categorical </w:t>
      </w:r>
      <w:r w:rsidRPr="00393815">
        <w:t xml:space="preserve">eligibility </w:t>
      </w:r>
      <w:r>
        <w:t>enrollment, as D.</w:t>
      </w:r>
      <w:r w:rsidRPr="00393815">
        <w:t>14-05-004</w:t>
      </w:r>
      <w:r>
        <w:t xml:space="preserve"> </w:t>
      </w:r>
      <w:r w:rsidRPr="00393815">
        <w:t>determined that the SMJUs should remain exempt</w:t>
      </w:r>
      <w:r>
        <w:t xml:space="preserve"> </w:t>
      </w:r>
      <w:r w:rsidRPr="00393815">
        <w:t>from requiring customers to enroll through categorical eligibility enrollment</w:t>
      </w:r>
      <w:r>
        <w:t xml:space="preserve"> (</w:t>
      </w:r>
      <w:r w:rsidRPr="00AA01E3">
        <w:rPr>
          <w:i/>
          <w:iCs/>
        </w:rPr>
        <w:t>see</w:t>
      </w:r>
      <w:r>
        <w:t xml:space="preserve"> Section 4.2.1).</w:t>
      </w:r>
      <w:r>
        <w:rPr>
          <w:rStyle w:val="FootnoteReference"/>
        </w:rPr>
        <w:footnoteReference w:id="105"/>
      </w:r>
    </w:p>
    <w:p w:rsidR="008959A4" w:rsidP="008959A4" w:rsidRDefault="008959A4" w14:paraId="2D5CE773" w14:textId="77777777">
      <w:pPr>
        <w:pStyle w:val="Heading3"/>
      </w:pPr>
      <w:bookmarkStart w:name="_Toc82159732" w:id="150"/>
      <w:r>
        <w:t>Alpine Proposal</w:t>
      </w:r>
      <w:bookmarkEnd w:id="150"/>
    </w:p>
    <w:p w:rsidR="008959A4" w:rsidP="008959A4" w:rsidRDefault="008959A4" w14:paraId="6027F4DA" w14:textId="77777777">
      <w:pPr>
        <w:pStyle w:val="Standard"/>
      </w:pPr>
      <w:r>
        <w:rPr>
          <w:b/>
          <w:bCs/>
          <w:i/>
          <w:iCs/>
          <w:u w:val="single"/>
        </w:rPr>
        <w:t xml:space="preserve">Income </w:t>
      </w:r>
      <w:r w:rsidRPr="002569D2">
        <w:rPr>
          <w:b/>
          <w:bCs/>
          <w:i/>
          <w:iCs/>
          <w:u w:val="single"/>
        </w:rPr>
        <w:t>Eligibility</w:t>
      </w:r>
      <w:r>
        <w:t xml:space="preserve">:  Alpine </w:t>
      </w:r>
      <w:r w:rsidRPr="0073161F">
        <w:t>propose</w:t>
      </w:r>
      <w:r>
        <w:t>s no</w:t>
      </w:r>
      <w:r w:rsidRPr="0073161F">
        <w:t xml:space="preserve"> </w:t>
      </w:r>
      <w:r>
        <w:t>changes.</w:t>
      </w:r>
    </w:p>
    <w:p w:rsidR="008959A4" w:rsidP="008959A4" w:rsidRDefault="008959A4" w14:paraId="77E9335F" w14:textId="77777777">
      <w:pPr>
        <w:pStyle w:val="Standard"/>
        <w:rPr>
          <w:b/>
          <w:bCs/>
          <w:i/>
          <w:iCs/>
          <w:u w:val="single"/>
        </w:rPr>
      </w:pPr>
      <w:r>
        <w:rPr>
          <w:b/>
          <w:bCs/>
          <w:i/>
          <w:iCs/>
          <w:u w:val="single"/>
        </w:rPr>
        <w:t>Enrollment Options</w:t>
      </w:r>
      <w:r w:rsidRPr="00111AAA">
        <w:rPr>
          <w:b/>
          <w:bCs/>
          <w:i/>
          <w:iCs/>
        </w:rPr>
        <w:t xml:space="preserve">:  </w:t>
      </w:r>
      <w:r>
        <w:t xml:space="preserve">Alpine </w:t>
      </w:r>
      <w:r w:rsidRPr="0073161F">
        <w:t>propose</w:t>
      </w:r>
      <w:r>
        <w:t>s no</w:t>
      </w:r>
      <w:r w:rsidRPr="0073161F">
        <w:t xml:space="preserve"> </w:t>
      </w:r>
      <w:r>
        <w:t>changes.</w:t>
      </w:r>
    </w:p>
    <w:p w:rsidRPr="00213077" w:rsidR="008959A4" w:rsidP="008959A4" w:rsidRDefault="008959A4" w14:paraId="4864BE18" w14:textId="77777777">
      <w:pPr>
        <w:pStyle w:val="Standard"/>
      </w:pPr>
      <w:r>
        <w:rPr>
          <w:b/>
          <w:bCs/>
          <w:i/>
          <w:iCs/>
          <w:u w:val="single"/>
        </w:rPr>
        <w:t>Categorical Eligibility</w:t>
      </w:r>
      <w:r w:rsidRPr="002569D2">
        <w:t>:</w:t>
      </w:r>
      <w:r w:rsidRPr="00E47CFC">
        <w:t xml:space="preserve"> </w:t>
      </w:r>
      <w:r>
        <w:t xml:space="preserve"> Alpine </w:t>
      </w:r>
      <w:r w:rsidRPr="0073161F">
        <w:t>propose</w:t>
      </w:r>
      <w:r>
        <w:t>s no</w:t>
      </w:r>
      <w:r w:rsidRPr="0073161F">
        <w:t xml:space="preserve"> </w:t>
      </w:r>
      <w:r>
        <w:t>changes.</w:t>
      </w:r>
    </w:p>
    <w:p w:rsidR="008959A4" w:rsidP="008959A4" w:rsidRDefault="008959A4" w14:paraId="5BDD7EDA" w14:textId="77777777">
      <w:pPr>
        <w:pStyle w:val="Heading3"/>
      </w:pPr>
      <w:bookmarkStart w:name="_Toc82159733" w:id="151"/>
      <w:r>
        <w:t>Bear Valley Proposal</w:t>
      </w:r>
      <w:bookmarkEnd w:id="151"/>
    </w:p>
    <w:p w:rsidR="008959A4" w:rsidP="008959A4" w:rsidRDefault="008959A4" w14:paraId="5B584CC2" w14:textId="77777777">
      <w:pPr>
        <w:pStyle w:val="Standard"/>
      </w:pPr>
      <w:r>
        <w:rPr>
          <w:b/>
          <w:bCs/>
          <w:i/>
          <w:iCs/>
          <w:u w:val="single"/>
        </w:rPr>
        <w:t xml:space="preserve">Income </w:t>
      </w:r>
      <w:r w:rsidRPr="002569D2">
        <w:rPr>
          <w:b/>
          <w:bCs/>
          <w:i/>
          <w:iCs/>
          <w:u w:val="single"/>
        </w:rPr>
        <w:t>Eligibility</w:t>
      </w:r>
      <w:r>
        <w:t xml:space="preserve">:  Bear Valley </w:t>
      </w:r>
      <w:r w:rsidRPr="0073161F">
        <w:t>propose</w:t>
      </w:r>
      <w:r>
        <w:t>s no</w:t>
      </w:r>
      <w:r w:rsidRPr="0073161F">
        <w:t xml:space="preserve"> </w:t>
      </w:r>
      <w:r>
        <w:t>changes.</w:t>
      </w:r>
    </w:p>
    <w:p w:rsidR="008959A4" w:rsidP="008959A4" w:rsidRDefault="008959A4" w14:paraId="658586F7" w14:textId="77777777">
      <w:pPr>
        <w:pStyle w:val="Standard"/>
        <w:rPr>
          <w:b/>
          <w:bCs/>
          <w:i/>
          <w:iCs/>
          <w:u w:val="single"/>
        </w:rPr>
      </w:pPr>
      <w:r>
        <w:rPr>
          <w:b/>
          <w:bCs/>
          <w:i/>
          <w:iCs/>
          <w:u w:val="single"/>
        </w:rPr>
        <w:t>Enrollment</w:t>
      </w:r>
      <w:r w:rsidRPr="0039436F">
        <w:rPr>
          <w:b/>
          <w:bCs/>
          <w:i/>
          <w:iCs/>
          <w:u w:val="single"/>
        </w:rPr>
        <w:t xml:space="preserve"> </w:t>
      </w:r>
      <w:r>
        <w:rPr>
          <w:b/>
          <w:bCs/>
          <w:i/>
          <w:iCs/>
          <w:u w:val="single"/>
        </w:rPr>
        <w:t>Options</w:t>
      </w:r>
      <w:r w:rsidRPr="00111AAA">
        <w:rPr>
          <w:b/>
          <w:bCs/>
          <w:i/>
          <w:iCs/>
        </w:rPr>
        <w:t xml:space="preserve">:  </w:t>
      </w:r>
      <w:r>
        <w:t xml:space="preserve">Bear Valley </w:t>
      </w:r>
      <w:r w:rsidRPr="0073161F">
        <w:t>propose</w:t>
      </w:r>
      <w:r>
        <w:t>s no</w:t>
      </w:r>
      <w:r w:rsidRPr="0073161F">
        <w:t xml:space="preserve"> </w:t>
      </w:r>
      <w:r>
        <w:t>changes.</w:t>
      </w:r>
    </w:p>
    <w:p w:rsidRPr="00213077" w:rsidR="008959A4" w:rsidP="008959A4" w:rsidRDefault="008959A4" w14:paraId="4E979F6D" w14:textId="77777777">
      <w:pPr>
        <w:pStyle w:val="Standard"/>
      </w:pPr>
      <w:r>
        <w:rPr>
          <w:b/>
          <w:bCs/>
          <w:i/>
          <w:iCs/>
          <w:u w:val="single"/>
        </w:rPr>
        <w:lastRenderedPageBreak/>
        <w:t>Categorical Eligibility</w:t>
      </w:r>
      <w:r w:rsidRPr="002569D2">
        <w:t>:</w:t>
      </w:r>
      <w:r w:rsidRPr="00E47CFC">
        <w:t xml:space="preserve"> </w:t>
      </w:r>
      <w:r>
        <w:t xml:space="preserve"> Bear Valley </w:t>
      </w:r>
      <w:r w:rsidRPr="0073161F">
        <w:t>propose</w:t>
      </w:r>
      <w:r>
        <w:t>s no</w:t>
      </w:r>
      <w:r w:rsidRPr="0073161F">
        <w:t xml:space="preserve"> </w:t>
      </w:r>
      <w:r>
        <w:t>changes.</w:t>
      </w:r>
    </w:p>
    <w:p w:rsidR="008959A4" w:rsidP="008959A4" w:rsidRDefault="008959A4" w14:paraId="29CBEF71" w14:textId="77777777">
      <w:pPr>
        <w:pStyle w:val="Heading3"/>
      </w:pPr>
      <w:bookmarkStart w:name="_Toc82159734" w:id="152"/>
      <w:r>
        <w:t>Liberty Proposal</w:t>
      </w:r>
      <w:bookmarkEnd w:id="152"/>
    </w:p>
    <w:p w:rsidR="008959A4" w:rsidP="008959A4" w:rsidRDefault="008959A4" w14:paraId="0FAD8989" w14:textId="77777777">
      <w:pPr>
        <w:pStyle w:val="Standard"/>
      </w:pPr>
      <w:r>
        <w:rPr>
          <w:b/>
          <w:bCs/>
          <w:i/>
          <w:iCs/>
          <w:u w:val="single"/>
        </w:rPr>
        <w:t xml:space="preserve">Income </w:t>
      </w:r>
      <w:r w:rsidRPr="002569D2">
        <w:rPr>
          <w:b/>
          <w:bCs/>
          <w:i/>
          <w:iCs/>
          <w:u w:val="single"/>
        </w:rPr>
        <w:t>Eligibility</w:t>
      </w:r>
      <w:r>
        <w:t xml:space="preserve">:  Liberty </w:t>
      </w:r>
      <w:r w:rsidRPr="0073161F">
        <w:t>propose</w:t>
      </w:r>
      <w:r>
        <w:t>s no</w:t>
      </w:r>
      <w:r w:rsidRPr="0073161F">
        <w:t xml:space="preserve"> </w:t>
      </w:r>
      <w:r>
        <w:t>changes.</w:t>
      </w:r>
    </w:p>
    <w:p w:rsidR="008959A4" w:rsidP="008959A4" w:rsidRDefault="008959A4" w14:paraId="0F820B30" w14:textId="77777777">
      <w:pPr>
        <w:pStyle w:val="Standard"/>
        <w:rPr>
          <w:b/>
          <w:bCs/>
          <w:i/>
          <w:iCs/>
          <w:u w:val="single"/>
        </w:rPr>
      </w:pPr>
      <w:r>
        <w:rPr>
          <w:b/>
          <w:bCs/>
          <w:i/>
          <w:iCs/>
          <w:u w:val="single"/>
        </w:rPr>
        <w:t>Enrollment</w:t>
      </w:r>
      <w:r w:rsidRPr="0039436F">
        <w:rPr>
          <w:b/>
          <w:bCs/>
          <w:i/>
          <w:iCs/>
          <w:u w:val="single"/>
        </w:rPr>
        <w:t xml:space="preserve"> </w:t>
      </w:r>
      <w:r>
        <w:rPr>
          <w:b/>
          <w:bCs/>
          <w:i/>
          <w:iCs/>
          <w:u w:val="single"/>
        </w:rPr>
        <w:t>Options</w:t>
      </w:r>
      <w:r w:rsidRPr="00111AAA">
        <w:rPr>
          <w:b/>
          <w:bCs/>
          <w:i/>
          <w:iCs/>
        </w:rPr>
        <w:t xml:space="preserve">:  </w:t>
      </w:r>
      <w:r>
        <w:t xml:space="preserve">Liberty </w:t>
      </w:r>
      <w:r w:rsidRPr="0073161F">
        <w:t>propose</w:t>
      </w:r>
      <w:r>
        <w:t>s no</w:t>
      </w:r>
      <w:r w:rsidRPr="0073161F">
        <w:t xml:space="preserve"> </w:t>
      </w:r>
      <w:r>
        <w:t>changes.</w:t>
      </w:r>
    </w:p>
    <w:p w:rsidRPr="00213077" w:rsidR="008959A4" w:rsidP="008959A4" w:rsidRDefault="008959A4" w14:paraId="0AF3EFAE" w14:textId="77777777">
      <w:pPr>
        <w:pStyle w:val="Standard"/>
      </w:pPr>
      <w:r>
        <w:rPr>
          <w:b/>
          <w:bCs/>
          <w:i/>
          <w:iCs/>
          <w:u w:val="single"/>
        </w:rPr>
        <w:t>Categorical Eligibility</w:t>
      </w:r>
      <w:r w:rsidRPr="002569D2">
        <w:t>:</w:t>
      </w:r>
      <w:r w:rsidRPr="00E47CFC">
        <w:t xml:space="preserve"> </w:t>
      </w:r>
      <w:r>
        <w:t xml:space="preserve"> Liberty </w:t>
      </w:r>
      <w:r w:rsidRPr="0073161F">
        <w:t>propose</w:t>
      </w:r>
      <w:r>
        <w:t>s no</w:t>
      </w:r>
      <w:r w:rsidRPr="0073161F">
        <w:t xml:space="preserve"> </w:t>
      </w:r>
      <w:r>
        <w:t>changes.</w:t>
      </w:r>
    </w:p>
    <w:p w:rsidR="008959A4" w:rsidP="008959A4" w:rsidRDefault="008959A4" w14:paraId="4B3EA560" w14:textId="77777777">
      <w:pPr>
        <w:pStyle w:val="Heading3"/>
      </w:pPr>
      <w:bookmarkStart w:name="_Toc82159735" w:id="153"/>
      <w:r>
        <w:t>PacifiCorp Proposal</w:t>
      </w:r>
      <w:bookmarkEnd w:id="153"/>
    </w:p>
    <w:p w:rsidR="008959A4" w:rsidP="008959A4" w:rsidRDefault="008959A4" w14:paraId="3D5B326F" w14:textId="77777777">
      <w:pPr>
        <w:pStyle w:val="Standard"/>
      </w:pPr>
      <w:r>
        <w:rPr>
          <w:b/>
          <w:bCs/>
          <w:i/>
          <w:iCs/>
          <w:u w:val="single"/>
        </w:rPr>
        <w:t xml:space="preserve">Income </w:t>
      </w:r>
      <w:r w:rsidRPr="002569D2">
        <w:rPr>
          <w:b/>
          <w:bCs/>
          <w:i/>
          <w:iCs/>
          <w:u w:val="single"/>
        </w:rPr>
        <w:t>Eligibility</w:t>
      </w:r>
      <w:r>
        <w:t xml:space="preserve">:  PacifiCorp </w:t>
      </w:r>
      <w:r w:rsidRPr="0073161F">
        <w:t>propose</w:t>
      </w:r>
      <w:r>
        <w:t>s no</w:t>
      </w:r>
      <w:r w:rsidRPr="0073161F">
        <w:t xml:space="preserve"> </w:t>
      </w:r>
      <w:r>
        <w:t>changes.</w:t>
      </w:r>
    </w:p>
    <w:p w:rsidR="008959A4" w:rsidP="008959A4" w:rsidRDefault="008959A4" w14:paraId="6EAAAF01" w14:textId="77777777">
      <w:pPr>
        <w:pStyle w:val="Standard"/>
        <w:rPr>
          <w:b/>
          <w:bCs/>
          <w:i/>
          <w:iCs/>
          <w:u w:val="single"/>
        </w:rPr>
      </w:pPr>
      <w:r>
        <w:rPr>
          <w:b/>
          <w:bCs/>
          <w:i/>
          <w:iCs/>
          <w:u w:val="single"/>
        </w:rPr>
        <w:t>Enrollment</w:t>
      </w:r>
      <w:r w:rsidRPr="0039436F">
        <w:rPr>
          <w:b/>
          <w:bCs/>
          <w:i/>
          <w:iCs/>
          <w:u w:val="single"/>
        </w:rPr>
        <w:t xml:space="preserve"> </w:t>
      </w:r>
      <w:r>
        <w:rPr>
          <w:b/>
          <w:bCs/>
          <w:i/>
          <w:iCs/>
          <w:u w:val="single"/>
        </w:rPr>
        <w:t>Options</w:t>
      </w:r>
      <w:r w:rsidRPr="00111AAA">
        <w:rPr>
          <w:b/>
          <w:bCs/>
          <w:i/>
          <w:iCs/>
        </w:rPr>
        <w:t xml:space="preserve">:  </w:t>
      </w:r>
      <w:r>
        <w:t xml:space="preserve">PacifiCorp </w:t>
      </w:r>
      <w:r w:rsidRPr="0073161F">
        <w:t>propose</w:t>
      </w:r>
      <w:r>
        <w:t>s no</w:t>
      </w:r>
      <w:r w:rsidRPr="0073161F">
        <w:t xml:space="preserve"> </w:t>
      </w:r>
      <w:r>
        <w:t>changes.</w:t>
      </w:r>
    </w:p>
    <w:p w:rsidRPr="00213077" w:rsidR="008959A4" w:rsidP="008959A4" w:rsidRDefault="008959A4" w14:paraId="25089BAC" w14:textId="77777777">
      <w:pPr>
        <w:pStyle w:val="Standard"/>
      </w:pPr>
      <w:r>
        <w:rPr>
          <w:b/>
          <w:bCs/>
          <w:i/>
          <w:iCs/>
          <w:u w:val="single"/>
        </w:rPr>
        <w:t>Categorical Eligibility</w:t>
      </w:r>
      <w:r w:rsidRPr="002569D2">
        <w:t>:</w:t>
      </w:r>
      <w:r w:rsidRPr="00E47CFC">
        <w:t xml:space="preserve"> </w:t>
      </w:r>
      <w:r>
        <w:t xml:space="preserve">PacifiCorp </w:t>
      </w:r>
      <w:r w:rsidRPr="0073161F">
        <w:t>propose</w:t>
      </w:r>
      <w:r>
        <w:t>s no</w:t>
      </w:r>
      <w:r w:rsidRPr="0073161F">
        <w:t xml:space="preserve"> </w:t>
      </w:r>
      <w:r>
        <w:t>changes.</w:t>
      </w:r>
    </w:p>
    <w:p w:rsidR="008959A4" w:rsidP="008959A4" w:rsidRDefault="008959A4" w14:paraId="5648D4F3" w14:textId="77777777">
      <w:pPr>
        <w:pStyle w:val="Heading3"/>
      </w:pPr>
      <w:bookmarkStart w:name="_Toc82159736" w:id="154"/>
      <w:r>
        <w:t>Southwest Gas Proposal</w:t>
      </w:r>
      <w:bookmarkEnd w:id="154"/>
    </w:p>
    <w:p w:rsidR="008959A4" w:rsidP="008959A4" w:rsidRDefault="008959A4" w14:paraId="431E4259" w14:textId="77777777">
      <w:pPr>
        <w:pStyle w:val="Standard"/>
      </w:pPr>
      <w:r>
        <w:rPr>
          <w:b/>
          <w:bCs/>
          <w:i/>
          <w:iCs/>
          <w:u w:val="single"/>
        </w:rPr>
        <w:t xml:space="preserve">Income </w:t>
      </w:r>
      <w:r w:rsidRPr="002569D2">
        <w:rPr>
          <w:b/>
          <w:bCs/>
          <w:i/>
          <w:iCs/>
          <w:u w:val="single"/>
        </w:rPr>
        <w:t>Eligibility</w:t>
      </w:r>
      <w:r>
        <w:t xml:space="preserve">: Southwest Gas </w:t>
      </w:r>
      <w:r w:rsidRPr="0073161F">
        <w:t>propose</w:t>
      </w:r>
      <w:r>
        <w:t>s no</w:t>
      </w:r>
      <w:r w:rsidRPr="0073161F">
        <w:t xml:space="preserve"> </w:t>
      </w:r>
      <w:r>
        <w:t>changes.</w:t>
      </w:r>
    </w:p>
    <w:p w:rsidR="008959A4" w:rsidP="008959A4" w:rsidRDefault="008959A4" w14:paraId="7AE42286" w14:textId="77777777">
      <w:pPr>
        <w:pStyle w:val="Standard"/>
        <w:rPr>
          <w:b/>
          <w:bCs/>
          <w:i/>
          <w:iCs/>
          <w:u w:val="single"/>
        </w:rPr>
      </w:pPr>
      <w:r>
        <w:rPr>
          <w:b/>
          <w:bCs/>
          <w:i/>
          <w:iCs/>
          <w:u w:val="single"/>
        </w:rPr>
        <w:t>Enrollment</w:t>
      </w:r>
      <w:r w:rsidRPr="0039436F">
        <w:rPr>
          <w:b/>
          <w:bCs/>
          <w:i/>
          <w:iCs/>
          <w:u w:val="single"/>
        </w:rPr>
        <w:t xml:space="preserve"> </w:t>
      </w:r>
      <w:r>
        <w:rPr>
          <w:b/>
          <w:bCs/>
          <w:i/>
          <w:iCs/>
          <w:u w:val="single"/>
        </w:rPr>
        <w:t>Options</w:t>
      </w:r>
      <w:r w:rsidRPr="00111AAA">
        <w:rPr>
          <w:b/>
          <w:bCs/>
          <w:i/>
          <w:iCs/>
        </w:rPr>
        <w:t xml:space="preserve">: </w:t>
      </w:r>
      <w:r>
        <w:t xml:space="preserve">Southwest Gas </w:t>
      </w:r>
      <w:r w:rsidRPr="0073161F">
        <w:t>propose</w:t>
      </w:r>
      <w:r>
        <w:t>s no</w:t>
      </w:r>
      <w:r w:rsidRPr="0073161F">
        <w:t xml:space="preserve"> </w:t>
      </w:r>
      <w:r>
        <w:t>changes.</w:t>
      </w:r>
    </w:p>
    <w:p w:rsidRPr="00213077" w:rsidR="008959A4" w:rsidP="008959A4" w:rsidRDefault="008959A4" w14:paraId="1D0D78DA" w14:textId="77777777">
      <w:pPr>
        <w:pStyle w:val="Standard"/>
      </w:pPr>
      <w:r>
        <w:rPr>
          <w:b/>
          <w:bCs/>
          <w:i/>
          <w:iCs/>
          <w:u w:val="single"/>
        </w:rPr>
        <w:t>Categorical Eligibility</w:t>
      </w:r>
      <w:r w:rsidRPr="002569D2">
        <w:t>:</w:t>
      </w:r>
      <w:r>
        <w:t xml:space="preserve"> </w:t>
      </w:r>
      <w:r w:rsidRPr="00E47CFC">
        <w:t xml:space="preserve"> </w:t>
      </w:r>
      <w:r>
        <w:t xml:space="preserve">Southwest Gas </w:t>
      </w:r>
      <w:r w:rsidRPr="0073161F">
        <w:t>propose</w:t>
      </w:r>
      <w:r>
        <w:t>s no</w:t>
      </w:r>
      <w:r w:rsidRPr="0073161F">
        <w:t xml:space="preserve"> </w:t>
      </w:r>
      <w:r>
        <w:t>changes.</w:t>
      </w:r>
    </w:p>
    <w:p w:rsidR="008959A4" w:rsidP="008959A4" w:rsidRDefault="008959A4" w14:paraId="28E1F493" w14:textId="77777777">
      <w:pPr>
        <w:pStyle w:val="Heading3"/>
      </w:pPr>
      <w:bookmarkStart w:name="_Toc82159737" w:id="155"/>
      <w:r>
        <w:t>Party Comments</w:t>
      </w:r>
      <w:bookmarkEnd w:id="155"/>
    </w:p>
    <w:p w:rsidR="008959A4" w:rsidP="008959A4" w:rsidRDefault="008959A4" w14:paraId="7F7079C6" w14:textId="77777777">
      <w:pPr>
        <w:pStyle w:val="Heading4"/>
        <w:ind w:left="3600" w:hanging="1260"/>
      </w:pPr>
      <w:bookmarkStart w:name="_Toc82159738" w:id="156"/>
      <w:r>
        <w:t>Cal Advocates</w:t>
      </w:r>
      <w:bookmarkEnd w:id="156"/>
    </w:p>
    <w:p w:rsidRPr="00BF34AE" w:rsidR="008959A4" w:rsidP="008959A4" w:rsidRDefault="008959A4" w14:paraId="18FCA0FC" w14:textId="77777777">
      <w:pPr>
        <w:pStyle w:val="Standard"/>
      </w:pPr>
      <w:r>
        <w:rPr>
          <w:b/>
          <w:bCs/>
          <w:i/>
          <w:iCs/>
          <w:u w:val="single"/>
        </w:rPr>
        <w:t>Categorial Eligibility</w:t>
      </w:r>
      <w:r w:rsidRPr="00111AAA">
        <w:rPr>
          <w:b/>
          <w:bCs/>
          <w:i/>
          <w:iCs/>
        </w:rPr>
        <w:t>:</w:t>
      </w:r>
      <w:r w:rsidRPr="00111AAA">
        <w:t xml:space="preserve">  </w:t>
      </w:r>
      <w:r>
        <w:t>Cal Advocates recommend implementing c</w:t>
      </w:r>
      <w:r w:rsidRPr="009205C0">
        <w:t>ategorical</w:t>
      </w:r>
      <w:r>
        <w:t xml:space="preserve"> e</w:t>
      </w:r>
      <w:r w:rsidRPr="009205C0">
        <w:t>ligibility</w:t>
      </w:r>
      <w:r>
        <w:t xml:space="preserve"> for the SMJU ESA program, as this has been a successful enrollment option for the large IOUs’ ESA program.  U</w:t>
      </w:r>
      <w:r w:rsidRPr="009205C0">
        <w:t>nder categorical eligibility, the income</w:t>
      </w:r>
      <w:r>
        <w:t xml:space="preserve"> </w:t>
      </w:r>
      <w:r w:rsidRPr="009205C0">
        <w:t>verification process is simplified</w:t>
      </w:r>
      <w:r>
        <w:t xml:space="preserve"> where </w:t>
      </w:r>
      <w:r w:rsidRPr="009205C0">
        <w:t>customers could provide documentation of</w:t>
      </w:r>
      <w:r>
        <w:t xml:space="preserve"> </w:t>
      </w:r>
      <w:r w:rsidRPr="009205C0">
        <w:t xml:space="preserve">participation in </w:t>
      </w:r>
      <w:r>
        <w:t xml:space="preserve">other </w:t>
      </w:r>
      <w:r w:rsidRPr="009205C0">
        <w:t xml:space="preserve">federal, state, or local </w:t>
      </w:r>
      <w:r>
        <w:t xml:space="preserve">assistance </w:t>
      </w:r>
      <w:r w:rsidRPr="009205C0">
        <w:t>programs rather than being required to provide</w:t>
      </w:r>
      <w:r>
        <w:t xml:space="preserve"> </w:t>
      </w:r>
      <w:r w:rsidRPr="009205C0">
        <w:t>income documentation</w:t>
      </w:r>
      <w:r>
        <w:t xml:space="preserve"> to enroll into ESA</w:t>
      </w:r>
      <w:r w:rsidRPr="009205C0">
        <w:t>.</w:t>
      </w:r>
      <w:r>
        <w:t xml:space="preserve">  </w:t>
      </w:r>
      <w:r w:rsidRPr="009205C0">
        <w:t>To facilitate the</w:t>
      </w:r>
      <w:r>
        <w:t xml:space="preserve"> </w:t>
      </w:r>
      <w:r w:rsidRPr="00BF34AE">
        <w:t xml:space="preserve">process, the SMJUs </w:t>
      </w:r>
      <w:r>
        <w:t xml:space="preserve">should </w:t>
      </w:r>
      <w:r w:rsidRPr="00BF34AE">
        <w:t>train their staff and contractors to</w:t>
      </w:r>
      <w:r w:rsidRPr="00BF34AE">
        <w:rPr>
          <w:rFonts w:ascii="TimesNewRomanPSMT" w:hAnsi="TimesNewRomanPSMT" w:cs="TimesNewRomanPSMT"/>
          <w:szCs w:val="26"/>
        </w:rPr>
        <w:t xml:space="preserve"> </w:t>
      </w:r>
      <w:r w:rsidRPr="00BF34AE">
        <w:t>learn the new categorical eligibility provisions and review relevant documentation</w:t>
      </w:r>
      <w:r>
        <w:t xml:space="preserve">, as well as </w:t>
      </w:r>
      <w:r w:rsidRPr="00655C15">
        <w:t>inform customers of this alternative eligibility basis for enrollment</w:t>
      </w:r>
      <w:r>
        <w:t xml:space="preserve"> by </w:t>
      </w:r>
      <w:r w:rsidRPr="00655C15">
        <w:t>publishing information regarding categorical eligibility on program resources, including websites and distribution material</w:t>
      </w:r>
      <w:r w:rsidRPr="00BF34AE">
        <w:t xml:space="preserve">. </w:t>
      </w:r>
      <w:r>
        <w:t xml:space="preserve"> </w:t>
      </w:r>
      <w:r w:rsidRPr="00BF34AE">
        <w:t>To</w:t>
      </w:r>
      <w:r>
        <w:t xml:space="preserve"> </w:t>
      </w:r>
      <w:r w:rsidRPr="00BF34AE">
        <w:t xml:space="preserve">ensure </w:t>
      </w:r>
      <w:r w:rsidRPr="00BF34AE">
        <w:lastRenderedPageBreak/>
        <w:t xml:space="preserve">implementation, </w:t>
      </w:r>
      <w:r>
        <w:t>the</w:t>
      </w:r>
      <w:r w:rsidRPr="00BF34AE">
        <w:t xml:space="preserve"> SMJUs </w:t>
      </w:r>
      <w:r>
        <w:t xml:space="preserve">should </w:t>
      </w:r>
      <w:r w:rsidRPr="00BF34AE">
        <w:t>report the number</w:t>
      </w:r>
      <w:r>
        <w:t xml:space="preserve"> </w:t>
      </w:r>
      <w:r w:rsidRPr="00BF34AE">
        <w:t>of enrollments through categorical eligibility in their annual low-income reports.</w:t>
      </w:r>
      <w:r>
        <w:rPr>
          <w:rStyle w:val="FootnoteReference"/>
        </w:rPr>
        <w:footnoteReference w:id="106"/>
      </w:r>
    </w:p>
    <w:p w:rsidR="008959A4" w:rsidP="008959A4" w:rsidRDefault="008959A4" w14:paraId="2EB8A75C" w14:textId="77777777">
      <w:pPr>
        <w:pStyle w:val="Heading4"/>
        <w:tabs>
          <w:tab w:val="clear" w:pos="2160"/>
        </w:tabs>
        <w:ind w:left="3600" w:hanging="1260"/>
      </w:pPr>
      <w:bookmarkStart w:name="_Toc82159739" w:id="157"/>
      <w:r>
        <w:t>EEC &amp; Free Energy</w:t>
      </w:r>
      <w:bookmarkEnd w:id="157"/>
      <w:r>
        <w:t xml:space="preserve"> </w:t>
      </w:r>
    </w:p>
    <w:p w:rsidR="008959A4" w:rsidP="008959A4" w:rsidRDefault="008959A4" w14:paraId="7CF936A8" w14:textId="77777777">
      <w:pPr>
        <w:pStyle w:val="Standard"/>
        <w:rPr>
          <w:rFonts w:ascii="Calibri" w:hAnsi="Calibri" w:cs="Calibri"/>
          <w:sz w:val="24"/>
          <w:szCs w:val="24"/>
        </w:rPr>
      </w:pPr>
      <w:r>
        <w:rPr>
          <w:b/>
          <w:bCs/>
          <w:i/>
          <w:iCs/>
          <w:u w:val="single"/>
        </w:rPr>
        <w:t xml:space="preserve">Income </w:t>
      </w:r>
      <w:r w:rsidRPr="00F138A1">
        <w:rPr>
          <w:b/>
          <w:bCs/>
          <w:i/>
          <w:iCs/>
          <w:u w:val="single"/>
        </w:rPr>
        <w:t>Eligibility</w:t>
      </w:r>
      <w:r>
        <w:t xml:space="preserve">:  </w:t>
      </w:r>
      <w:r w:rsidRPr="00C50613">
        <w:t xml:space="preserve">EEC and </w:t>
      </w:r>
      <w:r>
        <w:t>Free Energy recommend that the ESA income eligibility limits be r</w:t>
      </w:r>
      <w:r w:rsidRPr="00C50613">
        <w:t>aised</w:t>
      </w:r>
      <w:r w:rsidRPr="00144135">
        <w:t xml:space="preserve"> to at least 250</w:t>
      </w:r>
      <w:r>
        <w:t xml:space="preserve"> percent</w:t>
      </w:r>
      <w:r w:rsidRPr="00144135">
        <w:t xml:space="preserve"> of </w:t>
      </w:r>
      <w:r>
        <w:t>FPG, and state that many</w:t>
      </w:r>
      <w:r w:rsidRPr="00144135">
        <w:t xml:space="preserve"> of the Commission's low-income and equity programs</w:t>
      </w:r>
      <w:r>
        <w:t xml:space="preserve"> </w:t>
      </w:r>
      <w:r w:rsidRPr="00144135">
        <w:t>already use this cut-off (</w:t>
      </w:r>
      <w:r w:rsidRPr="001F6EE4">
        <w:rPr>
          <w:i/>
          <w:iCs/>
        </w:rPr>
        <w:t>e.g</w:t>
      </w:r>
      <w:r w:rsidRPr="00144135">
        <w:t>.,</w:t>
      </w:r>
      <w:r>
        <w:t> </w:t>
      </w:r>
      <w:r w:rsidRPr="00144135">
        <w:t>DAC-S</w:t>
      </w:r>
      <w:r>
        <w:t>ASH</w:t>
      </w:r>
      <w:r w:rsidRPr="00144135">
        <w:t>).</w:t>
      </w:r>
      <w:r>
        <w:rPr>
          <w:rStyle w:val="FootnoteReference"/>
        </w:rPr>
        <w:footnoteReference w:id="107"/>
      </w:r>
    </w:p>
    <w:p w:rsidRPr="00AC7F98" w:rsidR="008959A4" w:rsidP="008959A4" w:rsidRDefault="008959A4" w14:paraId="7FB2BABF" w14:textId="77777777">
      <w:pPr>
        <w:pStyle w:val="Standard"/>
      </w:pPr>
      <w:r>
        <w:rPr>
          <w:b/>
          <w:bCs/>
          <w:i/>
          <w:iCs/>
          <w:u w:val="single"/>
        </w:rPr>
        <w:t>Categorial Eligibility</w:t>
      </w:r>
      <w:r w:rsidRPr="001F6EE4">
        <w:rPr>
          <w:b/>
          <w:bCs/>
          <w:i/>
          <w:iCs/>
        </w:rPr>
        <w:t>:</w:t>
      </w:r>
      <w:r w:rsidRPr="001F6EE4">
        <w:t xml:space="preserve">  </w:t>
      </w:r>
      <w:r w:rsidRPr="00C50613">
        <w:t xml:space="preserve">EEC and </w:t>
      </w:r>
      <w:r>
        <w:t xml:space="preserve">Free Energy </w:t>
      </w:r>
      <w:r w:rsidRPr="00144135">
        <w:t xml:space="preserve">support the use </w:t>
      </w:r>
      <w:r>
        <w:t>of c</w:t>
      </w:r>
      <w:r w:rsidRPr="00144135">
        <w:t>ategorical</w:t>
      </w:r>
      <w:r>
        <w:t xml:space="preserve"> eligibility to </w:t>
      </w:r>
      <w:r w:rsidRPr="00144135">
        <w:t>qualify low-income families for</w:t>
      </w:r>
      <w:r>
        <w:t xml:space="preserve"> both the </w:t>
      </w:r>
      <w:r w:rsidRPr="00144135">
        <w:t>ESA and CARE</w:t>
      </w:r>
      <w:r>
        <w:t xml:space="preserve"> programs, stating that the large IOUs </w:t>
      </w:r>
      <w:r w:rsidRPr="00144135">
        <w:t xml:space="preserve">successfully used </w:t>
      </w:r>
      <w:r>
        <w:t>this method</w:t>
      </w:r>
      <w:r w:rsidRPr="00144135">
        <w:t xml:space="preserve"> for many years </w:t>
      </w:r>
      <w:r>
        <w:t>which helps to secure</w:t>
      </w:r>
      <w:r w:rsidRPr="00144135">
        <w:t xml:space="preserve"> participation by families who are unable or unwilling to provide income verification.</w:t>
      </w:r>
      <w:r>
        <w:t xml:space="preserve">  </w:t>
      </w:r>
      <w:r w:rsidRPr="00C50613">
        <w:t xml:space="preserve">EEC and </w:t>
      </w:r>
      <w:r>
        <w:t>Free Energy</w:t>
      </w:r>
      <w:r w:rsidRPr="00144135">
        <w:t xml:space="preserve"> </w:t>
      </w:r>
      <w:r>
        <w:t xml:space="preserve">go further to recommend </w:t>
      </w:r>
      <w:r w:rsidRPr="00144135">
        <w:t xml:space="preserve">extending </w:t>
      </w:r>
      <w:r>
        <w:t>c</w:t>
      </w:r>
      <w:r w:rsidRPr="00144135">
        <w:t>ategorical</w:t>
      </w:r>
      <w:r>
        <w:t xml:space="preserve"> </w:t>
      </w:r>
      <w:r w:rsidRPr="00144135">
        <w:t xml:space="preserve">approvals to all residences of </w:t>
      </w:r>
      <w:r>
        <w:t xml:space="preserve">DACs along with the lowest 10 percent to 20 percent of SEVI </w:t>
      </w:r>
      <w:r w:rsidRPr="00144135">
        <w:t>communities</w:t>
      </w:r>
      <w:r>
        <w:t xml:space="preserve">, stating that </w:t>
      </w:r>
      <w:r w:rsidRPr="00144135">
        <w:t>ESA offers this process</w:t>
      </w:r>
      <w:r>
        <w:t xml:space="preserve"> </w:t>
      </w:r>
      <w:r w:rsidRPr="00144135">
        <w:t>to other types of residences and neighborhoods.</w:t>
      </w:r>
      <w:r w:rsidRPr="00117384">
        <w:t xml:space="preserve"> </w:t>
      </w:r>
      <w:r>
        <w:t xml:space="preserve"> And i</w:t>
      </w:r>
      <w:r w:rsidRPr="00131C84">
        <w:t>f the Commission determines not to extend ESA services to DAC families,</w:t>
      </w:r>
      <w:r>
        <w:t xml:space="preserve"> they </w:t>
      </w:r>
      <w:r w:rsidRPr="00131C84">
        <w:t>recommend that the Commission should allow</w:t>
      </w:r>
      <w:r>
        <w:t xml:space="preserve"> </w:t>
      </w:r>
      <w:r w:rsidRPr="00131C84">
        <w:t>DAC</w:t>
      </w:r>
      <w:r>
        <w:t xml:space="preserve"> </w:t>
      </w:r>
      <w:r w:rsidRPr="00131C84">
        <w:t>families and those living in extreme SEVI communities to self-certify that they meet program</w:t>
      </w:r>
      <w:r>
        <w:t xml:space="preserve"> </w:t>
      </w:r>
      <w:r w:rsidRPr="00131C84">
        <w:t xml:space="preserve">income qualifications to receive ESA </w:t>
      </w:r>
      <w:r>
        <w:t>p</w:t>
      </w:r>
      <w:r w:rsidRPr="00131C84">
        <w:t>rogram services</w:t>
      </w:r>
      <w:r>
        <w:t>.</w:t>
      </w:r>
      <w:r>
        <w:rPr>
          <w:rStyle w:val="FootnoteReference"/>
        </w:rPr>
        <w:footnoteReference w:id="108"/>
      </w:r>
    </w:p>
    <w:p w:rsidR="008959A4" w:rsidP="008959A4" w:rsidRDefault="008959A4" w14:paraId="06B32B00" w14:textId="77777777">
      <w:pPr>
        <w:pStyle w:val="Heading3"/>
      </w:pPr>
      <w:bookmarkStart w:name="_Toc82159740" w:id="158"/>
      <w:r>
        <w:lastRenderedPageBreak/>
        <w:t>SMJU Responses</w:t>
      </w:r>
      <w:bookmarkEnd w:id="158"/>
    </w:p>
    <w:p w:rsidR="008959A4" w:rsidP="008959A4" w:rsidRDefault="008959A4" w14:paraId="22854AFC" w14:textId="77777777">
      <w:pPr>
        <w:pStyle w:val="Heading4"/>
        <w:ind w:left="3600" w:hanging="1260"/>
      </w:pPr>
      <w:bookmarkStart w:name="_Toc82159741" w:id="159"/>
      <w:r>
        <w:t>Southwest Gas</w:t>
      </w:r>
      <w:r w:rsidRPr="00D03E26">
        <w:t>, P</w:t>
      </w:r>
      <w:r>
        <w:t>acifiCorp</w:t>
      </w:r>
      <w:r w:rsidRPr="00D03E26">
        <w:t xml:space="preserve">, </w:t>
      </w:r>
      <w:r>
        <w:br/>
      </w:r>
      <w:r w:rsidRPr="00D03E26">
        <w:t>L</w:t>
      </w:r>
      <w:r>
        <w:t>iberty</w:t>
      </w:r>
      <w:r w:rsidRPr="00D03E26">
        <w:t>, B</w:t>
      </w:r>
      <w:r>
        <w:t xml:space="preserve">ear Valley (Joint SMJUs) </w:t>
      </w:r>
      <w:r>
        <w:br/>
        <w:t>Response</w:t>
      </w:r>
      <w:bookmarkEnd w:id="159"/>
    </w:p>
    <w:p w:rsidR="008959A4" w:rsidP="008959A4" w:rsidRDefault="008959A4" w14:paraId="6E9A70EC" w14:textId="77777777">
      <w:pPr>
        <w:pStyle w:val="Standard"/>
        <w:rPr>
          <w:b/>
          <w:bCs/>
          <w:i/>
          <w:iCs/>
          <w:u w:val="single"/>
        </w:rPr>
      </w:pPr>
      <w:r>
        <w:rPr>
          <w:b/>
          <w:bCs/>
          <w:i/>
          <w:iCs/>
          <w:u w:val="single"/>
        </w:rPr>
        <w:t xml:space="preserve">Income </w:t>
      </w:r>
      <w:r w:rsidRPr="00F138A1">
        <w:rPr>
          <w:b/>
          <w:bCs/>
          <w:i/>
          <w:iCs/>
          <w:u w:val="single"/>
        </w:rPr>
        <w:t>Eligibility</w:t>
      </w:r>
      <w:r w:rsidRPr="009643C3">
        <w:rPr>
          <w:b/>
          <w:bCs/>
          <w:i/>
          <w:iCs/>
        </w:rPr>
        <w:t>:</w:t>
      </w:r>
      <w:r w:rsidRPr="009643C3">
        <w:t xml:space="preserve"> </w:t>
      </w:r>
      <w:r>
        <w:t xml:space="preserve"> The Joint SMJUs do not support EEC and Free Energy’s proposal to change the i</w:t>
      </w:r>
      <w:r w:rsidRPr="00213C81">
        <w:t xml:space="preserve">ncome eligibility </w:t>
      </w:r>
      <w:r>
        <w:t xml:space="preserve">limits to 250 percent of FPG. They state that it is </w:t>
      </w:r>
      <w:r w:rsidRPr="00213C81">
        <w:t>important to be aligned with the large IOUs on ESA</w:t>
      </w:r>
      <w:r>
        <w:t xml:space="preserve"> p</w:t>
      </w:r>
      <w:r w:rsidRPr="00213C81">
        <w:t>rogram eligibility requirements when practicable and appropriate</w:t>
      </w:r>
      <w:r>
        <w:t xml:space="preserve"> because this will cause </w:t>
      </w:r>
      <w:r w:rsidRPr="00213C81">
        <w:t>less customer confusion</w:t>
      </w:r>
      <w:r>
        <w:t xml:space="preserve">, especially given that </w:t>
      </w:r>
      <w:r w:rsidRPr="00213C81">
        <w:t xml:space="preserve">Southwest Gas </w:t>
      </w:r>
      <w:r>
        <w:t xml:space="preserve">and Southern California </w:t>
      </w:r>
      <w:r w:rsidRPr="00213C81">
        <w:t>E</w:t>
      </w:r>
      <w:r>
        <w:t>dison</w:t>
      </w:r>
      <w:r w:rsidRPr="00213C81">
        <w:t xml:space="preserve"> </w:t>
      </w:r>
      <w:r>
        <w:t>overlap and share some of the same customers.  The Joint SMJUs state that if the Comm</w:t>
      </w:r>
      <w:r w:rsidRPr="00213C81">
        <w:t xml:space="preserve">ission deems it advisable to revise </w:t>
      </w:r>
      <w:r>
        <w:t>the</w:t>
      </w:r>
      <w:r w:rsidRPr="00213C81">
        <w:t xml:space="preserve"> ESA </w:t>
      </w:r>
      <w:r>
        <w:t>p</w:t>
      </w:r>
      <w:r w:rsidRPr="00213C81">
        <w:t>rogram requirements, it should</w:t>
      </w:r>
      <w:r>
        <w:t xml:space="preserve"> </w:t>
      </w:r>
      <w:r w:rsidRPr="00213C81">
        <w:t>consider doing so in a separate proceeding where all affected parties can participate.</w:t>
      </w:r>
      <w:r w:rsidRPr="00213C81">
        <w:rPr>
          <w:rStyle w:val="FootnoteReference"/>
        </w:rPr>
        <w:footnoteReference w:id="109"/>
      </w:r>
    </w:p>
    <w:p w:rsidR="008959A4" w:rsidP="008959A4" w:rsidRDefault="008959A4" w14:paraId="35EB0399" w14:textId="77777777">
      <w:pPr>
        <w:pStyle w:val="Standard"/>
      </w:pPr>
      <w:r>
        <w:rPr>
          <w:b/>
          <w:bCs/>
          <w:i/>
          <w:iCs/>
          <w:u w:val="single"/>
        </w:rPr>
        <w:t>Categorical Eligibility</w:t>
      </w:r>
      <w:r w:rsidRPr="009643C3">
        <w:rPr>
          <w:b/>
          <w:bCs/>
          <w:i/>
          <w:iCs/>
        </w:rPr>
        <w:t>:</w:t>
      </w:r>
      <w:r w:rsidRPr="009643C3">
        <w:t xml:space="preserve">  </w:t>
      </w:r>
      <w:r>
        <w:t>T</w:t>
      </w:r>
      <w:r w:rsidRPr="00400D8E">
        <w:t xml:space="preserve">he </w:t>
      </w:r>
      <w:r>
        <w:t xml:space="preserve">Joint </w:t>
      </w:r>
      <w:r w:rsidRPr="00400D8E">
        <w:t>SMJUs support</w:t>
      </w:r>
      <w:r>
        <w:t xml:space="preserve"> Cal Advocates’ proposal to implement </w:t>
      </w:r>
      <w:r w:rsidRPr="00400D8E">
        <w:t xml:space="preserve">categorical </w:t>
      </w:r>
      <w:r>
        <w:t xml:space="preserve">eligibility but </w:t>
      </w:r>
      <w:r w:rsidRPr="00400D8E">
        <w:t>propose that the assistance programs</w:t>
      </w:r>
      <w:r>
        <w:t xml:space="preserve"> </w:t>
      </w:r>
      <w:r w:rsidRPr="00400D8E">
        <w:t>eligible for use with categorical enrollment be consistent with the</w:t>
      </w:r>
      <w:r>
        <w:t xml:space="preserve"> </w:t>
      </w:r>
      <w:r w:rsidRPr="00400D8E">
        <w:t>categories currently in use by the large IOUs</w:t>
      </w:r>
      <w:r>
        <w:t xml:space="preserve"> which currently include </w:t>
      </w:r>
      <w:r w:rsidRPr="00400D8E">
        <w:t>Medicaid/Medi-Cal for Families A &amp; B</w:t>
      </w:r>
      <w:r>
        <w:t xml:space="preserve">, </w:t>
      </w:r>
      <w:r w:rsidRPr="00400D8E">
        <w:t>CalFresh SNAP</w:t>
      </w:r>
      <w:r>
        <w:t xml:space="preserve">, </w:t>
      </w:r>
      <w:r w:rsidRPr="00400D8E">
        <w:t>Head Start Income Eligible (Tribal Only)</w:t>
      </w:r>
      <w:r>
        <w:t xml:space="preserve">, </w:t>
      </w:r>
      <w:r w:rsidRPr="00400D8E">
        <w:t>Bureau of Indian Affairs General Assistance</w:t>
      </w:r>
      <w:r w:rsidRPr="00400D8E">
        <w:rPr>
          <w:rFonts w:ascii="Arial" w:hAnsi="Arial" w:cs="Arial"/>
          <w:sz w:val="23"/>
          <w:szCs w:val="23"/>
        </w:rPr>
        <w:t xml:space="preserve"> </w:t>
      </w:r>
      <w:r w:rsidRPr="00400D8E">
        <w:t>Women, Infants and Children</w:t>
      </w:r>
      <w:r>
        <w:t xml:space="preserve">, </w:t>
      </w:r>
      <w:r w:rsidRPr="00400D8E">
        <w:t>National School Lunch Program</w:t>
      </w:r>
      <w:r>
        <w:t xml:space="preserve">, </w:t>
      </w:r>
      <w:r w:rsidRPr="00400D8E">
        <w:t>Low-Income Home Energy Assistance Program</w:t>
      </w:r>
      <w:r>
        <w:t xml:space="preserve">, </w:t>
      </w:r>
      <w:r w:rsidRPr="00400D8E">
        <w:t>Supplemental Security Income</w:t>
      </w:r>
      <w:r>
        <w:t>, and C</w:t>
      </w:r>
      <w:r w:rsidRPr="00400D8E">
        <w:t>alWORKS (TANF) or Tribal TANF</w:t>
      </w:r>
      <w:r>
        <w:t xml:space="preserve">.  The Joint SMJUs also propose that the use of </w:t>
      </w:r>
      <w:r w:rsidRPr="00400D8E">
        <w:t xml:space="preserve">categorical eligibility be </w:t>
      </w:r>
      <w:r>
        <w:t xml:space="preserve">extended to the </w:t>
      </w:r>
      <w:r w:rsidRPr="00400D8E">
        <w:t xml:space="preserve">CARE </w:t>
      </w:r>
      <w:r>
        <w:t>p</w:t>
      </w:r>
      <w:r w:rsidRPr="00400D8E">
        <w:t xml:space="preserve">rogram. </w:t>
      </w:r>
    </w:p>
    <w:p w:rsidR="008959A4" w:rsidP="008959A4" w:rsidRDefault="008959A4" w14:paraId="13F5D3C9" w14:textId="77777777">
      <w:pPr>
        <w:pStyle w:val="Standard"/>
      </w:pPr>
      <w:r>
        <w:t>The Joint SMJUs will agree to p</w:t>
      </w:r>
      <w:r w:rsidRPr="00400D8E">
        <w:t>ublish information</w:t>
      </w:r>
      <w:r>
        <w:t xml:space="preserve"> </w:t>
      </w:r>
      <w:r w:rsidRPr="00400D8E">
        <w:t>regarding categorical eligibility on program resources</w:t>
      </w:r>
      <w:r>
        <w:t xml:space="preserve"> and </w:t>
      </w:r>
      <w:r w:rsidRPr="00400D8E">
        <w:t>train their staff and contractors</w:t>
      </w:r>
      <w:r>
        <w:t xml:space="preserve"> </w:t>
      </w:r>
      <w:r w:rsidRPr="00400D8E">
        <w:t xml:space="preserve">on </w:t>
      </w:r>
      <w:r w:rsidRPr="00400D8E">
        <w:lastRenderedPageBreak/>
        <w:t>implementation of the new categorical eligibility provision for ESA and CARE</w:t>
      </w:r>
      <w:r>
        <w:t xml:space="preserve">.  However, they do not support the additional reporting requirement to </w:t>
      </w:r>
      <w:r w:rsidRPr="00400D8E">
        <w:t>report on categorical eligibility enrollment</w:t>
      </w:r>
      <w:r>
        <w:t xml:space="preserve"> in the annual reports stating that the</w:t>
      </w:r>
      <w:r w:rsidRPr="00400D8E">
        <w:t xml:space="preserve"> SMJUs have smaller California operations and greater resource limitations</w:t>
      </w:r>
      <w:r>
        <w:t xml:space="preserve"> </w:t>
      </w:r>
      <w:r w:rsidRPr="00400D8E">
        <w:t>than the large IOUs</w:t>
      </w:r>
      <w:r>
        <w:t xml:space="preserve">; and as </w:t>
      </w:r>
      <w:r w:rsidRPr="00400D8E">
        <w:t>such, the SMJUs would require various system improvements to</w:t>
      </w:r>
      <w:r>
        <w:t xml:space="preserve"> </w:t>
      </w:r>
      <w:r w:rsidRPr="00400D8E">
        <w:t xml:space="preserve">be able to report </w:t>
      </w:r>
      <w:r>
        <w:t>this</w:t>
      </w:r>
      <w:r w:rsidRPr="00400D8E">
        <w:t>.</w:t>
      </w:r>
      <w:r>
        <w:rPr>
          <w:rStyle w:val="FootnoteReference"/>
        </w:rPr>
        <w:footnoteReference w:id="110"/>
      </w:r>
    </w:p>
    <w:p w:rsidR="008959A4" w:rsidP="008959A4" w:rsidRDefault="008959A4" w14:paraId="58CA7945" w14:textId="77777777">
      <w:pPr>
        <w:pStyle w:val="Standard"/>
      </w:pPr>
      <w:r>
        <w:t xml:space="preserve">The Joint SMJUs oppose EEC and Free Energy’s proposal to allow DACs or low rated SEVI communities to categorially enroll or alternatively self-certify for ESA, stating that these </w:t>
      </w:r>
      <w:r w:rsidRPr="00131C84">
        <w:t>would require policy changes</w:t>
      </w:r>
      <w:r>
        <w:t xml:space="preserve"> that s</w:t>
      </w:r>
      <w:r w:rsidRPr="00131C84">
        <w:t>hould be addressed in a proceeding</w:t>
      </w:r>
      <w:r>
        <w:t xml:space="preserve"> </w:t>
      </w:r>
      <w:r w:rsidRPr="00131C84">
        <w:t>where all interested stakeholders can participate.</w:t>
      </w:r>
      <w:r>
        <w:rPr>
          <w:rStyle w:val="FootnoteReference"/>
        </w:rPr>
        <w:footnoteReference w:id="111"/>
      </w:r>
    </w:p>
    <w:p w:rsidRPr="00BF0AFE" w:rsidR="008959A4" w:rsidP="008959A4" w:rsidRDefault="008959A4" w14:paraId="6A9B2F32" w14:textId="77777777">
      <w:pPr>
        <w:pStyle w:val="Heading4"/>
        <w:ind w:left="3600" w:hanging="1260"/>
      </w:pPr>
      <w:bookmarkStart w:name="_Toc82159742" w:id="160"/>
      <w:r>
        <w:t>Southwest Gas Response</w:t>
      </w:r>
      <w:bookmarkEnd w:id="160"/>
    </w:p>
    <w:p w:rsidRPr="00F142F4" w:rsidR="008959A4" w:rsidP="008959A4" w:rsidRDefault="008959A4" w14:paraId="5E6E76EA" w14:textId="77777777">
      <w:pPr>
        <w:pStyle w:val="Standard"/>
      </w:pPr>
      <w:r>
        <w:rPr>
          <w:b/>
          <w:bCs/>
          <w:i/>
          <w:iCs/>
          <w:u w:val="single"/>
        </w:rPr>
        <w:t>Categorical Eligibility</w:t>
      </w:r>
      <w:r w:rsidRPr="009643C3">
        <w:rPr>
          <w:b/>
          <w:bCs/>
          <w:i/>
          <w:iCs/>
        </w:rPr>
        <w:t>:</w:t>
      </w:r>
      <w:r w:rsidRPr="009643C3">
        <w:t xml:space="preserve">  </w:t>
      </w:r>
      <w:r w:rsidRPr="00655C15">
        <w:t xml:space="preserve">Southwest Gas </w:t>
      </w:r>
      <w:r>
        <w:t xml:space="preserve">reiterates its support for the use of categorical eligibility as well as its objection to the proposal to report on </w:t>
      </w:r>
      <w:r w:rsidRPr="00BF34AE">
        <w:t>the number</w:t>
      </w:r>
      <w:r>
        <w:t xml:space="preserve"> </w:t>
      </w:r>
      <w:r w:rsidRPr="00BF34AE">
        <w:t xml:space="preserve">of enrollments through categorical eligibility in </w:t>
      </w:r>
      <w:r>
        <w:t xml:space="preserve">the SMJU </w:t>
      </w:r>
      <w:r w:rsidRPr="00BF34AE">
        <w:t>annual low</w:t>
      </w:r>
      <w:r>
        <w:noBreakHyphen/>
      </w:r>
      <w:r w:rsidRPr="00BF34AE">
        <w:t>income reports</w:t>
      </w:r>
      <w:r>
        <w:t>, claiming that this</w:t>
      </w:r>
      <w:r w:rsidRPr="00655C15">
        <w:t xml:space="preserve"> presents challenges due to resource constraints and system limitations.</w:t>
      </w:r>
      <w:r>
        <w:t xml:space="preserve">  </w:t>
      </w:r>
      <w:r w:rsidRPr="00655C15">
        <w:t>Southwest Gas</w:t>
      </w:r>
      <w:r>
        <w:t xml:space="preserve"> states that </w:t>
      </w:r>
      <w:r w:rsidRPr="00655C15">
        <w:t>the additional expense required to implement such reporting is not warranted, particularly given that enrolled customers would be income qualified under either categorical eligibility or the traditional CARE enrollment process</w:t>
      </w:r>
      <w:r>
        <w:t>.</w:t>
      </w:r>
      <w:r>
        <w:rPr>
          <w:rStyle w:val="FootnoteReference"/>
        </w:rPr>
        <w:footnoteReference w:id="112"/>
      </w:r>
    </w:p>
    <w:p w:rsidR="008959A4" w:rsidP="008959A4" w:rsidRDefault="008959A4" w14:paraId="4ED4E279" w14:textId="77777777">
      <w:pPr>
        <w:pStyle w:val="Heading4"/>
        <w:ind w:left="3600" w:hanging="1260"/>
      </w:pPr>
      <w:bookmarkStart w:name="_Toc82159743" w:id="161"/>
      <w:r>
        <w:t>PacifiCorp Response</w:t>
      </w:r>
      <w:bookmarkEnd w:id="161"/>
    </w:p>
    <w:p w:rsidR="008959A4" w:rsidP="008959A4" w:rsidRDefault="008959A4" w14:paraId="58011246" w14:textId="77777777">
      <w:pPr>
        <w:pStyle w:val="Standard"/>
      </w:pPr>
      <w:r w:rsidRPr="00E71EA3">
        <w:rPr>
          <w:b/>
          <w:bCs/>
          <w:i/>
          <w:iCs/>
          <w:u w:val="single"/>
        </w:rPr>
        <w:t>Categorical Enrollment</w:t>
      </w:r>
      <w:r>
        <w:t xml:space="preserve">:  </w:t>
      </w:r>
      <w:r w:rsidRPr="006D1E9E">
        <w:t xml:space="preserve">PacifiCorp </w:t>
      </w:r>
      <w:r>
        <w:t xml:space="preserve">reiterates that it </w:t>
      </w:r>
      <w:r w:rsidRPr="006D1E9E">
        <w:t xml:space="preserve">generally supports </w:t>
      </w:r>
      <w:r>
        <w:t xml:space="preserve">implementing </w:t>
      </w:r>
      <w:r w:rsidRPr="006D1E9E">
        <w:t>categorical eligibility</w:t>
      </w:r>
      <w:r>
        <w:t xml:space="preserve"> for both the CARE and ESA program as long </w:t>
      </w:r>
      <w:r>
        <w:lastRenderedPageBreak/>
        <w:t xml:space="preserve">as the </w:t>
      </w:r>
      <w:r w:rsidRPr="006D1E9E">
        <w:t xml:space="preserve">assistance programs eligible for use with categorical eligibility </w:t>
      </w:r>
      <w:r>
        <w:t>are</w:t>
      </w:r>
      <w:r w:rsidRPr="006D1E9E">
        <w:t xml:space="preserve"> </w:t>
      </w:r>
      <w:r>
        <w:t>c</w:t>
      </w:r>
      <w:r w:rsidRPr="006D1E9E">
        <w:t>onsistent with the</w:t>
      </w:r>
      <w:r>
        <w:t xml:space="preserve"> </w:t>
      </w:r>
      <w:r w:rsidRPr="006D1E9E">
        <w:t xml:space="preserve">categories used by the </w:t>
      </w:r>
      <w:r>
        <w:t>l</w:t>
      </w:r>
      <w:r w:rsidRPr="006D1E9E">
        <w:t>arge IOUs.</w:t>
      </w:r>
      <w:r>
        <w:rPr>
          <w:rStyle w:val="FootnoteReference"/>
        </w:rPr>
        <w:footnoteReference w:id="113"/>
      </w:r>
    </w:p>
    <w:p w:rsidR="008959A4" w:rsidP="008959A4" w:rsidRDefault="008959A4" w14:paraId="3C26EADC" w14:textId="77777777">
      <w:pPr>
        <w:pStyle w:val="Heading3"/>
      </w:pPr>
      <w:bookmarkStart w:name="_Toc82159744" w:id="162"/>
      <w:r>
        <w:t>Discussion</w:t>
      </w:r>
      <w:bookmarkEnd w:id="162"/>
    </w:p>
    <w:p w:rsidR="008959A4" w:rsidP="008959A4" w:rsidRDefault="008959A4" w14:paraId="3C0CD52F" w14:textId="42D66648">
      <w:pPr>
        <w:pStyle w:val="Heading4"/>
        <w:ind w:left="3600" w:hanging="1260"/>
      </w:pPr>
      <w:bookmarkStart w:name="_Toc82159745" w:id="163"/>
      <w:r>
        <w:t>Modifying</w:t>
      </w:r>
      <w:r w:rsidRPr="008A7247">
        <w:t xml:space="preserve"> the Income Eligibility Requirements</w:t>
      </w:r>
      <w:r>
        <w:t xml:space="preserve">:  </w:t>
      </w:r>
      <w:bookmarkEnd w:id="163"/>
      <w:r w:rsidR="008B0976">
        <w:rPr>
          <w:u w:val="single"/>
        </w:rPr>
        <w:t>Approved</w:t>
      </w:r>
      <w:r w:rsidR="00B6484E">
        <w:t xml:space="preserve"> </w:t>
      </w:r>
    </w:p>
    <w:p w:rsidRPr="00143A0F" w:rsidR="00143A0F" w:rsidP="008B0976" w:rsidRDefault="008B0976" w14:paraId="66242765" w14:textId="51533D8C">
      <w:pPr>
        <w:pStyle w:val="ALJBodyText"/>
      </w:pPr>
      <w:bookmarkStart w:name="_Hlk85031855" w:id="164"/>
      <w:r>
        <w:t xml:space="preserve">On September 23, 2021, </w:t>
      </w:r>
      <w:bookmarkStart w:name="_Hlk85031214" w:id="165"/>
      <w:r w:rsidR="00B6484E">
        <w:t xml:space="preserve">Senate Bill </w:t>
      </w:r>
      <w:r w:rsidR="007D74D3">
        <w:t>756 was signed into law</w:t>
      </w:r>
      <w:r>
        <w:t xml:space="preserve"> modifying the income eligibility requirements for the ESA program from 200</w:t>
      </w:r>
      <w:r w:rsidR="00825380">
        <w:t xml:space="preserve"> percent</w:t>
      </w:r>
      <w:r>
        <w:t xml:space="preserve"> FPG to 250</w:t>
      </w:r>
      <w:r w:rsidR="00825380">
        <w:t xml:space="preserve"> percent</w:t>
      </w:r>
      <w:r>
        <w:t xml:space="preserve"> FPG beginning</w:t>
      </w:r>
      <w:r w:rsidRPr="00143A0F">
        <w:t xml:space="preserve"> July 1, 2022</w:t>
      </w:r>
      <w:r>
        <w:t xml:space="preserve">. </w:t>
      </w:r>
      <w:bookmarkEnd w:id="165"/>
      <w:r w:rsidR="00BC48EE">
        <w:t xml:space="preserve"> </w:t>
      </w:r>
      <w:r>
        <w:t xml:space="preserve">Additionally, Senate Bill 756 </w:t>
      </w:r>
      <w:r w:rsidRPr="00143A0F" w:rsidR="00143A0F">
        <w:t>prohibit</w:t>
      </w:r>
      <w:r>
        <w:t>s</w:t>
      </w:r>
      <w:r w:rsidRPr="00143A0F" w:rsidR="00143A0F">
        <w:t xml:space="preserve"> the </w:t>
      </w:r>
      <w:r>
        <w:t>C</w:t>
      </w:r>
      <w:r w:rsidRPr="00143A0F" w:rsidR="00143A0F">
        <w:t xml:space="preserve">ommission from increasing the authorized budgets for the program based on </w:t>
      </w:r>
      <w:r w:rsidR="00C82392">
        <w:t>the</w:t>
      </w:r>
      <w:r w:rsidRPr="00143A0F" w:rsidR="00143A0F">
        <w:t xml:space="preserve"> expansion of income eligibility.</w:t>
      </w:r>
      <w:r w:rsidR="00C82392">
        <w:t xml:space="preserve"> </w:t>
      </w:r>
      <w:bookmarkEnd w:id="164"/>
      <w:r w:rsidR="00514A4E">
        <w:t>Therefore,</w:t>
      </w:r>
      <w:r w:rsidR="00C82392">
        <w:t xml:space="preserve"> </w:t>
      </w:r>
      <w:r w:rsidR="00C04C56">
        <w:t>we</w:t>
      </w:r>
      <w:r w:rsidR="00514A4E">
        <w:t xml:space="preserve"> modify the </w:t>
      </w:r>
      <w:r w:rsidR="00C82392">
        <w:t>income eligibility requirements for the ESA program</w:t>
      </w:r>
      <w:r w:rsidR="007329E1">
        <w:t xml:space="preserve"> from 200</w:t>
      </w:r>
      <w:r w:rsidR="00825380">
        <w:t xml:space="preserve"> percent</w:t>
      </w:r>
      <w:r w:rsidR="007329E1">
        <w:t xml:space="preserve"> FPG to 250</w:t>
      </w:r>
      <w:r w:rsidR="00BC48EE">
        <w:t> </w:t>
      </w:r>
      <w:r w:rsidR="00825380">
        <w:t>percent</w:t>
      </w:r>
      <w:r w:rsidR="007329E1">
        <w:t xml:space="preserve"> FPG </w:t>
      </w:r>
      <w:r w:rsidR="00514A4E">
        <w:t xml:space="preserve">beginning </w:t>
      </w:r>
      <w:r w:rsidRPr="00143A0F" w:rsidR="00514A4E">
        <w:t xml:space="preserve">July 1, </w:t>
      </w:r>
      <w:r w:rsidRPr="00143A0F" w:rsidR="00825380">
        <w:t>2022,</w:t>
      </w:r>
      <w:r w:rsidR="00514A4E">
        <w:t xml:space="preserve"> to align with Senate Bill 756.</w:t>
      </w:r>
    </w:p>
    <w:p w:rsidRPr="00776C0A" w:rsidR="008959A4" w:rsidP="008959A4" w:rsidRDefault="008959A4" w14:paraId="70F4A3E6" w14:textId="77777777">
      <w:pPr>
        <w:pStyle w:val="Heading4"/>
        <w:ind w:left="3600" w:hanging="1260"/>
      </w:pPr>
      <w:bookmarkStart w:name="_Toc82159746" w:id="166"/>
      <w:r w:rsidRPr="00CF1BAB">
        <w:t xml:space="preserve">Implementing Categorical </w:t>
      </w:r>
      <w:r>
        <w:br/>
      </w:r>
      <w:r w:rsidRPr="00CF1BAB">
        <w:t>Eligibility</w:t>
      </w:r>
      <w:r w:rsidRPr="002569D2">
        <w:t>:</w:t>
      </w:r>
      <w:r w:rsidRPr="00E47CFC">
        <w:t xml:space="preserve"> </w:t>
      </w:r>
      <w:r>
        <w:t xml:space="preserve"> </w:t>
      </w:r>
      <w:r w:rsidRPr="00CF1BAB">
        <w:rPr>
          <w:u w:val="single"/>
        </w:rPr>
        <w:t>Approved</w:t>
      </w:r>
      <w:bookmarkEnd w:id="166"/>
    </w:p>
    <w:p w:rsidR="008959A4" w:rsidP="008959A4" w:rsidRDefault="008959A4" w14:paraId="7440AA42" w14:textId="277645AD">
      <w:pPr>
        <w:pStyle w:val="Standard"/>
      </w:pPr>
      <w:r>
        <w:t xml:space="preserve">We approve Cal Advocates’ proposal to implement </w:t>
      </w:r>
      <w:r w:rsidRPr="00400D8E">
        <w:t xml:space="preserve">categorical </w:t>
      </w:r>
      <w:r>
        <w:t xml:space="preserve">eligibility for both the CARE and ESA program and direct the SMJUs to apply the same </w:t>
      </w:r>
      <w:r w:rsidRPr="00400D8E">
        <w:t>assistance programs</w:t>
      </w:r>
      <w:r>
        <w:t xml:space="preserve"> </w:t>
      </w:r>
      <w:r w:rsidRPr="00400D8E">
        <w:t xml:space="preserve">eligible for use with categorical enrollment </w:t>
      </w:r>
      <w:r>
        <w:t xml:space="preserve">as those </w:t>
      </w:r>
      <w:r w:rsidRPr="00400D8E">
        <w:t>in use by the large IOUs</w:t>
      </w:r>
      <w:r>
        <w:t>.  The list of eligible assistance programs to be used by the SMJUs for categorical enrollment should automatically be updated when the</w:t>
      </w:r>
      <w:r w:rsidRPr="00E17456">
        <w:t xml:space="preserve"> </w:t>
      </w:r>
      <w:r w:rsidRPr="00400D8E">
        <w:t xml:space="preserve">categorical </w:t>
      </w:r>
      <w:r>
        <w:t>eligibility list of programs is also updated for the large IOUs.  The SMJUs shall also p</w:t>
      </w:r>
      <w:r w:rsidRPr="00400D8E">
        <w:t>ublish information</w:t>
      </w:r>
      <w:r>
        <w:t xml:space="preserve"> </w:t>
      </w:r>
      <w:r w:rsidRPr="00400D8E">
        <w:t>regarding categorical eligibility on program resources</w:t>
      </w:r>
      <w:r>
        <w:t xml:space="preserve"> and </w:t>
      </w:r>
      <w:r w:rsidRPr="00400D8E">
        <w:t>train their staff and contractors</w:t>
      </w:r>
      <w:r>
        <w:t xml:space="preserve"> </w:t>
      </w:r>
      <w:r w:rsidRPr="00400D8E">
        <w:t>on implementation of the new categorical eligibility provision for ESA and CARE</w:t>
      </w:r>
      <w:r>
        <w:t xml:space="preserve">.  </w:t>
      </w:r>
      <w:r w:rsidR="007F5031">
        <w:t xml:space="preserve">Lastly, </w:t>
      </w:r>
      <w:r w:rsidR="00F22770">
        <w:t>t</w:t>
      </w:r>
      <w:r w:rsidR="009D541D">
        <w:rPr>
          <w:rFonts w:cstheme="minorBidi"/>
          <w:szCs w:val="22"/>
        </w:rPr>
        <w:t xml:space="preserve">he SMJUs must </w:t>
      </w:r>
      <w:r w:rsidRPr="00292155" w:rsidR="00AC4DFC">
        <w:rPr>
          <w:rFonts w:cstheme="minorBidi"/>
          <w:szCs w:val="22"/>
        </w:rPr>
        <w:t xml:space="preserve">implement categorical eligibility enrollment by no later than </w:t>
      </w:r>
      <w:r w:rsidR="00AC4DFC">
        <w:rPr>
          <w:rFonts w:cstheme="minorBidi"/>
          <w:szCs w:val="22"/>
        </w:rPr>
        <w:t>July </w:t>
      </w:r>
      <w:r w:rsidRPr="00292155" w:rsidR="00AC4DFC">
        <w:rPr>
          <w:rFonts w:cstheme="minorBidi"/>
          <w:szCs w:val="22"/>
        </w:rPr>
        <w:t>1,</w:t>
      </w:r>
      <w:r w:rsidR="00AC4DFC">
        <w:rPr>
          <w:rFonts w:cstheme="minorBidi"/>
          <w:szCs w:val="22"/>
        </w:rPr>
        <w:t> </w:t>
      </w:r>
      <w:r w:rsidRPr="00292155" w:rsidR="00AC4DFC">
        <w:rPr>
          <w:rFonts w:cstheme="minorBidi"/>
          <w:szCs w:val="22"/>
        </w:rPr>
        <w:t>202</w:t>
      </w:r>
      <w:r w:rsidR="00AC4DFC">
        <w:rPr>
          <w:rFonts w:cstheme="minorBidi"/>
          <w:szCs w:val="22"/>
        </w:rPr>
        <w:t>2</w:t>
      </w:r>
      <w:r w:rsidR="007F5031">
        <w:rPr>
          <w:rFonts w:cstheme="minorBidi"/>
          <w:szCs w:val="22"/>
        </w:rPr>
        <w:t xml:space="preserve">. </w:t>
      </w:r>
      <w:r w:rsidR="00BC48EE">
        <w:rPr>
          <w:rFonts w:cstheme="minorBidi"/>
          <w:szCs w:val="22"/>
        </w:rPr>
        <w:t xml:space="preserve"> </w:t>
      </w:r>
      <w:r>
        <w:t xml:space="preserve">Therefore, we deny EEC and Free Energy’s proposal to include all </w:t>
      </w:r>
      <w:r w:rsidRPr="00BB1F59">
        <w:t>DACs</w:t>
      </w:r>
      <w:r>
        <w:t xml:space="preserve"> and low </w:t>
      </w:r>
      <w:r>
        <w:lastRenderedPageBreak/>
        <w:t xml:space="preserve">rated </w:t>
      </w:r>
      <w:r w:rsidRPr="00BB1F59">
        <w:t>SEVI communities</w:t>
      </w:r>
      <w:r>
        <w:t xml:space="preserve"> for consistency with the large IOU categorical eligibility program.   </w:t>
      </w:r>
    </w:p>
    <w:p w:rsidRPr="00A50B7C" w:rsidR="008959A4" w:rsidP="008959A4" w:rsidRDefault="008959A4" w14:paraId="6FD0A1FB" w14:textId="77777777">
      <w:pPr>
        <w:pStyle w:val="Heading2"/>
      </w:pPr>
      <w:bookmarkStart w:name="_Toc82159747" w:id="167"/>
      <w:r w:rsidRPr="00A50B7C">
        <w:t>ESA Program Delivery</w:t>
      </w:r>
      <w:r>
        <w:t xml:space="preserve"> and Design</w:t>
      </w:r>
      <w:bookmarkEnd w:id="167"/>
    </w:p>
    <w:p w:rsidRPr="00A50B7C" w:rsidR="008959A4" w:rsidP="008959A4" w:rsidRDefault="008959A4" w14:paraId="31E30BB3" w14:textId="77777777">
      <w:pPr>
        <w:pStyle w:val="Heading3"/>
      </w:pPr>
      <w:bookmarkStart w:name="_Toc82159748" w:id="168"/>
      <w:r w:rsidRPr="00A50B7C">
        <w:t>Background</w:t>
      </w:r>
      <w:bookmarkEnd w:id="168"/>
    </w:p>
    <w:p w:rsidR="008959A4" w:rsidP="008959A4" w:rsidRDefault="008959A4" w14:paraId="6E44B30F" w14:textId="77777777">
      <w:pPr>
        <w:pStyle w:val="ALJBodyText"/>
      </w:pPr>
      <w:r w:rsidRPr="00C64CC6">
        <w:t>Decision 1</w:t>
      </w:r>
      <w:r>
        <w:t>8-08-020</w:t>
      </w:r>
      <w:r w:rsidRPr="00C64CC6">
        <w:t xml:space="preserve"> approved and later modified ESA program designs </w:t>
      </w:r>
      <w:r>
        <w:t>and portfolio of measures for the ESA program through PY 2020.  Although the Commission adopted a certain level of statewide consistency in the delivery and design of the programs, the SMJUs were granted variations in their designs to allow for flexibility and to recognize that each SMJU designed its own ESA program delivery model that incorporates best practices, lessons learned, and what best suits their respective service areas and customer base.  This resulted in SMJU designs that varied in measure offerings, leveraging partnerships, and third-party selections.  For PYs 2021-2026, the SMJUs were asked to discuss lessons learned from the past cycles’ design and delivery models, propose modifications that would garner increased energy savings and reduced hardships, identify expected accomplishments of the proposed designs, and identify the potential obstacles and recommendations to overcome the obstacles of the proposed designs.</w:t>
      </w:r>
      <w:r>
        <w:rPr>
          <w:rStyle w:val="FootnoteReference"/>
        </w:rPr>
        <w:footnoteReference w:id="114"/>
      </w:r>
    </w:p>
    <w:p w:rsidR="008959A4" w:rsidP="008959A4" w:rsidRDefault="008959A4" w14:paraId="5C9628E7" w14:textId="77777777">
      <w:pPr>
        <w:pStyle w:val="Heading3"/>
      </w:pPr>
      <w:bookmarkStart w:name="_Toc82159749" w:id="169"/>
      <w:r>
        <w:t>Alpine Proposal</w:t>
      </w:r>
      <w:bookmarkEnd w:id="169"/>
    </w:p>
    <w:p w:rsidRPr="00B469EF" w:rsidR="008959A4" w:rsidP="008959A4" w:rsidRDefault="008959A4" w14:paraId="07AC19D6" w14:textId="77777777">
      <w:pPr>
        <w:pStyle w:val="ALJBodyText"/>
      </w:pPr>
      <w:r>
        <w:t>Alpine</w:t>
      </w:r>
      <w:r w:rsidRPr="00C20F14">
        <w:t xml:space="preserve"> </w:t>
      </w:r>
      <w:r>
        <w:t>does not propose any changes to the existing design or delivery model and will continue c</w:t>
      </w:r>
      <w:r w:rsidRPr="007B28CA">
        <w:t>ontract</w:t>
      </w:r>
      <w:r>
        <w:t>ing</w:t>
      </w:r>
      <w:r w:rsidRPr="007B28CA">
        <w:t xml:space="preserve"> with third-party implementers for program </w:t>
      </w:r>
      <w:r w:rsidRPr="00692830">
        <w:t>administration, inspections, and marketing efforts</w:t>
      </w:r>
      <w:r w:rsidRPr="007B28CA">
        <w:t xml:space="preserve"> to allow </w:t>
      </w:r>
      <w:r w:rsidRPr="00692830">
        <w:t>for greater expertise and efficiencies in these areas, along with more focused</w:t>
      </w:r>
      <w:r w:rsidRPr="007B28CA">
        <w:t xml:space="preserve"> </w:t>
      </w:r>
      <w:r w:rsidRPr="00692830">
        <w:t>delivery.</w:t>
      </w:r>
      <w:r>
        <w:rPr>
          <w:rStyle w:val="FootnoteReference"/>
        </w:rPr>
        <w:footnoteReference w:id="115"/>
      </w:r>
      <w:r w:rsidRPr="00692830">
        <w:t xml:space="preserve"> </w:t>
      </w:r>
      <w:r>
        <w:t xml:space="preserve"> </w:t>
      </w:r>
    </w:p>
    <w:p w:rsidR="008959A4" w:rsidP="008959A4" w:rsidRDefault="008959A4" w14:paraId="7067DA24" w14:textId="77777777">
      <w:pPr>
        <w:pStyle w:val="Heading3"/>
      </w:pPr>
      <w:bookmarkStart w:name="_Toc82159750" w:id="170"/>
      <w:r>
        <w:lastRenderedPageBreak/>
        <w:t>Bear Valley Proposal</w:t>
      </w:r>
      <w:bookmarkEnd w:id="170"/>
    </w:p>
    <w:p w:rsidRPr="00B56B93" w:rsidR="008959A4" w:rsidP="008959A4" w:rsidRDefault="008959A4" w14:paraId="5B288825" w14:textId="77777777">
      <w:pPr>
        <w:pStyle w:val="Standard"/>
        <w:ind w:left="360"/>
      </w:pPr>
      <w:r>
        <w:t xml:space="preserve">Bear Valley does not propose any changes to the existing design or delivery model and plans to continue working with a </w:t>
      </w:r>
      <w:r w:rsidRPr="00483FD7">
        <w:t>contracted ESA program implementation contractor</w:t>
      </w:r>
      <w:r>
        <w:t>.</w:t>
      </w:r>
    </w:p>
    <w:p w:rsidR="008959A4" w:rsidP="008959A4" w:rsidRDefault="008959A4" w14:paraId="3CFBD107" w14:textId="77777777">
      <w:pPr>
        <w:pStyle w:val="Heading3"/>
      </w:pPr>
      <w:bookmarkStart w:name="_Toc82159751" w:id="171"/>
      <w:r>
        <w:t>Liberty Proposal</w:t>
      </w:r>
      <w:bookmarkEnd w:id="171"/>
    </w:p>
    <w:p w:rsidR="008959A4" w:rsidP="008959A4" w:rsidRDefault="008959A4" w14:paraId="238ECE5D" w14:textId="77777777">
      <w:pPr>
        <w:pStyle w:val="Standard"/>
      </w:pPr>
      <w:r>
        <w:t xml:space="preserve">Liberty proposes a </w:t>
      </w:r>
      <w:r w:rsidRPr="000E1860">
        <w:t>program delivery approach based on the actual needs of specific</w:t>
      </w:r>
      <w:r>
        <w:t xml:space="preserve"> </w:t>
      </w:r>
      <w:r w:rsidRPr="000E1860">
        <w:t>customers</w:t>
      </w:r>
      <w:r>
        <w:t xml:space="preserve">, modeled after </w:t>
      </w:r>
      <w:r w:rsidRPr="000E1860">
        <w:t>Southern California Ediso</w:t>
      </w:r>
      <w:r>
        <w:t>n.  It states that by l</w:t>
      </w:r>
      <w:r w:rsidRPr="000E1860">
        <w:t>everaging the</w:t>
      </w:r>
      <w:r>
        <w:t xml:space="preserve"> </w:t>
      </w:r>
      <w:r w:rsidRPr="000E1860">
        <w:t xml:space="preserve">information gained through energy education and outreach, Liberty will be able to </w:t>
      </w:r>
      <w:r>
        <w:t>target and address the specific needs of customers, to provide deeper energy savings and hardship reductions more effectively</w:t>
      </w:r>
      <w:r w:rsidRPr="000E1860">
        <w:t>.</w:t>
      </w:r>
      <w:r>
        <w:t xml:space="preserve">  Otherwise, Liberty does not propose any changes to the existing design or delivery model, and plans to continue working with </w:t>
      </w:r>
      <w:r w:rsidRPr="004C3EA8">
        <w:t>Richard Heath and Associates, Inc. (RHA) to administer its</w:t>
      </w:r>
      <w:r>
        <w:t xml:space="preserve"> </w:t>
      </w:r>
      <w:r w:rsidRPr="004C3EA8">
        <w:t xml:space="preserve">ESA </w:t>
      </w:r>
      <w:r>
        <w:t>p</w:t>
      </w:r>
      <w:r w:rsidRPr="004C3EA8">
        <w:t>rogram.</w:t>
      </w:r>
      <w:r>
        <w:t xml:space="preserve"> </w:t>
      </w:r>
      <w:r w:rsidRPr="004C3EA8">
        <w:t xml:space="preserve"> RHA’s responsibilities include coordination and management of </w:t>
      </w:r>
      <w:r>
        <w:t xml:space="preserve">the </w:t>
      </w:r>
      <w:r w:rsidRPr="004C3EA8">
        <w:t xml:space="preserve">ESA </w:t>
      </w:r>
      <w:r>
        <w:t>p</w:t>
      </w:r>
      <w:r w:rsidRPr="004C3EA8">
        <w:t>rogram</w:t>
      </w:r>
      <w:r>
        <w:t xml:space="preserve">, </w:t>
      </w:r>
      <w:r w:rsidRPr="004C3EA8">
        <w:t>subcontractors, outreach, assessments, measure installation, education, program reporting and tracking,</w:t>
      </w:r>
      <w:r>
        <w:t xml:space="preserve"> </w:t>
      </w:r>
      <w:r w:rsidRPr="004C3EA8">
        <w:t xml:space="preserve">and technical support. </w:t>
      </w:r>
      <w:r>
        <w:t xml:space="preserve"> </w:t>
      </w:r>
      <w:r w:rsidRPr="004C3EA8">
        <w:t xml:space="preserve">RHA also contracts with Project Go, a </w:t>
      </w:r>
      <w:r>
        <w:t>CBO</w:t>
      </w:r>
      <w:r w:rsidRPr="004C3EA8">
        <w:t xml:space="preserve"> to perform education, assessment, and installation work.</w:t>
      </w:r>
      <w:r>
        <w:rPr>
          <w:rStyle w:val="FootnoteReference"/>
        </w:rPr>
        <w:footnoteReference w:id="116"/>
      </w:r>
    </w:p>
    <w:p w:rsidR="008959A4" w:rsidP="008959A4" w:rsidRDefault="008959A4" w14:paraId="388F90F0" w14:textId="77777777">
      <w:pPr>
        <w:pStyle w:val="Heading3"/>
      </w:pPr>
      <w:bookmarkStart w:name="_Toc82159752" w:id="172"/>
      <w:r>
        <w:t>PacifiCorp Proposal</w:t>
      </w:r>
      <w:bookmarkEnd w:id="172"/>
    </w:p>
    <w:p w:rsidR="008959A4" w:rsidP="008959A4" w:rsidRDefault="008959A4" w14:paraId="76B82824" w14:textId="77777777">
      <w:pPr>
        <w:pStyle w:val="Standard"/>
      </w:pPr>
      <w:r w:rsidRPr="00B469EF">
        <w:t>PacifiCorp proposes a two</w:t>
      </w:r>
      <w:r>
        <w:t>-</w:t>
      </w:r>
      <w:r w:rsidRPr="00B469EF">
        <w:t>tier approach intended to increase savings</w:t>
      </w:r>
      <w:r>
        <w:t xml:space="preserve">, </w:t>
      </w:r>
      <w:r w:rsidRPr="00B469EF">
        <w:t>reduce hardships</w:t>
      </w:r>
      <w:r>
        <w:t xml:space="preserve">, and </w:t>
      </w:r>
      <w:r w:rsidRPr="00B469EF">
        <w:t>prioritize the ESA program budget.</w:t>
      </w:r>
      <w:r w:rsidRPr="00B469EF">
        <w:rPr>
          <w:vertAlign w:val="superscript"/>
        </w:rPr>
        <w:t xml:space="preserve"> </w:t>
      </w:r>
      <w:r>
        <w:rPr>
          <w:vertAlign w:val="superscript"/>
        </w:rPr>
        <w:t xml:space="preserve"> </w:t>
      </w:r>
      <w:r w:rsidRPr="00B469EF">
        <w:t>The new program design will take advantage of its advanced meter infrastructure (AMI) paired with a customer interface platform for increased energy education and engagement.</w:t>
      </w:r>
      <w:r>
        <w:t xml:space="preserve"> </w:t>
      </w:r>
      <w:r w:rsidRPr="00B469EF">
        <w:t xml:space="preserve"> With AMI technology, customers can register their electric account online and to get access to tips and tools designed to give them more control of their monthly bills; thus, increasing awareness of usage and promoting </w:t>
      </w:r>
      <w:r w:rsidRPr="00B469EF">
        <w:lastRenderedPageBreak/>
        <w:t xml:space="preserve">conservation. </w:t>
      </w:r>
      <w:r>
        <w:t xml:space="preserve"> </w:t>
      </w:r>
      <w:r w:rsidRPr="00B469EF">
        <w:t>PacifiCorp states that this will enable it to balance the cost effectiveness of program measure offerings, while increasing the HCS of households.</w:t>
      </w:r>
      <w:r>
        <w:t xml:space="preserve"> </w:t>
      </w:r>
      <w:r w:rsidRPr="00B469EF">
        <w:t xml:space="preserve"> It will also reduce hardship facing low</w:t>
      </w:r>
      <w:r>
        <w:t>-</w:t>
      </w:r>
      <w:r w:rsidRPr="00B469EF">
        <w:t xml:space="preserve">income households, while increasing energy education and engagement of program participants. </w:t>
      </w:r>
      <w:r>
        <w:t xml:space="preserve"> </w:t>
      </w:r>
      <w:r w:rsidRPr="00B469EF">
        <w:t>PacifiCorp does not propose modif</w:t>
      </w:r>
      <w:r>
        <w:t>ying</w:t>
      </w:r>
      <w:r w:rsidRPr="00B469EF">
        <w:t xml:space="preserve"> the </w:t>
      </w:r>
      <w:r>
        <w:t xml:space="preserve">actual </w:t>
      </w:r>
      <w:r w:rsidRPr="00B469EF">
        <w:t xml:space="preserve">delivery of the program </w:t>
      </w:r>
      <w:r>
        <w:t xml:space="preserve">and will continue to work with </w:t>
      </w:r>
      <w:r w:rsidRPr="00B469EF">
        <w:t>CBOs</w:t>
      </w:r>
      <w:r w:rsidRPr="0013694D">
        <w:t xml:space="preserve"> </w:t>
      </w:r>
      <w:r w:rsidRPr="00B469EF">
        <w:t>who handle most of the customer identification, outreach, education, and registration.</w:t>
      </w:r>
      <w:r w:rsidRPr="00B469EF">
        <w:rPr>
          <w:vertAlign w:val="superscript"/>
        </w:rPr>
        <w:footnoteReference w:id="117"/>
      </w:r>
    </w:p>
    <w:p w:rsidRPr="00B469EF" w:rsidR="008959A4" w:rsidP="008959A4" w:rsidRDefault="008959A4" w14:paraId="11E8EEEF" w14:textId="77777777">
      <w:pPr>
        <w:pStyle w:val="Standard"/>
      </w:pPr>
      <w:r w:rsidRPr="0038374B">
        <w:rPr>
          <w:i/>
          <w:iCs/>
          <w:u w:val="single"/>
        </w:rPr>
        <w:t>Tier 1</w:t>
      </w:r>
      <w:r w:rsidRPr="00B469EF">
        <w:t xml:space="preserve">: </w:t>
      </w:r>
      <w:r>
        <w:t xml:space="preserve"> </w:t>
      </w:r>
      <w:r w:rsidRPr="00B469EF">
        <w:t xml:space="preserve">Tier 1 will focus on updating deemed energy savings in the current measure mix using </w:t>
      </w:r>
      <w:r>
        <w:t xml:space="preserve">the </w:t>
      </w:r>
      <w:r w:rsidRPr="00B469EF">
        <w:t>2015-2017 (Phase 2) ESA Impact Evaluation results, the most recent workpapers from sources like California’s Database for Energy Efficiency Resources (DEER) and the Regional Technical Forum (RTF).</w:t>
      </w:r>
      <w:r>
        <w:t xml:space="preserve"> </w:t>
      </w:r>
      <w:r w:rsidRPr="00B469EF">
        <w:t xml:space="preserve"> Tier</w:t>
      </w:r>
      <w:r>
        <w:t> </w:t>
      </w:r>
      <w:r w:rsidRPr="00B469EF">
        <w:t>1</w:t>
      </w:r>
      <w:r>
        <w:t> </w:t>
      </w:r>
      <w:r w:rsidRPr="00B469EF">
        <w:t>program design changes include</w:t>
      </w:r>
      <w:r>
        <w:t xml:space="preserve"> u</w:t>
      </w:r>
      <w:r w:rsidRPr="00B469EF">
        <w:t xml:space="preserve">pdating refrigerator energy savings to align with </w:t>
      </w:r>
      <w:r>
        <w:t xml:space="preserve">the </w:t>
      </w:r>
      <w:r w:rsidRPr="00B469EF">
        <w:t>2015-2017 (Phase 2) ESA Impact</w:t>
      </w:r>
      <w:r w:rsidRPr="00E74D32">
        <w:t xml:space="preserve"> </w:t>
      </w:r>
      <w:r w:rsidRPr="00B469EF">
        <w:t>Evaluation results</w:t>
      </w:r>
      <w:r>
        <w:t>, r</w:t>
      </w:r>
      <w:r w:rsidRPr="00B469EF">
        <w:t>evamping duct sealing measures to align with DEER</w:t>
      </w:r>
      <w:r>
        <w:t>, r</w:t>
      </w:r>
      <w:r w:rsidRPr="00B469EF">
        <w:t>evamping flow control measures to align with DEER</w:t>
      </w:r>
      <w:r>
        <w:t>, u</w:t>
      </w:r>
      <w:r w:rsidRPr="00B469EF">
        <w:t>pdating thermostat measure to align with DEER</w:t>
      </w:r>
      <w:r>
        <w:t>, and s</w:t>
      </w:r>
      <w:r w:rsidRPr="00B469EF">
        <w:t>eparating the weatherization bundle measure into two separate main measures (air sealing and minor home repairs) to align with the California Statewide Energy Savings Assistance Program Policy and Procedures Manual, Table</w:t>
      </w:r>
      <w:r>
        <w:t> </w:t>
      </w:r>
      <w:r w:rsidRPr="00B469EF">
        <w:t>SA</w:t>
      </w:r>
      <w:r>
        <w:noBreakHyphen/>
      </w:r>
      <w:r w:rsidRPr="00B469EF">
        <w:t>1.</w:t>
      </w:r>
      <w:r w:rsidRPr="00B469EF">
        <w:rPr>
          <w:vertAlign w:val="superscript"/>
        </w:rPr>
        <w:footnoteReference w:id="118"/>
      </w:r>
    </w:p>
    <w:p w:rsidRPr="00B469EF" w:rsidR="008959A4" w:rsidP="008959A4" w:rsidRDefault="008959A4" w14:paraId="3022F20F" w14:textId="77777777">
      <w:pPr>
        <w:pStyle w:val="Standard"/>
      </w:pPr>
      <w:r w:rsidRPr="0038374B">
        <w:rPr>
          <w:i/>
          <w:iCs/>
          <w:u w:val="single"/>
        </w:rPr>
        <w:t>Tier 2</w:t>
      </w:r>
      <w:r w:rsidRPr="009643C3">
        <w:rPr>
          <w:i/>
          <w:iCs/>
        </w:rPr>
        <w:t xml:space="preserve">: </w:t>
      </w:r>
      <w:r w:rsidRPr="009643C3">
        <w:t xml:space="preserve"> T</w:t>
      </w:r>
      <w:r w:rsidRPr="00B469EF">
        <w:t>ier 2 will be offered to customers whose energy use is 300</w:t>
      </w:r>
      <w:r>
        <w:t> </w:t>
      </w:r>
      <w:r w:rsidRPr="00B469EF">
        <w:t>percentage over the baseline allowance at least once in a 12</w:t>
      </w:r>
      <w:r>
        <w:t>-</w:t>
      </w:r>
      <w:r w:rsidRPr="00B469EF">
        <w:t>month period.</w:t>
      </w:r>
      <w:r>
        <w:t xml:space="preserve"> </w:t>
      </w:r>
      <w:r w:rsidRPr="00B469EF">
        <w:t xml:space="preserve"> ESA Tier 2 customers will be offered more advance technology including ductless heat pump paired with smart thermostat for homes with space heaters </w:t>
      </w:r>
      <w:r w:rsidRPr="00B469EF">
        <w:lastRenderedPageBreak/>
        <w:t xml:space="preserve">or radiant heating systems.  </w:t>
      </w:r>
      <w:r>
        <w:t>New t</w:t>
      </w:r>
      <w:r w:rsidRPr="00B469EF">
        <w:t>ier 2 measures</w:t>
      </w:r>
      <w:r>
        <w:t xml:space="preserve"> offerings include d</w:t>
      </w:r>
      <w:r w:rsidRPr="00B469EF">
        <w:t>uctless heat pumps, heat pump replacements, heat pump conversions from electric resistance heating</w:t>
      </w:r>
      <w:r>
        <w:t>, h</w:t>
      </w:r>
      <w:r w:rsidRPr="00B469EF">
        <w:t>eat pump water heaters</w:t>
      </w:r>
      <w:r>
        <w:t>, h</w:t>
      </w:r>
      <w:r w:rsidRPr="00B469EF">
        <w:t>eat pump clothes dryers</w:t>
      </w:r>
      <w:r>
        <w:t>, b</w:t>
      </w:r>
      <w:r w:rsidRPr="00B469EF">
        <w:t>rushless fan motors</w:t>
      </w:r>
      <w:r>
        <w:t>, c</w:t>
      </w:r>
      <w:r w:rsidRPr="00B469EF">
        <w:t>entral air conditioners</w:t>
      </w:r>
      <w:r>
        <w:t>, a</w:t>
      </w:r>
      <w:r w:rsidRPr="00B469EF">
        <w:t>ir conditioning tune and clean</w:t>
      </w:r>
      <w:r>
        <w:t>, and e</w:t>
      </w:r>
      <w:r w:rsidRPr="00B469EF">
        <w:t>lectric furnace tune and clean.</w:t>
      </w:r>
      <w:r w:rsidRPr="00B469EF">
        <w:rPr>
          <w:vertAlign w:val="superscript"/>
        </w:rPr>
        <w:footnoteReference w:id="119"/>
      </w:r>
    </w:p>
    <w:p w:rsidR="008959A4" w:rsidP="008959A4" w:rsidRDefault="008959A4" w14:paraId="47ACFBDF" w14:textId="77777777">
      <w:pPr>
        <w:pStyle w:val="Heading3"/>
      </w:pPr>
      <w:bookmarkStart w:name="_Toc82159753" w:id="173"/>
      <w:r>
        <w:t>Southwest Gas Proposal</w:t>
      </w:r>
      <w:bookmarkEnd w:id="173"/>
    </w:p>
    <w:p w:rsidRPr="00B469EF" w:rsidR="008959A4" w:rsidP="008959A4" w:rsidRDefault="008959A4" w14:paraId="52476C5B" w14:textId="77777777">
      <w:pPr>
        <w:pStyle w:val="ALJBodyText"/>
      </w:pPr>
      <w:r w:rsidRPr="00B67A17">
        <w:t>So</w:t>
      </w:r>
      <w:r>
        <w:t>uthwest Gas</w:t>
      </w:r>
      <w:r w:rsidRPr="004E783A">
        <w:t xml:space="preserve"> </w:t>
      </w:r>
      <w:r>
        <w:t>proposes to continue</w:t>
      </w:r>
      <w:r w:rsidRPr="004E783A">
        <w:t xml:space="preserve"> offering low-income customers weatherization, energy efficient equipment, and health and</w:t>
      </w:r>
      <w:r>
        <w:t xml:space="preserve"> </w:t>
      </w:r>
      <w:r w:rsidRPr="004E783A">
        <w:t>safety measures while incorporating several program enhancements intended to better identify qualifying, low-income customers and achieve</w:t>
      </w:r>
      <w:r>
        <w:t xml:space="preserve"> </w:t>
      </w:r>
      <w:r w:rsidRPr="004E783A">
        <w:t xml:space="preserve">deeper energy savings while also offering important </w:t>
      </w:r>
      <w:r>
        <w:t xml:space="preserve">HCS </w:t>
      </w:r>
      <w:r w:rsidRPr="004E783A">
        <w:t>benefits for low</w:t>
      </w:r>
      <w:r>
        <w:t xml:space="preserve"> </w:t>
      </w:r>
      <w:r w:rsidRPr="004E783A">
        <w:t>income and disadvantaged participants</w:t>
      </w:r>
      <w:r>
        <w:t>,</w:t>
      </w:r>
      <w:r>
        <w:rPr>
          <w:rStyle w:val="FootnoteReference"/>
        </w:rPr>
        <w:footnoteReference w:id="120"/>
      </w:r>
      <w:r>
        <w:t xml:space="preserve"> including the use of data analytics, such as </w:t>
      </w:r>
      <w:r w:rsidRPr="0051691C">
        <w:t>PRIZM data modelling</w:t>
      </w:r>
      <w:r>
        <w:t>,</w:t>
      </w:r>
      <w:r w:rsidRPr="0051691C">
        <w:t xml:space="preserve"> to help identify households that are ESA eligible but haven’t participated.</w:t>
      </w:r>
      <w:r>
        <w:rPr>
          <w:rStyle w:val="FootnoteReference"/>
        </w:rPr>
        <w:footnoteReference w:id="121"/>
      </w:r>
      <w:r w:rsidRPr="0051691C">
        <w:t xml:space="preserve"> </w:t>
      </w:r>
      <w:r>
        <w:t xml:space="preserve"> </w:t>
      </w:r>
      <w:r w:rsidRPr="00692830">
        <w:t xml:space="preserve">Southwest Gas </w:t>
      </w:r>
      <w:r>
        <w:t>will continue to</w:t>
      </w:r>
      <w:r w:rsidRPr="00692830">
        <w:t xml:space="preserve"> contract with third-party implementers for program</w:t>
      </w:r>
      <w:r>
        <w:t xml:space="preserve"> </w:t>
      </w:r>
      <w:r w:rsidRPr="00692830">
        <w:t>administration, inspections, and marketing efforts</w:t>
      </w:r>
      <w:r>
        <w:t xml:space="preserve"> to allow </w:t>
      </w:r>
      <w:r w:rsidRPr="00692830">
        <w:t>for greater expertise and efficiencies in these areas, along with more focused</w:t>
      </w:r>
      <w:r>
        <w:t xml:space="preserve"> </w:t>
      </w:r>
      <w:r w:rsidRPr="00692830">
        <w:t xml:space="preserve">delivery. </w:t>
      </w:r>
      <w:r>
        <w:t xml:space="preserve"> </w:t>
      </w:r>
      <w:r w:rsidRPr="00692830">
        <w:t>Southwest Gas does not anticipate the need for new solicitations for these services</w:t>
      </w:r>
      <w:r>
        <w:t xml:space="preserve"> for </w:t>
      </w:r>
      <w:r w:rsidRPr="00692830">
        <w:t>PYs 2021-2026</w:t>
      </w:r>
      <w:r>
        <w:t xml:space="preserve"> and </w:t>
      </w:r>
      <w:r w:rsidRPr="00692830">
        <w:t>plans to continue with these program administration</w:t>
      </w:r>
      <w:r>
        <w:t xml:space="preserve"> </w:t>
      </w:r>
      <w:r w:rsidRPr="00692830">
        <w:t>and delivery efforts.</w:t>
      </w:r>
      <w:r>
        <w:rPr>
          <w:rStyle w:val="FootnoteReference"/>
        </w:rPr>
        <w:footnoteReference w:id="122"/>
      </w:r>
      <w:r>
        <w:rPr>
          <w:szCs w:val="26"/>
        </w:rPr>
        <w:t xml:space="preserve"> </w:t>
      </w:r>
    </w:p>
    <w:p w:rsidR="008959A4" w:rsidP="008959A4" w:rsidRDefault="008959A4" w14:paraId="1914D0CD" w14:textId="77777777">
      <w:pPr>
        <w:pStyle w:val="Heading3"/>
      </w:pPr>
      <w:bookmarkStart w:name="_Toc82159754" w:id="174"/>
      <w:r>
        <w:lastRenderedPageBreak/>
        <w:t>Party Comments</w:t>
      </w:r>
      <w:bookmarkEnd w:id="174"/>
    </w:p>
    <w:p w:rsidR="008959A4" w:rsidP="008959A4" w:rsidRDefault="008959A4" w14:paraId="4E9B17F9" w14:textId="77777777">
      <w:pPr>
        <w:pStyle w:val="Heading4"/>
        <w:ind w:left="3600" w:hanging="1260"/>
      </w:pPr>
      <w:bookmarkStart w:name="_Toc82159755" w:id="175"/>
      <w:r>
        <w:t>EEC &amp; Free Energy</w:t>
      </w:r>
      <w:bookmarkEnd w:id="175"/>
      <w:r>
        <w:t xml:space="preserve"> </w:t>
      </w:r>
    </w:p>
    <w:p w:rsidR="008959A4" w:rsidP="008959A4" w:rsidRDefault="008959A4" w14:paraId="2EF37A95" w14:textId="77777777">
      <w:pPr>
        <w:pStyle w:val="Standard"/>
      </w:pPr>
      <w:r>
        <w:rPr>
          <w:b/>
          <w:bCs/>
          <w:i/>
          <w:iCs/>
          <w:u w:val="single"/>
        </w:rPr>
        <w:t>Allow ESA Contractors to Offer Other</w:t>
      </w:r>
      <w:r w:rsidRPr="00E507C4">
        <w:rPr>
          <w:b/>
          <w:bCs/>
          <w:i/>
          <w:iCs/>
          <w:u w:val="single"/>
        </w:rPr>
        <w:t xml:space="preserve"> Programs</w:t>
      </w:r>
      <w:r>
        <w:rPr>
          <w:b/>
          <w:bCs/>
          <w:i/>
          <w:iCs/>
          <w:u w:val="single"/>
        </w:rPr>
        <w:t>, Including Affordable Internet and Solar</w:t>
      </w:r>
      <w:r>
        <w:t xml:space="preserve">:  EEC and Free Energy recommend that </w:t>
      </w:r>
      <w:r w:rsidRPr="00715610">
        <w:t xml:space="preserve">ESA </w:t>
      </w:r>
      <w:r>
        <w:t>c</w:t>
      </w:r>
      <w:r w:rsidRPr="00715610">
        <w:t xml:space="preserve">ontractors </w:t>
      </w:r>
      <w:r>
        <w:t>be allowed to of</w:t>
      </w:r>
      <w:r w:rsidRPr="00715610">
        <w:t>fer</w:t>
      </w:r>
      <w:r>
        <w:t xml:space="preserve"> and deliver o</w:t>
      </w:r>
      <w:r w:rsidRPr="00715610">
        <w:t>ther no</w:t>
      </w:r>
      <w:r>
        <w:t xml:space="preserve"> </w:t>
      </w:r>
      <w:r w:rsidRPr="00715610">
        <w:t>cost</w:t>
      </w:r>
      <w:r>
        <w:t xml:space="preserve"> </w:t>
      </w:r>
      <w:r w:rsidRPr="00715610">
        <w:t xml:space="preserve">Commission-approved programs to the low-income households as part of </w:t>
      </w:r>
      <w:r>
        <w:t xml:space="preserve">their </w:t>
      </w:r>
      <w:r w:rsidRPr="00715610">
        <w:t>interactions with low-income ESA families</w:t>
      </w:r>
      <w:r>
        <w:t xml:space="preserve">, stating that contractors are currently not allowed to offer other programs to the customer as </w:t>
      </w:r>
      <w:r w:rsidRPr="00715610">
        <w:t>part of any ESA-related effort or even separately to ESA participants.</w:t>
      </w:r>
      <w:r>
        <w:t xml:space="preserve">  EEC and Free Energy state that this </w:t>
      </w:r>
      <w:r w:rsidRPr="00715610">
        <w:t>ability to offer additional programs should be allowed both for other</w:t>
      </w:r>
      <w:r>
        <w:t xml:space="preserve"> </w:t>
      </w:r>
      <w:r w:rsidRPr="00715610">
        <w:t>programs offered by the host SMJU and for programs offered by other overlapping</w:t>
      </w:r>
      <w:r>
        <w:t xml:space="preserve"> </w:t>
      </w:r>
      <w:r w:rsidRPr="00715610">
        <w:t>utilities.</w:t>
      </w:r>
      <w:r>
        <w:t xml:space="preserve">  </w:t>
      </w:r>
      <w:r w:rsidRPr="00715610">
        <w:t>An overlapping utility should include all Commission-regulated energy, water,</w:t>
      </w:r>
      <w:r>
        <w:t xml:space="preserve"> </w:t>
      </w:r>
      <w:r w:rsidRPr="00715610">
        <w:t xml:space="preserve">and communications entities serving those families. </w:t>
      </w:r>
      <w:r>
        <w:t xml:space="preserve"> </w:t>
      </w:r>
      <w:r w:rsidRPr="00715610">
        <w:t>There are also programs</w:t>
      </w:r>
      <w:r>
        <w:t xml:space="preserve"> </w:t>
      </w:r>
      <w:r w:rsidRPr="00715610">
        <w:t>sponsored and funded by the California Energy Commission, by the State of California</w:t>
      </w:r>
      <w:r>
        <w:t xml:space="preserve"> </w:t>
      </w:r>
      <w:r w:rsidRPr="00715610">
        <w:t>and its regulatory entities, the federal government, and others that should be allowed,</w:t>
      </w:r>
      <w:r>
        <w:t xml:space="preserve"> </w:t>
      </w:r>
      <w:r w:rsidRPr="00715610">
        <w:t>a</w:t>
      </w:r>
      <w:r>
        <w:t>nd</w:t>
      </w:r>
      <w:r w:rsidRPr="00715610">
        <w:t xml:space="preserve"> may be approved by the Commission (perhaps through a request to the CPUC's</w:t>
      </w:r>
      <w:r>
        <w:t xml:space="preserve"> </w:t>
      </w:r>
      <w:r w:rsidRPr="00715610">
        <w:t>Energy Division).</w:t>
      </w:r>
      <w:r w:rsidRPr="00F374BE">
        <w:t xml:space="preserve"> </w:t>
      </w:r>
      <w:r>
        <w:t xml:space="preserve"> They claim that t</w:t>
      </w:r>
      <w:r w:rsidRPr="00715610">
        <w:t xml:space="preserve">he ability to offer </w:t>
      </w:r>
      <w:r>
        <w:t xml:space="preserve">other </w:t>
      </w:r>
      <w:r w:rsidRPr="00715610">
        <w:t>programs would greatly</w:t>
      </w:r>
      <w:r>
        <w:t xml:space="preserve"> </w:t>
      </w:r>
      <w:r w:rsidRPr="00715610">
        <w:t>enhance energy savings, low-income benefits, and cost-effectiveness</w:t>
      </w:r>
      <w:r>
        <w:t xml:space="preserve">, and that </w:t>
      </w:r>
      <w:r w:rsidRPr="00715610">
        <w:t xml:space="preserve">ESA </w:t>
      </w:r>
      <w:r>
        <w:t>c</w:t>
      </w:r>
      <w:r w:rsidRPr="00715610">
        <w:t xml:space="preserve">ontractors are in the best position to be a </w:t>
      </w:r>
      <w:r>
        <w:t>“</w:t>
      </w:r>
      <w:r w:rsidRPr="00715610">
        <w:t>single point of contact</w:t>
      </w:r>
      <w:r>
        <w:t>”</w:t>
      </w:r>
      <w:r w:rsidRPr="00715610">
        <w:t xml:space="preserve"> to low-income</w:t>
      </w:r>
      <w:r>
        <w:t xml:space="preserve"> </w:t>
      </w:r>
      <w:r w:rsidRPr="00715610">
        <w:t>families for all Commission-approved programs.</w:t>
      </w:r>
      <w:r>
        <w:rPr>
          <w:rStyle w:val="FootnoteReference"/>
        </w:rPr>
        <w:footnoteReference w:id="123"/>
      </w:r>
      <w:r>
        <w:t xml:space="preserve">  Additionally, EEC and Free Energy recommend that an</w:t>
      </w:r>
      <w:r w:rsidRPr="00AF6683">
        <w:t>y costs incurred would not come from ESA budgets but</w:t>
      </w:r>
      <w:r>
        <w:t xml:space="preserve"> </w:t>
      </w:r>
      <w:r w:rsidRPr="00AF6683">
        <w:t>from those of other programs</w:t>
      </w:r>
      <w:r>
        <w:t>, and that programs offered by the contractors would be limited to those that would not require any</w:t>
      </w:r>
      <w:r w:rsidRPr="00AF6683">
        <w:t xml:space="preserve"> customer co</w:t>
      </w:r>
      <w:r>
        <w:noBreakHyphen/>
      </w:r>
      <w:r w:rsidRPr="00AF6683">
        <w:t>payment or contribution.</w:t>
      </w:r>
      <w:r>
        <w:rPr>
          <w:rStyle w:val="FootnoteReference"/>
        </w:rPr>
        <w:footnoteReference w:id="124"/>
      </w:r>
      <w:r w:rsidRPr="00AF6683">
        <w:t xml:space="preserve"> </w:t>
      </w:r>
    </w:p>
    <w:p w:rsidRPr="00AF6683" w:rsidR="008959A4" w:rsidP="008959A4" w:rsidRDefault="008959A4" w14:paraId="4DB278C6" w14:textId="77777777">
      <w:pPr>
        <w:pStyle w:val="Standard"/>
      </w:pPr>
      <w:r>
        <w:rPr>
          <w:b/>
          <w:bCs/>
          <w:i/>
          <w:iCs/>
          <w:u w:val="single"/>
        </w:rPr>
        <w:lastRenderedPageBreak/>
        <w:t>Allow ESA Contractors to Offer</w:t>
      </w:r>
      <w:r w:rsidRPr="00AF6683">
        <w:rPr>
          <w:b/>
          <w:bCs/>
          <w:i/>
          <w:iCs/>
          <w:u w:val="single"/>
        </w:rPr>
        <w:t xml:space="preserve"> Decarbonization, Safety and Other Improvements Through Budget </w:t>
      </w:r>
      <w:r>
        <w:rPr>
          <w:b/>
          <w:bCs/>
          <w:i/>
          <w:iCs/>
          <w:u w:val="single"/>
        </w:rPr>
        <w:t>“</w:t>
      </w:r>
      <w:r w:rsidRPr="00AF6683">
        <w:rPr>
          <w:b/>
          <w:bCs/>
          <w:i/>
          <w:iCs/>
          <w:u w:val="single"/>
        </w:rPr>
        <w:t>Layering</w:t>
      </w:r>
      <w:r>
        <w:rPr>
          <w:b/>
          <w:bCs/>
          <w:i/>
          <w:iCs/>
          <w:u w:val="single"/>
        </w:rPr>
        <w:t>”</w:t>
      </w:r>
      <w:r>
        <w:t>:  EEC and Free Energy recommend that the</w:t>
      </w:r>
      <w:r w:rsidRPr="00AF6683">
        <w:t xml:space="preserve"> ESA program and ESA </w:t>
      </w:r>
      <w:r>
        <w:t>c</w:t>
      </w:r>
      <w:r w:rsidRPr="00AF6683">
        <w:t>ontractors be allowed and encouraged to use other</w:t>
      </w:r>
      <w:r>
        <w:t xml:space="preserve"> Commission </w:t>
      </w:r>
      <w:r w:rsidRPr="00AF6683">
        <w:t xml:space="preserve">approved </w:t>
      </w:r>
      <w:r>
        <w:t>u</w:t>
      </w:r>
      <w:r w:rsidRPr="00AF6683">
        <w:t xml:space="preserve">tility-sponsored or </w:t>
      </w:r>
      <w:r>
        <w:t>s</w:t>
      </w:r>
      <w:r w:rsidRPr="00AF6683">
        <w:t>tate-sponsored programs to provide additional no-cost</w:t>
      </w:r>
      <w:r>
        <w:t xml:space="preserve"> </w:t>
      </w:r>
      <w:r w:rsidRPr="00AF6683">
        <w:t>services to low-income families and to access that funding through incentives layering, if</w:t>
      </w:r>
      <w:r>
        <w:t xml:space="preserve"> </w:t>
      </w:r>
      <w:r w:rsidRPr="00AF6683">
        <w:t>available.</w:t>
      </w:r>
      <w:r w:rsidRPr="00AF6683">
        <w:rPr>
          <w:rFonts w:ascii="Calibri" w:hAnsi="Calibri" w:cs="Calibri"/>
          <w:sz w:val="24"/>
          <w:szCs w:val="24"/>
        </w:rPr>
        <w:t xml:space="preserve"> </w:t>
      </w:r>
      <w:r>
        <w:rPr>
          <w:rFonts w:ascii="Calibri" w:hAnsi="Calibri" w:cs="Calibri"/>
          <w:sz w:val="24"/>
          <w:szCs w:val="24"/>
        </w:rPr>
        <w:t xml:space="preserve"> </w:t>
      </w:r>
      <w:r>
        <w:t xml:space="preserve">Examples provided include allocating funds from the </w:t>
      </w:r>
      <w:r w:rsidRPr="00AF6683">
        <w:t xml:space="preserve">Decarbonization Funds </w:t>
      </w:r>
      <w:r>
        <w:t xml:space="preserve">to provide </w:t>
      </w:r>
      <w:r w:rsidRPr="00AF6683">
        <w:t>heat pump water heaters and heat</w:t>
      </w:r>
      <w:r>
        <w:t xml:space="preserve"> </w:t>
      </w:r>
      <w:r w:rsidRPr="00AF6683">
        <w:t>pump HVAC systems</w:t>
      </w:r>
      <w:r>
        <w:t xml:space="preserve"> in the ESA program or allocating funds from the California </w:t>
      </w:r>
      <w:r w:rsidRPr="00AF6683">
        <w:t>Earthquake Authority to provide strapping of all</w:t>
      </w:r>
      <w:r>
        <w:t xml:space="preserve"> </w:t>
      </w:r>
      <w:r w:rsidRPr="00AF6683">
        <w:t>water heaters within 350+ earthquake-prone zip codes</w:t>
      </w:r>
      <w:r>
        <w:t xml:space="preserve"> for ESA customers.  EEC and Free Energy state that with p</w:t>
      </w:r>
      <w:r w:rsidRPr="00AF6683">
        <w:t>ermission from the ESA</w:t>
      </w:r>
      <w:r>
        <w:t xml:space="preserve"> p</w:t>
      </w:r>
      <w:r w:rsidRPr="00AF6683">
        <w:t xml:space="preserve">rogram, these </w:t>
      </w:r>
      <w:r>
        <w:t xml:space="preserve">services </w:t>
      </w:r>
      <w:r w:rsidRPr="00AF6683">
        <w:t>could be offered and installed to help low-income families within those zip</w:t>
      </w:r>
      <w:r>
        <w:t xml:space="preserve"> </w:t>
      </w:r>
      <w:r w:rsidRPr="00AF6683">
        <w:t xml:space="preserve">codes as part of the ESA </w:t>
      </w:r>
      <w:r>
        <w:t>p</w:t>
      </w:r>
      <w:r w:rsidRPr="00AF6683">
        <w:t>rogram</w:t>
      </w:r>
      <w:r>
        <w:t xml:space="preserve"> (but funded elsewhere).  Therefore, EEC and Free Energy recommend that the </w:t>
      </w:r>
      <w:r w:rsidRPr="00AF6683">
        <w:t xml:space="preserve">ESA </w:t>
      </w:r>
      <w:r>
        <w:t>p</w:t>
      </w:r>
      <w:r w:rsidRPr="00AF6683">
        <w:t>rogram seek out and approve the use of such</w:t>
      </w:r>
      <w:r>
        <w:t xml:space="preserve"> </w:t>
      </w:r>
      <w:r w:rsidRPr="00AF6683">
        <w:t xml:space="preserve">non-ESA funds for ESA-related programs and use </w:t>
      </w:r>
      <w:r>
        <w:t>“</w:t>
      </w:r>
      <w:r w:rsidRPr="00AF6683">
        <w:t>layering</w:t>
      </w:r>
      <w:r>
        <w:t>”</w:t>
      </w:r>
      <w:r w:rsidRPr="00AF6683">
        <w:t xml:space="preserve"> of other funds as may be available.</w:t>
      </w:r>
      <w:r>
        <w:rPr>
          <w:rStyle w:val="FootnoteReference"/>
        </w:rPr>
        <w:footnoteReference w:id="125"/>
      </w:r>
    </w:p>
    <w:p w:rsidR="008959A4" w:rsidP="008959A4" w:rsidRDefault="008959A4" w14:paraId="52D02B2E" w14:textId="77777777">
      <w:pPr>
        <w:pStyle w:val="Standard"/>
      </w:pPr>
      <w:r>
        <w:rPr>
          <w:b/>
          <w:bCs/>
          <w:i/>
          <w:iCs/>
          <w:u w:val="single"/>
        </w:rPr>
        <w:t>Removing Property Owner Waivers/Approvals</w:t>
      </w:r>
      <w:r>
        <w:t>:  EEC and Free Energy claim that one of the biggest “</w:t>
      </w:r>
      <w:r w:rsidRPr="00B7357A">
        <w:t>hold-ups</w:t>
      </w:r>
      <w:r>
        <w:t>”</w:t>
      </w:r>
      <w:r w:rsidRPr="00B7357A">
        <w:t xml:space="preserve"> on</w:t>
      </w:r>
      <w:r>
        <w:t xml:space="preserve"> </w:t>
      </w:r>
      <w:r w:rsidRPr="00B7357A">
        <w:t xml:space="preserve">increasing </w:t>
      </w:r>
      <w:r>
        <w:t xml:space="preserve">ESA program </w:t>
      </w:r>
      <w:r w:rsidRPr="00B7357A">
        <w:t>participation</w:t>
      </w:r>
      <w:r>
        <w:t xml:space="preserve"> is due to the </w:t>
      </w:r>
      <w:r w:rsidRPr="00B7357A">
        <w:t>Property</w:t>
      </w:r>
      <w:r>
        <w:t xml:space="preserve"> </w:t>
      </w:r>
      <w:r w:rsidRPr="00B7357A">
        <w:t xml:space="preserve">Owner </w:t>
      </w:r>
      <w:r>
        <w:t>Waiver</w:t>
      </w:r>
      <w:r w:rsidRPr="00E263E4">
        <w:t>/Approval</w:t>
      </w:r>
      <w:r>
        <w:t xml:space="preserve"> </w:t>
      </w:r>
      <w:r w:rsidRPr="00E263E4">
        <w:t>(POW or POA)</w:t>
      </w:r>
      <w:r>
        <w:t xml:space="preserve"> </w:t>
      </w:r>
      <w:r w:rsidRPr="00B7357A">
        <w:t xml:space="preserve">that </w:t>
      </w:r>
      <w:r>
        <w:t xml:space="preserve">must be </w:t>
      </w:r>
      <w:r w:rsidRPr="00B7357A">
        <w:t>sign</w:t>
      </w:r>
      <w:r>
        <w:t xml:space="preserve">ed for a unit to receive treatment and recommend that these </w:t>
      </w:r>
      <w:r w:rsidRPr="00B7357A">
        <w:t>requirements</w:t>
      </w:r>
      <w:r>
        <w:t xml:space="preserve"> be eliminated</w:t>
      </w:r>
      <w:r w:rsidRPr="00B7357A">
        <w:t>.</w:t>
      </w:r>
      <w:r>
        <w:rPr>
          <w:rStyle w:val="FootnoteReference"/>
        </w:rPr>
        <w:footnoteReference w:id="126"/>
      </w:r>
      <w:r>
        <w:t xml:space="preserve">  They claim that</w:t>
      </w:r>
      <w:r w:rsidRPr="00E263E4">
        <w:t xml:space="preserve"> POA</w:t>
      </w:r>
      <w:r>
        <w:t xml:space="preserve">s are </w:t>
      </w:r>
      <w:r w:rsidRPr="00E263E4">
        <w:t>not required by California law and is</w:t>
      </w:r>
      <w:r>
        <w:t xml:space="preserve"> </w:t>
      </w:r>
      <w:r w:rsidRPr="00E263E4">
        <w:t>unique to the ESA</w:t>
      </w:r>
      <w:r>
        <w:t xml:space="preserve"> </w:t>
      </w:r>
      <w:r w:rsidRPr="00E263E4">
        <w:t xml:space="preserve">program, among all contractor-consumer </w:t>
      </w:r>
      <w:r w:rsidRPr="00E263E4">
        <w:lastRenderedPageBreak/>
        <w:t>relationships.</w:t>
      </w:r>
      <w:r>
        <w:t xml:space="preserve">  But in</w:t>
      </w:r>
      <w:r w:rsidRPr="00F138A1">
        <w:t xml:space="preserve"> the interim, </w:t>
      </w:r>
      <w:r>
        <w:t xml:space="preserve">they recommend that </w:t>
      </w:r>
      <w:r w:rsidRPr="00F138A1">
        <w:t>the SMJUs can and should seek out the landlords and secure the required</w:t>
      </w:r>
      <w:r>
        <w:t xml:space="preserve"> </w:t>
      </w:r>
      <w:r w:rsidRPr="00F138A1">
        <w:t>POWs.</w:t>
      </w:r>
      <w:r>
        <w:t xml:space="preserve"> </w:t>
      </w:r>
    </w:p>
    <w:p w:rsidRPr="00F138A1" w:rsidR="008959A4" w:rsidP="008959A4" w:rsidRDefault="008959A4" w14:paraId="17156917" w14:textId="77777777">
      <w:pPr>
        <w:pStyle w:val="Standard"/>
      </w:pPr>
      <w:r>
        <w:rPr>
          <w:b/>
          <w:bCs/>
          <w:i/>
          <w:iCs/>
          <w:u w:val="single"/>
        </w:rPr>
        <w:t>Revising the Go Back Policy</w:t>
      </w:r>
      <w:r>
        <w:t>:  EEC and Free Energy</w:t>
      </w:r>
      <w:r w:rsidRPr="00F00078">
        <w:t xml:space="preserve"> recommend</w:t>
      </w:r>
      <w:r>
        <w:t xml:space="preserve"> </w:t>
      </w:r>
      <w:r w:rsidRPr="00F00078">
        <w:t xml:space="preserve">that already treated residences </w:t>
      </w:r>
      <w:r>
        <w:t xml:space="preserve">should </w:t>
      </w:r>
      <w:r w:rsidRPr="00F00078">
        <w:t>be upgraded to the new, higher levels of</w:t>
      </w:r>
      <w:r>
        <w:t xml:space="preserve"> comprehensiveness stating that p</w:t>
      </w:r>
      <w:r w:rsidRPr="00F00078">
        <w:t>reviously weatherized</w:t>
      </w:r>
      <w:r>
        <w:t xml:space="preserve"> households may not have the most up to date improvements because:  </w:t>
      </w:r>
      <w:r w:rsidRPr="00F00078">
        <w:t>1) the measure was not part of the program at</w:t>
      </w:r>
      <w:r>
        <w:t xml:space="preserve"> </w:t>
      </w:r>
      <w:r w:rsidRPr="00F00078">
        <w:t>installation or was not allowed for that residence at that time</w:t>
      </w:r>
      <w:r>
        <w:t xml:space="preserve">, </w:t>
      </w:r>
      <w:r w:rsidRPr="00F00078">
        <w:t>2)</w:t>
      </w:r>
      <w:r>
        <w:t> </w:t>
      </w:r>
      <w:r w:rsidRPr="00F00078">
        <w:t>the tenant or the landlord</w:t>
      </w:r>
      <w:r>
        <w:t xml:space="preserve"> </w:t>
      </w:r>
      <w:r w:rsidRPr="00F00078">
        <w:t>rejected the measure when initially offered</w:t>
      </w:r>
      <w:r>
        <w:t xml:space="preserve">, </w:t>
      </w:r>
      <w:r w:rsidRPr="00F00078">
        <w:t>3)</w:t>
      </w:r>
      <w:r>
        <w:t> </w:t>
      </w:r>
      <w:r w:rsidRPr="00F00078">
        <w:t>a</w:t>
      </w:r>
      <w:r>
        <w:t> </w:t>
      </w:r>
      <w:r w:rsidRPr="00F00078">
        <w:t>prior tenant may have removed the</w:t>
      </w:r>
      <w:r>
        <w:t xml:space="preserve"> </w:t>
      </w:r>
      <w:r w:rsidRPr="00F00078">
        <w:t>improvement for any number of reasons</w:t>
      </w:r>
      <w:r>
        <w:t xml:space="preserve">, </w:t>
      </w:r>
      <w:r w:rsidRPr="00F00078">
        <w:t>4)</w:t>
      </w:r>
      <w:r>
        <w:t> </w:t>
      </w:r>
      <w:r w:rsidRPr="00F00078">
        <w:t>the original measure installed may have come to</w:t>
      </w:r>
      <w:r>
        <w:t xml:space="preserve"> </w:t>
      </w:r>
      <w:r w:rsidRPr="00F00078">
        <w:t>the end of its useful life</w:t>
      </w:r>
      <w:r>
        <w:t xml:space="preserve">, or </w:t>
      </w:r>
      <w:r w:rsidRPr="00F00078">
        <w:t>5)</w:t>
      </w:r>
      <w:r>
        <w:t> </w:t>
      </w:r>
      <w:r w:rsidRPr="00F00078">
        <w:t>then current safety concerns</w:t>
      </w:r>
      <w:r>
        <w:t xml:space="preserve"> </w:t>
      </w:r>
      <w:r w:rsidRPr="00F00078">
        <w:t>may have limited the measures installed at that time.</w:t>
      </w:r>
      <w:r>
        <w:t xml:space="preserve">  EEC and Free Energy state that the C</w:t>
      </w:r>
      <w:r w:rsidRPr="00F00078">
        <w:t>ommission has not specifically restrict</w:t>
      </w:r>
      <w:r>
        <w:t>ed</w:t>
      </w:r>
      <w:r w:rsidRPr="00F00078">
        <w:t xml:space="preserve"> individual utilities from implementing their own</w:t>
      </w:r>
      <w:r>
        <w:t xml:space="preserve"> restriction on go-back treatments, with some implementing a 2002 threshold, while others </w:t>
      </w:r>
      <w:r w:rsidRPr="00F00078">
        <w:t xml:space="preserve">go back sooner than </w:t>
      </w:r>
      <w:r>
        <w:t>one</w:t>
      </w:r>
      <w:r w:rsidRPr="00F00078">
        <w:t xml:space="preserve"> year, </w:t>
      </w:r>
      <w:r>
        <w:t>five</w:t>
      </w:r>
      <w:r w:rsidRPr="00F00078">
        <w:t xml:space="preserve"> years, </w:t>
      </w:r>
      <w:r>
        <w:t>or</w:t>
      </w:r>
      <w:r w:rsidRPr="00F00078">
        <w:t xml:space="preserve"> </w:t>
      </w:r>
      <w:r>
        <w:t>eight</w:t>
      </w:r>
      <w:r w:rsidRPr="00F00078">
        <w:t xml:space="preserve"> years.</w:t>
      </w:r>
      <w:r>
        <w:t xml:space="preserve">  They also claim that some of the SMJUs “punish” go backs </w:t>
      </w:r>
      <w:r w:rsidRPr="00F00078">
        <w:t xml:space="preserve">by paying </w:t>
      </w:r>
      <w:r>
        <w:t>c</w:t>
      </w:r>
      <w:r w:rsidRPr="00F00078">
        <w:t>ontractors a lesser amount for them.</w:t>
      </w:r>
      <w:r>
        <w:t xml:space="preserve"> </w:t>
      </w:r>
      <w:r w:rsidRPr="007D6CB4">
        <w:t xml:space="preserve"> </w:t>
      </w:r>
      <w:r>
        <w:t xml:space="preserve">Therefore EEC and Free Energy recommend that 1) </w:t>
      </w:r>
      <w:r w:rsidRPr="00F00078">
        <w:t>all restrictions on providing needed ESA energy</w:t>
      </w:r>
      <w:r>
        <w:t xml:space="preserve"> </w:t>
      </w:r>
      <w:r w:rsidRPr="00F00078">
        <w:t>improvements for previously treated residences be eliminated effective no later than the start</w:t>
      </w:r>
      <w:r>
        <w:t xml:space="preserve"> </w:t>
      </w:r>
      <w:r w:rsidRPr="00F00078">
        <w:t>of 2021</w:t>
      </w:r>
      <w:r>
        <w:t xml:space="preserve">, 2) </w:t>
      </w:r>
      <w:r w:rsidRPr="00F00078">
        <w:t xml:space="preserve">no monetary penalties </w:t>
      </w:r>
      <w:r>
        <w:t xml:space="preserve">should </w:t>
      </w:r>
      <w:r w:rsidRPr="00F00078">
        <w:t>be assessed for installing needed measures in such</w:t>
      </w:r>
      <w:r>
        <w:t xml:space="preserve"> </w:t>
      </w:r>
      <w:r w:rsidRPr="00F00078">
        <w:t>residences</w:t>
      </w:r>
      <w:r>
        <w:t xml:space="preserve">, 3) </w:t>
      </w:r>
      <w:r w:rsidRPr="00F00078">
        <w:t>pricing for outreach, enrollment, and education required be reasonable and not</w:t>
      </w:r>
      <w:r>
        <w:t xml:space="preserve"> </w:t>
      </w:r>
      <w:r w:rsidRPr="00F00078">
        <w:t xml:space="preserve">be used to discourage treatment of </w:t>
      </w:r>
      <w:r>
        <w:t>g</w:t>
      </w:r>
      <w:r w:rsidRPr="00F00078">
        <w:t>o-</w:t>
      </w:r>
      <w:r>
        <w:t>b</w:t>
      </w:r>
      <w:r w:rsidRPr="00F00078">
        <w:t>acks</w:t>
      </w:r>
      <w:r>
        <w:t>,</w:t>
      </w:r>
      <w:r w:rsidRPr="00F00078">
        <w:t xml:space="preserve"> and</w:t>
      </w:r>
      <w:r>
        <w:t xml:space="preserve"> 4) </w:t>
      </w:r>
      <w:r w:rsidRPr="00F00078">
        <w:t>project funding and goal setting shall not</w:t>
      </w:r>
      <w:r>
        <w:t xml:space="preserve"> </w:t>
      </w:r>
      <w:r w:rsidRPr="00F00078">
        <w:t xml:space="preserve">be used to discourage or limit the treatment of </w:t>
      </w:r>
      <w:r>
        <w:t>g</w:t>
      </w:r>
      <w:r w:rsidRPr="00F00078">
        <w:t>o-</w:t>
      </w:r>
      <w:r>
        <w:t>b</w:t>
      </w:r>
      <w:r w:rsidRPr="00F00078">
        <w:t>acks.</w:t>
      </w:r>
      <w:r>
        <w:rPr>
          <w:rStyle w:val="FootnoteReference"/>
        </w:rPr>
        <w:footnoteReference w:id="127"/>
      </w:r>
    </w:p>
    <w:p w:rsidRPr="00EC165A" w:rsidR="008959A4" w:rsidP="008959A4" w:rsidRDefault="008959A4" w14:paraId="2B6D67FB" w14:textId="77777777">
      <w:pPr>
        <w:pStyle w:val="Heading3"/>
      </w:pPr>
      <w:bookmarkStart w:name="_Toc82159756" w:id="176"/>
      <w:r w:rsidRPr="00EC165A">
        <w:lastRenderedPageBreak/>
        <w:t>SMJU Responses</w:t>
      </w:r>
      <w:bookmarkEnd w:id="176"/>
    </w:p>
    <w:p w:rsidR="008959A4" w:rsidP="008959A4" w:rsidRDefault="008959A4" w14:paraId="1F3ACCBF" w14:textId="77777777">
      <w:pPr>
        <w:pStyle w:val="Heading4"/>
        <w:ind w:left="3600" w:hanging="1260"/>
      </w:pPr>
      <w:bookmarkStart w:name="_Toc82159757" w:id="177"/>
      <w:r>
        <w:t>Southwest Gas</w:t>
      </w:r>
      <w:r w:rsidRPr="00D03E26">
        <w:t>, P</w:t>
      </w:r>
      <w:r>
        <w:t>acifiCorp</w:t>
      </w:r>
      <w:r w:rsidRPr="00D03E26">
        <w:t xml:space="preserve">, </w:t>
      </w:r>
      <w:r>
        <w:br/>
      </w:r>
      <w:r w:rsidRPr="00D03E26">
        <w:t>L</w:t>
      </w:r>
      <w:r>
        <w:t>iberty</w:t>
      </w:r>
      <w:r w:rsidRPr="00D03E26">
        <w:t>, B</w:t>
      </w:r>
      <w:r>
        <w:t xml:space="preserve">ear Valley (Joint SMJUs) </w:t>
      </w:r>
      <w:r>
        <w:br/>
        <w:t>Response</w:t>
      </w:r>
      <w:bookmarkEnd w:id="177"/>
    </w:p>
    <w:p w:rsidRPr="007936C4" w:rsidR="008959A4" w:rsidP="008959A4" w:rsidRDefault="008959A4" w14:paraId="2DCD7695" w14:textId="77777777">
      <w:pPr>
        <w:pStyle w:val="Standard"/>
      </w:pPr>
      <w:r w:rsidRPr="007936C4">
        <w:rPr>
          <w:b/>
          <w:bCs/>
          <w:i/>
          <w:iCs/>
          <w:u w:val="single"/>
        </w:rPr>
        <w:t>Allow ESA Contractors to Offer Other Programs, Including Affordable Internet and Solar</w:t>
      </w:r>
      <w:r w:rsidRPr="007936C4">
        <w:t xml:space="preserve">: </w:t>
      </w:r>
      <w:r>
        <w:t xml:space="preserve"> </w:t>
      </w:r>
      <w:r w:rsidRPr="007936C4">
        <w:t>The Joint SMJUs do not oppose providing ESA participants with resources on other available programs, such as affordable internet program</w:t>
      </w:r>
      <w:r>
        <w:t>s</w:t>
      </w:r>
      <w:r w:rsidRPr="007936C4">
        <w:t xml:space="preserve"> or the other programs that EEC and Free Energy recommend so long as there is no incremental cost, and </w:t>
      </w:r>
      <w:r>
        <w:t xml:space="preserve">offering such </w:t>
      </w:r>
      <w:r w:rsidRPr="007936C4">
        <w:t>information would not detract from outreach on the ESA program.</w:t>
      </w:r>
      <w:r w:rsidRPr="007936C4">
        <w:rPr>
          <w:rStyle w:val="FootnoteReference"/>
        </w:rPr>
        <w:footnoteReference w:id="128"/>
      </w:r>
    </w:p>
    <w:p w:rsidR="008959A4" w:rsidP="008959A4" w:rsidRDefault="008959A4" w14:paraId="3E4AF8A3" w14:textId="77777777">
      <w:pPr>
        <w:pStyle w:val="Standard"/>
      </w:pPr>
      <w:bookmarkStart w:name="_Hlk79097090" w:id="178"/>
      <w:r w:rsidRPr="007936C4">
        <w:rPr>
          <w:b/>
          <w:bCs/>
          <w:i/>
          <w:iCs/>
          <w:u w:val="single"/>
        </w:rPr>
        <w:t>Allow ESA Contractors to Offer</w:t>
      </w:r>
      <w:r w:rsidRPr="00AF6683">
        <w:rPr>
          <w:b/>
          <w:bCs/>
          <w:i/>
          <w:iCs/>
          <w:u w:val="single"/>
        </w:rPr>
        <w:t xml:space="preserve"> Decarbonization, Safety and Other Improvements Through Budget </w:t>
      </w:r>
      <w:r>
        <w:rPr>
          <w:b/>
          <w:bCs/>
          <w:i/>
          <w:iCs/>
          <w:u w:val="single"/>
        </w:rPr>
        <w:t>“</w:t>
      </w:r>
      <w:r w:rsidRPr="00AF6683">
        <w:rPr>
          <w:b/>
          <w:bCs/>
          <w:i/>
          <w:iCs/>
          <w:u w:val="single"/>
        </w:rPr>
        <w:t>Layering</w:t>
      </w:r>
      <w:r>
        <w:rPr>
          <w:b/>
          <w:bCs/>
          <w:i/>
          <w:iCs/>
          <w:u w:val="single"/>
        </w:rPr>
        <w:t>”</w:t>
      </w:r>
      <w:r w:rsidRPr="007936C4">
        <w:t xml:space="preserve">: </w:t>
      </w:r>
      <w:r>
        <w:t xml:space="preserve"> </w:t>
      </w:r>
      <w:bookmarkEnd w:id="178"/>
      <w:r w:rsidRPr="007936C4">
        <w:t xml:space="preserve">The Joint SMJUs </w:t>
      </w:r>
      <w:r>
        <w:t>state that they</w:t>
      </w:r>
      <w:r w:rsidRPr="00AC4EC5">
        <w:t xml:space="preserve"> lack the authority to utilize </w:t>
      </w:r>
      <w:r>
        <w:t xml:space="preserve">the other programs or entities’ </w:t>
      </w:r>
      <w:r w:rsidRPr="00AC4EC5">
        <w:t>funds</w:t>
      </w:r>
      <w:r>
        <w:t xml:space="preserve"> for such efforts, as proposed by EEC and Free Energy </w:t>
      </w:r>
      <w:r w:rsidRPr="00AC4EC5">
        <w:t>without further direction from the Commission.</w:t>
      </w:r>
      <w:r>
        <w:rPr>
          <w:rStyle w:val="FootnoteReference"/>
        </w:rPr>
        <w:footnoteReference w:id="129"/>
      </w:r>
    </w:p>
    <w:p w:rsidRPr="00213C81" w:rsidR="008959A4" w:rsidP="008959A4" w:rsidRDefault="008959A4" w14:paraId="5D315C21" w14:textId="77777777">
      <w:pPr>
        <w:pStyle w:val="Standard"/>
      </w:pPr>
      <w:r>
        <w:rPr>
          <w:b/>
          <w:bCs/>
          <w:i/>
          <w:iCs/>
          <w:u w:val="single"/>
        </w:rPr>
        <w:t>Removing Property Owner Waivers/Approvals</w:t>
      </w:r>
      <w:r w:rsidRPr="009643C3">
        <w:rPr>
          <w:b/>
          <w:bCs/>
          <w:i/>
          <w:iCs/>
        </w:rPr>
        <w:t xml:space="preserve">: </w:t>
      </w:r>
      <w:r>
        <w:rPr>
          <w:b/>
          <w:bCs/>
          <w:i/>
          <w:iCs/>
        </w:rPr>
        <w:t xml:space="preserve"> </w:t>
      </w:r>
      <w:r w:rsidRPr="00213C81">
        <w:t xml:space="preserve">The </w:t>
      </w:r>
      <w:r>
        <w:t xml:space="preserve">Joint </w:t>
      </w:r>
      <w:r w:rsidRPr="003C6613">
        <w:t>SMJUs are supportive of improvements that enhance ESA</w:t>
      </w:r>
      <w:r>
        <w:t xml:space="preserve"> p</w:t>
      </w:r>
      <w:r w:rsidRPr="003C6613">
        <w:t xml:space="preserve">rogram participation </w:t>
      </w:r>
      <w:r>
        <w:t xml:space="preserve">but state that it is important to be </w:t>
      </w:r>
      <w:r w:rsidRPr="003C6613">
        <w:t>align</w:t>
      </w:r>
      <w:r>
        <w:t>ed</w:t>
      </w:r>
      <w:r w:rsidRPr="003C6613">
        <w:t xml:space="preserve"> with the</w:t>
      </w:r>
      <w:r>
        <w:t xml:space="preserve"> l</w:t>
      </w:r>
      <w:r w:rsidRPr="003C6613">
        <w:t xml:space="preserve">arge IOUs on ESA </w:t>
      </w:r>
      <w:r>
        <w:t>p</w:t>
      </w:r>
      <w:r w:rsidRPr="003C6613">
        <w:t>rogram eligibility and procedural requirements.</w:t>
      </w:r>
      <w:r>
        <w:t xml:space="preserve"> Changing the POW/POA requirements for the SMJUs and not the large IOUs </w:t>
      </w:r>
      <w:r w:rsidRPr="003C6613">
        <w:t xml:space="preserve">may cause </w:t>
      </w:r>
      <w:r>
        <w:t xml:space="preserve">customer </w:t>
      </w:r>
      <w:r w:rsidRPr="003C6613">
        <w:t xml:space="preserve">confusion for customers </w:t>
      </w:r>
      <w:r>
        <w:t xml:space="preserve">in </w:t>
      </w:r>
      <w:r w:rsidRPr="003C6613">
        <w:t>overlapping</w:t>
      </w:r>
      <w:r>
        <w:t xml:space="preserve"> </w:t>
      </w:r>
      <w:r w:rsidRPr="003C6613">
        <w:t>utilities.</w:t>
      </w:r>
      <w:r>
        <w:t xml:space="preserve">  </w:t>
      </w:r>
      <w:r w:rsidRPr="003C6613">
        <w:t>Thus, the SMJUs recommend that the Commission reject EEC</w:t>
      </w:r>
      <w:r>
        <w:t xml:space="preserve"> and </w:t>
      </w:r>
      <w:r w:rsidRPr="003C6613">
        <w:t>F</w:t>
      </w:r>
      <w:r>
        <w:t xml:space="preserve">ree </w:t>
      </w:r>
      <w:r w:rsidRPr="003C6613">
        <w:t>E</w:t>
      </w:r>
      <w:r>
        <w:t xml:space="preserve">nergy’s </w:t>
      </w:r>
      <w:r w:rsidRPr="003C6613">
        <w:t>recommendations</w:t>
      </w:r>
      <w:r>
        <w:t>.</w:t>
      </w:r>
      <w:r>
        <w:rPr>
          <w:rStyle w:val="FootnoteReference"/>
        </w:rPr>
        <w:footnoteReference w:id="130"/>
      </w:r>
    </w:p>
    <w:p w:rsidR="008959A4" w:rsidP="008959A4" w:rsidRDefault="008959A4" w14:paraId="49A852CD" w14:textId="77777777">
      <w:pPr>
        <w:pStyle w:val="Heading4"/>
      </w:pPr>
      <w:bookmarkStart w:name="_Toc82159758" w:id="179"/>
      <w:r>
        <w:lastRenderedPageBreak/>
        <w:t>Southwest Gas Response</w:t>
      </w:r>
      <w:bookmarkEnd w:id="179"/>
    </w:p>
    <w:p w:rsidR="008959A4" w:rsidP="008959A4" w:rsidRDefault="008959A4" w14:paraId="597D6321" w14:textId="77777777">
      <w:pPr>
        <w:pStyle w:val="Standard"/>
      </w:pPr>
      <w:r>
        <w:rPr>
          <w:b/>
          <w:bCs/>
          <w:i/>
          <w:iCs/>
          <w:u w:val="single"/>
        </w:rPr>
        <w:t>Removing Property Owner Waivers/Approvals</w:t>
      </w:r>
      <w:r w:rsidRPr="009643C3">
        <w:rPr>
          <w:b/>
          <w:bCs/>
          <w:i/>
          <w:iCs/>
        </w:rPr>
        <w:t>:</w:t>
      </w:r>
      <w:r w:rsidRPr="009643C3">
        <w:t xml:space="preserve">  </w:t>
      </w:r>
      <w:r w:rsidRPr="002C6515">
        <w:t xml:space="preserve">Southwest Gas </w:t>
      </w:r>
      <w:r>
        <w:t xml:space="preserve">states that </w:t>
      </w:r>
      <w:r w:rsidRPr="002C6515">
        <w:t xml:space="preserve">eliminating POWs could present unnecessary risk and potential liability for all parties involved. </w:t>
      </w:r>
      <w:r>
        <w:t xml:space="preserve"> </w:t>
      </w:r>
      <w:r w:rsidRPr="002C6515">
        <w:t xml:space="preserve">Southwest Gas </w:t>
      </w:r>
      <w:r>
        <w:t xml:space="preserve">disagrees with </w:t>
      </w:r>
      <w:r w:rsidRPr="002C6515">
        <w:t>EEC</w:t>
      </w:r>
      <w:r>
        <w:t xml:space="preserve"> and Free Energy’</w:t>
      </w:r>
      <w:r w:rsidRPr="002C6515">
        <w:t>s characterization</w:t>
      </w:r>
      <w:r>
        <w:t xml:space="preserve"> that</w:t>
      </w:r>
      <w:r w:rsidRPr="002C6515">
        <w:t xml:space="preserve"> POWs are a mere “courtesy to the owner</w:t>
      </w:r>
      <w:r>
        <w:t>,</w:t>
      </w:r>
      <w:r w:rsidRPr="002C6515">
        <w:t xml:space="preserve">” </w:t>
      </w:r>
      <w:r>
        <w:t xml:space="preserve">and confirm that </w:t>
      </w:r>
      <w:r w:rsidRPr="002C6515">
        <w:t>most residential leases require the landlord’s prior approval before a tenant is permitted to make alterations to the premises</w:t>
      </w:r>
      <w:r>
        <w:t>.  S</w:t>
      </w:r>
      <w:r w:rsidRPr="002C6515">
        <w:t xml:space="preserve">tructural changes may impact property value and the landlord has an interest in ensuring that alterations or improvements are suitable for the property and </w:t>
      </w:r>
      <w:r>
        <w:t xml:space="preserve">are </w:t>
      </w:r>
      <w:r w:rsidRPr="002C6515">
        <w:t xml:space="preserve">performed in compliance with legal requirements and by licensed and bonded contractors. </w:t>
      </w:r>
      <w:r>
        <w:t xml:space="preserve"> Further, </w:t>
      </w:r>
      <w:r w:rsidRPr="002C6515">
        <w:t>while the Statewide Energy Savings Assistance Program and Procedures Manual (ESA P&amp;P Manual) requires a signed POW by the legal owner or authorized agent</w:t>
      </w:r>
      <w:r w:rsidRPr="008C6D00">
        <w:t xml:space="preserve"> </w:t>
      </w:r>
      <w:r w:rsidRPr="002C6515">
        <w:t xml:space="preserve">for rental units, it also allows for the installation of ESA services and measures that do not directly affect the condition and/or structure without a signed POW. </w:t>
      </w:r>
      <w:r>
        <w:t xml:space="preserve"> </w:t>
      </w:r>
      <w:r w:rsidRPr="002C6515">
        <w:t>These requirements</w:t>
      </w:r>
      <w:r w:rsidRPr="002C6515">
        <w:rPr>
          <w:rFonts w:ascii="Arial" w:hAnsi="Arial" w:cs="Arial"/>
          <w:color w:val="000000"/>
          <w:sz w:val="23"/>
          <w:szCs w:val="23"/>
        </w:rPr>
        <w:t xml:space="preserve"> </w:t>
      </w:r>
      <w:r w:rsidRPr="002C6515">
        <w:t xml:space="preserve">are applicable to ESA </w:t>
      </w:r>
      <w:r>
        <w:t>p</w:t>
      </w:r>
      <w:r w:rsidRPr="002C6515">
        <w:t xml:space="preserve">rograms administered by the large IOUs and the SMJUs and should remain aligned for efficiencies and to avoid customer confusion. </w:t>
      </w:r>
      <w:r>
        <w:t xml:space="preserve"> </w:t>
      </w:r>
      <w:r w:rsidRPr="002C6515">
        <w:t>Southwest Gas is not opposed to permitting ESA weatherization services to rental units without a signed POW for nonstructural alterations as permitted under the ESA P&amp;P Manual but does not agree that POWs should be eliminated from ESA Program requirements.</w:t>
      </w:r>
      <w:r>
        <w:rPr>
          <w:rStyle w:val="FootnoteReference"/>
        </w:rPr>
        <w:footnoteReference w:id="131"/>
      </w:r>
    </w:p>
    <w:p w:rsidR="008959A4" w:rsidP="008959A4" w:rsidRDefault="008959A4" w14:paraId="3A50CEF7" w14:textId="77777777">
      <w:pPr>
        <w:pStyle w:val="Heading3"/>
      </w:pPr>
      <w:bookmarkStart w:name="_Toc82159759" w:id="180"/>
      <w:r>
        <w:t>Discussion</w:t>
      </w:r>
      <w:bookmarkEnd w:id="180"/>
    </w:p>
    <w:p w:rsidRPr="00776C0A" w:rsidR="008959A4" w:rsidP="008959A4" w:rsidRDefault="008959A4" w14:paraId="4920BBBD" w14:textId="0F74D341">
      <w:pPr>
        <w:pStyle w:val="Heading4"/>
        <w:ind w:left="3600" w:hanging="1260"/>
      </w:pPr>
      <w:bookmarkStart w:name="_Toc82159760" w:id="181"/>
      <w:r w:rsidRPr="00374A14">
        <w:t>SMJU Proposed Program Delivery</w:t>
      </w:r>
      <w:r>
        <w:t xml:space="preserve"> and Design</w:t>
      </w:r>
      <w:r w:rsidRPr="00374A14">
        <w:t>:</w:t>
      </w:r>
      <w:r>
        <w:t xml:space="preserve"> </w:t>
      </w:r>
      <w:r w:rsidR="00506F28">
        <w:t xml:space="preserve"> </w:t>
      </w:r>
      <w:r w:rsidRPr="00F159B1">
        <w:rPr>
          <w:u w:val="single"/>
        </w:rPr>
        <w:t>Approved with Modifications</w:t>
      </w:r>
      <w:bookmarkEnd w:id="181"/>
      <w:r w:rsidRPr="00F159B1">
        <w:rPr>
          <w:u w:val="single"/>
        </w:rPr>
        <w:t xml:space="preserve"> </w:t>
      </w:r>
    </w:p>
    <w:p w:rsidR="008959A4" w:rsidP="008959A4" w:rsidRDefault="008959A4" w14:paraId="07CF0B9E" w14:textId="77777777">
      <w:pPr>
        <w:pStyle w:val="Standard"/>
      </w:pPr>
      <w:r w:rsidRPr="00357F27">
        <w:t xml:space="preserve">We approve </w:t>
      </w:r>
      <w:r>
        <w:t>each</w:t>
      </w:r>
      <w:r w:rsidRPr="00357F27">
        <w:t xml:space="preserve"> SMJU</w:t>
      </w:r>
      <w:r>
        <w:t>’s proposed</w:t>
      </w:r>
      <w:r w:rsidRPr="00357F27">
        <w:t xml:space="preserve"> ESA program delivery </w:t>
      </w:r>
      <w:r>
        <w:t>and design with modifications</w:t>
      </w:r>
      <w:r w:rsidRPr="00357F27">
        <w:t xml:space="preserve">. </w:t>
      </w:r>
      <w:r>
        <w:t xml:space="preserve"> </w:t>
      </w:r>
      <w:r w:rsidRPr="00357F27">
        <w:t xml:space="preserve">These program designs will need to follow the </w:t>
      </w:r>
      <w:r>
        <w:t>c</w:t>
      </w:r>
      <w:r w:rsidRPr="00357F27">
        <w:t xml:space="preserve">ompliance </w:t>
      </w:r>
      <w:r>
        <w:lastRenderedPageBreak/>
        <w:t>f</w:t>
      </w:r>
      <w:r w:rsidRPr="00357F27">
        <w:t xml:space="preserve">iling categorization of ESA program measures into </w:t>
      </w:r>
      <w:r>
        <w:t xml:space="preserve">the </w:t>
      </w:r>
      <w:r w:rsidRPr="00357F27">
        <w:t xml:space="preserve">Basic and Plus Level treatments, </w:t>
      </w:r>
      <w:r>
        <w:t xml:space="preserve">as </w:t>
      </w:r>
      <w:r w:rsidRPr="00357F27">
        <w:t xml:space="preserve">further described in Attachment </w:t>
      </w:r>
      <w:r>
        <w:t xml:space="preserve">1 (ESA Program </w:t>
      </w:r>
      <w:r w:rsidRPr="00357F27">
        <w:t>Compliance Filing</w:t>
      </w:r>
      <w:r>
        <w:t xml:space="preserve"> Requirements) and below in Section 5.3.9.2. </w:t>
      </w:r>
    </w:p>
    <w:p w:rsidRPr="0082326C" w:rsidR="008959A4" w:rsidP="008959A4" w:rsidRDefault="008959A4" w14:paraId="2CFD6A97" w14:textId="77777777">
      <w:pPr>
        <w:pStyle w:val="Heading4"/>
        <w:ind w:left="3600" w:hanging="1260"/>
      </w:pPr>
      <w:bookmarkStart w:name="_Toc82159761" w:id="182"/>
      <w:r>
        <w:t xml:space="preserve">Basic and Plus Level Delivery: </w:t>
      </w:r>
      <w:r w:rsidRPr="00F159B1">
        <w:rPr>
          <w:u w:val="single"/>
        </w:rPr>
        <w:t>New</w:t>
      </w:r>
      <w:bookmarkEnd w:id="182"/>
    </w:p>
    <w:p w:rsidR="008959A4" w:rsidP="008959A4" w:rsidRDefault="008959A4" w14:paraId="10EEF38E" w14:textId="4059D9B9">
      <w:pPr>
        <w:pStyle w:val="Standard"/>
      </w:pPr>
      <w:r>
        <w:t>PacifiCorp proposes a two</w:t>
      </w:r>
      <w:r w:rsidR="00C478B4">
        <w:t>-</w:t>
      </w:r>
      <w:r>
        <w:t>tier delivery model for the ESA program where Tier 1 offers existing ESA measures targeted towards all ESA eligible households (with these measures being updated with the latest savings estimates), while Tier 2 offers existing measures plus new measures targeted towards high-usage households with deeper energy savings potential.  PacifiCorp’s proposed model contains various elements that align with the new ESA design that was adopted for the large IOUs’ ESA program,</w:t>
      </w:r>
      <w:r>
        <w:rPr>
          <w:rStyle w:val="FootnoteReference"/>
        </w:rPr>
        <w:footnoteReference w:id="132"/>
      </w:r>
      <w:r>
        <w:t xml:space="preserve"> which we believe has the most potential in achieving deeper energy savings now that the 2020 statutory goal has essentially been met.  However, not every SMJU proposed a tiered approach to its ESA program, or even any prioritization of deeper treatments to specific households.  Therefore, we will build off PacifiCorp’s tiered design and incorporate the design elements adopted for the large IOUs’ ESA program to require all the SMJUs to offer a “Basic” and “Plus” level treatment for the SMJU ESA program. </w:t>
      </w:r>
    </w:p>
    <w:p w:rsidRPr="004F177A" w:rsidR="008959A4" w:rsidP="008959A4" w:rsidRDefault="008959A4" w14:paraId="3A025A1D" w14:textId="1A728568">
      <w:pPr>
        <w:pStyle w:val="Standard"/>
        <w:rPr>
          <w:rFonts w:eastAsia="Times New Roman"/>
          <w:szCs w:val="26"/>
        </w:rPr>
      </w:pPr>
      <w:r w:rsidRPr="0081683D">
        <w:t xml:space="preserve">The SMJUs are to meet and confer, and jointly submit a compliance filing via a Tier 2 advice letter </w:t>
      </w:r>
      <w:r w:rsidR="001E6AEE">
        <w:t>120</w:t>
      </w:r>
      <w:r w:rsidRPr="0081683D" w:rsidR="001E6AEE">
        <w:t xml:space="preserve"> </w:t>
      </w:r>
      <w:r w:rsidRPr="0081683D">
        <w:t xml:space="preserve">days after the </w:t>
      </w:r>
      <w:r>
        <w:t>effective date</w:t>
      </w:r>
      <w:r w:rsidRPr="0081683D">
        <w:t xml:space="preserve"> of this decision to categorize the measures approved in their applications into two categories of ESA treatment levels</w:t>
      </w:r>
      <w:r>
        <w:t xml:space="preserve">, </w:t>
      </w:r>
      <w:r w:rsidRPr="0081683D">
        <w:t xml:space="preserve">Basic </w:t>
      </w:r>
      <w:r w:rsidRPr="004F177A">
        <w:rPr>
          <w:szCs w:val="26"/>
        </w:rPr>
        <w:t xml:space="preserve">and Plus, where the Basic level treatment is expected to achieve up to 5 percent in energy savings and the Plus level treatment is expected to achieve up to 15 percent in energy savings. </w:t>
      </w:r>
      <w:r>
        <w:rPr>
          <w:szCs w:val="26"/>
        </w:rPr>
        <w:t xml:space="preserve"> Measures offered as part of the </w:t>
      </w:r>
      <w:r w:rsidRPr="00C448FF">
        <w:rPr>
          <w:rFonts w:eastAsia="Book Antiqua" w:cs="Book Antiqua"/>
          <w:szCs w:val="26"/>
        </w:rPr>
        <w:t xml:space="preserve">Basic </w:t>
      </w:r>
      <w:r>
        <w:rPr>
          <w:rFonts w:eastAsia="Book Antiqua" w:cs="Book Antiqua"/>
          <w:szCs w:val="26"/>
        </w:rPr>
        <w:t xml:space="preserve">treatment </w:t>
      </w:r>
      <w:r w:rsidRPr="00C448FF">
        <w:rPr>
          <w:rFonts w:eastAsia="Book Antiqua" w:cs="Book Antiqua"/>
          <w:szCs w:val="26"/>
        </w:rPr>
        <w:t xml:space="preserve">should include certain equipment and appliance </w:t>
      </w:r>
      <w:r w:rsidRPr="00C448FF">
        <w:rPr>
          <w:rFonts w:eastAsia="Book Antiqua" w:cs="Book Antiqua"/>
          <w:szCs w:val="26"/>
        </w:rPr>
        <w:lastRenderedPageBreak/>
        <w:t>replacements that are easy to install and/or reduce annual energy usage by around 5 percent or less.</w:t>
      </w:r>
      <w:r>
        <w:rPr>
          <w:rFonts w:eastAsia="Book Antiqua" w:cs="Book Antiqua"/>
          <w:szCs w:val="26"/>
        </w:rPr>
        <w:t xml:space="preserve"> </w:t>
      </w:r>
      <w:r w:rsidRPr="00C448FF">
        <w:rPr>
          <w:rFonts w:eastAsia="Book Antiqua" w:cs="Book Antiqua"/>
          <w:szCs w:val="26"/>
        </w:rPr>
        <w:t xml:space="preserve"> </w:t>
      </w:r>
      <w:r>
        <w:rPr>
          <w:rFonts w:eastAsia="Book Antiqua" w:cs="Book Antiqua"/>
          <w:szCs w:val="26"/>
        </w:rPr>
        <w:t xml:space="preserve">Measures </w:t>
      </w:r>
      <w:r>
        <w:rPr>
          <w:szCs w:val="26"/>
        </w:rPr>
        <w:t xml:space="preserve">offered as part of the </w:t>
      </w:r>
      <w:r>
        <w:rPr>
          <w:rFonts w:eastAsia="Book Antiqua" w:cs="Book Antiqua"/>
          <w:szCs w:val="26"/>
        </w:rPr>
        <w:t>Plus</w:t>
      </w:r>
      <w:r w:rsidRPr="00C448FF">
        <w:rPr>
          <w:rFonts w:eastAsia="Book Antiqua" w:cs="Book Antiqua"/>
          <w:szCs w:val="26"/>
        </w:rPr>
        <w:t xml:space="preserve"> </w:t>
      </w:r>
      <w:r>
        <w:rPr>
          <w:rFonts w:eastAsia="Book Antiqua" w:cs="Book Antiqua"/>
          <w:szCs w:val="26"/>
        </w:rPr>
        <w:t xml:space="preserve">treatment </w:t>
      </w:r>
      <w:r w:rsidRPr="00C448FF">
        <w:rPr>
          <w:rFonts w:eastAsia="Book Antiqua" w:cs="Book Antiqua"/>
          <w:szCs w:val="26"/>
        </w:rPr>
        <w:t xml:space="preserve">should include </w:t>
      </w:r>
      <w:r w:rsidRPr="00631E89">
        <w:rPr>
          <w:rFonts w:eastAsia="Book Antiqua" w:cs="Book Antiqua"/>
          <w:szCs w:val="26"/>
        </w:rPr>
        <w:t>certain equipment and appliance replacements and load shifting technologies that would reduce annual energy usage by 5 to 15 percent, if not more.</w:t>
      </w:r>
      <w:r>
        <w:rPr>
          <w:rFonts w:eastAsia="Book Antiqua" w:cs="Book Antiqua"/>
          <w:szCs w:val="26"/>
        </w:rPr>
        <w:t xml:space="preserve"> </w:t>
      </w:r>
      <w:r w:rsidRPr="00631E89">
        <w:rPr>
          <w:rFonts w:eastAsia="Book Antiqua" w:cs="Book Antiqua"/>
          <w:szCs w:val="26"/>
        </w:rPr>
        <w:t xml:space="preserve"> </w:t>
      </w:r>
      <w:r w:rsidRPr="00C448FF">
        <w:rPr>
          <w:rFonts w:eastAsia="Book Antiqua" w:cs="Book Antiqua"/>
          <w:szCs w:val="26"/>
        </w:rPr>
        <w:t xml:space="preserve">See Attachment </w:t>
      </w:r>
      <w:r>
        <w:rPr>
          <w:rFonts w:eastAsia="Book Antiqua" w:cs="Book Antiqua"/>
          <w:szCs w:val="26"/>
        </w:rPr>
        <w:t>1</w:t>
      </w:r>
      <w:r w:rsidRPr="00C448FF">
        <w:rPr>
          <w:rFonts w:eastAsia="Book Antiqua" w:cs="Book Antiqua"/>
          <w:szCs w:val="26"/>
        </w:rPr>
        <w:t xml:space="preserve"> for additional </w:t>
      </w:r>
      <w:r>
        <w:rPr>
          <w:rFonts w:eastAsia="Book Antiqua" w:cs="Book Antiqua"/>
          <w:szCs w:val="26"/>
        </w:rPr>
        <w:t xml:space="preserve">guidance on the </w:t>
      </w:r>
      <w:r w:rsidRPr="00C448FF">
        <w:rPr>
          <w:rFonts w:eastAsia="Book Antiqua" w:cs="Book Antiqua"/>
          <w:szCs w:val="26"/>
        </w:rPr>
        <w:t>Compliance Filing.</w:t>
      </w:r>
      <w:r>
        <w:rPr>
          <w:rFonts w:eastAsia="Book Antiqua" w:cs="Book Antiqua"/>
          <w:szCs w:val="26"/>
        </w:rPr>
        <w:t xml:space="preserve"> </w:t>
      </w:r>
      <w:r w:rsidRPr="00C448FF">
        <w:rPr>
          <w:rFonts w:eastAsia="Book Antiqua" w:cs="Book Antiqua"/>
          <w:szCs w:val="26"/>
        </w:rPr>
        <w:t xml:space="preserve"> </w:t>
      </w:r>
      <w:r w:rsidRPr="004F177A">
        <w:rPr>
          <w:rFonts w:eastAsia="Book Antiqua" w:cs="Book Antiqua"/>
          <w:szCs w:val="26"/>
        </w:rPr>
        <w:t xml:space="preserve">This new design will provide greater statewide consistency in how the ESA program is designed and delivered among the SMJUs and large IOUs. </w:t>
      </w:r>
      <w:r>
        <w:rPr>
          <w:rFonts w:eastAsia="Book Antiqua" w:cs="Book Antiqua"/>
          <w:szCs w:val="26"/>
        </w:rPr>
        <w:t xml:space="preserve"> Although we will not mandate that the exact same measures to be offered in each level by each SMJU, we advise the S</w:t>
      </w:r>
      <w:r w:rsidRPr="004F177A">
        <w:rPr>
          <w:rFonts w:eastAsia="Book Antiqua" w:cs="Book Antiqua"/>
          <w:szCs w:val="26"/>
        </w:rPr>
        <w:t xml:space="preserve">MJUs </w:t>
      </w:r>
      <w:r>
        <w:rPr>
          <w:rFonts w:eastAsia="Book Antiqua" w:cs="Book Antiqua"/>
          <w:szCs w:val="26"/>
        </w:rPr>
        <w:t xml:space="preserve">to </w:t>
      </w:r>
      <w:r w:rsidRPr="004F177A">
        <w:rPr>
          <w:rFonts w:eastAsia="Book Antiqua" w:cs="Book Antiqua"/>
          <w:szCs w:val="26"/>
        </w:rPr>
        <w:t>strive for alignment</w:t>
      </w:r>
      <w:r>
        <w:rPr>
          <w:rFonts w:eastAsia="Book Antiqua" w:cs="Book Antiqua"/>
          <w:szCs w:val="26"/>
        </w:rPr>
        <w:t xml:space="preserve"> and </w:t>
      </w:r>
      <w:r w:rsidRPr="004F177A">
        <w:rPr>
          <w:rFonts w:eastAsia="Book Antiqua" w:cs="Book Antiqua"/>
          <w:szCs w:val="26"/>
        </w:rPr>
        <w:t xml:space="preserve">conformity in how treatment levels are </w:t>
      </w:r>
      <w:r>
        <w:rPr>
          <w:rFonts w:eastAsia="Book Antiqua" w:cs="Book Antiqua"/>
          <w:szCs w:val="26"/>
        </w:rPr>
        <w:t xml:space="preserve">designed and </w:t>
      </w:r>
      <w:r w:rsidRPr="004F177A">
        <w:rPr>
          <w:rFonts w:eastAsia="Book Antiqua" w:cs="Book Antiqua"/>
          <w:szCs w:val="26"/>
        </w:rPr>
        <w:t xml:space="preserve">delivered, and </w:t>
      </w:r>
      <w:r>
        <w:rPr>
          <w:rFonts w:eastAsia="Book Antiqua" w:cs="Book Antiqua"/>
          <w:szCs w:val="26"/>
        </w:rPr>
        <w:t xml:space="preserve">to </w:t>
      </w:r>
      <w:r w:rsidRPr="004F177A">
        <w:rPr>
          <w:rFonts w:eastAsia="Book Antiqua" w:cs="Book Antiqua"/>
          <w:szCs w:val="26"/>
        </w:rPr>
        <w:t xml:space="preserve">minimize </w:t>
      </w:r>
      <w:r>
        <w:rPr>
          <w:rFonts w:eastAsia="Book Antiqua" w:cs="Book Antiqua"/>
          <w:szCs w:val="26"/>
        </w:rPr>
        <w:t xml:space="preserve">any </w:t>
      </w:r>
      <w:r w:rsidRPr="004F177A">
        <w:rPr>
          <w:rFonts w:eastAsia="Book Antiqua" w:cs="Book Antiqua"/>
          <w:szCs w:val="26"/>
        </w:rPr>
        <w:t>differences</w:t>
      </w:r>
      <w:r>
        <w:rPr>
          <w:rFonts w:eastAsia="Book Antiqua" w:cs="Book Antiqua"/>
          <w:szCs w:val="26"/>
        </w:rPr>
        <w:t xml:space="preserve"> and/or </w:t>
      </w:r>
      <w:r w:rsidRPr="004F177A">
        <w:rPr>
          <w:rFonts w:eastAsia="Book Antiqua" w:cs="Book Antiqua"/>
          <w:szCs w:val="26"/>
        </w:rPr>
        <w:t>deviations</w:t>
      </w:r>
      <w:r>
        <w:rPr>
          <w:rFonts w:eastAsia="Book Antiqua" w:cs="Book Antiqua"/>
          <w:szCs w:val="26"/>
        </w:rPr>
        <w:t xml:space="preserve">.  Where there are differences in the design and delivery, the SMJUs shall </w:t>
      </w:r>
      <w:r w:rsidRPr="004F177A">
        <w:rPr>
          <w:rFonts w:eastAsia="Book Antiqua" w:cs="Book Antiqua"/>
          <w:szCs w:val="26"/>
        </w:rPr>
        <w:t xml:space="preserve">provide </w:t>
      </w:r>
      <w:r>
        <w:rPr>
          <w:rFonts w:eastAsia="Book Antiqua" w:cs="Book Antiqua"/>
          <w:szCs w:val="26"/>
        </w:rPr>
        <w:t xml:space="preserve">the </w:t>
      </w:r>
      <w:r w:rsidRPr="004F177A">
        <w:rPr>
          <w:rFonts w:eastAsia="Book Antiqua" w:cs="Book Antiqua"/>
          <w:szCs w:val="26"/>
        </w:rPr>
        <w:t xml:space="preserve">rationale </w:t>
      </w:r>
      <w:r>
        <w:rPr>
          <w:rFonts w:eastAsia="Book Antiqua" w:cs="Book Antiqua"/>
          <w:szCs w:val="26"/>
        </w:rPr>
        <w:t>behind such differences in the Compliance Filing</w:t>
      </w:r>
      <w:r w:rsidRPr="004F177A">
        <w:rPr>
          <w:rFonts w:eastAsia="Book Antiqua" w:cs="Book Antiqua"/>
          <w:szCs w:val="26"/>
        </w:rPr>
        <w:t>.</w:t>
      </w:r>
    </w:p>
    <w:p w:rsidRPr="00776C0A" w:rsidR="008959A4" w:rsidP="008959A4" w:rsidRDefault="008959A4" w14:paraId="0747E7F9" w14:textId="77777777">
      <w:pPr>
        <w:pStyle w:val="Heading4"/>
        <w:ind w:left="3600" w:hanging="1260"/>
      </w:pPr>
      <w:bookmarkStart w:name="_Toc82159762" w:id="183"/>
      <w:r w:rsidRPr="00423056">
        <w:t xml:space="preserve">Allowing for Self-Certification for </w:t>
      </w:r>
      <w:r>
        <w:br/>
      </w:r>
      <w:r w:rsidRPr="00423056">
        <w:t xml:space="preserve">Basic Measures: </w:t>
      </w:r>
      <w:r>
        <w:t xml:space="preserve"> </w:t>
      </w:r>
      <w:r w:rsidRPr="00423056">
        <w:rPr>
          <w:u w:val="single"/>
        </w:rPr>
        <w:t>New</w:t>
      </w:r>
      <w:bookmarkEnd w:id="183"/>
      <w:r w:rsidRPr="00423056">
        <w:t xml:space="preserve"> </w:t>
      </w:r>
    </w:p>
    <w:p w:rsidRPr="006F6AAD" w:rsidR="008959A4" w:rsidP="008959A4" w:rsidRDefault="008959A4" w14:paraId="6C9B0256" w14:textId="77777777">
      <w:pPr>
        <w:pStyle w:val="Standard"/>
      </w:pPr>
      <w:r w:rsidRPr="00423056">
        <w:t xml:space="preserve">To align the program rules </w:t>
      </w:r>
      <w:r>
        <w:t xml:space="preserve">for </w:t>
      </w:r>
      <w:r w:rsidRPr="00423056">
        <w:t xml:space="preserve">all the ESA programs </w:t>
      </w:r>
      <w:r>
        <w:t xml:space="preserve">overseen by the Commission </w:t>
      </w:r>
      <w:r w:rsidRPr="00423056">
        <w:t>(SMJUs and</w:t>
      </w:r>
      <w:r>
        <w:t xml:space="preserve"> large IOUs), we direct the SMJUs to allow customers to self-certify that they meet the income eligibility requirement for the ESA program to receive the </w:t>
      </w:r>
      <w:r w:rsidRPr="00C448FF">
        <w:rPr>
          <w:rFonts w:eastAsia="Book Antiqua" w:cs="Book Antiqua"/>
          <w:szCs w:val="26"/>
        </w:rPr>
        <w:t xml:space="preserve">easy to install </w:t>
      </w:r>
      <w:r>
        <w:rPr>
          <w:rFonts w:eastAsia="Book Antiqua" w:cs="Book Antiqua"/>
          <w:szCs w:val="26"/>
        </w:rPr>
        <w:t xml:space="preserve">measures that are part of the </w:t>
      </w:r>
      <w:r>
        <w:t>Basic level treatment which may include energy education,</w:t>
      </w:r>
      <w:r w:rsidRPr="00C47843">
        <w:t xml:space="preserve"> </w:t>
      </w:r>
      <w:r>
        <w:t>l</w:t>
      </w:r>
      <w:r w:rsidRPr="008D2485">
        <w:t xml:space="preserve">ight-emitting diode </w:t>
      </w:r>
      <w:r>
        <w:t>(</w:t>
      </w:r>
      <w:r w:rsidRPr="008D2485">
        <w:t>LED</w:t>
      </w:r>
      <w:r>
        <w:t>)</w:t>
      </w:r>
      <w:r w:rsidRPr="008D2485">
        <w:t xml:space="preserve"> </w:t>
      </w:r>
      <w:r w:rsidRPr="00631E89">
        <w:rPr>
          <w:rFonts w:eastAsia="Book Antiqua" w:cs="Book Antiqua"/>
          <w:szCs w:val="26"/>
        </w:rPr>
        <w:t xml:space="preserve">bulbs, smart power strips, </w:t>
      </w:r>
      <w:r>
        <w:rPr>
          <w:rFonts w:eastAsia="Book Antiqua" w:cs="Book Antiqua"/>
          <w:szCs w:val="26"/>
        </w:rPr>
        <w:t>and/or e</w:t>
      </w:r>
      <w:r w:rsidRPr="00631E89">
        <w:rPr>
          <w:rFonts w:eastAsia="Book Antiqua" w:cs="Book Antiqua"/>
          <w:szCs w:val="26"/>
        </w:rPr>
        <w:t xml:space="preserve">nergy </w:t>
      </w:r>
      <w:r>
        <w:rPr>
          <w:rFonts w:eastAsia="Book Antiqua" w:cs="Book Antiqua"/>
          <w:szCs w:val="26"/>
        </w:rPr>
        <w:t>c</w:t>
      </w:r>
      <w:r w:rsidRPr="00631E89">
        <w:rPr>
          <w:rFonts w:eastAsia="Book Antiqua" w:cs="Book Antiqua"/>
          <w:szCs w:val="26"/>
        </w:rPr>
        <w:t xml:space="preserve">onservation </w:t>
      </w:r>
      <w:r>
        <w:rPr>
          <w:rFonts w:eastAsia="Book Antiqua" w:cs="Book Antiqua"/>
          <w:szCs w:val="26"/>
        </w:rPr>
        <w:t>s</w:t>
      </w:r>
      <w:r w:rsidRPr="00631E89">
        <w:rPr>
          <w:rFonts w:eastAsia="Book Antiqua" w:cs="Book Antiqua"/>
          <w:szCs w:val="26"/>
        </w:rPr>
        <w:t xml:space="preserve">avings </w:t>
      </w:r>
      <w:r>
        <w:rPr>
          <w:rFonts w:eastAsia="Book Antiqua" w:cs="Book Antiqua"/>
          <w:szCs w:val="26"/>
        </w:rPr>
        <w:t>k</w:t>
      </w:r>
      <w:r w:rsidRPr="00631E89">
        <w:rPr>
          <w:rFonts w:eastAsia="Book Antiqua" w:cs="Book Antiqua"/>
          <w:szCs w:val="26"/>
        </w:rPr>
        <w:t>its</w:t>
      </w:r>
      <w:r>
        <w:t xml:space="preserve">.  Allowing for self-certification for a household to receive basic measures will remove the burdensome income documentation process, will appeal to those that still have distrust in providing their personal information, will help reach insecure and undocumented households, and requires little investment compared to the savings potentially achieved.  This process will also incentivize households to </w:t>
      </w:r>
      <w:r>
        <w:lastRenderedPageBreak/>
        <w:t>consider the Plus level treatment after receiving basic measures and allows the contractors to screen for additional measures.  Because the SMJUs will all likely offer slightly different services within the Basic level, the SMJUs shall include as part of a Compliance Filing directed above which set of measures, including those provided through self-certification and those that are exempt, will be part of the Basic offerings and therefore allowed for ESA self</w:t>
      </w:r>
      <w:r>
        <w:noBreakHyphen/>
        <w:t>certification.  The recent large IOU ESA decision, D.21-06-015, provided guidelines on self-certification for Basic measures that the Commission would like to see implemented by the SMJUs offering the ESA program as well.</w:t>
      </w:r>
      <w:r>
        <w:rPr>
          <w:rStyle w:val="FootnoteReference"/>
        </w:rPr>
        <w:footnoteReference w:id="133"/>
      </w:r>
      <w:r>
        <w:t xml:space="preserve">  Lastly, we note that m</w:t>
      </w:r>
      <w:r w:rsidRPr="00BB7F42">
        <w:t xml:space="preserve">easures requiring modifications to dwellings, which includes grounding, such as refrigerators, portable air conditioners, and smart thermostats, </w:t>
      </w:r>
      <w:r>
        <w:t>shall be</w:t>
      </w:r>
      <w:r w:rsidRPr="00BB7F42">
        <w:t xml:space="preserve"> exempt from this requirement</w:t>
      </w:r>
      <w:r w:rsidRPr="009504F8">
        <w:t xml:space="preserve"> </w:t>
      </w:r>
      <w:r>
        <w:t>to be provided to self-certifying customers</w:t>
      </w:r>
      <w:r w:rsidRPr="00BB7F42">
        <w:t>.</w:t>
      </w:r>
    </w:p>
    <w:p w:rsidRPr="004D223C" w:rsidR="008959A4" w:rsidP="008959A4" w:rsidRDefault="008959A4" w14:paraId="11B59701" w14:textId="3674B3A9">
      <w:pPr>
        <w:pStyle w:val="Heading4"/>
        <w:ind w:left="3600" w:hanging="1260"/>
      </w:pPr>
      <w:bookmarkStart w:name="_Toc82159763" w:id="184"/>
      <w:r w:rsidRPr="002D3EF3">
        <w:t>Allow</w:t>
      </w:r>
      <w:r>
        <w:t>ing</w:t>
      </w:r>
      <w:r w:rsidRPr="002D3EF3">
        <w:t xml:space="preserve"> </w:t>
      </w:r>
      <w:r>
        <w:t xml:space="preserve">ESA </w:t>
      </w:r>
      <w:r w:rsidRPr="002D3EF3">
        <w:t>Contractors to Offer</w:t>
      </w:r>
      <w:r>
        <w:br/>
      </w:r>
      <w:r w:rsidRPr="00856A30">
        <w:t>Other Programs</w:t>
      </w:r>
      <w:r w:rsidRPr="00685E69">
        <w:t xml:space="preserve">, Including Affordable </w:t>
      </w:r>
      <w:r w:rsidRPr="00685E69">
        <w:br/>
        <w:t>Internet and Solar</w:t>
      </w:r>
      <w:r>
        <w:t xml:space="preserve">:  </w:t>
      </w:r>
      <w:r w:rsidRPr="00C61162" w:rsidR="007A2CE8">
        <w:rPr>
          <w:u w:val="single"/>
        </w:rPr>
        <w:t>Requires Further Study</w:t>
      </w:r>
      <w:bookmarkEnd w:id="184"/>
    </w:p>
    <w:p w:rsidR="008959A4" w:rsidP="008959A4" w:rsidRDefault="008959A4" w14:paraId="7E6EBB48" w14:textId="3B86E672">
      <w:pPr>
        <w:pStyle w:val="ALJBodyText"/>
      </w:pPr>
      <w:r>
        <w:t xml:space="preserve">While we are </w:t>
      </w:r>
      <w:r w:rsidRPr="0067239D">
        <w:t xml:space="preserve">supportive of exploring increased leveraging opportunities </w:t>
      </w:r>
      <w:r>
        <w:t xml:space="preserve">with other low-income programs, we deny </w:t>
      </w:r>
      <w:r w:rsidRPr="004A7602">
        <w:t>EEC</w:t>
      </w:r>
      <w:r>
        <w:t xml:space="preserve"> and Free Energy</w:t>
      </w:r>
      <w:r w:rsidRPr="004A7602">
        <w:t xml:space="preserve">’s proposal </w:t>
      </w:r>
      <w:r>
        <w:t>to allow E</w:t>
      </w:r>
      <w:r w:rsidRPr="009412C3">
        <w:t xml:space="preserve">SA </w:t>
      </w:r>
      <w:r>
        <w:t>c</w:t>
      </w:r>
      <w:r w:rsidRPr="009412C3">
        <w:t>ontractors to enroll low</w:t>
      </w:r>
      <w:r>
        <w:t>-</w:t>
      </w:r>
      <w:r w:rsidRPr="009412C3">
        <w:t xml:space="preserve">income families </w:t>
      </w:r>
      <w:r w:rsidR="00987D82">
        <w:t xml:space="preserve">at this time </w:t>
      </w:r>
      <w:r w:rsidRPr="009412C3">
        <w:t>into</w:t>
      </w:r>
      <w:r>
        <w:t xml:space="preserve"> other</w:t>
      </w:r>
      <w:r w:rsidRPr="009412C3">
        <w:t xml:space="preserve"> programs</w:t>
      </w:r>
      <w:r w:rsidRPr="0067616A">
        <w:t xml:space="preserve"> </w:t>
      </w:r>
      <w:r>
        <w:t xml:space="preserve">because of the unknown impacts. </w:t>
      </w:r>
      <w:r w:rsidRPr="00442394">
        <w:t xml:space="preserve"> </w:t>
      </w:r>
      <w:r>
        <w:t>It is unknown if this change would create customer confusion, introduce non</w:t>
      </w:r>
      <w:r>
        <w:noBreakHyphen/>
        <w:t xml:space="preserve">subsidized measures or programs that would require investment from the low-income household, dis-incentivize enrollment into the programs altogether if the household is not interested in one of the offered programs, or create conflicts of interest with other program administrators.  For the reasons discussed, we deny this request.  </w:t>
      </w:r>
      <w:r w:rsidR="007F5C54">
        <w:t xml:space="preserve">However, we encourage this topic to be further explored in the leveraging workshop described </w:t>
      </w:r>
      <w:r w:rsidR="007F5C54">
        <w:lastRenderedPageBreak/>
        <w:t xml:space="preserve">in Section 5.7.8.3, to identify </w:t>
      </w:r>
      <w:r w:rsidR="000D693E">
        <w:t xml:space="preserve">opportunities for easier coordination </w:t>
      </w:r>
      <w:r w:rsidR="003C3A3D">
        <w:t>and enrollment into the programs</w:t>
      </w:r>
      <w:r w:rsidR="007F5C54">
        <w:t>.</w:t>
      </w:r>
    </w:p>
    <w:p w:rsidRPr="00C45048" w:rsidR="008959A4" w:rsidP="008959A4" w:rsidRDefault="008959A4" w14:paraId="7913A2A7" w14:textId="5ACA2814">
      <w:pPr>
        <w:pStyle w:val="Heading4"/>
        <w:ind w:left="3600" w:hanging="1260"/>
      </w:pPr>
      <w:bookmarkStart w:name="_Toc82159764" w:id="185"/>
      <w:r w:rsidRPr="00856A30">
        <w:t>A</w:t>
      </w:r>
      <w:r w:rsidRPr="00513F5C">
        <w:t>llow</w:t>
      </w:r>
      <w:r>
        <w:t>ing</w:t>
      </w:r>
      <w:r w:rsidRPr="00513F5C">
        <w:t xml:space="preserve"> ESA Contractors to Offer Decarbonization, Safety and Other Improvements Through Budget</w:t>
      </w:r>
      <w:r>
        <w:t xml:space="preserve"> “</w:t>
      </w:r>
      <w:r w:rsidRPr="00513F5C">
        <w:t>Layering</w:t>
      </w:r>
      <w:r>
        <w:t>”</w:t>
      </w:r>
      <w:r w:rsidRPr="00856A30">
        <w:t xml:space="preserve">: </w:t>
      </w:r>
      <w:r w:rsidRPr="00C61162" w:rsidR="00C61162">
        <w:rPr>
          <w:u w:val="single"/>
        </w:rPr>
        <w:t>Requires Further Study</w:t>
      </w:r>
      <w:bookmarkEnd w:id="185"/>
    </w:p>
    <w:p w:rsidRPr="004F68C1" w:rsidR="008959A4" w:rsidP="008959A4" w:rsidRDefault="008959A4" w14:paraId="0153D749" w14:textId="77777777">
      <w:pPr>
        <w:pStyle w:val="Standard"/>
      </w:pPr>
      <w:r>
        <w:t>We agree with the</w:t>
      </w:r>
      <w:r w:rsidRPr="007936C4">
        <w:t xml:space="preserve"> SMJUs </w:t>
      </w:r>
      <w:r>
        <w:t>that they</w:t>
      </w:r>
      <w:r w:rsidRPr="00AC4EC5">
        <w:t xml:space="preserve"> lack the authority to utilize </w:t>
      </w:r>
      <w:r>
        <w:t xml:space="preserve">other programs or entities’ </w:t>
      </w:r>
      <w:r w:rsidRPr="00AC4EC5">
        <w:t>funds</w:t>
      </w:r>
      <w:r>
        <w:t xml:space="preserve"> for efforts proposed by EEC and Free Energy </w:t>
      </w:r>
      <w:r w:rsidRPr="00AC4EC5">
        <w:t>without further direction from the Commission</w:t>
      </w:r>
      <w:r>
        <w:t>.  At this time, we are not inclined to grant that direction due to lack of record development and the uncertainty of how budget layering would work.  We do encourage this topic to be further explored in the leveraging workshop described in Section 5.7.8.3, and whether there is a way to identify other income-qualified programs that can benefit households without costing the ESA program funding to implement.</w:t>
      </w:r>
    </w:p>
    <w:p w:rsidRPr="00C45048" w:rsidR="008959A4" w:rsidP="008959A4" w:rsidRDefault="008959A4" w14:paraId="0876AD51" w14:textId="77777777">
      <w:pPr>
        <w:pStyle w:val="Heading4"/>
        <w:ind w:left="3600" w:hanging="1260"/>
      </w:pPr>
      <w:bookmarkStart w:name="_Toc82159765" w:id="186"/>
      <w:r w:rsidRPr="002D3EF3">
        <w:t>Removing Property Owner Waivers/Approvals</w:t>
      </w:r>
      <w:r>
        <w:t xml:space="preserve">: </w:t>
      </w:r>
      <w:r>
        <w:br/>
      </w:r>
      <w:r w:rsidRPr="00F159B1">
        <w:rPr>
          <w:u w:val="single"/>
        </w:rPr>
        <w:t>Approved with Modifications</w:t>
      </w:r>
      <w:bookmarkEnd w:id="186"/>
      <w:r w:rsidRPr="00F159B1">
        <w:rPr>
          <w:u w:val="single"/>
        </w:rPr>
        <w:t xml:space="preserve"> </w:t>
      </w:r>
    </w:p>
    <w:p w:rsidR="008959A4" w:rsidP="008959A4" w:rsidRDefault="008959A4" w14:paraId="4BE3ACD5" w14:textId="77777777">
      <w:pPr>
        <w:pStyle w:val="Standard"/>
      </w:pPr>
      <w:r>
        <w:t>We deny EEC and Free Energy’s recommendation to remove all POWs/POAs and do not agree that these are unnecessary, and only unique to the ESA program.  We determine that POWs/ POAs</w:t>
      </w:r>
      <w:r w:rsidRPr="000A34AD">
        <w:t xml:space="preserve"> </w:t>
      </w:r>
      <w:r>
        <w:t xml:space="preserve">are necessary, and provide the legal protections needed for </w:t>
      </w:r>
      <w:r w:rsidRPr="000A34AD">
        <w:t xml:space="preserve">the </w:t>
      </w:r>
      <w:r>
        <w:t>SMJUs</w:t>
      </w:r>
      <w:r w:rsidRPr="000A34AD">
        <w:t>, owner</w:t>
      </w:r>
      <w:r>
        <w:t>s</w:t>
      </w:r>
      <w:r w:rsidRPr="000A34AD">
        <w:t xml:space="preserve"> and tenant</w:t>
      </w:r>
      <w:r>
        <w:t xml:space="preserve">s, by </w:t>
      </w:r>
      <w:r w:rsidRPr="000A34AD">
        <w:t>verif</w:t>
      </w:r>
      <w:r>
        <w:t>ying</w:t>
      </w:r>
      <w:r w:rsidRPr="000A34AD">
        <w:t xml:space="preserve"> </w:t>
      </w:r>
      <w:r>
        <w:t xml:space="preserve">eligibility for the program and receiving explicit consent from the </w:t>
      </w:r>
      <w:r w:rsidRPr="000A34AD">
        <w:t xml:space="preserve">owner </w:t>
      </w:r>
      <w:r>
        <w:t xml:space="preserve">for the </w:t>
      </w:r>
      <w:r w:rsidRPr="00A30682">
        <w:rPr>
          <w:szCs w:val="26"/>
        </w:rPr>
        <w:t>work</w:t>
      </w:r>
      <w:r>
        <w:t xml:space="preserve">. </w:t>
      </w:r>
    </w:p>
    <w:p w:rsidRPr="00E82A0B" w:rsidR="008959A4" w:rsidP="008959A4" w:rsidRDefault="008959A4" w14:paraId="786A3364" w14:textId="77777777">
      <w:pPr>
        <w:pStyle w:val="Standard"/>
        <w:rPr>
          <w:rFonts w:ascii="Garamond" w:hAnsi="Garamond" w:eastAsia="Calibri"/>
        </w:rPr>
      </w:pPr>
      <w:r>
        <w:t>However, we</w:t>
      </w:r>
      <w:r w:rsidRPr="002C607C">
        <w:t xml:space="preserve"> approve waiv</w:t>
      </w:r>
      <w:r>
        <w:t>ing</w:t>
      </w:r>
      <w:r w:rsidRPr="002C607C">
        <w:t xml:space="preserve"> the POA/POW requirements for households </w:t>
      </w:r>
      <w:r>
        <w:t>that</w:t>
      </w:r>
      <w:r w:rsidRPr="002C607C">
        <w:t xml:space="preserve"> receive </w:t>
      </w:r>
      <w:r>
        <w:t xml:space="preserve">only </w:t>
      </w:r>
      <w:r w:rsidRPr="002C607C">
        <w:t xml:space="preserve">the </w:t>
      </w:r>
      <w:r>
        <w:t>B</w:t>
      </w:r>
      <w:r w:rsidRPr="002C607C">
        <w:t xml:space="preserve">asic level of ESA services. </w:t>
      </w:r>
      <w:r>
        <w:t xml:space="preserve"> We believe that these changes should ease the enrollment and treatment of renter occupied units, help the enrollment rate, and likely encourage the tenants and property owners to consider more advanced treatments through ESA.  We require these changes </w:t>
      </w:r>
      <w:r>
        <w:lastRenderedPageBreak/>
        <w:t xml:space="preserve">to be implemented by all SMJUs.  </w:t>
      </w:r>
      <w:r w:rsidRPr="002C607C">
        <w:t xml:space="preserve">However, </w:t>
      </w:r>
      <w:r>
        <w:t xml:space="preserve">we note that any </w:t>
      </w:r>
      <w:r w:rsidRPr="002C607C">
        <w:t xml:space="preserve">measures requiring modifications to dwellings, which includes grounding, such as refrigerators, portable air conditioners, and smart thermostats, </w:t>
      </w:r>
      <w:r>
        <w:t xml:space="preserve">along with any ESA services above the Basic level </w:t>
      </w:r>
      <w:r w:rsidRPr="002C607C">
        <w:t xml:space="preserve">will still </w:t>
      </w:r>
      <w:r>
        <w:t xml:space="preserve">require a </w:t>
      </w:r>
      <w:r w:rsidRPr="002C607C">
        <w:t>POA/POW</w:t>
      </w:r>
      <w:r>
        <w:t>.</w:t>
      </w:r>
    </w:p>
    <w:p w:rsidRPr="00C45048" w:rsidR="008959A4" w:rsidP="008959A4" w:rsidRDefault="008959A4" w14:paraId="1D427AEB" w14:textId="0FD919E4">
      <w:pPr>
        <w:pStyle w:val="Heading4"/>
        <w:ind w:left="3600" w:hanging="1260"/>
      </w:pPr>
      <w:bookmarkStart w:name="_Toc82159766" w:id="187"/>
      <w:r w:rsidRPr="002D3EF3">
        <w:t>Revising the Go Back Policy</w:t>
      </w:r>
      <w:r>
        <w:t>:</w:t>
      </w:r>
      <w:r w:rsidR="00506F28">
        <w:t xml:space="preserve"> </w:t>
      </w:r>
      <w:r>
        <w:t xml:space="preserve"> </w:t>
      </w:r>
      <w:r w:rsidRPr="00F159B1">
        <w:rPr>
          <w:u w:val="single"/>
        </w:rPr>
        <w:t>Denied</w:t>
      </w:r>
      <w:bookmarkEnd w:id="187"/>
    </w:p>
    <w:p w:rsidRPr="00C80F21" w:rsidR="008959A4" w:rsidP="008959A4" w:rsidRDefault="008959A4" w14:paraId="1A7238F4" w14:textId="77777777">
      <w:pPr>
        <w:pStyle w:val="Standard"/>
      </w:pPr>
      <w:r w:rsidRPr="00190398">
        <w:t>We deny EEC’s proposals to remove all restrictions and the current policy for going back to a previously treated home.</w:t>
      </w:r>
      <w:r>
        <w:t xml:space="preserve"> </w:t>
      </w:r>
      <w:r w:rsidRPr="00190398">
        <w:t xml:space="preserve"> When the Commission eliminated the go-back rule</w:t>
      </w:r>
      <w:r>
        <w:t>,</w:t>
      </w:r>
      <w:r>
        <w:rPr>
          <w:rStyle w:val="FootnoteReference"/>
        </w:rPr>
        <w:footnoteReference w:id="134"/>
      </w:r>
      <w:r w:rsidRPr="00190398">
        <w:t xml:space="preserve"> it was replaced with directives to prioritize households that have yet to be treated, households in areas where participation rates are below average, </w:t>
      </w:r>
      <w:r>
        <w:t xml:space="preserve">and </w:t>
      </w:r>
      <w:r w:rsidRPr="00190398">
        <w:t xml:space="preserve">households </w:t>
      </w:r>
      <w:r>
        <w:t xml:space="preserve">with </w:t>
      </w:r>
      <w:r w:rsidRPr="00190398">
        <w:t xml:space="preserve">high energy use, with the intent to </w:t>
      </w:r>
      <w:r>
        <w:t>provide</w:t>
      </w:r>
      <w:r w:rsidRPr="00190398">
        <w:t xml:space="preserve"> access to new</w:t>
      </w:r>
      <w:r>
        <w:t xml:space="preserve">ly introduced or approved </w:t>
      </w:r>
      <w:r w:rsidRPr="00190398">
        <w:t xml:space="preserve">measures as well as </w:t>
      </w:r>
      <w:r>
        <w:t xml:space="preserve">an opportunity </w:t>
      </w:r>
      <w:r w:rsidRPr="00190398">
        <w:t xml:space="preserve">to replace measures that may have </w:t>
      </w:r>
      <w:r>
        <w:t xml:space="preserve">since </w:t>
      </w:r>
      <w:r w:rsidRPr="00190398">
        <w:t xml:space="preserve">surpassed their useful life. </w:t>
      </w:r>
      <w:r>
        <w:t xml:space="preserve"> </w:t>
      </w:r>
      <w:r w:rsidRPr="00190398">
        <w:t xml:space="preserve">The intent was to emphasize the energy savings, as well as HCS goals and to discourage repeated </w:t>
      </w:r>
      <w:r>
        <w:t>”</w:t>
      </w:r>
      <w:r w:rsidRPr="00190398">
        <w:t>go-back</w:t>
      </w:r>
      <w:r>
        <w:t>”</w:t>
      </w:r>
      <w:r w:rsidRPr="00190398">
        <w:t xml:space="preserve"> treatment of the same household if it was not reasonable to achieve those goals. </w:t>
      </w:r>
      <w:r>
        <w:t xml:space="preserve"> </w:t>
      </w:r>
      <w:r w:rsidRPr="00190398">
        <w:t>We reiterate that this rule is not meant to prevent or discourage ESA contractors from providing new measures or replacing measures that have surpassed their useful life in a previously treated household, and understand that existing rules as they stand today, do not prevent this.</w:t>
      </w:r>
      <w:r>
        <w:t xml:space="preserve"> </w:t>
      </w:r>
      <w:r w:rsidRPr="00190398">
        <w:t xml:space="preserve"> </w:t>
      </w:r>
      <w:r>
        <w:t>Therefore</w:t>
      </w:r>
      <w:r w:rsidRPr="00190398">
        <w:t xml:space="preserve">, we deny </w:t>
      </w:r>
      <w:r>
        <w:t>the</w:t>
      </w:r>
      <w:r w:rsidRPr="00190398">
        <w:t xml:space="preserve"> request to eliminate all rules governing retreatments</w:t>
      </w:r>
      <w:r>
        <w:t xml:space="preserve">, or go-backs, </w:t>
      </w:r>
      <w:r w:rsidRPr="00190398">
        <w:t xml:space="preserve">because such policies were established to dissuade </w:t>
      </w:r>
      <w:r>
        <w:t>re</w:t>
      </w:r>
      <w:r w:rsidRPr="00190398">
        <w:t>treatment</w:t>
      </w:r>
      <w:r>
        <w:t>s</w:t>
      </w:r>
      <w:r w:rsidRPr="00190398">
        <w:t xml:space="preserve"> that yield little</w:t>
      </w:r>
      <w:r>
        <w:t xml:space="preserve"> energy savings or minimal increases in HCS benefits. </w:t>
      </w:r>
    </w:p>
    <w:p w:rsidRPr="004D223C" w:rsidR="008959A4" w:rsidP="008959A4" w:rsidRDefault="008959A4" w14:paraId="2AFFA93B" w14:textId="16C2F8ED">
      <w:pPr>
        <w:pStyle w:val="Heading4"/>
        <w:ind w:left="3600" w:hanging="1260"/>
      </w:pPr>
      <w:bookmarkStart w:name="_Toc82159767" w:id="188"/>
      <w:r>
        <w:t xml:space="preserve">Mid Cycle Review: </w:t>
      </w:r>
      <w:r w:rsidR="00506F28">
        <w:t xml:space="preserve"> </w:t>
      </w:r>
      <w:r w:rsidRPr="00B262E0">
        <w:rPr>
          <w:u w:val="single"/>
        </w:rPr>
        <w:t>New</w:t>
      </w:r>
      <w:bookmarkEnd w:id="188"/>
    </w:p>
    <w:p w:rsidR="008959A4" w:rsidP="008959A4" w:rsidRDefault="008959A4" w14:paraId="2D0C05F1" w14:textId="7FC0A9BF">
      <w:pPr>
        <w:pStyle w:val="Standard"/>
      </w:pPr>
      <w:r>
        <w:t xml:space="preserve">With the implementation of </w:t>
      </w:r>
      <w:r w:rsidRPr="00025B61">
        <w:t xml:space="preserve">new program designs, </w:t>
      </w:r>
      <w:r>
        <w:t xml:space="preserve">and a longer program cycle (six years as opposed to three years), </w:t>
      </w:r>
      <w:r w:rsidRPr="00025B61">
        <w:t xml:space="preserve">continuous monitoring of the </w:t>
      </w:r>
      <w:r w:rsidRPr="00025B61">
        <w:lastRenderedPageBreak/>
        <w:t xml:space="preserve">program’s progress is </w:t>
      </w:r>
      <w:r>
        <w:t xml:space="preserve">critical in ensuring that these changes are effective in achieving the program’s goals. </w:t>
      </w:r>
      <w:r w:rsidRPr="00025B61">
        <w:t xml:space="preserve"> </w:t>
      </w:r>
      <w:r>
        <w:t xml:space="preserve">Therefore, the SMJUs shall </w:t>
      </w:r>
      <w:r w:rsidRPr="00025B61">
        <w:t>submit a joint mid</w:t>
      </w:r>
      <w:r>
        <w:noBreakHyphen/>
      </w:r>
      <w:r w:rsidRPr="00025B61">
        <w:t>cycle progress report to the Commission and this proceeding’s service list</w:t>
      </w:r>
      <w:r w:rsidRPr="00B63E02">
        <w:t xml:space="preserve"> </w:t>
      </w:r>
      <w:r>
        <w:t>b</w:t>
      </w:r>
      <w:r w:rsidRPr="00025B61">
        <w:t xml:space="preserve">y </w:t>
      </w:r>
      <w:r>
        <w:t>December </w:t>
      </w:r>
      <w:r w:rsidRPr="00025B61">
        <w:t>31,</w:t>
      </w:r>
      <w:r>
        <w:t> 2023</w:t>
      </w:r>
      <w:r w:rsidRPr="00025B61">
        <w:t xml:space="preserve">. </w:t>
      </w:r>
      <w:r>
        <w:t xml:space="preserve"> </w:t>
      </w:r>
      <w:r w:rsidRPr="00025B61">
        <w:t>At a minimum, the progress report shall discuss</w:t>
      </w:r>
      <w:r>
        <w:t>:</w:t>
      </w:r>
      <w:r w:rsidRPr="00025B61">
        <w:t xml:space="preserve"> </w:t>
      </w:r>
      <w:r w:rsidR="00264851">
        <w:t xml:space="preserve"> </w:t>
      </w:r>
      <w:r w:rsidRPr="00025B61">
        <w:t>1)</w:t>
      </w:r>
      <w:r>
        <w:t> </w:t>
      </w:r>
      <w:r w:rsidRPr="00025B61">
        <w:t xml:space="preserve">whether the energy savings goals set in this decision </w:t>
      </w:r>
      <w:r>
        <w:t xml:space="preserve">are </w:t>
      </w:r>
      <w:r w:rsidRPr="00025B61">
        <w:t>still feasible, why or why not, 2)</w:t>
      </w:r>
      <w:r>
        <w:t> </w:t>
      </w:r>
      <w:r w:rsidRPr="00025B61">
        <w:t>whether the SMJUs are on track to meet the goals and targets set in this decision, why or why not, 3) whether any of the goals or targets set in this decision need to be updated in light of the data and new information collected during the first half of the program cycle, why or why not, 4) state of the ESA program’s cost effectiveness level under the new guidance thresholds</w:t>
      </w:r>
      <w:r>
        <w:t xml:space="preserve"> (</w:t>
      </w:r>
      <w:r w:rsidRPr="00AA01E3">
        <w:rPr>
          <w:i/>
          <w:iCs/>
        </w:rPr>
        <w:t>see</w:t>
      </w:r>
      <w:r>
        <w:t xml:space="preserve"> Section 5.6.9.1)</w:t>
      </w:r>
      <w:r w:rsidRPr="00025B61">
        <w:t xml:space="preserve">. </w:t>
      </w:r>
      <w:r>
        <w:t xml:space="preserve"> </w:t>
      </w:r>
      <w:r w:rsidRPr="00025B61">
        <w:t xml:space="preserve">The </w:t>
      </w:r>
      <w:r>
        <w:t>SMJUs</w:t>
      </w:r>
      <w:r w:rsidRPr="00025B61">
        <w:t xml:space="preserve"> will also identify any updates to the delivery </w:t>
      </w:r>
      <w:r>
        <w:t xml:space="preserve">and design </w:t>
      </w:r>
      <w:r w:rsidRPr="00025B61">
        <w:t xml:space="preserve">of the program, including goals, targets, or budgets considering the data collected and progress experienced so far. </w:t>
      </w:r>
      <w:r>
        <w:t xml:space="preserve"> </w:t>
      </w:r>
      <w:r w:rsidRPr="00025B61">
        <w:t>If such updates require lowering the program goals (not targets), or</w:t>
      </w:r>
      <w:r>
        <w:t xml:space="preserve"> </w:t>
      </w:r>
      <w:r w:rsidRPr="00025B61">
        <w:t>increas</w:t>
      </w:r>
      <w:r>
        <w:t xml:space="preserve">ing </w:t>
      </w:r>
      <w:r w:rsidRPr="00025B61">
        <w:t xml:space="preserve">approved budgets, then the </w:t>
      </w:r>
      <w:r>
        <w:t>SMJUs</w:t>
      </w:r>
      <w:r w:rsidRPr="00025B61">
        <w:t xml:space="preserve"> will need to </w:t>
      </w:r>
      <w:r>
        <w:t>file a petition for modification</w:t>
      </w:r>
      <w:r w:rsidR="009660A7">
        <w:t xml:space="preserve">, </w:t>
      </w:r>
      <w:r w:rsidR="009660A7">
        <w:rPr>
          <w:rFonts w:cstheme="minorBidi"/>
          <w:szCs w:val="22"/>
        </w:rPr>
        <w:t xml:space="preserve">with </w:t>
      </w:r>
      <w:r w:rsidR="00262D58">
        <w:rPr>
          <w:rFonts w:cstheme="minorBidi"/>
          <w:szCs w:val="22"/>
        </w:rPr>
        <w:t xml:space="preserve">an exception </w:t>
      </w:r>
      <w:r w:rsidR="009660A7">
        <w:rPr>
          <w:rFonts w:cstheme="minorBidi"/>
          <w:szCs w:val="22"/>
        </w:rPr>
        <w:t>for i</w:t>
      </w:r>
      <w:r w:rsidR="009660A7">
        <w:rPr>
          <w:rFonts w:eastAsiaTheme="minorEastAsia"/>
        </w:rPr>
        <w:t>ncreases to the CARE program subsidy budgets</w:t>
      </w:r>
      <w:r w:rsidRPr="00EB0414" w:rsidR="00EB0414">
        <w:rPr>
          <w:color w:val="FF0000"/>
        </w:rPr>
        <w:t xml:space="preserve"> </w:t>
      </w:r>
      <w:r w:rsidRPr="00BC48EE" w:rsidR="00EB0414">
        <w:rPr>
          <w:rFonts w:cstheme="minorBidi"/>
          <w:szCs w:val="22"/>
        </w:rPr>
        <w:t>which should be handled through the two-way structure of the CARE balancing account</w:t>
      </w:r>
      <w:r w:rsidRPr="00BC48EE">
        <w:rPr>
          <w:rFonts w:cstheme="minorBidi"/>
          <w:szCs w:val="22"/>
        </w:rPr>
        <w:t>.</w:t>
      </w:r>
      <w:r w:rsidRPr="00025B61">
        <w:t xml:space="preserve"> </w:t>
      </w:r>
      <w:r>
        <w:t xml:space="preserve"> </w:t>
      </w:r>
      <w:r w:rsidRPr="00025B61">
        <w:t xml:space="preserve">Otherwise, all other proposed updates can be filed via a Tier 2 advice letter. </w:t>
      </w:r>
    </w:p>
    <w:p w:rsidRPr="001436F0" w:rsidR="008959A4" w:rsidP="008959A4" w:rsidRDefault="008959A4" w14:paraId="414CA94B" w14:textId="22D7EE4C">
      <w:pPr>
        <w:pStyle w:val="Heading4"/>
        <w:ind w:left="3600" w:hanging="1260"/>
      </w:pPr>
      <w:bookmarkStart w:name="_Toc82159768" w:id="189"/>
      <w:r>
        <w:t xml:space="preserve">Tier 1 Advice Letter on </w:t>
      </w:r>
      <w:r w:rsidRPr="008A6675">
        <w:t>SMJU Practices for ESA Contractor Selection and/or Contract Amendment</w:t>
      </w:r>
      <w:r>
        <w:t xml:space="preserve">s: </w:t>
      </w:r>
      <w:r w:rsidR="00B577CC">
        <w:t xml:space="preserve"> </w:t>
      </w:r>
      <w:r w:rsidRPr="00B262E0">
        <w:rPr>
          <w:u w:val="single"/>
        </w:rPr>
        <w:t>New</w:t>
      </w:r>
      <w:bookmarkEnd w:id="189"/>
    </w:p>
    <w:p w:rsidRPr="00C93CD9" w:rsidR="008959A4" w:rsidP="008959A4" w:rsidRDefault="008959A4" w14:paraId="35078BAC" w14:textId="3A62670C">
      <w:pPr>
        <w:pStyle w:val="Standard"/>
      </w:pPr>
      <w:r>
        <w:t xml:space="preserve">Decision 21-06-015 required the large IOUs to initiate an open competitive bidding process and establish new implementation/delivery contracts for the new 2022-2026 ESA program cycle in an effort for greater transparency. </w:t>
      </w:r>
      <w:r w:rsidR="00264851">
        <w:t xml:space="preserve"> </w:t>
      </w:r>
      <w:r>
        <w:t xml:space="preserve">While the Commission would like to see the SMJUs also establish new ESA program delivery contracts through an open solicitation process for this new cycle, we will not require it at this time as the modifications to the SMJUs’ ESA design and </w:t>
      </w:r>
      <w:r>
        <w:lastRenderedPageBreak/>
        <w:t xml:space="preserve">delivery are less extensive than those for the large IOUs and the potentials for a competitive pool of bidders in the SMJUs’ territories are unknown at this time. However, for greater transparency, and to see where consistency with the large IOUs is possible, each SMJU shall file a Tier 1 advice letter by </w:t>
      </w:r>
      <w:r w:rsidRPr="00C93CD9">
        <w:t>June 1, 2022</w:t>
      </w:r>
      <w:r>
        <w:t>,</w:t>
      </w:r>
      <w:r w:rsidRPr="00C93CD9">
        <w:t xml:space="preserve"> </w:t>
      </w:r>
      <w:r>
        <w:t>identifying</w:t>
      </w:r>
      <w:r w:rsidRPr="00C93CD9">
        <w:t xml:space="preserve"> </w:t>
      </w:r>
      <w:r>
        <w:t>its</w:t>
      </w:r>
      <w:r w:rsidRPr="00C93CD9">
        <w:t xml:space="preserve"> solicitation and contracting practices</w:t>
      </w:r>
      <w:r>
        <w:t xml:space="preserve"> and processes </w:t>
      </w:r>
      <w:r w:rsidRPr="00C93CD9">
        <w:t>for contract</w:t>
      </w:r>
      <w:r>
        <w:t>or</w:t>
      </w:r>
      <w:r w:rsidRPr="00C93CD9">
        <w:t xml:space="preserve"> selection and/or contract amendment</w:t>
      </w:r>
      <w:r>
        <w:t>s</w:t>
      </w:r>
      <w:r w:rsidRPr="00C93CD9">
        <w:t xml:space="preserve"> </w:t>
      </w:r>
      <w:r>
        <w:t xml:space="preserve">for the 2022-2026 </w:t>
      </w:r>
      <w:r w:rsidRPr="00C93CD9">
        <w:t xml:space="preserve">ESA program. </w:t>
      </w:r>
      <w:r w:rsidR="00264851">
        <w:t xml:space="preserve"> </w:t>
      </w:r>
      <w:r>
        <w:t>T</w:t>
      </w:r>
      <w:r w:rsidRPr="00C93CD9">
        <w:t>he Tier</w:t>
      </w:r>
      <w:r>
        <w:t> </w:t>
      </w:r>
      <w:r w:rsidRPr="00C93CD9">
        <w:t>1 advice letter shall include:</w:t>
      </w:r>
    </w:p>
    <w:p w:rsidRPr="00C93CD9" w:rsidR="008959A4" w:rsidP="00C478B4" w:rsidRDefault="008959A4" w14:paraId="7D860EC3" w14:textId="77777777">
      <w:pPr>
        <w:pStyle w:val="Standard"/>
        <w:numPr>
          <w:ilvl w:val="0"/>
          <w:numId w:val="28"/>
        </w:numPr>
        <w:spacing w:after="120" w:line="240" w:lineRule="auto"/>
        <w:ind w:right="1440"/>
      </w:pPr>
      <w:r w:rsidRPr="00C93CD9">
        <w:t xml:space="preserve">When the ESA contractor was selected and </w:t>
      </w:r>
      <w:r>
        <w:t>what selection</w:t>
      </w:r>
      <w:r w:rsidRPr="00C93CD9">
        <w:t xml:space="preserve"> process </w:t>
      </w:r>
      <w:r>
        <w:t>was</w:t>
      </w:r>
      <w:r w:rsidRPr="00C93CD9">
        <w:t xml:space="preserve"> used (e.g., open competitive bidding, bids from a limited or invited pool)</w:t>
      </w:r>
      <w:r>
        <w:t>.</w:t>
      </w:r>
    </w:p>
    <w:p w:rsidRPr="00C93CD9" w:rsidR="008959A4" w:rsidP="00C478B4" w:rsidRDefault="008959A4" w14:paraId="1AF14168" w14:textId="77777777">
      <w:pPr>
        <w:pStyle w:val="Standard"/>
        <w:numPr>
          <w:ilvl w:val="0"/>
          <w:numId w:val="28"/>
        </w:numPr>
        <w:spacing w:after="120" w:line="240" w:lineRule="auto"/>
        <w:ind w:right="1440"/>
      </w:pPr>
      <w:r w:rsidRPr="00C93CD9">
        <w:t>What effort</w:t>
      </w:r>
      <w:r>
        <w:t>s were</w:t>
      </w:r>
      <w:r w:rsidRPr="00C93CD9">
        <w:t xml:space="preserve"> taken to identify potential qualified entities to perform the work and build awareness of the opportunity to bid for the ESA contract</w:t>
      </w:r>
      <w:r>
        <w:t>.</w:t>
      </w:r>
    </w:p>
    <w:p w:rsidR="008959A4" w:rsidP="00C478B4" w:rsidRDefault="008959A4" w14:paraId="34670248" w14:textId="77777777">
      <w:pPr>
        <w:pStyle w:val="Standard"/>
        <w:numPr>
          <w:ilvl w:val="0"/>
          <w:numId w:val="28"/>
        </w:numPr>
        <w:spacing w:after="120" w:line="240" w:lineRule="auto"/>
        <w:ind w:right="1440"/>
      </w:pPr>
      <w:r w:rsidRPr="00C93CD9">
        <w:t xml:space="preserve">What practices </w:t>
      </w:r>
      <w:r>
        <w:t>were used</w:t>
      </w:r>
      <w:r w:rsidRPr="00C93CD9">
        <w:t xml:space="preserve"> to ensure a fair, unbiased, transparent, and rigorous selection process, from </w:t>
      </w:r>
      <w:r>
        <w:t>the request for offer/proposal</w:t>
      </w:r>
      <w:r w:rsidRPr="00C93CD9">
        <w:t xml:space="preserve"> design, through bidder evaluation, to contract negotiation</w:t>
      </w:r>
      <w:r>
        <w:t>.</w:t>
      </w:r>
    </w:p>
    <w:p w:rsidRPr="00C93CD9" w:rsidR="008959A4" w:rsidP="00C478B4" w:rsidRDefault="008959A4" w14:paraId="6ECF5347" w14:textId="77777777">
      <w:pPr>
        <w:pStyle w:val="Standard"/>
        <w:numPr>
          <w:ilvl w:val="0"/>
          <w:numId w:val="28"/>
        </w:numPr>
        <w:spacing w:after="120" w:line="240" w:lineRule="auto"/>
        <w:ind w:right="1440"/>
      </w:pPr>
      <w:r w:rsidRPr="00C478B4">
        <w:t>What amendments, if any, were made to existing contracts to ensure compliance with this decision.</w:t>
      </w:r>
    </w:p>
    <w:p w:rsidRPr="005720D3" w:rsidR="008959A4" w:rsidP="00C478B4" w:rsidRDefault="008959A4" w14:paraId="22BAC3CE" w14:textId="77777777">
      <w:pPr>
        <w:pStyle w:val="Standard"/>
        <w:numPr>
          <w:ilvl w:val="0"/>
          <w:numId w:val="28"/>
        </w:numPr>
        <w:spacing w:after="120" w:line="240" w:lineRule="auto"/>
        <w:ind w:right="1440"/>
      </w:pPr>
      <w:r>
        <w:t>I</w:t>
      </w:r>
      <w:r w:rsidRPr="00C93CD9">
        <w:t>dentify all contract terms and conditions that can be standard</w:t>
      </w:r>
      <w:r>
        <w:t>ized</w:t>
      </w:r>
      <w:r w:rsidRPr="00C93CD9">
        <w:t xml:space="preserve"> across all contracts and/or all the </w:t>
      </w:r>
      <w:r>
        <w:t xml:space="preserve">SMJUs, </w:t>
      </w:r>
      <w:r w:rsidRPr="00C93CD9">
        <w:t xml:space="preserve">such as those in </w:t>
      </w:r>
      <w:r>
        <w:t>D.</w:t>
      </w:r>
      <w:r w:rsidRPr="00C93CD9">
        <w:t>18-01-004 Attachment A Standard Contract Terms for finalized Energy Savings Assistance program contracts</w:t>
      </w:r>
      <w:r>
        <w:t>.</w:t>
      </w:r>
    </w:p>
    <w:p w:rsidR="008959A4" w:rsidP="008959A4" w:rsidRDefault="008959A4" w14:paraId="71F676CC" w14:textId="77777777">
      <w:pPr>
        <w:pStyle w:val="Heading2"/>
      </w:pPr>
      <w:bookmarkStart w:name="_Toc82159769" w:id="190"/>
      <w:r w:rsidRPr="00571CAA">
        <w:t xml:space="preserve">ESA </w:t>
      </w:r>
      <w:r>
        <w:t>Program Measures</w:t>
      </w:r>
      <w:bookmarkEnd w:id="190"/>
    </w:p>
    <w:p w:rsidR="008959A4" w:rsidP="008959A4" w:rsidRDefault="008959A4" w14:paraId="17385C75" w14:textId="77777777">
      <w:pPr>
        <w:pStyle w:val="Heading3"/>
      </w:pPr>
      <w:bookmarkStart w:name="_Toc82159770" w:id="191"/>
      <w:r>
        <w:t>Background</w:t>
      </w:r>
      <w:bookmarkEnd w:id="191"/>
    </w:p>
    <w:p w:rsidR="008959A4" w:rsidP="008959A4" w:rsidRDefault="008959A4" w14:paraId="683FC127" w14:textId="77777777">
      <w:pPr>
        <w:pStyle w:val="ALJBodyText"/>
      </w:pPr>
      <w:r w:rsidRPr="00C64CC6">
        <w:t>Decision 1</w:t>
      </w:r>
      <w:r>
        <w:t xml:space="preserve">8-08-020 approved a portfolio of measures for the ESA program through PY 2020.  The Commission granted variations in the SMJU measure offerings to allow for flexibility and in recognition of each SMJUs’ unique characteristics of the service territory, geography, climate zones, size of customer base, and customer profile.  This resulted in SMJU portfolios that varied in </w:t>
      </w:r>
      <w:r>
        <w:lastRenderedPageBreak/>
        <w:t>measure offerings by housing types, climate zones and HCS needs.  By the end of the 2020 cycle, the SMJUs were expected to have already</w:t>
      </w:r>
      <w:r w:rsidRPr="00F034C8">
        <w:t xml:space="preserve"> treated nearly every ESA</w:t>
      </w:r>
      <w:r>
        <w:t xml:space="preserve"> </w:t>
      </w:r>
      <w:r w:rsidRPr="00F034C8">
        <w:t>eligible</w:t>
      </w:r>
      <w:r>
        <w:t xml:space="preserve"> </w:t>
      </w:r>
      <w:r w:rsidRPr="00F034C8">
        <w:t>household with basic measures</w:t>
      </w:r>
      <w:r>
        <w:t>.  For PYs 2021-2026, the SMJUs were directed to propose a measure mix that would result in deeper energy savings, as well as identify new, modified, and retired measures.</w:t>
      </w:r>
      <w:r>
        <w:rPr>
          <w:rStyle w:val="FootnoteReference"/>
        </w:rPr>
        <w:footnoteReference w:id="135"/>
      </w:r>
      <w:r>
        <w:t xml:space="preserve"> </w:t>
      </w:r>
    </w:p>
    <w:p w:rsidR="008959A4" w:rsidP="008959A4" w:rsidRDefault="008959A4" w14:paraId="70E1EE66" w14:textId="77777777">
      <w:pPr>
        <w:pStyle w:val="Heading3"/>
      </w:pPr>
      <w:bookmarkStart w:name="_Toc82159771" w:id="192"/>
      <w:r>
        <w:t>Alpine Proposal</w:t>
      </w:r>
      <w:bookmarkEnd w:id="192"/>
    </w:p>
    <w:p w:rsidRPr="00B67A77" w:rsidR="008959A4" w:rsidP="008959A4" w:rsidRDefault="008959A4" w14:paraId="2683BB36" w14:textId="77777777">
      <w:pPr>
        <w:pStyle w:val="ALJBodyText"/>
      </w:pPr>
      <w:r>
        <w:rPr>
          <w:b/>
          <w:bCs/>
          <w:i/>
          <w:iCs/>
          <w:u w:val="single"/>
        </w:rPr>
        <w:t xml:space="preserve">PYs 2021-2026 </w:t>
      </w:r>
      <w:r w:rsidRPr="00B35EFD">
        <w:rPr>
          <w:b/>
          <w:bCs/>
          <w:i/>
          <w:iCs/>
          <w:u w:val="single"/>
        </w:rPr>
        <w:t>Measure Portfolio</w:t>
      </w:r>
      <w:r>
        <w:t xml:space="preserve">:  </w:t>
      </w:r>
      <w:r w:rsidRPr="00213704">
        <w:t xml:space="preserve">Alpine proposes </w:t>
      </w:r>
      <w:r>
        <w:t>to continue offering the previous cycle’s</w:t>
      </w:r>
      <w:r w:rsidRPr="00213704">
        <w:t xml:space="preserve"> measure mix </w:t>
      </w:r>
      <w:r>
        <w:t>with the</w:t>
      </w:r>
      <w:r w:rsidRPr="00213704">
        <w:t xml:space="preserve"> addition of the </w:t>
      </w:r>
      <w:r>
        <w:t>s</w:t>
      </w:r>
      <w:r w:rsidRPr="00213704">
        <w:t xml:space="preserve">mart </w:t>
      </w:r>
      <w:r>
        <w:t>t</w:t>
      </w:r>
      <w:r w:rsidRPr="00213704">
        <w:t>hermostat.</w:t>
      </w:r>
      <w:r>
        <w:t xml:space="preserve">  The portfolio of measures will include but is not limited to e</w:t>
      </w:r>
      <w:r w:rsidRPr="00C27CF7">
        <w:t xml:space="preserve">nergy </w:t>
      </w:r>
      <w:r>
        <w:t>e</w:t>
      </w:r>
      <w:r w:rsidRPr="00C27CF7">
        <w:t>ducation</w:t>
      </w:r>
      <w:r>
        <w:t>, a</w:t>
      </w:r>
      <w:r w:rsidRPr="00C27CF7">
        <w:t xml:space="preserve">ttic </w:t>
      </w:r>
      <w:r>
        <w:t>retrofits (a</w:t>
      </w:r>
      <w:r w:rsidRPr="00C27CF7">
        <w:t xml:space="preserve">ttic </w:t>
      </w:r>
      <w:r>
        <w:t>a</w:t>
      </w:r>
      <w:r w:rsidRPr="00C27CF7">
        <w:t xml:space="preserve">ccess </w:t>
      </w:r>
      <w:r>
        <w:t>i</w:t>
      </w:r>
      <w:r w:rsidRPr="00C27CF7">
        <w:t>nstall</w:t>
      </w:r>
      <w:r>
        <w:t>, w</w:t>
      </w:r>
      <w:r w:rsidRPr="00C27CF7">
        <w:t xml:space="preserve">eather </w:t>
      </w:r>
      <w:r>
        <w:t>s</w:t>
      </w:r>
      <w:r w:rsidRPr="00C27CF7">
        <w:t>tripping</w:t>
      </w:r>
      <w:r>
        <w:t>, carbon monoxide/s</w:t>
      </w:r>
      <w:r w:rsidRPr="00C27CF7">
        <w:t>moke</w:t>
      </w:r>
      <w:r w:rsidRPr="008D0FCC">
        <w:t xml:space="preserve"> </w:t>
      </w:r>
      <w:r>
        <w:t>c</w:t>
      </w:r>
      <w:r w:rsidRPr="00C27CF7">
        <w:t>ombo</w:t>
      </w:r>
      <w:r>
        <w:t>, i</w:t>
      </w:r>
      <w:r w:rsidRPr="00C27CF7">
        <w:t>nsulation</w:t>
      </w:r>
      <w:r>
        <w:t>, v</w:t>
      </w:r>
      <w:r w:rsidRPr="00C27CF7">
        <w:t>enting</w:t>
      </w:r>
      <w:r>
        <w:t>), c</w:t>
      </w:r>
      <w:r w:rsidRPr="00C27CF7">
        <w:t>aulking</w:t>
      </w:r>
      <w:r>
        <w:t>,</w:t>
      </w:r>
      <w:r w:rsidRPr="00C27CF7">
        <w:t xml:space="preserve"> </w:t>
      </w:r>
      <w:r>
        <w:t>c</w:t>
      </w:r>
      <w:r w:rsidRPr="00C27CF7">
        <w:t>eiling</w:t>
      </w:r>
      <w:r>
        <w:t xml:space="preserve"> and floor</w:t>
      </w:r>
      <w:r w:rsidRPr="00C27CF7">
        <w:t xml:space="preserve"> </w:t>
      </w:r>
      <w:r>
        <w:t>r</w:t>
      </w:r>
      <w:r w:rsidRPr="00C27CF7">
        <w:t>epair</w:t>
      </w:r>
      <w:r>
        <w:t>s, d</w:t>
      </w:r>
      <w:r w:rsidRPr="00C27CF7">
        <w:t>oor</w:t>
      </w:r>
      <w:r>
        <w:t xml:space="preserve"> retrofits and replacements, d</w:t>
      </w:r>
      <w:r w:rsidRPr="00C27CF7">
        <w:t xml:space="preserve">uct </w:t>
      </w:r>
      <w:r>
        <w:t>a</w:t>
      </w:r>
      <w:r w:rsidRPr="00C27CF7">
        <w:t>ssessment</w:t>
      </w:r>
      <w:r>
        <w:t>, test and seal, fan and vent repairs, m</w:t>
      </w:r>
      <w:r w:rsidRPr="00C27CF7">
        <w:t>icrowave</w:t>
      </w:r>
      <w:r>
        <w:t>s, p</w:t>
      </w:r>
      <w:r w:rsidRPr="00C27CF7">
        <w:t xml:space="preserve">ipe </w:t>
      </w:r>
      <w:r>
        <w:t>i</w:t>
      </w:r>
      <w:r w:rsidRPr="00C27CF7">
        <w:t>nsulation</w:t>
      </w:r>
      <w:r>
        <w:t>, s</w:t>
      </w:r>
      <w:r w:rsidRPr="00C27CF7">
        <w:t xml:space="preserve">mart </w:t>
      </w:r>
      <w:r>
        <w:t>p</w:t>
      </w:r>
      <w:r w:rsidRPr="00C27CF7">
        <w:t xml:space="preserve">ower </w:t>
      </w:r>
      <w:r>
        <w:t>s</w:t>
      </w:r>
      <w:r w:rsidRPr="00C27CF7">
        <w:t>trip</w:t>
      </w:r>
      <w:r>
        <w:t>s, s</w:t>
      </w:r>
      <w:r w:rsidRPr="00C27CF7">
        <w:t xml:space="preserve">mart </w:t>
      </w:r>
      <w:r>
        <w:t>t</w:t>
      </w:r>
      <w:r w:rsidRPr="00C27CF7">
        <w:t>hermostat</w:t>
      </w:r>
      <w:r>
        <w:t>s,</w:t>
      </w:r>
      <w:r w:rsidRPr="00703726">
        <w:t xml:space="preserve"> </w:t>
      </w:r>
      <w:r>
        <w:t>t</w:t>
      </w:r>
      <w:r w:rsidRPr="00C27CF7">
        <w:t xml:space="preserve">hermostatic </w:t>
      </w:r>
      <w:r>
        <w:t>s</w:t>
      </w:r>
      <w:r w:rsidRPr="00C27CF7">
        <w:t xml:space="preserve">hower </w:t>
      </w:r>
      <w:r>
        <w:t>v</w:t>
      </w:r>
      <w:r w:rsidRPr="00C27CF7">
        <w:t>alves</w:t>
      </w:r>
      <w:r>
        <w:t>, w</w:t>
      </w:r>
      <w:r w:rsidRPr="00C27CF7">
        <w:t xml:space="preserve">ater </w:t>
      </w:r>
      <w:r>
        <w:t>h</w:t>
      </w:r>
      <w:r w:rsidRPr="00C27CF7">
        <w:t xml:space="preserve">eater </w:t>
      </w:r>
      <w:r>
        <w:t>b</w:t>
      </w:r>
      <w:r w:rsidRPr="00C27CF7">
        <w:t>lanket</w:t>
      </w:r>
      <w:r>
        <w:t>s, w</w:t>
      </w:r>
      <w:r w:rsidRPr="00C27CF7">
        <w:t xml:space="preserve">indow </w:t>
      </w:r>
      <w:r>
        <w:t>a</w:t>
      </w:r>
      <w:r w:rsidRPr="00C27CF7">
        <w:t xml:space="preserve">ssembly </w:t>
      </w:r>
      <w:r>
        <w:t>and r</w:t>
      </w:r>
      <w:r w:rsidRPr="00C27CF7">
        <w:t>eplace</w:t>
      </w:r>
      <w:r w:rsidRPr="00E1620B">
        <w:t xml:space="preserve">ments, </w:t>
      </w:r>
      <w:r>
        <w:t>and g</w:t>
      </w:r>
      <w:r w:rsidRPr="00E1620B">
        <w:t xml:space="preserve">as </w:t>
      </w:r>
      <w:r>
        <w:t>furnace and heater r</w:t>
      </w:r>
      <w:r w:rsidRPr="00E1620B">
        <w:t xml:space="preserve">epair and </w:t>
      </w:r>
      <w:r>
        <w:t>r</w:t>
      </w:r>
      <w:r w:rsidRPr="00E1620B">
        <w:t>eplacement</w:t>
      </w:r>
      <w:r>
        <w:t>s</w:t>
      </w:r>
      <w:r w:rsidRPr="00E1620B">
        <w:t>.</w:t>
      </w:r>
      <w:r w:rsidRPr="00213704">
        <w:rPr>
          <w:vertAlign w:val="superscript"/>
        </w:rPr>
        <w:footnoteReference w:id="136"/>
      </w:r>
    </w:p>
    <w:p w:rsidR="008959A4" w:rsidP="008959A4" w:rsidRDefault="008959A4" w14:paraId="26B1DFB5" w14:textId="77777777">
      <w:pPr>
        <w:pStyle w:val="ALJBodyText"/>
      </w:pPr>
      <w:r>
        <w:rPr>
          <w:b/>
          <w:bCs/>
          <w:i/>
          <w:iCs/>
          <w:u w:val="single"/>
        </w:rPr>
        <w:t xml:space="preserve">New </w:t>
      </w:r>
      <w:r w:rsidRPr="00AA73D0">
        <w:rPr>
          <w:b/>
          <w:bCs/>
          <w:i/>
          <w:iCs/>
          <w:u w:val="single"/>
        </w:rPr>
        <w:t>Measures</w:t>
      </w:r>
      <w:r>
        <w:t xml:space="preserve">:  </w:t>
      </w:r>
      <w:r w:rsidRPr="002219CD">
        <w:t xml:space="preserve">Alpine proposes the addition of the </w:t>
      </w:r>
      <w:r>
        <w:t>s</w:t>
      </w:r>
      <w:r w:rsidRPr="002219CD">
        <w:t xml:space="preserve">mart </w:t>
      </w:r>
      <w:r>
        <w:t>t</w:t>
      </w:r>
      <w:r w:rsidRPr="002219CD">
        <w:t>hermostat.</w:t>
      </w:r>
      <w:r w:rsidRPr="002219CD">
        <w:rPr>
          <w:vertAlign w:val="superscript"/>
        </w:rPr>
        <w:footnoteReference w:id="137"/>
      </w:r>
    </w:p>
    <w:p w:rsidRPr="002219CD" w:rsidR="008959A4" w:rsidP="008959A4" w:rsidRDefault="008959A4" w14:paraId="10DFFB79" w14:textId="77777777">
      <w:pPr>
        <w:pStyle w:val="ALJBodyText"/>
      </w:pPr>
      <w:r>
        <w:rPr>
          <w:b/>
          <w:bCs/>
          <w:i/>
          <w:iCs/>
          <w:u w:val="single"/>
        </w:rPr>
        <w:t xml:space="preserve">Retired </w:t>
      </w:r>
      <w:r w:rsidRPr="00AA73D0">
        <w:rPr>
          <w:b/>
          <w:bCs/>
          <w:i/>
          <w:iCs/>
          <w:u w:val="single"/>
        </w:rPr>
        <w:t>Measures</w:t>
      </w:r>
      <w:r>
        <w:t>:</w:t>
      </w:r>
      <w:r w:rsidRPr="005A15C9">
        <w:t xml:space="preserve"> </w:t>
      </w:r>
      <w:r>
        <w:t xml:space="preserve"> </w:t>
      </w:r>
      <w:r w:rsidRPr="002219CD">
        <w:t xml:space="preserve">Alpine </w:t>
      </w:r>
      <w:r>
        <w:t xml:space="preserve">does not </w:t>
      </w:r>
      <w:r w:rsidRPr="002219CD">
        <w:t>propose</w:t>
      </w:r>
      <w:r>
        <w:t xml:space="preserve"> retiring any measures.</w:t>
      </w:r>
    </w:p>
    <w:p w:rsidR="008959A4" w:rsidP="008959A4" w:rsidRDefault="008959A4" w14:paraId="7BBF06D4" w14:textId="77777777">
      <w:pPr>
        <w:pStyle w:val="Heading3"/>
      </w:pPr>
      <w:bookmarkStart w:name="_Toc82159772" w:id="193"/>
      <w:r>
        <w:t>Bear Valley Proposal</w:t>
      </w:r>
      <w:bookmarkEnd w:id="193"/>
    </w:p>
    <w:p w:rsidR="008959A4" w:rsidP="008959A4" w:rsidRDefault="008959A4" w14:paraId="6A75E3DB" w14:textId="77777777">
      <w:pPr>
        <w:pStyle w:val="ALJBodyText"/>
      </w:pPr>
      <w:r>
        <w:rPr>
          <w:b/>
          <w:bCs/>
          <w:i/>
          <w:iCs/>
          <w:u w:val="single"/>
        </w:rPr>
        <w:t xml:space="preserve">PYs 2021-2026 </w:t>
      </w:r>
      <w:r w:rsidRPr="00B35EFD">
        <w:rPr>
          <w:b/>
          <w:bCs/>
          <w:i/>
          <w:iCs/>
          <w:u w:val="single"/>
        </w:rPr>
        <w:t>Measure Portfolio</w:t>
      </w:r>
      <w:r w:rsidRPr="00405E64">
        <w:rPr>
          <w:b/>
          <w:bCs/>
          <w:i/>
          <w:iCs/>
        </w:rPr>
        <w:t>:</w:t>
      </w:r>
      <w:r w:rsidRPr="00405E64">
        <w:t xml:space="preserve">  </w:t>
      </w:r>
      <w:r>
        <w:t>Bear Valley proposes to continue offering the previous cycle’s</w:t>
      </w:r>
      <w:r w:rsidRPr="00213704">
        <w:t xml:space="preserve"> measure mix </w:t>
      </w:r>
      <w:r>
        <w:t>including but</w:t>
      </w:r>
      <w:r w:rsidRPr="008D2485">
        <w:t xml:space="preserve"> not limited to</w:t>
      </w:r>
      <w:r>
        <w:t xml:space="preserve"> </w:t>
      </w:r>
      <w:r w:rsidRPr="008D2485">
        <w:t>LED lamps and hardwired LED fixtures</w:t>
      </w:r>
      <w:r>
        <w:t>, q</w:t>
      </w:r>
      <w:r w:rsidRPr="008D2485">
        <w:t>ualifying refrigerator and microwave replacement</w:t>
      </w:r>
      <w:r>
        <w:t>, L</w:t>
      </w:r>
      <w:r w:rsidRPr="008D2485">
        <w:t>ED night lights and power strips</w:t>
      </w:r>
      <w:r>
        <w:t xml:space="preserve">, </w:t>
      </w:r>
      <w:r w:rsidRPr="008D2485">
        <w:t>and</w:t>
      </w:r>
      <w:r>
        <w:t xml:space="preserve"> possibly </w:t>
      </w:r>
      <w:r w:rsidRPr="008D2485">
        <w:t>electric furnace repair or replacement, sealing of</w:t>
      </w:r>
      <w:r>
        <w:t xml:space="preserve"> </w:t>
      </w:r>
      <w:r w:rsidRPr="008D2485">
        <w:t>ducts, low flow shower head</w:t>
      </w:r>
      <w:r>
        <w:t>s</w:t>
      </w:r>
      <w:r w:rsidRPr="008D2485">
        <w:t xml:space="preserve"> and faucet </w:t>
      </w:r>
      <w:r w:rsidRPr="008D2485">
        <w:lastRenderedPageBreak/>
        <w:t>aerators, electric water heater</w:t>
      </w:r>
      <w:r>
        <w:t>s</w:t>
      </w:r>
      <w:r w:rsidRPr="008D2485">
        <w:t>, and</w:t>
      </w:r>
      <w:r>
        <w:t xml:space="preserve"> </w:t>
      </w:r>
      <w:r w:rsidRPr="008D2485">
        <w:t>other weatherization measures, when applicable (</w:t>
      </w:r>
      <w:r w:rsidRPr="00405E64">
        <w:rPr>
          <w:i/>
          <w:iCs/>
        </w:rPr>
        <w:t>e.g.</w:t>
      </w:r>
      <w:r w:rsidRPr="008D2485">
        <w:t>, insulation, weather</w:t>
      </w:r>
      <w:r>
        <w:t xml:space="preserve"> </w:t>
      </w:r>
      <w:r w:rsidRPr="008D2485">
        <w:t>stripping, caulking, etc.)</w:t>
      </w:r>
      <w:r>
        <w:t xml:space="preserve"> </w:t>
      </w:r>
      <w:r w:rsidRPr="008D2485">
        <w:t>depending on the conditions of a customer’s premise</w:t>
      </w:r>
      <w:r>
        <w:t>.</w:t>
      </w:r>
      <w:r>
        <w:rPr>
          <w:rStyle w:val="FootnoteReference"/>
        </w:rPr>
        <w:footnoteReference w:id="138"/>
      </w:r>
      <w:r>
        <w:t xml:space="preserve"> </w:t>
      </w:r>
    </w:p>
    <w:p w:rsidR="008959A4" w:rsidP="008959A4" w:rsidRDefault="008959A4" w14:paraId="47B337AD" w14:textId="77777777">
      <w:pPr>
        <w:pStyle w:val="ALJBodyText"/>
      </w:pPr>
      <w:r>
        <w:t>With regards to energy education, Bear Valley</w:t>
      </w:r>
      <w:r w:rsidRPr="00193E71">
        <w:t xml:space="preserve"> is developing new materials and practices.</w:t>
      </w:r>
      <w:r>
        <w:t xml:space="preserve"> </w:t>
      </w:r>
      <w:r w:rsidRPr="00193E71">
        <w:t xml:space="preserve"> </w:t>
      </w:r>
      <w:r>
        <w:t>Bear Valley states that it has</w:t>
      </w:r>
      <w:r w:rsidRPr="00193E71">
        <w:t xml:space="preserve"> reviewed the</w:t>
      </w:r>
      <w:r>
        <w:t xml:space="preserve"> </w:t>
      </w:r>
      <w:r w:rsidRPr="00193E71">
        <w:t>recommendations in the “Energy Savings Assistance Program, Energy Education Research, Final</w:t>
      </w:r>
      <w:r>
        <w:t xml:space="preserve"> </w:t>
      </w:r>
      <w:r w:rsidRPr="00193E71">
        <w:t>Report, October 2013</w:t>
      </w:r>
      <w:r>
        <w:t>,</w:t>
      </w:r>
      <w:r w:rsidRPr="00193E71">
        <w:t>” and will work with its contractor to make sure that field personnel are well</w:t>
      </w:r>
      <w:r>
        <w:t xml:space="preserve"> </w:t>
      </w:r>
      <w:r w:rsidRPr="00193E71">
        <w:t xml:space="preserve">trained and will provide cost saving information to </w:t>
      </w:r>
      <w:r>
        <w:t>Bear Valley</w:t>
      </w:r>
      <w:r w:rsidRPr="00193E71">
        <w:t xml:space="preserve"> customers. </w:t>
      </w:r>
      <w:r>
        <w:t xml:space="preserve"> </w:t>
      </w:r>
      <w:r w:rsidRPr="00193E71">
        <w:t>B</w:t>
      </w:r>
      <w:r>
        <w:t xml:space="preserve">ear </w:t>
      </w:r>
      <w:r w:rsidRPr="00193E71">
        <w:t>V</w:t>
      </w:r>
      <w:r>
        <w:t xml:space="preserve">alley’s </w:t>
      </w:r>
      <w:r w:rsidRPr="00193E71">
        <w:t>program manager</w:t>
      </w:r>
      <w:r>
        <w:t xml:space="preserve"> </w:t>
      </w:r>
      <w:r w:rsidRPr="00193E71">
        <w:t xml:space="preserve">will </w:t>
      </w:r>
      <w:r>
        <w:t xml:space="preserve">also </w:t>
      </w:r>
      <w:r w:rsidRPr="00193E71">
        <w:t>follow up telephonically or in person as a part of the post installation verification process.</w:t>
      </w:r>
      <w:r>
        <w:rPr>
          <w:rStyle w:val="FootnoteReference"/>
        </w:rPr>
        <w:footnoteReference w:id="139"/>
      </w:r>
    </w:p>
    <w:p w:rsidR="008959A4" w:rsidP="008959A4" w:rsidRDefault="008959A4" w14:paraId="416BD000" w14:textId="77777777">
      <w:pPr>
        <w:pStyle w:val="ALJBodyText"/>
      </w:pPr>
      <w:r>
        <w:rPr>
          <w:b/>
          <w:bCs/>
          <w:i/>
          <w:iCs/>
          <w:u w:val="single"/>
        </w:rPr>
        <w:t xml:space="preserve">New </w:t>
      </w:r>
      <w:r w:rsidRPr="00AA73D0">
        <w:rPr>
          <w:b/>
          <w:bCs/>
          <w:i/>
          <w:iCs/>
          <w:u w:val="single"/>
        </w:rPr>
        <w:t>Measures</w:t>
      </w:r>
      <w:r>
        <w:t>:  Bear Valley</w:t>
      </w:r>
      <w:r w:rsidRPr="00193E71">
        <w:t xml:space="preserve"> </w:t>
      </w:r>
      <w:r>
        <w:t xml:space="preserve">does not </w:t>
      </w:r>
      <w:r w:rsidRPr="002219CD">
        <w:t>propose</w:t>
      </w:r>
      <w:r>
        <w:t xml:space="preserve"> any</w:t>
      </w:r>
      <w:r w:rsidRPr="002219CD">
        <w:t xml:space="preserve"> </w:t>
      </w:r>
      <w:r>
        <w:t>new measures.</w:t>
      </w:r>
    </w:p>
    <w:p w:rsidRPr="002219CD" w:rsidR="008959A4" w:rsidP="008959A4" w:rsidRDefault="008959A4" w14:paraId="601755E8" w14:textId="77777777">
      <w:pPr>
        <w:pStyle w:val="ALJBodyText"/>
      </w:pPr>
      <w:r>
        <w:rPr>
          <w:b/>
          <w:bCs/>
          <w:i/>
          <w:iCs/>
          <w:u w:val="single"/>
        </w:rPr>
        <w:t xml:space="preserve">Retired </w:t>
      </w:r>
      <w:r w:rsidRPr="00AA73D0">
        <w:rPr>
          <w:b/>
          <w:bCs/>
          <w:i/>
          <w:iCs/>
          <w:u w:val="single"/>
        </w:rPr>
        <w:t>Measures</w:t>
      </w:r>
      <w:r>
        <w:t>:</w:t>
      </w:r>
      <w:r w:rsidRPr="005A15C9">
        <w:t xml:space="preserve"> </w:t>
      </w:r>
      <w:r>
        <w:t xml:space="preserve"> Bear Valley</w:t>
      </w:r>
      <w:r w:rsidRPr="00193E71">
        <w:t xml:space="preserve"> </w:t>
      </w:r>
      <w:r>
        <w:t xml:space="preserve">does not </w:t>
      </w:r>
      <w:r w:rsidRPr="002219CD">
        <w:t xml:space="preserve">propose </w:t>
      </w:r>
      <w:r>
        <w:t>retiring any measures.</w:t>
      </w:r>
    </w:p>
    <w:p w:rsidR="008959A4" w:rsidP="008959A4" w:rsidRDefault="008959A4" w14:paraId="7A47912D" w14:textId="77777777">
      <w:pPr>
        <w:pStyle w:val="Heading3"/>
      </w:pPr>
      <w:bookmarkStart w:name="_Toc82159773" w:id="194"/>
      <w:r>
        <w:t>Liberty Proposal</w:t>
      </w:r>
      <w:bookmarkEnd w:id="194"/>
    </w:p>
    <w:p w:rsidR="008959A4" w:rsidP="008959A4" w:rsidRDefault="008959A4" w14:paraId="26995AC5" w14:textId="77777777">
      <w:pPr>
        <w:pStyle w:val="ALJBodyText"/>
      </w:pPr>
      <w:r>
        <w:rPr>
          <w:b/>
          <w:bCs/>
          <w:i/>
          <w:iCs/>
          <w:u w:val="single"/>
        </w:rPr>
        <w:t xml:space="preserve">PYs 2021-2026 </w:t>
      </w:r>
      <w:r w:rsidRPr="00B35EFD">
        <w:rPr>
          <w:b/>
          <w:bCs/>
          <w:i/>
          <w:iCs/>
          <w:u w:val="single"/>
        </w:rPr>
        <w:t>Measure Portfolio</w:t>
      </w:r>
      <w:r>
        <w:rPr>
          <w:b/>
          <w:bCs/>
          <w:i/>
          <w:iCs/>
          <w:u w:val="single"/>
        </w:rPr>
        <w:t>:</w:t>
      </w:r>
      <w:r>
        <w:t xml:space="preserve"> Liberty proposes to continue offering the previous cycle’s</w:t>
      </w:r>
      <w:r w:rsidRPr="00213704">
        <w:t xml:space="preserve"> measure mix</w:t>
      </w:r>
      <w:r>
        <w:t xml:space="preserve"> including but not limited to, w</w:t>
      </w:r>
      <w:r w:rsidRPr="00CC5F21">
        <w:t>eatherization</w:t>
      </w:r>
      <w:r>
        <w:t xml:space="preserve"> (</w:t>
      </w:r>
      <w:r w:rsidRPr="00CC5F21">
        <w:t>cover</w:t>
      </w:r>
      <w:r>
        <w:t> </w:t>
      </w:r>
      <w:r w:rsidRPr="00CC5F21">
        <w:t>plates/gaskets, insulation, water heater blankets, water heater pipe wrap,</w:t>
      </w:r>
      <w:r>
        <w:t xml:space="preserve"> </w:t>
      </w:r>
      <w:r w:rsidRPr="00CC5F21">
        <w:t>low</w:t>
      </w:r>
      <w:r>
        <w:noBreakHyphen/>
      </w:r>
      <w:r w:rsidRPr="00CC5F21">
        <w:t>flow shower heads, faucet aerators, weather-stripping, caulking, and minor home repairs</w:t>
      </w:r>
      <w:r>
        <w:t>)</w:t>
      </w:r>
      <w:r w:rsidRPr="00CC5F21">
        <w:t>, energy education, efficient lighting, and energy-efficient appliances.</w:t>
      </w:r>
    </w:p>
    <w:p w:rsidR="008959A4" w:rsidP="008959A4" w:rsidRDefault="008959A4" w14:paraId="643BEEF0" w14:textId="77777777">
      <w:pPr>
        <w:pStyle w:val="ALJBodyText"/>
      </w:pPr>
      <w:r w:rsidRPr="00731B37">
        <w:rPr>
          <w:b/>
          <w:bCs/>
          <w:i/>
          <w:iCs/>
          <w:u w:val="single"/>
        </w:rPr>
        <w:t>New Measure</w:t>
      </w:r>
      <w:r w:rsidRPr="00405E64">
        <w:rPr>
          <w:b/>
          <w:bCs/>
          <w:i/>
          <w:iCs/>
        </w:rPr>
        <w:t>:</w:t>
      </w:r>
      <w:r w:rsidRPr="00405E64">
        <w:t xml:space="preserve">  </w:t>
      </w:r>
      <w:r>
        <w:t>Liberty proposes the following new measures for PYs 2021</w:t>
      </w:r>
      <w:r>
        <w:noBreakHyphen/>
        <w:t>2026: s</w:t>
      </w:r>
      <w:r w:rsidRPr="004F3A14">
        <w:t>mart thermostats</w:t>
      </w:r>
      <w:r>
        <w:t>, c</w:t>
      </w:r>
      <w:r w:rsidRPr="004F3A14">
        <w:t xml:space="preserve">entral </w:t>
      </w:r>
      <w:r>
        <w:t>air conditioner</w:t>
      </w:r>
      <w:r w:rsidRPr="004F3A14">
        <w:t xml:space="preserve"> </w:t>
      </w:r>
      <w:r>
        <w:t xml:space="preserve">(AC) </w:t>
      </w:r>
      <w:r w:rsidRPr="004F3A14">
        <w:t>replacement</w:t>
      </w:r>
      <w:r>
        <w:t>, c</w:t>
      </w:r>
      <w:r w:rsidRPr="004F3A14">
        <w:t>entral heat pump replacement</w:t>
      </w:r>
      <w:r>
        <w:t>, h</w:t>
      </w:r>
      <w:r w:rsidRPr="004F3A14">
        <w:t>eat pump water heaters</w:t>
      </w:r>
      <w:r>
        <w:t>, d</w:t>
      </w:r>
      <w:r w:rsidRPr="004F3A14">
        <w:t>ishwashers</w:t>
      </w:r>
      <w:r>
        <w:t>, f</w:t>
      </w:r>
      <w:r w:rsidRPr="004F3A14">
        <w:t>reezers</w:t>
      </w:r>
      <w:r>
        <w:t xml:space="preserve">, </w:t>
      </w:r>
      <w:r>
        <w:lastRenderedPageBreak/>
        <w:t>r</w:t>
      </w:r>
      <w:r w:rsidRPr="004F3A14">
        <w:t>oom AC replacement</w:t>
      </w:r>
      <w:r>
        <w:t>, c</w:t>
      </w:r>
      <w:r w:rsidRPr="004F3A14">
        <w:t>entral AC tune-up</w:t>
      </w:r>
      <w:r>
        <w:t>, h</w:t>
      </w:r>
      <w:r w:rsidRPr="004F3A14">
        <w:t>eat pump tune-up</w:t>
      </w:r>
      <w:r>
        <w:t>, and s</w:t>
      </w:r>
      <w:r w:rsidRPr="004F3A14">
        <w:t>moke and carbon monoxide detectors</w:t>
      </w:r>
      <w:r>
        <w:t xml:space="preserve">.  By </w:t>
      </w:r>
      <w:r w:rsidRPr="001460A8">
        <w:t xml:space="preserve">2023, Liberty </w:t>
      </w:r>
      <w:r>
        <w:t xml:space="preserve">also </w:t>
      </w:r>
      <w:r w:rsidRPr="001460A8">
        <w:t xml:space="preserve">proposes to implement an electrification pilot </w:t>
      </w:r>
      <w:r>
        <w:t>to</w:t>
      </w:r>
      <w:r w:rsidRPr="001460A8">
        <w:t xml:space="preserve"> provide heat pump water heaters, ductless mini split heat pumps,</w:t>
      </w:r>
      <w:r>
        <w:t xml:space="preserve"> </w:t>
      </w:r>
      <w:r w:rsidRPr="001460A8">
        <w:t>inductive ranges, heat pump clothes dryers, and an electric panel upgrade</w:t>
      </w:r>
      <w:r>
        <w:t>.  (</w:t>
      </w:r>
      <w:r w:rsidRPr="00AA01E3">
        <w:rPr>
          <w:i/>
          <w:iCs/>
        </w:rPr>
        <w:t>see</w:t>
      </w:r>
      <w:r>
        <w:t xml:space="preserve"> Section 7.1).</w:t>
      </w:r>
    </w:p>
    <w:p w:rsidR="008959A4" w:rsidP="008959A4" w:rsidRDefault="008959A4" w14:paraId="6A4A4FF1" w14:textId="77777777">
      <w:pPr>
        <w:pStyle w:val="ALJBodyText"/>
      </w:pPr>
      <w:r>
        <w:rPr>
          <w:b/>
          <w:bCs/>
          <w:i/>
          <w:iCs/>
          <w:u w:val="single"/>
        </w:rPr>
        <w:t>Retired Measures</w:t>
      </w:r>
      <w:r w:rsidRPr="00405E64">
        <w:rPr>
          <w:b/>
          <w:bCs/>
          <w:i/>
          <w:iCs/>
        </w:rPr>
        <w:t xml:space="preserve">: </w:t>
      </w:r>
      <w:r>
        <w:t xml:space="preserve"> </w:t>
      </w:r>
      <w:r w:rsidRPr="00C944E6">
        <w:t xml:space="preserve">Liberty will discontinue the ESA </w:t>
      </w:r>
      <w:r>
        <w:t>Common Area Measures (</w:t>
      </w:r>
      <w:r w:rsidRPr="00C944E6">
        <w:t>CAM</w:t>
      </w:r>
      <w:r>
        <w:t>)</w:t>
      </w:r>
      <w:r w:rsidRPr="00C944E6">
        <w:t xml:space="preserve"> </w:t>
      </w:r>
      <w:r>
        <w:t>p</w:t>
      </w:r>
      <w:r w:rsidRPr="00C944E6">
        <w:t>ilot program due to limited interest and</w:t>
      </w:r>
      <w:r>
        <w:t xml:space="preserve"> </w:t>
      </w:r>
      <w:r w:rsidRPr="00C944E6">
        <w:t>applicability in Liberty</w:t>
      </w:r>
      <w:r>
        <w:t>’s</w:t>
      </w:r>
      <w:r w:rsidRPr="00C944E6">
        <w:t xml:space="preserve"> territory</w:t>
      </w:r>
      <w:r>
        <w:t>.</w:t>
      </w:r>
      <w:r>
        <w:rPr>
          <w:rStyle w:val="FootnoteReference"/>
        </w:rPr>
        <w:footnoteReference w:id="140"/>
      </w:r>
    </w:p>
    <w:p w:rsidR="008959A4" w:rsidP="008959A4" w:rsidRDefault="008959A4" w14:paraId="3FE9B9D3" w14:textId="77777777">
      <w:pPr>
        <w:pStyle w:val="Heading3"/>
      </w:pPr>
      <w:bookmarkStart w:name="_Toc82159774" w:id="195"/>
      <w:r>
        <w:t>PacifiCorp Proposal</w:t>
      </w:r>
      <w:bookmarkEnd w:id="195"/>
    </w:p>
    <w:p w:rsidRPr="00403191" w:rsidR="008959A4" w:rsidP="008959A4" w:rsidRDefault="008959A4" w14:paraId="048AB55D" w14:textId="77777777">
      <w:pPr>
        <w:pStyle w:val="ALJBodyText"/>
      </w:pPr>
      <w:r>
        <w:rPr>
          <w:b/>
          <w:bCs/>
          <w:i/>
          <w:iCs/>
          <w:u w:val="single"/>
        </w:rPr>
        <w:t xml:space="preserve">PYs 2021-2026 </w:t>
      </w:r>
      <w:r w:rsidRPr="00B35EFD">
        <w:rPr>
          <w:b/>
          <w:bCs/>
          <w:i/>
          <w:iCs/>
          <w:u w:val="single"/>
        </w:rPr>
        <w:t>Measure Portfolio</w:t>
      </w:r>
      <w:r w:rsidRPr="00405E64">
        <w:rPr>
          <w:b/>
          <w:bCs/>
          <w:i/>
          <w:iCs/>
        </w:rPr>
        <w:t>:</w:t>
      </w:r>
      <w:r w:rsidRPr="00405E64">
        <w:t xml:space="preserve"> </w:t>
      </w:r>
      <w:r>
        <w:t xml:space="preserve"> </w:t>
      </w:r>
      <w:r w:rsidRPr="00403191">
        <w:t xml:space="preserve">PacifiCorp’s </w:t>
      </w:r>
      <w:r>
        <w:t xml:space="preserve">CBOs will continue to utilize the </w:t>
      </w:r>
      <w:r w:rsidRPr="00403191">
        <w:t xml:space="preserve">whole home audit tool, TREAT, which prioritizes and prescribes installation of measures </w:t>
      </w:r>
      <w:r>
        <w:t xml:space="preserve">to ensure </w:t>
      </w:r>
      <w:r w:rsidRPr="00403191">
        <w:t>that the most cost</w:t>
      </w:r>
      <w:r>
        <w:t>-</w:t>
      </w:r>
      <w:r w:rsidRPr="00403191">
        <w:t>effective electricity saving measures are installed on most homes.</w:t>
      </w:r>
      <w:r>
        <w:rPr>
          <w:rStyle w:val="FootnoteReference"/>
        </w:rPr>
        <w:footnoteReference w:id="141"/>
      </w:r>
      <w:r w:rsidRPr="00403191">
        <w:t xml:space="preserve"> </w:t>
      </w:r>
      <w:r>
        <w:t xml:space="preserve"> </w:t>
      </w:r>
      <w:r w:rsidRPr="00403191">
        <w:t>As part of PacifiCorp’s program development, PacifiCorp hired a third</w:t>
      </w:r>
      <w:r>
        <w:t>-</w:t>
      </w:r>
      <w:r w:rsidRPr="00403191">
        <w:t xml:space="preserve">party consultant, Nexant, to conduct a review of </w:t>
      </w:r>
      <w:r>
        <w:t>its</w:t>
      </w:r>
      <w:r w:rsidRPr="00403191">
        <w:t xml:space="preserve"> program</w:t>
      </w:r>
      <w:r>
        <w:t xml:space="preserve"> including an</w:t>
      </w:r>
      <w:r w:rsidRPr="00403191">
        <w:t xml:space="preserve"> evaluat</w:t>
      </w:r>
      <w:r>
        <w:t xml:space="preserve">ion of </w:t>
      </w:r>
      <w:r w:rsidRPr="00403191">
        <w:t xml:space="preserve">existing </w:t>
      </w:r>
      <w:r>
        <w:t xml:space="preserve">and new </w:t>
      </w:r>
      <w:r w:rsidRPr="00403191">
        <w:t>measures.</w:t>
      </w:r>
      <w:r>
        <w:t xml:space="preserve">  Based on this evaluation, </w:t>
      </w:r>
      <w:r w:rsidRPr="00403191">
        <w:t>PacifiCorp</w:t>
      </w:r>
      <w:r>
        <w:t xml:space="preserve"> proposes to update existing measures and </w:t>
      </w:r>
      <w:r w:rsidRPr="00403191">
        <w:t>increas</w:t>
      </w:r>
      <w:r>
        <w:t>e</w:t>
      </w:r>
      <w:r w:rsidRPr="00403191">
        <w:t xml:space="preserve"> access to new technologies. </w:t>
      </w:r>
      <w:r>
        <w:t xml:space="preserve"> PacifiCorp will c</w:t>
      </w:r>
      <w:r w:rsidRPr="00403191">
        <w:t>ontinue to offer the Tier 1 measures</w:t>
      </w:r>
      <w:r>
        <w:t xml:space="preserve"> which are the measures in their existing ESA program (such as s</w:t>
      </w:r>
      <w:r w:rsidRPr="004F64DE">
        <w:t xml:space="preserve">ink </w:t>
      </w:r>
      <w:r>
        <w:t>f</w:t>
      </w:r>
      <w:r w:rsidRPr="004F64DE">
        <w:t xml:space="preserve">aucet </w:t>
      </w:r>
      <w:r>
        <w:t>a</w:t>
      </w:r>
      <w:r w:rsidRPr="004F64DE">
        <w:t>erator</w:t>
      </w:r>
      <w:r>
        <w:t>, power strips, low flow shower device, etc.),</w:t>
      </w:r>
      <w:r w:rsidRPr="00403191">
        <w:t xml:space="preserve"> and </w:t>
      </w:r>
      <w:r>
        <w:t>a</w:t>
      </w:r>
      <w:r w:rsidRPr="00403191">
        <w:t xml:space="preserve">dd </w:t>
      </w:r>
      <w:r>
        <w:t>new</w:t>
      </w:r>
      <w:r w:rsidRPr="00403191">
        <w:t xml:space="preserve"> Tier 2 measure</w:t>
      </w:r>
      <w:r>
        <w:t>s below</w:t>
      </w:r>
      <w:r w:rsidRPr="00403191">
        <w:t>.</w:t>
      </w:r>
      <w:r w:rsidRPr="00403191">
        <w:rPr>
          <w:vertAlign w:val="superscript"/>
        </w:rPr>
        <w:footnoteReference w:id="142"/>
      </w:r>
    </w:p>
    <w:p w:rsidR="008959A4" w:rsidP="008959A4" w:rsidRDefault="008959A4" w14:paraId="585C5EDD" w14:textId="77777777">
      <w:pPr>
        <w:pStyle w:val="Standard"/>
      </w:pPr>
      <w:r w:rsidRPr="00731B37">
        <w:rPr>
          <w:b/>
          <w:bCs/>
          <w:i/>
          <w:iCs/>
          <w:u w:val="single"/>
        </w:rPr>
        <w:t>New Measure</w:t>
      </w:r>
      <w:r>
        <w:rPr>
          <w:b/>
          <w:bCs/>
          <w:i/>
          <w:iCs/>
          <w:u w:val="single"/>
        </w:rPr>
        <w:t>s</w:t>
      </w:r>
      <w:r w:rsidRPr="00731B37">
        <w:rPr>
          <w:b/>
          <w:bCs/>
          <w:i/>
          <w:iCs/>
          <w:u w:val="single"/>
        </w:rPr>
        <w:t>:</w:t>
      </w:r>
      <w:r>
        <w:t xml:space="preserve">  PacifiCorp’s </w:t>
      </w:r>
      <w:r w:rsidRPr="00B469EF">
        <w:t xml:space="preserve">Tier 2 </w:t>
      </w:r>
      <w:r>
        <w:t xml:space="preserve">treatment </w:t>
      </w:r>
      <w:r w:rsidRPr="00B469EF">
        <w:t>will offer new measures</w:t>
      </w:r>
      <w:r>
        <w:t xml:space="preserve"> including</w:t>
      </w:r>
      <w:r w:rsidRPr="00B469EF">
        <w:rPr>
          <w:vertAlign w:val="superscript"/>
        </w:rPr>
        <w:t xml:space="preserve"> </w:t>
      </w:r>
      <w:r>
        <w:t>du</w:t>
      </w:r>
      <w:r w:rsidRPr="00B469EF">
        <w:t xml:space="preserve">ctless heat pumps, heat pump replacements, and heat pump </w:t>
      </w:r>
      <w:r w:rsidRPr="00B469EF">
        <w:lastRenderedPageBreak/>
        <w:t>conversions from electric resistance heating</w:t>
      </w:r>
      <w:r>
        <w:t>, h</w:t>
      </w:r>
      <w:r w:rsidRPr="00B469EF">
        <w:t>eat pump water heaters</w:t>
      </w:r>
      <w:r>
        <w:t>, h</w:t>
      </w:r>
      <w:r w:rsidRPr="00B469EF">
        <w:t>eat pump clothes dryers</w:t>
      </w:r>
      <w:r>
        <w:t>, b</w:t>
      </w:r>
      <w:r w:rsidRPr="00B469EF">
        <w:t>rushless fan motors</w:t>
      </w:r>
      <w:r>
        <w:t>, c</w:t>
      </w:r>
      <w:r w:rsidRPr="00B469EF">
        <w:t>entral air conditioners</w:t>
      </w:r>
      <w:r>
        <w:t>, a</w:t>
      </w:r>
      <w:r w:rsidRPr="00B469EF">
        <w:t>ir conditioning tune and clean</w:t>
      </w:r>
      <w:r>
        <w:t>, and e</w:t>
      </w:r>
      <w:r w:rsidRPr="00B469EF">
        <w:t>lectric furnace tune and clean.</w:t>
      </w:r>
      <w:r w:rsidRPr="00B469EF">
        <w:rPr>
          <w:vertAlign w:val="superscript"/>
        </w:rPr>
        <w:footnoteReference w:id="143"/>
      </w:r>
    </w:p>
    <w:p w:rsidRPr="00B469EF" w:rsidR="008959A4" w:rsidP="008959A4" w:rsidRDefault="008959A4" w14:paraId="6AB03952" w14:textId="77777777">
      <w:pPr>
        <w:pStyle w:val="ALJBodyText"/>
      </w:pPr>
      <w:r>
        <w:rPr>
          <w:b/>
          <w:bCs/>
          <w:i/>
          <w:iCs/>
          <w:u w:val="single"/>
        </w:rPr>
        <w:t xml:space="preserve">Retired </w:t>
      </w:r>
      <w:r w:rsidRPr="00AA73D0">
        <w:rPr>
          <w:b/>
          <w:bCs/>
          <w:i/>
          <w:iCs/>
          <w:u w:val="single"/>
        </w:rPr>
        <w:t>Measures</w:t>
      </w:r>
      <w:r>
        <w:t xml:space="preserve">: </w:t>
      </w:r>
      <w:r w:rsidRPr="005A15C9">
        <w:t xml:space="preserve"> </w:t>
      </w:r>
      <w:r>
        <w:t xml:space="preserve">PacifiCorp does not </w:t>
      </w:r>
      <w:r w:rsidRPr="002219CD">
        <w:t xml:space="preserve">propose </w:t>
      </w:r>
      <w:r>
        <w:t>retiring any measures</w:t>
      </w:r>
      <w:r w:rsidRPr="00403191">
        <w:t>.</w:t>
      </w:r>
    </w:p>
    <w:p w:rsidR="008959A4" w:rsidP="008959A4" w:rsidRDefault="008959A4" w14:paraId="0593F45B" w14:textId="77777777">
      <w:pPr>
        <w:pStyle w:val="Heading3"/>
      </w:pPr>
      <w:bookmarkStart w:name="_Toc82159775" w:id="196"/>
      <w:r>
        <w:t>Southwest Gas Proposal</w:t>
      </w:r>
      <w:bookmarkEnd w:id="196"/>
    </w:p>
    <w:p w:rsidR="008959A4" w:rsidP="008959A4" w:rsidRDefault="008959A4" w14:paraId="1811FA50" w14:textId="77777777">
      <w:pPr>
        <w:pStyle w:val="ALJBodyText"/>
      </w:pPr>
      <w:r>
        <w:rPr>
          <w:b/>
          <w:bCs/>
          <w:i/>
          <w:iCs/>
          <w:u w:val="single"/>
        </w:rPr>
        <w:t xml:space="preserve">PYs 2021-2026 </w:t>
      </w:r>
      <w:r w:rsidRPr="00B35EFD">
        <w:rPr>
          <w:b/>
          <w:bCs/>
          <w:i/>
          <w:iCs/>
          <w:u w:val="single"/>
        </w:rPr>
        <w:t>Measure Portfolio</w:t>
      </w:r>
      <w:r>
        <w:t>:  Southwest Gas’ portfolio of measures will include p</w:t>
      </w:r>
      <w:r w:rsidRPr="007F0209">
        <w:t xml:space="preserve">rescriptive </w:t>
      </w:r>
      <w:r>
        <w:t>d</w:t>
      </w:r>
      <w:r w:rsidRPr="007F0209">
        <w:t xml:space="preserve">uct </w:t>
      </w:r>
      <w:r>
        <w:t>s</w:t>
      </w:r>
      <w:r w:rsidRPr="007F0209">
        <w:t>ealing</w:t>
      </w:r>
      <w:r>
        <w:t>, h</w:t>
      </w:r>
      <w:r w:rsidRPr="007F0209">
        <w:t xml:space="preserve">igh </w:t>
      </w:r>
      <w:r>
        <w:t>e</w:t>
      </w:r>
      <w:r w:rsidRPr="007F0209">
        <w:t xml:space="preserve">fficiency </w:t>
      </w:r>
      <w:r>
        <w:t>c</w:t>
      </w:r>
      <w:r w:rsidRPr="007F0209">
        <w:t xml:space="preserve">entral </w:t>
      </w:r>
      <w:r>
        <w:t>g</w:t>
      </w:r>
      <w:r w:rsidRPr="007F0209">
        <w:t xml:space="preserve">as </w:t>
      </w:r>
      <w:r>
        <w:t>f</w:t>
      </w:r>
      <w:r w:rsidRPr="007F0209">
        <w:t xml:space="preserve">urnace </w:t>
      </w:r>
      <w:r>
        <w:t>e</w:t>
      </w:r>
      <w:r w:rsidRPr="007F0209">
        <w:t xml:space="preserve">arly </w:t>
      </w:r>
      <w:r>
        <w:t>r</w:t>
      </w:r>
      <w:r w:rsidRPr="007F0209">
        <w:t>eplace</w:t>
      </w:r>
      <w:r>
        <w:t>ment, h</w:t>
      </w:r>
      <w:r w:rsidRPr="007F0209">
        <w:t xml:space="preserve">igh </w:t>
      </w:r>
      <w:r>
        <w:t>e</w:t>
      </w:r>
      <w:r w:rsidRPr="007F0209">
        <w:t xml:space="preserve">fficiency </w:t>
      </w:r>
      <w:r>
        <w:t>c</w:t>
      </w:r>
      <w:r w:rsidRPr="007F0209">
        <w:t xml:space="preserve">entral </w:t>
      </w:r>
      <w:r>
        <w:t>g</w:t>
      </w:r>
      <w:r w:rsidRPr="007F0209">
        <w:t xml:space="preserve">as </w:t>
      </w:r>
      <w:r>
        <w:t>f</w:t>
      </w:r>
      <w:r w:rsidRPr="007F0209">
        <w:t xml:space="preserve">urnace </w:t>
      </w:r>
      <w:r>
        <w:t>on b</w:t>
      </w:r>
      <w:r w:rsidRPr="007F0209">
        <w:t>urnout</w:t>
      </w:r>
      <w:r>
        <w:t>, h</w:t>
      </w:r>
      <w:r w:rsidRPr="007F0209">
        <w:t xml:space="preserve">igh </w:t>
      </w:r>
      <w:r>
        <w:t>e</w:t>
      </w:r>
      <w:r w:rsidRPr="007F0209">
        <w:t xml:space="preserve">fficiency </w:t>
      </w:r>
      <w:r>
        <w:t>w</w:t>
      </w:r>
      <w:r w:rsidRPr="007F0209">
        <w:t xml:space="preserve">all </w:t>
      </w:r>
      <w:r>
        <w:t>f</w:t>
      </w:r>
      <w:r w:rsidRPr="007F0209">
        <w:t xml:space="preserve">urnace </w:t>
      </w:r>
      <w:r>
        <w:t>e</w:t>
      </w:r>
      <w:r w:rsidRPr="007F0209">
        <w:t xml:space="preserve">arly </w:t>
      </w:r>
      <w:r>
        <w:t>r</w:t>
      </w:r>
      <w:r w:rsidRPr="007F0209">
        <w:t>eplace</w:t>
      </w:r>
      <w:r>
        <w:t>ment, h</w:t>
      </w:r>
      <w:r w:rsidRPr="007F0209">
        <w:t xml:space="preserve">igh </w:t>
      </w:r>
      <w:r>
        <w:t>e</w:t>
      </w:r>
      <w:r w:rsidRPr="007F0209">
        <w:t xml:space="preserve">fficiency </w:t>
      </w:r>
      <w:r>
        <w:t>w</w:t>
      </w:r>
      <w:r w:rsidRPr="007F0209">
        <w:t xml:space="preserve">all </w:t>
      </w:r>
      <w:r>
        <w:t>f</w:t>
      </w:r>
      <w:r w:rsidRPr="007F0209">
        <w:t xml:space="preserve">urnace </w:t>
      </w:r>
      <w:r>
        <w:t>o</w:t>
      </w:r>
      <w:r w:rsidRPr="007F0209">
        <w:t xml:space="preserve">n </w:t>
      </w:r>
      <w:r>
        <w:t>b</w:t>
      </w:r>
      <w:r w:rsidRPr="007F0209">
        <w:t>urnout</w:t>
      </w:r>
      <w:r>
        <w:t>, s</w:t>
      </w:r>
      <w:r w:rsidRPr="007F0209">
        <w:t xml:space="preserve">mart </w:t>
      </w:r>
      <w:r>
        <w:t>t</w:t>
      </w:r>
      <w:r w:rsidRPr="007F0209">
        <w:t>hermostats</w:t>
      </w:r>
      <w:r>
        <w:t>,</w:t>
      </w:r>
      <w:r w:rsidRPr="00DF4E18">
        <w:rPr>
          <w:rFonts w:ascii="CALS_InvisibleTTFont" w:eastAsia="CALS_InvisibleTTFont" w:cs="CALS_InvisibleTTFont" w:hAnsiTheme="minorHAnsi"/>
          <w:sz w:val="22"/>
          <w:szCs w:val="22"/>
        </w:rPr>
        <w:t xml:space="preserve"> </w:t>
      </w:r>
      <w:r>
        <w:t>e</w:t>
      </w:r>
      <w:r w:rsidRPr="00DF4E18">
        <w:t>nvelope/</w:t>
      </w:r>
      <w:r>
        <w:t>a</w:t>
      </w:r>
      <w:r w:rsidRPr="00DF4E18">
        <w:t xml:space="preserve">ir </w:t>
      </w:r>
      <w:r>
        <w:t>s</w:t>
      </w:r>
      <w:r w:rsidRPr="00DF4E18">
        <w:t>ealing</w:t>
      </w:r>
      <w:r>
        <w:t>, a</w:t>
      </w:r>
      <w:r w:rsidRPr="00DF4E18">
        <w:t xml:space="preserve">ttic </w:t>
      </w:r>
      <w:r>
        <w:t>i</w:t>
      </w:r>
      <w:r w:rsidRPr="00DF4E18">
        <w:t>nsulation</w:t>
      </w:r>
      <w:r>
        <w:t>, l</w:t>
      </w:r>
      <w:r w:rsidRPr="009E4051">
        <w:t xml:space="preserve">ow </w:t>
      </w:r>
      <w:r>
        <w:t>f</w:t>
      </w:r>
      <w:r w:rsidRPr="009E4051">
        <w:t xml:space="preserve">low </w:t>
      </w:r>
      <w:r>
        <w:t>s</w:t>
      </w:r>
      <w:r w:rsidRPr="009E4051">
        <w:t>howerhead</w:t>
      </w:r>
      <w:r>
        <w:t>s, f</w:t>
      </w:r>
      <w:r w:rsidRPr="009E4051">
        <w:t xml:space="preserve">aucet </w:t>
      </w:r>
      <w:r>
        <w:t>a</w:t>
      </w:r>
      <w:r w:rsidRPr="009E4051">
        <w:t>erator</w:t>
      </w:r>
      <w:r>
        <w:t>s, t</w:t>
      </w:r>
      <w:r w:rsidRPr="009E4051">
        <w:t xml:space="preserve">hermostatic </w:t>
      </w:r>
      <w:r>
        <w:t>s</w:t>
      </w:r>
      <w:r w:rsidRPr="009E4051">
        <w:t xml:space="preserve">hower </w:t>
      </w:r>
      <w:r>
        <w:t>v</w:t>
      </w:r>
      <w:r w:rsidRPr="009E4051">
        <w:t>alve</w:t>
      </w:r>
      <w:r>
        <w:t>s, t</w:t>
      </w:r>
      <w:r w:rsidRPr="009E4051">
        <w:t xml:space="preserve">ank and </w:t>
      </w:r>
      <w:r>
        <w:t>p</w:t>
      </w:r>
      <w:r w:rsidRPr="009E4051">
        <w:t xml:space="preserve">ipe </w:t>
      </w:r>
      <w:r>
        <w:t>i</w:t>
      </w:r>
      <w:r w:rsidRPr="009E4051">
        <w:t>nsulation</w:t>
      </w:r>
      <w:r>
        <w:t>, t</w:t>
      </w:r>
      <w:r w:rsidRPr="009E4051">
        <w:t xml:space="preserve">ub </w:t>
      </w:r>
      <w:r>
        <w:t>s</w:t>
      </w:r>
      <w:r w:rsidRPr="009E4051">
        <w:t>pout/</w:t>
      </w:r>
      <w:r>
        <w:t>t</w:t>
      </w:r>
      <w:r w:rsidRPr="009E4051">
        <w:t xml:space="preserve">ub </w:t>
      </w:r>
      <w:r>
        <w:t>d</w:t>
      </w:r>
      <w:r w:rsidRPr="009E4051">
        <w:t>iverter</w:t>
      </w:r>
      <w:r>
        <w:t>s, w</w:t>
      </w:r>
      <w:r w:rsidRPr="009E4051">
        <w:t xml:space="preserve">ater </w:t>
      </w:r>
      <w:r>
        <w:t>h</w:t>
      </w:r>
      <w:r w:rsidRPr="009E4051">
        <w:t xml:space="preserve">eater </w:t>
      </w:r>
      <w:r>
        <w:t>r</w:t>
      </w:r>
      <w:r w:rsidRPr="009E4051">
        <w:t>epair/</w:t>
      </w:r>
      <w:r>
        <w:t>r</w:t>
      </w:r>
      <w:r w:rsidRPr="009E4051">
        <w:t>eplacement</w:t>
      </w:r>
      <w:r>
        <w:t>, h</w:t>
      </w:r>
      <w:r w:rsidRPr="00420B55">
        <w:t xml:space="preserve">igh </w:t>
      </w:r>
      <w:r>
        <w:t>e</w:t>
      </w:r>
      <w:r w:rsidRPr="00420B55">
        <w:t xml:space="preserve">fficiency </w:t>
      </w:r>
      <w:r>
        <w:t>c</w:t>
      </w:r>
      <w:r w:rsidRPr="00420B55">
        <w:t xml:space="preserve">lothes </w:t>
      </w:r>
      <w:r>
        <w:t>w</w:t>
      </w:r>
      <w:r w:rsidRPr="00420B55">
        <w:t>ashers</w:t>
      </w:r>
      <w:r>
        <w:t>, f</w:t>
      </w:r>
      <w:r w:rsidRPr="008B4D3F">
        <w:t xml:space="preserve">urnace </w:t>
      </w:r>
      <w:r>
        <w:t>r</w:t>
      </w:r>
      <w:r w:rsidRPr="008B4D3F">
        <w:t>epair/</w:t>
      </w:r>
      <w:r>
        <w:t>r</w:t>
      </w:r>
      <w:r w:rsidRPr="008B4D3F">
        <w:t>eplaceme</w:t>
      </w:r>
      <w:r>
        <w:t>nt, f</w:t>
      </w:r>
      <w:r w:rsidRPr="00377191">
        <w:t xml:space="preserve">urnace </w:t>
      </w:r>
      <w:r>
        <w:t>c</w:t>
      </w:r>
      <w:r w:rsidRPr="00377191">
        <w:t xml:space="preserve">lean and </w:t>
      </w:r>
      <w:r>
        <w:t>t</w:t>
      </w:r>
      <w:r w:rsidRPr="00377191">
        <w:t>une</w:t>
      </w:r>
      <w:r>
        <w:t>, and m</w:t>
      </w:r>
      <w:r w:rsidRPr="00377191">
        <w:t xml:space="preserve">inor </w:t>
      </w:r>
      <w:r>
        <w:t>h</w:t>
      </w:r>
      <w:r w:rsidRPr="00377191">
        <w:t xml:space="preserve">ome </w:t>
      </w:r>
      <w:r>
        <w:t>r</w:t>
      </w:r>
      <w:r w:rsidRPr="00377191">
        <w:t>epair</w:t>
      </w:r>
      <w:r>
        <w:t xml:space="preserve">.  </w:t>
      </w:r>
      <w:r w:rsidRPr="00164B3F">
        <w:t>Homes that were treated many years</w:t>
      </w:r>
      <w:r>
        <w:t xml:space="preserve"> </w:t>
      </w:r>
      <w:r w:rsidRPr="00164B3F">
        <w:t xml:space="preserve">ago </w:t>
      </w:r>
      <w:r>
        <w:t>will</w:t>
      </w:r>
      <w:r w:rsidRPr="00164B3F">
        <w:t xml:space="preserve"> also </w:t>
      </w:r>
      <w:r>
        <w:t xml:space="preserve">be </w:t>
      </w:r>
      <w:r w:rsidRPr="00164B3F">
        <w:t>eligible for retreatment (go</w:t>
      </w:r>
      <w:r>
        <w:noBreakHyphen/>
      </w:r>
      <w:r w:rsidRPr="00164B3F">
        <w:t>backs)</w:t>
      </w:r>
      <w:r w:rsidRPr="00C20F14">
        <w:t>.</w:t>
      </w:r>
      <w:r w:rsidRPr="00C20F14">
        <w:rPr>
          <w:vertAlign w:val="superscript"/>
        </w:rPr>
        <w:footnoteReference w:id="144"/>
      </w:r>
    </w:p>
    <w:p w:rsidR="008959A4" w:rsidP="008959A4" w:rsidRDefault="008959A4" w14:paraId="04BC8BD5" w14:textId="77777777">
      <w:pPr>
        <w:pStyle w:val="ALJBodyText"/>
      </w:pPr>
      <w:r>
        <w:rPr>
          <w:b/>
          <w:bCs/>
          <w:i/>
          <w:iCs/>
          <w:u w:val="single"/>
        </w:rPr>
        <w:t xml:space="preserve">New </w:t>
      </w:r>
      <w:r w:rsidRPr="00AA73D0">
        <w:rPr>
          <w:b/>
          <w:bCs/>
          <w:i/>
          <w:iCs/>
          <w:u w:val="single"/>
        </w:rPr>
        <w:t>Measures</w:t>
      </w:r>
      <w:r>
        <w:t xml:space="preserve">:  Southwest Gas proposes </w:t>
      </w:r>
      <w:r w:rsidRPr="00164B3F">
        <w:t>the addition of new high efficiency heating, ventilation, and air condition measures (early replacement and replace on</w:t>
      </w:r>
      <w:r>
        <w:t xml:space="preserve"> </w:t>
      </w:r>
      <w:r w:rsidRPr="00164B3F">
        <w:t>burnout) in place of furnace replacement</w:t>
      </w:r>
      <w:r>
        <w:t xml:space="preserve"> and smart thermostats.</w:t>
      </w:r>
      <w:r w:rsidRPr="00C20F14">
        <w:rPr>
          <w:vertAlign w:val="superscript"/>
        </w:rPr>
        <w:footnoteReference w:id="145"/>
      </w:r>
      <w:r w:rsidRPr="002072D7">
        <w:t xml:space="preserve"> </w:t>
      </w:r>
    </w:p>
    <w:p w:rsidR="008959A4" w:rsidP="008959A4" w:rsidRDefault="008959A4" w14:paraId="504D29C4" w14:textId="77777777">
      <w:pPr>
        <w:pStyle w:val="ALJBodyText"/>
      </w:pPr>
      <w:r w:rsidRPr="00B35EFD">
        <w:rPr>
          <w:b/>
          <w:bCs/>
          <w:i/>
          <w:iCs/>
          <w:u w:val="single"/>
        </w:rPr>
        <w:t>Retired Measures</w:t>
      </w:r>
      <w:r>
        <w:t xml:space="preserve">:  </w:t>
      </w:r>
      <w:r w:rsidRPr="00AA73D0">
        <w:t>Southwest Gas</w:t>
      </w:r>
      <w:r>
        <w:t xml:space="preserve"> proposes to retire the following measures due to the measure being aggregated into another measure, or lack of interest.  These include c</w:t>
      </w:r>
      <w:r w:rsidRPr="0039454B">
        <w:t>aulking</w:t>
      </w:r>
      <w:r>
        <w:t>, c</w:t>
      </w:r>
      <w:r w:rsidRPr="0039454B">
        <w:t xml:space="preserve">over </w:t>
      </w:r>
      <w:r>
        <w:t>p</w:t>
      </w:r>
      <w:r w:rsidRPr="0039454B">
        <w:t xml:space="preserve">late </w:t>
      </w:r>
      <w:r>
        <w:t>r</w:t>
      </w:r>
      <w:r w:rsidRPr="0039454B">
        <w:t>eplacements</w:t>
      </w:r>
      <w:r>
        <w:t>, u</w:t>
      </w:r>
      <w:r w:rsidRPr="0039454B">
        <w:t xml:space="preserve">tility </w:t>
      </w:r>
      <w:r>
        <w:t>g</w:t>
      </w:r>
      <w:r w:rsidRPr="0039454B">
        <w:t>askets</w:t>
      </w:r>
      <w:r>
        <w:t>, w</w:t>
      </w:r>
      <w:r w:rsidRPr="0039454B">
        <w:t xml:space="preserve">ater </w:t>
      </w:r>
      <w:r>
        <w:lastRenderedPageBreak/>
        <w:t>h</w:t>
      </w:r>
      <w:r w:rsidRPr="0039454B">
        <w:t xml:space="preserve">eater </w:t>
      </w:r>
      <w:r>
        <w:t>b</w:t>
      </w:r>
      <w:r w:rsidRPr="0039454B">
        <w:t>lanket</w:t>
      </w:r>
      <w:r>
        <w:t>s, w</w:t>
      </w:r>
      <w:r w:rsidRPr="00FA115A">
        <w:t>eather-strippin</w:t>
      </w:r>
      <w:r>
        <w:t>g, and f</w:t>
      </w:r>
      <w:r w:rsidRPr="00FA115A">
        <w:t xml:space="preserve">urnace </w:t>
      </w:r>
      <w:r>
        <w:t>s</w:t>
      </w:r>
      <w:r w:rsidRPr="00FA115A">
        <w:t xml:space="preserve">tanding </w:t>
      </w:r>
      <w:r>
        <w:t>p</w:t>
      </w:r>
      <w:r w:rsidRPr="00FA115A">
        <w:t xml:space="preserve">ilot </w:t>
      </w:r>
      <w:r>
        <w:t>l</w:t>
      </w:r>
      <w:r w:rsidRPr="00FA115A">
        <w:t>ight</w:t>
      </w:r>
      <w:r>
        <w:t xml:space="preserve"> c</w:t>
      </w:r>
      <w:r w:rsidRPr="00FA115A">
        <w:t>onversion</w:t>
      </w:r>
      <w:r>
        <w:t>.</w:t>
      </w:r>
      <w:r>
        <w:rPr>
          <w:rStyle w:val="FootnoteReference"/>
        </w:rPr>
        <w:footnoteReference w:id="146"/>
      </w:r>
    </w:p>
    <w:p w:rsidR="008959A4" w:rsidP="008959A4" w:rsidRDefault="008959A4" w14:paraId="3B4837AB" w14:textId="77777777">
      <w:pPr>
        <w:pStyle w:val="Heading3"/>
      </w:pPr>
      <w:bookmarkStart w:name="_Toc82159776" w:id="197"/>
      <w:r>
        <w:t>Party Comments</w:t>
      </w:r>
      <w:bookmarkEnd w:id="197"/>
    </w:p>
    <w:p w:rsidR="008959A4" w:rsidP="008959A4" w:rsidRDefault="008959A4" w14:paraId="5C8C7170" w14:textId="77777777">
      <w:pPr>
        <w:pStyle w:val="Heading4"/>
        <w:ind w:left="3600" w:hanging="1260"/>
      </w:pPr>
      <w:bookmarkStart w:name="_Toc82159777" w:id="198"/>
      <w:r>
        <w:t>Cal Advocates</w:t>
      </w:r>
      <w:bookmarkEnd w:id="198"/>
    </w:p>
    <w:p w:rsidRPr="00D866FF" w:rsidR="008959A4" w:rsidP="008959A4" w:rsidRDefault="008959A4" w14:paraId="12E8B91F" w14:textId="77777777">
      <w:pPr>
        <w:pStyle w:val="Standard"/>
        <w:spacing w:before="240"/>
      </w:pPr>
      <w:r>
        <w:rPr>
          <w:b/>
          <w:bCs/>
          <w:i/>
          <w:iCs/>
          <w:u w:val="single"/>
        </w:rPr>
        <w:t xml:space="preserve">PYs 2021-2026 </w:t>
      </w:r>
      <w:r w:rsidRPr="00B35EFD">
        <w:rPr>
          <w:b/>
          <w:bCs/>
          <w:i/>
          <w:iCs/>
          <w:u w:val="single"/>
        </w:rPr>
        <w:t>Measure Portfolio</w:t>
      </w:r>
      <w:r>
        <w:t xml:space="preserve">:  Cal Advocates do not propose any specific measures to be added or retired but propose that the Commission adopt an </w:t>
      </w:r>
      <w:r w:rsidRPr="0029369F">
        <w:t xml:space="preserve">ESA Cost Effectiveness Test (ESACET) </w:t>
      </w:r>
      <w:r>
        <w:t>threshold of 1.0 for the portfolio of resource measures (</w:t>
      </w:r>
      <w:r w:rsidRPr="00AA01E3">
        <w:rPr>
          <w:i/>
          <w:iCs/>
        </w:rPr>
        <w:t>see</w:t>
      </w:r>
      <w:r>
        <w:t xml:space="preserve"> Section 5.6.7.1).  </w:t>
      </w:r>
    </w:p>
    <w:p w:rsidR="008959A4" w:rsidP="008959A4" w:rsidRDefault="008959A4" w14:paraId="05128F2A" w14:textId="77777777">
      <w:pPr>
        <w:pStyle w:val="Heading4"/>
        <w:ind w:left="3600" w:hanging="1260"/>
      </w:pPr>
      <w:bookmarkStart w:name="_Toc82159778" w:id="199"/>
      <w:r>
        <w:t>EEC &amp; Free Energy</w:t>
      </w:r>
      <w:bookmarkEnd w:id="199"/>
      <w:r>
        <w:t xml:space="preserve"> </w:t>
      </w:r>
    </w:p>
    <w:p w:rsidRPr="008A3D74" w:rsidR="008959A4" w:rsidP="008959A4" w:rsidRDefault="008959A4" w14:paraId="340AFAE0" w14:textId="77777777">
      <w:pPr>
        <w:pStyle w:val="Standard"/>
        <w:spacing w:before="240"/>
      </w:pPr>
      <w:r>
        <w:rPr>
          <w:b/>
          <w:bCs/>
          <w:i/>
          <w:iCs/>
          <w:u w:val="single"/>
        </w:rPr>
        <w:t>Adding All Commission Approved Measures</w:t>
      </w:r>
      <w:r>
        <w:t xml:space="preserve">:  EEC and Free Energy state that a </w:t>
      </w:r>
      <w:r w:rsidRPr="00715610">
        <w:t>better way to increase and deepen energy savings while making the programs</w:t>
      </w:r>
      <w:r>
        <w:t xml:space="preserve"> </w:t>
      </w:r>
      <w:r w:rsidRPr="00715610">
        <w:t>more cost-effective is to add additional measures that are shown to be cost-effective</w:t>
      </w:r>
      <w:r>
        <w:t xml:space="preserve"> </w:t>
      </w:r>
      <w:r w:rsidRPr="00715610">
        <w:t xml:space="preserve">from other programs. </w:t>
      </w:r>
      <w:r>
        <w:t xml:space="preserve"> Specifically, they state that th</w:t>
      </w:r>
      <w:r w:rsidRPr="00715610">
        <w:t xml:space="preserve">ere are efforts underway in the </w:t>
      </w:r>
      <w:r>
        <w:t xml:space="preserve">large </w:t>
      </w:r>
      <w:r w:rsidRPr="00715610">
        <w:t>IOU</w:t>
      </w:r>
      <w:r>
        <w:t xml:space="preserve"> </w:t>
      </w:r>
      <w:r w:rsidRPr="00715610">
        <w:t xml:space="preserve">proceedings </w:t>
      </w:r>
      <w:r>
        <w:t>to consider</w:t>
      </w:r>
      <w:r w:rsidRPr="00715610">
        <w:t xml:space="preserve"> additional cost-effective measures</w:t>
      </w:r>
      <w:r>
        <w:t xml:space="preserve">, and the </w:t>
      </w:r>
      <w:r w:rsidRPr="00715610">
        <w:t xml:space="preserve">Commission </w:t>
      </w:r>
      <w:r>
        <w:t xml:space="preserve">should </w:t>
      </w:r>
      <w:r w:rsidRPr="00715610">
        <w:t>add to the SMJU ESA</w:t>
      </w:r>
      <w:r>
        <w:t xml:space="preserve"> </w:t>
      </w:r>
      <w:r w:rsidRPr="00715610">
        <w:t xml:space="preserve">programs </w:t>
      </w:r>
      <w:r>
        <w:t>any</w:t>
      </w:r>
      <w:r w:rsidRPr="00715610">
        <w:t xml:space="preserve"> measures found to improve savings and add benefit to low-income</w:t>
      </w:r>
      <w:r>
        <w:t xml:space="preserve"> </w:t>
      </w:r>
      <w:r w:rsidRPr="00715610">
        <w:t>families and/or improve cost-effectiveness</w:t>
      </w:r>
      <w:r>
        <w:t>,</w:t>
      </w:r>
      <w:r>
        <w:rPr>
          <w:rStyle w:val="FootnoteReference"/>
        </w:rPr>
        <w:footnoteReference w:id="147"/>
      </w:r>
      <w:r>
        <w:t xml:space="preserve"> including </w:t>
      </w:r>
      <w:r w:rsidRPr="008A3D74">
        <w:t xml:space="preserve">all </w:t>
      </w:r>
      <w:r>
        <w:t>measures from the residential energy efficiency and clean energy programs.</w:t>
      </w:r>
      <w:r>
        <w:rPr>
          <w:rStyle w:val="FootnoteReference"/>
        </w:rPr>
        <w:footnoteReference w:id="148"/>
      </w:r>
      <w:r>
        <w:t xml:space="preserve">  </w:t>
      </w:r>
    </w:p>
    <w:p w:rsidR="008959A4" w:rsidP="008959A4" w:rsidRDefault="008959A4" w14:paraId="24473B31" w14:textId="77777777">
      <w:pPr>
        <w:pStyle w:val="Heading3"/>
      </w:pPr>
      <w:bookmarkStart w:name="_Toc82159779" w:id="200"/>
      <w:r>
        <w:t>SMJU Responses</w:t>
      </w:r>
      <w:bookmarkEnd w:id="200"/>
    </w:p>
    <w:p w:rsidR="008959A4" w:rsidP="008959A4" w:rsidRDefault="008959A4" w14:paraId="5BB69C25" w14:textId="77777777">
      <w:pPr>
        <w:pStyle w:val="Heading4"/>
        <w:ind w:left="3600" w:hanging="1260"/>
      </w:pPr>
      <w:bookmarkStart w:name="_Toc82159780" w:id="201"/>
      <w:bookmarkStart w:name="_Hlk78838618" w:id="202"/>
      <w:r>
        <w:t>Southwest Gas Response</w:t>
      </w:r>
      <w:bookmarkEnd w:id="201"/>
    </w:p>
    <w:bookmarkEnd w:id="202"/>
    <w:p w:rsidR="008959A4" w:rsidP="008959A4" w:rsidRDefault="008959A4" w14:paraId="07910D03" w14:textId="77777777">
      <w:pPr>
        <w:pStyle w:val="Standard"/>
      </w:pPr>
      <w:r>
        <w:rPr>
          <w:b/>
          <w:bCs/>
          <w:i/>
          <w:iCs/>
          <w:u w:val="single"/>
        </w:rPr>
        <w:t>Adding All Commission Approved Measures</w:t>
      </w:r>
      <w:r>
        <w:t xml:space="preserve">:  </w:t>
      </w:r>
      <w:r w:rsidRPr="005B3C4D">
        <w:t>Southwest Gas</w:t>
      </w:r>
      <w:r>
        <w:t xml:space="preserve"> opposes </w:t>
      </w:r>
      <w:r w:rsidRPr="009A4E5F">
        <w:t>EEC</w:t>
      </w:r>
      <w:r>
        <w:t xml:space="preserve"> and Free Energy’s proposal to automatically a</w:t>
      </w:r>
      <w:r w:rsidRPr="009A4E5F">
        <w:t xml:space="preserve">dd all measures approved by the Commission for use in any other residential program to </w:t>
      </w:r>
      <w:r>
        <w:t>the</w:t>
      </w:r>
      <w:r w:rsidRPr="009A4E5F">
        <w:t xml:space="preserve"> </w:t>
      </w:r>
      <w:r>
        <w:t xml:space="preserve">SMJU </w:t>
      </w:r>
      <w:r w:rsidRPr="009A4E5F">
        <w:t xml:space="preserve">ESA program. </w:t>
      </w:r>
      <w:r>
        <w:t xml:space="preserve"> </w:t>
      </w:r>
      <w:r w:rsidRPr="005B3C4D">
        <w:lastRenderedPageBreak/>
        <w:t>Southwest Gas</w:t>
      </w:r>
      <w:r>
        <w:t xml:space="preserve"> states that just </w:t>
      </w:r>
      <w:r w:rsidRPr="009A4E5F">
        <w:t>because</w:t>
      </w:r>
      <w:r w:rsidRPr="00F6394F">
        <w:rPr>
          <w:rFonts w:ascii="Arial" w:hAnsi="Arial" w:cs="Arial"/>
          <w:color w:val="000000"/>
          <w:sz w:val="23"/>
          <w:szCs w:val="23"/>
        </w:rPr>
        <w:t xml:space="preserve"> </w:t>
      </w:r>
      <w:r w:rsidRPr="00F6394F">
        <w:t>a measure has been approved by the Commission for another residential energy program does not justify its inclusion in all utility ESA programs</w:t>
      </w:r>
      <w:r>
        <w:t>, as they</w:t>
      </w:r>
      <w:r w:rsidRPr="00F6394F">
        <w:t xml:space="preserve"> may not be appropriate or cost-effective based on the utility’s service territory or considering the number or mix of customers. </w:t>
      </w:r>
      <w:r>
        <w:t xml:space="preserve"> </w:t>
      </w:r>
      <w:r w:rsidRPr="00F6394F">
        <w:t xml:space="preserve">However, Southwest Gas </w:t>
      </w:r>
      <w:r>
        <w:t xml:space="preserve">states that it </w:t>
      </w:r>
      <w:r w:rsidRPr="00F6394F">
        <w:t>would be amendable to the Commission providing the SMJUs with the option to consider measures that have been approved for implementation by the large IOUs and to include those specific measures that the utility determines to be feasible and cost-effective for inclusion as part of its ESA program</w:t>
      </w:r>
      <w:r>
        <w:t>.</w:t>
      </w:r>
      <w:r>
        <w:rPr>
          <w:rStyle w:val="FootnoteReference"/>
        </w:rPr>
        <w:footnoteReference w:id="149"/>
      </w:r>
    </w:p>
    <w:p w:rsidRPr="008A40E9" w:rsidR="008959A4" w:rsidP="008959A4" w:rsidRDefault="008959A4" w14:paraId="62ACF033" w14:textId="77777777">
      <w:pPr>
        <w:pStyle w:val="Heading3"/>
        <w:rPr>
          <w:iCs/>
        </w:rPr>
      </w:pPr>
      <w:bookmarkStart w:name="_Toc82159781" w:id="203"/>
      <w:r>
        <w:t>Discussion</w:t>
      </w:r>
      <w:bookmarkEnd w:id="203"/>
    </w:p>
    <w:p w:rsidRPr="00481EA3" w:rsidR="008959A4" w:rsidP="008959A4" w:rsidRDefault="008959A4" w14:paraId="1F87B2A4" w14:textId="77777777">
      <w:pPr>
        <w:pStyle w:val="Heading4"/>
        <w:ind w:left="3600" w:hanging="1260"/>
      </w:pPr>
      <w:bookmarkStart w:name="_Toc69947980" w:id="204"/>
      <w:bookmarkStart w:name="_Toc82159782" w:id="205"/>
      <w:r w:rsidRPr="008A40E9">
        <w:t xml:space="preserve">SMJUs’ </w:t>
      </w:r>
      <w:r>
        <w:t xml:space="preserve">Proposed </w:t>
      </w:r>
      <w:r w:rsidRPr="008A40E9">
        <w:rPr>
          <w:bCs/>
        </w:rPr>
        <w:t>PY</w:t>
      </w:r>
      <w:r>
        <w:rPr>
          <w:bCs/>
        </w:rPr>
        <w:t>s</w:t>
      </w:r>
      <w:r w:rsidRPr="008A40E9">
        <w:rPr>
          <w:bCs/>
        </w:rPr>
        <w:t xml:space="preserve"> 2021-2026 </w:t>
      </w:r>
      <w:r>
        <w:rPr>
          <w:bCs/>
        </w:rPr>
        <w:br/>
      </w:r>
      <w:r w:rsidRPr="008A40E9">
        <w:rPr>
          <w:bCs/>
        </w:rPr>
        <w:t>Measure Portfolio</w:t>
      </w:r>
      <w:r w:rsidRPr="00481EA3">
        <w:t xml:space="preserve">: </w:t>
      </w:r>
      <w:r w:rsidRPr="00481EA3">
        <w:rPr>
          <w:u w:val="single"/>
        </w:rPr>
        <w:t>Approved</w:t>
      </w:r>
      <w:bookmarkEnd w:id="204"/>
      <w:r>
        <w:rPr>
          <w:u w:val="single"/>
        </w:rPr>
        <w:t xml:space="preserve"> with Modifications</w:t>
      </w:r>
      <w:bookmarkEnd w:id="205"/>
    </w:p>
    <w:p w:rsidR="008959A4" w:rsidP="008959A4" w:rsidRDefault="008959A4" w14:paraId="33DCF673" w14:textId="77777777">
      <w:pPr>
        <w:spacing w:after="160" w:line="360" w:lineRule="auto"/>
        <w:ind w:firstLine="720"/>
        <w:contextualSpacing/>
        <w:rPr>
          <w:rFonts w:eastAsia="Book Antiqua" w:cs="Book Antiqua"/>
          <w:szCs w:val="26"/>
        </w:rPr>
      </w:pPr>
      <w:r>
        <w:t xml:space="preserve">We approve the SMJUs’ ESA program measure mixes, including their proposed new, modified, and/or retired measures.  The Commission’s approval is predicated on a higher-level regulatory touch such that the SMJUs can meet their portfolio energy savings goals, and other directives, including increased program coordination.  Therefore, we want the SMJUs to meet these goals without seeking regulatory approval or being subject to regulatory delay for each necessary measure program change.  As a result, we modify the measure approval process to allow the SMJUs </w:t>
      </w:r>
      <w:r w:rsidRPr="00097C2E">
        <w:t xml:space="preserve">to make measure changes through the </w:t>
      </w:r>
      <w:r>
        <w:t>quarterly</w:t>
      </w:r>
      <w:r w:rsidDel="00013338">
        <w:t xml:space="preserve"> </w:t>
      </w:r>
      <w:r>
        <w:t xml:space="preserve">reports </w:t>
      </w:r>
      <w:r w:rsidRPr="00097C2E">
        <w:t>going forward</w:t>
      </w:r>
      <w:r>
        <w:t xml:space="preserve"> </w:t>
      </w:r>
      <w:r w:rsidRPr="00A65A5E">
        <w:rPr>
          <w:rFonts w:eastAsiaTheme="minorEastAsia"/>
        </w:rPr>
        <w:t>so long as it does not result in spending beyond the approved budgets or adversely impact cost</w:t>
      </w:r>
      <w:r>
        <w:rPr>
          <w:rFonts w:eastAsiaTheme="minorEastAsia"/>
        </w:rPr>
        <w:t xml:space="preserve"> </w:t>
      </w:r>
      <w:r w:rsidRPr="00A65A5E">
        <w:rPr>
          <w:rFonts w:eastAsiaTheme="minorEastAsia"/>
        </w:rPr>
        <w:t>effectiveness result</w:t>
      </w:r>
      <w:r>
        <w:rPr>
          <w:rFonts w:eastAsiaTheme="minorEastAsia"/>
        </w:rPr>
        <w:t>s</w:t>
      </w:r>
      <w:r>
        <w:t xml:space="preserve">.  </w:t>
      </w:r>
      <w:r w:rsidRPr="00097C2E">
        <w:rPr>
          <w:rFonts w:eastAsia="Book Antiqua" w:cs="Book Antiqua"/>
        </w:rPr>
        <w:t xml:space="preserve">The </w:t>
      </w:r>
      <w:r>
        <w:rPr>
          <w:rFonts w:eastAsia="Book Antiqua" w:cs="Book Antiqua"/>
        </w:rPr>
        <w:t>ability to reallocate</w:t>
      </w:r>
      <w:r w:rsidRPr="00097C2E">
        <w:rPr>
          <w:rFonts w:eastAsia="Book Antiqua" w:cs="Book Antiqua"/>
        </w:rPr>
        <w:t xml:space="preserve"> </w:t>
      </w:r>
      <w:r>
        <w:rPr>
          <w:rFonts w:eastAsia="Book Antiqua" w:cs="Book Antiqua"/>
        </w:rPr>
        <w:t xml:space="preserve">the </w:t>
      </w:r>
      <w:r w:rsidRPr="00097C2E">
        <w:rPr>
          <w:rFonts w:eastAsia="Book Antiqua" w:cs="Book Antiqua"/>
        </w:rPr>
        <w:t>measure</w:t>
      </w:r>
      <w:r>
        <w:rPr>
          <w:rFonts w:eastAsia="Book Antiqua" w:cs="Book Antiqua"/>
        </w:rPr>
        <w:t xml:space="preserve"> mix</w:t>
      </w:r>
      <w:r w:rsidRPr="00097C2E">
        <w:rPr>
          <w:rFonts w:eastAsia="Book Antiqua" w:cs="Book Antiqua"/>
        </w:rPr>
        <w:t xml:space="preserve"> does not automatically guarantee or imply that any measure, energy efficiency or otherwise, should or will be added to the ESA </w:t>
      </w:r>
      <w:r w:rsidRPr="00097C2E">
        <w:rPr>
          <w:rFonts w:eastAsia="Book Antiqua" w:cs="Book Antiqua"/>
        </w:rPr>
        <w:lastRenderedPageBreak/>
        <w:t>program</w:t>
      </w:r>
      <w:r>
        <w:rPr>
          <w:rFonts w:eastAsia="Book Antiqua" w:cs="Book Antiqua"/>
        </w:rPr>
        <w:t xml:space="preserve">.  Instead, </w:t>
      </w:r>
      <w:r w:rsidRPr="00097C2E">
        <w:rPr>
          <w:rFonts w:eastAsia="Book Antiqua" w:cs="Book Antiqua"/>
        </w:rPr>
        <w:t xml:space="preserve">the </w:t>
      </w:r>
      <w:r>
        <w:rPr>
          <w:rFonts w:eastAsia="Book Antiqua" w:cs="Book Antiqua"/>
        </w:rPr>
        <w:t>SMJUs</w:t>
      </w:r>
      <w:r w:rsidRPr="00097C2E">
        <w:rPr>
          <w:rFonts w:eastAsia="Book Antiqua" w:cs="Book Antiqua"/>
        </w:rPr>
        <w:t xml:space="preserve">, as the program administrators, </w:t>
      </w:r>
      <w:r>
        <w:rPr>
          <w:rFonts w:eastAsia="Book Antiqua" w:cs="Book Antiqua"/>
        </w:rPr>
        <w:t xml:space="preserve">will be allowed </w:t>
      </w:r>
      <w:r w:rsidRPr="00097C2E">
        <w:rPr>
          <w:rFonts w:eastAsia="Book Antiqua" w:cs="Book Antiqua"/>
        </w:rPr>
        <w:t>to decide what is best for their customers, to propose measures that are appropriate for the customer to reduce energy use or hardship, are appropriate to be funded by ESA ratepayers or can be cost-shared with other programs, and generally fit within the cost-effective guidelines.</w:t>
      </w:r>
      <w:r>
        <w:rPr>
          <w:rFonts w:eastAsia="Book Antiqua" w:cs="Book Antiqua"/>
        </w:rPr>
        <w:t xml:space="preserve">  </w:t>
      </w:r>
      <w:r w:rsidRPr="00097C2E">
        <w:rPr>
          <w:rFonts w:eastAsia="Book Antiqua" w:cs="Book Antiqua"/>
        </w:rPr>
        <w:t xml:space="preserve">The measure approval process is also tied to the </w:t>
      </w:r>
      <w:r>
        <w:rPr>
          <w:rFonts w:eastAsia="Book Antiqua" w:cs="Book Antiqua"/>
        </w:rPr>
        <w:t>goal of</w:t>
      </w:r>
      <w:r w:rsidRPr="00097C2E">
        <w:rPr>
          <w:rFonts w:eastAsia="Book Antiqua" w:cs="Book Antiqua"/>
          <w:szCs w:val="26"/>
        </w:rPr>
        <w:t xml:space="preserve"> maximiz</w:t>
      </w:r>
      <w:r>
        <w:rPr>
          <w:rFonts w:eastAsia="Book Antiqua" w:cs="Book Antiqua"/>
          <w:szCs w:val="26"/>
        </w:rPr>
        <w:t>ing</w:t>
      </w:r>
      <w:r w:rsidRPr="00097C2E">
        <w:rPr>
          <w:rFonts w:eastAsia="Book Antiqua" w:cs="Book Antiqua"/>
          <w:szCs w:val="26"/>
        </w:rPr>
        <w:t xml:space="preserve"> the individual household’s energy savings, and </w:t>
      </w:r>
      <w:r>
        <w:rPr>
          <w:rFonts w:eastAsia="Book Antiqua" w:cs="Book Antiqua"/>
          <w:szCs w:val="26"/>
        </w:rPr>
        <w:t>HCS</w:t>
      </w:r>
      <w:r w:rsidRPr="00097C2E">
        <w:rPr>
          <w:rFonts w:eastAsia="Book Antiqua" w:cs="Book Antiqua"/>
          <w:szCs w:val="26"/>
        </w:rPr>
        <w:t xml:space="preserve"> benefits</w:t>
      </w:r>
      <w:r>
        <w:rPr>
          <w:rFonts w:eastAsia="Book Antiqua" w:cs="Book Antiqua"/>
          <w:szCs w:val="26"/>
        </w:rPr>
        <w:t xml:space="preserve">.  </w:t>
      </w:r>
    </w:p>
    <w:p w:rsidRPr="00481EA3" w:rsidR="008959A4" w:rsidP="008959A4" w:rsidRDefault="008959A4" w14:paraId="3EE76E72" w14:textId="6327EF71">
      <w:pPr>
        <w:pStyle w:val="Heading4"/>
        <w:ind w:left="3600" w:hanging="1260"/>
      </w:pPr>
      <w:bookmarkStart w:name="_Toc82159783" w:id="206"/>
      <w:r>
        <w:t>Post Decision Compliance Filing:</w:t>
      </w:r>
      <w:r w:rsidR="000D5BBE">
        <w:t xml:space="preserve"> </w:t>
      </w:r>
      <w:r>
        <w:t xml:space="preserve"> </w:t>
      </w:r>
      <w:r w:rsidRPr="00C85446">
        <w:rPr>
          <w:u w:val="single"/>
        </w:rPr>
        <w:t>New</w:t>
      </w:r>
      <w:bookmarkEnd w:id="206"/>
      <w:r>
        <w:t xml:space="preserve"> </w:t>
      </w:r>
    </w:p>
    <w:p w:rsidRPr="00A63D62" w:rsidR="008959A4" w:rsidP="008959A4" w:rsidRDefault="008959A4" w14:paraId="4F84EEFE" w14:textId="16AFEFBC">
      <w:pPr>
        <w:pStyle w:val="Standard"/>
      </w:pPr>
      <w:r>
        <w:t xml:space="preserve">As discussed in Section 5.3.9.2, </w:t>
      </w:r>
      <w:r w:rsidRPr="00343AA0">
        <w:t xml:space="preserve">the </w:t>
      </w:r>
      <w:r>
        <w:t>SMJUs</w:t>
      </w:r>
      <w:r w:rsidRPr="00343AA0">
        <w:t xml:space="preserve"> </w:t>
      </w:r>
      <w:r>
        <w:t xml:space="preserve">shall </w:t>
      </w:r>
      <w:r w:rsidRPr="00343AA0">
        <w:t xml:space="preserve">meet and confer, and jointly submit a compliance filing via a Tier 2 advice letter within </w:t>
      </w:r>
      <w:r w:rsidR="001E6AEE">
        <w:t>120</w:t>
      </w:r>
      <w:r w:rsidRPr="00343AA0" w:rsidR="001E6AEE">
        <w:t xml:space="preserve"> </w:t>
      </w:r>
      <w:r w:rsidRPr="00343AA0">
        <w:t xml:space="preserve">days after the </w:t>
      </w:r>
      <w:r>
        <w:t xml:space="preserve">effective date </w:t>
      </w:r>
      <w:r w:rsidRPr="00343AA0">
        <w:t xml:space="preserve">of this decision. </w:t>
      </w:r>
      <w:r>
        <w:t xml:space="preserve"> Among other things, this C</w:t>
      </w:r>
      <w:r w:rsidRPr="00343AA0">
        <w:t xml:space="preserve">ompliance </w:t>
      </w:r>
      <w:r>
        <w:t>F</w:t>
      </w:r>
      <w:r w:rsidRPr="00343AA0">
        <w:t xml:space="preserve">iling </w:t>
      </w:r>
      <w:r>
        <w:t>will</w:t>
      </w:r>
      <w:r w:rsidRPr="00343AA0">
        <w:t xml:space="preserve"> include</w:t>
      </w:r>
      <w:r>
        <w:t xml:space="preserve"> </w:t>
      </w:r>
      <w:r w:rsidRPr="00343AA0">
        <w:t xml:space="preserve">details of the final </w:t>
      </w:r>
      <w:r>
        <w:t xml:space="preserve">list of </w:t>
      </w:r>
      <w:r w:rsidRPr="00343AA0">
        <w:t xml:space="preserve">ESA program </w:t>
      </w:r>
      <w:r>
        <w:t xml:space="preserve">measures being offered across the SMJUs categorized into the Basic and Plus level measures.  See Attachment 1 for additional details on the Compliance Filing. </w:t>
      </w:r>
    </w:p>
    <w:p w:rsidRPr="008D33B1" w:rsidR="008959A4" w:rsidP="008959A4" w:rsidRDefault="008959A4" w14:paraId="39D16F79" w14:textId="0E19A57C">
      <w:pPr>
        <w:pStyle w:val="Heading4"/>
        <w:ind w:left="3600" w:hanging="1260"/>
      </w:pPr>
      <w:bookmarkStart w:name="_Toc69947984" w:id="207"/>
      <w:bookmarkStart w:name="_Toc82159784" w:id="208"/>
      <w:r w:rsidRPr="008A40E9">
        <w:t>Add</w:t>
      </w:r>
      <w:r>
        <w:t>ing</w:t>
      </w:r>
      <w:r w:rsidRPr="008A40E9">
        <w:t xml:space="preserve"> All Commission Approved </w:t>
      </w:r>
      <w:r>
        <w:br/>
      </w:r>
      <w:r w:rsidRPr="008A40E9">
        <w:t>Measures:</w:t>
      </w:r>
      <w:r w:rsidR="000D5BBE">
        <w:t xml:space="preserve"> </w:t>
      </w:r>
      <w:r w:rsidRPr="008D33B1">
        <w:t xml:space="preserve"> </w:t>
      </w:r>
      <w:r w:rsidRPr="008A40E9">
        <w:rPr>
          <w:u w:val="single"/>
        </w:rPr>
        <w:t>Denied</w:t>
      </w:r>
      <w:bookmarkEnd w:id="207"/>
      <w:bookmarkEnd w:id="208"/>
    </w:p>
    <w:p w:rsidR="008959A4" w:rsidP="008959A4" w:rsidRDefault="008959A4" w14:paraId="32AE4FB2" w14:textId="77777777">
      <w:pPr>
        <w:spacing w:after="160" w:line="360" w:lineRule="auto"/>
        <w:ind w:firstLine="720"/>
        <w:contextualSpacing/>
      </w:pPr>
      <w:r>
        <w:t xml:space="preserve">We deny EEC and Free Energy’s </w:t>
      </w:r>
      <w:r w:rsidRPr="004F58A9">
        <w:t>propos</w:t>
      </w:r>
      <w:r>
        <w:t>al to automatically a</w:t>
      </w:r>
      <w:r w:rsidRPr="009A4E5F">
        <w:t>dd all measures approved by the Commission for use in other residential program</w:t>
      </w:r>
      <w:r>
        <w:t>s</w:t>
      </w:r>
      <w:r w:rsidRPr="009A4E5F">
        <w:t xml:space="preserve"> to </w:t>
      </w:r>
      <w:r>
        <w:t>the</w:t>
      </w:r>
      <w:r w:rsidRPr="009A4E5F">
        <w:t xml:space="preserve"> </w:t>
      </w:r>
      <w:r>
        <w:t xml:space="preserve">SMJU </w:t>
      </w:r>
      <w:r w:rsidRPr="009A4E5F">
        <w:t>ESA program</w:t>
      </w:r>
      <w:r w:rsidRPr="004F58A9">
        <w:t xml:space="preserve"> and</w:t>
      </w:r>
      <w:r>
        <w:t xml:space="preserve"> disagree that this would </w:t>
      </w:r>
      <w:r w:rsidRPr="004F58A9">
        <w:t>improve the cost effectiveness of the overall program</w:t>
      </w:r>
      <w:r>
        <w:t xml:space="preserve">.  Other </w:t>
      </w:r>
      <w:r w:rsidRPr="006F567D">
        <w:t>programs</w:t>
      </w:r>
      <w:r>
        <w:t>’</w:t>
      </w:r>
      <w:r w:rsidRPr="006F567D">
        <w:t xml:space="preserve"> </w:t>
      </w:r>
      <w:r>
        <w:t xml:space="preserve">measures </w:t>
      </w:r>
      <w:r w:rsidRPr="006F567D">
        <w:t>are not tailored specifically for income</w:t>
      </w:r>
      <w:r>
        <w:t xml:space="preserve"> </w:t>
      </w:r>
      <w:r w:rsidRPr="006F567D">
        <w:t>qualified customers and</w:t>
      </w:r>
      <w:r>
        <w:t xml:space="preserve"> have not been properly </w:t>
      </w:r>
      <w:r w:rsidRPr="006F567D">
        <w:t xml:space="preserve">evaluated to ensure they </w:t>
      </w:r>
      <w:r>
        <w:t>meet this population’s unique needs; therefore, it would not be prudent to a</w:t>
      </w:r>
      <w:r w:rsidRPr="004F58A9">
        <w:t>utomatically add</w:t>
      </w:r>
      <w:r>
        <w:t xml:space="preserve"> such measures into the ESA program without a proper evaluation and impact analysis.  For the reasons discussed, we deny this request.</w:t>
      </w:r>
    </w:p>
    <w:p w:rsidRPr="00C45048" w:rsidR="008959A4" w:rsidP="008959A4" w:rsidRDefault="008959A4" w14:paraId="6434383A" w14:textId="08EE3AF3">
      <w:pPr>
        <w:pStyle w:val="Heading4"/>
        <w:ind w:left="3600" w:hanging="1260"/>
      </w:pPr>
      <w:bookmarkStart w:name="_Toc82159785" w:id="209"/>
      <w:r w:rsidRPr="00D17BE1">
        <w:lastRenderedPageBreak/>
        <w:t>Retiring CAM Pilot:</w:t>
      </w:r>
      <w:r>
        <w:t xml:space="preserve"> </w:t>
      </w:r>
      <w:r w:rsidR="000D5BBE">
        <w:t xml:space="preserve"> </w:t>
      </w:r>
      <w:r w:rsidRPr="00642B10">
        <w:rPr>
          <w:u w:val="single"/>
        </w:rPr>
        <w:t xml:space="preserve">Denied with </w:t>
      </w:r>
      <w:r w:rsidRPr="00642B10">
        <w:rPr>
          <w:u w:val="single"/>
        </w:rPr>
        <w:br/>
        <w:t>Modifications</w:t>
      </w:r>
      <w:bookmarkEnd w:id="209"/>
      <w:r w:rsidRPr="00D17BE1">
        <w:t xml:space="preserve"> </w:t>
      </w:r>
    </w:p>
    <w:p w:rsidRPr="0045595E" w:rsidR="008959A4" w:rsidP="008959A4" w:rsidRDefault="008959A4" w14:paraId="425DFDBC" w14:textId="77777777">
      <w:pPr>
        <w:spacing w:after="160" w:line="360" w:lineRule="auto"/>
        <w:ind w:firstLine="720"/>
        <w:contextualSpacing/>
      </w:pPr>
      <w:r>
        <w:t>In acknowledging the importance of continuing to serve the low-income multifamily housing stock, we direct all the SMJUs that have multifamily buildings in their service areas to consider offering CAM measures, similar to the CAM measures offered in the large IOU ESA programs.  The SMJUs are directed to review and consider including such measures in their ESA portfolios as part of the post decision Compliance Filing (</w:t>
      </w:r>
      <w:r w:rsidRPr="00AA01E3">
        <w:rPr>
          <w:i/>
          <w:iCs/>
        </w:rPr>
        <w:t>see</w:t>
      </w:r>
      <w:r>
        <w:t xml:space="preserve"> Section 5.4.9.2).  At this time, we will not set separate multifamily budgets, metrics, or goals until more information is gathered from the multifamily efforts in the large IOU ESA programs.  We direct the SMJUs to follow closely the </w:t>
      </w:r>
      <w:r w:rsidRPr="0045595E">
        <w:t xml:space="preserve">large IOU </w:t>
      </w:r>
      <w:r>
        <w:t>ESA</w:t>
      </w:r>
      <w:r w:rsidRPr="0045595E">
        <w:t xml:space="preserve"> activities </w:t>
      </w:r>
      <w:r>
        <w:t xml:space="preserve">related to </w:t>
      </w:r>
      <w:r w:rsidRPr="0045595E">
        <w:t xml:space="preserve">multi-family common area measures </w:t>
      </w:r>
      <w:r>
        <w:t>and consider offering those measures</w:t>
      </w:r>
      <w:r w:rsidRPr="0045595E">
        <w:t xml:space="preserve"> as part of the SMJUs’ </w:t>
      </w:r>
      <w:r>
        <w:t xml:space="preserve">ESA portfolio.  Therefore, we approve </w:t>
      </w:r>
      <w:r w:rsidRPr="00C944E6">
        <w:t>Liberty</w:t>
      </w:r>
      <w:r>
        <w:t xml:space="preserve">’s discontinuation of </w:t>
      </w:r>
      <w:r w:rsidRPr="00C944E6">
        <w:t xml:space="preserve">CAM </w:t>
      </w:r>
      <w:r>
        <w:t>as a p</w:t>
      </w:r>
      <w:r w:rsidRPr="00C944E6">
        <w:t>ilot program</w:t>
      </w:r>
      <w:r>
        <w:t xml:space="preserve"> in lieu of the above assessment. </w:t>
      </w:r>
    </w:p>
    <w:p w:rsidRPr="00642B10" w:rsidR="008959A4" w:rsidP="008959A4" w:rsidRDefault="008959A4" w14:paraId="2ADBE805" w14:textId="365838E5">
      <w:pPr>
        <w:pStyle w:val="Heading4"/>
        <w:ind w:left="3600" w:hanging="1260"/>
      </w:pPr>
      <w:bookmarkStart w:name="_Toc82159786" w:id="210"/>
      <w:r w:rsidRPr="00811177">
        <w:t>Focus on Electrification Measures:</w:t>
      </w:r>
      <w:r>
        <w:t xml:space="preserve"> </w:t>
      </w:r>
      <w:r w:rsidR="000D5BBE">
        <w:t xml:space="preserve"> </w:t>
      </w:r>
      <w:r w:rsidRPr="00E67ECE">
        <w:rPr>
          <w:u w:val="single"/>
        </w:rPr>
        <w:t>New</w:t>
      </w:r>
      <w:bookmarkEnd w:id="210"/>
      <w:r w:rsidRPr="00811177">
        <w:t xml:space="preserve"> </w:t>
      </w:r>
    </w:p>
    <w:p w:rsidRPr="00097C2E" w:rsidR="008959A4" w:rsidP="008959A4" w:rsidRDefault="008959A4" w14:paraId="5160CFAC" w14:textId="767AA51C">
      <w:pPr>
        <w:pStyle w:val="ALJBodyText"/>
      </w:pPr>
      <w:r>
        <w:t>Given the Commission and other agencies’ recognition that building electrification is a necessary strategy to meet the state’s greenhouse gas (GHG) reduction goals,</w:t>
      </w:r>
      <w:r>
        <w:rPr>
          <w:rStyle w:val="FootnoteReference"/>
        </w:rPr>
        <w:footnoteReference w:id="150"/>
      </w:r>
      <w:r>
        <w:t xml:space="preserve"> we direct the SMJUs to closely monitor the information being gathered from the San Joaquin Valley DAC and Southern California Edison electrification pilots.</w:t>
      </w:r>
      <w:r>
        <w:rPr>
          <w:rStyle w:val="FootnoteReference"/>
        </w:rPr>
        <w:footnoteReference w:id="151"/>
      </w:r>
      <w:r>
        <w:t xml:space="preserve">  Once more information is gathered, the </w:t>
      </w:r>
      <w:r w:rsidR="00862BF1">
        <w:t xml:space="preserve">electric </w:t>
      </w:r>
      <w:r>
        <w:t>SMJUs shall consider adding e</w:t>
      </w:r>
      <w:r w:rsidRPr="003C0120">
        <w:t>fficient electrification measures</w:t>
      </w:r>
      <w:bookmarkStart w:name="_Hlk85026254" w:id="211"/>
      <w:r>
        <w:t xml:space="preserve"> </w:t>
      </w:r>
      <w:bookmarkEnd w:id="211"/>
      <w:r w:rsidRPr="00863542">
        <w:t xml:space="preserve">following the </w:t>
      </w:r>
      <w:r>
        <w:t xml:space="preserve">results from </w:t>
      </w:r>
      <w:r>
        <w:lastRenderedPageBreak/>
        <w:t>the various ongoing pilots and studies through the process described in Section 5.4.9.1.</w:t>
      </w:r>
    </w:p>
    <w:p w:rsidR="008959A4" w:rsidP="008959A4" w:rsidRDefault="008959A4" w14:paraId="0A0BDABF" w14:textId="77777777">
      <w:pPr>
        <w:pStyle w:val="Heading2"/>
      </w:pPr>
      <w:bookmarkStart w:name="_Toc82159787" w:id="212"/>
      <w:r w:rsidRPr="00571CAA">
        <w:t xml:space="preserve">ESA </w:t>
      </w:r>
      <w:r>
        <w:t xml:space="preserve">Program Goals (Household </w:t>
      </w:r>
      <w:r>
        <w:br/>
        <w:t>Treatments, Energy Savings, HCS)</w:t>
      </w:r>
      <w:bookmarkEnd w:id="212"/>
    </w:p>
    <w:p w:rsidR="008959A4" w:rsidP="008959A4" w:rsidRDefault="008959A4" w14:paraId="03D37C06" w14:textId="77777777">
      <w:pPr>
        <w:pStyle w:val="Heading3"/>
      </w:pPr>
      <w:bookmarkStart w:name="_Toc82159788" w:id="213"/>
      <w:r>
        <w:t>Background</w:t>
      </w:r>
      <w:bookmarkEnd w:id="213"/>
      <w:r>
        <w:t xml:space="preserve"> </w:t>
      </w:r>
    </w:p>
    <w:p w:rsidR="008959A4" w:rsidP="008959A4" w:rsidRDefault="008959A4" w14:paraId="6349B337" w14:textId="77777777">
      <w:pPr>
        <w:pStyle w:val="ALJBodyText"/>
      </w:pPr>
      <w:r>
        <w:t>The goal for the ESA program has been historically based on the number of households treated, setting SMJU specific annual household treatment goals to ensure that the low-income population would be fully served by the end of 2020.  In its simplest form, annual household treatment goals were derived based on the estimate of eligible low-income households in the SMJUs’ service territory, removing households treated since 2002, removing households treated by the California Department of Community Services and Development (CSD) programs, applying a 60 percent willingness and feasibility factor,</w:t>
      </w:r>
      <w:r>
        <w:rPr>
          <w:rStyle w:val="FootnoteReference"/>
        </w:rPr>
        <w:footnoteReference w:id="152"/>
      </w:r>
      <w:r>
        <w:t xml:space="preserve"> and then dividing that remaining eligible population by the number of years remaining until 2020.  For PYs 2021-2026, the Commission expected that the SMJUs would have reached all willing and eligible low-income households by the end of 2020, and therefore, the SMJUs were provided with flexibility in proposing new household treatment goals for the new cycle.  In prior cycles, no goals have been established for energy savings or HCS.</w:t>
      </w:r>
    </w:p>
    <w:p w:rsidR="008959A4" w:rsidP="008959A4" w:rsidRDefault="008959A4" w14:paraId="1D6D384C" w14:textId="77777777">
      <w:pPr>
        <w:pStyle w:val="Heading3"/>
      </w:pPr>
      <w:bookmarkStart w:name="_Toc82159789" w:id="214"/>
      <w:r>
        <w:t>Alpine Proposal</w:t>
      </w:r>
      <w:bookmarkEnd w:id="214"/>
    </w:p>
    <w:p w:rsidRPr="002D153D" w:rsidR="008959A4" w:rsidP="008959A4" w:rsidRDefault="008959A4" w14:paraId="021583FF" w14:textId="77777777">
      <w:pPr>
        <w:pStyle w:val="Standard"/>
      </w:pPr>
      <w:r w:rsidRPr="00461071">
        <w:rPr>
          <w:b/>
          <w:bCs/>
          <w:i/>
          <w:iCs/>
          <w:u w:val="single"/>
        </w:rPr>
        <w:t>Household Treatment Goal</w:t>
      </w:r>
      <w:r w:rsidRPr="00AF5DC2">
        <w:rPr>
          <w:b/>
          <w:bCs/>
          <w:i/>
          <w:iCs/>
        </w:rPr>
        <w:t>:</w:t>
      </w:r>
      <w:r w:rsidRPr="00AF5DC2">
        <w:t xml:space="preserve">  </w:t>
      </w:r>
      <w:r w:rsidRPr="00ED4809">
        <w:t>Alpine</w:t>
      </w:r>
      <w:r>
        <w:t xml:space="preserve"> proposes a goal </w:t>
      </w:r>
      <w:r w:rsidRPr="00ED4809">
        <w:t xml:space="preserve">of treating </w:t>
      </w:r>
      <w:r>
        <w:t xml:space="preserve">96 households for PYs 2021-26, or </w:t>
      </w:r>
      <w:r w:rsidRPr="00ED4809">
        <w:t>16 homes annually</w:t>
      </w:r>
      <w:r>
        <w:t>.</w:t>
      </w:r>
      <w:r>
        <w:rPr>
          <w:rStyle w:val="FootnoteReference"/>
        </w:rPr>
        <w:footnoteReference w:id="153"/>
      </w:r>
    </w:p>
    <w:p w:rsidR="008959A4" w:rsidP="008959A4" w:rsidRDefault="008959A4" w14:paraId="0E756C96" w14:textId="77777777">
      <w:pPr>
        <w:pStyle w:val="ALJBodyText"/>
      </w:pPr>
      <w:r w:rsidRPr="007359EB">
        <w:rPr>
          <w:b/>
          <w:bCs/>
          <w:i/>
          <w:iCs/>
          <w:u w:val="single"/>
        </w:rPr>
        <w:lastRenderedPageBreak/>
        <w:t xml:space="preserve">Energy Savings </w:t>
      </w:r>
      <w:r>
        <w:rPr>
          <w:b/>
          <w:bCs/>
          <w:i/>
          <w:iCs/>
          <w:u w:val="single"/>
        </w:rPr>
        <w:t>Goal</w:t>
      </w:r>
      <w:r w:rsidRPr="00AF5DC2">
        <w:rPr>
          <w:b/>
          <w:bCs/>
          <w:i/>
          <w:iCs/>
        </w:rPr>
        <w:t>:</w:t>
      </w:r>
      <w:r w:rsidRPr="00AF5DC2">
        <w:t xml:space="preserve">  </w:t>
      </w:r>
      <w:r>
        <w:t>Alpine</w:t>
      </w:r>
      <w:r w:rsidRPr="00FD7331">
        <w:t xml:space="preserve"> </w:t>
      </w:r>
      <w:r>
        <w:t>proposes</w:t>
      </w:r>
      <w:r w:rsidRPr="00F3674C">
        <w:t xml:space="preserve"> </w:t>
      </w:r>
      <w:r>
        <w:t>a p</w:t>
      </w:r>
      <w:r w:rsidRPr="00B24C99">
        <w:t xml:space="preserve">ortfolio </w:t>
      </w:r>
      <w:r>
        <w:t>e</w:t>
      </w:r>
      <w:r w:rsidRPr="00B24C99">
        <w:t xml:space="preserve">nergy </w:t>
      </w:r>
      <w:r>
        <w:t>s</w:t>
      </w:r>
      <w:r w:rsidRPr="00B24C99">
        <w:t xml:space="preserve">avings </w:t>
      </w:r>
      <w:r w:rsidRPr="006D5963">
        <w:t xml:space="preserve">metric, </w:t>
      </w:r>
      <w:r w:rsidRPr="006D5963">
        <w:rPr>
          <w:i/>
          <w:iCs/>
        </w:rPr>
        <w:t>not goal</w:t>
      </w:r>
      <w:r w:rsidRPr="006D5963">
        <w:t>,</w:t>
      </w:r>
      <w:r>
        <w:t xml:space="preserve"> of 450 therms for PYs 2021-2026, or </w:t>
      </w:r>
      <w:r w:rsidRPr="00B24C99">
        <w:t xml:space="preserve">75 </w:t>
      </w:r>
      <w:r>
        <w:t>t</w:t>
      </w:r>
      <w:r w:rsidRPr="00B24C99">
        <w:t>herms annually</w:t>
      </w:r>
      <w:r>
        <w:t>.</w:t>
      </w:r>
      <w:r>
        <w:rPr>
          <w:rStyle w:val="FootnoteReference"/>
        </w:rPr>
        <w:footnoteReference w:id="154"/>
      </w:r>
      <w:r>
        <w:t xml:space="preserve">  Additionally, Alpine proposes one metric to measure the depth of energy savings, the</w:t>
      </w:r>
      <w:r w:rsidRPr="00FF3099">
        <w:rPr>
          <w:rFonts w:ascii="Arial" w:hAnsi="Arial" w:cs="Arial"/>
          <w:color w:val="000000"/>
          <w:sz w:val="23"/>
          <w:szCs w:val="23"/>
        </w:rPr>
        <w:t xml:space="preserve"> </w:t>
      </w:r>
      <w:r>
        <w:rPr>
          <w:rFonts w:ascii="Arial" w:hAnsi="Arial" w:cs="Arial"/>
          <w:color w:val="000000"/>
          <w:sz w:val="23"/>
          <w:szCs w:val="23"/>
        </w:rPr>
        <w:t>a</w:t>
      </w:r>
      <w:r w:rsidRPr="00FF3099">
        <w:t xml:space="preserve">verage </w:t>
      </w:r>
      <w:r>
        <w:t>e</w:t>
      </w:r>
      <w:r w:rsidRPr="00FF3099">
        <w:t xml:space="preserve">nergy </w:t>
      </w:r>
      <w:r>
        <w:t>s</w:t>
      </w:r>
      <w:r w:rsidRPr="00FF3099">
        <w:t xml:space="preserve">avings per </w:t>
      </w:r>
      <w:r>
        <w:t>h</w:t>
      </w:r>
      <w:r w:rsidRPr="00FF3099">
        <w:t xml:space="preserve">ousehold </w:t>
      </w:r>
      <w:r>
        <w:t>of</w:t>
      </w:r>
      <w:r w:rsidRPr="00FF3099">
        <w:t xml:space="preserve"> 5 </w:t>
      </w:r>
      <w:r>
        <w:t>t</w:t>
      </w:r>
      <w:r w:rsidRPr="00FF3099">
        <w:t>herms annually (the weighted average of the housing types)</w:t>
      </w:r>
      <w:r>
        <w:t>.</w:t>
      </w:r>
      <w:r>
        <w:rPr>
          <w:rStyle w:val="FootnoteReference"/>
        </w:rPr>
        <w:footnoteReference w:id="155"/>
      </w:r>
      <w:r>
        <w:t xml:space="preserve"> </w:t>
      </w:r>
    </w:p>
    <w:p w:rsidRPr="004C2762" w:rsidR="008959A4" w:rsidP="008959A4" w:rsidRDefault="008959A4" w14:paraId="49D36AA5" w14:textId="77777777">
      <w:pPr>
        <w:pStyle w:val="ALJBodyText"/>
      </w:pPr>
      <w:r>
        <w:rPr>
          <w:b/>
          <w:bCs/>
          <w:i/>
          <w:iCs/>
          <w:u w:val="single"/>
        </w:rPr>
        <w:t>HCS Goals</w:t>
      </w:r>
      <w:r w:rsidRPr="00AF5DC2">
        <w:rPr>
          <w:b/>
          <w:bCs/>
          <w:i/>
          <w:iCs/>
        </w:rPr>
        <w:t>:</w:t>
      </w:r>
      <w:r w:rsidRPr="00AF5DC2">
        <w:rPr>
          <w:rFonts w:ascii="CALS_InvisibleTTFont" w:eastAsia="CALS_InvisibleTTFont" w:cs="CALS_InvisibleTTFont" w:hAnsiTheme="minorHAnsi"/>
          <w:sz w:val="23"/>
          <w:szCs w:val="23"/>
        </w:rPr>
        <w:t xml:space="preserve">  </w:t>
      </w:r>
      <w:r>
        <w:t>Alpine does not specify any HCS goals</w:t>
      </w:r>
      <w:r w:rsidRPr="006D5963">
        <w:t xml:space="preserve"> </w:t>
      </w:r>
      <w:r w:rsidRPr="00CD6FA2">
        <w:t xml:space="preserve">for the ESA </w:t>
      </w:r>
      <w:r>
        <w:t>p</w:t>
      </w:r>
      <w:r w:rsidRPr="00CD6FA2">
        <w:t>rogram</w:t>
      </w:r>
      <w:r>
        <w:t>, but states that e</w:t>
      </w:r>
      <w:r w:rsidRPr="00CD6FA2">
        <w:t xml:space="preserve">nergy </w:t>
      </w:r>
      <w:r>
        <w:t>b</w:t>
      </w:r>
      <w:r w:rsidRPr="00CD6FA2">
        <w:t xml:space="preserve">urden is a worthwhile goal </w:t>
      </w:r>
      <w:r>
        <w:t xml:space="preserve">with </w:t>
      </w:r>
      <w:r w:rsidRPr="00CD6FA2">
        <w:t>savings estimates derived largely from the 2015-2017 ESA Impact Evaluation</w:t>
      </w:r>
      <w:r>
        <w:t xml:space="preserve"> and </w:t>
      </w:r>
      <w:r w:rsidRPr="00CD6FA2">
        <w:t>readily calculated based on the results of income screening and analysis of customer annual billed use.</w:t>
      </w:r>
      <w:r>
        <w:rPr>
          <w:rStyle w:val="FootnoteReference"/>
        </w:rPr>
        <w:footnoteReference w:id="156"/>
      </w:r>
    </w:p>
    <w:p w:rsidR="008959A4" w:rsidP="008959A4" w:rsidRDefault="008959A4" w14:paraId="4EAF169B" w14:textId="77777777">
      <w:pPr>
        <w:pStyle w:val="Heading3"/>
      </w:pPr>
      <w:bookmarkStart w:name="_Toc82159790" w:id="215"/>
      <w:r>
        <w:t>Bear Valley Proposal</w:t>
      </w:r>
      <w:bookmarkEnd w:id="215"/>
    </w:p>
    <w:p w:rsidR="008959A4" w:rsidP="008959A4" w:rsidRDefault="008959A4" w14:paraId="2E0309E8" w14:textId="77777777">
      <w:pPr>
        <w:pStyle w:val="ALJBodyText"/>
      </w:pPr>
      <w:r w:rsidRPr="008F4AD1">
        <w:rPr>
          <w:b/>
          <w:bCs/>
          <w:i/>
          <w:iCs/>
          <w:u w:val="single"/>
        </w:rPr>
        <w:t>Household Treatment Goal</w:t>
      </w:r>
      <w:r w:rsidRPr="00AF5DC2">
        <w:rPr>
          <w:b/>
          <w:bCs/>
          <w:i/>
          <w:iCs/>
        </w:rPr>
        <w:t>:</w:t>
      </w:r>
      <w:r>
        <w:t xml:space="preserve">  Bear Valley</w:t>
      </w:r>
      <w:r w:rsidRPr="00F3674C">
        <w:t xml:space="preserve"> </w:t>
      </w:r>
      <w:r>
        <w:t xml:space="preserve">proposes a goal </w:t>
      </w:r>
      <w:r w:rsidRPr="00ED4809">
        <w:t>of treating</w:t>
      </w:r>
      <w:r>
        <w:t xml:space="preserve"> 600 households for PYs 2021-2026, or 10</w:t>
      </w:r>
      <w:r w:rsidRPr="00FE0F37">
        <w:t>0 ho</w:t>
      </w:r>
      <w:r>
        <w:t>useholds annually</w:t>
      </w:r>
      <w:r w:rsidRPr="00FE0F37">
        <w:t>.</w:t>
      </w:r>
      <w:r>
        <w:rPr>
          <w:rStyle w:val="FootnoteReference"/>
        </w:rPr>
        <w:footnoteReference w:id="157"/>
      </w:r>
      <w:r>
        <w:t xml:space="preserve"> </w:t>
      </w:r>
    </w:p>
    <w:p w:rsidR="008959A4" w:rsidP="008959A4" w:rsidRDefault="008959A4" w14:paraId="459FDBB4" w14:textId="77777777">
      <w:pPr>
        <w:pStyle w:val="ALJBodyText"/>
      </w:pPr>
      <w:r w:rsidRPr="007359EB">
        <w:rPr>
          <w:b/>
          <w:bCs/>
          <w:i/>
          <w:iCs/>
          <w:u w:val="single"/>
        </w:rPr>
        <w:t xml:space="preserve">Energy Savings </w:t>
      </w:r>
      <w:r>
        <w:rPr>
          <w:b/>
          <w:bCs/>
          <w:i/>
          <w:iCs/>
          <w:u w:val="single"/>
        </w:rPr>
        <w:t>Goal</w:t>
      </w:r>
      <w:r w:rsidRPr="009C7305">
        <w:rPr>
          <w:b/>
          <w:bCs/>
          <w:i/>
          <w:iCs/>
        </w:rPr>
        <w:t>:</w:t>
      </w:r>
      <w:r w:rsidRPr="009C7305">
        <w:t xml:space="preserve">  B</w:t>
      </w:r>
      <w:r>
        <w:t>ear Valley does not propose</w:t>
      </w:r>
      <w:r w:rsidRPr="00F3674C">
        <w:t xml:space="preserve"> </w:t>
      </w:r>
      <w:r>
        <w:t>a p</w:t>
      </w:r>
      <w:r w:rsidRPr="00B24C99">
        <w:t xml:space="preserve">ortfolio </w:t>
      </w:r>
      <w:r>
        <w:t>e</w:t>
      </w:r>
      <w:r w:rsidRPr="00B24C99">
        <w:t xml:space="preserve">nergy </w:t>
      </w:r>
      <w:r>
        <w:t>s</w:t>
      </w:r>
      <w:r w:rsidRPr="00B24C99">
        <w:t xml:space="preserve">avings </w:t>
      </w:r>
      <w:r w:rsidRPr="002D4D93">
        <w:t>goal</w:t>
      </w:r>
      <w:r>
        <w:t xml:space="preserve"> but did provide a yearly forecast of annual energy savings for their proposed ESA program of 46,292 kWh</w:t>
      </w:r>
      <w:r>
        <w:rPr>
          <w:i/>
          <w:iCs/>
        </w:rPr>
        <w:t>.</w:t>
      </w:r>
      <w:r w:rsidRPr="00675612">
        <w:rPr>
          <w:rStyle w:val="FootnoteReference"/>
        </w:rPr>
        <w:footnoteReference w:id="158"/>
      </w:r>
      <w:r w:rsidRPr="00675612">
        <w:t xml:space="preserve"> </w:t>
      </w:r>
    </w:p>
    <w:p w:rsidR="008959A4" w:rsidP="008959A4" w:rsidRDefault="008959A4" w14:paraId="20BC5ABD" w14:textId="77777777">
      <w:pPr>
        <w:pStyle w:val="ALJBodyText"/>
      </w:pPr>
      <w:r>
        <w:rPr>
          <w:b/>
          <w:bCs/>
          <w:i/>
          <w:iCs/>
          <w:u w:val="single"/>
        </w:rPr>
        <w:t>HCS Goals</w:t>
      </w:r>
      <w:r w:rsidRPr="009C7305">
        <w:rPr>
          <w:b/>
          <w:bCs/>
          <w:i/>
          <w:iCs/>
        </w:rPr>
        <w:t>:</w:t>
      </w:r>
      <w:r w:rsidRPr="009C7305">
        <w:t xml:space="preserve"> </w:t>
      </w:r>
      <w:r>
        <w:t xml:space="preserve"> Bear Valley does not propose</w:t>
      </w:r>
      <w:r w:rsidRPr="00F3674C">
        <w:t xml:space="preserve"> </w:t>
      </w:r>
      <w:r>
        <w:t xml:space="preserve">any HCS </w:t>
      </w:r>
      <w:r w:rsidRPr="00C237AE">
        <w:t>metrics</w:t>
      </w:r>
      <w:r>
        <w:t xml:space="preserve"> or goals. </w:t>
      </w:r>
    </w:p>
    <w:p w:rsidR="008959A4" w:rsidP="008959A4" w:rsidRDefault="008959A4" w14:paraId="74F1D009" w14:textId="77777777">
      <w:pPr>
        <w:pStyle w:val="Heading3"/>
      </w:pPr>
      <w:bookmarkStart w:name="_Toc82159791" w:id="216"/>
      <w:r>
        <w:t>Liberty Proposal</w:t>
      </w:r>
      <w:bookmarkEnd w:id="216"/>
    </w:p>
    <w:p w:rsidR="008959A4" w:rsidP="008959A4" w:rsidRDefault="008959A4" w14:paraId="7BC6DF21" w14:textId="77777777">
      <w:pPr>
        <w:pStyle w:val="ALJBodyText"/>
      </w:pPr>
      <w:r w:rsidRPr="008F4AD1">
        <w:rPr>
          <w:b/>
          <w:bCs/>
          <w:i/>
          <w:iCs/>
          <w:u w:val="single"/>
        </w:rPr>
        <w:t>Household Treatment Goal:</w:t>
      </w:r>
      <w:r>
        <w:t xml:space="preserve">  Liberty</w:t>
      </w:r>
      <w:r w:rsidRPr="00317607">
        <w:t xml:space="preserve"> </w:t>
      </w:r>
      <w:r>
        <w:t>proposes</w:t>
      </w:r>
      <w:r w:rsidRPr="00F3674C">
        <w:t xml:space="preserve"> a goal of </w:t>
      </w:r>
      <w:r>
        <w:t>treating 1,096 households for PYs 2021-2026, or average of 183 households annually</w:t>
      </w:r>
      <w:r w:rsidRPr="00317607">
        <w:t>.</w:t>
      </w:r>
      <w:r w:rsidRPr="00317607">
        <w:rPr>
          <w:vertAlign w:val="superscript"/>
        </w:rPr>
        <w:footnoteReference w:id="159"/>
      </w:r>
    </w:p>
    <w:p w:rsidR="008959A4" w:rsidP="008959A4" w:rsidRDefault="008959A4" w14:paraId="176AEA8E" w14:textId="77777777">
      <w:pPr>
        <w:pStyle w:val="ALJBodyText"/>
      </w:pPr>
      <w:r>
        <w:rPr>
          <w:b/>
          <w:bCs/>
          <w:i/>
          <w:iCs/>
          <w:u w:val="single"/>
        </w:rPr>
        <w:lastRenderedPageBreak/>
        <w:t>Energy Savings Goal</w:t>
      </w:r>
      <w:r w:rsidRPr="007359EB">
        <w:rPr>
          <w:b/>
          <w:bCs/>
          <w:i/>
          <w:iCs/>
          <w:u w:val="single"/>
        </w:rPr>
        <w:t>:</w:t>
      </w:r>
      <w:r>
        <w:t xml:space="preserve">  Liberty forecasts an a</w:t>
      </w:r>
      <w:r w:rsidRPr="00BF52ED">
        <w:t xml:space="preserve">verage household savings </w:t>
      </w:r>
      <w:r>
        <w:t xml:space="preserve">of </w:t>
      </w:r>
      <w:r w:rsidRPr="00BF52ED">
        <w:t>398 kWh and 277</w:t>
      </w:r>
      <w:r>
        <w:t xml:space="preserve"> </w:t>
      </w:r>
      <w:r w:rsidRPr="00BF52ED">
        <w:t>therms</w:t>
      </w:r>
      <w:r>
        <w:t xml:space="preserve"> for PYs 2021-2026.  They estimate a total ESA program e</w:t>
      </w:r>
      <w:r w:rsidRPr="00B21FA9">
        <w:t xml:space="preserve">nergy savings goal </w:t>
      </w:r>
      <w:r>
        <w:t xml:space="preserve">of </w:t>
      </w:r>
      <w:r w:rsidRPr="00B21FA9">
        <w:t>481,317 kWh</w:t>
      </w:r>
      <w:r>
        <w:t xml:space="preserve"> between PY 2021-2026,</w:t>
      </w:r>
      <w:r w:rsidRPr="00B21FA9">
        <w:t xml:space="preserve"> and </w:t>
      </w:r>
      <w:r>
        <w:t xml:space="preserve">a total </w:t>
      </w:r>
      <w:r w:rsidRPr="00B21FA9">
        <w:t xml:space="preserve">electrification pilot </w:t>
      </w:r>
      <w:r>
        <w:t xml:space="preserve">energy savings goal of </w:t>
      </w:r>
      <w:r w:rsidRPr="00B21FA9">
        <w:t xml:space="preserve">4,438 therms </w:t>
      </w:r>
      <w:r>
        <w:t>between</w:t>
      </w:r>
      <w:r w:rsidRPr="00B21FA9">
        <w:t xml:space="preserve"> </w:t>
      </w:r>
      <w:r>
        <w:t>PYs</w:t>
      </w:r>
      <w:r w:rsidRPr="00B21FA9">
        <w:t xml:space="preserve"> 2023</w:t>
      </w:r>
      <w:r>
        <w:noBreakHyphen/>
      </w:r>
      <w:r w:rsidRPr="00B21FA9">
        <w:t>2026</w:t>
      </w:r>
      <w:r>
        <w:t>.</w:t>
      </w:r>
      <w:r>
        <w:rPr>
          <w:rStyle w:val="FootnoteReference"/>
        </w:rPr>
        <w:footnoteReference w:id="160"/>
      </w:r>
      <w:r>
        <w:t xml:space="preserve">  </w:t>
      </w:r>
    </w:p>
    <w:p w:rsidRPr="00925B29" w:rsidR="008959A4" w:rsidP="008959A4" w:rsidRDefault="008959A4" w14:paraId="7BB4FCE9" w14:textId="77777777">
      <w:pPr>
        <w:pStyle w:val="ALJBodyText"/>
      </w:pPr>
      <w:r>
        <w:rPr>
          <w:b/>
          <w:bCs/>
          <w:i/>
          <w:iCs/>
          <w:u w:val="single"/>
        </w:rPr>
        <w:t>HCS Goal</w:t>
      </w:r>
      <w:r w:rsidRPr="007359EB">
        <w:rPr>
          <w:b/>
          <w:bCs/>
          <w:i/>
          <w:iCs/>
          <w:u w:val="single"/>
        </w:rPr>
        <w:t>:</w:t>
      </w:r>
      <w:r>
        <w:t xml:space="preserve"> </w:t>
      </w:r>
      <w:r w:rsidRPr="00FE5429">
        <w:t xml:space="preserve">Liberty </w:t>
      </w:r>
      <w:r>
        <w:t xml:space="preserve">proposes a </w:t>
      </w:r>
      <w:r w:rsidRPr="00FE5429">
        <w:t xml:space="preserve">quantitative indicator to measure the </w:t>
      </w:r>
      <w:r>
        <w:t>HCS</w:t>
      </w:r>
      <w:r w:rsidRPr="00FE5429">
        <w:t xml:space="preserve"> of non-resource measures, as well as the financial hardship </w:t>
      </w:r>
      <w:r>
        <w:t>alleviated</w:t>
      </w:r>
      <w:r w:rsidRPr="00FE5429">
        <w:t xml:space="preserve"> by resource measures.</w:t>
      </w:r>
      <w:r>
        <w:t xml:space="preserve">  </w:t>
      </w:r>
      <w:r w:rsidRPr="00FE5429">
        <w:t>These are monetized quantitative goals to assess the success of health and safety for the program.</w:t>
      </w:r>
      <w:r>
        <w:t xml:space="preserve">  </w:t>
      </w:r>
      <w:r w:rsidRPr="00FE5429">
        <w:t>Liberty</w:t>
      </w:r>
      <w:r>
        <w:t xml:space="preserve">’s </w:t>
      </w:r>
      <w:r w:rsidRPr="00FE5429">
        <w:t xml:space="preserve">non-resource quantitative goal per household is $54 </w:t>
      </w:r>
      <w:r>
        <w:t xml:space="preserve">per year </w:t>
      </w:r>
      <w:r w:rsidRPr="00FE5429">
        <w:t xml:space="preserve">for the general ESA </w:t>
      </w:r>
      <w:r>
        <w:t>p</w:t>
      </w:r>
      <w:r w:rsidRPr="00FE5429">
        <w:t>rogram and</w:t>
      </w:r>
      <w:r w:rsidRPr="00FE5429">
        <w:rPr>
          <w:rFonts w:ascii="TimesNewRomanPSMT" w:hAnsi="TimesNewRomanPSMT" w:cs="TimesNewRomanPSMT"/>
          <w:sz w:val="24"/>
          <w:szCs w:val="24"/>
        </w:rPr>
        <w:t xml:space="preserve"> </w:t>
      </w:r>
      <w:r w:rsidRPr="00FE5429">
        <w:t xml:space="preserve">$593 </w:t>
      </w:r>
      <w:r>
        <w:t xml:space="preserve">per year </w:t>
      </w:r>
      <w:r w:rsidRPr="00FE5429">
        <w:t xml:space="preserve">for the ESA electrification pilot. </w:t>
      </w:r>
      <w:r>
        <w:t xml:space="preserve"> </w:t>
      </w:r>
      <w:r w:rsidRPr="00FE5429">
        <w:t xml:space="preserve">This metric is </w:t>
      </w:r>
      <w:r>
        <w:t>b</w:t>
      </w:r>
      <w:r w:rsidRPr="00FE5429">
        <w:t>ased on monetization guidelines from the NEB v2.0 model,</w:t>
      </w:r>
      <w:r>
        <w:t xml:space="preserve"> where</w:t>
      </w:r>
      <w:r w:rsidRPr="00FE5429">
        <w:t xml:space="preserve"> estimates for improved household comfort and noise benefit </w:t>
      </w:r>
      <w:r>
        <w:t>are valued</w:t>
      </w:r>
      <w:r w:rsidRPr="00FE5429">
        <w:t xml:space="preserve"> </w:t>
      </w:r>
      <w:r>
        <w:t>around</w:t>
      </w:r>
      <w:r w:rsidRPr="00FE5429">
        <w:t xml:space="preserve"> 27</w:t>
      </w:r>
      <w:r w:rsidRPr="00F2523C">
        <w:t xml:space="preserve"> </w:t>
      </w:r>
      <w:r>
        <w:t>percent</w:t>
      </w:r>
      <w:r w:rsidRPr="00FE5429">
        <w:t xml:space="preserve"> of bill savings</w:t>
      </w:r>
      <w:r>
        <w:t>.  This percentage is multiplied by estimated annual bill savings to calculate the annual dollars per household non-resource goals above</w:t>
      </w:r>
      <w:r w:rsidRPr="00FE5429">
        <w:t xml:space="preserve">. </w:t>
      </w:r>
      <w:r>
        <w:t xml:space="preserve"> </w:t>
      </w:r>
      <w:r w:rsidRPr="00FE5429">
        <w:t>Liberty</w:t>
      </w:r>
      <w:r>
        <w:t xml:space="preserve">’s </w:t>
      </w:r>
      <w:r w:rsidRPr="00FE5429">
        <w:t>annual</w:t>
      </w:r>
      <w:r>
        <w:t xml:space="preserve"> </w:t>
      </w:r>
      <w:r w:rsidRPr="00FE5429">
        <w:t xml:space="preserve">household hardship reduction indicator is $193 per household for the general ESA </w:t>
      </w:r>
      <w:r>
        <w:t>p</w:t>
      </w:r>
      <w:r w:rsidRPr="00FE5429">
        <w:t>rogram and $1,198</w:t>
      </w:r>
      <w:r>
        <w:t xml:space="preserve"> </w:t>
      </w:r>
      <w:r w:rsidRPr="00FE5429">
        <w:t xml:space="preserve">for the ESA electrification pilot. </w:t>
      </w:r>
      <w:r>
        <w:t xml:space="preserve"> </w:t>
      </w:r>
      <w:r w:rsidRPr="00FE5429">
        <w:t>This amount is calculated from participant bill savings due to hardship,</w:t>
      </w:r>
      <w:r>
        <w:t xml:space="preserve"> </w:t>
      </w:r>
      <w:r w:rsidRPr="00FE5429">
        <w:t>estimated as 10</w:t>
      </w:r>
      <w:r w:rsidRPr="00F2523C">
        <w:t xml:space="preserve"> </w:t>
      </w:r>
      <w:r>
        <w:t>percent</w:t>
      </w:r>
      <w:r w:rsidRPr="00FE5429">
        <w:t xml:space="preserve"> of bill savings, according to the NEB v2.0 model. </w:t>
      </w:r>
      <w:r>
        <w:t xml:space="preserve"> </w:t>
      </w:r>
      <w:r w:rsidRPr="00FE5429">
        <w:t>The GHG goals metric is 0.07 GHG</w:t>
      </w:r>
      <w:r>
        <w:t xml:space="preserve"> </w:t>
      </w:r>
      <w:r w:rsidRPr="00FE5429">
        <w:t>tons per household</w:t>
      </w:r>
      <w:r>
        <w:t>.</w:t>
      </w:r>
      <w:r>
        <w:rPr>
          <w:rStyle w:val="FootnoteReference"/>
        </w:rPr>
        <w:footnoteReference w:id="161"/>
      </w:r>
      <w:r>
        <w:t xml:space="preserve"> </w:t>
      </w:r>
      <w:r w:rsidRPr="003638DB">
        <w:t xml:space="preserve"> </w:t>
      </w:r>
    </w:p>
    <w:p w:rsidR="008959A4" w:rsidP="008959A4" w:rsidRDefault="008959A4" w14:paraId="695760BE" w14:textId="77777777">
      <w:pPr>
        <w:pStyle w:val="Heading3"/>
      </w:pPr>
      <w:bookmarkStart w:name="_Toc82159792" w:id="217"/>
      <w:r>
        <w:t>PacifiCorp Proposal</w:t>
      </w:r>
      <w:bookmarkEnd w:id="217"/>
    </w:p>
    <w:p w:rsidRPr="0088317B" w:rsidR="008959A4" w:rsidP="008959A4" w:rsidRDefault="008959A4" w14:paraId="58273AA7" w14:textId="77777777">
      <w:pPr>
        <w:pStyle w:val="ALJBodyText"/>
      </w:pPr>
      <w:r w:rsidRPr="008F4AD1">
        <w:rPr>
          <w:b/>
          <w:bCs/>
          <w:i/>
          <w:iCs/>
          <w:u w:val="single"/>
        </w:rPr>
        <w:t>Household Treatment Goal</w:t>
      </w:r>
      <w:r w:rsidRPr="00AF5DC2">
        <w:rPr>
          <w:b/>
          <w:bCs/>
          <w:i/>
          <w:iCs/>
        </w:rPr>
        <w:t>:</w:t>
      </w:r>
      <w:r w:rsidRPr="00AF5DC2">
        <w:t xml:space="preserve">  </w:t>
      </w:r>
      <w:r>
        <w:t xml:space="preserve">PacifiCorp proposes a goal </w:t>
      </w:r>
      <w:r w:rsidRPr="00ED4809">
        <w:t xml:space="preserve">of treating </w:t>
      </w:r>
      <w:r>
        <w:t xml:space="preserve">864 households for PYs 2021-2026, or an average of 144 </w:t>
      </w:r>
      <w:r w:rsidRPr="00ED4809">
        <w:t>homes annually</w:t>
      </w:r>
      <w:r>
        <w:t>.</w:t>
      </w:r>
      <w:r>
        <w:rPr>
          <w:rStyle w:val="FootnoteReference"/>
        </w:rPr>
        <w:footnoteReference w:id="162"/>
      </w:r>
    </w:p>
    <w:p w:rsidR="008959A4" w:rsidP="008959A4" w:rsidRDefault="008959A4" w14:paraId="74020C81" w14:textId="77777777">
      <w:pPr>
        <w:pStyle w:val="ALJBodyText"/>
      </w:pPr>
      <w:r w:rsidRPr="007359EB">
        <w:rPr>
          <w:b/>
          <w:bCs/>
          <w:i/>
          <w:iCs/>
          <w:u w:val="single"/>
        </w:rPr>
        <w:lastRenderedPageBreak/>
        <w:t xml:space="preserve">Energy Savings </w:t>
      </w:r>
      <w:r>
        <w:rPr>
          <w:b/>
          <w:bCs/>
          <w:i/>
          <w:iCs/>
          <w:u w:val="single"/>
        </w:rPr>
        <w:t>Goal</w:t>
      </w:r>
      <w:r w:rsidRPr="00AF5DC2">
        <w:rPr>
          <w:b/>
          <w:bCs/>
          <w:i/>
          <w:iCs/>
        </w:rPr>
        <w:t xml:space="preserve">: </w:t>
      </w:r>
      <w:r>
        <w:t xml:space="preserve"> </w:t>
      </w:r>
      <w:r w:rsidRPr="00C237AE">
        <w:t xml:space="preserve">PacifiCorp </w:t>
      </w:r>
      <w:r>
        <w:t>proposes</w:t>
      </w:r>
      <w:r w:rsidRPr="009708B9">
        <w:t xml:space="preserve"> </w:t>
      </w:r>
      <w:r>
        <w:t>a p</w:t>
      </w:r>
      <w:r w:rsidRPr="00B24C99">
        <w:t xml:space="preserve">ortfolio </w:t>
      </w:r>
      <w:r>
        <w:t>e</w:t>
      </w:r>
      <w:r w:rsidRPr="00B24C99">
        <w:t xml:space="preserve">nergy </w:t>
      </w:r>
      <w:r>
        <w:t>s</w:t>
      </w:r>
      <w:r w:rsidRPr="00B24C99">
        <w:t xml:space="preserve">avings </w:t>
      </w:r>
      <w:r>
        <w:rPr>
          <w:i/>
          <w:iCs/>
        </w:rPr>
        <w:t>goal</w:t>
      </w:r>
      <w:r>
        <w:t xml:space="preserve"> of 865,767 kWh for PYs 2021-2026, or 144,294 kWh </w:t>
      </w:r>
      <w:r w:rsidRPr="00B24C99">
        <w:t>annually</w:t>
      </w:r>
      <w:r>
        <w:t>.</w:t>
      </w:r>
    </w:p>
    <w:p w:rsidRPr="0049607E" w:rsidR="008959A4" w:rsidP="008959A4" w:rsidRDefault="008959A4" w14:paraId="0DA6AA07" w14:textId="77777777">
      <w:pPr>
        <w:pStyle w:val="ALJBodyText"/>
      </w:pPr>
      <w:r>
        <w:rPr>
          <w:b/>
          <w:bCs/>
          <w:i/>
          <w:iCs/>
          <w:u w:val="single"/>
        </w:rPr>
        <w:t>Health, Comfort and Safety</w:t>
      </w:r>
      <w:r w:rsidRPr="00AF5DC2">
        <w:rPr>
          <w:b/>
          <w:bCs/>
          <w:i/>
          <w:iCs/>
        </w:rPr>
        <w:t>:</w:t>
      </w:r>
      <w:r w:rsidRPr="00AF5DC2">
        <w:t xml:space="preserve">  </w:t>
      </w:r>
      <w:r w:rsidRPr="00C237AE">
        <w:t xml:space="preserve">PacifiCorp </w:t>
      </w:r>
      <w:r>
        <w:t>does not p</w:t>
      </w:r>
      <w:r w:rsidRPr="00C237AE">
        <w:t>ropos</w:t>
      </w:r>
      <w:r>
        <w:t>e any</w:t>
      </w:r>
      <w:r w:rsidRPr="00C237AE">
        <w:t xml:space="preserve"> </w:t>
      </w:r>
      <w:r>
        <w:t xml:space="preserve">HCS </w:t>
      </w:r>
      <w:r w:rsidRPr="00C237AE">
        <w:t>metrics</w:t>
      </w:r>
      <w:r>
        <w:t xml:space="preserve"> or goals</w:t>
      </w:r>
      <w:r w:rsidRPr="008D0F5A">
        <w:t>.</w:t>
      </w:r>
      <w:r w:rsidRPr="008D0F5A">
        <w:rPr>
          <w:vertAlign w:val="superscript"/>
        </w:rPr>
        <w:footnoteReference w:id="163"/>
      </w:r>
      <w:r w:rsidRPr="008D0F5A">
        <w:t xml:space="preserve"> </w:t>
      </w:r>
      <w:r w:rsidRPr="00B936E3">
        <w:t xml:space="preserve"> </w:t>
      </w:r>
    </w:p>
    <w:p w:rsidR="008959A4" w:rsidP="008959A4" w:rsidRDefault="008959A4" w14:paraId="4DD57714" w14:textId="77777777">
      <w:pPr>
        <w:pStyle w:val="Heading3"/>
      </w:pPr>
      <w:bookmarkStart w:name="_Toc82159793" w:id="218"/>
      <w:r>
        <w:t>Southwest Gas Proposal</w:t>
      </w:r>
      <w:bookmarkEnd w:id="218"/>
    </w:p>
    <w:p w:rsidRPr="0088317B" w:rsidR="008959A4" w:rsidP="008959A4" w:rsidRDefault="008959A4" w14:paraId="11461E5F" w14:textId="77777777">
      <w:pPr>
        <w:pStyle w:val="ALJBodyText"/>
      </w:pPr>
      <w:r w:rsidRPr="008F4AD1">
        <w:rPr>
          <w:b/>
          <w:bCs/>
          <w:i/>
          <w:iCs/>
          <w:u w:val="single"/>
        </w:rPr>
        <w:t>Household Treatment Goal:</w:t>
      </w:r>
      <w:r>
        <w:t xml:space="preserve">  Southwest Gas</w:t>
      </w:r>
      <w:r w:rsidRPr="00FD7331">
        <w:t xml:space="preserve"> </w:t>
      </w:r>
      <w:r w:rsidRPr="00B104C3">
        <w:t xml:space="preserve">proposes </w:t>
      </w:r>
      <w:r w:rsidRPr="00F3674C">
        <w:t xml:space="preserve">a </w:t>
      </w:r>
      <w:r>
        <w:t xml:space="preserve">goal of treating 12,000 households for PYs 2021-2026, or </w:t>
      </w:r>
      <w:r w:rsidRPr="00C706A5">
        <w:t>2,000 households annually</w:t>
      </w:r>
      <w:r>
        <w:t>.</w:t>
      </w:r>
      <w:r w:rsidRPr="00B104C3">
        <w:rPr>
          <w:vertAlign w:val="superscript"/>
        </w:rPr>
        <w:footnoteReference w:id="164"/>
      </w:r>
      <w:r w:rsidRPr="00B104C3">
        <w:t xml:space="preserve"> </w:t>
      </w:r>
      <w:r>
        <w:t xml:space="preserve"> </w:t>
      </w:r>
    </w:p>
    <w:p w:rsidR="008959A4" w:rsidP="008959A4" w:rsidRDefault="008959A4" w14:paraId="4A07EFC3" w14:textId="77777777">
      <w:pPr>
        <w:pStyle w:val="ALJBodyText"/>
      </w:pPr>
      <w:r w:rsidRPr="4FC83D76">
        <w:rPr>
          <w:b/>
          <w:bCs/>
          <w:i/>
          <w:iCs/>
          <w:u w:val="single"/>
        </w:rPr>
        <w:t xml:space="preserve">Energy Savings </w:t>
      </w:r>
      <w:r>
        <w:rPr>
          <w:b/>
          <w:bCs/>
          <w:i/>
          <w:iCs/>
          <w:u w:val="single"/>
        </w:rPr>
        <w:t>Goal</w:t>
      </w:r>
      <w:r w:rsidRPr="00AF5DC2">
        <w:rPr>
          <w:b/>
          <w:bCs/>
          <w:i/>
          <w:iCs/>
        </w:rPr>
        <w:t>:</w:t>
      </w:r>
      <w:r>
        <w:t xml:space="preserve">  Southwest Gas proposes a total energy savings </w:t>
      </w:r>
      <w:r w:rsidRPr="00C448FF">
        <w:t>goal</w:t>
      </w:r>
      <w:r>
        <w:rPr>
          <w:i/>
          <w:iCs/>
        </w:rPr>
        <w:t xml:space="preserve"> </w:t>
      </w:r>
      <w:r w:rsidRPr="001E067F">
        <w:t xml:space="preserve">of </w:t>
      </w:r>
      <w:r>
        <w:t>327,413</w:t>
      </w:r>
      <w:r w:rsidRPr="001E067F">
        <w:t xml:space="preserve"> therms for PYs 2021-2026, or </w:t>
      </w:r>
      <w:r w:rsidRPr="00D50B91">
        <w:t xml:space="preserve">54,569 therms </w:t>
      </w:r>
      <w:r>
        <w:t>annually.</w:t>
      </w:r>
      <w:r w:rsidRPr="00317607">
        <w:rPr>
          <w:vertAlign w:val="superscript"/>
        </w:rPr>
        <w:footnoteReference w:id="165"/>
      </w:r>
      <w:r>
        <w:t xml:space="preserve">  To measure the depth of the energy savings, Southwest Gas proposes an a</w:t>
      </w:r>
      <w:r w:rsidRPr="007C5EBA">
        <w:t xml:space="preserve">verage </w:t>
      </w:r>
      <w:r>
        <w:t>e</w:t>
      </w:r>
      <w:r w:rsidRPr="007C5EBA">
        <w:t xml:space="preserve">nergy </w:t>
      </w:r>
      <w:r>
        <w:t>s</w:t>
      </w:r>
      <w:r w:rsidRPr="007C5EBA">
        <w:t xml:space="preserve">avings per </w:t>
      </w:r>
      <w:r>
        <w:t>h</w:t>
      </w:r>
      <w:r w:rsidRPr="007C5EBA">
        <w:t xml:space="preserve">ousehold </w:t>
      </w:r>
      <w:r>
        <w:t>metric of</w:t>
      </w:r>
      <w:r w:rsidRPr="007C5EBA">
        <w:t xml:space="preserve"> 27 therms annually (the weighted</w:t>
      </w:r>
      <w:r>
        <w:t xml:space="preserve"> </w:t>
      </w:r>
      <w:r w:rsidRPr="007C5EBA">
        <w:t>average of the housing types)</w:t>
      </w:r>
      <w:r>
        <w:t>.</w:t>
      </w:r>
      <w:r>
        <w:rPr>
          <w:rStyle w:val="FootnoteReference"/>
        </w:rPr>
        <w:footnoteReference w:id="166"/>
      </w:r>
      <w:r>
        <w:t xml:space="preserve"> </w:t>
      </w:r>
    </w:p>
    <w:p w:rsidRPr="00046733" w:rsidR="008959A4" w:rsidP="008959A4" w:rsidRDefault="008959A4" w14:paraId="2D85F018" w14:textId="77777777">
      <w:pPr>
        <w:pStyle w:val="ALJBodyText"/>
      </w:pPr>
      <w:r>
        <w:rPr>
          <w:b/>
          <w:bCs/>
          <w:i/>
          <w:iCs/>
          <w:u w:val="single"/>
        </w:rPr>
        <w:t>HCS Goal</w:t>
      </w:r>
      <w:r w:rsidRPr="00AF5DC2">
        <w:rPr>
          <w:b/>
          <w:bCs/>
          <w:i/>
          <w:iCs/>
        </w:rPr>
        <w:t>:</w:t>
      </w:r>
      <w:r w:rsidRPr="009E4F0D">
        <w:rPr>
          <w:rFonts w:ascii="CALS_InvisibleTTFont" w:eastAsia="CALS_InvisibleTTFont" w:cs="CALS_InvisibleTTFont" w:hAnsiTheme="minorHAnsi"/>
          <w:sz w:val="23"/>
          <w:szCs w:val="23"/>
        </w:rPr>
        <w:t xml:space="preserve"> </w:t>
      </w:r>
      <w:r>
        <w:rPr>
          <w:rFonts w:ascii="CALS_InvisibleTTFont" w:eastAsia="CALS_InvisibleTTFont" w:cs="CALS_InvisibleTTFont" w:hAnsiTheme="minorHAnsi"/>
          <w:sz w:val="23"/>
          <w:szCs w:val="23"/>
        </w:rPr>
        <w:t xml:space="preserve"> </w:t>
      </w:r>
      <w:r>
        <w:t xml:space="preserve">Southwest Gas does not identify any specific HCS goals but mentions that </w:t>
      </w:r>
      <w:r w:rsidRPr="009E4F0D">
        <w:t>goals for climate change are</w:t>
      </w:r>
      <w:r>
        <w:t xml:space="preserve"> </w:t>
      </w:r>
      <w:r w:rsidRPr="009E4F0D">
        <w:t xml:space="preserve">meaningful and easily estimable for the ESA </w:t>
      </w:r>
      <w:r>
        <w:t>p</w:t>
      </w:r>
      <w:r w:rsidRPr="009E4F0D">
        <w:t>rogram, with carbon being</w:t>
      </w:r>
      <w:r>
        <w:t xml:space="preserve"> </w:t>
      </w:r>
      <w:r w:rsidRPr="009E4F0D">
        <w:t xml:space="preserve">a linear function of therms savings. </w:t>
      </w:r>
      <w:r>
        <w:t xml:space="preserve"> Re</w:t>
      </w:r>
      <w:r w:rsidRPr="009E4F0D">
        <w:t>ducing energy burden is</w:t>
      </w:r>
      <w:r>
        <w:t xml:space="preserve"> also as a </w:t>
      </w:r>
      <w:r w:rsidRPr="009E4F0D">
        <w:t xml:space="preserve">worthwhile goal for the ESA </w:t>
      </w:r>
      <w:r>
        <w:t>p</w:t>
      </w:r>
      <w:r w:rsidRPr="009E4F0D">
        <w:t>rogram</w:t>
      </w:r>
      <w:r>
        <w:t xml:space="preserve"> w</w:t>
      </w:r>
      <w:r w:rsidRPr="009E4F0D">
        <w:t>ith savings estimates derived</w:t>
      </w:r>
      <w:r>
        <w:t xml:space="preserve"> </w:t>
      </w:r>
      <w:r w:rsidRPr="009E4F0D">
        <w:t xml:space="preserve">largely from the ESA </w:t>
      </w:r>
      <w:r>
        <w:t>Program Impact Evaluation</w:t>
      </w:r>
      <w:r w:rsidRPr="009E4F0D">
        <w:t xml:space="preserve"> Study, </w:t>
      </w:r>
      <w:r>
        <w:t>which</w:t>
      </w:r>
      <w:r w:rsidRPr="009E4F0D">
        <w:t xml:space="preserve"> can be readily calculated based on the results of income</w:t>
      </w:r>
      <w:r>
        <w:t xml:space="preserve"> </w:t>
      </w:r>
      <w:r w:rsidRPr="009E4F0D">
        <w:t>screening and analysis of customer annual billed use</w:t>
      </w:r>
      <w:r>
        <w:t>.</w:t>
      </w:r>
      <w:r>
        <w:rPr>
          <w:rStyle w:val="FootnoteReference"/>
        </w:rPr>
        <w:footnoteReference w:id="167"/>
      </w:r>
    </w:p>
    <w:p w:rsidRPr="00322B15" w:rsidR="008959A4" w:rsidP="008959A4" w:rsidRDefault="008959A4" w14:paraId="0658A3E9" w14:textId="77777777">
      <w:pPr>
        <w:pStyle w:val="Heading3"/>
      </w:pPr>
      <w:bookmarkStart w:name="_Toc82159794" w:id="219"/>
      <w:r w:rsidRPr="00322B15">
        <w:lastRenderedPageBreak/>
        <w:t xml:space="preserve">Party </w:t>
      </w:r>
      <w:r>
        <w:t>Comments</w:t>
      </w:r>
      <w:bookmarkEnd w:id="219"/>
    </w:p>
    <w:p w:rsidR="008959A4" w:rsidP="008959A4" w:rsidRDefault="008959A4" w14:paraId="1194D74C" w14:textId="77777777">
      <w:pPr>
        <w:pStyle w:val="Heading4"/>
        <w:ind w:left="3600" w:hanging="1260"/>
      </w:pPr>
      <w:bookmarkStart w:name="_Toc82159795" w:id="220"/>
      <w:r>
        <w:t>EEC &amp; Free Energy</w:t>
      </w:r>
      <w:bookmarkEnd w:id="220"/>
      <w:r>
        <w:t xml:space="preserve"> </w:t>
      </w:r>
    </w:p>
    <w:p w:rsidR="008959A4" w:rsidP="008959A4" w:rsidRDefault="008959A4" w14:paraId="16143430" w14:textId="77777777">
      <w:pPr>
        <w:pStyle w:val="Standard"/>
      </w:pPr>
      <w:r w:rsidRPr="00B144D9">
        <w:rPr>
          <w:b/>
          <w:bCs/>
          <w:i/>
          <w:iCs/>
          <w:u w:val="single"/>
        </w:rPr>
        <w:t>Household Treatment Goal</w:t>
      </w:r>
      <w:r w:rsidRPr="00B144D9">
        <w:t>:</w:t>
      </w:r>
      <w:r>
        <w:t xml:space="preserve"> </w:t>
      </w:r>
      <w:r w:rsidRPr="00B144D9">
        <w:t xml:space="preserve"> EEC and Free Energy claim that the ESA</w:t>
      </w:r>
      <w:r>
        <w:t xml:space="preserve"> </w:t>
      </w:r>
      <w:r w:rsidRPr="00E146B3">
        <w:t xml:space="preserve">program goals are severely understated and </w:t>
      </w:r>
      <w:r>
        <w:t xml:space="preserve">notes that the impacts of the COVID-19 pandemic have not been </w:t>
      </w:r>
      <w:r w:rsidRPr="00E146B3">
        <w:t>recognized or included in the</w:t>
      </w:r>
      <w:r>
        <w:t xml:space="preserve"> SMJU </w:t>
      </w:r>
      <w:r w:rsidRPr="00E146B3">
        <w:t xml:space="preserve">budgets </w:t>
      </w:r>
      <w:r>
        <w:t>and</w:t>
      </w:r>
      <w:r w:rsidRPr="00E146B3">
        <w:t xml:space="preserve"> goals.</w:t>
      </w:r>
      <w:r>
        <w:t xml:space="preserve">  EEC and Free Energy state that the treatment goals should be set by adjusting for potential COVID-19 impacts, using the SMJU’s CARE enrollment data as the eligible population, subtracting out previously weatherized homes, adding back in (and prioritizing) go-backs or those households in need of re</w:t>
      </w:r>
      <w:r>
        <w:noBreakHyphen/>
        <w:t>treatments, adding in “unwilling” households, and adjusting for the impact of implementing categorical enrollment.  The methodology entails estimating the low-income homes that still need ESA treatments (described above) and multiplying that value by 10 percent to arrive at the annual household treatment goal,</w:t>
      </w:r>
      <w:r w:rsidRPr="00395A63">
        <w:rPr>
          <w:szCs w:val="26"/>
        </w:rPr>
        <w:t xml:space="preserve"> </w:t>
      </w:r>
      <w:r>
        <w:rPr>
          <w:szCs w:val="26"/>
        </w:rPr>
        <w:t xml:space="preserve">or the </w:t>
      </w:r>
      <w:r w:rsidRPr="0060662E">
        <w:rPr>
          <w:szCs w:val="26"/>
        </w:rPr>
        <w:t>“ten year goal</w:t>
      </w:r>
      <w:r>
        <w:rPr>
          <w:szCs w:val="26"/>
        </w:rPr>
        <w:t>,</w:t>
      </w:r>
      <w:r w:rsidRPr="0060662E">
        <w:rPr>
          <w:szCs w:val="26"/>
        </w:rPr>
        <w:t>”</w:t>
      </w:r>
      <w:r>
        <w:rPr>
          <w:szCs w:val="26"/>
        </w:rPr>
        <w:t xml:space="preserve"> </w:t>
      </w:r>
      <w:r>
        <w:t>while continuously</w:t>
      </w:r>
      <w:r>
        <w:rPr>
          <w:rFonts w:ascii="Calibri" w:hAnsi="Calibri" w:cs="Calibri"/>
          <w:sz w:val="24"/>
          <w:szCs w:val="24"/>
        </w:rPr>
        <w:t xml:space="preserve"> </w:t>
      </w:r>
      <w:r w:rsidRPr="00B119A5">
        <w:t>updat</w:t>
      </w:r>
      <w:r>
        <w:t>ing these estimates b</w:t>
      </w:r>
      <w:r w:rsidRPr="00B119A5">
        <w:t>ased on a</w:t>
      </w:r>
      <w:r>
        <w:t xml:space="preserve"> </w:t>
      </w:r>
      <w:r w:rsidRPr="00B119A5">
        <w:t>rolling ten-year cycle</w:t>
      </w:r>
      <w:r w:rsidRPr="00AD51B4">
        <w:t>.</w:t>
      </w:r>
      <w:r>
        <w:rPr>
          <w:rStyle w:val="FootnoteReference"/>
        </w:rPr>
        <w:footnoteReference w:id="168"/>
      </w:r>
      <w:r w:rsidRPr="00AD51B4">
        <w:t xml:space="preserve"> </w:t>
      </w:r>
      <w:r>
        <w:t xml:space="preserve"> EEC and </w:t>
      </w:r>
      <w:r w:rsidRPr="0060662E">
        <w:rPr>
          <w:szCs w:val="26"/>
        </w:rPr>
        <w:t xml:space="preserve">Free Energy recommend </w:t>
      </w:r>
      <w:r>
        <w:rPr>
          <w:szCs w:val="26"/>
        </w:rPr>
        <w:t>that these goals</w:t>
      </w:r>
      <w:r w:rsidRPr="0060662E">
        <w:rPr>
          <w:szCs w:val="26"/>
        </w:rPr>
        <w:t xml:space="preserve"> be updated at least at the mid-point (2023 for this cycle) and at the end of each cycle using updated values for untreated low-income households and those already treated</w:t>
      </w:r>
      <w:r w:rsidRPr="0060662E">
        <w:rPr>
          <w:rFonts w:cs="Calibri"/>
          <w:szCs w:val="26"/>
        </w:rPr>
        <w:t xml:space="preserve">.  </w:t>
      </w:r>
      <w:r>
        <w:t>Using this methodology, they propose that Southwest Gas treat 26,676 households between PYs 2021-2026, or 4,446 annually, and that Alpine treat 186 households between PYs 2021-2026, or 31 annually.</w:t>
      </w:r>
      <w:r>
        <w:rPr>
          <w:rStyle w:val="FootnoteReference"/>
        </w:rPr>
        <w:footnoteReference w:id="169"/>
      </w:r>
      <w:r>
        <w:t xml:space="preserve"> </w:t>
      </w:r>
    </w:p>
    <w:p w:rsidR="008959A4" w:rsidP="008959A4" w:rsidRDefault="008959A4" w14:paraId="2022C40C" w14:textId="77777777">
      <w:pPr>
        <w:pStyle w:val="Standard"/>
      </w:pPr>
      <w:r w:rsidRPr="002D0563">
        <w:rPr>
          <w:b/>
          <w:bCs/>
          <w:i/>
          <w:iCs/>
          <w:u w:val="single"/>
        </w:rPr>
        <w:t>Multifamily</w:t>
      </w:r>
      <w:r>
        <w:rPr>
          <w:b/>
          <w:bCs/>
          <w:i/>
          <w:iCs/>
          <w:u w:val="single"/>
        </w:rPr>
        <w:t xml:space="preserve"> (MF) Goals</w:t>
      </w:r>
      <w:r>
        <w:t xml:space="preserve">:  EEC and Free Energy state that </w:t>
      </w:r>
      <w:r w:rsidRPr="002D0563">
        <w:t>Southwest Gas has a</w:t>
      </w:r>
      <w:r>
        <w:t xml:space="preserve"> </w:t>
      </w:r>
      <w:r w:rsidRPr="002D0563">
        <w:t xml:space="preserve">reasonable </w:t>
      </w:r>
      <w:r>
        <w:t xml:space="preserve">MF </w:t>
      </w:r>
      <w:r w:rsidRPr="002D0563">
        <w:t xml:space="preserve">goal </w:t>
      </w:r>
      <w:r>
        <w:t xml:space="preserve">by allocating approximately </w:t>
      </w:r>
      <w:r w:rsidRPr="002D0563">
        <w:t>16.3</w:t>
      </w:r>
      <w:r>
        <w:t xml:space="preserve"> percent </w:t>
      </w:r>
      <w:r w:rsidRPr="002D0563">
        <w:t xml:space="preserve">of its ESA work </w:t>
      </w:r>
      <w:r>
        <w:t>to</w:t>
      </w:r>
      <w:r w:rsidRPr="002D0563">
        <w:t xml:space="preserve"> multifamily units</w:t>
      </w:r>
      <w:r>
        <w:t xml:space="preserve"> (even though only </w:t>
      </w:r>
      <w:r w:rsidRPr="002D0563">
        <w:t>11.2</w:t>
      </w:r>
      <w:r>
        <w:t xml:space="preserve"> percent</w:t>
      </w:r>
      <w:r w:rsidRPr="002D0563">
        <w:t xml:space="preserve"> of its customers live in multifamily units</w:t>
      </w:r>
      <w:r>
        <w:t xml:space="preserve">).  They state that </w:t>
      </w:r>
      <w:r w:rsidRPr="002D0563">
        <w:t xml:space="preserve">low-income families are less likely to be </w:t>
      </w:r>
      <w:r w:rsidRPr="002D0563">
        <w:lastRenderedPageBreak/>
        <w:t>homeowners or to live in</w:t>
      </w:r>
      <w:r>
        <w:t xml:space="preserve"> </w:t>
      </w:r>
      <w:r w:rsidRPr="002D0563">
        <w:t>single-family residences</w:t>
      </w:r>
      <w:r>
        <w:t>, and as such, the</w:t>
      </w:r>
      <w:r w:rsidRPr="002D0563">
        <w:t xml:space="preserve"> MF ESA goal</w:t>
      </w:r>
      <w:r>
        <w:t>s</w:t>
      </w:r>
      <w:r w:rsidRPr="002D0563">
        <w:t xml:space="preserve"> </w:t>
      </w:r>
      <w:r>
        <w:t xml:space="preserve">should be </w:t>
      </w:r>
      <w:r w:rsidRPr="002D0563">
        <w:t>significantly</w:t>
      </w:r>
      <w:r>
        <w:t xml:space="preserve"> </w:t>
      </w:r>
      <w:r w:rsidRPr="002D0563">
        <w:t xml:space="preserve">greater than its </w:t>
      </w:r>
      <w:r>
        <w:t xml:space="preserve">MF </w:t>
      </w:r>
      <w:r w:rsidRPr="002D0563">
        <w:t>housing stock</w:t>
      </w:r>
      <w:r>
        <w:t>, and recommend that all the SMJUs,</w:t>
      </w:r>
      <w:r w:rsidRPr="002D0563">
        <w:t xml:space="preserve"> absent a good reason, </w:t>
      </w:r>
      <w:r>
        <w:t xml:space="preserve">set similar MF goals.  They propose the following MF goals for each SMJU: PacifiCorp at 16-18 percent, and Southwest Gas and Bear Valley at 16 percent.  EEC and Free Energy do not oppose </w:t>
      </w:r>
      <w:r w:rsidRPr="002D0563">
        <w:t xml:space="preserve">Liberty's MF ESA </w:t>
      </w:r>
      <w:r>
        <w:t xml:space="preserve">application </w:t>
      </w:r>
      <w:r w:rsidRPr="002D0563">
        <w:t>goal of 46</w:t>
      </w:r>
      <w:r>
        <w:t xml:space="preserve"> percent and do not provide a proposed MF ESA goal for Alpine</w:t>
      </w:r>
      <w:r w:rsidRPr="002D0563">
        <w:t>.</w:t>
      </w:r>
      <w:r>
        <w:rPr>
          <w:rStyle w:val="FootnoteReference"/>
        </w:rPr>
        <w:footnoteReference w:id="170"/>
      </w:r>
    </w:p>
    <w:p w:rsidR="008959A4" w:rsidP="008959A4" w:rsidRDefault="008959A4" w14:paraId="70C7B315" w14:textId="77777777">
      <w:pPr>
        <w:pStyle w:val="Heading3"/>
      </w:pPr>
      <w:bookmarkStart w:name="_Toc82159796" w:id="221"/>
      <w:r>
        <w:t>SMJU Responses</w:t>
      </w:r>
      <w:bookmarkEnd w:id="221"/>
    </w:p>
    <w:p w:rsidR="008959A4" w:rsidP="008959A4" w:rsidRDefault="008959A4" w14:paraId="382E2BB5" w14:textId="77777777">
      <w:pPr>
        <w:pStyle w:val="Heading4"/>
        <w:ind w:left="3600" w:hanging="1260"/>
      </w:pPr>
      <w:bookmarkStart w:name="_Toc82159797" w:id="222"/>
      <w:r>
        <w:t>Southwest Gas</w:t>
      </w:r>
      <w:r w:rsidRPr="00D03E26">
        <w:t>, P</w:t>
      </w:r>
      <w:r>
        <w:t>acifiCorp</w:t>
      </w:r>
      <w:r w:rsidRPr="00D03E26">
        <w:t>, L</w:t>
      </w:r>
      <w:r>
        <w:t>iberty</w:t>
      </w:r>
      <w:r w:rsidRPr="00D03E26">
        <w:t xml:space="preserve">, </w:t>
      </w:r>
      <w:r>
        <w:br/>
      </w:r>
      <w:r w:rsidRPr="00D03E26">
        <w:t>B</w:t>
      </w:r>
      <w:r>
        <w:t>ear Valley (Joint SMJUs) Response</w:t>
      </w:r>
      <w:bookmarkEnd w:id="222"/>
    </w:p>
    <w:p w:rsidR="008959A4" w:rsidP="008959A4" w:rsidRDefault="008959A4" w14:paraId="5E4F9AFD" w14:textId="77777777">
      <w:pPr>
        <w:pStyle w:val="Standard"/>
      </w:pPr>
      <w:r>
        <w:rPr>
          <w:b/>
          <w:bCs/>
          <w:i/>
          <w:iCs/>
          <w:u w:val="single"/>
        </w:rPr>
        <w:t xml:space="preserve">Household Treatment </w:t>
      </w:r>
      <w:r w:rsidRPr="00595CAA">
        <w:rPr>
          <w:b/>
          <w:bCs/>
          <w:i/>
          <w:iCs/>
          <w:u w:val="single"/>
        </w:rPr>
        <w:t>Goals</w:t>
      </w:r>
      <w:r>
        <w:t xml:space="preserve">:  The Joint SMJUs do not agree with EEC and Free Energy’s assessment that the SMJU </w:t>
      </w:r>
      <w:r w:rsidRPr="003F71E5">
        <w:t>goals</w:t>
      </w:r>
      <w:r>
        <w:t xml:space="preserve"> a</w:t>
      </w:r>
      <w:r w:rsidRPr="003F71E5">
        <w:t>re flawed by reliance upon outdated and no longer valid data.</w:t>
      </w:r>
      <w:r>
        <w:t xml:space="preserve">  They state that even</w:t>
      </w:r>
      <w:r w:rsidRPr="003F71E5">
        <w:t xml:space="preserve"> in “normal” circumstances,</w:t>
      </w:r>
      <w:r>
        <w:t xml:space="preserve"> </w:t>
      </w:r>
      <w:r w:rsidRPr="003F71E5">
        <w:t xml:space="preserve">by the time applications are filed and during the </w:t>
      </w:r>
      <w:r>
        <w:t>PYs</w:t>
      </w:r>
      <w:r w:rsidRPr="003F71E5">
        <w:t xml:space="preserve"> at issue, data</w:t>
      </w:r>
      <w:r>
        <w:t xml:space="preserve"> </w:t>
      </w:r>
      <w:r w:rsidRPr="003F71E5">
        <w:t xml:space="preserve">will be outdated to a certain extent. </w:t>
      </w:r>
      <w:r>
        <w:t xml:space="preserve"> </w:t>
      </w:r>
      <w:r w:rsidRPr="003F71E5">
        <w:t>The SMJUs acknowledge there have been several unforeseen changes due to the COVID-19 pandemic, which may have impacted the</w:t>
      </w:r>
      <w:r>
        <w:t xml:space="preserve"> </w:t>
      </w:r>
      <w:r w:rsidRPr="003F71E5">
        <w:t xml:space="preserve">planning documents; however, </w:t>
      </w:r>
      <w:r>
        <w:t xml:space="preserve">in preparing the applications, </w:t>
      </w:r>
      <w:r w:rsidRPr="003F71E5">
        <w:t>the SMJUs consider</w:t>
      </w:r>
      <w:r>
        <w:t>ed</w:t>
      </w:r>
      <w:r w:rsidRPr="003F71E5">
        <w:t xml:space="preserve"> the relevant findings of the 2016 LINA</w:t>
      </w:r>
      <w:r>
        <w:t xml:space="preserve"> (as directed by the Commission)</w:t>
      </w:r>
      <w:r>
        <w:rPr>
          <w:rStyle w:val="FootnoteReference"/>
        </w:rPr>
        <w:footnoteReference w:id="171"/>
      </w:r>
      <w:r w:rsidRPr="003F71E5">
        <w:t xml:space="preserve"> </w:t>
      </w:r>
      <w:r>
        <w:t xml:space="preserve">and the most recent </w:t>
      </w:r>
      <w:r w:rsidRPr="003F71E5">
        <w:t xml:space="preserve">Athens Research Eligibility Report </w:t>
      </w:r>
      <w:r>
        <w:t>(</w:t>
      </w:r>
      <w:r w:rsidRPr="003F71E5">
        <w:t>2018</w:t>
      </w:r>
      <w:r>
        <w:t>)</w:t>
      </w:r>
      <w:r w:rsidRPr="003F71E5">
        <w:t>.</w:t>
      </w:r>
      <w:r>
        <w:rPr>
          <w:rStyle w:val="FootnoteReference"/>
        </w:rPr>
        <w:footnoteReference w:id="172"/>
      </w:r>
      <w:r>
        <w:t xml:space="preserve">  I</w:t>
      </w:r>
      <w:r w:rsidRPr="003F71E5">
        <w:t>f the Commission believes the SMJUs should use</w:t>
      </w:r>
      <w:r w:rsidRPr="003F71E5">
        <w:rPr>
          <w:rFonts w:ascii="Arial" w:hAnsi="Arial" w:cs="Arial"/>
          <w:sz w:val="23"/>
          <w:szCs w:val="23"/>
        </w:rPr>
        <w:t xml:space="preserve"> </w:t>
      </w:r>
      <w:r w:rsidRPr="003F71E5">
        <w:t xml:space="preserve">more recent data in developing their ESA </w:t>
      </w:r>
      <w:r>
        <w:t>p</w:t>
      </w:r>
      <w:r w:rsidRPr="003F71E5">
        <w:t>rogram budgets, the SMJUs suggest that the</w:t>
      </w:r>
      <w:r>
        <w:t xml:space="preserve"> </w:t>
      </w:r>
      <w:r w:rsidRPr="003F71E5">
        <w:t xml:space="preserve">issue be addressed by revising the Guidance Document on a going forward basis. </w:t>
      </w:r>
      <w:r>
        <w:t xml:space="preserve"> </w:t>
      </w:r>
      <w:r w:rsidRPr="003F71E5">
        <w:t>Revising</w:t>
      </w:r>
      <w:r>
        <w:t xml:space="preserve"> </w:t>
      </w:r>
      <w:r w:rsidRPr="003F71E5">
        <w:t xml:space="preserve">the vintage </w:t>
      </w:r>
      <w:r w:rsidRPr="003F71E5">
        <w:lastRenderedPageBreak/>
        <w:t>of data used in this proceeding would cause an unreasonable and unnecessary</w:t>
      </w:r>
      <w:r>
        <w:t xml:space="preserve"> </w:t>
      </w:r>
      <w:r w:rsidRPr="003F71E5">
        <w:t>delay in effectuating the ESA Program for the current plan years.</w:t>
      </w:r>
      <w:r>
        <w:rPr>
          <w:rStyle w:val="FootnoteReference"/>
        </w:rPr>
        <w:footnoteReference w:id="173"/>
      </w:r>
    </w:p>
    <w:p w:rsidRPr="00EE3D1E" w:rsidR="008959A4" w:rsidP="008959A4" w:rsidRDefault="008959A4" w14:paraId="2EF9CCC1" w14:textId="77777777">
      <w:pPr>
        <w:pStyle w:val="Standard"/>
        <w:rPr>
          <w:bCs/>
        </w:rPr>
      </w:pPr>
      <w:r>
        <w:rPr>
          <w:bCs/>
        </w:rPr>
        <w:t>Additionally, t</w:t>
      </w:r>
      <w:r w:rsidRPr="00EE3D1E">
        <w:rPr>
          <w:bCs/>
        </w:rPr>
        <w:t xml:space="preserve">he SMJUs do not support spreading the economic impacts over a 10-year ESA program span because this proposal is flawed for several reasons.  First, since we are still amid the pandemic, it would be difficult to quantify the economic impacts. </w:t>
      </w:r>
      <w:r>
        <w:rPr>
          <w:bCs/>
        </w:rPr>
        <w:t xml:space="preserve"> </w:t>
      </w:r>
      <w:r w:rsidRPr="00EE3D1E">
        <w:rPr>
          <w:bCs/>
        </w:rPr>
        <w:t xml:space="preserve">Second, without an estimate of the economic impacts, it would be difficult to determine the appropriate time span over which to spread those impacts. </w:t>
      </w:r>
      <w:r>
        <w:rPr>
          <w:bCs/>
        </w:rPr>
        <w:t xml:space="preserve"> </w:t>
      </w:r>
      <w:r w:rsidRPr="00EE3D1E">
        <w:rPr>
          <w:bCs/>
        </w:rPr>
        <w:t xml:space="preserve">Instead, the SMJUs’ recommend the use of the Tier 2 </w:t>
      </w:r>
      <w:r>
        <w:rPr>
          <w:bCs/>
        </w:rPr>
        <w:t>a</w:t>
      </w:r>
      <w:r w:rsidRPr="00EE3D1E">
        <w:rPr>
          <w:bCs/>
        </w:rPr>
        <w:t xml:space="preserve">dvice </w:t>
      </w:r>
      <w:r>
        <w:rPr>
          <w:bCs/>
        </w:rPr>
        <w:t>l</w:t>
      </w:r>
      <w:r w:rsidRPr="00EE3D1E">
        <w:rPr>
          <w:bCs/>
        </w:rPr>
        <w:t>etter process to address any impacts to goals and budgets that result from the COVID-19 pandemic.</w:t>
      </w:r>
      <w:r w:rsidRPr="00EE3D1E">
        <w:rPr>
          <w:rStyle w:val="FootnoteReference"/>
          <w:bCs/>
        </w:rPr>
        <w:footnoteReference w:id="174"/>
      </w:r>
    </w:p>
    <w:p w:rsidR="008959A4" w:rsidP="008959A4" w:rsidRDefault="008959A4" w14:paraId="4030D0B8" w14:textId="77777777">
      <w:pPr>
        <w:pStyle w:val="Heading4"/>
        <w:ind w:left="3600" w:hanging="1260"/>
      </w:pPr>
      <w:bookmarkStart w:name="_Toc82159798" w:id="223"/>
      <w:r>
        <w:t>PacifiCorp Response</w:t>
      </w:r>
      <w:bookmarkEnd w:id="223"/>
    </w:p>
    <w:p w:rsidR="008959A4" w:rsidP="008959A4" w:rsidRDefault="008959A4" w14:paraId="2BC3FD0F" w14:textId="77777777">
      <w:pPr>
        <w:pStyle w:val="Standard"/>
        <w:rPr>
          <w:szCs w:val="26"/>
        </w:rPr>
      </w:pPr>
      <w:r>
        <w:rPr>
          <w:b/>
          <w:bCs/>
          <w:i/>
          <w:iCs/>
          <w:u w:val="single"/>
        </w:rPr>
        <w:t>MF Goals</w:t>
      </w:r>
      <w:r>
        <w:t xml:space="preserve">:  First, PacifiCorp takes issue with </w:t>
      </w:r>
      <w:r w:rsidRPr="00C43B6D">
        <w:t xml:space="preserve">EEC </w:t>
      </w:r>
      <w:r>
        <w:t>and Free Energy’s pro</w:t>
      </w:r>
      <w:r w:rsidRPr="00C43B6D">
        <w:t>pos</w:t>
      </w:r>
      <w:r>
        <w:t>al</w:t>
      </w:r>
      <w:r w:rsidRPr="00C43B6D">
        <w:t xml:space="preserve"> </w:t>
      </w:r>
      <w:r>
        <w:t>in its Opening Brief to</w:t>
      </w:r>
      <w:r w:rsidRPr="00C43B6D">
        <w:t xml:space="preserve"> </w:t>
      </w:r>
      <w:r>
        <w:t>introduce these MF goals wh</w:t>
      </w:r>
      <w:r w:rsidRPr="00742901">
        <w:t xml:space="preserve">ich </w:t>
      </w:r>
      <w:r>
        <w:t>were</w:t>
      </w:r>
      <w:r w:rsidRPr="00742901">
        <w:t xml:space="preserve"> not properly supported by testimony or evidence in the record</w:t>
      </w:r>
      <w:r>
        <w:t xml:space="preserve">, and thus denied </w:t>
      </w:r>
      <w:r w:rsidRPr="003D26D7">
        <w:t>PacifiCorp a meaningful opportunity to respond to this</w:t>
      </w:r>
      <w:r>
        <w:t xml:space="preserve"> </w:t>
      </w:r>
      <w:r w:rsidRPr="003D26D7">
        <w:t>recommendation</w:t>
      </w:r>
      <w:r>
        <w:t xml:space="preserve">.  Regardless of this due process issue, </w:t>
      </w:r>
      <w:r w:rsidRPr="003D26D7">
        <w:t xml:space="preserve">PacifiCorp </w:t>
      </w:r>
      <w:r>
        <w:t xml:space="preserve">states that </w:t>
      </w:r>
      <w:r w:rsidRPr="003D26D7">
        <w:t>there is no evidence supporting the recommendation that a 16 to 18</w:t>
      </w:r>
      <w:r>
        <w:t xml:space="preserve"> </w:t>
      </w:r>
      <w:r w:rsidRPr="003D26D7">
        <w:t xml:space="preserve">percent </w:t>
      </w:r>
      <w:r>
        <w:t>MF</w:t>
      </w:r>
      <w:r w:rsidRPr="003D26D7">
        <w:t xml:space="preserve"> ESA treatment goal is appropriate. </w:t>
      </w:r>
      <w:r>
        <w:t xml:space="preserve"> </w:t>
      </w:r>
      <w:r w:rsidRPr="003D26D7">
        <w:t>PacifiCorp</w:t>
      </w:r>
      <w:r>
        <w:t xml:space="preserve">’s </w:t>
      </w:r>
      <w:r w:rsidRPr="003D26D7">
        <w:t>application sets forth its</w:t>
      </w:r>
      <w:r>
        <w:t xml:space="preserve"> </w:t>
      </w:r>
      <w:r w:rsidRPr="003D26D7">
        <w:t xml:space="preserve">expanded focus on </w:t>
      </w:r>
      <w:r>
        <w:t>MF</w:t>
      </w:r>
      <w:r w:rsidRPr="003D26D7">
        <w:t xml:space="preserve"> homes, including partnering with CBO</w:t>
      </w:r>
      <w:r>
        <w:t>s</w:t>
      </w:r>
      <w:r w:rsidRPr="003D26D7">
        <w:t xml:space="preserve"> to investigate ways to increase participation of multifamily homes, increasing outreach,</w:t>
      </w:r>
      <w:r>
        <w:t xml:space="preserve"> </w:t>
      </w:r>
      <w:r w:rsidRPr="003D26D7">
        <w:t xml:space="preserve">and potentially adding ductless heat pumps as a measure, which would work well in </w:t>
      </w:r>
      <w:r>
        <w:t xml:space="preserve">MF </w:t>
      </w:r>
      <w:r w:rsidRPr="003D26D7">
        <w:t xml:space="preserve">homes. </w:t>
      </w:r>
      <w:r>
        <w:t xml:space="preserve"> </w:t>
      </w:r>
      <w:r w:rsidRPr="003D26D7">
        <w:t>Further, PacifiCorp is also supporting other programs for multifamily homes, such</w:t>
      </w:r>
      <w:r>
        <w:t xml:space="preserve"> </w:t>
      </w:r>
      <w:r w:rsidRPr="003D26D7">
        <w:t>as its Solar on Multifamily Affordable Housing</w:t>
      </w:r>
      <w:r>
        <w:t xml:space="preserve"> (SOMAH) program.  </w:t>
      </w:r>
      <w:r w:rsidRPr="003D26D7">
        <w:lastRenderedPageBreak/>
        <w:t>Specifically for the</w:t>
      </w:r>
      <w:r>
        <w:t xml:space="preserve"> </w:t>
      </w:r>
      <w:r w:rsidRPr="003D26D7">
        <w:t>purposes of the ESA program, SOMAH applicants are required to submit a list of all tenant</w:t>
      </w:r>
      <w:r>
        <w:t xml:space="preserve"> </w:t>
      </w:r>
      <w:r w:rsidRPr="003D26D7">
        <w:t xml:space="preserve">addresses within a property as part of the application process. </w:t>
      </w:r>
      <w:r>
        <w:t xml:space="preserve"> </w:t>
      </w:r>
      <w:r w:rsidRPr="003D26D7">
        <w:t xml:space="preserve">The SOMAH </w:t>
      </w:r>
      <w:r>
        <w:t>p</w:t>
      </w:r>
      <w:r w:rsidRPr="003D26D7">
        <w:t>rogram</w:t>
      </w:r>
      <w:r>
        <w:t xml:space="preserve"> a</w:t>
      </w:r>
      <w:r w:rsidRPr="003D26D7">
        <w:t>dministrator also shares utility</w:t>
      </w:r>
      <w:r>
        <w:noBreakHyphen/>
      </w:r>
      <w:r w:rsidRPr="003D26D7">
        <w:t>provided outreach materials to participating property</w:t>
      </w:r>
      <w:r w:rsidRPr="003D26D7">
        <w:rPr>
          <w:rFonts w:ascii="TimesNewRomanPSMT" w:hAnsi="TimesNewRomanPSMT" w:cs="TimesNewRomanPSMT"/>
          <w:sz w:val="24"/>
          <w:szCs w:val="24"/>
        </w:rPr>
        <w:t xml:space="preserve"> </w:t>
      </w:r>
      <w:r w:rsidRPr="003D26D7">
        <w:t xml:space="preserve">owners/operators regarding the ESA </w:t>
      </w:r>
      <w:r>
        <w:t>p</w:t>
      </w:r>
      <w:r w:rsidRPr="003D26D7">
        <w:t xml:space="preserve">rogram. </w:t>
      </w:r>
      <w:r>
        <w:t xml:space="preserve"> </w:t>
      </w:r>
      <w:r w:rsidRPr="003D26D7">
        <w:t>The owners/operators are then required to post</w:t>
      </w:r>
      <w:r>
        <w:t xml:space="preserve"> </w:t>
      </w:r>
      <w:r w:rsidRPr="003D26D7">
        <w:t>the materials on</w:t>
      </w:r>
      <w:r>
        <w:t xml:space="preserve"> </w:t>
      </w:r>
      <w:r w:rsidRPr="003D26D7">
        <w:t xml:space="preserve">site or distribute directly to the tenants. </w:t>
      </w:r>
      <w:r>
        <w:t xml:space="preserve"> Therefore, b</w:t>
      </w:r>
      <w:r w:rsidRPr="003D26D7">
        <w:t>ased on the foregoing, the EEC</w:t>
      </w:r>
      <w:r>
        <w:t xml:space="preserve"> and Free Energy’s </w:t>
      </w:r>
      <w:r w:rsidRPr="003D26D7">
        <w:t>recommendation should be rejected as unsupported.</w:t>
      </w:r>
      <w:r>
        <w:rPr>
          <w:rStyle w:val="FootnoteReference"/>
        </w:rPr>
        <w:footnoteReference w:id="175"/>
      </w:r>
    </w:p>
    <w:p w:rsidR="008959A4" w:rsidP="008959A4" w:rsidRDefault="008959A4" w14:paraId="18CFF69A" w14:textId="77777777">
      <w:pPr>
        <w:pStyle w:val="Standard"/>
      </w:pPr>
      <w:r>
        <w:rPr>
          <w:b/>
          <w:bCs/>
          <w:i/>
          <w:iCs/>
          <w:u w:val="single"/>
        </w:rPr>
        <w:t xml:space="preserve">Household Treatment </w:t>
      </w:r>
      <w:r w:rsidRPr="00595CAA">
        <w:rPr>
          <w:b/>
          <w:bCs/>
          <w:i/>
          <w:iCs/>
          <w:u w:val="single"/>
        </w:rPr>
        <w:t>Goals</w:t>
      </w:r>
      <w:r>
        <w:t xml:space="preserve">:  </w:t>
      </w:r>
      <w:r w:rsidRPr="00BB2840">
        <w:t>PacifiCorp</w:t>
      </w:r>
      <w:r>
        <w:t xml:space="preserve"> states that EEC and Free Energy</w:t>
      </w:r>
      <w:r w:rsidRPr="00BB2840">
        <w:t xml:space="preserve"> recommend a new methodology to calculate program goals</w:t>
      </w:r>
      <w:r>
        <w:t xml:space="preserve"> based on one </w:t>
      </w:r>
      <w:r w:rsidRPr="00BB2840">
        <w:t>utility’s data</w:t>
      </w:r>
      <w:r>
        <w:t xml:space="preserve">, rather than recommending </w:t>
      </w:r>
      <w:r w:rsidRPr="00BB2840">
        <w:t xml:space="preserve">goals and budgets </w:t>
      </w:r>
      <w:r>
        <w:t>based on a</w:t>
      </w:r>
      <w:r w:rsidRPr="00BB2840">
        <w:t xml:space="preserve"> true</w:t>
      </w:r>
      <w:r>
        <w:t xml:space="preserve"> </w:t>
      </w:r>
      <w:r w:rsidRPr="00BB2840">
        <w:t>understanding of the pandemic’s impact on PacifiCorp’s service territory</w:t>
      </w:r>
      <w:r>
        <w:t xml:space="preserve">, and thus should be rejected. </w:t>
      </w:r>
    </w:p>
    <w:p w:rsidR="008959A4" w:rsidP="008959A4" w:rsidRDefault="008959A4" w14:paraId="7D3436BA" w14:textId="77777777">
      <w:pPr>
        <w:pStyle w:val="Standard"/>
      </w:pPr>
      <w:r>
        <w:rPr>
          <w:b/>
          <w:bCs/>
          <w:i/>
          <w:iCs/>
          <w:u w:val="single"/>
        </w:rPr>
        <w:t>Adjustments via Tier 2 Advice Letter</w:t>
      </w:r>
      <w:r>
        <w:t>:  PacifiCorp re</w:t>
      </w:r>
      <w:r w:rsidRPr="00BB2840">
        <w:t xml:space="preserve">commends that </w:t>
      </w:r>
      <w:r>
        <w:t xml:space="preserve">it be </w:t>
      </w:r>
      <w:r w:rsidRPr="00BB2840">
        <w:t>allow</w:t>
      </w:r>
      <w:r>
        <w:t xml:space="preserve">ed </w:t>
      </w:r>
      <w:r w:rsidRPr="00BB2840">
        <w:t>to re-evaluate ESA program</w:t>
      </w:r>
      <w:r w:rsidRPr="0015773E">
        <w:rPr>
          <w:rFonts w:ascii="TimesNewRomanPSMT" w:hAnsi="TimesNewRomanPSMT" w:cs="TimesNewRomanPSMT"/>
          <w:sz w:val="24"/>
          <w:szCs w:val="24"/>
        </w:rPr>
        <w:t xml:space="preserve"> </w:t>
      </w:r>
      <w:r w:rsidRPr="0015773E">
        <w:t>goals and budgets for PY</w:t>
      </w:r>
      <w:r>
        <w:t>s</w:t>
      </w:r>
      <w:r w:rsidRPr="0015773E">
        <w:t xml:space="preserve"> 2021-2026 in the fourth quarter of 2021, including the impacts of</w:t>
      </w:r>
      <w:r>
        <w:t xml:space="preserve"> </w:t>
      </w:r>
      <w:r w:rsidRPr="0015773E">
        <w:t>the COVID-19 pandemic and/or changes that might have occurred since the filing of its</w:t>
      </w:r>
      <w:r>
        <w:t xml:space="preserve"> a</w:t>
      </w:r>
      <w:r w:rsidRPr="0015773E">
        <w:t xml:space="preserve">pplication. </w:t>
      </w:r>
      <w:r>
        <w:t xml:space="preserve"> </w:t>
      </w:r>
      <w:r w:rsidRPr="0015773E">
        <w:t xml:space="preserve">If adjustments to the ESA </w:t>
      </w:r>
      <w:r>
        <w:t>p</w:t>
      </w:r>
      <w:r w:rsidRPr="0015773E">
        <w:t>rogram goals and/or budgets are necessary, PacifiCorp</w:t>
      </w:r>
      <w:r>
        <w:t xml:space="preserve"> </w:t>
      </w:r>
      <w:r w:rsidRPr="0015773E">
        <w:t>will file a Tier 2 Advice Letter to effectuate the changes.</w:t>
      </w:r>
      <w:r>
        <w:t xml:space="preserve">  This approach is</w:t>
      </w:r>
      <w:r w:rsidRPr="0015773E">
        <w:t xml:space="preserve"> reasonable</w:t>
      </w:r>
      <w:r>
        <w:t xml:space="preserve"> </w:t>
      </w:r>
      <w:r w:rsidRPr="0015773E">
        <w:t xml:space="preserve">and allows for updates to the ESA </w:t>
      </w:r>
      <w:r>
        <w:t>p</w:t>
      </w:r>
      <w:r w:rsidRPr="0015773E">
        <w:t>rogram goals and budgets based on its actual experience.</w:t>
      </w:r>
      <w:r>
        <w:rPr>
          <w:rStyle w:val="FootnoteReference"/>
        </w:rPr>
        <w:footnoteReference w:id="176"/>
      </w:r>
    </w:p>
    <w:p w:rsidR="008959A4" w:rsidP="008959A4" w:rsidRDefault="008959A4" w14:paraId="57247408" w14:textId="77777777">
      <w:pPr>
        <w:pStyle w:val="Heading4"/>
        <w:ind w:left="3600" w:hanging="1260"/>
      </w:pPr>
      <w:bookmarkStart w:name="_Toc82159799" w:id="224"/>
      <w:r>
        <w:lastRenderedPageBreak/>
        <w:t>Southwest Gas Response</w:t>
      </w:r>
      <w:bookmarkEnd w:id="224"/>
    </w:p>
    <w:p w:rsidR="008959A4" w:rsidP="008959A4" w:rsidRDefault="008959A4" w14:paraId="2C84377E" w14:textId="77777777">
      <w:pPr>
        <w:pStyle w:val="Standard"/>
      </w:pPr>
      <w:r>
        <w:rPr>
          <w:b/>
          <w:bCs/>
          <w:i/>
          <w:iCs/>
          <w:u w:val="single"/>
        </w:rPr>
        <w:t>MF Goals</w:t>
      </w:r>
      <w:r>
        <w:t>:</w:t>
      </w:r>
      <w:r w:rsidRPr="00796BF7">
        <w:rPr>
          <w:rFonts w:ascii="TimesNewRomanPSMT" w:hAnsi="TimesNewRomanPSMT" w:cs="TimesNewRomanPSMT"/>
          <w:sz w:val="24"/>
          <w:szCs w:val="24"/>
        </w:rPr>
        <w:t xml:space="preserve"> </w:t>
      </w:r>
      <w:r w:rsidRPr="00796BF7">
        <w:t>Southwest Gas</w:t>
      </w:r>
      <w:r>
        <w:t xml:space="preserve"> states that EEC and Free Energy’s </w:t>
      </w:r>
      <w:r w:rsidRPr="00796BF7">
        <w:t xml:space="preserve">assertions </w:t>
      </w:r>
      <w:r>
        <w:t xml:space="preserve">with regards to the SMJU MF goals are </w:t>
      </w:r>
      <w:r w:rsidRPr="00796BF7">
        <w:t xml:space="preserve">without merit and should be rejected. </w:t>
      </w:r>
      <w:r>
        <w:t xml:space="preserve"> </w:t>
      </w:r>
      <w:r w:rsidRPr="00796BF7">
        <w:t>Southwest Gas’</w:t>
      </w:r>
      <w:r>
        <w:t xml:space="preserve"> </w:t>
      </w:r>
      <w:r w:rsidRPr="00796BF7">
        <w:t xml:space="preserve">projected housing mix for its ESA </w:t>
      </w:r>
      <w:r>
        <w:t>p</w:t>
      </w:r>
      <w:r w:rsidRPr="00796BF7">
        <w:t>rogram</w:t>
      </w:r>
      <w:r>
        <w:t xml:space="preserve"> is reasonable as it is</w:t>
      </w:r>
      <w:r w:rsidRPr="00796BF7">
        <w:t xml:space="preserve"> based on its rate schedule mix of customers</w:t>
      </w:r>
      <w:r>
        <w:t xml:space="preserve"> </w:t>
      </w:r>
      <w:r w:rsidRPr="00796BF7">
        <w:t xml:space="preserve">enrolled in the CARE </w:t>
      </w:r>
      <w:r>
        <w:t>p</w:t>
      </w:r>
      <w:r w:rsidRPr="00796BF7">
        <w:t>rogram</w:t>
      </w:r>
      <w:r>
        <w:t xml:space="preserve">, given that </w:t>
      </w:r>
      <w:r w:rsidRPr="00796BF7">
        <w:t>income eligibility requirements are the same for both</w:t>
      </w:r>
      <w:r>
        <w:t xml:space="preserve"> p</w:t>
      </w:r>
      <w:r w:rsidRPr="00796BF7">
        <w:t>rograms</w:t>
      </w:r>
      <w:r>
        <w:t>.</w:t>
      </w:r>
      <w:r>
        <w:rPr>
          <w:rStyle w:val="FootnoteReference"/>
        </w:rPr>
        <w:footnoteReference w:id="177"/>
      </w:r>
      <w:r>
        <w:t xml:space="preserve">  </w:t>
      </w:r>
    </w:p>
    <w:p w:rsidR="008959A4" w:rsidP="008959A4" w:rsidRDefault="008959A4" w14:paraId="6751956B" w14:textId="77777777">
      <w:pPr>
        <w:pStyle w:val="Standard"/>
      </w:pPr>
      <w:r>
        <w:rPr>
          <w:b/>
          <w:bCs/>
          <w:i/>
          <w:iCs/>
          <w:u w:val="single"/>
        </w:rPr>
        <w:t xml:space="preserve">Household Treatment </w:t>
      </w:r>
      <w:r w:rsidRPr="00595CAA">
        <w:rPr>
          <w:b/>
          <w:bCs/>
          <w:i/>
          <w:iCs/>
          <w:u w:val="single"/>
        </w:rPr>
        <w:t>Goals</w:t>
      </w:r>
      <w:r>
        <w:t xml:space="preserve">:  </w:t>
      </w:r>
      <w:r w:rsidRPr="00796BF7">
        <w:t>Southwest Gas</w:t>
      </w:r>
      <w:r>
        <w:t xml:space="preserve"> states that EEC and Free Energy </w:t>
      </w:r>
      <w:r w:rsidRPr="000F2C9F">
        <w:t>make several erroneous statements in challenging Southwest Gas’</w:t>
      </w:r>
      <w:r>
        <w:t xml:space="preserve"> </w:t>
      </w:r>
      <w:r w:rsidRPr="000F2C9F">
        <w:t xml:space="preserve">ESA </w:t>
      </w:r>
      <w:r>
        <w:t>p</w:t>
      </w:r>
      <w:r w:rsidRPr="000F2C9F">
        <w:t>rogram goals</w:t>
      </w:r>
      <w:r>
        <w:t xml:space="preserve">, including relying on an inaccurate number of CARE households enrolled and ESA households treated.  Because their </w:t>
      </w:r>
      <w:r w:rsidRPr="000F2C9F">
        <w:t xml:space="preserve">arguments are unsubstantiated and based on inaccuracies, </w:t>
      </w:r>
      <w:r>
        <w:t xml:space="preserve">EEC and Free Energy’s proposal to modify the program goals </w:t>
      </w:r>
      <w:r w:rsidRPr="000F2C9F">
        <w:t>should be rejected.</w:t>
      </w:r>
      <w:r>
        <w:rPr>
          <w:rStyle w:val="FootnoteReference"/>
        </w:rPr>
        <w:footnoteReference w:id="178"/>
      </w:r>
      <w:r>
        <w:t xml:space="preserve">  </w:t>
      </w:r>
    </w:p>
    <w:p w:rsidR="008959A4" w:rsidP="008959A4" w:rsidRDefault="008959A4" w14:paraId="3FDE1000" w14:textId="77777777">
      <w:pPr>
        <w:pStyle w:val="Standard"/>
      </w:pPr>
      <w:r>
        <w:rPr>
          <w:b/>
          <w:bCs/>
          <w:i/>
          <w:iCs/>
          <w:u w:val="single"/>
        </w:rPr>
        <w:t>Adjustments via Tier 2 Advice Letter</w:t>
      </w:r>
      <w:r>
        <w:t xml:space="preserve">:  Southwest Gas </w:t>
      </w:r>
      <w:r w:rsidRPr="00D61ED2">
        <w:t>recommends that the SMJUs be allowed to request any required changes that may be anticipated during the program cycle through the advice letter process.</w:t>
      </w:r>
      <w:r>
        <w:t xml:space="preserve"> </w:t>
      </w:r>
      <w:r w:rsidRPr="00D61ED2">
        <w:t xml:space="preserve"> Southwest Gas </w:t>
      </w:r>
      <w:r>
        <w:t>will</w:t>
      </w:r>
      <w:r w:rsidRPr="00F83F39">
        <w:t xml:space="preserve"> commit to performing an analysis and re-evaluation of its PY 2021-2026 CARE and ESA </w:t>
      </w:r>
      <w:r>
        <w:t>p</w:t>
      </w:r>
      <w:r w:rsidRPr="00F83F39">
        <w:t>rogram eligibility estimates, goals and budgets based on updated data through December 31, 2021, and request</w:t>
      </w:r>
      <w:r>
        <w:t>s</w:t>
      </w:r>
      <w:r w:rsidRPr="00F83F39">
        <w:t xml:space="preserve"> appropriate adjustments based on such re-</w:t>
      </w:r>
      <w:r w:rsidRPr="00E8496A">
        <w:t>evaluation through a Tier 2 advice letter to be submitted by the end of the first quarter of 2022.</w:t>
      </w:r>
      <w:r>
        <w:t xml:space="preserve"> </w:t>
      </w:r>
      <w:r w:rsidRPr="00E8496A">
        <w:t xml:space="preserve"> Such a process would ensure that implementation of Southwest Gas’ </w:t>
      </w:r>
      <w:r>
        <w:t>p</w:t>
      </w:r>
      <w:r w:rsidRPr="00E8496A">
        <w:t>rograms is not unreasonably delayed while the program goals and budgets are fully re-evaluated based on updated data and information.</w:t>
      </w:r>
      <w:r>
        <w:rPr>
          <w:rStyle w:val="FootnoteReference"/>
        </w:rPr>
        <w:footnoteReference w:id="179"/>
      </w:r>
    </w:p>
    <w:p w:rsidR="008959A4" w:rsidP="008959A4" w:rsidRDefault="008959A4" w14:paraId="45189994" w14:textId="77777777">
      <w:pPr>
        <w:pStyle w:val="Heading3"/>
      </w:pPr>
      <w:bookmarkStart w:name="_Toc82159800" w:id="225"/>
      <w:r>
        <w:lastRenderedPageBreak/>
        <w:t>Discussion</w:t>
      </w:r>
      <w:bookmarkEnd w:id="225"/>
    </w:p>
    <w:p w:rsidRPr="00BE5C2A" w:rsidR="008959A4" w:rsidP="008959A4" w:rsidRDefault="008959A4" w14:paraId="5BC8AAD7" w14:textId="77777777">
      <w:pPr>
        <w:pStyle w:val="Heading4"/>
        <w:ind w:left="3600" w:hanging="1260"/>
      </w:pPr>
      <w:bookmarkStart w:name="_Toc82159801" w:id="226"/>
      <w:r>
        <w:t xml:space="preserve">SMJUs Proposed Household Goals:  </w:t>
      </w:r>
      <w:r w:rsidRPr="00DF39CF">
        <w:rPr>
          <w:u w:val="single"/>
        </w:rPr>
        <w:t>Approved with Modification</w:t>
      </w:r>
      <w:bookmarkEnd w:id="226"/>
    </w:p>
    <w:p w:rsidRPr="00C75453" w:rsidR="008959A4" w:rsidP="008959A4" w:rsidRDefault="008959A4" w14:paraId="3C4EDF69" w14:textId="77777777">
      <w:pPr>
        <w:pStyle w:val="ALJBodyText"/>
      </w:pPr>
      <w:r>
        <w:t>We approve the SMJUs’ proposed household treatment numbers for PYs 2022-2026 as targets, as opposed to goals, prioritizing the program’s emphasis on energy savings over the number of households treated.  (</w:t>
      </w:r>
      <w:r w:rsidRPr="007F40BA">
        <w:rPr>
          <w:i/>
          <w:iCs/>
        </w:rPr>
        <w:t>See</w:t>
      </w:r>
      <w:r>
        <w:t xml:space="preserve"> Section 5.5.9.3 for further information on the energy savings goals).  </w:t>
      </w:r>
      <w:r w:rsidRPr="00C75453">
        <w:t xml:space="preserve">For the remainder of </w:t>
      </w:r>
      <w:r>
        <w:t xml:space="preserve">PY </w:t>
      </w:r>
      <w:r w:rsidRPr="00C75453">
        <w:t xml:space="preserve">2021, the </w:t>
      </w:r>
      <w:r>
        <w:t xml:space="preserve">SMJU household treatment levels will be set </w:t>
      </w:r>
      <w:r w:rsidRPr="00C75453">
        <w:t xml:space="preserve">as goals </w:t>
      </w:r>
      <w:r>
        <w:t>based on the 2021 bridge year</w:t>
      </w:r>
      <w:r w:rsidRPr="00C75453">
        <w:t xml:space="preserve"> to align </w:t>
      </w:r>
      <w:r>
        <w:t xml:space="preserve">with </w:t>
      </w:r>
      <w:r w:rsidRPr="00C75453">
        <w:t xml:space="preserve">the </w:t>
      </w:r>
      <w:r>
        <w:t>SMJUs</w:t>
      </w:r>
      <w:r w:rsidRPr="00C75453">
        <w:t xml:space="preserve">’ 2021 bridge </w:t>
      </w:r>
      <w:r>
        <w:t xml:space="preserve">period </w:t>
      </w:r>
      <w:r w:rsidRPr="00C75453">
        <w:t>funding and allow for an adequate transition period into the new program and structure.</w:t>
      </w:r>
      <w:r>
        <w:t xml:space="preserve"> </w:t>
      </w:r>
      <w:r w:rsidRPr="00C0708A">
        <w:t xml:space="preserve"> </w:t>
      </w:r>
      <w:r>
        <w:t>The 2021 household treatment goal is calculated by taking the treatment goal for the first half of 2021 and doubling it.  Beginning in PY 2022, we apply a ten percent reduction to align with the ten percent reduction in the proposed budgets (</w:t>
      </w:r>
      <w:r w:rsidRPr="00AA01E3">
        <w:rPr>
          <w:i/>
          <w:iCs/>
        </w:rPr>
        <w:t>see</w:t>
      </w:r>
      <w:r>
        <w:t xml:space="preserve"> Section 5.9.9.1).  Accordingly, we deny EEC and Free Energy’s proposed goals. </w:t>
      </w:r>
    </w:p>
    <w:p w:rsidR="008959A4" w:rsidP="008959A4" w:rsidRDefault="008959A4" w14:paraId="38DD88CD" w14:textId="77777777">
      <w:pPr>
        <w:pStyle w:val="BlockQuote"/>
        <w:keepNext/>
        <w:ind w:left="0" w:right="0"/>
        <w:jc w:val="center"/>
        <w:rPr>
          <w:b/>
          <w:bCs/>
        </w:rPr>
      </w:pPr>
      <w:r w:rsidRPr="002E4E23">
        <w:rPr>
          <w:b/>
          <w:bCs/>
        </w:rPr>
        <w:lastRenderedPageBreak/>
        <w:t xml:space="preserve">Table </w:t>
      </w:r>
      <w:r>
        <w:rPr>
          <w:b/>
          <w:bCs/>
        </w:rPr>
        <w:t xml:space="preserve">6: </w:t>
      </w:r>
      <w:r w:rsidRPr="002E4E23">
        <w:rPr>
          <w:b/>
          <w:bCs/>
        </w:rPr>
        <w:t xml:space="preserve"> Approved Household Treatment </w:t>
      </w:r>
      <w:r>
        <w:rPr>
          <w:b/>
          <w:bCs/>
        </w:rPr>
        <w:t xml:space="preserve">Goals for </w:t>
      </w:r>
      <w:r>
        <w:rPr>
          <w:b/>
          <w:bCs/>
        </w:rPr>
        <w:br/>
        <w:t xml:space="preserve">PY 2021 and </w:t>
      </w:r>
      <w:r w:rsidRPr="002E4E23">
        <w:rPr>
          <w:b/>
          <w:bCs/>
        </w:rPr>
        <w:t>Targets</w:t>
      </w:r>
      <w:r w:rsidRPr="00F54DF3">
        <w:rPr>
          <w:b/>
          <w:bCs/>
        </w:rPr>
        <w:t xml:space="preserve"> </w:t>
      </w:r>
      <w:r>
        <w:rPr>
          <w:b/>
          <w:bCs/>
        </w:rPr>
        <w:t xml:space="preserve">for </w:t>
      </w:r>
      <w:r w:rsidRPr="00F54DF3">
        <w:rPr>
          <w:b/>
          <w:bCs/>
        </w:rPr>
        <w:t>PYs 202</w:t>
      </w:r>
      <w:r>
        <w:rPr>
          <w:b/>
          <w:bCs/>
        </w:rPr>
        <w:t>2</w:t>
      </w:r>
      <w:r w:rsidRPr="00F54DF3">
        <w:rPr>
          <w:b/>
          <w:bCs/>
        </w:rPr>
        <w:t>-2026</w:t>
      </w:r>
    </w:p>
    <w:tbl>
      <w:tblPr>
        <w:tblStyle w:val="TableGrid"/>
        <w:tblW w:w="9445" w:type="dxa"/>
        <w:tblLayout w:type="fixed"/>
        <w:tblLook w:val="06A0" w:firstRow="1" w:lastRow="0" w:firstColumn="1" w:lastColumn="0" w:noHBand="1" w:noVBand="1"/>
      </w:tblPr>
      <w:tblGrid>
        <w:gridCol w:w="1705"/>
        <w:gridCol w:w="1170"/>
        <w:gridCol w:w="1080"/>
        <w:gridCol w:w="1080"/>
        <w:gridCol w:w="1080"/>
        <w:gridCol w:w="1080"/>
        <w:gridCol w:w="1170"/>
        <w:gridCol w:w="1080"/>
      </w:tblGrid>
      <w:tr w:rsidRPr="003A4145" w:rsidR="008959A4" w:rsidTr="00717A84" w14:paraId="1A5E5E5A" w14:textId="77777777">
        <w:tc>
          <w:tcPr>
            <w:tcW w:w="9445" w:type="dxa"/>
            <w:gridSpan w:val="8"/>
          </w:tcPr>
          <w:p w:rsidRPr="00CC298D" w:rsidR="008959A4" w:rsidP="00717A84" w:rsidRDefault="008959A4" w14:paraId="25D5E928" w14:textId="77777777">
            <w:pPr>
              <w:pStyle w:val="ALJBodyText"/>
              <w:keepNext/>
              <w:ind w:left="360" w:firstLine="0"/>
              <w:jc w:val="center"/>
              <w:rPr>
                <w:b/>
                <w:bCs/>
                <w:sz w:val="22"/>
                <w:szCs w:val="22"/>
              </w:rPr>
            </w:pPr>
            <w:r w:rsidRPr="00CC298D">
              <w:rPr>
                <w:b/>
                <w:bCs/>
                <w:sz w:val="22"/>
                <w:szCs w:val="22"/>
              </w:rPr>
              <w:t xml:space="preserve">Approved </w:t>
            </w:r>
            <w:r>
              <w:rPr>
                <w:b/>
                <w:bCs/>
                <w:sz w:val="22"/>
                <w:szCs w:val="22"/>
              </w:rPr>
              <w:t xml:space="preserve">ESA </w:t>
            </w:r>
            <w:r w:rsidRPr="00CC298D">
              <w:rPr>
                <w:b/>
                <w:bCs/>
                <w:sz w:val="22"/>
                <w:szCs w:val="22"/>
              </w:rPr>
              <w:t xml:space="preserve">Household Treatment </w:t>
            </w:r>
            <w:r>
              <w:rPr>
                <w:b/>
                <w:bCs/>
                <w:sz w:val="22"/>
                <w:szCs w:val="22"/>
              </w:rPr>
              <w:t xml:space="preserve">Goals and </w:t>
            </w:r>
            <w:r w:rsidRPr="00CC298D">
              <w:rPr>
                <w:b/>
                <w:bCs/>
                <w:sz w:val="22"/>
                <w:szCs w:val="22"/>
              </w:rPr>
              <w:t>Targets, PYs 2021-2026</w:t>
            </w:r>
          </w:p>
        </w:tc>
      </w:tr>
      <w:tr w:rsidRPr="003A4145" w:rsidR="008959A4" w:rsidTr="00717A84" w14:paraId="48FBC4F9" w14:textId="77777777">
        <w:tc>
          <w:tcPr>
            <w:tcW w:w="1705" w:type="dxa"/>
          </w:tcPr>
          <w:p w:rsidRPr="003A4145" w:rsidR="008959A4" w:rsidP="00717A84" w:rsidRDefault="008959A4" w14:paraId="31566CBA" w14:textId="77777777">
            <w:pPr>
              <w:pStyle w:val="ALJBodyText"/>
              <w:keepNext/>
              <w:ind w:left="360" w:firstLine="0"/>
              <w:rPr>
                <w:rFonts w:eastAsiaTheme="minorEastAsia" w:cstheme="minorBidi"/>
                <w:b/>
                <w:bCs/>
                <w:sz w:val="22"/>
                <w:szCs w:val="22"/>
              </w:rPr>
            </w:pPr>
            <w:r>
              <w:rPr>
                <w:rFonts w:eastAsiaTheme="minorEastAsia" w:cstheme="minorBidi"/>
                <w:b/>
                <w:bCs/>
                <w:sz w:val="22"/>
                <w:szCs w:val="22"/>
              </w:rPr>
              <w:t>IOU</w:t>
            </w:r>
          </w:p>
        </w:tc>
        <w:tc>
          <w:tcPr>
            <w:tcW w:w="1170" w:type="dxa"/>
          </w:tcPr>
          <w:p w:rsidR="008959A4" w:rsidP="00717A84" w:rsidRDefault="008959A4" w14:paraId="5B95E0BA"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2021</w:t>
            </w:r>
          </w:p>
          <w:p w:rsidRPr="001118B6" w:rsidR="008959A4" w:rsidP="00717A84" w:rsidRDefault="008959A4" w14:paraId="1FDB3283" w14:textId="77777777">
            <w:pPr>
              <w:pStyle w:val="ALJBodyText"/>
              <w:keepNext/>
              <w:spacing w:line="240" w:lineRule="auto"/>
              <w:ind w:firstLine="0"/>
              <w:jc w:val="center"/>
              <w:rPr>
                <w:rFonts w:eastAsiaTheme="minorEastAsia" w:cstheme="minorBidi"/>
                <w:b/>
                <w:bCs/>
                <w:sz w:val="20"/>
              </w:rPr>
            </w:pPr>
            <w:r w:rsidRPr="00D25E6F">
              <w:rPr>
                <w:rFonts w:eastAsiaTheme="minorEastAsia" w:cstheme="minorBidi"/>
                <w:b/>
                <w:bCs/>
                <w:sz w:val="20"/>
              </w:rPr>
              <w:t>(Goals)</w:t>
            </w:r>
            <w:r>
              <w:rPr>
                <w:rStyle w:val="FootnoteReference"/>
                <w:rFonts w:eastAsiaTheme="minorEastAsia" w:cstheme="minorBidi"/>
                <w:b/>
                <w:bCs/>
                <w:sz w:val="22"/>
                <w:szCs w:val="22"/>
              </w:rPr>
              <w:t xml:space="preserve"> </w:t>
            </w:r>
            <w:r>
              <w:rPr>
                <w:rStyle w:val="FootnoteReference"/>
                <w:rFonts w:eastAsiaTheme="minorEastAsia" w:cstheme="minorBidi"/>
                <w:b/>
                <w:bCs/>
                <w:sz w:val="22"/>
                <w:szCs w:val="22"/>
              </w:rPr>
              <w:footnoteReference w:id="180"/>
            </w:r>
          </w:p>
        </w:tc>
        <w:tc>
          <w:tcPr>
            <w:tcW w:w="1080" w:type="dxa"/>
          </w:tcPr>
          <w:p w:rsidR="008959A4" w:rsidP="00717A84" w:rsidRDefault="008959A4" w14:paraId="372D977E"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2022</w:t>
            </w:r>
          </w:p>
          <w:p w:rsidRPr="003A4145" w:rsidR="008959A4" w:rsidP="00717A84" w:rsidRDefault="008959A4" w14:paraId="6B1996AF" w14:textId="77777777">
            <w:pPr>
              <w:pStyle w:val="ALJBodyText"/>
              <w:keepNext/>
              <w:spacing w:line="240" w:lineRule="auto"/>
              <w:ind w:firstLine="0"/>
              <w:jc w:val="center"/>
              <w:rPr>
                <w:rFonts w:eastAsiaTheme="minorEastAsia" w:cstheme="minorBidi"/>
                <w:b/>
                <w:bCs/>
                <w:sz w:val="22"/>
                <w:szCs w:val="22"/>
              </w:rPr>
            </w:pPr>
            <w:r>
              <w:rPr>
                <w:rFonts w:eastAsiaTheme="minorEastAsia" w:cstheme="minorBidi"/>
                <w:b/>
                <w:bCs/>
                <w:sz w:val="22"/>
                <w:szCs w:val="22"/>
              </w:rPr>
              <w:t>(</w:t>
            </w:r>
            <w:r w:rsidRPr="00F9499B">
              <w:rPr>
                <w:rFonts w:eastAsiaTheme="minorEastAsia" w:cstheme="minorBidi"/>
                <w:b/>
                <w:bCs/>
                <w:sz w:val="20"/>
              </w:rPr>
              <w:t>Targets)</w:t>
            </w:r>
          </w:p>
        </w:tc>
        <w:tc>
          <w:tcPr>
            <w:tcW w:w="1080" w:type="dxa"/>
          </w:tcPr>
          <w:p w:rsidRPr="003A4145" w:rsidR="008959A4" w:rsidP="00717A84" w:rsidRDefault="008959A4" w14:paraId="4FB6B694"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2023</w:t>
            </w:r>
            <w:r>
              <w:rPr>
                <w:rFonts w:eastAsiaTheme="minorEastAsia" w:cstheme="minorBidi"/>
                <w:b/>
                <w:bCs/>
                <w:sz w:val="22"/>
                <w:szCs w:val="22"/>
              </w:rPr>
              <w:t xml:space="preserve"> (</w:t>
            </w:r>
            <w:r w:rsidRPr="00F9499B">
              <w:rPr>
                <w:rFonts w:eastAsiaTheme="minorEastAsia" w:cstheme="minorBidi"/>
                <w:b/>
                <w:bCs/>
                <w:sz w:val="20"/>
              </w:rPr>
              <w:t>Targets)</w:t>
            </w:r>
          </w:p>
        </w:tc>
        <w:tc>
          <w:tcPr>
            <w:tcW w:w="1080" w:type="dxa"/>
          </w:tcPr>
          <w:p w:rsidRPr="003A4145" w:rsidR="008959A4" w:rsidP="00717A84" w:rsidRDefault="008959A4" w14:paraId="2F87211C"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2024</w:t>
            </w:r>
            <w:r>
              <w:rPr>
                <w:rFonts w:eastAsiaTheme="minorEastAsia" w:cstheme="minorBidi"/>
                <w:b/>
                <w:bCs/>
                <w:sz w:val="22"/>
                <w:szCs w:val="22"/>
              </w:rPr>
              <w:t xml:space="preserve"> (</w:t>
            </w:r>
            <w:r w:rsidRPr="00F9499B">
              <w:rPr>
                <w:rFonts w:eastAsiaTheme="minorEastAsia" w:cstheme="minorBidi"/>
                <w:b/>
                <w:bCs/>
                <w:sz w:val="20"/>
              </w:rPr>
              <w:t>Targets)</w:t>
            </w:r>
          </w:p>
        </w:tc>
        <w:tc>
          <w:tcPr>
            <w:tcW w:w="1080" w:type="dxa"/>
          </w:tcPr>
          <w:p w:rsidRPr="003A4145" w:rsidR="008959A4" w:rsidP="00717A84" w:rsidRDefault="008959A4" w14:paraId="6E0E04BD"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2025</w:t>
            </w:r>
            <w:r>
              <w:rPr>
                <w:rFonts w:eastAsiaTheme="minorEastAsia" w:cstheme="minorBidi"/>
                <w:b/>
                <w:bCs/>
                <w:sz w:val="22"/>
                <w:szCs w:val="22"/>
              </w:rPr>
              <w:t xml:space="preserve"> (</w:t>
            </w:r>
            <w:r w:rsidRPr="00F9499B">
              <w:rPr>
                <w:rFonts w:eastAsiaTheme="minorEastAsia" w:cstheme="minorBidi"/>
                <w:b/>
                <w:bCs/>
                <w:sz w:val="20"/>
              </w:rPr>
              <w:t>Targets)</w:t>
            </w:r>
          </w:p>
        </w:tc>
        <w:tc>
          <w:tcPr>
            <w:tcW w:w="1170" w:type="dxa"/>
          </w:tcPr>
          <w:p w:rsidRPr="003A4145" w:rsidR="008959A4" w:rsidP="00717A84" w:rsidRDefault="008959A4" w14:paraId="2AD8B123"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2026</w:t>
            </w:r>
            <w:r>
              <w:rPr>
                <w:rFonts w:eastAsiaTheme="minorEastAsia" w:cstheme="minorBidi"/>
                <w:b/>
                <w:bCs/>
                <w:sz w:val="22"/>
                <w:szCs w:val="22"/>
              </w:rPr>
              <w:t xml:space="preserve"> (</w:t>
            </w:r>
            <w:r w:rsidRPr="00F9499B">
              <w:rPr>
                <w:rFonts w:eastAsiaTheme="minorEastAsia" w:cstheme="minorBidi"/>
                <w:b/>
                <w:bCs/>
                <w:sz w:val="20"/>
              </w:rPr>
              <w:t>Targets)</w:t>
            </w:r>
          </w:p>
        </w:tc>
        <w:tc>
          <w:tcPr>
            <w:tcW w:w="1080" w:type="dxa"/>
          </w:tcPr>
          <w:p w:rsidRPr="003A4145" w:rsidR="008959A4" w:rsidP="00717A84" w:rsidRDefault="008959A4" w14:paraId="56104389" w14:textId="77777777">
            <w:pPr>
              <w:pStyle w:val="ALJBodyText"/>
              <w:keepNext/>
              <w:spacing w:line="240" w:lineRule="auto"/>
              <w:ind w:firstLine="0"/>
              <w:jc w:val="center"/>
              <w:rPr>
                <w:rFonts w:eastAsiaTheme="minorEastAsia" w:cstheme="minorBidi"/>
                <w:b/>
                <w:bCs/>
                <w:sz w:val="22"/>
                <w:szCs w:val="22"/>
              </w:rPr>
            </w:pPr>
            <w:r w:rsidRPr="003A4145">
              <w:rPr>
                <w:rFonts w:eastAsiaTheme="minorEastAsia" w:cstheme="minorBidi"/>
                <w:b/>
                <w:bCs/>
                <w:sz w:val="22"/>
                <w:szCs w:val="22"/>
              </w:rPr>
              <w:t>Total</w:t>
            </w:r>
          </w:p>
        </w:tc>
      </w:tr>
      <w:tr w:rsidRPr="003A4145" w:rsidR="008959A4" w:rsidTr="00717A84" w14:paraId="792C6399" w14:textId="77777777">
        <w:tc>
          <w:tcPr>
            <w:tcW w:w="1705" w:type="dxa"/>
          </w:tcPr>
          <w:p w:rsidRPr="003A4145" w:rsidR="008959A4" w:rsidP="00717A84" w:rsidRDefault="008959A4" w14:paraId="7DC05500" w14:textId="77777777">
            <w:pPr>
              <w:pStyle w:val="ALJBodyText"/>
              <w:keepNext/>
              <w:ind w:firstLine="0"/>
              <w:rPr>
                <w:rFonts w:eastAsiaTheme="minorEastAsia" w:cstheme="minorBidi"/>
                <w:sz w:val="22"/>
                <w:szCs w:val="22"/>
              </w:rPr>
            </w:pPr>
            <w:r>
              <w:rPr>
                <w:rFonts w:eastAsiaTheme="minorEastAsia" w:cstheme="minorBidi"/>
                <w:sz w:val="22"/>
                <w:szCs w:val="22"/>
              </w:rPr>
              <w:t>Alpine</w:t>
            </w:r>
          </w:p>
        </w:tc>
        <w:tc>
          <w:tcPr>
            <w:tcW w:w="1170" w:type="dxa"/>
          </w:tcPr>
          <w:p w:rsidRPr="003A4145" w:rsidR="008959A4" w:rsidP="00717A84" w:rsidRDefault="008959A4" w14:paraId="5689EB51" w14:textId="77777777">
            <w:pPr>
              <w:pStyle w:val="ALJBodyText"/>
              <w:keepNext/>
              <w:ind w:firstLine="0"/>
              <w:jc w:val="right"/>
              <w:rPr>
                <w:rFonts w:eastAsiaTheme="minorEastAsia" w:cstheme="minorBidi"/>
                <w:sz w:val="22"/>
                <w:szCs w:val="22"/>
              </w:rPr>
            </w:pPr>
            <w:r w:rsidRPr="00740E05">
              <w:rPr>
                <w:rFonts w:cs="Calibri"/>
                <w:color w:val="000000"/>
                <w:sz w:val="20"/>
              </w:rPr>
              <w:t>20</w:t>
            </w:r>
          </w:p>
        </w:tc>
        <w:tc>
          <w:tcPr>
            <w:tcW w:w="1080" w:type="dxa"/>
          </w:tcPr>
          <w:p w:rsidRPr="003A4145" w:rsidR="008959A4" w:rsidP="00717A84" w:rsidRDefault="008959A4" w14:paraId="04156842" w14:textId="77777777">
            <w:pPr>
              <w:pStyle w:val="ALJBodyText"/>
              <w:keepNext/>
              <w:ind w:firstLine="0"/>
              <w:jc w:val="right"/>
              <w:rPr>
                <w:rFonts w:eastAsiaTheme="minorEastAsia" w:cstheme="minorBidi"/>
                <w:sz w:val="22"/>
                <w:szCs w:val="22"/>
              </w:rPr>
            </w:pPr>
            <w:r w:rsidRPr="00331F97">
              <w:rPr>
                <w:rFonts w:cs="Calibri"/>
                <w:color w:val="000000"/>
                <w:sz w:val="20"/>
              </w:rPr>
              <w:t>14</w:t>
            </w:r>
          </w:p>
        </w:tc>
        <w:tc>
          <w:tcPr>
            <w:tcW w:w="1080" w:type="dxa"/>
          </w:tcPr>
          <w:p w:rsidRPr="003A4145" w:rsidR="008959A4" w:rsidP="00717A84" w:rsidRDefault="008959A4" w14:paraId="444D59AF" w14:textId="77777777">
            <w:pPr>
              <w:pStyle w:val="ALJBodyText"/>
              <w:keepNext/>
              <w:ind w:firstLine="0"/>
              <w:jc w:val="right"/>
              <w:rPr>
                <w:rFonts w:eastAsiaTheme="minorEastAsia" w:cstheme="minorBidi"/>
                <w:sz w:val="22"/>
                <w:szCs w:val="22"/>
              </w:rPr>
            </w:pPr>
            <w:r w:rsidRPr="00331F97">
              <w:rPr>
                <w:rFonts w:cs="Calibri"/>
                <w:color w:val="000000"/>
                <w:sz w:val="20"/>
              </w:rPr>
              <w:t>14</w:t>
            </w:r>
          </w:p>
        </w:tc>
        <w:tc>
          <w:tcPr>
            <w:tcW w:w="1080" w:type="dxa"/>
          </w:tcPr>
          <w:p w:rsidRPr="003A4145" w:rsidR="008959A4" w:rsidP="00717A84" w:rsidRDefault="008959A4" w14:paraId="667660C5" w14:textId="77777777">
            <w:pPr>
              <w:pStyle w:val="ALJBodyText"/>
              <w:keepNext/>
              <w:ind w:firstLine="0"/>
              <w:jc w:val="right"/>
              <w:rPr>
                <w:rFonts w:eastAsiaTheme="minorEastAsia" w:cstheme="minorBidi"/>
                <w:sz w:val="22"/>
                <w:szCs w:val="22"/>
              </w:rPr>
            </w:pPr>
            <w:r w:rsidRPr="00331F97">
              <w:rPr>
                <w:rFonts w:cs="Calibri"/>
                <w:color w:val="000000"/>
                <w:sz w:val="20"/>
              </w:rPr>
              <w:t>14</w:t>
            </w:r>
          </w:p>
        </w:tc>
        <w:tc>
          <w:tcPr>
            <w:tcW w:w="1080" w:type="dxa"/>
          </w:tcPr>
          <w:p w:rsidRPr="003A4145" w:rsidR="008959A4" w:rsidP="00717A84" w:rsidRDefault="008959A4" w14:paraId="666B495E" w14:textId="77777777">
            <w:pPr>
              <w:pStyle w:val="ALJBodyText"/>
              <w:keepNext/>
              <w:ind w:firstLine="0"/>
              <w:jc w:val="right"/>
              <w:rPr>
                <w:rFonts w:eastAsiaTheme="minorEastAsia" w:cstheme="minorBidi"/>
                <w:sz w:val="22"/>
                <w:szCs w:val="22"/>
              </w:rPr>
            </w:pPr>
            <w:r w:rsidRPr="00331F97">
              <w:rPr>
                <w:rFonts w:cs="Calibri"/>
                <w:color w:val="000000"/>
                <w:sz w:val="20"/>
              </w:rPr>
              <w:t>14</w:t>
            </w:r>
          </w:p>
        </w:tc>
        <w:tc>
          <w:tcPr>
            <w:tcW w:w="1170" w:type="dxa"/>
          </w:tcPr>
          <w:p w:rsidRPr="003A4145" w:rsidR="008959A4" w:rsidP="00717A84" w:rsidRDefault="008959A4" w14:paraId="3CEA9941" w14:textId="77777777">
            <w:pPr>
              <w:pStyle w:val="ALJBodyText"/>
              <w:keepNext/>
              <w:ind w:firstLine="0"/>
              <w:jc w:val="right"/>
              <w:rPr>
                <w:rFonts w:eastAsiaTheme="minorEastAsia" w:cstheme="minorBidi"/>
                <w:sz w:val="22"/>
                <w:szCs w:val="22"/>
              </w:rPr>
            </w:pPr>
            <w:r w:rsidRPr="00331F97">
              <w:rPr>
                <w:rFonts w:cs="Calibri"/>
                <w:color w:val="000000"/>
                <w:sz w:val="20"/>
              </w:rPr>
              <w:t>14</w:t>
            </w:r>
          </w:p>
        </w:tc>
        <w:tc>
          <w:tcPr>
            <w:tcW w:w="1080" w:type="dxa"/>
          </w:tcPr>
          <w:p w:rsidRPr="003A4145" w:rsidR="008959A4" w:rsidP="00717A84" w:rsidRDefault="008959A4" w14:paraId="0F0620FE" w14:textId="77777777">
            <w:pPr>
              <w:pStyle w:val="ALJBodyText"/>
              <w:keepNext/>
              <w:ind w:firstLine="0"/>
              <w:jc w:val="right"/>
              <w:rPr>
                <w:rFonts w:eastAsiaTheme="minorEastAsia" w:cstheme="minorBidi"/>
                <w:sz w:val="22"/>
                <w:szCs w:val="22"/>
              </w:rPr>
            </w:pPr>
            <w:r w:rsidRPr="00331F97">
              <w:rPr>
                <w:rFonts w:cs="Calibri"/>
                <w:color w:val="000000"/>
                <w:sz w:val="20"/>
              </w:rPr>
              <w:t>92</w:t>
            </w:r>
          </w:p>
        </w:tc>
      </w:tr>
      <w:tr w:rsidRPr="003A4145" w:rsidR="008959A4" w:rsidTr="00717A84" w14:paraId="45933037" w14:textId="77777777">
        <w:tc>
          <w:tcPr>
            <w:tcW w:w="1705" w:type="dxa"/>
          </w:tcPr>
          <w:p w:rsidRPr="003A4145" w:rsidR="008959A4" w:rsidP="00717A84" w:rsidRDefault="008959A4" w14:paraId="36F5CEAE" w14:textId="77777777">
            <w:pPr>
              <w:pStyle w:val="ALJBodyText"/>
              <w:keepNext/>
              <w:ind w:firstLine="0"/>
              <w:rPr>
                <w:rFonts w:eastAsiaTheme="minorEastAsia" w:cstheme="minorBidi"/>
                <w:sz w:val="22"/>
                <w:szCs w:val="22"/>
              </w:rPr>
            </w:pPr>
            <w:r>
              <w:rPr>
                <w:rFonts w:eastAsiaTheme="minorEastAsia" w:cstheme="minorBidi"/>
                <w:sz w:val="22"/>
                <w:szCs w:val="22"/>
              </w:rPr>
              <w:t>Bear Valley</w:t>
            </w:r>
          </w:p>
        </w:tc>
        <w:tc>
          <w:tcPr>
            <w:tcW w:w="1170" w:type="dxa"/>
          </w:tcPr>
          <w:p w:rsidRPr="003A4145" w:rsidR="008959A4" w:rsidP="00717A84" w:rsidRDefault="008959A4" w14:paraId="0F06CAD9" w14:textId="77777777">
            <w:pPr>
              <w:pStyle w:val="ALJBodyText"/>
              <w:keepNext/>
              <w:ind w:firstLine="0"/>
              <w:jc w:val="right"/>
              <w:rPr>
                <w:rFonts w:eastAsiaTheme="minorEastAsia" w:cstheme="minorBidi"/>
                <w:sz w:val="22"/>
                <w:szCs w:val="22"/>
              </w:rPr>
            </w:pPr>
            <w:r w:rsidRPr="00740E05">
              <w:rPr>
                <w:rFonts w:cs="Calibri"/>
                <w:color w:val="000000"/>
                <w:sz w:val="20"/>
              </w:rPr>
              <w:t>144</w:t>
            </w:r>
          </w:p>
        </w:tc>
        <w:tc>
          <w:tcPr>
            <w:tcW w:w="1080" w:type="dxa"/>
          </w:tcPr>
          <w:p w:rsidRPr="003A4145" w:rsidR="008959A4" w:rsidP="00717A84" w:rsidRDefault="008959A4" w14:paraId="12A08DF3" w14:textId="77777777">
            <w:pPr>
              <w:pStyle w:val="ALJBodyText"/>
              <w:keepNext/>
              <w:ind w:firstLine="0"/>
              <w:jc w:val="right"/>
              <w:rPr>
                <w:rFonts w:eastAsiaTheme="minorEastAsia" w:cstheme="minorBidi"/>
                <w:sz w:val="22"/>
                <w:szCs w:val="22"/>
              </w:rPr>
            </w:pPr>
            <w:r w:rsidRPr="00331F97">
              <w:rPr>
                <w:rFonts w:cs="Calibri"/>
                <w:color w:val="000000"/>
                <w:sz w:val="20"/>
              </w:rPr>
              <w:t>90</w:t>
            </w:r>
          </w:p>
        </w:tc>
        <w:tc>
          <w:tcPr>
            <w:tcW w:w="1080" w:type="dxa"/>
          </w:tcPr>
          <w:p w:rsidRPr="003A4145" w:rsidR="008959A4" w:rsidP="00717A84" w:rsidRDefault="008959A4" w14:paraId="34724FB6" w14:textId="77777777">
            <w:pPr>
              <w:pStyle w:val="ALJBodyText"/>
              <w:keepNext/>
              <w:ind w:firstLine="0"/>
              <w:jc w:val="right"/>
              <w:rPr>
                <w:rFonts w:eastAsiaTheme="minorEastAsia" w:cstheme="minorBidi"/>
                <w:sz w:val="22"/>
                <w:szCs w:val="22"/>
              </w:rPr>
            </w:pPr>
            <w:r w:rsidRPr="00331F97">
              <w:rPr>
                <w:rFonts w:cs="Calibri"/>
                <w:color w:val="000000"/>
                <w:sz w:val="20"/>
              </w:rPr>
              <w:t>90</w:t>
            </w:r>
          </w:p>
        </w:tc>
        <w:tc>
          <w:tcPr>
            <w:tcW w:w="1080" w:type="dxa"/>
          </w:tcPr>
          <w:p w:rsidRPr="003A4145" w:rsidR="008959A4" w:rsidP="00717A84" w:rsidRDefault="008959A4" w14:paraId="2068C7F2" w14:textId="77777777">
            <w:pPr>
              <w:pStyle w:val="ALJBodyText"/>
              <w:keepNext/>
              <w:ind w:firstLine="0"/>
              <w:jc w:val="right"/>
              <w:rPr>
                <w:rFonts w:eastAsiaTheme="minorEastAsia" w:cstheme="minorBidi"/>
                <w:sz w:val="22"/>
                <w:szCs w:val="22"/>
              </w:rPr>
            </w:pPr>
            <w:r w:rsidRPr="00331F97">
              <w:rPr>
                <w:rFonts w:cs="Calibri"/>
                <w:color w:val="000000"/>
                <w:sz w:val="20"/>
              </w:rPr>
              <w:t>90</w:t>
            </w:r>
          </w:p>
        </w:tc>
        <w:tc>
          <w:tcPr>
            <w:tcW w:w="1080" w:type="dxa"/>
          </w:tcPr>
          <w:p w:rsidRPr="003A4145" w:rsidR="008959A4" w:rsidP="00717A84" w:rsidRDefault="008959A4" w14:paraId="6ECB45AF" w14:textId="77777777">
            <w:pPr>
              <w:pStyle w:val="ALJBodyText"/>
              <w:keepNext/>
              <w:ind w:firstLine="0"/>
              <w:jc w:val="right"/>
              <w:rPr>
                <w:rFonts w:eastAsiaTheme="minorEastAsia" w:cstheme="minorBidi"/>
                <w:sz w:val="22"/>
                <w:szCs w:val="22"/>
              </w:rPr>
            </w:pPr>
            <w:r w:rsidRPr="00331F97">
              <w:rPr>
                <w:rFonts w:cs="Calibri"/>
                <w:color w:val="000000"/>
                <w:sz w:val="20"/>
              </w:rPr>
              <w:t>90</w:t>
            </w:r>
          </w:p>
        </w:tc>
        <w:tc>
          <w:tcPr>
            <w:tcW w:w="1170" w:type="dxa"/>
          </w:tcPr>
          <w:p w:rsidRPr="003A4145" w:rsidR="008959A4" w:rsidP="00717A84" w:rsidRDefault="008959A4" w14:paraId="073D4250" w14:textId="77777777">
            <w:pPr>
              <w:pStyle w:val="ALJBodyText"/>
              <w:keepNext/>
              <w:ind w:firstLine="0"/>
              <w:jc w:val="right"/>
              <w:rPr>
                <w:rFonts w:eastAsiaTheme="minorEastAsia" w:cstheme="minorBidi"/>
                <w:sz w:val="22"/>
                <w:szCs w:val="22"/>
              </w:rPr>
            </w:pPr>
            <w:r w:rsidRPr="00331F97">
              <w:rPr>
                <w:rFonts w:cs="Calibri"/>
                <w:color w:val="000000"/>
                <w:sz w:val="20"/>
              </w:rPr>
              <w:t>90</w:t>
            </w:r>
          </w:p>
        </w:tc>
        <w:tc>
          <w:tcPr>
            <w:tcW w:w="1080" w:type="dxa"/>
          </w:tcPr>
          <w:p w:rsidRPr="003A4145" w:rsidR="008959A4" w:rsidP="00717A84" w:rsidRDefault="008959A4" w14:paraId="5425B4BA" w14:textId="77777777">
            <w:pPr>
              <w:pStyle w:val="ALJBodyText"/>
              <w:keepNext/>
              <w:ind w:firstLine="0"/>
              <w:jc w:val="right"/>
              <w:rPr>
                <w:rFonts w:eastAsiaTheme="minorEastAsia" w:cstheme="minorBidi"/>
                <w:sz w:val="22"/>
                <w:szCs w:val="22"/>
              </w:rPr>
            </w:pPr>
            <w:r w:rsidRPr="00331F97">
              <w:rPr>
                <w:rFonts w:cs="Calibri"/>
                <w:color w:val="000000"/>
                <w:sz w:val="20"/>
              </w:rPr>
              <w:t>594</w:t>
            </w:r>
          </w:p>
        </w:tc>
      </w:tr>
      <w:tr w:rsidRPr="003A4145" w:rsidR="008959A4" w:rsidTr="00717A84" w14:paraId="5C2E8446" w14:textId="77777777">
        <w:tc>
          <w:tcPr>
            <w:tcW w:w="1705" w:type="dxa"/>
          </w:tcPr>
          <w:p w:rsidRPr="003A4145" w:rsidR="008959A4" w:rsidP="00717A84" w:rsidRDefault="008959A4" w14:paraId="3AAD965B" w14:textId="77777777">
            <w:pPr>
              <w:pStyle w:val="ALJBodyText"/>
              <w:keepNext/>
              <w:ind w:firstLine="0"/>
              <w:rPr>
                <w:rFonts w:eastAsiaTheme="minorEastAsia" w:cstheme="minorBidi"/>
                <w:sz w:val="22"/>
                <w:szCs w:val="22"/>
              </w:rPr>
            </w:pPr>
            <w:r>
              <w:rPr>
                <w:rFonts w:eastAsiaTheme="minorEastAsia" w:cstheme="minorBidi"/>
                <w:sz w:val="22"/>
                <w:szCs w:val="22"/>
              </w:rPr>
              <w:t>Liberty</w:t>
            </w:r>
          </w:p>
        </w:tc>
        <w:tc>
          <w:tcPr>
            <w:tcW w:w="1170" w:type="dxa"/>
          </w:tcPr>
          <w:p w:rsidRPr="003A4145" w:rsidR="008959A4" w:rsidP="00717A84" w:rsidRDefault="008959A4" w14:paraId="306DFBDF" w14:textId="77777777">
            <w:pPr>
              <w:pStyle w:val="ALJBodyText"/>
              <w:keepNext/>
              <w:ind w:firstLine="0"/>
              <w:jc w:val="right"/>
              <w:rPr>
                <w:rFonts w:eastAsiaTheme="minorEastAsia" w:cstheme="minorBidi"/>
                <w:sz w:val="22"/>
                <w:szCs w:val="22"/>
              </w:rPr>
            </w:pPr>
            <w:r w:rsidRPr="00740E05">
              <w:rPr>
                <w:rFonts w:cs="Calibri"/>
                <w:color w:val="000000"/>
                <w:sz w:val="20"/>
              </w:rPr>
              <w:t>160</w:t>
            </w:r>
          </w:p>
        </w:tc>
        <w:tc>
          <w:tcPr>
            <w:tcW w:w="1080" w:type="dxa"/>
          </w:tcPr>
          <w:p w:rsidRPr="003A4145" w:rsidR="008959A4" w:rsidP="00717A84" w:rsidRDefault="008959A4" w14:paraId="0664798D" w14:textId="77777777">
            <w:pPr>
              <w:pStyle w:val="ALJBodyText"/>
              <w:keepNext/>
              <w:ind w:firstLine="0"/>
              <w:jc w:val="right"/>
              <w:rPr>
                <w:rFonts w:eastAsiaTheme="minorEastAsia" w:cstheme="minorBidi"/>
                <w:sz w:val="22"/>
                <w:szCs w:val="22"/>
              </w:rPr>
            </w:pPr>
            <w:r w:rsidRPr="00331F97">
              <w:rPr>
                <w:rFonts w:cs="Calibri"/>
                <w:color w:val="000000"/>
                <w:sz w:val="20"/>
              </w:rPr>
              <w:t>162</w:t>
            </w:r>
          </w:p>
        </w:tc>
        <w:tc>
          <w:tcPr>
            <w:tcW w:w="1080" w:type="dxa"/>
          </w:tcPr>
          <w:p w:rsidRPr="003A4145" w:rsidR="008959A4" w:rsidP="00717A84" w:rsidRDefault="0010795D" w14:paraId="5797BA0A" w14:textId="768CC786">
            <w:pPr>
              <w:pStyle w:val="ALJBodyText"/>
              <w:keepNext/>
              <w:ind w:firstLine="0"/>
              <w:jc w:val="right"/>
              <w:rPr>
                <w:rFonts w:eastAsiaTheme="minorEastAsia" w:cstheme="minorBidi"/>
                <w:sz w:val="22"/>
                <w:szCs w:val="22"/>
              </w:rPr>
            </w:pPr>
            <w:r>
              <w:rPr>
                <w:rFonts w:cs="Calibri"/>
                <w:color w:val="000000"/>
                <w:sz w:val="20"/>
              </w:rPr>
              <w:t>162</w:t>
            </w:r>
          </w:p>
        </w:tc>
        <w:tc>
          <w:tcPr>
            <w:tcW w:w="1080" w:type="dxa"/>
          </w:tcPr>
          <w:p w:rsidRPr="003A4145" w:rsidR="008959A4" w:rsidP="00717A84" w:rsidRDefault="008959A4" w14:paraId="72C8E4BA" w14:textId="77777777">
            <w:pPr>
              <w:pStyle w:val="ALJBodyText"/>
              <w:keepNext/>
              <w:ind w:firstLine="0"/>
              <w:jc w:val="right"/>
              <w:rPr>
                <w:rFonts w:eastAsiaTheme="minorEastAsia" w:cstheme="minorBidi"/>
                <w:sz w:val="22"/>
                <w:szCs w:val="22"/>
              </w:rPr>
            </w:pPr>
            <w:r w:rsidRPr="00331F97">
              <w:rPr>
                <w:rFonts w:cs="Calibri"/>
                <w:color w:val="000000"/>
                <w:sz w:val="20"/>
              </w:rPr>
              <w:t>166</w:t>
            </w:r>
          </w:p>
        </w:tc>
        <w:tc>
          <w:tcPr>
            <w:tcW w:w="1080" w:type="dxa"/>
          </w:tcPr>
          <w:p w:rsidRPr="003A4145" w:rsidR="008959A4" w:rsidP="00717A84" w:rsidRDefault="008959A4" w14:paraId="1FFB9E45" w14:textId="77777777">
            <w:pPr>
              <w:pStyle w:val="ALJBodyText"/>
              <w:keepNext/>
              <w:ind w:firstLine="0"/>
              <w:jc w:val="right"/>
              <w:rPr>
                <w:rFonts w:eastAsiaTheme="minorEastAsia" w:cstheme="minorBidi"/>
                <w:sz w:val="22"/>
                <w:szCs w:val="22"/>
              </w:rPr>
            </w:pPr>
            <w:r w:rsidRPr="00331F97">
              <w:rPr>
                <w:rFonts w:cs="Calibri"/>
                <w:color w:val="000000"/>
                <w:sz w:val="20"/>
              </w:rPr>
              <w:t>166</w:t>
            </w:r>
          </w:p>
        </w:tc>
        <w:tc>
          <w:tcPr>
            <w:tcW w:w="1170" w:type="dxa"/>
          </w:tcPr>
          <w:p w:rsidRPr="003A4145" w:rsidR="008959A4" w:rsidP="00717A84" w:rsidRDefault="008959A4" w14:paraId="12F389B9" w14:textId="77777777">
            <w:pPr>
              <w:pStyle w:val="ALJBodyText"/>
              <w:keepNext/>
              <w:ind w:firstLine="0"/>
              <w:jc w:val="right"/>
              <w:rPr>
                <w:rFonts w:eastAsiaTheme="minorEastAsia" w:cstheme="minorBidi"/>
                <w:sz w:val="22"/>
                <w:szCs w:val="22"/>
              </w:rPr>
            </w:pPr>
            <w:r w:rsidRPr="00331F97">
              <w:rPr>
                <w:rFonts w:cs="Calibri"/>
                <w:color w:val="000000"/>
                <w:sz w:val="20"/>
              </w:rPr>
              <w:t>166</w:t>
            </w:r>
          </w:p>
        </w:tc>
        <w:tc>
          <w:tcPr>
            <w:tcW w:w="1080" w:type="dxa"/>
          </w:tcPr>
          <w:p w:rsidRPr="003A4145" w:rsidR="008959A4" w:rsidP="00717A84" w:rsidRDefault="005D2411" w14:paraId="23F72AB7" w14:textId="11CF63C8">
            <w:pPr>
              <w:pStyle w:val="ALJBodyText"/>
              <w:keepNext/>
              <w:ind w:firstLine="0"/>
              <w:jc w:val="right"/>
              <w:rPr>
                <w:rFonts w:eastAsiaTheme="minorEastAsia" w:cstheme="minorBidi"/>
                <w:sz w:val="22"/>
                <w:szCs w:val="22"/>
              </w:rPr>
            </w:pPr>
            <w:r w:rsidRPr="00331F97">
              <w:rPr>
                <w:rFonts w:cs="Calibri"/>
                <w:color w:val="000000"/>
                <w:sz w:val="20"/>
              </w:rPr>
              <w:t>98</w:t>
            </w:r>
            <w:r>
              <w:rPr>
                <w:rFonts w:cs="Calibri"/>
                <w:color w:val="000000"/>
                <w:sz w:val="20"/>
              </w:rPr>
              <w:t>1</w:t>
            </w:r>
          </w:p>
        </w:tc>
      </w:tr>
      <w:tr w:rsidRPr="003A4145" w:rsidR="008959A4" w:rsidTr="00717A84" w14:paraId="28395A3C" w14:textId="77777777">
        <w:tc>
          <w:tcPr>
            <w:tcW w:w="1705" w:type="dxa"/>
          </w:tcPr>
          <w:p w:rsidRPr="003A4145" w:rsidR="008959A4" w:rsidP="00717A84" w:rsidRDefault="008959A4" w14:paraId="7F954A71" w14:textId="77777777">
            <w:pPr>
              <w:pStyle w:val="ALJBodyText"/>
              <w:keepNext/>
              <w:ind w:firstLine="0"/>
              <w:rPr>
                <w:rFonts w:eastAsiaTheme="minorEastAsia" w:cstheme="minorBidi"/>
                <w:sz w:val="22"/>
                <w:szCs w:val="22"/>
              </w:rPr>
            </w:pPr>
            <w:r>
              <w:rPr>
                <w:rFonts w:eastAsiaTheme="minorEastAsia" w:cstheme="minorBidi"/>
                <w:sz w:val="22"/>
                <w:szCs w:val="22"/>
              </w:rPr>
              <w:t>PacifiCorp</w:t>
            </w:r>
          </w:p>
        </w:tc>
        <w:tc>
          <w:tcPr>
            <w:tcW w:w="1170" w:type="dxa"/>
          </w:tcPr>
          <w:p w:rsidRPr="003A4145" w:rsidR="008959A4" w:rsidP="00717A84" w:rsidRDefault="008959A4" w14:paraId="1D55C92A" w14:textId="77777777">
            <w:pPr>
              <w:pStyle w:val="ALJBodyText"/>
              <w:keepNext/>
              <w:ind w:firstLine="0"/>
              <w:jc w:val="right"/>
              <w:rPr>
                <w:rFonts w:eastAsiaTheme="minorEastAsia" w:cstheme="minorBidi"/>
                <w:sz w:val="22"/>
                <w:szCs w:val="22"/>
              </w:rPr>
            </w:pPr>
            <w:r w:rsidRPr="00740E05">
              <w:rPr>
                <w:rFonts w:cs="Calibri"/>
                <w:color w:val="000000"/>
                <w:sz w:val="20"/>
              </w:rPr>
              <w:t>150</w:t>
            </w:r>
          </w:p>
        </w:tc>
        <w:tc>
          <w:tcPr>
            <w:tcW w:w="1080" w:type="dxa"/>
          </w:tcPr>
          <w:p w:rsidRPr="003A4145" w:rsidR="008959A4" w:rsidP="00717A84" w:rsidRDefault="008959A4" w14:paraId="7F130A53" w14:textId="77777777">
            <w:pPr>
              <w:pStyle w:val="ALJBodyText"/>
              <w:keepNext/>
              <w:ind w:firstLine="0"/>
              <w:jc w:val="right"/>
              <w:rPr>
                <w:rFonts w:eastAsiaTheme="minorEastAsia" w:cstheme="minorBidi"/>
                <w:sz w:val="22"/>
                <w:szCs w:val="22"/>
              </w:rPr>
            </w:pPr>
            <w:r w:rsidRPr="00331F97">
              <w:rPr>
                <w:rFonts w:cs="Calibri"/>
                <w:color w:val="000000"/>
                <w:sz w:val="20"/>
              </w:rPr>
              <w:t>121</w:t>
            </w:r>
          </w:p>
        </w:tc>
        <w:tc>
          <w:tcPr>
            <w:tcW w:w="1080" w:type="dxa"/>
          </w:tcPr>
          <w:p w:rsidRPr="003A4145" w:rsidR="008959A4" w:rsidP="00717A84" w:rsidRDefault="008959A4" w14:paraId="18800997" w14:textId="77777777">
            <w:pPr>
              <w:pStyle w:val="ALJBodyText"/>
              <w:keepNext/>
              <w:ind w:firstLine="0"/>
              <w:jc w:val="right"/>
              <w:rPr>
                <w:rFonts w:eastAsiaTheme="minorEastAsia" w:cstheme="minorBidi"/>
                <w:sz w:val="22"/>
                <w:szCs w:val="22"/>
              </w:rPr>
            </w:pPr>
            <w:r w:rsidRPr="00331F97">
              <w:rPr>
                <w:rFonts w:cs="Calibri"/>
                <w:color w:val="000000"/>
                <w:sz w:val="20"/>
              </w:rPr>
              <w:t>127</w:t>
            </w:r>
          </w:p>
        </w:tc>
        <w:tc>
          <w:tcPr>
            <w:tcW w:w="1080" w:type="dxa"/>
          </w:tcPr>
          <w:p w:rsidRPr="003A4145" w:rsidR="008959A4" w:rsidP="00717A84" w:rsidRDefault="008959A4" w14:paraId="02FCAE04" w14:textId="77777777">
            <w:pPr>
              <w:pStyle w:val="ALJBodyText"/>
              <w:keepNext/>
              <w:ind w:firstLine="0"/>
              <w:jc w:val="right"/>
              <w:rPr>
                <w:rFonts w:eastAsiaTheme="minorEastAsia" w:cstheme="minorBidi"/>
                <w:sz w:val="22"/>
                <w:szCs w:val="22"/>
              </w:rPr>
            </w:pPr>
            <w:r w:rsidRPr="00331F97">
              <w:rPr>
                <w:rFonts w:cs="Calibri"/>
                <w:color w:val="000000"/>
                <w:sz w:val="20"/>
              </w:rPr>
              <w:t>132</w:t>
            </w:r>
          </w:p>
        </w:tc>
        <w:tc>
          <w:tcPr>
            <w:tcW w:w="1080" w:type="dxa"/>
          </w:tcPr>
          <w:p w:rsidRPr="003A4145" w:rsidR="008959A4" w:rsidP="00717A84" w:rsidRDefault="008959A4" w14:paraId="32AC7FDC" w14:textId="77777777">
            <w:pPr>
              <w:pStyle w:val="ALJBodyText"/>
              <w:keepNext/>
              <w:ind w:firstLine="0"/>
              <w:jc w:val="right"/>
              <w:rPr>
                <w:rFonts w:eastAsiaTheme="minorEastAsia" w:cstheme="minorBidi"/>
                <w:sz w:val="22"/>
                <w:szCs w:val="22"/>
              </w:rPr>
            </w:pPr>
            <w:r w:rsidRPr="00331F97">
              <w:rPr>
                <w:rFonts w:cs="Calibri"/>
                <w:color w:val="000000"/>
                <w:sz w:val="20"/>
              </w:rPr>
              <w:t>139</w:t>
            </w:r>
          </w:p>
        </w:tc>
        <w:tc>
          <w:tcPr>
            <w:tcW w:w="1170" w:type="dxa"/>
          </w:tcPr>
          <w:p w:rsidRPr="003A4145" w:rsidR="008959A4" w:rsidP="00717A84" w:rsidRDefault="008959A4" w14:paraId="1EB1DB71" w14:textId="77777777">
            <w:pPr>
              <w:pStyle w:val="ALJBodyText"/>
              <w:keepNext/>
              <w:ind w:firstLine="0"/>
              <w:jc w:val="right"/>
              <w:rPr>
                <w:rFonts w:eastAsiaTheme="minorEastAsia" w:cstheme="minorBidi"/>
                <w:sz w:val="22"/>
                <w:szCs w:val="22"/>
              </w:rPr>
            </w:pPr>
            <w:r w:rsidRPr="00331F97">
              <w:rPr>
                <w:rFonts w:cs="Calibri"/>
                <w:color w:val="000000"/>
                <w:sz w:val="20"/>
              </w:rPr>
              <w:t>144</w:t>
            </w:r>
          </w:p>
        </w:tc>
        <w:tc>
          <w:tcPr>
            <w:tcW w:w="1080" w:type="dxa"/>
          </w:tcPr>
          <w:p w:rsidRPr="003A4145" w:rsidR="008959A4" w:rsidP="00717A84" w:rsidRDefault="008959A4" w14:paraId="283C313B" w14:textId="77777777">
            <w:pPr>
              <w:pStyle w:val="ALJBodyText"/>
              <w:keepNext/>
              <w:ind w:firstLine="0"/>
              <w:jc w:val="right"/>
              <w:rPr>
                <w:rFonts w:eastAsiaTheme="minorEastAsia" w:cstheme="minorBidi"/>
                <w:sz w:val="22"/>
                <w:szCs w:val="22"/>
              </w:rPr>
            </w:pPr>
            <w:r w:rsidRPr="00331F97">
              <w:rPr>
                <w:rFonts w:cs="Calibri"/>
                <w:color w:val="000000"/>
                <w:sz w:val="20"/>
              </w:rPr>
              <w:t>812</w:t>
            </w:r>
          </w:p>
        </w:tc>
      </w:tr>
      <w:tr w:rsidRPr="003A4145" w:rsidR="008959A4" w:rsidTr="00717A84" w14:paraId="4CB43C0E" w14:textId="77777777">
        <w:tc>
          <w:tcPr>
            <w:tcW w:w="1705" w:type="dxa"/>
          </w:tcPr>
          <w:p w:rsidR="008959A4" w:rsidP="00717A84" w:rsidRDefault="008959A4" w14:paraId="3B47734F" w14:textId="77777777">
            <w:pPr>
              <w:pStyle w:val="ALJBodyText"/>
              <w:keepNext/>
              <w:ind w:firstLine="0"/>
              <w:rPr>
                <w:rFonts w:eastAsiaTheme="minorEastAsia" w:cstheme="minorBidi"/>
                <w:sz w:val="22"/>
                <w:szCs w:val="22"/>
              </w:rPr>
            </w:pPr>
            <w:r>
              <w:rPr>
                <w:rFonts w:eastAsiaTheme="minorEastAsia" w:cstheme="minorBidi"/>
                <w:sz w:val="22"/>
                <w:szCs w:val="22"/>
              </w:rPr>
              <w:t>Southwest Gas</w:t>
            </w:r>
          </w:p>
        </w:tc>
        <w:tc>
          <w:tcPr>
            <w:tcW w:w="1170" w:type="dxa"/>
          </w:tcPr>
          <w:p w:rsidR="008959A4" w:rsidP="00717A84" w:rsidRDefault="008959A4" w14:paraId="3F1F6A6D" w14:textId="77777777">
            <w:pPr>
              <w:pStyle w:val="ALJBodyText"/>
              <w:keepNext/>
              <w:ind w:firstLine="0"/>
              <w:jc w:val="right"/>
              <w:rPr>
                <w:rFonts w:eastAsiaTheme="minorEastAsia" w:cstheme="minorBidi"/>
                <w:sz w:val="22"/>
                <w:szCs w:val="22"/>
              </w:rPr>
            </w:pPr>
            <w:r w:rsidRPr="00740E05">
              <w:rPr>
                <w:rFonts w:cs="Calibri"/>
                <w:color w:val="000000"/>
                <w:sz w:val="20"/>
              </w:rPr>
              <w:t>2,116</w:t>
            </w:r>
          </w:p>
        </w:tc>
        <w:tc>
          <w:tcPr>
            <w:tcW w:w="1080" w:type="dxa"/>
          </w:tcPr>
          <w:p w:rsidRPr="003A4145" w:rsidR="008959A4" w:rsidP="00717A84" w:rsidRDefault="008959A4" w14:paraId="3342B170" w14:textId="77777777">
            <w:pPr>
              <w:pStyle w:val="ALJBodyText"/>
              <w:keepNext/>
              <w:ind w:firstLine="0"/>
              <w:jc w:val="right"/>
              <w:rPr>
                <w:rFonts w:eastAsiaTheme="minorEastAsia" w:cstheme="minorBidi"/>
                <w:sz w:val="22"/>
                <w:szCs w:val="22"/>
              </w:rPr>
            </w:pPr>
            <w:r w:rsidRPr="00331F97">
              <w:rPr>
                <w:rFonts w:cs="Calibri"/>
                <w:color w:val="000000"/>
                <w:sz w:val="20"/>
              </w:rPr>
              <w:t>1,800</w:t>
            </w:r>
          </w:p>
        </w:tc>
        <w:tc>
          <w:tcPr>
            <w:tcW w:w="1080" w:type="dxa"/>
          </w:tcPr>
          <w:p w:rsidRPr="272DC7B3" w:rsidR="008959A4" w:rsidP="00717A84" w:rsidRDefault="008959A4" w14:paraId="209DE75D" w14:textId="77777777">
            <w:pPr>
              <w:pStyle w:val="ALJBodyText"/>
              <w:keepNext/>
              <w:ind w:firstLine="0"/>
              <w:jc w:val="right"/>
              <w:rPr>
                <w:rFonts w:eastAsiaTheme="minorEastAsia" w:cstheme="minorBidi"/>
                <w:sz w:val="22"/>
                <w:szCs w:val="22"/>
              </w:rPr>
            </w:pPr>
            <w:r w:rsidRPr="00331F97">
              <w:rPr>
                <w:rFonts w:cs="Calibri"/>
                <w:color w:val="000000"/>
                <w:sz w:val="20"/>
              </w:rPr>
              <w:t>1,800</w:t>
            </w:r>
          </w:p>
        </w:tc>
        <w:tc>
          <w:tcPr>
            <w:tcW w:w="1080" w:type="dxa"/>
          </w:tcPr>
          <w:p w:rsidRPr="272DC7B3" w:rsidR="008959A4" w:rsidP="00717A84" w:rsidRDefault="008959A4" w14:paraId="64C18DCF" w14:textId="77777777">
            <w:pPr>
              <w:pStyle w:val="ALJBodyText"/>
              <w:keepNext/>
              <w:ind w:firstLine="0"/>
              <w:jc w:val="right"/>
              <w:rPr>
                <w:rFonts w:eastAsiaTheme="minorEastAsia" w:cstheme="minorBidi"/>
                <w:sz w:val="22"/>
                <w:szCs w:val="22"/>
              </w:rPr>
            </w:pPr>
            <w:r w:rsidRPr="00331F97">
              <w:rPr>
                <w:rFonts w:cs="Calibri"/>
                <w:color w:val="000000"/>
                <w:sz w:val="20"/>
              </w:rPr>
              <w:t>1,800</w:t>
            </w:r>
          </w:p>
        </w:tc>
        <w:tc>
          <w:tcPr>
            <w:tcW w:w="1080" w:type="dxa"/>
          </w:tcPr>
          <w:p w:rsidRPr="272DC7B3" w:rsidR="008959A4" w:rsidP="00717A84" w:rsidRDefault="008959A4" w14:paraId="706A32C9" w14:textId="77777777">
            <w:pPr>
              <w:pStyle w:val="ALJBodyText"/>
              <w:keepNext/>
              <w:ind w:firstLine="0"/>
              <w:jc w:val="right"/>
              <w:rPr>
                <w:rFonts w:eastAsiaTheme="minorEastAsia" w:cstheme="minorBidi"/>
                <w:sz w:val="22"/>
                <w:szCs w:val="22"/>
              </w:rPr>
            </w:pPr>
            <w:r w:rsidRPr="00331F97">
              <w:rPr>
                <w:rFonts w:cs="Calibri"/>
                <w:color w:val="000000"/>
                <w:sz w:val="20"/>
              </w:rPr>
              <w:t>1,800</w:t>
            </w:r>
          </w:p>
        </w:tc>
        <w:tc>
          <w:tcPr>
            <w:tcW w:w="1170" w:type="dxa"/>
          </w:tcPr>
          <w:p w:rsidRPr="272DC7B3" w:rsidR="008959A4" w:rsidP="00717A84" w:rsidRDefault="008959A4" w14:paraId="352B3B23" w14:textId="77777777">
            <w:pPr>
              <w:pStyle w:val="ALJBodyText"/>
              <w:keepNext/>
              <w:ind w:firstLine="0"/>
              <w:jc w:val="right"/>
              <w:rPr>
                <w:rFonts w:eastAsiaTheme="minorEastAsia" w:cstheme="minorBidi"/>
                <w:sz w:val="22"/>
                <w:szCs w:val="22"/>
              </w:rPr>
            </w:pPr>
            <w:r w:rsidRPr="00331F97">
              <w:rPr>
                <w:rFonts w:cs="Calibri"/>
                <w:color w:val="000000"/>
                <w:sz w:val="20"/>
              </w:rPr>
              <w:t>1,800</w:t>
            </w:r>
          </w:p>
        </w:tc>
        <w:tc>
          <w:tcPr>
            <w:tcW w:w="1080" w:type="dxa"/>
          </w:tcPr>
          <w:p w:rsidRPr="272DC7B3" w:rsidR="008959A4" w:rsidP="00717A84" w:rsidRDefault="008959A4" w14:paraId="568879C4" w14:textId="77777777">
            <w:pPr>
              <w:pStyle w:val="ALJBodyText"/>
              <w:keepNext/>
              <w:ind w:firstLine="0"/>
              <w:jc w:val="right"/>
              <w:rPr>
                <w:rFonts w:eastAsiaTheme="minorEastAsia" w:cstheme="minorBidi"/>
                <w:sz w:val="22"/>
                <w:szCs w:val="22"/>
              </w:rPr>
            </w:pPr>
            <w:r w:rsidRPr="00331F97">
              <w:rPr>
                <w:rFonts w:cs="Calibri"/>
                <w:color w:val="000000"/>
                <w:sz w:val="20"/>
              </w:rPr>
              <w:t>11,116</w:t>
            </w:r>
          </w:p>
        </w:tc>
      </w:tr>
      <w:tr w:rsidRPr="003A4145" w:rsidR="008959A4" w:rsidTr="00717A84" w14:paraId="51F863B0" w14:textId="77777777">
        <w:trPr>
          <w:trHeight w:val="269"/>
        </w:trPr>
        <w:tc>
          <w:tcPr>
            <w:tcW w:w="1705" w:type="dxa"/>
          </w:tcPr>
          <w:p w:rsidRPr="00642B10" w:rsidR="008959A4" w:rsidP="00717A84" w:rsidRDefault="008959A4" w14:paraId="3970B57C" w14:textId="77777777">
            <w:pPr>
              <w:pStyle w:val="ALJBodyText"/>
              <w:keepNext/>
              <w:ind w:firstLine="0"/>
              <w:rPr>
                <w:rFonts w:eastAsiaTheme="minorEastAsia" w:cstheme="minorBidi"/>
                <w:b/>
                <w:bCs/>
                <w:sz w:val="22"/>
                <w:szCs w:val="22"/>
              </w:rPr>
            </w:pPr>
            <w:r w:rsidRPr="00642B10">
              <w:rPr>
                <w:rFonts w:eastAsiaTheme="minorEastAsia" w:cstheme="minorBidi"/>
                <w:b/>
                <w:bCs/>
                <w:sz w:val="22"/>
                <w:szCs w:val="22"/>
              </w:rPr>
              <w:t>Total</w:t>
            </w:r>
          </w:p>
        </w:tc>
        <w:tc>
          <w:tcPr>
            <w:tcW w:w="1170" w:type="dxa"/>
          </w:tcPr>
          <w:p w:rsidRPr="00642B10" w:rsidR="008959A4" w:rsidP="00717A84" w:rsidRDefault="008959A4" w14:paraId="33EF2C11" w14:textId="77777777">
            <w:pPr>
              <w:pStyle w:val="ALJBodyText"/>
              <w:keepNext/>
              <w:ind w:firstLine="0"/>
              <w:jc w:val="right"/>
              <w:rPr>
                <w:rFonts w:eastAsiaTheme="minorEastAsia" w:cstheme="minorBidi"/>
                <w:b/>
                <w:bCs/>
                <w:sz w:val="22"/>
                <w:szCs w:val="22"/>
              </w:rPr>
            </w:pPr>
            <w:r w:rsidRPr="003342C2">
              <w:rPr>
                <w:rFonts w:cs="Calibri"/>
                <w:b/>
                <w:bCs/>
                <w:color w:val="000000"/>
                <w:sz w:val="20"/>
              </w:rPr>
              <w:t>2,590</w:t>
            </w:r>
          </w:p>
        </w:tc>
        <w:tc>
          <w:tcPr>
            <w:tcW w:w="1080" w:type="dxa"/>
          </w:tcPr>
          <w:p w:rsidRPr="00642B10" w:rsidR="008959A4" w:rsidP="00717A84" w:rsidRDefault="008959A4" w14:paraId="797A4FBB" w14:textId="77777777">
            <w:pPr>
              <w:pStyle w:val="ALJBodyText"/>
              <w:keepNext/>
              <w:ind w:firstLine="0"/>
              <w:jc w:val="right"/>
              <w:rPr>
                <w:rFonts w:eastAsiaTheme="minorEastAsia" w:cstheme="minorBidi"/>
                <w:b/>
                <w:bCs/>
                <w:sz w:val="22"/>
                <w:szCs w:val="22"/>
              </w:rPr>
            </w:pPr>
            <w:r w:rsidRPr="00642B10">
              <w:rPr>
                <w:rFonts w:cs="Calibri"/>
                <w:b/>
                <w:bCs/>
                <w:color w:val="000000"/>
                <w:sz w:val="20"/>
              </w:rPr>
              <w:t>2,187</w:t>
            </w:r>
          </w:p>
        </w:tc>
        <w:tc>
          <w:tcPr>
            <w:tcW w:w="1080" w:type="dxa"/>
          </w:tcPr>
          <w:p w:rsidRPr="00642B10" w:rsidR="008959A4" w:rsidP="00717A84" w:rsidRDefault="00A3364C" w14:paraId="6451A4AE" w14:textId="5C33AC1F">
            <w:pPr>
              <w:pStyle w:val="ALJBodyText"/>
              <w:keepNext/>
              <w:ind w:firstLine="0"/>
              <w:jc w:val="right"/>
              <w:rPr>
                <w:rFonts w:eastAsiaTheme="minorEastAsia" w:cstheme="minorBidi"/>
                <w:b/>
                <w:bCs/>
                <w:sz w:val="22"/>
                <w:szCs w:val="22"/>
              </w:rPr>
            </w:pPr>
            <w:r w:rsidRPr="00642B10">
              <w:rPr>
                <w:rFonts w:cs="Calibri"/>
                <w:b/>
                <w:bCs/>
                <w:color w:val="000000"/>
                <w:sz w:val="20"/>
              </w:rPr>
              <w:t>2,19</w:t>
            </w:r>
            <w:r>
              <w:rPr>
                <w:rFonts w:cs="Calibri"/>
                <w:b/>
                <w:bCs/>
                <w:color w:val="000000"/>
                <w:sz w:val="20"/>
              </w:rPr>
              <w:t>3</w:t>
            </w:r>
          </w:p>
        </w:tc>
        <w:tc>
          <w:tcPr>
            <w:tcW w:w="1080" w:type="dxa"/>
          </w:tcPr>
          <w:p w:rsidRPr="00642B10" w:rsidR="008959A4" w:rsidP="00717A84" w:rsidRDefault="008959A4" w14:paraId="2B2788D8" w14:textId="77777777">
            <w:pPr>
              <w:keepNext/>
              <w:jc w:val="right"/>
              <w:rPr>
                <w:rFonts w:eastAsiaTheme="minorEastAsia" w:cstheme="minorBidi"/>
                <w:b/>
                <w:bCs/>
                <w:sz w:val="22"/>
                <w:szCs w:val="22"/>
              </w:rPr>
            </w:pPr>
            <w:r w:rsidRPr="00642B10">
              <w:rPr>
                <w:rFonts w:cs="Calibri"/>
                <w:b/>
                <w:bCs/>
                <w:color w:val="000000"/>
                <w:sz w:val="20"/>
              </w:rPr>
              <w:t>2,202</w:t>
            </w:r>
          </w:p>
        </w:tc>
        <w:tc>
          <w:tcPr>
            <w:tcW w:w="1080" w:type="dxa"/>
          </w:tcPr>
          <w:p w:rsidRPr="00642B10" w:rsidR="008959A4" w:rsidP="00717A84" w:rsidRDefault="008959A4" w14:paraId="26B993F2" w14:textId="77777777">
            <w:pPr>
              <w:pStyle w:val="ALJBodyText"/>
              <w:keepNext/>
              <w:ind w:firstLine="0"/>
              <w:jc w:val="right"/>
              <w:rPr>
                <w:rFonts w:eastAsiaTheme="minorEastAsia" w:cstheme="minorBidi"/>
                <w:b/>
                <w:bCs/>
                <w:sz w:val="22"/>
                <w:szCs w:val="22"/>
              </w:rPr>
            </w:pPr>
            <w:r w:rsidRPr="00642B10">
              <w:rPr>
                <w:rFonts w:cs="Calibri"/>
                <w:b/>
                <w:bCs/>
                <w:color w:val="000000"/>
                <w:sz w:val="20"/>
              </w:rPr>
              <w:t>2,209</w:t>
            </w:r>
          </w:p>
        </w:tc>
        <w:tc>
          <w:tcPr>
            <w:tcW w:w="1170" w:type="dxa"/>
          </w:tcPr>
          <w:p w:rsidRPr="00642B10" w:rsidR="008959A4" w:rsidP="00717A84" w:rsidRDefault="008959A4" w14:paraId="386D7DB6" w14:textId="77777777">
            <w:pPr>
              <w:pStyle w:val="ALJBodyText"/>
              <w:keepNext/>
              <w:ind w:firstLine="0"/>
              <w:jc w:val="right"/>
              <w:rPr>
                <w:rFonts w:eastAsiaTheme="minorEastAsia" w:cstheme="minorBidi"/>
                <w:b/>
                <w:bCs/>
                <w:sz w:val="22"/>
                <w:szCs w:val="22"/>
              </w:rPr>
            </w:pPr>
            <w:r w:rsidRPr="00642B10">
              <w:rPr>
                <w:rFonts w:cs="Calibri"/>
                <w:b/>
                <w:bCs/>
                <w:color w:val="000000"/>
                <w:sz w:val="20"/>
              </w:rPr>
              <w:t>2,214</w:t>
            </w:r>
          </w:p>
        </w:tc>
        <w:tc>
          <w:tcPr>
            <w:tcW w:w="1080" w:type="dxa"/>
          </w:tcPr>
          <w:p w:rsidRPr="00642B10" w:rsidR="008959A4" w:rsidP="00717A84" w:rsidRDefault="006A3CD2" w14:paraId="5B7C7DF1" w14:textId="455F1181">
            <w:pPr>
              <w:pStyle w:val="ALJBodyText"/>
              <w:keepNext/>
              <w:ind w:firstLine="0"/>
              <w:jc w:val="right"/>
              <w:rPr>
                <w:rFonts w:eastAsiaTheme="minorEastAsia" w:cstheme="minorBidi"/>
                <w:b/>
                <w:bCs/>
                <w:sz w:val="22"/>
                <w:szCs w:val="22"/>
              </w:rPr>
            </w:pPr>
            <w:r w:rsidRPr="00E21784">
              <w:rPr>
                <w:rFonts w:cs="Calibri"/>
                <w:b/>
                <w:bCs/>
                <w:color w:val="000000"/>
                <w:sz w:val="20"/>
              </w:rPr>
              <w:t>13,595</w:t>
            </w:r>
          </w:p>
        </w:tc>
      </w:tr>
    </w:tbl>
    <w:p w:rsidRPr="006A6CC4" w:rsidR="008959A4" w:rsidP="008959A4" w:rsidRDefault="008959A4" w14:paraId="4115284F" w14:textId="4A53238E">
      <w:pPr>
        <w:pStyle w:val="Heading4"/>
        <w:spacing w:before="240"/>
        <w:ind w:left="3614" w:hanging="1267"/>
      </w:pPr>
      <w:bookmarkStart w:name="_Toc82159802" w:id="227"/>
      <w:r w:rsidRPr="006A6CC4">
        <w:t xml:space="preserve">Separate MF Household Treatment </w:t>
      </w:r>
      <w:r>
        <w:br/>
      </w:r>
      <w:r w:rsidRPr="006A6CC4">
        <w:t xml:space="preserve">Goals: </w:t>
      </w:r>
      <w:r w:rsidR="00B577CC">
        <w:t xml:space="preserve"> </w:t>
      </w:r>
      <w:r w:rsidRPr="006A6CC4">
        <w:rPr>
          <w:u w:val="single"/>
        </w:rPr>
        <w:t>Denied</w:t>
      </w:r>
      <w:bookmarkEnd w:id="227"/>
    </w:p>
    <w:p w:rsidR="008959A4" w:rsidP="008959A4" w:rsidRDefault="008959A4" w14:paraId="63B84294" w14:textId="77777777">
      <w:pPr>
        <w:pStyle w:val="Standard"/>
        <w:rPr>
          <w:rFonts w:ascii="Garamond" w:hAnsi="Garamond" w:eastAsia="Garamond" w:cs="Garamond"/>
        </w:rPr>
      </w:pPr>
      <w:r>
        <w:t xml:space="preserve">Although we recognize the importance of serving the low-income multifamily sector, we deny EEC and Free Energy’s calculation of the MF treatment goals.  Aside from the due process issue we have with EEC and Free Energy’s untimely recommendation of these goals, where parties were denied a meaningful opportunity </w:t>
      </w:r>
      <w:r w:rsidRPr="00922CDC">
        <w:t>to respond through</w:t>
      </w:r>
      <w:r>
        <w:t xml:space="preserve"> the</w:t>
      </w:r>
      <w:r w:rsidRPr="00922CDC">
        <w:t xml:space="preserve"> testimony</w:t>
      </w:r>
      <w:r>
        <w:t xml:space="preserve"> phase, EEC and Free Energy fail to sufficiently support the percentages proposed.  However, while we deny EEC and Free Energy’s request to set a separate MF household treatment goal, the Commission believes that additional data on MF building stock, including how much of that eligible building stock is getting treated, should be reported on an annual basis.  Therefore, the SMJUs will provide as part of their ESA annual reports a breakdown of the building types (Single Family, Multi-Family and Mobile Home) being treated by their ESA program.  Energy Division </w:t>
      </w:r>
      <w:r>
        <w:lastRenderedPageBreak/>
        <w:t>staff will work with the SMJUs to develop and update the reporting template to collect this data, starting with the PY 2022 Annual Report.</w:t>
      </w:r>
    </w:p>
    <w:p w:rsidRPr="00BE5C2A" w:rsidR="008959A4" w:rsidP="008959A4" w:rsidRDefault="008959A4" w14:paraId="2EDF067A" w14:textId="7287D127">
      <w:pPr>
        <w:pStyle w:val="Heading4"/>
        <w:ind w:left="3600" w:hanging="1260"/>
      </w:pPr>
      <w:bookmarkStart w:name="_Toc82159803" w:id="228"/>
      <w:r>
        <w:t xml:space="preserve">SMJU Proposed Energy Savings Goals: </w:t>
      </w:r>
      <w:r w:rsidR="00B577CC">
        <w:t xml:space="preserve"> </w:t>
      </w:r>
      <w:r w:rsidRPr="00570C17">
        <w:rPr>
          <w:u w:val="single"/>
        </w:rPr>
        <w:t>Approved</w:t>
      </w:r>
      <w:r>
        <w:rPr>
          <w:u w:val="single"/>
        </w:rPr>
        <w:t xml:space="preserve"> with Modifications</w:t>
      </w:r>
      <w:bookmarkEnd w:id="228"/>
    </w:p>
    <w:p w:rsidR="008959A4" w:rsidP="008959A4" w:rsidRDefault="008959A4" w14:paraId="3D084093" w14:textId="77777777">
      <w:pPr>
        <w:pStyle w:val="ALJBodyText"/>
      </w:pPr>
      <w:r w:rsidRPr="007D03FF">
        <w:t xml:space="preserve">We approve the </w:t>
      </w:r>
      <w:r>
        <w:t>SMJUs’</w:t>
      </w:r>
      <w:r w:rsidRPr="007D03FF">
        <w:t xml:space="preserve"> </w:t>
      </w:r>
      <w:r>
        <w:t xml:space="preserve">portfolio level </w:t>
      </w:r>
      <w:r w:rsidRPr="007D03FF">
        <w:t xml:space="preserve">energy savings </w:t>
      </w:r>
      <w:r>
        <w:t>levels</w:t>
      </w:r>
      <w:r w:rsidRPr="007D03FF">
        <w:t xml:space="preserve"> for </w:t>
      </w:r>
      <w:r>
        <w:t>PYs 2022</w:t>
      </w:r>
      <w:r>
        <w:noBreakHyphen/>
        <w:t>2026</w:t>
      </w:r>
      <w:r w:rsidRPr="007D03FF">
        <w:t xml:space="preserve"> </w:t>
      </w:r>
      <w:r>
        <w:t>but</w:t>
      </w:r>
      <w:r w:rsidRPr="007D03FF">
        <w:t xml:space="preserve"> set them as </w:t>
      </w:r>
      <w:r w:rsidRPr="009E5B4F">
        <w:rPr>
          <w:i/>
          <w:iCs/>
        </w:rPr>
        <w:t>goals</w:t>
      </w:r>
      <w:r>
        <w:t xml:space="preserve"> to acknowledge that portfolio energy savings is a priority over the number of households being treated</w:t>
      </w:r>
      <w:r w:rsidRPr="007D03FF">
        <w:t xml:space="preserve">. </w:t>
      </w:r>
      <w:r>
        <w:t xml:space="preserve"> Beginning in PY 2022, we apply a ten percent reduction to align with the ten percent reduction in the proposed budgets (</w:t>
      </w:r>
      <w:r w:rsidRPr="00AA01E3">
        <w:rPr>
          <w:i/>
          <w:iCs/>
        </w:rPr>
        <w:t>see</w:t>
      </w:r>
      <w:r>
        <w:t xml:space="preserve"> Section 5.9.9.1).</w:t>
      </w:r>
    </w:p>
    <w:p w:rsidR="008959A4" w:rsidP="008959A4" w:rsidRDefault="008959A4" w14:paraId="00A22178" w14:textId="77777777">
      <w:pPr>
        <w:pStyle w:val="ALJBodyText"/>
        <w:keepNext/>
        <w:ind w:firstLine="0"/>
        <w:jc w:val="center"/>
        <w:rPr>
          <w:b/>
          <w:bCs/>
        </w:rPr>
      </w:pPr>
      <w:r w:rsidRPr="00D7398C">
        <w:rPr>
          <w:b/>
          <w:bCs/>
        </w:rPr>
        <w:lastRenderedPageBreak/>
        <w:t xml:space="preserve">Table </w:t>
      </w:r>
      <w:r>
        <w:rPr>
          <w:b/>
          <w:bCs/>
        </w:rPr>
        <w:t>7:</w:t>
      </w:r>
      <w:r w:rsidRPr="00D7398C">
        <w:rPr>
          <w:b/>
          <w:bCs/>
        </w:rPr>
        <w:t xml:space="preserve"> </w:t>
      </w:r>
      <w:r>
        <w:rPr>
          <w:b/>
          <w:bCs/>
        </w:rPr>
        <w:t xml:space="preserve"> </w:t>
      </w:r>
      <w:r w:rsidRPr="00D7398C">
        <w:rPr>
          <w:b/>
          <w:bCs/>
        </w:rPr>
        <w:t>Approved Portfolio Savings Goal, PYs 202</w:t>
      </w:r>
      <w:r>
        <w:rPr>
          <w:b/>
          <w:bCs/>
        </w:rPr>
        <w:t>2</w:t>
      </w:r>
      <w:r w:rsidRPr="00D7398C">
        <w:rPr>
          <w:b/>
          <w:bCs/>
        </w:rPr>
        <w:t>-2026</w:t>
      </w:r>
    </w:p>
    <w:tbl>
      <w:tblPr>
        <w:tblStyle w:val="TableTheme"/>
        <w:tblW w:w="8635" w:type="dxa"/>
        <w:jc w:val="center"/>
        <w:tblLayout w:type="fixed"/>
        <w:tblLook w:val="04A0" w:firstRow="1" w:lastRow="0" w:firstColumn="1" w:lastColumn="0" w:noHBand="0" w:noVBand="1"/>
      </w:tblPr>
      <w:tblGrid>
        <w:gridCol w:w="1255"/>
        <w:gridCol w:w="1054"/>
        <w:gridCol w:w="1054"/>
        <w:gridCol w:w="1054"/>
        <w:gridCol w:w="1055"/>
        <w:gridCol w:w="1054"/>
        <w:gridCol w:w="1054"/>
        <w:gridCol w:w="1055"/>
      </w:tblGrid>
      <w:tr w:rsidRPr="004307A8" w:rsidR="008959A4" w:rsidTr="00717A84" w14:paraId="55C0AA3A" w14:textId="77777777">
        <w:trPr>
          <w:trHeight w:val="547"/>
          <w:jc w:val="center"/>
        </w:trPr>
        <w:tc>
          <w:tcPr>
            <w:tcW w:w="8635" w:type="dxa"/>
            <w:gridSpan w:val="8"/>
            <w:vAlign w:val="center"/>
          </w:tcPr>
          <w:p w:rsidRPr="004307A8" w:rsidR="008959A4" w:rsidP="00717A84" w:rsidRDefault="008959A4" w14:paraId="66EAB8CE" w14:textId="77777777">
            <w:pPr>
              <w:keepNext/>
              <w:ind w:left="360"/>
              <w:jc w:val="center"/>
              <w:rPr>
                <w:rFonts w:eastAsia="Times New Roman" w:cstheme="minorHAnsi"/>
                <w:b/>
                <w:bCs/>
                <w:color w:val="000000"/>
                <w:sz w:val="20"/>
              </w:rPr>
            </w:pPr>
            <w:r w:rsidRPr="004307A8">
              <w:rPr>
                <w:b/>
                <w:bCs/>
                <w:sz w:val="20"/>
              </w:rPr>
              <w:t>Approved ESA Portfolio Savings Goal, PYs 202</w:t>
            </w:r>
            <w:r>
              <w:rPr>
                <w:b/>
                <w:bCs/>
                <w:sz w:val="20"/>
              </w:rPr>
              <w:t>2</w:t>
            </w:r>
            <w:r w:rsidRPr="004307A8">
              <w:rPr>
                <w:b/>
                <w:bCs/>
                <w:sz w:val="20"/>
              </w:rPr>
              <w:t>-2026</w:t>
            </w:r>
          </w:p>
        </w:tc>
      </w:tr>
      <w:tr w:rsidRPr="004307A8" w:rsidR="008959A4" w:rsidTr="00717A84" w14:paraId="65792B84" w14:textId="77777777">
        <w:trPr>
          <w:trHeight w:val="547"/>
          <w:jc w:val="center"/>
        </w:trPr>
        <w:tc>
          <w:tcPr>
            <w:tcW w:w="2309" w:type="dxa"/>
            <w:gridSpan w:val="2"/>
            <w:vAlign w:val="center"/>
            <w:hideMark/>
          </w:tcPr>
          <w:p w:rsidRPr="004307A8" w:rsidR="008959A4" w:rsidP="00717A84" w:rsidRDefault="008959A4" w14:paraId="5B4F4DE2" w14:textId="77777777">
            <w:pPr>
              <w:keepNext/>
              <w:ind w:left="360"/>
              <w:jc w:val="center"/>
              <w:rPr>
                <w:rFonts w:eastAsia="Times New Roman" w:cstheme="minorHAnsi"/>
                <w:b/>
                <w:bCs/>
                <w:color w:val="000000"/>
                <w:sz w:val="20"/>
              </w:rPr>
            </w:pPr>
            <w:r>
              <w:rPr>
                <w:rFonts w:eastAsia="Times New Roman" w:cstheme="minorHAnsi"/>
                <w:b/>
                <w:bCs/>
                <w:color w:val="000000"/>
                <w:sz w:val="20"/>
              </w:rPr>
              <w:t>SMJU</w:t>
            </w:r>
          </w:p>
        </w:tc>
        <w:tc>
          <w:tcPr>
            <w:tcW w:w="1054" w:type="dxa"/>
            <w:noWrap/>
            <w:hideMark/>
          </w:tcPr>
          <w:p w:rsidRPr="004307A8" w:rsidR="008959A4" w:rsidP="00717A84" w:rsidRDefault="008959A4" w14:paraId="0C6BB6A3" w14:textId="77777777">
            <w:pPr>
              <w:keepNext/>
              <w:jc w:val="center"/>
              <w:rPr>
                <w:rFonts w:eastAsia="Times New Roman" w:cstheme="minorHAnsi"/>
                <w:b/>
                <w:bCs/>
                <w:color w:val="000000"/>
                <w:sz w:val="20"/>
              </w:rPr>
            </w:pPr>
            <w:r w:rsidRPr="004307A8">
              <w:rPr>
                <w:rFonts w:eastAsia="Times New Roman" w:cstheme="minorHAnsi"/>
                <w:b/>
                <w:bCs/>
                <w:color w:val="000000"/>
                <w:sz w:val="20"/>
              </w:rPr>
              <w:t>2022</w:t>
            </w:r>
          </w:p>
        </w:tc>
        <w:tc>
          <w:tcPr>
            <w:tcW w:w="1054" w:type="dxa"/>
            <w:noWrap/>
            <w:hideMark/>
          </w:tcPr>
          <w:p w:rsidRPr="004307A8" w:rsidR="008959A4" w:rsidP="00717A84" w:rsidRDefault="008959A4" w14:paraId="1B4A5565" w14:textId="77777777">
            <w:pPr>
              <w:keepNext/>
              <w:jc w:val="center"/>
              <w:rPr>
                <w:rFonts w:eastAsia="Times New Roman" w:cstheme="minorHAnsi"/>
                <w:b/>
                <w:bCs/>
                <w:color w:val="000000"/>
                <w:sz w:val="20"/>
              </w:rPr>
            </w:pPr>
            <w:r w:rsidRPr="004307A8">
              <w:rPr>
                <w:rFonts w:eastAsia="Times New Roman" w:cstheme="minorHAnsi"/>
                <w:b/>
                <w:bCs/>
                <w:color w:val="000000"/>
                <w:sz w:val="20"/>
              </w:rPr>
              <w:t>2023</w:t>
            </w:r>
          </w:p>
        </w:tc>
        <w:tc>
          <w:tcPr>
            <w:tcW w:w="1055" w:type="dxa"/>
            <w:noWrap/>
            <w:hideMark/>
          </w:tcPr>
          <w:p w:rsidRPr="004307A8" w:rsidR="008959A4" w:rsidP="00717A84" w:rsidRDefault="008959A4" w14:paraId="0DBAD6CA" w14:textId="77777777">
            <w:pPr>
              <w:keepNext/>
              <w:jc w:val="center"/>
              <w:rPr>
                <w:rFonts w:eastAsia="Times New Roman" w:cstheme="minorHAnsi"/>
                <w:b/>
                <w:bCs/>
                <w:color w:val="000000"/>
                <w:sz w:val="20"/>
              </w:rPr>
            </w:pPr>
            <w:r w:rsidRPr="004307A8">
              <w:rPr>
                <w:rFonts w:eastAsia="Times New Roman" w:cstheme="minorHAnsi"/>
                <w:b/>
                <w:bCs/>
                <w:color w:val="000000"/>
                <w:sz w:val="20"/>
              </w:rPr>
              <w:t>2024</w:t>
            </w:r>
          </w:p>
        </w:tc>
        <w:tc>
          <w:tcPr>
            <w:tcW w:w="1054" w:type="dxa"/>
            <w:noWrap/>
            <w:hideMark/>
          </w:tcPr>
          <w:p w:rsidRPr="004307A8" w:rsidR="008959A4" w:rsidP="00717A84" w:rsidRDefault="008959A4" w14:paraId="53CEC7B7" w14:textId="77777777">
            <w:pPr>
              <w:keepNext/>
              <w:jc w:val="center"/>
              <w:rPr>
                <w:rFonts w:eastAsia="Times New Roman" w:cstheme="minorHAnsi"/>
                <w:b/>
                <w:bCs/>
                <w:color w:val="000000"/>
                <w:sz w:val="20"/>
              </w:rPr>
            </w:pPr>
            <w:r w:rsidRPr="004307A8">
              <w:rPr>
                <w:rFonts w:eastAsia="Times New Roman" w:cstheme="minorHAnsi"/>
                <w:b/>
                <w:bCs/>
                <w:color w:val="000000"/>
                <w:sz w:val="20"/>
              </w:rPr>
              <w:t>2025</w:t>
            </w:r>
          </w:p>
        </w:tc>
        <w:tc>
          <w:tcPr>
            <w:tcW w:w="1054" w:type="dxa"/>
            <w:noWrap/>
            <w:hideMark/>
          </w:tcPr>
          <w:p w:rsidRPr="004307A8" w:rsidR="008959A4" w:rsidP="00717A84" w:rsidRDefault="008959A4" w14:paraId="3ED0AA7F" w14:textId="77777777">
            <w:pPr>
              <w:keepNext/>
              <w:jc w:val="center"/>
              <w:rPr>
                <w:rFonts w:eastAsia="Times New Roman" w:cstheme="minorHAnsi"/>
                <w:b/>
                <w:bCs/>
                <w:color w:val="000000"/>
                <w:sz w:val="20"/>
              </w:rPr>
            </w:pPr>
            <w:r w:rsidRPr="004307A8">
              <w:rPr>
                <w:rFonts w:eastAsia="Times New Roman" w:cstheme="minorHAnsi"/>
                <w:b/>
                <w:bCs/>
                <w:color w:val="000000"/>
                <w:sz w:val="20"/>
              </w:rPr>
              <w:t>2026</w:t>
            </w:r>
          </w:p>
        </w:tc>
        <w:tc>
          <w:tcPr>
            <w:tcW w:w="1055" w:type="dxa"/>
            <w:noWrap/>
            <w:hideMark/>
          </w:tcPr>
          <w:p w:rsidRPr="004307A8" w:rsidR="008959A4" w:rsidP="00717A84" w:rsidRDefault="008959A4" w14:paraId="66299D01" w14:textId="77777777">
            <w:pPr>
              <w:keepNext/>
              <w:ind w:left="360"/>
              <w:jc w:val="center"/>
              <w:rPr>
                <w:rFonts w:eastAsia="Times New Roman" w:cstheme="minorHAnsi"/>
                <w:b/>
                <w:bCs/>
                <w:color w:val="000000"/>
                <w:sz w:val="20"/>
              </w:rPr>
            </w:pPr>
            <w:r w:rsidRPr="004307A8">
              <w:rPr>
                <w:rFonts w:eastAsia="Times New Roman" w:cstheme="minorHAnsi"/>
                <w:b/>
                <w:bCs/>
                <w:color w:val="000000"/>
                <w:sz w:val="20"/>
              </w:rPr>
              <w:t>Total</w:t>
            </w:r>
          </w:p>
        </w:tc>
      </w:tr>
      <w:tr w:rsidRPr="004307A8" w:rsidR="008959A4" w:rsidTr="00717A84" w14:paraId="1A3B44F6" w14:textId="77777777">
        <w:trPr>
          <w:trHeight w:val="547"/>
          <w:jc w:val="center"/>
        </w:trPr>
        <w:tc>
          <w:tcPr>
            <w:tcW w:w="1255" w:type="dxa"/>
            <w:vMerge w:val="restart"/>
            <w:vAlign w:val="center"/>
            <w:hideMark/>
          </w:tcPr>
          <w:p w:rsidRPr="004307A8" w:rsidR="008959A4" w:rsidP="00717A84" w:rsidRDefault="008959A4" w14:paraId="74876654" w14:textId="77777777">
            <w:pPr>
              <w:keepNext/>
              <w:rPr>
                <w:rFonts w:eastAsia="Times New Roman" w:cstheme="minorHAnsi"/>
                <w:color w:val="000000"/>
                <w:sz w:val="20"/>
              </w:rPr>
            </w:pPr>
            <w:r>
              <w:rPr>
                <w:rFonts w:eastAsia="Times New Roman" w:cstheme="minorHAnsi"/>
                <w:color w:val="000000"/>
                <w:sz w:val="20"/>
              </w:rPr>
              <w:t>Alpine</w:t>
            </w:r>
          </w:p>
        </w:tc>
        <w:tc>
          <w:tcPr>
            <w:tcW w:w="1054" w:type="dxa"/>
          </w:tcPr>
          <w:p w:rsidRPr="004307A8" w:rsidR="008959A4" w:rsidP="00717A84" w:rsidRDefault="008959A4" w14:paraId="096D9CA1" w14:textId="77777777">
            <w:pPr>
              <w:keepNext/>
              <w:jc w:val="both"/>
              <w:rPr>
                <w:rFonts w:eastAsia="Times New Roman" w:cstheme="minorHAnsi"/>
                <w:color w:val="000000"/>
                <w:sz w:val="20"/>
              </w:rPr>
            </w:pPr>
            <w:r>
              <w:rPr>
                <w:sz w:val="20"/>
              </w:rPr>
              <w:t>kWh</w:t>
            </w:r>
          </w:p>
        </w:tc>
        <w:tc>
          <w:tcPr>
            <w:tcW w:w="1054" w:type="dxa"/>
            <w:noWrap/>
          </w:tcPr>
          <w:p w:rsidRPr="004307A8" w:rsidR="008959A4" w:rsidP="00717A84" w:rsidRDefault="008959A4" w14:paraId="4D1E868F"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271CED06" w14:textId="77777777">
            <w:pPr>
              <w:keepNext/>
              <w:ind w:left="360"/>
              <w:jc w:val="right"/>
              <w:rPr>
                <w:rFonts w:eastAsia="Times New Roman" w:cstheme="minorHAnsi"/>
                <w:color w:val="000000"/>
                <w:sz w:val="20"/>
              </w:rPr>
            </w:pPr>
            <w:r>
              <w:rPr>
                <w:rFonts w:cs="Calibri"/>
                <w:color w:val="000000"/>
                <w:sz w:val="18"/>
                <w:szCs w:val="18"/>
              </w:rPr>
              <w:t>-</w:t>
            </w:r>
          </w:p>
        </w:tc>
        <w:tc>
          <w:tcPr>
            <w:tcW w:w="1055" w:type="dxa"/>
            <w:noWrap/>
          </w:tcPr>
          <w:p w:rsidRPr="004307A8" w:rsidR="008959A4" w:rsidP="00717A84" w:rsidRDefault="008959A4" w14:paraId="1BBDC730"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5A8F4544"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456130D2" w14:textId="77777777">
            <w:pPr>
              <w:keepNext/>
              <w:ind w:left="360"/>
              <w:jc w:val="right"/>
              <w:rPr>
                <w:rFonts w:eastAsia="Times New Roman" w:cstheme="minorHAnsi"/>
                <w:color w:val="000000"/>
                <w:sz w:val="20"/>
              </w:rPr>
            </w:pPr>
            <w:r>
              <w:rPr>
                <w:rFonts w:cs="Calibri"/>
                <w:color w:val="000000"/>
                <w:sz w:val="18"/>
                <w:szCs w:val="18"/>
              </w:rPr>
              <w:t>-</w:t>
            </w:r>
          </w:p>
        </w:tc>
        <w:tc>
          <w:tcPr>
            <w:tcW w:w="1055" w:type="dxa"/>
            <w:noWrap/>
          </w:tcPr>
          <w:p w:rsidRPr="004307A8" w:rsidR="008959A4" w:rsidP="00717A84" w:rsidRDefault="008959A4" w14:paraId="3C9AD071" w14:textId="77777777">
            <w:pPr>
              <w:keepNext/>
              <w:ind w:left="360"/>
              <w:jc w:val="right"/>
              <w:rPr>
                <w:rFonts w:eastAsia="Times New Roman" w:cstheme="minorHAnsi"/>
                <w:color w:val="000000"/>
                <w:sz w:val="20"/>
              </w:rPr>
            </w:pPr>
            <w:r>
              <w:rPr>
                <w:rFonts w:cs="Calibri"/>
                <w:b/>
                <w:bCs/>
                <w:color w:val="000000"/>
                <w:sz w:val="18"/>
                <w:szCs w:val="18"/>
              </w:rPr>
              <w:t>-</w:t>
            </w:r>
          </w:p>
        </w:tc>
      </w:tr>
      <w:tr w:rsidRPr="004307A8" w:rsidR="008959A4" w:rsidTr="00717A84" w14:paraId="025D4904" w14:textId="77777777">
        <w:trPr>
          <w:trHeight w:val="547"/>
          <w:jc w:val="center"/>
        </w:trPr>
        <w:tc>
          <w:tcPr>
            <w:tcW w:w="1255" w:type="dxa"/>
            <w:vMerge/>
            <w:vAlign w:val="center"/>
          </w:tcPr>
          <w:p w:rsidRPr="004307A8" w:rsidR="008959A4" w:rsidP="00717A84" w:rsidRDefault="008959A4" w14:paraId="6ED156E6" w14:textId="77777777">
            <w:pPr>
              <w:keepNext/>
              <w:ind w:left="360"/>
              <w:rPr>
                <w:rFonts w:eastAsia="Times New Roman" w:cstheme="minorHAnsi"/>
                <w:color w:val="000000"/>
                <w:sz w:val="20"/>
              </w:rPr>
            </w:pPr>
          </w:p>
        </w:tc>
        <w:tc>
          <w:tcPr>
            <w:tcW w:w="1054" w:type="dxa"/>
          </w:tcPr>
          <w:p w:rsidRPr="004307A8" w:rsidR="008959A4" w:rsidP="00717A84" w:rsidRDefault="008959A4" w14:paraId="6FFFA4F8" w14:textId="77777777">
            <w:pPr>
              <w:keepNext/>
              <w:jc w:val="both"/>
              <w:rPr>
                <w:rFonts w:eastAsia="Times New Roman" w:cstheme="minorHAnsi"/>
                <w:color w:val="000000"/>
                <w:sz w:val="20"/>
              </w:rPr>
            </w:pPr>
            <w:r>
              <w:rPr>
                <w:sz w:val="20"/>
              </w:rPr>
              <w:t>kW</w:t>
            </w:r>
          </w:p>
        </w:tc>
        <w:tc>
          <w:tcPr>
            <w:tcW w:w="1054" w:type="dxa"/>
            <w:noWrap/>
          </w:tcPr>
          <w:p w:rsidRPr="004307A8" w:rsidR="008959A4" w:rsidP="00717A84" w:rsidRDefault="008959A4" w14:paraId="3D68C231"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76EEB4A1" w14:textId="77777777">
            <w:pPr>
              <w:keepNext/>
              <w:ind w:left="360"/>
              <w:jc w:val="right"/>
              <w:rPr>
                <w:rFonts w:eastAsia="Times New Roman" w:cstheme="minorHAnsi"/>
                <w:color w:val="000000"/>
                <w:sz w:val="20"/>
              </w:rPr>
            </w:pPr>
            <w:r>
              <w:rPr>
                <w:rFonts w:cs="Calibri"/>
                <w:color w:val="000000"/>
                <w:sz w:val="18"/>
                <w:szCs w:val="18"/>
              </w:rPr>
              <w:t>-</w:t>
            </w:r>
          </w:p>
        </w:tc>
        <w:tc>
          <w:tcPr>
            <w:tcW w:w="1055" w:type="dxa"/>
            <w:noWrap/>
          </w:tcPr>
          <w:p w:rsidRPr="004307A8" w:rsidR="008959A4" w:rsidP="00717A84" w:rsidRDefault="008959A4" w14:paraId="3E9474BB"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604F07AB" w14:textId="77777777">
            <w:pPr>
              <w:keepNext/>
              <w:ind w:left="360"/>
              <w:jc w:val="right"/>
              <w:rPr>
                <w:rFonts w:eastAsia="Times New Roman" w:cstheme="minorHAnsi"/>
                <w:color w:val="000000"/>
                <w:sz w:val="20"/>
              </w:rPr>
            </w:pPr>
            <w:r>
              <w:rPr>
                <w:rFonts w:cs="Calibri"/>
                <w:color w:val="000000"/>
                <w:sz w:val="18"/>
                <w:szCs w:val="18"/>
              </w:rPr>
              <w:t>-</w:t>
            </w:r>
          </w:p>
        </w:tc>
        <w:tc>
          <w:tcPr>
            <w:tcW w:w="1054" w:type="dxa"/>
            <w:noWrap/>
          </w:tcPr>
          <w:p w:rsidRPr="004307A8" w:rsidR="008959A4" w:rsidP="00717A84" w:rsidRDefault="008959A4" w14:paraId="52E60DE0" w14:textId="77777777">
            <w:pPr>
              <w:keepNext/>
              <w:ind w:left="360"/>
              <w:jc w:val="right"/>
              <w:rPr>
                <w:rFonts w:eastAsia="Times New Roman" w:cstheme="minorHAnsi"/>
                <w:color w:val="000000"/>
                <w:sz w:val="20"/>
              </w:rPr>
            </w:pPr>
            <w:r>
              <w:rPr>
                <w:rFonts w:cs="Calibri"/>
                <w:color w:val="000000"/>
                <w:sz w:val="18"/>
                <w:szCs w:val="18"/>
              </w:rPr>
              <w:t>-</w:t>
            </w:r>
          </w:p>
        </w:tc>
        <w:tc>
          <w:tcPr>
            <w:tcW w:w="1055" w:type="dxa"/>
            <w:noWrap/>
          </w:tcPr>
          <w:p w:rsidRPr="004307A8" w:rsidR="008959A4" w:rsidP="00717A84" w:rsidRDefault="008959A4" w14:paraId="5EAF33A6" w14:textId="77777777">
            <w:pPr>
              <w:keepNext/>
              <w:ind w:left="360"/>
              <w:jc w:val="right"/>
              <w:rPr>
                <w:rFonts w:eastAsia="Times New Roman" w:cstheme="minorHAnsi"/>
                <w:color w:val="000000"/>
                <w:sz w:val="20"/>
              </w:rPr>
            </w:pPr>
            <w:r>
              <w:rPr>
                <w:rFonts w:cs="Calibri"/>
                <w:b/>
                <w:bCs/>
                <w:color w:val="000000"/>
                <w:sz w:val="18"/>
                <w:szCs w:val="18"/>
              </w:rPr>
              <w:t>-</w:t>
            </w:r>
          </w:p>
        </w:tc>
      </w:tr>
      <w:tr w:rsidRPr="004307A8" w:rsidR="008959A4" w:rsidTr="00717A84" w14:paraId="6F53C939" w14:textId="77777777">
        <w:trPr>
          <w:trHeight w:val="547"/>
          <w:jc w:val="center"/>
        </w:trPr>
        <w:tc>
          <w:tcPr>
            <w:tcW w:w="1255" w:type="dxa"/>
            <w:vMerge/>
            <w:vAlign w:val="center"/>
          </w:tcPr>
          <w:p w:rsidRPr="004307A8" w:rsidR="008959A4" w:rsidP="00717A84" w:rsidRDefault="008959A4" w14:paraId="4FC6CC89" w14:textId="77777777">
            <w:pPr>
              <w:keepNext/>
              <w:ind w:left="360"/>
              <w:rPr>
                <w:rFonts w:eastAsia="Times New Roman" w:cstheme="minorHAnsi"/>
                <w:color w:val="000000"/>
                <w:sz w:val="20"/>
              </w:rPr>
            </w:pPr>
          </w:p>
        </w:tc>
        <w:tc>
          <w:tcPr>
            <w:tcW w:w="1054" w:type="dxa"/>
          </w:tcPr>
          <w:p w:rsidRPr="004307A8" w:rsidR="008959A4" w:rsidP="00717A84" w:rsidRDefault="008959A4" w14:paraId="18A17273" w14:textId="77777777">
            <w:pPr>
              <w:keepNext/>
              <w:jc w:val="both"/>
              <w:rPr>
                <w:rFonts w:eastAsia="Times New Roman" w:cstheme="minorHAnsi"/>
                <w:color w:val="000000"/>
                <w:sz w:val="20"/>
              </w:rPr>
            </w:pPr>
            <w:r w:rsidRPr="004307A8">
              <w:rPr>
                <w:sz w:val="20"/>
              </w:rPr>
              <w:t>Therms</w:t>
            </w:r>
          </w:p>
        </w:tc>
        <w:tc>
          <w:tcPr>
            <w:tcW w:w="1054" w:type="dxa"/>
            <w:noWrap/>
          </w:tcPr>
          <w:p w:rsidRPr="004307A8" w:rsidR="008959A4" w:rsidP="00717A84" w:rsidRDefault="008959A4" w14:paraId="04B0659F" w14:textId="77777777">
            <w:pPr>
              <w:keepNext/>
              <w:ind w:left="360"/>
              <w:jc w:val="right"/>
              <w:rPr>
                <w:rFonts w:eastAsia="Times New Roman" w:cstheme="minorHAnsi"/>
                <w:color w:val="000000"/>
                <w:sz w:val="20"/>
              </w:rPr>
            </w:pPr>
            <w:r>
              <w:rPr>
                <w:rFonts w:cs="Calibri"/>
                <w:color w:val="000000" w:themeColor="text1"/>
                <w:sz w:val="18"/>
                <w:szCs w:val="18"/>
              </w:rPr>
              <w:t>68</w:t>
            </w:r>
          </w:p>
        </w:tc>
        <w:tc>
          <w:tcPr>
            <w:tcW w:w="1054" w:type="dxa"/>
            <w:noWrap/>
          </w:tcPr>
          <w:p w:rsidRPr="004307A8" w:rsidR="008959A4" w:rsidP="00717A84" w:rsidRDefault="008959A4" w14:paraId="7E372EF1" w14:textId="77777777">
            <w:pPr>
              <w:keepNext/>
              <w:ind w:left="360"/>
              <w:jc w:val="right"/>
              <w:rPr>
                <w:rFonts w:eastAsia="Times New Roman" w:cstheme="minorHAnsi"/>
                <w:color w:val="000000"/>
                <w:sz w:val="20"/>
              </w:rPr>
            </w:pPr>
            <w:r>
              <w:rPr>
                <w:rFonts w:cs="Calibri"/>
                <w:color w:val="000000" w:themeColor="text1"/>
                <w:sz w:val="18"/>
                <w:szCs w:val="18"/>
              </w:rPr>
              <w:t>68</w:t>
            </w:r>
          </w:p>
        </w:tc>
        <w:tc>
          <w:tcPr>
            <w:tcW w:w="1055" w:type="dxa"/>
            <w:noWrap/>
          </w:tcPr>
          <w:p w:rsidRPr="004307A8" w:rsidR="008959A4" w:rsidP="00717A84" w:rsidRDefault="008959A4" w14:paraId="2610DDDF" w14:textId="77777777">
            <w:pPr>
              <w:keepNext/>
              <w:ind w:left="360"/>
              <w:jc w:val="right"/>
              <w:rPr>
                <w:rFonts w:eastAsia="Times New Roman" w:cstheme="minorHAnsi"/>
                <w:color w:val="000000"/>
                <w:sz w:val="20"/>
              </w:rPr>
            </w:pPr>
            <w:r>
              <w:rPr>
                <w:rFonts w:cs="Calibri"/>
                <w:color w:val="000000" w:themeColor="text1"/>
                <w:sz w:val="18"/>
                <w:szCs w:val="18"/>
              </w:rPr>
              <w:t>68</w:t>
            </w:r>
          </w:p>
        </w:tc>
        <w:tc>
          <w:tcPr>
            <w:tcW w:w="1054" w:type="dxa"/>
            <w:noWrap/>
          </w:tcPr>
          <w:p w:rsidRPr="004307A8" w:rsidR="008959A4" w:rsidP="00717A84" w:rsidRDefault="008959A4" w14:paraId="701C7379" w14:textId="77777777">
            <w:pPr>
              <w:keepNext/>
              <w:ind w:left="360"/>
              <w:jc w:val="right"/>
              <w:rPr>
                <w:rFonts w:eastAsia="Times New Roman" w:cstheme="minorHAnsi"/>
                <w:color w:val="000000"/>
                <w:sz w:val="20"/>
              </w:rPr>
            </w:pPr>
            <w:r>
              <w:rPr>
                <w:rFonts w:cs="Calibri"/>
                <w:color w:val="000000" w:themeColor="text1"/>
                <w:sz w:val="18"/>
                <w:szCs w:val="18"/>
              </w:rPr>
              <w:t>68</w:t>
            </w:r>
          </w:p>
        </w:tc>
        <w:tc>
          <w:tcPr>
            <w:tcW w:w="1054" w:type="dxa"/>
            <w:noWrap/>
          </w:tcPr>
          <w:p w:rsidRPr="004307A8" w:rsidR="008959A4" w:rsidP="00717A84" w:rsidRDefault="008959A4" w14:paraId="0E86E365" w14:textId="77777777">
            <w:pPr>
              <w:keepNext/>
              <w:ind w:left="360"/>
              <w:jc w:val="right"/>
              <w:rPr>
                <w:rFonts w:eastAsia="Times New Roman" w:cstheme="minorHAnsi"/>
                <w:color w:val="000000"/>
                <w:sz w:val="20"/>
              </w:rPr>
            </w:pPr>
            <w:r>
              <w:rPr>
                <w:rFonts w:cs="Calibri"/>
                <w:color w:val="000000" w:themeColor="text1"/>
                <w:sz w:val="18"/>
                <w:szCs w:val="18"/>
              </w:rPr>
              <w:t>68</w:t>
            </w:r>
          </w:p>
        </w:tc>
        <w:tc>
          <w:tcPr>
            <w:tcW w:w="1055" w:type="dxa"/>
            <w:noWrap/>
          </w:tcPr>
          <w:p w:rsidRPr="004307A8" w:rsidR="008959A4" w:rsidP="00717A84" w:rsidRDefault="008959A4" w14:paraId="67CE45AC" w14:textId="77777777">
            <w:pPr>
              <w:keepNext/>
              <w:ind w:left="360"/>
              <w:jc w:val="right"/>
              <w:rPr>
                <w:rFonts w:eastAsia="Times New Roman" w:cstheme="minorHAnsi"/>
                <w:color w:val="000000"/>
                <w:sz w:val="20"/>
              </w:rPr>
            </w:pPr>
            <w:r>
              <w:rPr>
                <w:rFonts w:cs="Calibri"/>
                <w:b/>
                <w:bCs/>
                <w:color w:val="000000" w:themeColor="text1"/>
                <w:sz w:val="18"/>
                <w:szCs w:val="18"/>
              </w:rPr>
              <w:t>338</w:t>
            </w:r>
          </w:p>
        </w:tc>
      </w:tr>
      <w:tr w:rsidRPr="004307A8" w:rsidR="008959A4" w:rsidTr="00717A84" w14:paraId="2C1476BD" w14:textId="77777777">
        <w:trPr>
          <w:trHeight w:val="547"/>
          <w:jc w:val="center"/>
        </w:trPr>
        <w:tc>
          <w:tcPr>
            <w:tcW w:w="1255" w:type="dxa"/>
            <w:vMerge w:val="restart"/>
            <w:vAlign w:val="center"/>
            <w:hideMark/>
          </w:tcPr>
          <w:p w:rsidRPr="004307A8" w:rsidR="008959A4" w:rsidP="00717A84" w:rsidRDefault="008959A4" w14:paraId="7C5B8591" w14:textId="77777777">
            <w:pPr>
              <w:keepNext/>
              <w:rPr>
                <w:rFonts w:eastAsia="Times New Roman" w:cstheme="minorHAnsi"/>
                <w:color w:val="000000"/>
                <w:sz w:val="20"/>
              </w:rPr>
            </w:pPr>
            <w:r>
              <w:rPr>
                <w:rFonts w:eastAsia="Times New Roman" w:cstheme="minorHAnsi"/>
                <w:color w:val="000000"/>
                <w:sz w:val="20"/>
              </w:rPr>
              <w:t>Bear Valley</w:t>
            </w:r>
          </w:p>
          <w:p w:rsidRPr="004307A8" w:rsidR="008959A4" w:rsidP="00717A84" w:rsidRDefault="008959A4" w14:paraId="5E20013D" w14:textId="77777777">
            <w:pPr>
              <w:keepNext/>
              <w:ind w:left="360"/>
              <w:rPr>
                <w:rFonts w:eastAsia="Times New Roman" w:cstheme="minorHAnsi"/>
                <w:color w:val="000000"/>
                <w:sz w:val="20"/>
              </w:rPr>
            </w:pPr>
          </w:p>
          <w:p w:rsidRPr="004307A8" w:rsidR="008959A4" w:rsidP="00717A84" w:rsidRDefault="008959A4" w14:paraId="0CDC5ADA" w14:textId="77777777">
            <w:pPr>
              <w:keepNext/>
              <w:ind w:left="360"/>
              <w:rPr>
                <w:rFonts w:eastAsia="Times New Roman" w:cstheme="minorHAnsi"/>
                <w:color w:val="000000"/>
                <w:sz w:val="20"/>
              </w:rPr>
            </w:pPr>
          </w:p>
        </w:tc>
        <w:tc>
          <w:tcPr>
            <w:tcW w:w="1054" w:type="dxa"/>
          </w:tcPr>
          <w:p w:rsidRPr="004307A8" w:rsidR="008959A4" w:rsidP="00717A84" w:rsidRDefault="008959A4" w14:paraId="7C9620ED" w14:textId="77777777">
            <w:pPr>
              <w:keepNext/>
              <w:jc w:val="both"/>
              <w:rPr>
                <w:rFonts w:eastAsia="Times New Roman" w:cstheme="minorHAnsi"/>
                <w:color w:val="000000"/>
                <w:sz w:val="20"/>
              </w:rPr>
            </w:pPr>
            <w:r>
              <w:rPr>
                <w:sz w:val="20"/>
              </w:rPr>
              <w:t>kWh</w:t>
            </w:r>
          </w:p>
        </w:tc>
        <w:tc>
          <w:tcPr>
            <w:tcW w:w="1054" w:type="dxa"/>
            <w:noWrap/>
          </w:tcPr>
          <w:p w:rsidRPr="004307A8" w:rsidR="008959A4" w:rsidP="00717A84" w:rsidRDefault="008959A4" w14:paraId="267A2C18" w14:textId="77777777">
            <w:pPr>
              <w:keepNext/>
              <w:jc w:val="right"/>
              <w:rPr>
                <w:rFonts w:eastAsia="Times New Roman" w:cstheme="minorHAnsi"/>
                <w:color w:val="000000"/>
                <w:sz w:val="20"/>
              </w:rPr>
            </w:pPr>
            <w:r>
              <w:rPr>
                <w:rFonts w:cs="Calibri"/>
                <w:color w:val="000000" w:themeColor="text1"/>
                <w:sz w:val="18"/>
                <w:szCs w:val="18"/>
              </w:rPr>
              <w:t>41,663</w:t>
            </w:r>
          </w:p>
        </w:tc>
        <w:tc>
          <w:tcPr>
            <w:tcW w:w="1054" w:type="dxa"/>
            <w:noWrap/>
          </w:tcPr>
          <w:p w:rsidRPr="004307A8" w:rsidR="008959A4" w:rsidP="00717A84" w:rsidRDefault="008959A4" w14:paraId="37FA6245" w14:textId="77777777">
            <w:pPr>
              <w:keepNext/>
              <w:jc w:val="right"/>
              <w:rPr>
                <w:rFonts w:eastAsia="Times New Roman" w:cstheme="minorHAnsi"/>
                <w:color w:val="000000"/>
                <w:sz w:val="20"/>
              </w:rPr>
            </w:pPr>
            <w:r>
              <w:rPr>
                <w:rFonts w:cs="Calibri"/>
                <w:color w:val="000000" w:themeColor="text1"/>
                <w:sz w:val="18"/>
                <w:szCs w:val="18"/>
              </w:rPr>
              <w:t>41,663</w:t>
            </w:r>
          </w:p>
        </w:tc>
        <w:tc>
          <w:tcPr>
            <w:tcW w:w="1055" w:type="dxa"/>
            <w:noWrap/>
          </w:tcPr>
          <w:p w:rsidRPr="004307A8" w:rsidR="008959A4" w:rsidP="00717A84" w:rsidRDefault="008959A4" w14:paraId="1B98CAD5" w14:textId="77777777">
            <w:pPr>
              <w:keepNext/>
              <w:jc w:val="right"/>
              <w:rPr>
                <w:rFonts w:eastAsia="Times New Roman" w:cstheme="minorHAnsi"/>
                <w:color w:val="000000"/>
                <w:sz w:val="20"/>
              </w:rPr>
            </w:pPr>
            <w:r>
              <w:rPr>
                <w:rFonts w:cs="Calibri"/>
                <w:color w:val="000000" w:themeColor="text1"/>
                <w:sz w:val="18"/>
                <w:szCs w:val="18"/>
              </w:rPr>
              <w:t>41,663</w:t>
            </w:r>
          </w:p>
        </w:tc>
        <w:tc>
          <w:tcPr>
            <w:tcW w:w="1054" w:type="dxa"/>
            <w:noWrap/>
          </w:tcPr>
          <w:p w:rsidRPr="004307A8" w:rsidR="008959A4" w:rsidP="00717A84" w:rsidRDefault="008959A4" w14:paraId="4FAA1815" w14:textId="77777777">
            <w:pPr>
              <w:keepNext/>
              <w:jc w:val="right"/>
              <w:rPr>
                <w:rFonts w:eastAsia="Times New Roman" w:cstheme="minorHAnsi"/>
                <w:color w:val="000000"/>
                <w:sz w:val="20"/>
              </w:rPr>
            </w:pPr>
            <w:r>
              <w:rPr>
                <w:rFonts w:cs="Calibri"/>
                <w:color w:val="000000" w:themeColor="text1"/>
                <w:sz w:val="18"/>
                <w:szCs w:val="18"/>
              </w:rPr>
              <w:t>41,663</w:t>
            </w:r>
          </w:p>
        </w:tc>
        <w:tc>
          <w:tcPr>
            <w:tcW w:w="1054" w:type="dxa"/>
            <w:noWrap/>
          </w:tcPr>
          <w:p w:rsidRPr="004307A8" w:rsidR="008959A4" w:rsidP="00717A84" w:rsidRDefault="008959A4" w14:paraId="4B6ABB24" w14:textId="77777777">
            <w:pPr>
              <w:keepNext/>
              <w:jc w:val="right"/>
              <w:rPr>
                <w:rFonts w:eastAsia="Times New Roman" w:cstheme="minorHAnsi"/>
                <w:color w:val="000000"/>
                <w:sz w:val="20"/>
              </w:rPr>
            </w:pPr>
            <w:r>
              <w:rPr>
                <w:rFonts w:cs="Calibri"/>
                <w:color w:val="000000" w:themeColor="text1"/>
                <w:sz w:val="18"/>
                <w:szCs w:val="18"/>
              </w:rPr>
              <w:t>41,663</w:t>
            </w:r>
          </w:p>
        </w:tc>
        <w:tc>
          <w:tcPr>
            <w:tcW w:w="1055" w:type="dxa"/>
            <w:noWrap/>
          </w:tcPr>
          <w:p w:rsidRPr="004307A8" w:rsidR="008959A4" w:rsidP="00717A84" w:rsidRDefault="008959A4" w14:paraId="589A21ED" w14:textId="77777777">
            <w:pPr>
              <w:keepNext/>
              <w:jc w:val="right"/>
              <w:rPr>
                <w:rFonts w:eastAsia="Times New Roman" w:cstheme="minorHAnsi"/>
                <w:color w:val="000000"/>
                <w:sz w:val="20"/>
              </w:rPr>
            </w:pPr>
            <w:r>
              <w:rPr>
                <w:rFonts w:cs="Calibri"/>
                <w:b/>
                <w:bCs/>
                <w:color w:val="000000" w:themeColor="text1"/>
                <w:sz w:val="18"/>
                <w:szCs w:val="18"/>
              </w:rPr>
              <w:t>208,314</w:t>
            </w:r>
          </w:p>
        </w:tc>
      </w:tr>
      <w:tr w:rsidRPr="004307A8" w:rsidR="008959A4" w:rsidTr="00717A84" w14:paraId="4DE69064" w14:textId="77777777">
        <w:trPr>
          <w:trHeight w:val="547"/>
          <w:jc w:val="center"/>
        </w:trPr>
        <w:tc>
          <w:tcPr>
            <w:tcW w:w="1255" w:type="dxa"/>
            <w:vMerge/>
            <w:vAlign w:val="center"/>
          </w:tcPr>
          <w:p w:rsidRPr="004307A8" w:rsidR="008959A4" w:rsidP="00717A84" w:rsidRDefault="008959A4" w14:paraId="281BEAE2" w14:textId="77777777">
            <w:pPr>
              <w:keepNext/>
              <w:ind w:left="360"/>
              <w:rPr>
                <w:rFonts w:eastAsia="Times New Roman" w:cstheme="minorHAnsi"/>
                <w:color w:val="000000"/>
                <w:sz w:val="20"/>
              </w:rPr>
            </w:pPr>
          </w:p>
        </w:tc>
        <w:tc>
          <w:tcPr>
            <w:tcW w:w="1054" w:type="dxa"/>
          </w:tcPr>
          <w:p w:rsidRPr="004307A8" w:rsidR="008959A4" w:rsidP="00717A84" w:rsidRDefault="008959A4" w14:paraId="520E98BF" w14:textId="77777777">
            <w:pPr>
              <w:keepNext/>
              <w:jc w:val="both"/>
              <w:rPr>
                <w:rFonts w:eastAsia="Times New Roman" w:cstheme="minorHAnsi"/>
                <w:color w:val="000000"/>
                <w:sz w:val="20"/>
              </w:rPr>
            </w:pPr>
            <w:r>
              <w:rPr>
                <w:sz w:val="20"/>
              </w:rPr>
              <w:t>kW</w:t>
            </w:r>
          </w:p>
        </w:tc>
        <w:tc>
          <w:tcPr>
            <w:tcW w:w="1054" w:type="dxa"/>
            <w:noWrap/>
          </w:tcPr>
          <w:p w:rsidRPr="004307A8" w:rsidR="008959A4" w:rsidP="00717A84" w:rsidRDefault="008959A4" w14:paraId="1506BD84" w14:textId="77777777">
            <w:pPr>
              <w:keepNext/>
              <w:ind w:left="360"/>
              <w:jc w:val="right"/>
              <w:rPr>
                <w:rFonts w:eastAsia="Times New Roman" w:cstheme="minorHAnsi"/>
                <w:color w:val="000000"/>
                <w:sz w:val="20"/>
              </w:rPr>
            </w:pPr>
            <w:r>
              <w:rPr>
                <w:rFonts w:cs="Calibri"/>
                <w:color w:val="000000" w:themeColor="text1"/>
                <w:sz w:val="18"/>
                <w:szCs w:val="18"/>
              </w:rPr>
              <w:t>10</w:t>
            </w:r>
          </w:p>
        </w:tc>
        <w:tc>
          <w:tcPr>
            <w:tcW w:w="1054" w:type="dxa"/>
            <w:noWrap/>
          </w:tcPr>
          <w:p w:rsidRPr="004307A8" w:rsidR="008959A4" w:rsidP="00717A84" w:rsidRDefault="008959A4" w14:paraId="3EA13A88" w14:textId="77777777">
            <w:pPr>
              <w:keepNext/>
              <w:ind w:left="360"/>
              <w:jc w:val="right"/>
              <w:rPr>
                <w:rFonts w:eastAsia="Times New Roman" w:cstheme="minorHAnsi"/>
                <w:color w:val="000000"/>
                <w:sz w:val="20"/>
              </w:rPr>
            </w:pPr>
            <w:r>
              <w:rPr>
                <w:rFonts w:cs="Calibri"/>
                <w:color w:val="000000" w:themeColor="text1"/>
                <w:sz w:val="18"/>
                <w:szCs w:val="18"/>
              </w:rPr>
              <w:t>10</w:t>
            </w:r>
          </w:p>
        </w:tc>
        <w:tc>
          <w:tcPr>
            <w:tcW w:w="1055" w:type="dxa"/>
            <w:noWrap/>
          </w:tcPr>
          <w:p w:rsidRPr="004307A8" w:rsidR="008959A4" w:rsidP="00717A84" w:rsidRDefault="008959A4" w14:paraId="4A4F5B7B" w14:textId="77777777">
            <w:pPr>
              <w:keepNext/>
              <w:ind w:left="360"/>
              <w:jc w:val="right"/>
              <w:rPr>
                <w:rFonts w:eastAsia="Times New Roman" w:cstheme="minorHAnsi"/>
                <w:color w:val="000000"/>
                <w:sz w:val="20"/>
              </w:rPr>
            </w:pPr>
            <w:r>
              <w:rPr>
                <w:rFonts w:cs="Calibri"/>
                <w:color w:val="000000" w:themeColor="text1"/>
                <w:sz w:val="18"/>
                <w:szCs w:val="18"/>
              </w:rPr>
              <w:t>10</w:t>
            </w:r>
          </w:p>
        </w:tc>
        <w:tc>
          <w:tcPr>
            <w:tcW w:w="1054" w:type="dxa"/>
            <w:noWrap/>
          </w:tcPr>
          <w:p w:rsidRPr="004307A8" w:rsidR="008959A4" w:rsidP="00717A84" w:rsidRDefault="008959A4" w14:paraId="617562FC" w14:textId="77777777">
            <w:pPr>
              <w:keepNext/>
              <w:ind w:left="360"/>
              <w:jc w:val="right"/>
              <w:rPr>
                <w:rFonts w:eastAsia="Times New Roman" w:cstheme="minorHAnsi"/>
                <w:color w:val="000000"/>
                <w:sz w:val="20"/>
              </w:rPr>
            </w:pPr>
            <w:r>
              <w:rPr>
                <w:rFonts w:cs="Calibri"/>
                <w:color w:val="000000" w:themeColor="text1"/>
                <w:sz w:val="18"/>
                <w:szCs w:val="18"/>
              </w:rPr>
              <w:t>10</w:t>
            </w:r>
          </w:p>
        </w:tc>
        <w:tc>
          <w:tcPr>
            <w:tcW w:w="1054" w:type="dxa"/>
            <w:noWrap/>
          </w:tcPr>
          <w:p w:rsidRPr="004307A8" w:rsidR="008959A4" w:rsidP="00717A84" w:rsidRDefault="008959A4" w14:paraId="6F634D90" w14:textId="77777777">
            <w:pPr>
              <w:keepNext/>
              <w:ind w:left="360"/>
              <w:jc w:val="right"/>
              <w:rPr>
                <w:rFonts w:eastAsia="Times New Roman" w:cstheme="minorHAnsi"/>
                <w:color w:val="000000"/>
                <w:sz w:val="20"/>
              </w:rPr>
            </w:pPr>
            <w:r>
              <w:rPr>
                <w:rFonts w:cs="Calibri"/>
                <w:color w:val="000000" w:themeColor="text1"/>
                <w:sz w:val="18"/>
                <w:szCs w:val="18"/>
              </w:rPr>
              <w:t>10</w:t>
            </w:r>
          </w:p>
        </w:tc>
        <w:tc>
          <w:tcPr>
            <w:tcW w:w="1055" w:type="dxa"/>
            <w:noWrap/>
          </w:tcPr>
          <w:p w:rsidRPr="004307A8" w:rsidR="008959A4" w:rsidP="00717A84" w:rsidRDefault="008959A4" w14:paraId="4FA37C5B" w14:textId="77777777">
            <w:pPr>
              <w:keepNext/>
              <w:ind w:left="360"/>
              <w:jc w:val="right"/>
              <w:rPr>
                <w:rFonts w:eastAsia="Times New Roman" w:cstheme="minorHAnsi"/>
                <w:color w:val="000000"/>
                <w:sz w:val="20"/>
              </w:rPr>
            </w:pPr>
            <w:r>
              <w:rPr>
                <w:rFonts w:cs="Calibri"/>
                <w:b/>
                <w:bCs/>
                <w:color w:val="000000" w:themeColor="text1"/>
                <w:sz w:val="18"/>
                <w:szCs w:val="18"/>
              </w:rPr>
              <w:t>50</w:t>
            </w:r>
          </w:p>
        </w:tc>
      </w:tr>
      <w:tr w:rsidRPr="004307A8" w:rsidR="008959A4" w:rsidTr="00717A84" w14:paraId="62A814F7" w14:textId="77777777">
        <w:trPr>
          <w:trHeight w:val="547"/>
          <w:jc w:val="center"/>
        </w:trPr>
        <w:tc>
          <w:tcPr>
            <w:tcW w:w="1255" w:type="dxa"/>
            <w:vMerge/>
            <w:vAlign w:val="center"/>
          </w:tcPr>
          <w:p w:rsidRPr="004307A8" w:rsidR="008959A4" w:rsidP="00717A84" w:rsidRDefault="008959A4" w14:paraId="213E244C" w14:textId="77777777">
            <w:pPr>
              <w:keepNext/>
              <w:ind w:left="360"/>
              <w:rPr>
                <w:rFonts w:eastAsia="Times New Roman" w:cstheme="minorHAnsi"/>
                <w:color w:val="000000"/>
                <w:sz w:val="20"/>
              </w:rPr>
            </w:pPr>
          </w:p>
        </w:tc>
        <w:tc>
          <w:tcPr>
            <w:tcW w:w="1054" w:type="dxa"/>
          </w:tcPr>
          <w:p w:rsidRPr="004307A8" w:rsidR="008959A4" w:rsidP="00717A84" w:rsidRDefault="008959A4" w14:paraId="68033486" w14:textId="77777777">
            <w:pPr>
              <w:keepNext/>
              <w:jc w:val="both"/>
              <w:rPr>
                <w:rFonts w:eastAsia="Times New Roman" w:cstheme="minorHAnsi"/>
                <w:color w:val="000000"/>
                <w:sz w:val="20"/>
              </w:rPr>
            </w:pPr>
            <w:r w:rsidRPr="004307A8">
              <w:rPr>
                <w:sz w:val="20"/>
              </w:rPr>
              <w:t>Therms</w:t>
            </w:r>
          </w:p>
        </w:tc>
        <w:tc>
          <w:tcPr>
            <w:tcW w:w="1054" w:type="dxa"/>
            <w:noWrap/>
          </w:tcPr>
          <w:p w:rsidRPr="004307A8" w:rsidR="008959A4" w:rsidP="00717A84" w:rsidRDefault="008959A4" w14:paraId="5E02EC5E"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3132BD5F"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0297BC95"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122A5628"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7D37EE95"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65C8C7DB" w14:textId="77777777">
            <w:pPr>
              <w:keepNext/>
              <w:ind w:left="360"/>
              <w:jc w:val="right"/>
              <w:rPr>
                <w:rFonts w:eastAsia="Times New Roman" w:cstheme="minorHAnsi"/>
                <w:color w:val="000000"/>
                <w:sz w:val="20"/>
              </w:rPr>
            </w:pPr>
            <w:r>
              <w:rPr>
                <w:rFonts w:cs="Calibri"/>
                <w:b/>
                <w:bCs/>
                <w:color w:val="000000" w:themeColor="text1"/>
                <w:sz w:val="18"/>
                <w:szCs w:val="18"/>
              </w:rPr>
              <w:t>-</w:t>
            </w:r>
          </w:p>
        </w:tc>
      </w:tr>
      <w:tr w:rsidRPr="004307A8" w:rsidR="008959A4" w:rsidTr="00717A84" w14:paraId="539E1686" w14:textId="77777777">
        <w:trPr>
          <w:trHeight w:val="547"/>
          <w:jc w:val="center"/>
        </w:trPr>
        <w:tc>
          <w:tcPr>
            <w:tcW w:w="1255" w:type="dxa"/>
            <w:vMerge w:val="restart"/>
            <w:vAlign w:val="center"/>
            <w:hideMark/>
          </w:tcPr>
          <w:p w:rsidRPr="004307A8" w:rsidR="008959A4" w:rsidP="00717A84" w:rsidRDefault="008959A4" w14:paraId="653943F6" w14:textId="77777777">
            <w:pPr>
              <w:keepNext/>
              <w:rPr>
                <w:rFonts w:eastAsia="Times New Roman" w:cstheme="minorHAnsi"/>
                <w:color w:val="000000"/>
                <w:sz w:val="20"/>
              </w:rPr>
            </w:pPr>
            <w:r>
              <w:rPr>
                <w:rFonts w:eastAsia="Times New Roman" w:cstheme="minorHAnsi"/>
                <w:color w:val="000000"/>
                <w:sz w:val="20"/>
              </w:rPr>
              <w:t>Liberty</w:t>
            </w:r>
          </w:p>
        </w:tc>
        <w:tc>
          <w:tcPr>
            <w:tcW w:w="1054" w:type="dxa"/>
          </w:tcPr>
          <w:p w:rsidRPr="004307A8" w:rsidR="008959A4" w:rsidP="00717A84" w:rsidRDefault="008959A4" w14:paraId="60F11459" w14:textId="77777777">
            <w:pPr>
              <w:keepNext/>
              <w:rPr>
                <w:rFonts w:eastAsia="Times New Roman" w:cstheme="minorHAnsi"/>
                <w:color w:val="000000"/>
                <w:sz w:val="20"/>
              </w:rPr>
            </w:pPr>
            <w:r>
              <w:rPr>
                <w:sz w:val="20"/>
              </w:rPr>
              <w:t>kWh</w:t>
            </w:r>
          </w:p>
        </w:tc>
        <w:tc>
          <w:tcPr>
            <w:tcW w:w="1054" w:type="dxa"/>
            <w:noWrap/>
          </w:tcPr>
          <w:p w:rsidRPr="004307A8" w:rsidR="008959A4" w:rsidP="00717A84" w:rsidRDefault="008959A4" w14:paraId="1BA68E53" w14:textId="77777777">
            <w:pPr>
              <w:keepNext/>
              <w:jc w:val="right"/>
              <w:rPr>
                <w:rFonts w:eastAsia="Times New Roman" w:cstheme="minorHAnsi"/>
                <w:color w:val="000000"/>
                <w:sz w:val="20"/>
              </w:rPr>
            </w:pPr>
            <w:r>
              <w:rPr>
                <w:rFonts w:cs="Calibri"/>
                <w:color w:val="000000" w:themeColor="text1"/>
                <w:sz w:val="18"/>
                <w:szCs w:val="18"/>
              </w:rPr>
              <w:t>72,197</w:t>
            </w:r>
          </w:p>
        </w:tc>
        <w:tc>
          <w:tcPr>
            <w:tcW w:w="1054" w:type="dxa"/>
            <w:noWrap/>
          </w:tcPr>
          <w:p w:rsidRPr="004307A8" w:rsidR="008959A4" w:rsidP="00717A84" w:rsidRDefault="00CC707C" w14:paraId="5FAEC085" w14:textId="6B2F5F72">
            <w:pPr>
              <w:keepNext/>
              <w:jc w:val="right"/>
              <w:rPr>
                <w:rFonts w:eastAsia="Times New Roman" w:cstheme="minorHAnsi"/>
                <w:color w:val="000000"/>
                <w:sz w:val="20"/>
              </w:rPr>
            </w:pPr>
            <w:r w:rsidRPr="001B0D84">
              <w:rPr>
                <w:rFonts w:cs="Calibri"/>
                <w:color w:val="000000" w:themeColor="text1"/>
                <w:sz w:val="18"/>
                <w:szCs w:val="18"/>
              </w:rPr>
              <w:t>72,19</w:t>
            </w:r>
            <w:r>
              <w:rPr>
                <w:rFonts w:cs="Calibri"/>
                <w:color w:val="000000" w:themeColor="text1"/>
                <w:sz w:val="18"/>
                <w:szCs w:val="18"/>
              </w:rPr>
              <w:t>7</w:t>
            </w:r>
          </w:p>
        </w:tc>
        <w:tc>
          <w:tcPr>
            <w:tcW w:w="1055" w:type="dxa"/>
            <w:noWrap/>
          </w:tcPr>
          <w:p w:rsidRPr="004307A8" w:rsidR="008959A4" w:rsidP="00717A84" w:rsidRDefault="008959A4" w14:paraId="4E1C9B43" w14:textId="77777777">
            <w:pPr>
              <w:keepNext/>
              <w:jc w:val="right"/>
              <w:rPr>
                <w:rFonts w:eastAsia="Times New Roman" w:cstheme="minorHAnsi"/>
                <w:color w:val="000000"/>
                <w:sz w:val="20"/>
              </w:rPr>
            </w:pPr>
            <w:r>
              <w:rPr>
                <w:rFonts w:cs="Calibri"/>
                <w:color w:val="000000" w:themeColor="text1"/>
                <w:sz w:val="18"/>
                <w:szCs w:val="18"/>
              </w:rPr>
              <w:t>62,123</w:t>
            </w:r>
          </w:p>
        </w:tc>
        <w:tc>
          <w:tcPr>
            <w:tcW w:w="1054" w:type="dxa"/>
            <w:noWrap/>
          </w:tcPr>
          <w:p w:rsidRPr="004307A8" w:rsidR="008959A4" w:rsidP="00717A84" w:rsidRDefault="008959A4" w14:paraId="3A7D373A" w14:textId="77777777">
            <w:pPr>
              <w:keepNext/>
              <w:jc w:val="right"/>
              <w:rPr>
                <w:rFonts w:eastAsia="Times New Roman" w:cstheme="minorHAnsi"/>
                <w:color w:val="000000"/>
                <w:sz w:val="20"/>
              </w:rPr>
            </w:pPr>
            <w:r>
              <w:rPr>
                <w:rFonts w:cs="Calibri"/>
                <w:color w:val="000000" w:themeColor="text1"/>
                <w:sz w:val="18"/>
                <w:szCs w:val="18"/>
              </w:rPr>
              <w:t>62,123</w:t>
            </w:r>
          </w:p>
        </w:tc>
        <w:tc>
          <w:tcPr>
            <w:tcW w:w="1054" w:type="dxa"/>
            <w:noWrap/>
          </w:tcPr>
          <w:p w:rsidRPr="004307A8" w:rsidR="008959A4" w:rsidP="00717A84" w:rsidRDefault="008959A4" w14:paraId="70BC7666" w14:textId="77777777">
            <w:pPr>
              <w:keepNext/>
              <w:jc w:val="right"/>
              <w:rPr>
                <w:rFonts w:eastAsia="Times New Roman" w:cstheme="minorHAnsi"/>
                <w:color w:val="000000"/>
                <w:sz w:val="20"/>
              </w:rPr>
            </w:pPr>
            <w:r>
              <w:rPr>
                <w:rFonts w:cs="Calibri"/>
                <w:color w:val="000000" w:themeColor="text1"/>
                <w:sz w:val="18"/>
                <w:szCs w:val="18"/>
              </w:rPr>
              <w:t>62,123</w:t>
            </w:r>
          </w:p>
        </w:tc>
        <w:tc>
          <w:tcPr>
            <w:tcW w:w="1055" w:type="dxa"/>
            <w:noWrap/>
          </w:tcPr>
          <w:p w:rsidRPr="004307A8" w:rsidR="008959A4" w:rsidP="00717A84" w:rsidRDefault="00DC1F2F" w14:paraId="09170817" w14:textId="136D9399">
            <w:pPr>
              <w:keepNext/>
              <w:jc w:val="right"/>
              <w:rPr>
                <w:rFonts w:eastAsia="Times New Roman" w:cstheme="minorHAnsi"/>
                <w:color w:val="000000"/>
                <w:sz w:val="20"/>
              </w:rPr>
            </w:pPr>
            <w:r w:rsidRPr="00455F5C">
              <w:rPr>
                <w:rFonts w:cs="Calibri"/>
                <w:b/>
                <w:bCs/>
                <w:color w:val="000000" w:themeColor="text1"/>
                <w:sz w:val="18"/>
                <w:szCs w:val="18"/>
              </w:rPr>
              <w:t>330,764</w:t>
            </w:r>
          </w:p>
        </w:tc>
      </w:tr>
      <w:tr w:rsidRPr="004307A8" w:rsidR="008959A4" w:rsidTr="00717A84" w14:paraId="7A18D4D9" w14:textId="77777777">
        <w:trPr>
          <w:trHeight w:val="547"/>
          <w:jc w:val="center"/>
        </w:trPr>
        <w:tc>
          <w:tcPr>
            <w:tcW w:w="1255" w:type="dxa"/>
            <w:vMerge/>
            <w:vAlign w:val="center"/>
          </w:tcPr>
          <w:p w:rsidRPr="004307A8" w:rsidR="008959A4" w:rsidP="00717A84" w:rsidRDefault="008959A4" w14:paraId="72D2E70C" w14:textId="77777777">
            <w:pPr>
              <w:keepNext/>
              <w:ind w:left="360"/>
              <w:rPr>
                <w:rFonts w:eastAsia="Times New Roman" w:cstheme="minorHAnsi"/>
                <w:color w:val="000000"/>
                <w:sz w:val="20"/>
              </w:rPr>
            </w:pPr>
          </w:p>
        </w:tc>
        <w:tc>
          <w:tcPr>
            <w:tcW w:w="1054" w:type="dxa"/>
          </w:tcPr>
          <w:p w:rsidRPr="004307A8" w:rsidR="008959A4" w:rsidP="00717A84" w:rsidRDefault="008959A4" w14:paraId="1FF6A56E" w14:textId="77777777">
            <w:pPr>
              <w:keepNext/>
              <w:rPr>
                <w:rFonts w:eastAsia="Times New Roman" w:cstheme="minorHAnsi"/>
                <w:color w:val="000000"/>
                <w:sz w:val="20"/>
              </w:rPr>
            </w:pPr>
            <w:r>
              <w:rPr>
                <w:sz w:val="20"/>
              </w:rPr>
              <w:t>kW</w:t>
            </w:r>
          </w:p>
        </w:tc>
        <w:tc>
          <w:tcPr>
            <w:tcW w:w="1054" w:type="dxa"/>
            <w:noWrap/>
          </w:tcPr>
          <w:p w:rsidRPr="004307A8" w:rsidR="008959A4" w:rsidP="00717A84" w:rsidRDefault="008959A4" w14:paraId="5435405B" w14:textId="77777777">
            <w:pPr>
              <w:keepNext/>
              <w:ind w:left="360"/>
              <w:jc w:val="right"/>
              <w:rPr>
                <w:rFonts w:eastAsia="Times New Roman" w:cstheme="minorHAnsi"/>
                <w:color w:val="000000"/>
                <w:sz w:val="20"/>
              </w:rPr>
            </w:pPr>
            <w:r>
              <w:rPr>
                <w:rFonts w:cs="Calibri"/>
                <w:color w:val="000000" w:themeColor="text1"/>
                <w:sz w:val="18"/>
                <w:szCs w:val="18"/>
              </w:rPr>
              <w:t>17</w:t>
            </w:r>
          </w:p>
        </w:tc>
        <w:tc>
          <w:tcPr>
            <w:tcW w:w="1054" w:type="dxa"/>
            <w:noWrap/>
          </w:tcPr>
          <w:p w:rsidRPr="004307A8" w:rsidR="008959A4" w:rsidP="00717A84" w:rsidRDefault="008959A4" w14:paraId="19F2C345" w14:textId="77777777">
            <w:pPr>
              <w:keepNext/>
              <w:ind w:left="360"/>
              <w:jc w:val="right"/>
              <w:rPr>
                <w:rFonts w:eastAsia="Times New Roman" w:cstheme="minorHAnsi"/>
                <w:color w:val="000000"/>
                <w:sz w:val="20"/>
              </w:rPr>
            </w:pPr>
            <w:r>
              <w:rPr>
                <w:rFonts w:cs="Calibri"/>
                <w:color w:val="000000" w:themeColor="text1"/>
                <w:sz w:val="18"/>
                <w:szCs w:val="18"/>
              </w:rPr>
              <w:t>17</w:t>
            </w:r>
          </w:p>
        </w:tc>
        <w:tc>
          <w:tcPr>
            <w:tcW w:w="1055" w:type="dxa"/>
            <w:noWrap/>
          </w:tcPr>
          <w:p w:rsidRPr="004307A8" w:rsidR="008959A4" w:rsidP="00717A84" w:rsidRDefault="008959A4" w14:paraId="1139EA3D" w14:textId="77777777">
            <w:pPr>
              <w:keepNext/>
              <w:ind w:left="360"/>
              <w:jc w:val="right"/>
              <w:rPr>
                <w:rFonts w:eastAsia="Times New Roman" w:cstheme="minorHAnsi"/>
                <w:color w:val="000000"/>
                <w:sz w:val="20"/>
              </w:rPr>
            </w:pPr>
            <w:r>
              <w:rPr>
                <w:rFonts w:cs="Calibri"/>
                <w:color w:val="000000" w:themeColor="text1"/>
                <w:sz w:val="18"/>
                <w:szCs w:val="18"/>
              </w:rPr>
              <w:t>17</w:t>
            </w:r>
          </w:p>
        </w:tc>
        <w:tc>
          <w:tcPr>
            <w:tcW w:w="1054" w:type="dxa"/>
            <w:noWrap/>
          </w:tcPr>
          <w:p w:rsidRPr="004307A8" w:rsidR="008959A4" w:rsidP="00717A84" w:rsidRDefault="008959A4" w14:paraId="75DBD42A" w14:textId="77777777">
            <w:pPr>
              <w:keepNext/>
              <w:ind w:left="360"/>
              <w:jc w:val="right"/>
              <w:rPr>
                <w:rFonts w:eastAsia="Times New Roman" w:cstheme="minorHAnsi"/>
                <w:color w:val="000000"/>
                <w:sz w:val="20"/>
              </w:rPr>
            </w:pPr>
            <w:r>
              <w:rPr>
                <w:rFonts w:cs="Calibri"/>
                <w:color w:val="000000" w:themeColor="text1"/>
                <w:sz w:val="18"/>
                <w:szCs w:val="18"/>
              </w:rPr>
              <w:t>17</w:t>
            </w:r>
          </w:p>
        </w:tc>
        <w:tc>
          <w:tcPr>
            <w:tcW w:w="1054" w:type="dxa"/>
            <w:noWrap/>
          </w:tcPr>
          <w:p w:rsidRPr="004307A8" w:rsidR="008959A4" w:rsidP="00717A84" w:rsidRDefault="008959A4" w14:paraId="0D673D55" w14:textId="77777777">
            <w:pPr>
              <w:keepNext/>
              <w:ind w:left="360"/>
              <w:jc w:val="right"/>
              <w:rPr>
                <w:rFonts w:eastAsia="Times New Roman" w:cstheme="minorHAnsi"/>
                <w:color w:val="000000"/>
                <w:sz w:val="20"/>
              </w:rPr>
            </w:pPr>
            <w:r>
              <w:rPr>
                <w:rFonts w:cs="Calibri"/>
                <w:color w:val="000000" w:themeColor="text1"/>
                <w:sz w:val="18"/>
                <w:szCs w:val="18"/>
              </w:rPr>
              <w:t>17</w:t>
            </w:r>
          </w:p>
        </w:tc>
        <w:tc>
          <w:tcPr>
            <w:tcW w:w="1055" w:type="dxa"/>
            <w:noWrap/>
          </w:tcPr>
          <w:p w:rsidRPr="004307A8" w:rsidR="008959A4" w:rsidP="00717A84" w:rsidRDefault="008959A4" w14:paraId="4CA892E9" w14:textId="77777777">
            <w:pPr>
              <w:keepNext/>
              <w:ind w:left="360"/>
              <w:jc w:val="right"/>
              <w:rPr>
                <w:rFonts w:eastAsia="Times New Roman" w:cstheme="minorHAnsi"/>
                <w:color w:val="000000"/>
                <w:sz w:val="20"/>
              </w:rPr>
            </w:pPr>
            <w:r>
              <w:rPr>
                <w:rFonts w:cs="Calibri"/>
                <w:b/>
                <w:bCs/>
                <w:color w:val="000000" w:themeColor="text1"/>
                <w:sz w:val="18"/>
                <w:szCs w:val="18"/>
              </w:rPr>
              <w:t>86</w:t>
            </w:r>
          </w:p>
        </w:tc>
      </w:tr>
      <w:tr w:rsidRPr="004307A8" w:rsidR="008959A4" w:rsidTr="00717A84" w14:paraId="0079C273" w14:textId="77777777">
        <w:trPr>
          <w:trHeight w:val="547"/>
          <w:jc w:val="center"/>
        </w:trPr>
        <w:tc>
          <w:tcPr>
            <w:tcW w:w="1255" w:type="dxa"/>
            <w:vMerge/>
            <w:vAlign w:val="center"/>
          </w:tcPr>
          <w:p w:rsidRPr="004307A8" w:rsidR="008959A4" w:rsidP="00717A84" w:rsidRDefault="008959A4" w14:paraId="25AA91BA" w14:textId="77777777">
            <w:pPr>
              <w:keepNext/>
              <w:ind w:left="360"/>
              <w:rPr>
                <w:rFonts w:eastAsia="Times New Roman" w:cstheme="minorHAnsi"/>
                <w:color w:val="000000"/>
                <w:sz w:val="20"/>
              </w:rPr>
            </w:pPr>
          </w:p>
        </w:tc>
        <w:tc>
          <w:tcPr>
            <w:tcW w:w="1054" w:type="dxa"/>
          </w:tcPr>
          <w:p w:rsidRPr="004307A8" w:rsidR="008959A4" w:rsidP="00717A84" w:rsidRDefault="008959A4" w14:paraId="1BA56104" w14:textId="77777777">
            <w:pPr>
              <w:keepNext/>
              <w:rPr>
                <w:rFonts w:eastAsia="Times New Roman" w:cstheme="minorHAnsi"/>
                <w:color w:val="000000"/>
                <w:sz w:val="20"/>
              </w:rPr>
            </w:pPr>
            <w:r w:rsidRPr="004307A8">
              <w:rPr>
                <w:sz w:val="20"/>
              </w:rPr>
              <w:t>Therms</w:t>
            </w:r>
          </w:p>
        </w:tc>
        <w:tc>
          <w:tcPr>
            <w:tcW w:w="1054" w:type="dxa"/>
            <w:noWrap/>
          </w:tcPr>
          <w:p w:rsidRPr="004307A8" w:rsidR="008959A4" w:rsidP="00717A84" w:rsidRDefault="008959A4" w14:paraId="3287A521"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18D6B231" w14:textId="6DC41FBC">
            <w:pPr>
              <w:keepNext/>
              <w:ind w:left="360"/>
              <w:jc w:val="right"/>
              <w:rPr>
                <w:rFonts w:eastAsia="Times New Roman" w:cstheme="minorHAnsi"/>
                <w:color w:val="000000"/>
                <w:sz w:val="20"/>
              </w:rPr>
            </w:pPr>
          </w:p>
        </w:tc>
        <w:tc>
          <w:tcPr>
            <w:tcW w:w="1055" w:type="dxa"/>
            <w:noWrap/>
          </w:tcPr>
          <w:p w:rsidRPr="004307A8" w:rsidR="008959A4" w:rsidP="00717A84" w:rsidRDefault="008959A4" w14:paraId="7F7EB50C" w14:textId="77777777">
            <w:pPr>
              <w:keepNext/>
              <w:ind w:left="360"/>
              <w:jc w:val="right"/>
              <w:rPr>
                <w:rFonts w:eastAsia="Times New Roman" w:cstheme="minorHAnsi"/>
                <w:color w:val="000000"/>
                <w:sz w:val="20"/>
              </w:rPr>
            </w:pPr>
            <w:r>
              <w:rPr>
                <w:rFonts w:cs="Calibri"/>
                <w:color w:val="000000" w:themeColor="text1"/>
                <w:sz w:val="18"/>
                <w:szCs w:val="18"/>
              </w:rPr>
              <w:t>999</w:t>
            </w:r>
          </w:p>
        </w:tc>
        <w:tc>
          <w:tcPr>
            <w:tcW w:w="1054" w:type="dxa"/>
            <w:noWrap/>
          </w:tcPr>
          <w:p w:rsidRPr="004307A8" w:rsidR="008959A4" w:rsidP="00717A84" w:rsidRDefault="008959A4" w14:paraId="3AF496DA" w14:textId="77777777">
            <w:pPr>
              <w:keepNext/>
              <w:ind w:left="360"/>
              <w:jc w:val="right"/>
              <w:rPr>
                <w:rFonts w:eastAsia="Times New Roman" w:cstheme="minorHAnsi"/>
                <w:color w:val="000000"/>
                <w:sz w:val="20"/>
              </w:rPr>
            </w:pPr>
            <w:r>
              <w:rPr>
                <w:rFonts w:cs="Calibri"/>
                <w:color w:val="000000" w:themeColor="text1"/>
                <w:sz w:val="18"/>
                <w:szCs w:val="18"/>
              </w:rPr>
              <w:t>999</w:t>
            </w:r>
          </w:p>
        </w:tc>
        <w:tc>
          <w:tcPr>
            <w:tcW w:w="1054" w:type="dxa"/>
            <w:noWrap/>
          </w:tcPr>
          <w:p w:rsidRPr="004307A8" w:rsidR="008959A4" w:rsidP="00717A84" w:rsidRDefault="008959A4" w14:paraId="544C0F06" w14:textId="77777777">
            <w:pPr>
              <w:keepNext/>
              <w:ind w:left="360"/>
              <w:jc w:val="right"/>
              <w:rPr>
                <w:rFonts w:eastAsia="Times New Roman" w:cstheme="minorHAnsi"/>
                <w:color w:val="000000"/>
                <w:sz w:val="20"/>
              </w:rPr>
            </w:pPr>
            <w:r>
              <w:rPr>
                <w:rFonts w:cs="Calibri"/>
                <w:color w:val="000000" w:themeColor="text1"/>
                <w:sz w:val="18"/>
                <w:szCs w:val="18"/>
              </w:rPr>
              <w:t>999</w:t>
            </w:r>
          </w:p>
        </w:tc>
        <w:tc>
          <w:tcPr>
            <w:tcW w:w="1055" w:type="dxa"/>
            <w:noWrap/>
          </w:tcPr>
          <w:p w:rsidRPr="004307A8" w:rsidR="008959A4" w:rsidP="00717A84" w:rsidRDefault="006A1090" w14:paraId="04E92D41" w14:textId="18025042">
            <w:pPr>
              <w:keepNext/>
              <w:ind w:left="360"/>
              <w:jc w:val="right"/>
              <w:rPr>
                <w:rFonts w:eastAsia="Times New Roman" w:cstheme="minorHAnsi"/>
                <w:color w:val="000000"/>
                <w:sz w:val="20"/>
              </w:rPr>
            </w:pPr>
            <w:r>
              <w:rPr>
                <w:rFonts w:cs="Calibri"/>
                <w:b/>
                <w:bCs/>
                <w:color w:val="000000" w:themeColor="text1"/>
                <w:sz w:val="18"/>
                <w:szCs w:val="18"/>
              </w:rPr>
              <w:t>2,997</w:t>
            </w:r>
          </w:p>
        </w:tc>
      </w:tr>
      <w:tr w:rsidRPr="004307A8" w:rsidR="008959A4" w:rsidTr="00717A84" w14:paraId="60619500" w14:textId="77777777">
        <w:trPr>
          <w:trHeight w:val="547"/>
          <w:jc w:val="center"/>
        </w:trPr>
        <w:tc>
          <w:tcPr>
            <w:tcW w:w="1255" w:type="dxa"/>
            <w:vMerge w:val="restart"/>
            <w:vAlign w:val="center"/>
            <w:hideMark/>
          </w:tcPr>
          <w:p w:rsidRPr="004307A8" w:rsidR="008959A4" w:rsidP="00717A84" w:rsidRDefault="008959A4" w14:paraId="5A257338" w14:textId="77777777">
            <w:pPr>
              <w:keepNext/>
              <w:rPr>
                <w:rFonts w:eastAsia="Times New Roman" w:cstheme="minorHAnsi"/>
                <w:color w:val="000000"/>
                <w:sz w:val="20"/>
              </w:rPr>
            </w:pPr>
            <w:r>
              <w:rPr>
                <w:rFonts w:eastAsia="Times New Roman" w:cstheme="minorHAnsi"/>
                <w:color w:val="000000"/>
                <w:sz w:val="20"/>
              </w:rPr>
              <w:t>PacifiCorp</w:t>
            </w:r>
          </w:p>
        </w:tc>
        <w:tc>
          <w:tcPr>
            <w:tcW w:w="1054" w:type="dxa"/>
          </w:tcPr>
          <w:p w:rsidRPr="004307A8" w:rsidR="008959A4" w:rsidP="00717A84" w:rsidRDefault="008959A4" w14:paraId="69C20315" w14:textId="77777777">
            <w:pPr>
              <w:keepNext/>
              <w:rPr>
                <w:rFonts w:eastAsia="Times New Roman" w:cstheme="minorHAnsi"/>
                <w:color w:val="000000"/>
                <w:sz w:val="20"/>
              </w:rPr>
            </w:pPr>
            <w:r>
              <w:rPr>
                <w:sz w:val="20"/>
              </w:rPr>
              <w:t>kWh</w:t>
            </w:r>
          </w:p>
        </w:tc>
        <w:tc>
          <w:tcPr>
            <w:tcW w:w="1054" w:type="dxa"/>
            <w:noWrap/>
          </w:tcPr>
          <w:p w:rsidRPr="004307A8" w:rsidR="008959A4" w:rsidP="00717A84" w:rsidRDefault="008959A4" w14:paraId="52FD3CD5" w14:textId="77777777">
            <w:pPr>
              <w:keepNext/>
              <w:jc w:val="right"/>
              <w:rPr>
                <w:rFonts w:eastAsia="Times New Roman" w:cstheme="minorHAnsi"/>
                <w:color w:val="000000"/>
                <w:sz w:val="20"/>
              </w:rPr>
            </w:pPr>
            <w:r>
              <w:rPr>
                <w:rFonts w:cs="Calibri"/>
                <w:color w:val="000000" w:themeColor="text1"/>
                <w:sz w:val="18"/>
                <w:szCs w:val="18"/>
              </w:rPr>
              <w:t>121,198</w:t>
            </w:r>
          </w:p>
        </w:tc>
        <w:tc>
          <w:tcPr>
            <w:tcW w:w="1054" w:type="dxa"/>
            <w:noWrap/>
          </w:tcPr>
          <w:p w:rsidRPr="004307A8" w:rsidR="008959A4" w:rsidP="00717A84" w:rsidRDefault="008959A4" w14:paraId="5813890D" w14:textId="77777777">
            <w:pPr>
              <w:keepNext/>
              <w:jc w:val="right"/>
              <w:rPr>
                <w:rFonts w:eastAsia="Times New Roman" w:cstheme="minorHAnsi"/>
                <w:color w:val="000000"/>
                <w:sz w:val="20"/>
              </w:rPr>
            </w:pPr>
            <w:r>
              <w:rPr>
                <w:rFonts w:cs="Calibri"/>
                <w:color w:val="000000" w:themeColor="text1"/>
                <w:sz w:val="18"/>
                <w:szCs w:val="18"/>
              </w:rPr>
              <w:t>126,979</w:t>
            </w:r>
          </w:p>
        </w:tc>
        <w:tc>
          <w:tcPr>
            <w:tcW w:w="1055" w:type="dxa"/>
            <w:noWrap/>
          </w:tcPr>
          <w:p w:rsidRPr="004307A8" w:rsidR="008959A4" w:rsidP="00717A84" w:rsidRDefault="008959A4" w14:paraId="007D911E" w14:textId="77777777">
            <w:pPr>
              <w:keepNext/>
              <w:jc w:val="right"/>
              <w:rPr>
                <w:rFonts w:eastAsia="Times New Roman" w:cstheme="minorHAnsi"/>
                <w:color w:val="000000"/>
                <w:sz w:val="20"/>
              </w:rPr>
            </w:pPr>
            <w:r>
              <w:rPr>
                <w:rFonts w:cs="Calibri"/>
                <w:color w:val="000000" w:themeColor="text1"/>
                <w:sz w:val="18"/>
                <w:szCs w:val="18"/>
              </w:rPr>
              <w:t>132,761</w:t>
            </w:r>
          </w:p>
        </w:tc>
        <w:tc>
          <w:tcPr>
            <w:tcW w:w="1054" w:type="dxa"/>
            <w:noWrap/>
          </w:tcPr>
          <w:p w:rsidRPr="004307A8" w:rsidR="008959A4" w:rsidP="00717A84" w:rsidRDefault="008959A4" w14:paraId="6C34D3C2" w14:textId="77777777">
            <w:pPr>
              <w:keepNext/>
              <w:jc w:val="right"/>
              <w:rPr>
                <w:rFonts w:eastAsia="Times New Roman" w:cstheme="minorHAnsi"/>
                <w:color w:val="000000"/>
                <w:sz w:val="20"/>
              </w:rPr>
            </w:pPr>
            <w:r>
              <w:rPr>
                <w:rFonts w:cs="Calibri"/>
                <w:color w:val="000000" w:themeColor="text1"/>
                <w:sz w:val="18"/>
                <w:szCs w:val="18"/>
              </w:rPr>
              <w:t>138,527</w:t>
            </w:r>
          </w:p>
        </w:tc>
        <w:tc>
          <w:tcPr>
            <w:tcW w:w="1054" w:type="dxa"/>
            <w:noWrap/>
          </w:tcPr>
          <w:p w:rsidRPr="004307A8" w:rsidR="008959A4" w:rsidP="00717A84" w:rsidRDefault="008959A4" w14:paraId="41ACAB98" w14:textId="77777777">
            <w:pPr>
              <w:keepNext/>
              <w:jc w:val="right"/>
              <w:rPr>
                <w:rFonts w:eastAsia="Times New Roman" w:cstheme="minorHAnsi"/>
                <w:color w:val="000000"/>
                <w:sz w:val="20"/>
              </w:rPr>
            </w:pPr>
            <w:r>
              <w:rPr>
                <w:rFonts w:cs="Calibri"/>
                <w:color w:val="000000" w:themeColor="text1"/>
                <w:sz w:val="18"/>
                <w:szCs w:val="18"/>
              </w:rPr>
              <w:t>144,310</w:t>
            </w:r>
          </w:p>
        </w:tc>
        <w:tc>
          <w:tcPr>
            <w:tcW w:w="1055" w:type="dxa"/>
            <w:noWrap/>
          </w:tcPr>
          <w:p w:rsidRPr="004307A8" w:rsidR="008959A4" w:rsidP="00717A84" w:rsidRDefault="008959A4" w14:paraId="183FBDD0" w14:textId="77777777">
            <w:pPr>
              <w:keepNext/>
              <w:jc w:val="right"/>
              <w:rPr>
                <w:rFonts w:eastAsia="Times New Roman" w:cstheme="minorHAnsi"/>
                <w:color w:val="000000"/>
                <w:sz w:val="20"/>
              </w:rPr>
            </w:pPr>
            <w:r>
              <w:rPr>
                <w:rFonts w:cs="Calibri"/>
                <w:b/>
                <w:bCs/>
                <w:color w:val="000000" w:themeColor="text1"/>
                <w:sz w:val="18"/>
                <w:szCs w:val="18"/>
              </w:rPr>
              <w:t>663,774</w:t>
            </w:r>
          </w:p>
        </w:tc>
      </w:tr>
      <w:tr w:rsidRPr="004307A8" w:rsidR="008959A4" w:rsidTr="00717A84" w14:paraId="7F473001" w14:textId="77777777">
        <w:trPr>
          <w:trHeight w:val="547"/>
          <w:jc w:val="center"/>
        </w:trPr>
        <w:tc>
          <w:tcPr>
            <w:tcW w:w="1255" w:type="dxa"/>
            <w:vMerge/>
            <w:vAlign w:val="center"/>
          </w:tcPr>
          <w:p w:rsidRPr="004307A8" w:rsidR="008959A4" w:rsidP="00717A84" w:rsidRDefault="008959A4" w14:paraId="1A9E02EF" w14:textId="77777777">
            <w:pPr>
              <w:keepNext/>
              <w:ind w:left="360"/>
              <w:rPr>
                <w:rFonts w:eastAsia="Times New Roman" w:cstheme="minorHAnsi"/>
                <w:color w:val="000000"/>
                <w:sz w:val="20"/>
              </w:rPr>
            </w:pPr>
          </w:p>
        </w:tc>
        <w:tc>
          <w:tcPr>
            <w:tcW w:w="1054" w:type="dxa"/>
          </w:tcPr>
          <w:p w:rsidRPr="004307A8" w:rsidR="008959A4" w:rsidP="00717A84" w:rsidRDefault="008959A4" w14:paraId="3AE34DD0" w14:textId="77777777">
            <w:pPr>
              <w:keepNext/>
              <w:rPr>
                <w:rFonts w:eastAsia="Times New Roman" w:cstheme="minorHAnsi"/>
                <w:color w:val="000000"/>
                <w:sz w:val="20"/>
              </w:rPr>
            </w:pPr>
            <w:r>
              <w:rPr>
                <w:sz w:val="20"/>
              </w:rPr>
              <w:t>kW*</w:t>
            </w:r>
          </w:p>
        </w:tc>
        <w:tc>
          <w:tcPr>
            <w:tcW w:w="1054" w:type="dxa"/>
            <w:noWrap/>
          </w:tcPr>
          <w:p w:rsidRPr="004307A8" w:rsidR="008959A4" w:rsidP="00717A84" w:rsidRDefault="008959A4" w14:paraId="3D2CE6E0" w14:textId="77777777">
            <w:pPr>
              <w:keepNext/>
              <w:ind w:left="360"/>
              <w:jc w:val="right"/>
              <w:rPr>
                <w:rFonts w:eastAsia="Times New Roman" w:cstheme="minorHAnsi"/>
                <w:color w:val="000000"/>
                <w:sz w:val="20"/>
              </w:rPr>
            </w:pPr>
            <w:r>
              <w:rPr>
                <w:rFonts w:cs="Calibri"/>
                <w:color w:val="000000" w:themeColor="text1"/>
                <w:sz w:val="18"/>
                <w:szCs w:val="18"/>
              </w:rPr>
              <w:t>N/A</w:t>
            </w:r>
          </w:p>
        </w:tc>
        <w:tc>
          <w:tcPr>
            <w:tcW w:w="1054" w:type="dxa"/>
            <w:noWrap/>
          </w:tcPr>
          <w:p w:rsidRPr="004307A8" w:rsidR="008959A4" w:rsidP="00717A84" w:rsidRDefault="008959A4" w14:paraId="7EA1EFB2" w14:textId="77777777">
            <w:pPr>
              <w:keepNext/>
              <w:ind w:left="360"/>
              <w:jc w:val="right"/>
              <w:rPr>
                <w:rFonts w:eastAsia="Times New Roman" w:cstheme="minorHAnsi"/>
                <w:color w:val="000000"/>
                <w:sz w:val="20"/>
              </w:rPr>
            </w:pPr>
            <w:r>
              <w:rPr>
                <w:rFonts w:cs="Calibri"/>
                <w:color w:val="000000" w:themeColor="text1"/>
                <w:sz w:val="18"/>
                <w:szCs w:val="18"/>
              </w:rPr>
              <w:t>N/A</w:t>
            </w:r>
          </w:p>
        </w:tc>
        <w:tc>
          <w:tcPr>
            <w:tcW w:w="1055" w:type="dxa"/>
            <w:noWrap/>
          </w:tcPr>
          <w:p w:rsidRPr="004307A8" w:rsidR="008959A4" w:rsidP="00717A84" w:rsidRDefault="008959A4" w14:paraId="25757514" w14:textId="77777777">
            <w:pPr>
              <w:keepNext/>
              <w:ind w:left="360"/>
              <w:jc w:val="right"/>
              <w:rPr>
                <w:rFonts w:eastAsia="Times New Roman" w:cstheme="minorHAnsi"/>
                <w:color w:val="000000"/>
                <w:sz w:val="20"/>
              </w:rPr>
            </w:pPr>
            <w:r>
              <w:rPr>
                <w:rFonts w:cs="Calibri"/>
                <w:color w:val="000000" w:themeColor="text1"/>
                <w:sz w:val="18"/>
                <w:szCs w:val="18"/>
              </w:rPr>
              <w:t>N/A</w:t>
            </w:r>
          </w:p>
        </w:tc>
        <w:tc>
          <w:tcPr>
            <w:tcW w:w="1054" w:type="dxa"/>
            <w:noWrap/>
          </w:tcPr>
          <w:p w:rsidRPr="004307A8" w:rsidR="008959A4" w:rsidP="00717A84" w:rsidRDefault="008959A4" w14:paraId="26194C05" w14:textId="77777777">
            <w:pPr>
              <w:keepNext/>
              <w:ind w:left="360"/>
              <w:jc w:val="right"/>
              <w:rPr>
                <w:rFonts w:eastAsia="Times New Roman" w:cstheme="minorHAnsi"/>
                <w:color w:val="000000"/>
                <w:sz w:val="20"/>
              </w:rPr>
            </w:pPr>
            <w:r>
              <w:rPr>
                <w:rFonts w:cs="Calibri"/>
                <w:color w:val="000000" w:themeColor="text1"/>
                <w:sz w:val="18"/>
                <w:szCs w:val="18"/>
              </w:rPr>
              <w:t>N/A</w:t>
            </w:r>
          </w:p>
        </w:tc>
        <w:tc>
          <w:tcPr>
            <w:tcW w:w="1054" w:type="dxa"/>
            <w:noWrap/>
          </w:tcPr>
          <w:p w:rsidRPr="004307A8" w:rsidR="008959A4" w:rsidP="00717A84" w:rsidRDefault="008959A4" w14:paraId="338627CB" w14:textId="77777777">
            <w:pPr>
              <w:keepNext/>
              <w:ind w:left="360"/>
              <w:jc w:val="right"/>
              <w:rPr>
                <w:rFonts w:eastAsia="Times New Roman" w:cstheme="minorHAnsi"/>
                <w:color w:val="000000"/>
                <w:sz w:val="20"/>
              </w:rPr>
            </w:pPr>
            <w:r>
              <w:rPr>
                <w:rFonts w:cs="Calibri"/>
                <w:color w:val="000000" w:themeColor="text1"/>
                <w:sz w:val="18"/>
                <w:szCs w:val="18"/>
              </w:rPr>
              <w:t>N/A</w:t>
            </w:r>
          </w:p>
        </w:tc>
        <w:tc>
          <w:tcPr>
            <w:tcW w:w="1055" w:type="dxa"/>
            <w:noWrap/>
          </w:tcPr>
          <w:p w:rsidRPr="004307A8" w:rsidR="008959A4" w:rsidP="00717A84" w:rsidRDefault="008959A4" w14:paraId="3CB177A1" w14:textId="77777777">
            <w:pPr>
              <w:keepNext/>
              <w:ind w:left="360"/>
              <w:jc w:val="right"/>
              <w:rPr>
                <w:rFonts w:eastAsia="Times New Roman" w:cstheme="minorHAnsi"/>
                <w:color w:val="000000"/>
                <w:sz w:val="20"/>
              </w:rPr>
            </w:pPr>
            <w:r>
              <w:rPr>
                <w:rFonts w:cs="Calibri"/>
                <w:b/>
                <w:bCs/>
                <w:color w:val="000000" w:themeColor="text1"/>
                <w:sz w:val="18"/>
                <w:szCs w:val="18"/>
              </w:rPr>
              <w:t>N/A</w:t>
            </w:r>
          </w:p>
        </w:tc>
      </w:tr>
      <w:tr w:rsidRPr="004307A8" w:rsidR="008959A4" w:rsidTr="00717A84" w14:paraId="6A79A731" w14:textId="77777777">
        <w:trPr>
          <w:trHeight w:val="547"/>
          <w:jc w:val="center"/>
        </w:trPr>
        <w:tc>
          <w:tcPr>
            <w:tcW w:w="1255" w:type="dxa"/>
            <w:vMerge/>
            <w:vAlign w:val="center"/>
          </w:tcPr>
          <w:p w:rsidRPr="004307A8" w:rsidR="008959A4" w:rsidP="00717A84" w:rsidRDefault="008959A4" w14:paraId="6909925E" w14:textId="77777777">
            <w:pPr>
              <w:keepNext/>
              <w:ind w:left="360"/>
              <w:rPr>
                <w:rFonts w:eastAsia="Times New Roman" w:cstheme="minorHAnsi"/>
                <w:color w:val="000000"/>
                <w:sz w:val="20"/>
              </w:rPr>
            </w:pPr>
          </w:p>
        </w:tc>
        <w:tc>
          <w:tcPr>
            <w:tcW w:w="1054" w:type="dxa"/>
          </w:tcPr>
          <w:p w:rsidRPr="004307A8" w:rsidR="008959A4" w:rsidP="00717A84" w:rsidRDefault="008959A4" w14:paraId="2F4111AB" w14:textId="77777777">
            <w:pPr>
              <w:keepNext/>
              <w:rPr>
                <w:rFonts w:eastAsia="Times New Roman" w:cstheme="minorHAnsi"/>
                <w:color w:val="000000"/>
                <w:sz w:val="20"/>
              </w:rPr>
            </w:pPr>
            <w:r w:rsidRPr="004307A8">
              <w:rPr>
                <w:sz w:val="20"/>
              </w:rPr>
              <w:t>Therms</w:t>
            </w:r>
          </w:p>
        </w:tc>
        <w:tc>
          <w:tcPr>
            <w:tcW w:w="1054" w:type="dxa"/>
            <w:noWrap/>
          </w:tcPr>
          <w:p w:rsidRPr="004307A8" w:rsidR="008959A4" w:rsidP="00717A84" w:rsidRDefault="008959A4" w14:paraId="6E4F87B6"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7C1652F7"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7F79C5B0"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7DA1E9CB"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47931080"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6FECCCCC" w14:textId="77777777">
            <w:pPr>
              <w:keepNext/>
              <w:ind w:left="360"/>
              <w:jc w:val="right"/>
              <w:rPr>
                <w:rFonts w:eastAsia="Times New Roman" w:cstheme="minorHAnsi"/>
                <w:color w:val="000000"/>
                <w:sz w:val="20"/>
              </w:rPr>
            </w:pPr>
            <w:r>
              <w:rPr>
                <w:rFonts w:cs="Calibri"/>
                <w:b/>
                <w:bCs/>
                <w:color w:val="000000" w:themeColor="text1"/>
                <w:sz w:val="18"/>
                <w:szCs w:val="18"/>
              </w:rPr>
              <w:t>-</w:t>
            </w:r>
          </w:p>
        </w:tc>
      </w:tr>
      <w:tr w:rsidRPr="004307A8" w:rsidR="008959A4" w:rsidTr="00717A84" w14:paraId="6E4D5EF1" w14:textId="77777777">
        <w:trPr>
          <w:trHeight w:val="547"/>
          <w:jc w:val="center"/>
        </w:trPr>
        <w:tc>
          <w:tcPr>
            <w:tcW w:w="1255" w:type="dxa"/>
            <w:vMerge w:val="restart"/>
            <w:vAlign w:val="center"/>
            <w:hideMark/>
          </w:tcPr>
          <w:p w:rsidRPr="004307A8" w:rsidR="008959A4" w:rsidP="00717A84" w:rsidRDefault="008959A4" w14:paraId="580FF105" w14:textId="77777777">
            <w:pPr>
              <w:keepNext/>
              <w:rPr>
                <w:rFonts w:eastAsia="Times New Roman" w:cstheme="minorHAnsi"/>
                <w:color w:val="000000"/>
                <w:sz w:val="20"/>
              </w:rPr>
            </w:pPr>
            <w:r>
              <w:rPr>
                <w:rFonts w:eastAsia="Times New Roman" w:cstheme="minorHAnsi"/>
                <w:color w:val="000000"/>
                <w:sz w:val="20"/>
              </w:rPr>
              <w:t>Southwest Gas</w:t>
            </w:r>
          </w:p>
        </w:tc>
        <w:tc>
          <w:tcPr>
            <w:tcW w:w="1054" w:type="dxa"/>
          </w:tcPr>
          <w:p w:rsidRPr="004307A8" w:rsidR="008959A4" w:rsidP="00717A84" w:rsidRDefault="008959A4" w14:paraId="769E2E12" w14:textId="77777777">
            <w:pPr>
              <w:keepNext/>
              <w:rPr>
                <w:rFonts w:eastAsia="Times New Roman" w:cstheme="minorHAnsi"/>
                <w:color w:val="000000"/>
                <w:sz w:val="20"/>
              </w:rPr>
            </w:pPr>
            <w:r>
              <w:rPr>
                <w:sz w:val="20"/>
              </w:rPr>
              <w:t>kWh</w:t>
            </w:r>
          </w:p>
        </w:tc>
        <w:tc>
          <w:tcPr>
            <w:tcW w:w="1054" w:type="dxa"/>
            <w:noWrap/>
          </w:tcPr>
          <w:p w:rsidRPr="004307A8" w:rsidR="008959A4" w:rsidP="00717A84" w:rsidRDefault="008959A4" w14:paraId="2D5A5FE7"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7F1DE207"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387520D4"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00792948"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43314E7A"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559C7550" w14:textId="77777777">
            <w:pPr>
              <w:keepNext/>
              <w:ind w:left="360"/>
              <w:jc w:val="right"/>
              <w:rPr>
                <w:rFonts w:eastAsia="Times New Roman" w:cstheme="minorHAnsi"/>
                <w:color w:val="000000"/>
                <w:sz w:val="20"/>
              </w:rPr>
            </w:pPr>
            <w:r>
              <w:rPr>
                <w:rFonts w:cs="Calibri"/>
                <w:b/>
                <w:bCs/>
                <w:color w:val="000000" w:themeColor="text1"/>
                <w:sz w:val="18"/>
                <w:szCs w:val="18"/>
              </w:rPr>
              <w:t>-</w:t>
            </w:r>
          </w:p>
        </w:tc>
      </w:tr>
      <w:tr w:rsidRPr="004307A8" w:rsidR="008959A4" w:rsidTr="00717A84" w14:paraId="43F57D28" w14:textId="77777777">
        <w:trPr>
          <w:trHeight w:val="547"/>
          <w:jc w:val="center"/>
        </w:trPr>
        <w:tc>
          <w:tcPr>
            <w:tcW w:w="1255" w:type="dxa"/>
            <w:vMerge/>
          </w:tcPr>
          <w:p w:rsidRPr="004307A8" w:rsidR="008959A4" w:rsidP="00717A84" w:rsidRDefault="008959A4" w14:paraId="29403E6F" w14:textId="77777777">
            <w:pPr>
              <w:keepNext/>
              <w:ind w:left="360"/>
              <w:rPr>
                <w:rFonts w:eastAsia="Times New Roman" w:cstheme="minorHAnsi"/>
                <w:color w:val="000000"/>
                <w:sz w:val="20"/>
              </w:rPr>
            </w:pPr>
          </w:p>
        </w:tc>
        <w:tc>
          <w:tcPr>
            <w:tcW w:w="1054" w:type="dxa"/>
          </w:tcPr>
          <w:p w:rsidRPr="004307A8" w:rsidR="008959A4" w:rsidP="00717A84" w:rsidRDefault="008959A4" w14:paraId="20A7FDF8" w14:textId="77777777">
            <w:pPr>
              <w:keepNext/>
              <w:rPr>
                <w:rFonts w:eastAsia="Times New Roman" w:cstheme="minorHAnsi"/>
                <w:color w:val="000000"/>
                <w:sz w:val="20"/>
              </w:rPr>
            </w:pPr>
            <w:r>
              <w:rPr>
                <w:sz w:val="20"/>
              </w:rPr>
              <w:t>kW</w:t>
            </w:r>
          </w:p>
        </w:tc>
        <w:tc>
          <w:tcPr>
            <w:tcW w:w="1054" w:type="dxa"/>
            <w:noWrap/>
          </w:tcPr>
          <w:p w:rsidRPr="004307A8" w:rsidR="008959A4" w:rsidP="00717A84" w:rsidRDefault="008959A4" w14:paraId="67C6DE2B"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534617F9"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43128B11"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396DDC53"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4" w:type="dxa"/>
            <w:noWrap/>
          </w:tcPr>
          <w:p w:rsidRPr="004307A8" w:rsidR="008959A4" w:rsidP="00717A84" w:rsidRDefault="008959A4" w14:paraId="46AA2B20" w14:textId="77777777">
            <w:pPr>
              <w:keepNext/>
              <w:ind w:left="360"/>
              <w:jc w:val="right"/>
              <w:rPr>
                <w:rFonts w:eastAsia="Times New Roman" w:cstheme="minorHAnsi"/>
                <w:color w:val="000000"/>
                <w:sz w:val="20"/>
              </w:rPr>
            </w:pPr>
            <w:r>
              <w:rPr>
                <w:rFonts w:cs="Calibri"/>
                <w:color w:val="000000" w:themeColor="text1"/>
                <w:sz w:val="18"/>
                <w:szCs w:val="18"/>
              </w:rPr>
              <w:t>-</w:t>
            </w:r>
          </w:p>
        </w:tc>
        <w:tc>
          <w:tcPr>
            <w:tcW w:w="1055" w:type="dxa"/>
            <w:noWrap/>
          </w:tcPr>
          <w:p w:rsidRPr="004307A8" w:rsidR="008959A4" w:rsidP="00717A84" w:rsidRDefault="008959A4" w14:paraId="094555B4" w14:textId="77777777">
            <w:pPr>
              <w:keepNext/>
              <w:ind w:left="360"/>
              <w:jc w:val="right"/>
              <w:rPr>
                <w:rFonts w:eastAsia="Times New Roman" w:cstheme="minorHAnsi"/>
                <w:color w:val="000000"/>
                <w:sz w:val="20"/>
              </w:rPr>
            </w:pPr>
            <w:r>
              <w:rPr>
                <w:rFonts w:cs="Calibri"/>
                <w:b/>
                <w:bCs/>
                <w:color w:val="000000" w:themeColor="text1"/>
                <w:sz w:val="18"/>
                <w:szCs w:val="18"/>
              </w:rPr>
              <w:t>-</w:t>
            </w:r>
          </w:p>
        </w:tc>
      </w:tr>
      <w:tr w:rsidRPr="004307A8" w:rsidR="008959A4" w:rsidTr="00717A84" w14:paraId="59D34C0E" w14:textId="77777777">
        <w:trPr>
          <w:trHeight w:val="547"/>
          <w:jc w:val="center"/>
        </w:trPr>
        <w:tc>
          <w:tcPr>
            <w:tcW w:w="1255" w:type="dxa"/>
            <w:vMerge/>
          </w:tcPr>
          <w:p w:rsidRPr="004307A8" w:rsidR="008959A4" w:rsidP="00717A84" w:rsidRDefault="008959A4" w14:paraId="3BCF4C29" w14:textId="77777777">
            <w:pPr>
              <w:keepNext/>
              <w:ind w:left="360"/>
              <w:rPr>
                <w:rFonts w:eastAsia="Times New Roman" w:cstheme="minorHAnsi"/>
                <w:color w:val="000000"/>
                <w:sz w:val="20"/>
              </w:rPr>
            </w:pPr>
          </w:p>
        </w:tc>
        <w:tc>
          <w:tcPr>
            <w:tcW w:w="1054" w:type="dxa"/>
          </w:tcPr>
          <w:p w:rsidRPr="004307A8" w:rsidR="008959A4" w:rsidP="00717A84" w:rsidRDefault="008959A4" w14:paraId="1AA99890" w14:textId="77777777">
            <w:pPr>
              <w:keepNext/>
              <w:rPr>
                <w:rFonts w:eastAsia="Times New Roman" w:cstheme="minorHAnsi"/>
                <w:color w:val="000000"/>
                <w:sz w:val="20"/>
              </w:rPr>
            </w:pPr>
            <w:r w:rsidRPr="004307A8">
              <w:rPr>
                <w:sz w:val="20"/>
              </w:rPr>
              <w:t>Therms</w:t>
            </w:r>
          </w:p>
        </w:tc>
        <w:tc>
          <w:tcPr>
            <w:tcW w:w="1054" w:type="dxa"/>
            <w:noWrap/>
          </w:tcPr>
          <w:p w:rsidRPr="004307A8" w:rsidR="008959A4" w:rsidP="00717A84" w:rsidRDefault="008959A4" w14:paraId="774E93B7" w14:textId="77777777">
            <w:pPr>
              <w:keepNext/>
              <w:jc w:val="right"/>
              <w:rPr>
                <w:rFonts w:eastAsia="Times New Roman" w:cstheme="minorHAnsi"/>
                <w:color w:val="000000"/>
                <w:sz w:val="20"/>
              </w:rPr>
            </w:pPr>
            <w:r>
              <w:rPr>
                <w:rFonts w:cs="Calibri"/>
                <w:color w:val="000000" w:themeColor="text1"/>
                <w:sz w:val="18"/>
                <w:szCs w:val="18"/>
              </w:rPr>
              <w:t>47,668</w:t>
            </w:r>
          </w:p>
        </w:tc>
        <w:tc>
          <w:tcPr>
            <w:tcW w:w="1054" w:type="dxa"/>
            <w:noWrap/>
          </w:tcPr>
          <w:p w:rsidRPr="004307A8" w:rsidR="008959A4" w:rsidP="00717A84" w:rsidRDefault="008959A4" w14:paraId="1C85D7A8" w14:textId="77777777">
            <w:pPr>
              <w:keepNext/>
              <w:jc w:val="right"/>
              <w:rPr>
                <w:rFonts w:eastAsia="Times New Roman" w:cstheme="minorHAnsi"/>
                <w:color w:val="000000"/>
                <w:sz w:val="20"/>
              </w:rPr>
            </w:pPr>
            <w:r>
              <w:rPr>
                <w:rFonts w:cs="Calibri"/>
                <w:color w:val="000000" w:themeColor="text1"/>
                <w:sz w:val="18"/>
                <w:szCs w:val="18"/>
              </w:rPr>
              <w:t>46,321</w:t>
            </w:r>
          </w:p>
        </w:tc>
        <w:tc>
          <w:tcPr>
            <w:tcW w:w="1055" w:type="dxa"/>
            <w:noWrap/>
          </w:tcPr>
          <w:p w:rsidRPr="004307A8" w:rsidR="008959A4" w:rsidP="00717A84" w:rsidRDefault="008959A4" w14:paraId="55AF0B64" w14:textId="77777777">
            <w:pPr>
              <w:keepNext/>
              <w:jc w:val="right"/>
              <w:rPr>
                <w:rFonts w:eastAsia="Times New Roman" w:cstheme="minorHAnsi"/>
                <w:color w:val="000000"/>
                <w:sz w:val="20"/>
              </w:rPr>
            </w:pPr>
            <w:r>
              <w:rPr>
                <w:rFonts w:cs="Calibri"/>
                <w:color w:val="000000" w:themeColor="text1"/>
                <w:sz w:val="18"/>
                <w:szCs w:val="18"/>
              </w:rPr>
              <w:t>48,763</w:t>
            </w:r>
          </w:p>
        </w:tc>
        <w:tc>
          <w:tcPr>
            <w:tcW w:w="1054" w:type="dxa"/>
            <w:noWrap/>
          </w:tcPr>
          <w:p w:rsidRPr="004307A8" w:rsidR="008959A4" w:rsidP="00717A84" w:rsidRDefault="008959A4" w14:paraId="3754E07B" w14:textId="77777777">
            <w:pPr>
              <w:keepNext/>
              <w:jc w:val="right"/>
              <w:rPr>
                <w:rFonts w:eastAsia="Times New Roman" w:cstheme="minorHAnsi"/>
                <w:color w:val="000000"/>
                <w:sz w:val="20"/>
              </w:rPr>
            </w:pPr>
            <w:r>
              <w:rPr>
                <w:rFonts w:cs="Calibri"/>
                <w:color w:val="000000" w:themeColor="text1"/>
                <w:sz w:val="18"/>
                <w:szCs w:val="18"/>
              </w:rPr>
              <w:t>50,175</w:t>
            </w:r>
          </w:p>
        </w:tc>
        <w:tc>
          <w:tcPr>
            <w:tcW w:w="1054" w:type="dxa"/>
            <w:noWrap/>
          </w:tcPr>
          <w:p w:rsidRPr="004307A8" w:rsidR="008959A4" w:rsidP="00717A84" w:rsidRDefault="008959A4" w14:paraId="4E34B0C4" w14:textId="77777777">
            <w:pPr>
              <w:keepNext/>
              <w:jc w:val="right"/>
              <w:rPr>
                <w:rFonts w:eastAsia="Times New Roman" w:cstheme="minorHAnsi"/>
                <w:color w:val="000000"/>
                <w:sz w:val="20"/>
              </w:rPr>
            </w:pPr>
            <w:r>
              <w:rPr>
                <w:rFonts w:cs="Calibri"/>
                <w:color w:val="000000" w:themeColor="text1"/>
                <w:sz w:val="18"/>
                <w:szCs w:val="18"/>
              </w:rPr>
              <w:t>55,002</w:t>
            </w:r>
          </w:p>
        </w:tc>
        <w:tc>
          <w:tcPr>
            <w:tcW w:w="1055" w:type="dxa"/>
            <w:noWrap/>
          </w:tcPr>
          <w:p w:rsidRPr="004307A8" w:rsidR="008959A4" w:rsidP="00717A84" w:rsidRDefault="008959A4" w14:paraId="566E2020" w14:textId="77777777">
            <w:pPr>
              <w:keepNext/>
              <w:jc w:val="right"/>
              <w:rPr>
                <w:rFonts w:eastAsia="Times New Roman" w:cstheme="minorHAnsi"/>
                <w:color w:val="000000"/>
                <w:sz w:val="20"/>
              </w:rPr>
            </w:pPr>
            <w:r>
              <w:rPr>
                <w:rFonts w:cs="Calibri"/>
                <w:b/>
                <w:bCs/>
                <w:color w:val="000000" w:themeColor="text1"/>
                <w:sz w:val="18"/>
                <w:szCs w:val="18"/>
              </w:rPr>
              <w:t>247,928</w:t>
            </w:r>
          </w:p>
        </w:tc>
      </w:tr>
      <w:tr w:rsidRPr="004307A8" w:rsidR="006F4A19" w:rsidTr="00717A84" w14:paraId="51B79B82" w14:textId="77777777">
        <w:trPr>
          <w:trHeight w:val="547"/>
          <w:jc w:val="center"/>
        </w:trPr>
        <w:tc>
          <w:tcPr>
            <w:tcW w:w="1255" w:type="dxa"/>
            <w:vMerge w:val="restart"/>
            <w:vAlign w:val="center"/>
            <w:hideMark/>
          </w:tcPr>
          <w:p w:rsidRPr="004307A8" w:rsidR="006F4A19" w:rsidP="006F4A19" w:rsidRDefault="006F4A19" w14:paraId="1A19AC86" w14:textId="77777777">
            <w:pPr>
              <w:keepNext/>
              <w:rPr>
                <w:rFonts w:eastAsia="Times New Roman" w:cstheme="minorHAnsi"/>
                <w:color w:val="000000"/>
                <w:sz w:val="20"/>
              </w:rPr>
            </w:pPr>
            <w:r w:rsidRPr="004307A8">
              <w:rPr>
                <w:rFonts w:eastAsia="Times New Roman" w:cstheme="minorHAnsi"/>
                <w:color w:val="000000"/>
                <w:sz w:val="20"/>
              </w:rPr>
              <w:t>Annual Total</w:t>
            </w:r>
          </w:p>
        </w:tc>
        <w:tc>
          <w:tcPr>
            <w:tcW w:w="1054" w:type="dxa"/>
          </w:tcPr>
          <w:p w:rsidRPr="004307A8" w:rsidR="006F4A19" w:rsidP="006F4A19" w:rsidRDefault="006F4A19" w14:paraId="65FC58AF" w14:textId="77777777">
            <w:pPr>
              <w:keepNext/>
              <w:rPr>
                <w:rFonts w:eastAsia="Times New Roman" w:cstheme="minorHAnsi"/>
                <w:color w:val="000000"/>
                <w:sz w:val="20"/>
              </w:rPr>
            </w:pPr>
            <w:r>
              <w:rPr>
                <w:sz w:val="20"/>
              </w:rPr>
              <w:t>kWh</w:t>
            </w:r>
          </w:p>
        </w:tc>
        <w:tc>
          <w:tcPr>
            <w:tcW w:w="1054" w:type="dxa"/>
            <w:noWrap/>
          </w:tcPr>
          <w:p w:rsidRPr="004307A8" w:rsidR="006F4A19" w:rsidP="006F4A19" w:rsidRDefault="006F4A19" w14:paraId="1CE320C5" w14:textId="77777777">
            <w:pPr>
              <w:keepNext/>
              <w:jc w:val="right"/>
              <w:rPr>
                <w:rFonts w:eastAsia="Times New Roman" w:cstheme="minorHAnsi"/>
                <w:color w:val="000000"/>
                <w:sz w:val="20"/>
              </w:rPr>
            </w:pPr>
            <w:r>
              <w:rPr>
                <w:rFonts w:cs="Calibri"/>
                <w:color w:val="000000" w:themeColor="text1"/>
                <w:sz w:val="18"/>
                <w:szCs w:val="18"/>
              </w:rPr>
              <w:t>235,058</w:t>
            </w:r>
          </w:p>
        </w:tc>
        <w:tc>
          <w:tcPr>
            <w:tcW w:w="1054" w:type="dxa"/>
            <w:noWrap/>
          </w:tcPr>
          <w:p w:rsidRPr="004307A8" w:rsidR="006F4A19" w:rsidP="006F4A19" w:rsidRDefault="006F4A19" w14:paraId="506CEE52" w14:textId="2BCDA941">
            <w:pPr>
              <w:keepNext/>
              <w:jc w:val="right"/>
              <w:rPr>
                <w:rFonts w:eastAsia="Times New Roman" w:cstheme="minorHAnsi"/>
                <w:color w:val="000000"/>
                <w:sz w:val="20"/>
              </w:rPr>
            </w:pPr>
            <w:r w:rsidRPr="00575F2A">
              <w:rPr>
                <w:rFonts w:cs="Calibri"/>
                <w:color w:val="000000" w:themeColor="text1"/>
                <w:sz w:val="18"/>
                <w:szCs w:val="18"/>
              </w:rPr>
              <w:t>240,8</w:t>
            </w:r>
            <w:r>
              <w:rPr>
                <w:rFonts w:cs="Calibri"/>
                <w:color w:val="000000" w:themeColor="text1"/>
                <w:sz w:val="18"/>
                <w:szCs w:val="18"/>
              </w:rPr>
              <w:t>39</w:t>
            </w:r>
          </w:p>
        </w:tc>
        <w:tc>
          <w:tcPr>
            <w:tcW w:w="1055" w:type="dxa"/>
            <w:noWrap/>
          </w:tcPr>
          <w:p w:rsidRPr="004307A8" w:rsidR="006F4A19" w:rsidP="006F4A19" w:rsidRDefault="006F4A19" w14:paraId="7DFFA7F0" w14:textId="77777777">
            <w:pPr>
              <w:keepNext/>
              <w:jc w:val="right"/>
              <w:rPr>
                <w:rFonts w:eastAsia="Times New Roman" w:cstheme="minorHAnsi"/>
                <w:color w:val="000000"/>
                <w:sz w:val="20"/>
              </w:rPr>
            </w:pPr>
            <w:r>
              <w:rPr>
                <w:rFonts w:cs="Calibri"/>
                <w:color w:val="000000" w:themeColor="text1"/>
                <w:sz w:val="18"/>
                <w:szCs w:val="18"/>
              </w:rPr>
              <w:t>236,547</w:t>
            </w:r>
          </w:p>
        </w:tc>
        <w:tc>
          <w:tcPr>
            <w:tcW w:w="1054" w:type="dxa"/>
            <w:noWrap/>
          </w:tcPr>
          <w:p w:rsidRPr="004307A8" w:rsidR="006F4A19" w:rsidP="006F4A19" w:rsidRDefault="006F4A19" w14:paraId="53DA8E75" w14:textId="77777777">
            <w:pPr>
              <w:keepNext/>
              <w:jc w:val="right"/>
              <w:rPr>
                <w:rFonts w:eastAsia="Times New Roman" w:cstheme="minorHAnsi"/>
                <w:color w:val="000000"/>
                <w:sz w:val="20"/>
              </w:rPr>
            </w:pPr>
            <w:r>
              <w:rPr>
                <w:rFonts w:cs="Calibri"/>
                <w:color w:val="000000" w:themeColor="text1"/>
                <w:sz w:val="18"/>
                <w:szCs w:val="18"/>
              </w:rPr>
              <w:t>242,313</w:t>
            </w:r>
          </w:p>
        </w:tc>
        <w:tc>
          <w:tcPr>
            <w:tcW w:w="1054" w:type="dxa"/>
            <w:noWrap/>
          </w:tcPr>
          <w:p w:rsidRPr="004307A8" w:rsidR="006F4A19" w:rsidP="006F4A19" w:rsidRDefault="006F4A19" w14:paraId="02980A7B" w14:textId="77777777">
            <w:pPr>
              <w:keepNext/>
              <w:jc w:val="right"/>
              <w:rPr>
                <w:rFonts w:eastAsia="Times New Roman" w:cstheme="minorHAnsi"/>
                <w:color w:val="000000"/>
                <w:sz w:val="20"/>
              </w:rPr>
            </w:pPr>
            <w:r>
              <w:rPr>
                <w:rFonts w:cs="Calibri"/>
                <w:color w:val="000000" w:themeColor="text1"/>
                <w:sz w:val="18"/>
                <w:szCs w:val="18"/>
              </w:rPr>
              <w:t>248,095</w:t>
            </w:r>
          </w:p>
        </w:tc>
        <w:tc>
          <w:tcPr>
            <w:tcW w:w="1055" w:type="dxa"/>
            <w:noWrap/>
          </w:tcPr>
          <w:p w:rsidRPr="004307A8" w:rsidR="006F4A19" w:rsidP="006F4A19" w:rsidRDefault="006F4A19" w14:paraId="1DD6BA59" w14:textId="0BE2DBB6">
            <w:pPr>
              <w:keepNext/>
              <w:jc w:val="right"/>
              <w:rPr>
                <w:rFonts w:eastAsia="Times New Roman" w:cstheme="minorHAnsi"/>
                <w:color w:val="000000"/>
                <w:sz w:val="20"/>
              </w:rPr>
            </w:pPr>
            <w:r w:rsidRPr="009977EB">
              <w:rPr>
                <w:rFonts w:cs="Calibri"/>
                <w:b/>
                <w:bCs/>
                <w:color w:val="000000" w:themeColor="text1"/>
                <w:sz w:val="18"/>
                <w:szCs w:val="18"/>
              </w:rPr>
              <w:t>1,202,851</w:t>
            </w:r>
          </w:p>
        </w:tc>
      </w:tr>
      <w:tr w:rsidRPr="004307A8" w:rsidR="008959A4" w:rsidTr="00717A84" w14:paraId="6565B2C8" w14:textId="77777777">
        <w:trPr>
          <w:trHeight w:val="547"/>
          <w:jc w:val="center"/>
        </w:trPr>
        <w:tc>
          <w:tcPr>
            <w:tcW w:w="1255" w:type="dxa"/>
            <w:vMerge/>
          </w:tcPr>
          <w:p w:rsidRPr="004307A8" w:rsidR="008959A4" w:rsidP="00717A84" w:rsidRDefault="008959A4" w14:paraId="0BD5BD65" w14:textId="77777777">
            <w:pPr>
              <w:keepNext/>
              <w:ind w:left="360"/>
              <w:rPr>
                <w:rFonts w:eastAsia="Times New Roman" w:cstheme="minorHAnsi"/>
                <w:color w:val="000000"/>
                <w:sz w:val="20"/>
              </w:rPr>
            </w:pPr>
          </w:p>
        </w:tc>
        <w:tc>
          <w:tcPr>
            <w:tcW w:w="1054" w:type="dxa"/>
          </w:tcPr>
          <w:p w:rsidRPr="004307A8" w:rsidR="008959A4" w:rsidP="00717A84" w:rsidRDefault="008959A4" w14:paraId="21CF8623" w14:textId="77777777">
            <w:pPr>
              <w:keepNext/>
              <w:rPr>
                <w:rFonts w:eastAsia="Times New Roman" w:cstheme="minorHAnsi"/>
                <w:color w:val="000000"/>
                <w:sz w:val="20"/>
              </w:rPr>
            </w:pPr>
            <w:r>
              <w:rPr>
                <w:sz w:val="20"/>
              </w:rPr>
              <w:t>kW*</w:t>
            </w:r>
          </w:p>
        </w:tc>
        <w:tc>
          <w:tcPr>
            <w:tcW w:w="1054" w:type="dxa"/>
            <w:noWrap/>
          </w:tcPr>
          <w:p w:rsidRPr="004307A8" w:rsidR="008959A4" w:rsidP="00717A84" w:rsidRDefault="008959A4" w14:paraId="3159BA44" w14:textId="77777777">
            <w:pPr>
              <w:keepNext/>
              <w:ind w:left="360"/>
              <w:jc w:val="right"/>
              <w:rPr>
                <w:rFonts w:eastAsia="Times New Roman" w:cstheme="minorHAnsi"/>
                <w:color w:val="000000"/>
                <w:sz w:val="20"/>
              </w:rPr>
            </w:pPr>
            <w:r>
              <w:rPr>
                <w:rFonts w:cs="Calibri"/>
                <w:color w:val="000000" w:themeColor="text1"/>
                <w:sz w:val="18"/>
                <w:szCs w:val="18"/>
              </w:rPr>
              <w:t>28</w:t>
            </w:r>
          </w:p>
        </w:tc>
        <w:tc>
          <w:tcPr>
            <w:tcW w:w="1054" w:type="dxa"/>
            <w:noWrap/>
          </w:tcPr>
          <w:p w:rsidRPr="004307A8" w:rsidR="008959A4" w:rsidP="00717A84" w:rsidRDefault="008959A4" w14:paraId="5A4B9C77" w14:textId="77777777">
            <w:pPr>
              <w:keepNext/>
              <w:ind w:left="360"/>
              <w:jc w:val="right"/>
              <w:rPr>
                <w:rFonts w:eastAsia="Times New Roman" w:cstheme="minorHAnsi"/>
                <w:color w:val="000000"/>
                <w:sz w:val="20"/>
              </w:rPr>
            </w:pPr>
            <w:r>
              <w:rPr>
                <w:rFonts w:cs="Calibri"/>
                <w:color w:val="000000" w:themeColor="text1"/>
                <w:sz w:val="18"/>
                <w:szCs w:val="18"/>
              </w:rPr>
              <w:t>27</w:t>
            </w:r>
          </w:p>
        </w:tc>
        <w:tc>
          <w:tcPr>
            <w:tcW w:w="1055" w:type="dxa"/>
            <w:noWrap/>
          </w:tcPr>
          <w:p w:rsidRPr="004307A8" w:rsidR="008959A4" w:rsidP="00717A84" w:rsidRDefault="008959A4" w14:paraId="21BE724D" w14:textId="77777777">
            <w:pPr>
              <w:keepNext/>
              <w:ind w:left="360"/>
              <w:jc w:val="right"/>
              <w:rPr>
                <w:rFonts w:eastAsia="Times New Roman" w:cstheme="minorHAnsi"/>
                <w:color w:val="000000"/>
                <w:sz w:val="20"/>
              </w:rPr>
            </w:pPr>
            <w:r>
              <w:rPr>
                <w:rFonts w:cs="Calibri"/>
                <w:color w:val="000000" w:themeColor="text1"/>
                <w:sz w:val="18"/>
                <w:szCs w:val="18"/>
              </w:rPr>
              <w:t>27</w:t>
            </w:r>
          </w:p>
        </w:tc>
        <w:tc>
          <w:tcPr>
            <w:tcW w:w="1054" w:type="dxa"/>
            <w:noWrap/>
          </w:tcPr>
          <w:p w:rsidRPr="004307A8" w:rsidR="008959A4" w:rsidP="00717A84" w:rsidRDefault="008959A4" w14:paraId="2233AB1F" w14:textId="77777777">
            <w:pPr>
              <w:keepNext/>
              <w:ind w:left="360"/>
              <w:jc w:val="right"/>
              <w:rPr>
                <w:rFonts w:eastAsia="Times New Roman" w:cstheme="minorHAnsi"/>
                <w:color w:val="000000"/>
                <w:sz w:val="20"/>
              </w:rPr>
            </w:pPr>
            <w:r>
              <w:rPr>
                <w:rFonts w:cs="Calibri"/>
                <w:color w:val="000000" w:themeColor="text1"/>
                <w:sz w:val="18"/>
                <w:szCs w:val="18"/>
              </w:rPr>
              <w:t>27</w:t>
            </w:r>
          </w:p>
        </w:tc>
        <w:tc>
          <w:tcPr>
            <w:tcW w:w="1054" w:type="dxa"/>
            <w:noWrap/>
          </w:tcPr>
          <w:p w:rsidRPr="004307A8" w:rsidR="008959A4" w:rsidP="00717A84" w:rsidRDefault="008959A4" w14:paraId="3338921D" w14:textId="77777777">
            <w:pPr>
              <w:keepNext/>
              <w:ind w:left="360"/>
              <w:jc w:val="right"/>
              <w:rPr>
                <w:rFonts w:eastAsia="Times New Roman" w:cstheme="minorHAnsi"/>
                <w:color w:val="000000"/>
                <w:sz w:val="20"/>
              </w:rPr>
            </w:pPr>
            <w:r>
              <w:rPr>
                <w:rFonts w:cs="Calibri"/>
                <w:color w:val="000000" w:themeColor="text1"/>
                <w:sz w:val="18"/>
                <w:szCs w:val="18"/>
              </w:rPr>
              <w:t>27</w:t>
            </w:r>
          </w:p>
        </w:tc>
        <w:tc>
          <w:tcPr>
            <w:tcW w:w="1055" w:type="dxa"/>
            <w:noWrap/>
          </w:tcPr>
          <w:p w:rsidRPr="004307A8" w:rsidR="008959A4" w:rsidP="00717A84" w:rsidRDefault="008959A4" w14:paraId="1C4A31D0" w14:textId="77777777">
            <w:pPr>
              <w:keepNext/>
              <w:ind w:left="360"/>
              <w:jc w:val="right"/>
              <w:rPr>
                <w:rFonts w:eastAsia="Times New Roman" w:cstheme="minorHAnsi"/>
                <w:color w:val="000000"/>
                <w:sz w:val="20"/>
              </w:rPr>
            </w:pPr>
            <w:r>
              <w:rPr>
                <w:rFonts w:cs="Calibri"/>
                <w:b/>
                <w:bCs/>
                <w:color w:val="000000" w:themeColor="text1"/>
                <w:sz w:val="18"/>
                <w:szCs w:val="18"/>
              </w:rPr>
              <w:t>136</w:t>
            </w:r>
          </w:p>
        </w:tc>
      </w:tr>
      <w:tr w:rsidRPr="004307A8" w:rsidR="00D0206F" w:rsidTr="00717A84" w14:paraId="501D2858" w14:textId="77777777">
        <w:trPr>
          <w:trHeight w:val="547"/>
          <w:jc w:val="center"/>
        </w:trPr>
        <w:tc>
          <w:tcPr>
            <w:tcW w:w="1255" w:type="dxa"/>
            <w:vMerge/>
          </w:tcPr>
          <w:p w:rsidRPr="004307A8" w:rsidR="00D0206F" w:rsidP="00D0206F" w:rsidRDefault="00D0206F" w14:paraId="098881AB" w14:textId="77777777">
            <w:pPr>
              <w:keepNext/>
              <w:ind w:left="360"/>
              <w:rPr>
                <w:rFonts w:eastAsia="Times New Roman" w:cstheme="minorHAnsi"/>
                <w:color w:val="000000"/>
                <w:sz w:val="20"/>
              </w:rPr>
            </w:pPr>
          </w:p>
        </w:tc>
        <w:tc>
          <w:tcPr>
            <w:tcW w:w="1054" w:type="dxa"/>
          </w:tcPr>
          <w:p w:rsidRPr="004307A8" w:rsidR="00D0206F" w:rsidP="00D0206F" w:rsidRDefault="00D0206F" w14:paraId="54E33CE2" w14:textId="77777777">
            <w:pPr>
              <w:keepNext/>
              <w:rPr>
                <w:rFonts w:eastAsia="Times New Roman" w:cstheme="minorHAnsi"/>
                <w:color w:val="000000"/>
                <w:sz w:val="20"/>
              </w:rPr>
            </w:pPr>
            <w:r w:rsidRPr="004307A8">
              <w:rPr>
                <w:sz w:val="20"/>
              </w:rPr>
              <w:t>Therms</w:t>
            </w:r>
          </w:p>
        </w:tc>
        <w:tc>
          <w:tcPr>
            <w:tcW w:w="1054" w:type="dxa"/>
            <w:noWrap/>
          </w:tcPr>
          <w:p w:rsidRPr="004307A8" w:rsidR="00D0206F" w:rsidP="00D0206F" w:rsidRDefault="00D0206F" w14:paraId="2CA39A0C" w14:textId="77777777">
            <w:pPr>
              <w:keepNext/>
              <w:jc w:val="right"/>
              <w:rPr>
                <w:rFonts w:eastAsia="Times New Roman" w:cstheme="minorHAnsi"/>
                <w:color w:val="000000"/>
                <w:sz w:val="20"/>
              </w:rPr>
            </w:pPr>
            <w:r>
              <w:rPr>
                <w:rFonts w:cs="Calibri"/>
                <w:color w:val="000000" w:themeColor="text1"/>
                <w:sz w:val="18"/>
                <w:szCs w:val="18"/>
              </w:rPr>
              <w:t>47,735</w:t>
            </w:r>
          </w:p>
        </w:tc>
        <w:tc>
          <w:tcPr>
            <w:tcW w:w="1054" w:type="dxa"/>
            <w:noWrap/>
          </w:tcPr>
          <w:p w:rsidRPr="004307A8" w:rsidR="00D0206F" w:rsidP="00D0206F" w:rsidRDefault="00D0206F" w14:paraId="1B598013" w14:textId="19139855">
            <w:pPr>
              <w:keepNext/>
              <w:jc w:val="right"/>
              <w:rPr>
                <w:rFonts w:eastAsia="Times New Roman" w:cstheme="minorHAnsi"/>
                <w:color w:val="000000"/>
                <w:sz w:val="20"/>
              </w:rPr>
            </w:pPr>
            <w:r w:rsidRPr="00412C85">
              <w:rPr>
                <w:rFonts w:cs="Calibri"/>
                <w:color w:val="000000" w:themeColor="text1"/>
                <w:sz w:val="18"/>
                <w:szCs w:val="18"/>
              </w:rPr>
              <w:t>46,389</w:t>
            </w:r>
          </w:p>
        </w:tc>
        <w:tc>
          <w:tcPr>
            <w:tcW w:w="1055" w:type="dxa"/>
            <w:noWrap/>
          </w:tcPr>
          <w:p w:rsidRPr="004307A8" w:rsidR="00D0206F" w:rsidP="00D0206F" w:rsidRDefault="00D0206F" w14:paraId="539317D7" w14:textId="77777777">
            <w:pPr>
              <w:keepNext/>
              <w:jc w:val="right"/>
              <w:rPr>
                <w:rFonts w:eastAsia="Times New Roman" w:cstheme="minorHAnsi"/>
                <w:color w:val="000000"/>
                <w:sz w:val="20"/>
              </w:rPr>
            </w:pPr>
            <w:r>
              <w:rPr>
                <w:rFonts w:cs="Calibri"/>
                <w:color w:val="000000" w:themeColor="text1"/>
                <w:sz w:val="18"/>
                <w:szCs w:val="18"/>
              </w:rPr>
              <w:t>49,829</w:t>
            </w:r>
          </w:p>
        </w:tc>
        <w:tc>
          <w:tcPr>
            <w:tcW w:w="1054" w:type="dxa"/>
            <w:noWrap/>
          </w:tcPr>
          <w:p w:rsidRPr="004307A8" w:rsidR="00D0206F" w:rsidP="00D0206F" w:rsidRDefault="00D0206F" w14:paraId="4D06831F" w14:textId="77777777">
            <w:pPr>
              <w:keepNext/>
              <w:jc w:val="right"/>
              <w:rPr>
                <w:rFonts w:eastAsia="Times New Roman" w:cstheme="minorHAnsi"/>
                <w:color w:val="000000"/>
                <w:sz w:val="20"/>
              </w:rPr>
            </w:pPr>
            <w:r>
              <w:rPr>
                <w:rFonts w:cs="Calibri"/>
                <w:color w:val="000000" w:themeColor="text1"/>
                <w:sz w:val="18"/>
                <w:szCs w:val="18"/>
              </w:rPr>
              <w:t>51,242</w:t>
            </w:r>
          </w:p>
        </w:tc>
        <w:tc>
          <w:tcPr>
            <w:tcW w:w="1054" w:type="dxa"/>
            <w:noWrap/>
          </w:tcPr>
          <w:p w:rsidRPr="004307A8" w:rsidR="00D0206F" w:rsidP="00D0206F" w:rsidRDefault="00D0206F" w14:paraId="0DE12B4F" w14:textId="77777777">
            <w:pPr>
              <w:keepNext/>
              <w:jc w:val="right"/>
              <w:rPr>
                <w:rFonts w:eastAsia="Times New Roman" w:cstheme="minorHAnsi"/>
                <w:color w:val="000000"/>
                <w:sz w:val="20"/>
              </w:rPr>
            </w:pPr>
            <w:r>
              <w:rPr>
                <w:rFonts w:cs="Calibri"/>
                <w:color w:val="000000" w:themeColor="text1"/>
                <w:sz w:val="18"/>
                <w:szCs w:val="18"/>
              </w:rPr>
              <w:t>56,068</w:t>
            </w:r>
          </w:p>
        </w:tc>
        <w:tc>
          <w:tcPr>
            <w:tcW w:w="1055" w:type="dxa"/>
            <w:noWrap/>
          </w:tcPr>
          <w:p w:rsidRPr="004307A8" w:rsidR="00D0206F" w:rsidP="00D0206F" w:rsidRDefault="00D0206F" w14:paraId="12473085" w14:textId="1FC7A5BC">
            <w:pPr>
              <w:keepNext/>
              <w:jc w:val="right"/>
              <w:rPr>
                <w:rFonts w:eastAsia="Times New Roman" w:cstheme="minorHAnsi"/>
                <w:color w:val="000000"/>
                <w:sz w:val="20"/>
              </w:rPr>
            </w:pPr>
            <w:r w:rsidRPr="009977EB">
              <w:rPr>
                <w:rFonts w:cs="Calibri"/>
                <w:b/>
                <w:bCs/>
                <w:color w:val="000000" w:themeColor="text1"/>
                <w:sz w:val="18"/>
                <w:szCs w:val="18"/>
              </w:rPr>
              <w:t>251,262</w:t>
            </w:r>
          </w:p>
        </w:tc>
      </w:tr>
    </w:tbl>
    <w:p w:rsidRPr="004D223C" w:rsidR="008959A4" w:rsidP="008959A4" w:rsidRDefault="008959A4" w14:paraId="09A1A37F" w14:textId="77777777">
      <w:pPr>
        <w:pStyle w:val="Standard"/>
        <w:rPr>
          <w:sz w:val="20"/>
          <w:szCs w:val="13"/>
        </w:rPr>
      </w:pPr>
      <w:r w:rsidRPr="00FA754A">
        <w:rPr>
          <w:sz w:val="20"/>
          <w:szCs w:val="13"/>
        </w:rPr>
        <w:t>*PacifiCorp demand savings (kW) was not provided in their application.</w:t>
      </w:r>
    </w:p>
    <w:p w:rsidRPr="00BE5C2A" w:rsidR="008959A4" w:rsidP="008959A4" w:rsidRDefault="008959A4" w14:paraId="1909E55A" w14:textId="77777777">
      <w:pPr>
        <w:pStyle w:val="Heading4"/>
        <w:ind w:left="3600" w:hanging="1260"/>
      </w:pPr>
      <w:bookmarkStart w:name="_Toc82159804" w:id="229"/>
      <w:r w:rsidRPr="00392671">
        <w:lastRenderedPageBreak/>
        <w:t xml:space="preserve">Adjustments via Tier 2 Advice Letter: </w:t>
      </w:r>
      <w:r w:rsidRPr="00392671">
        <w:rPr>
          <w:u w:val="single"/>
        </w:rPr>
        <w:t>Approved</w:t>
      </w:r>
      <w:r>
        <w:rPr>
          <w:u w:val="single"/>
        </w:rPr>
        <w:t xml:space="preserve"> with Modification</w:t>
      </w:r>
      <w:bookmarkEnd w:id="229"/>
    </w:p>
    <w:p w:rsidR="008959A4" w:rsidP="008959A4" w:rsidRDefault="008959A4" w14:paraId="2BB07999" w14:textId="3EBFEC49">
      <w:pPr>
        <w:pStyle w:val="Standard"/>
        <w:rPr>
          <w:rFonts w:eastAsiaTheme="minorEastAsia"/>
        </w:rPr>
      </w:pPr>
      <w:r w:rsidRPr="00392671">
        <w:t>The SMJUs may re-evaluate ESA program</w:t>
      </w:r>
      <w:r w:rsidRPr="00392671">
        <w:rPr>
          <w:rFonts w:ascii="TimesNewRomanPSMT" w:hAnsi="TimesNewRomanPSMT" w:cs="TimesNewRomanPSMT"/>
          <w:sz w:val="24"/>
          <w:szCs w:val="24"/>
        </w:rPr>
        <w:t xml:space="preserve"> </w:t>
      </w:r>
      <w:r w:rsidRPr="00392671">
        <w:t>goals and budgets for PYs 2021</w:t>
      </w:r>
      <w:r>
        <w:noBreakHyphen/>
      </w:r>
      <w:r w:rsidRPr="0015773E">
        <w:t>2026 in the fourth quarter of 2021</w:t>
      </w:r>
      <w:r>
        <w:t xml:space="preserve"> or first quarter of 2022,</w:t>
      </w:r>
      <w:r w:rsidRPr="0015773E">
        <w:t xml:space="preserve"> including the impacts of</w:t>
      </w:r>
      <w:r>
        <w:t xml:space="preserve"> </w:t>
      </w:r>
      <w:r w:rsidRPr="0015773E">
        <w:t>the COVID-19 pandemic and/or changes that might have occurred since the filing of its</w:t>
      </w:r>
      <w:r>
        <w:t xml:space="preserve"> a</w:t>
      </w:r>
      <w:r w:rsidRPr="0015773E">
        <w:t>pplication.</w:t>
      </w:r>
      <w:r>
        <w:t xml:space="preserve"> </w:t>
      </w:r>
      <w:r w:rsidRPr="0015773E">
        <w:t xml:space="preserve"> </w:t>
      </w:r>
      <w:r>
        <w:t>However, if such updates require lowering the program goals (not targets), or increasing the approved budgets, then an SMJU will need to file a petition for modification.  Otherwise, we implement</w:t>
      </w:r>
      <w:r w:rsidRPr="00263B38">
        <w:t xml:space="preserve"> new reporting requirements </w:t>
      </w:r>
      <w:r>
        <w:t xml:space="preserve">to monitor progress </w:t>
      </w:r>
      <w:r w:rsidRPr="00263B38">
        <w:t xml:space="preserve">and </w:t>
      </w:r>
      <w:r>
        <w:t xml:space="preserve">grant </w:t>
      </w:r>
      <w:r w:rsidRPr="00263B38">
        <w:t>the SMJUs flexibility to make minor program changes via the CARE and ESA reports (</w:t>
      </w:r>
      <w:r w:rsidRPr="00AA01E3">
        <w:rPr>
          <w:i/>
          <w:iCs/>
        </w:rPr>
        <w:t>see</w:t>
      </w:r>
      <w:r>
        <w:t xml:space="preserve"> Section </w:t>
      </w:r>
      <w:r w:rsidRPr="00263B38">
        <w:t>9.6</w:t>
      </w:r>
      <w:r>
        <w:t>.1</w:t>
      </w:r>
      <w:r w:rsidRPr="00263B38">
        <w:t xml:space="preserve">). </w:t>
      </w:r>
      <w:r>
        <w:t xml:space="preserve"> </w:t>
      </w:r>
      <w:r w:rsidRPr="00263B38">
        <w:t xml:space="preserve">As discussed in that section, any program updates resulting in </w:t>
      </w:r>
      <w:r w:rsidRPr="00263B38">
        <w:rPr>
          <w:rFonts w:eastAsiaTheme="minorEastAsia"/>
        </w:rPr>
        <w:t>lowering the program goals (not targets), or increasing the approved budgets, would require a petition for modification</w:t>
      </w:r>
      <w:r w:rsidR="0033184B">
        <w:rPr>
          <w:rFonts w:eastAsiaTheme="minorEastAsia"/>
        </w:rPr>
        <w:t>,</w:t>
      </w:r>
      <w:r w:rsidRPr="0033184B" w:rsidR="0033184B">
        <w:rPr>
          <w:rFonts w:cstheme="minorBidi"/>
          <w:szCs w:val="22"/>
        </w:rPr>
        <w:t xml:space="preserve"> </w:t>
      </w:r>
      <w:r w:rsidR="0033184B">
        <w:rPr>
          <w:rFonts w:cstheme="minorBidi"/>
          <w:szCs w:val="22"/>
        </w:rPr>
        <w:t>with an exception for i</w:t>
      </w:r>
      <w:r w:rsidR="0033184B">
        <w:rPr>
          <w:rFonts w:eastAsiaTheme="minorEastAsia"/>
        </w:rPr>
        <w:t>ncreases to the CARE program subsidy budgets</w:t>
      </w:r>
      <w:r w:rsidRPr="00144204" w:rsidR="00144204">
        <w:rPr>
          <w:color w:val="FF0000"/>
        </w:rPr>
        <w:t xml:space="preserve"> </w:t>
      </w:r>
      <w:r w:rsidRPr="00BC48EE" w:rsidR="00144204">
        <w:rPr>
          <w:rFonts w:cstheme="minorBidi"/>
          <w:szCs w:val="22"/>
        </w:rPr>
        <w:t>which should be handled through the two-way structure of the CARE balancing account</w:t>
      </w:r>
      <w:r w:rsidRPr="00263B38">
        <w:rPr>
          <w:rFonts w:eastAsiaTheme="minorEastAsia"/>
        </w:rPr>
        <w:t>.</w:t>
      </w:r>
    </w:p>
    <w:p w:rsidRPr="00BE5C2A" w:rsidR="008959A4" w:rsidP="008959A4" w:rsidRDefault="008959A4" w14:paraId="2C35BC7F" w14:textId="5F6FCBD0">
      <w:pPr>
        <w:pStyle w:val="Heading4"/>
        <w:ind w:left="3600" w:hanging="1260"/>
      </w:pPr>
      <w:bookmarkStart w:name="_Toc82159805" w:id="230"/>
      <w:r w:rsidRPr="00D34109">
        <w:t xml:space="preserve">Southwest Gas’ 2020 Statutory </w:t>
      </w:r>
      <w:r>
        <w:br/>
      </w:r>
      <w:r w:rsidRPr="00D34109">
        <w:t>Goal Update:</w:t>
      </w:r>
      <w:r>
        <w:t xml:space="preserve"> </w:t>
      </w:r>
      <w:r w:rsidR="00B577CC">
        <w:t xml:space="preserve"> </w:t>
      </w:r>
      <w:r w:rsidRPr="00D34109">
        <w:rPr>
          <w:u w:val="single"/>
        </w:rPr>
        <w:t>New</w:t>
      </w:r>
      <w:bookmarkEnd w:id="230"/>
    </w:p>
    <w:p w:rsidRPr="00F14021" w:rsidR="008959A4" w:rsidP="008959A4" w:rsidRDefault="008959A4" w14:paraId="248D2CC7" w14:textId="2F3B546B">
      <w:pPr>
        <w:pStyle w:val="Standard"/>
      </w:pPr>
      <w:r>
        <w:t xml:space="preserve">Given that </w:t>
      </w:r>
      <w:r w:rsidRPr="00B5340E">
        <w:t>S</w:t>
      </w:r>
      <w:r>
        <w:t xml:space="preserve">outhwest Gas is the only SMJU that failed to meet the 2020 statutory goal, </w:t>
      </w:r>
      <w:r w:rsidRPr="00B5340E">
        <w:t>S</w:t>
      </w:r>
      <w:r>
        <w:t>outhwest Gas shall file a</w:t>
      </w:r>
      <w:r w:rsidRPr="00B5340E">
        <w:t xml:space="preserve"> Tier 1 </w:t>
      </w:r>
      <w:r>
        <w:t>advice letter by</w:t>
      </w:r>
      <w:r w:rsidRPr="00B5340E">
        <w:t xml:space="preserve"> December</w:t>
      </w:r>
      <w:r w:rsidR="000D5BBE">
        <w:t> </w:t>
      </w:r>
      <w:r w:rsidRPr="00B5340E">
        <w:t>31,</w:t>
      </w:r>
      <w:r w:rsidR="000D5BBE">
        <w:t> </w:t>
      </w:r>
      <w:r w:rsidRPr="00B5340E">
        <w:t>2021</w:t>
      </w:r>
      <w:r>
        <w:t xml:space="preserve">, with an </w:t>
      </w:r>
      <w:r w:rsidRPr="00B5340E">
        <w:t xml:space="preserve">update </w:t>
      </w:r>
      <w:r>
        <w:t xml:space="preserve">on its </w:t>
      </w:r>
      <w:r w:rsidRPr="00B5340E">
        <w:t xml:space="preserve">progress towards </w:t>
      </w:r>
      <w:r>
        <w:t xml:space="preserve">achieving the </w:t>
      </w:r>
      <w:r w:rsidRPr="00B5340E">
        <w:t xml:space="preserve">2020 </w:t>
      </w:r>
      <w:r>
        <w:t xml:space="preserve">statutory </w:t>
      </w:r>
      <w:r w:rsidRPr="00B5340E">
        <w:t xml:space="preserve">goal, and </w:t>
      </w:r>
      <w:r>
        <w:t xml:space="preserve">describe </w:t>
      </w:r>
      <w:r w:rsidRPr="00B5340E">
        <w:t xml:space="preserve">whether treatments during </w:t>
      </w:r>
      <w:r>
        <w:t xml:space="preserve">the 2021 </w:t>
      </w:r>
      <w:r w:rsidRPr="00B5340E">
        <w:t>bridge period and recalculation of eligible population using Athens data</w:t>
      </w:r>
      <w:r>
        <w:t xml:space="preserve"> from the 2018-2019 study</w:t>
      </w:r>
      <w:r w:rsidRPr="00B5340E">
        <w:t xml:space="preserve"> helped </w:t>
      </w:r>
      <w:r>
        <w:t>it</w:t>
      </w:r>
      <w:r w:rsidRPr="00B5340E">
        <w:t xml:space="preserve"> achieve the final treatments necessary to meet this goal</w:t>
      </w:r>
      <w:r>
        <w:t>.</w:t>
      </w:r>
    </w:p>
    <w:p w:rsidR="008959A4" w:rsidP="008959A4" w:rsidRDefault="008959A4" w14:paraId="56FBA38F" w14:textId="77777777">
      <w:pPr>
        <w:pStyle w:val="Heading2"/>
      </w:pPr>
      <w:bookmarkStart w:name="_Toc82159806" w:id="231"/>
      <w:r w:rsidRPr="00571CAA">
        <w:t xml:space="preserve">ESA </w:t>
      </w:r>
      <w:r>
        <w:t>Program Cost Effectiveness</w:t>
      </w:r>
      <w:bookmarkEnd w:id="231"/>
    </w:p>
    <w:p w:rsidR="008959A4" w:rsidP="008959A4" w:rsidRDefault="008959A4" w14:paraId="0EBE99EA" w14:textId="77777777">
      <w:pPr>
        <w:pStyle w:val="Heading3"/>
      </w:pPr>
      <w:bookmarkStart w:name="_Toc82159807" w:id="232"/>
      <w:r>
        <w:t>Background</w:t>
      </w:r>
      <w:bookmarkEnd w:id="232"/>
    </w:p>
    <w:p w:rsidR="008959A4" w:rsidP="008959A4" w:rsidRDefault="008959A4" w14:paraId="41236E3D" w14:textId="15C45B47">
      <w:pPr>
        <w:pStyle w:val="ALJBodyText"/>
      </w:pPr>
      <w:r>
        <w:t>Pub</w:t>
      </w:r>
      <w:r w:rsidR="000D5BBE">
        <w:t>.</w:t>
      </w:r>
      <w:r>
        <w:t xml:space="preserve"> </w:t>
      </w:r>
      <w:r w:rsidRPr="00777799">
        <w:t>Util.</w:t>
      </w:r>
      <w:r>
        <w:t xml:space="preserve"> </w:t>
      </w:r>
      <w:r w:rsidRPr="00271F2E">
        <w:t xml:space="preserve">Code </w:t>
      </w:r>
      <w:r>
        <w:t xml:space="preserve">§ </w:t>
      </w:r>
      <w:r w:rsidRPr="00271F2E">
        <w:t>2790</w:t>
      </w:r>
      <w:r>
        <w:t xml:space="preserve"> states that the ESA program </w:t>
      </w:r>
      <w:r w:rsidRPr="00271F2E">
        <w:t xml:space="preserve">should “tak[e] into consideration both the cost-effectiveness of the services and the policy of </w:t>
      </w:r>
      <w:r w:rsidRPr="00271F2E">
        <w:lastRenderedPageBreak/>
        <w:t>reducing the hardships facing low</w:t>
      </w:r>
      <w:r>
        <w:t>-</w:t>
      </w:r>
      <w:r w:rsidRPr="00271F2E">
        <w:t>income households.”</w:t>
      </w:r>
      <w:r>
        <w:t xml:space="preserve">  In trying to balance energy savings, program costs, and HCS benefits, the Commission has attempted to determine the appropriate level of cost effectiveness for the ESA program without significantly compromising these competing efforts.  Currently, the ESA program does not set a specific portfolio cost effectiveness threshold or goal, although past decisions have placed cost effectiveness level thresholds at the measure level.</w:t>
      </w:r>
      <w:r>
        <w:rPr>
          <w:rStyle w:val="FootnoteReference"/>
        </w:rPr>
        <w:footnoteReference w:id="181"/>
      </w:r>
      <w:r>
        <w:t xml:space="preserve">  </w:t>
      </w:r>
    </w:p>
    <w:p w:rsidRPr="00F2607B" w:rsidR="008959A4" w:rsidP="008959A4" w:rsidRDefault="008959A4" w14:paraId="0748F7E6" w14:textId="77777777">
      <w:pPr>
        <w:pStyle w:val="ALJBodyText"/>
      </w:pPr>
      <w:r>
        <w:t xml:space="preserve">Currently, two </w:t>
      </w:r>
      <w:r w:rsidRPr="00CB3EB3">
        <w:t>adopted tests</w:t>
      </w:r>
      <w:r>
        <w:t xml:space="preserve"> are used to measure cost effectiveness of the program, the</w:t>
      </w:r>
      <w:r w:rsidRPr="00CB3EB3">
        <w:t xml:space="preserve"> </w:t>
      </w:r>
      <w:r>
        <w:t>ESACET</w:t>
      </w:r>
      <w:r w:rsidRPr="00CB3EB3">
        <w:t xml:space="preserve"> and the Resource </w:t>
      </w:r>
      <w:r>
        <w:t>Test</w:t>
      </w:r>
      <w:r w:rsidRPr="00B2381E">
        <w:t xml:space="preserve"> </w:t>
      </w:r>
      <w:r>
        <w:t xml:space="preserve">(formerly called Resource TRC).  Both are </w:t>
      </w:r>
      <w:r w:rsidRPr="00CB3EB3">
        <w:t xml:space="preserve">used for information purposes only and </w:t>
      </w:r>
      <w:r>
        <w:t xml:space="preserve">are not </w:t>
      </w:r>
      <w:r w:rsidRPr="00CB3EB3">
        <w:t>used for program approval</w:t>
      </w:r>
      <w:r>
        <w:t>.  The current</w:t>
      </w:r>
      <w:r w:rsidRPr="00042599">
        <w:t xml:space="preserve"> ESA</w:t>
      </w:r>
      <w:r>
        <w:t>CET</w:t>
      </w:r>
      <w:r w:rsidRPr="00042599">
        <w:t xml:space="preserve"> is the primary cost effectiveness test for the program and includes all measures and all known benefits and costs, including </w:t>
      </w:r>
      <w:r>
        <w:t>non-energy benefits (</w:t>
      </w:r>
      <w:r w:rsidRPr="00042599">
        <w:t>NEBs</w:t>
      </w:r>
      <w:r>
        <w:t>)</w:t>
      </w:r>
      <w:r w:rsidRPr="00042599">
        <w:t xml:space="preserve"> and administrative costs</w:t>
      </w:r>
      <w:r>
        <w:t xml:space="preserve">.  </w:t>
      </w:r>
      <w:r w:rsidRPr="006B2A3F">
        <w:t>This test includes both “resource” (</w:t>
      </w:r>
      <w:r w:rsidRPr="006B7E5A">
        <w:t>now defined as energy saving measures</w:t>
      </w:r>
      <w:r w:rsidRPr="006B2A3F">
        <w:t>) and “non-resource” measures (</w:t>
      </w:r>
      <w:r w:rsidRPr="006B7E5A">
        <w:t>now defined as</w:t>
      </w:r>
      <w:r w:rsidRPr="006B2A3F">
        <w:t xml:space="preserve"> HCS</w:t>
      </w:r>
      <w:r w:rsidRPr="006B7E5A">
        <w:t xml:space="preserve"> measures</w:t>
      </w:r>
      <w:r w:rsidRPr="006B2A3F">
        <w:t>).</w:t>
      </w:r>
      <w:r>
        <w:rPr>
          <w:rStyle w:val="FootnoteReference"/>
        </w:rPr>
        <w:footnoteReference w:id="182"/>
      </w:r>
      <w:r w:rsidRPr="00042599">
        <w:t xml:space="preserve"> </w:t>
      </w:r>
      <w:r>
        <w:t xml:space="preserve"> The</w:t>
      </w:r>
      <w:r w:rsidRPr="00042599">
        <w:t xml:space="preserve"> Resource </w:t>
      </w:r>
      <w:r>
        <w:t>Test</w:t>
      </w:r>
      <w:r w:rsidRPr="00042599">
        <w:t xml:space="preserve"> includes only avoided cost benefits and the installation costs for </w:t>
      </w:r>
      <w:r>
        <w:t xml:space="preserve">energy saving measures.  </w:t>
      </w:r>
      <w:r w:rsidRPr="00042599">
        <w:t xml:space="preserve">The two tests are not comparable, but the Resource </w:t>
      </w:r>
      <w:r>
        <w:t>Test</w:t>
      </w:r>
      <w:r w:rsidRPr="00042599">
        <w:t xml:space="preserve"> does provide some information on the contribution of </w:t>
      </w:r>
      <w:r>
        <w:t>energy saving</w:t>
      </w:r>
      <w:r w:rsidRPr="00042599">
        <w:t xml:space="preserve"> measures to the program.</w:t>
      </w:r>
      <w:r>
        <w:t xml:space="preserve">  Below are the formulas for </w:t>
      </w:r>
      <w:r w:rsidRPr="00F2607B">
        <w:t>both cost effectiveness tests.</w:t>
      </w:r>
    </w:p>
    <w:p w:rsidRPr="00EE33EA" w:rsidR="008959A4" w:rsidP="008959A4" w:rsidRDefault="008959A4" w14:paraId="155AEEF3" w14:textId="77777777">
      <w:pPr>
        <w:pStyle w:val="ALJBodyText"/>
        <w:ind w:left="360"/>
      </w:pPr>
      <m:oMath>
        <m:r>
          <w:rPr>
            <w:rFonts w:ascii="Cambria Math" w:hAnsi="Cambria Math"/>
          </w:rPr>
          <m:t>ESACET</m:t>
        </m:r>
        <m:r>
          <m:rPr>
            <m:sty m:val="p"/>
          </m:rPr>
          <w:rPr>
            <w:rFonts w:ascii="Cambria Math" w:hAnsi="Cambria Math"/>
          </w:rPr>
          <m:t xml:space="preserve">= </m:t>
        </m:r>
        <m:f>
          <m:fPr>
            <m:ctrlPr>
              <w:rPr>
                <w:rFonts w:ascii="Cambria Math" w:hAnsi="Cambria Math"/>
              </w:rPr>
            </m:ctrlPr>
          </m:fPr>
          <m:num>
            <m:r>
              <w:rPr>
                <w:rFonts w:ascii="Cambria Math" w:hAnsi="Cambria Math"/>
              </w:rPr>
              <m:t>Avoided</m:t>
            </m:r>
            <m:r>
              <m:rPr>
                <m:sty m:val="p"/>
              </m:rPr>
              <w:rPr>
                <w:rFonts w:ascii="Cambria Math" w:hAnsi="Cambria Math"/>
              </w:rPr>
              <m:t xml:space="preserve"> </m:t>
            </m:r>
            <m:r>
              <w:rPr>
                <w:rFonts w:ascii="Cambria Math" w:hAnsi="Cambria Math"/>
              </w:rPr>
              <m:t>costs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supplying</m:t>
            </m:r>
            <m:r>
              <m:rPr>
                <m:sty m:val="p"/>
              </m:rPr>
              <w:rPr>
                <w:rFonts w:ascii="Cambria Math" w:hAnsi="Cambria Math"/>
              </w:rPr>
              <m:t xml:space="preserve"> </m:t>
            </m:r>
            <m:r>
              <w:rPr>
                <w:rFonts w:ascii="Cambria Math" w:hAnsi="Cambria Math"/>
              </w:rPr>
              <m:t>enegy</m:t>
            </m:r>
            <m:r>
              <m:rPr>
                <m:sty m:val="p"/>
              </m:rPr>
              <w:rPr>
                <w:rFonts w:ascii="Cambria Math" w:hAnsi="Cambria Math"/>
              </w:rPr>
              <m:t>​+</m:t>
            </m:r>
            <m:r>
              <w:rPr>
                <w:rFonts w:ascii="Cambria Math" w:hAnsi="Cambria Math"/>
              </w:rPr>
              <m:t>Participant</m:t>
            </m:r>
            <m:r>
              <m:rPr>
                <m:sty m:val="p"/>
              </m:rPr>
              <w:rPr>
                <w:rFonts w:ascii="Cambria Math" w:hAnsi="Cambria Math"/>
              </w:rPr>
              <m:t xml:space="preserve"> </m:t>
            </m:r>
            <m:r>
              <w:rPr>
                <w:rFonts w:ascii="Cambria Math" w:hAnsi="Cambria Math"/>
              </w:rPr>
              <m:t>NEBs</m:t>
            </m:r>
            <m:r>
              <m:rPr>
                <m:sty m:val="p"/>
              </m:rPr>
              <w:rPr>
                <w:rFonts w:ascii="Cambria Math" w:hAnsi="Cambria Math"/>
              </w:rPr>
              <m:t>+</m:t>
            </m:r>
            <m:r>
              <w:rPr>
                <w:rFonts w:ascii="Cambria Math" w:hAnsi="Cambria Math"/>
              </w:rPr>
              <m:t>Utility</m:t>
            </m:r>
            <m:r>
              <m:rPr>
                <m:sty m:val="p"/>
              </m:rPr>
              <w:rPr>
                <w:rFonts w:ascii="Cambria Math" w:hAnsi="Cambria Math"/>
              </w:rPr>
              <m:t xml:space="preserve"> </m:t>
            </m:r>
            <m:r>
              <w:rPr>
                <w:rFonts w:ascii="Cambria Math" w:hAnsi="Cambria Math"/>
              </w:rPr>
              <m:t>NEBs</m:t>
            </m:r>
          </m:num>
          <m:den>
            <m:r>
              <w:rPr>
                <w:rFonts w:ascii="Cambria Math" w:hAnsi="Cambria Math"/>
              </w:rPr>
              <m:t>Measure</m:t>
            </m:r>
            <m:r>
              <m:rPr>
                <m:sty m:val="p"/>
              </m:rPr>
              <w:rPr>
                <w:rFonts w:ascii="Cambria Math" w:hAnsi="Cambria Math"/>
              </w:rPr>
              <m:t xml:space="preserve"> </m:t>
            </m:r>
            <m:r>
              <w:rPr>
                <w:rFonts w:ascii="Cambria Math" w:hAnsi="Cambria Math"/>
              </w:rPr>
              <m:t>Installation</m:t>
            </m:r>
            <m:r>
              <m:rPr>
                <m:sty m:val="p"/>
              </m:rPr>
              <w:rPr>
                <w:rFonts w:ascii="Cambria Math" w:hAnsi="Cambria Math"/>
              </w:rPr>
              <m:t xml:space="preserve"> </m:t>
            </m:r>
            <m:r>
              <w:rPr>
                <w:rFonts w:ascii="Cambria Math" w:hAnsi="Cambria Math"/>
              </w:rPr>
              <m:t>Costs</m:t>
            </m:r>
            <m:r>
              <m:rPr>
                <m:sty m:val="p"/>
              </m:rPr>
              <w:rPr>
                <w:rFonts w:ascii="Cambria Math" w:hAnsi="Cambria Math"/>
              </w:rPr>
              <m:t>+</m:t>
            </m:r>
            <m:r>
              <w:rPr>
                <w:rFonts w:ascii="Cambria Math" w:hAnsi="Cambria Math"/>
              </w:rPr>
              <m:t>Program</m:t>
            </m:r>
            <m:r>
              <m:rPr>
                <m:sty m:val="p"/>
              </m:rPr>
              <w:rPr>
                <w:rFonts w:ascii="Cambria Math" w:hAnsi="Cambria Math"/>
              </w:rPr>
              <m:t xml:space="preserve"> </m:t>
            </m:r>
            <m:r>
              <w:rPr>
                <w:rFonts w:ascii="Cambria Math" w:hAnsi="Cambria Math"/>
              </w:rPr>
              <m:t>Administrative</m:t>
            </m:r>
            <m:r>
              <m:rPr>
                <m:sty m:val="p"/>
              </m:rPr>
              <w:rPr>
                <w:rFonts w:ascii="Cambria Math" w:hAnsi="Cambria Math"/>
              </w:rPr>
              <m:t xml:space="preserve"> </m:t>
            </m:r>
            <m:r>
              <w:rPr>
                <w:rFonts w:ascii="Cambria Math" w:hAnsi="Cambria Math"/>
              </w:rPr>
              <m:t>Costs</m:t>
            </m:r>
          </m:den>
        </m:f>
      </m:oMath>
      <w:r w:rsidRPr="00EE33EA">
        <w:t xml:space="preserve"> </w:t>
      </w:r>
    </w:p>
    <w:p w:rsidRPr="00EE33EA" w:rsidR="008959A4" w:rsidP="008959A4" w:rsidRDefault="008959A4" w14:paraId="5C8DA330" w14:textId="77777777">
      <w:pPr>
        <w:pStyle w:val="ALJBodyText"/>
        <w:spacing w:line="240" w:lineRule="auto"/>
        <w:ind w:left="360"/>
      </w:pPr>
    </w:p>
    <w:p w:rsidRPr="00EE33EA" w:rsidR="008959A4" w:rsidP="008959A4" w:rsidRDefault="008959A4" w14:paraId="40BA4A25" w14:textId="77777777">
      <w:pPr>
        <w:pStyle w:val="ALJBodyText"/>
      </w:pPr>
      <m:oMathPara>
        <m:oMath>
          <m:r>
            <w:rPr>
              <w:rFonts w:ascii="Cambria Math" w:hAnsi="Cambria Math"/>
            </w:rPr>
            <m:t>Resource</m:t>
          </m:r>
          <m:r>
            <m:rPr>
              <m:sty m:val="p"/>
            </m:rPr>
            <w:rPr>
              <w:rFonts w:ascii="Cambria Math" w:hAnsi="Cambria Math"/>
            </w:rPr>
            <m:t xml:space="preserve"> </m:t>
          </m:r>
          <m:r>
            <w:rPr>
              <w:rFonts w:ascii="Cambria Math" w:hAnsi="Cambria Math"/>
            </w:rPr>
            <m:t>Test</m:t>
          </m:r>
          <m:r>
            <m:rPr>
              <m:sty m:val="p"/>
            </m:rPr>
            <w:rPr>
              <w:rFonts w:ascii="Cambria Math" w:hAnsi="Cambria Math"/>
            </w:rPr>
            <m:t xml:space="preserve">= </m:t>
          </m:r>
          <m:f>
            <m:fPr>
              <m:ctrlPr>
                <w:rPr>
                  <w:rFonts w:ascii="Cambria Math" w:hAnsi="Cambria Math"/>
                </w:rPr>
              </m:ctrlPr>
            </m:fPr>
            <m:num>
              <m:r>
                <w:rPr>
                  <w:rFonts w:ascii="Cambria Math" w:hAnsi="Cambria Math"/>
                </w:rPr>
                <m:t>Avoided</m:t>
              </m:r>
              <m:r>
                <m:rPr>
                  <m:sty m:val="p"/>
                </m:rPr>
                <w:rPr>
                  <w:rFonts w:ascii="Cambria Math" w:hAnsi="Cambria Math"/>
                </w:rPr>
                <m:t xml:space="preserve"> </m:t>
              </m:r>
              <m:r>
                <w:rPr>
                  <w:rFonts w:ascii="Cambria Math" w:hAnsi="Cambria Math"/>
                </w:rPr>
                <m:t>costs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supplying</m:t>
              </m:r>
              <m:r>
                <m:rPr>
                  <m:sty m:val="p"/>
                </m:rPr>
                <w:rPr>
                  <w:rFonts w:ascii="Cambria Math" w:hAnsi="Cambria Math"/>
                </w:rPr>
                <m:t xml:space="preserve"> </m:t>
              </m:r>
              <m:r>
                <w:rPr>
                  <w:rFonts w:ascii="Cambria Math" w:hAnsi="Cambria Math"/>
                </w:rPr>
                <m:t>energy</m:t>
              </m:r>
              <m:r>
                <m:rPr>
                  <m:sty m:val="p"/>
                </m:rPr>
                <w:rPr>
                  <w:rFonts w:ascii="Cambria Math" w:hAnsi="Cambria Math"/>
                </w:rPr>
                <m:t>​</m:t>
              </m:r>
            </m:num>
            <m:den>
              <m:r>
                <w:rPr>
                  <w:rFonts w:ascii="Cambria Math" w:hAnsi="Cambria Math"/>
                </w:rPr>
                <m:t>Measure</m:t>
              </m:r>
              <m:r>
                <m:rPr>
                  <m:sty m:val="p"/>
                </m:rPr>
                <w:rPr>
                  <w:rFonts w:ascii="Cambria Math" w:hAnsi="Cambria Math"/>
                </w:rPr>
                <m:t xml:space="preserve"> </m:t>
              </m:r>
              <m:r>
                <w:rPr>
                  <w:rFonts w:ascii="Cambria Math" w:hAnsi="Cambria Math"/>
                </w:rPr>
                <m:t>Installation</m:t>
              </m:r>
              <m:r>
                <m:rPr>
                  <m:sty m:val="p"/>
                </m:rPr>
                <w:rPr>
                  <w:rFonts w:ascii="Cambria Math" w:hAnsi="Cambria Math"/>
                </w:rPr>
                <m:t xml:space="preserve"> </m:t>
              </m:r>
              <m:r>
                <w:rPr>
                  <w:rFonts w:ascii="Cambria Math" w:hAnsi="Cambria Math"/>
                </w:rPr>
                <m:t>Costs</m:t>
              </m:r>
            </m:den>
          </m:f>
        </m:oMath>
      </m:oMathPara>
    </w:p>
    <w:p w:rsidRPr="00F2607B" w:rsidR="008959A4" w:rsidP="008959A4" w:rsidRDefault="008959A4" w14:paraId="45BB41E3" w14:textId="77777777">
      <w:pPr>
        <w:pStyle w:val="ALJBodyText"/>
        <w:spacing w:line="240" w:lineRule="auto"/>
      </w:pPr>
    </w:p>
    <w:p w:rsidR="008959A4" w:rsidP="008959A4" w:rsidRDefault="008959A4" w14:paraId="3BDB7024" w14:textId="77777777">
      <w:pPr>
        <w:pStyle w:val="ALJBodyText"/>
        <w:rPr>
          <w:rFonts w:cstheme="minorBidi"/>
        </w:rPr>
      </w:pPr>
      <w:r w:rsidRPr="00F2607B">
        <w:lastRenderedPageBreak/>
        <w:t>Although not specifically mandated to meet a specific cost effectiveness</w:t>
      </w:r>
      <w:r>
        <w:t xml:space="preserve"> level for the program, </w:t>
      </w:r>
      <w:r w:rsidRPr="533FAECE">
        <w:rPr>
          <w:rFonts w:cstheme="minorBidi"/>
        </w:rPr>
        <w:t xml:space="preserve">the </w:t>
      </w:r>
      <w:r>
        <w:rPr>
          <w:rFonts w:cstheme="minorBidi"/>
        </w:rPr>
        <w:t>SMJUs</w:t>
      </w:r>
      <w:r w:rsidRPr="533FAECE">
        <w:rPr>
          <w:rFonts w:cstheme="minorBidi"/>
        </w:rPr>
        <w:t xml:space="preserve"> have been encouraged to seek ways to increase the program’s costs effectiveness, whether through installing measures that yield deeper savings, accurately valuing and accounting for NEBs, or through reduced costs in administration and overhead</w:t>
      </w:r>
      <w:r>
        <w:rPr>
          <w:rFonts w:cstheme="minorBidi"/>
        </w:rPr>
        <w:t xml:space="preserve">.  </w:t>
      </w:r>
      <w:r w:rsidRPr="533FAECE">
        <w:rPr>
          <w:rFonts w:cstheme="minorBidi"/>
        </w:rPr>
        <w:t xml:space="preserve">For </w:t>
      </w:r>
      <w:r>
        <w:rPr>
          <w:rFonts w:cstheme="minorBidi"/>
        </w:rPr>
        <w:t>PYs </w:t>
      </w:r>
      <w:r w:rsidRPr="533FAECE">
        <w:rPr>
          <w:rFonts w:cstheme="minorBidi"/>
        </w:rPr>
        <w:t>2021</w:t>
      </w:r>
      <w:r>
        <w:rPr>
          <w:rFonts w:cstheme="minorBidi"/>
        </w:rPr>
        <w:noBreakHyphen/>
      </w:r>
      <w:r w:rsidRPr="533FAECE">
        <w:rPr>
          <w:rFonts w:cstheme="minorBidi"/>
        </w:rPr>
        <w:t xml:space="preserve">2026, the </w:t>
      </w:r>
      <w:r>
        <w:rPr>
          <w:rFonts w:cstheme="minorBidi"/>
        </w:rPr>
        <w:t>SMJUs</w:t>
      </w:r>
      <w:r w:rsidRPr="533FAECE">
        <w:rPr>
          <w:rFonts w:cstheme="minorBidi"/>
        </w:rPr>
        <w:t xml:space="preserve"> were asked to discuss the criteria used to compose the proposed portfolio, cost effectiveness of the proposed portfolio, as well as provide justification for including any non-cost</w:t>
      </w:r>
      <w:r>
        <w:rPr>
          <w:rFonts w:cstheme="minorBidi"/>
        </w:rPr>
        <w:t>-</w:t>
      </w:r>
      <w:r w:rsidRPr="533FAECE">
        <w:rPr>
          <w:rFonts w:cstheme="minorBidi"/>
        </w:rPr>
        <w:t>effective measures.</w:t>
      </w:r>
    </w:p>
    <w:p w:rsidR="008959A4" w:rsidP="008959A4" w:rsidRDefault="008959A4" w14:paraId="6C69E446" w14:textId="77777777">
      <w:pPr>
        <w:pStyle w:val="Heading3"/>
      </w:pPr>
      <w:bookmarkStart w:name="_Toc82159808" w:id="233"/>
      <w:r>
        <w:t>Alpine Proposal</w:t>
      </w:r>
      <w:bookmarkEnd w:id="233"/>
    </w:p>
    <w:p w:rsidRPr="00B67A77" w:rsidR="008959A4" w:rsidP="008959A4" w:rsidRDefault="008959A4" w14:paraId="35675168" w14:textId="77777777">
      <w:pPr>
        <w:pStyle w:val="ALJBodyText"/>
      </w:pPr>
      <w:r>
        <w:rPr>
          <w:b/>
          <w:bCs/>
          <w:i/>
          <w:iCs/>
          <w:u w:val="single"/>
        </w:rPr>
        <w:t xml:space="preserve">Portfolio </w:t>
      </w:r>
      <w:r w:rsidRPr="001C7A80">
        <w:rPr>
          <w:b/>
          <w:bCs/>
          <w:i/>
          <w:iCs/>
          <w:u w:val="single"/>
        </w:rPr>
        <w:t>Cost Effectiveness</w:t>
      </w:r>
      <w:r>
        <w:t>: Alpine states that its</w:t>
      </w:r>
      <w:r w:rsidRPr="00771BF7">
        <w:t xml:space="preserve"> PY 2021-2026 portfolio composition has been enhanced compared to the prior program cycle with the inclusion of numerous high-cost, deep-saving technologies. </w:t>
      </w:r>
      <w:r>
        <w:t xml:space="preserve"> All m</w:t>
      </w:r>
      <w:r w:rsidRPr="00771BF7">
        <w:t xml:space="preserve">easures were first screened based on the TRC test, excluding </w:t>
      </w:r>
      <w:r>
        <w:t xml:space="preserve">NEBs, and were </w:t>
      </w:r>
      <w:r w:rsidRPr="00771BF7">
        <w:t>then aggregated to an average household-level by climate zone and housing type (single family, multifamily, mobile home).</w:t>
      </w:r>
      <w:r>
        <w:rPr>
          <w:rStyle w:val="FootnoteReference"/>
        </w:rPr>
        <w:footnoteReference w:id="183"/>
      </w:r>
      <w:r w:rsidRPr="0002592F">
        <w:rPr>
          <w:rFonts w:ascii="Arial" w:hAnsi="Arial" w:cs="Arial"/>
          <w:color w:val="000000"/>
          <w:sz w:val="23"/>
          <w:szCs w:val="23"/>
        </w:rPr>
        <w:t xml:space="preserve"> </w:t>
      </w:r>
      <w:r>
        <w:rPr>
          <w:rFonts w:ascii="Arial" w:hAnsi="Arial" w:cs="Arial"/>
          <w:color w:val="000000"/>
          <w:sz w:val="23"/>
          <w:szCs w:val="23"/>
        </w:rPr>
        <w:t xml:space="preserve"> </w:t>
      </w:r>
      <w:r>
        <w:t>Alpine states that its</w:t>
      </w:r>
      <w:r w:rsidRPr="0002592F">
        <w:t xml:space="preserve"> overall ESACET scores (consistent with D.14-08-030) average at 1.00 per year for </w:t>
      </w:r>
      <w:r>
        <w:t>PYs </w:t>
      </w:r>
      <w:r w:rsidRPr="0002592F">
        <w:t>2021-2026</w:t>
      </w:r>
      <w:r>
        <w:t>.</w:t>
      </w:r>
      <w:r>
        <w:rPr>
          <w:rStyle w:val="FootnoteReference"/>
        </w:rPr>
        <w:footnoteReference w:id="184"/>
      </w:r>
    </w:p>
    <w:p w:rsidR="008959A4" w:rsidP="008959A4" w:rsidRDefault="008959A4" w14:paraId="57AAE5E9" w14:textId="77777777">
      <w:pPr>
        <w:pStyle w:val="Heading3"/>
      </w:pPr>
      <w:bookmarkStart w:name="_Toc82159809" w:id="234"/>
      <w:r>
        <w:t>Bear Valley Proposal</w:t>
      </w:r>
      <w:bookmarkEnd w:id="234"/>
    </w:p>
    <w:p w:rsidRPr="003447A9" w:rsidR="008959A4" w:rsidP="008959A4" w:rsidRDefault="008959A4" w14:paraId="52430165" w14:textId="77777777">
      <w:pPr>
        <w:pStyle w:val="Standard"/>
      </w:pPr>
      <w:r>
        <w:rPr>
          <w:b/>
          <w:bCs/>
          <w:i/>
          <w:iCs/>
          <w:u w:val="single"/>
        </w:rPr>
        <w:t xml:space="preserve">Portfolio </w:t>
      </w:r>
      <w:r w:rsidRPr="001C7A80">
        <w:rPr>
          <w:b/>
          <w:bCs/>
          <w:i/>
          <w:iCs/>
          <w:u w:val="single"/>
        </w:rPr>
        <w:t>Cost Effectiveness</w:t>
      </w:r>
      <w:r>
        <w:t xml:space="preserve">: </w:t>
      </w:r>
      <w:r w:rsidRPr="003447A9">
        <w:t xml:space="preserve"> </w:t>
      </w:r>
      <w:r>
        <w:t>Bear Valley</w:t>
      </w:r>
      <w:r w:rsidRPr="003447A9">
        <w:t xml:space="preserve"> </w:t>
      </w:r>
      <w:r>
        <w:t xml:space="preserve">did not provide </w:t>
      </w:r>
      <w:r w:rsidRPr="003447A9">
        <w:t xml:space="preserve">ESACET scores </w:t>
      </w:r>
      <w:r>
        <w:t>in their application for</w:t>
      </w:r>
      <w:r w:rsidRPr="003447A9">
        <w:t xml:space="preserve"> </w:t>
      </w:r>
      <w:r>
        <w:t>PYs</w:t>
      </w:r>
      <w:r w:rsidRPr="003447A9">
        <w:t xml:space="preserve"> 2021-2026.</w:t>
      </w:r>
    </w:p>
    <w:p w:rsidR="008959A4" w:rsidP="008959A4" w:rsidRDefault="008959A4" w14:paraId="6F997327" w14:textId="77777777">
      <w:pPr>
        <w:pStyle w:val="Heading3"/>
      </w:pPr>
      <w:bookmarkStart w:name="_Toc82159810" w:id="235"/>
      <w:r>
        <w:t>Liberty Proposal</w:t>
      </w:r>
      <w:bookmarkEnd w:id="235"/>
    </w:p>
    <w:p w:rsidRPr="0065755B" w:rsidR="008959A4" w:rsidP="008959A4" w:rsidRDefault="008959A4" w14:paraId="6CE39BD9" w14:textId="77777777">
      <w:pPr>
        <w:pStyle w:val="Standard"/>
      </w:pPr>
      <w:r>
        <w:rPr>
          <w:b/>
          <w:bCs/>
          <w:i/>
          <w:iCs/>
          <w:u w:val="single"/>
        </w:rPr>
        <w:t xml:space="preserve">Portfolio </w:t>
      </w:r>
      <w:r w:rsidRPr="001C7A80">
        <w:rPr>
          <w:b/>
          <w:bCs/>
          <w:i/>
          <w:iCs/>
          <w:u w:val="single"/>
        </w:rPr>
        <w:t>Cost Effectiveness</w:t>
      </w:r>
      <w:r>
        <w:t>:</w:t>
      </w:r>
      <w:r w:rsidRPr="003447A9">
        <w:t xml:space="preserve"> </w:t>
      </w:r>
      <w:r>
        <w:t xml:space="preserve"> Liberty states that all of its m</w:t>
      </w:r>
      <w:r w:rsidRPr="002142FA">
        <w:t>easures were first screened on the basis of the TRC test,</w:t>
      </w:r>
      <w:r>
        <w:t xml:space="preserve"> </w:t>
      </w:r>
      <w:r w:rsidRPr="002142FA">
        <w:t xml:space="preserve">excluding </w:t>
      </w:r>
      <w:r>
        <w:t xml:space="preserve">NEBs, </w:t>
      </w:r>
      <w:r w:rsidRPr="002142FA">
        <w:t>then aggregated to an average household-level by</w:t>
      </w:r>
      <w:r>
        <w:t xml:space="preserve"> </w:t>
      </w:r>
      <w:r w:rsidRPr="002142FA">
        <w:t>housing type (single family, multifamily, mobile home) for a total of three discrete participant</w:t>
      </w:r>
      <w:r>
        <w:t xml:space="preserve"> </w:t>
      </w:r>
      <w:r w:rsidRPr="002142FA">
        <w:t>categories.</w:t>
      </w:r>
      <w:r>
        <w:t xml:space="preserve"> </w:t>
      </w:r>
      <w:r w:rsidRPr="002142FA">
        <w:t xml:space="preserve"> These three categories </w:t>
      </w:r>
      <w:r w:rsidRPr="002142FA">
        <w:lastRenderedPageBreak/>
        <w:t xml:space="preserve">then had household level </w:t>
      </w:r>
      <w:r>
        <w:t>NEBs</w:t>
      </w:r>
      <w:r w:rsidRPr="002142FA">
        <w:t xml:space="preserve"> estimated for</w:t>
      </w:r>
      <w:r>
        <w:t xml:space="preserve"> </w:t>
      </w:r>
      <w:r w:rsidRPr="002142FA">
        <w:t>calculation of the ES</w:t>
      </w:r>
      <w:r>
        <w:t>ACET</w:t>
      </w:r>
      <w:r w:rsidRPr="002142FA">
        <w:t>.</w:t>
      </w:r>
      <w:r>
        <w:t xml:space="preserve">  Liberty’s </w:t>
      </w:r>
      <w:r w:rsidRPr="009F1038">
        <w:t xml:space="preserve">overall ESACET scores (consistent with D.14-08-030) for </w:t>
      </w:r>
      <w:r>
        <w:t xml:space="preserve">PYs </w:t>
      </w:r>
      <w:r w:rsidRPr="009F1038">
        <w:t xml:space="preserve">2021-2026 </w:t>
      </w:r>
      <w:r>
        <w:t xml:space="preserve">range between 1.21 to 1.43, with the </w:t>
      </w:r>
      <w:r w:rsidRPr="009F1038">
        <w:t>ESACET score</w:t>
      </w:r>
      <w:r>
        <w:t xml:space="preserve"> expected to decrease over the years.</w:t>
      </w:r>
      <w:r>
        <w:rPr>
          <w:rStyle w:val="FootnoteReference"/>
        </w:rPr>
        <w:footnoteReference w:id="185"/>
      </w:r>
    </w:p>
    <w:p w:rsidR="008959A4" w:rsidP="008959A4" w:rsidRDefault="008959A4" w14:paraId="72DEB742" w14:textId="77777777">
      <w:pPr>
        <w:pStyle w:val="Heading3"/>
      </w:pPr>
      <w:bookmarkStart w:name="_Toc82159811" w:id="236"/>
      <w:r>
        <w:t>PacifiCorp Proposal</w:t>
      </w:r>
      <w:bookmarkEnd w:id="236"/>
    </w:p>
    <w:p w:rsidRPr="00BF2604" w:rsidR="008959A4" w:rsidP="008959A4" w:rsidRDefault="008959A4" w14:paraId="652960AD" w14:textId="77777777">
      <w:pPr>
        <w:pStyle w:val="Standard"/>
      </w:pPr>
      <w:r>
        <w:rPr>
          <w:b/>
          <w:bCs/>
          <w:i/>
          <w:iCs/>
          <w:u w:val="single"/>
        </w:rPr>
        <w:t xml:space="preserve">Portfolio </w:t>
      </w:r>
      <w:r w:rsidRPr="001C7A80">
        <w:rPr>
          <w:b/>
          <w:bCs/>
          <w:i/>
          <w:iCs/>
          <w:u w:val="single"/>
        </w:rPr>
        <w:t>Cost Effectiveness</w:t>
      </w:r>
      <w:r>
        <w:t>:</w:t>
      </w:r>
      <w:r w:rsidRPr="003447A9">
        <w:t xml:space="preserve"> </w:t>
      </w:r>
      <w:r>
        <w:t xml:space="preserve"> PacifiCorp</w:t>
      </w:r>
      <w:r w:rsidRPr="003447A9">
        <w:t xml:space="preserve"> </w:t>
      </w:r>
      <w:r>
        <w:t xml:space="preserve">did not provide </w:t>
      </w:r>
      <w:r w:rsidRPr="003447A9">
        <w:t xml:space="preserve">ESACET scores </w:t>
      </w:r>
      <w:r>
        <w:t>for</w:t>
      </w:r>
      <w:r w:rsidRPr="003447A9">
        <w:t xml:space="preserve"> </w:t>
      </w:r>
      <w:r>
        <w:t>PYs</w:t>
      </w:r>
      <w:r w:rsidRPr="003447A9">
        <w:t xml:space="preserve"> 2021-2026 </w:t>
      </w:r>
      <w:r>
        <w:t>but states that its</w:t>
      </w:r>
      <w:r w:rsidRPr="00C060A7">
        <w:t xml:space="preserve"> currently proposed measures are cost</w:t>
      </w:r>
      <w:r>
        <w:noBreakHyphen/>
      </w:r>
      <w:r w:rsidRPr="00C060A7">
        <w:t>effective.</w:t>
      </w:r>
      <w:r>
        <w:rPr>
          <w:rStyle w:val="FootnoteReference"/>
        </w:rPr>
        <w:footnoteReference w:id="186"/>
      </w:r>
    </w:p>
    <w:p w:rsidR="008959A4" w:rsidP="008959A4" w:rsidRDefault="008959A4" w14:paraId="7F6EB6DE" w14:textId="77777777">
      <w:pPr>
        <w:pStyle w:val="Heading3"/>
      </w:pPr>
      <w:bookmarkStart w:name="_Toc82159812" w:id="237"/>
      <w:r>
        <w:t>Southwest Gas Proposal</w:t>
      </w:r>
      <w:bookmarkEnd w:id="237"/>
    </w:p>
    <w:p w:rsidRPr="00715F66" w:rsidR="008959A4" w:rsidP="008959A4" w:rsidRDefault="008959A4" w14:paraId="556A63AD" w14:textId="77777777">
      <w:pPr>
        <w:pStyle w:val="ALJBodyText"/>
      </w:pPr>
      <w:r>
        <w:rPr>
          <w:b/>
          <w:bCs/>
          <w:i/>
          <w:iCs/>
          <w:u w:val="single"/>
        </w:rPr>
        <w:t xml:space="preserve">Portfolio </w:t>
      </w:r>
      <w:r w:rsidRPr="001C7A80">
        <w:rPr>
          <w:b/>
          <w:bCs/>
          <w:i/>
          <w:iCs/>
          <w:u w:val="single"/>
        </w:rPr>
        <w:t>Cost Effectiveness</w:t>
      </w:r>
      <w:r>
        <w:t xml:space="preserve">:  Southwest Gas calculated an ESACET and performed a </w:t>
      </w:r>
      <w:r w:rsidRPr="001C7A80">
        <w:t>TRC</w:t>
      </w:r>
      <w:r>
        <w:t xml:space="preserve"> </w:t>
      </w:r>
      <w:r w:rsidRPr="001C7A80">
        <w:t xml:space="preserve">test </w:t>
      </w:r>
      <w:r>
        <w:t>on all the measures and a</w:t>
      </w:r>
      <w:r w:rsidRPr="001C7A80">
        <w:t>ggregated average household</w:t>
      </w:r>
      <w:r>
        <w:noBreakHyphen/>
      </w:r>
      <w:r w:rsidRPr="001C7A80">
        <w:t>level categories were created for the</w:t>
      </w:r>
      <w:r>
        <w:t xml:space="preserve"> </w:t>
      </w:r>
      <w:r w:rsidRPr="001C7A80">
        <w:t>calculation of the ESACET</w:t>
      </w:r>
      <w:r>
        <w:t>, (c</w:t>
      </w:r>
      <w:r w:rsidRPr="001C7A80">
        <w:t>onsistent with D.14-08-030</w:t>
      </w:r>
      <w:r>
        <w:t xml:space="preserve">).  </w:t>
      </w:r>
      <w:r w:rsidRPr="001C7A80">
        <w:t>Southwest Gas</w:t>
      </w:r>
      <w:r>
        <w:t>’</w:t>
      </w:r>
      <w:r w:rsidRPr="001C7A80">
        <w:t xml:space="preserve"> overall aggregated household</w:t>
      </w:r>
      <w:r>
        <w:t xml:space="preserve"> </w:t>
      </w:r>
      <w:r w:rsidRPr="001C7A80">
        <w:t>level</w:t>
      </w:r>
      <w:r>
        <w:t xml:space="preserve"> </w:t>
      </w:r>
      <w:r w:rsidRPr="001C7A80">
        <w:t>ESACET score average</w:t>
      </w:r>
      <w:r>
        <w:t>s</w:t>
      </w:r>
      <w:r w:rsidRPr="001C7A80">
        <w:t xml:space="preserve"> at 1.00 for PYs 2021-2026.</w:t>
      </w:r>
      <w:r>
        <w:rPr>
          <w:rStyle w:val="FootnoteReference"/>
        </w:rPr>
        <w:footnoteReference w:id="187"/>
      </w:r>
    </w:p>
    <w:p w:rsidR="008959A4" w:rsidP="008959A4" w:rsidRDefault="008959A4" w14:paraId="6D7EB598" w14:textId="77777777">
      <w:pPr>
        <w:pStyle w:val="Heading3"/>
      </w:pPr>
      <w:bookmarkStart w:name="_Toc82159813" w:id="238"/>
      <w:r>
        <w:t>Party Comments</w:t>
      </w:r>
      <w:bookmarkEnd w:id="238"/>
    </w:p>
    <w:p w:rsidR="008959A4" w:rsidP="008959A4" w:rsidRDefault="008959A4" w14:paraId="31096894" w14:textId="77777777">
      <w:pPr>
        <w:pStyle w:val="Heading4"/>
        <w:ind w:left="3510" w:hanging="1170"/>
      </w:pPr>
      <w:bookmarkStart w:name="_Toc82159814" w:id="239"/>
      <w:r>
        <w:t>Cal Advocates</w:t>
      </w:r>
      <w:bookmarkEnd w:id="239"/>
    </w:p>
    <w:p w:rsidR="008959A4" w:rsidP="008959A4" w:rsidRDefault="008959A4" w14:paraId="50FDC005" w14:textId="77777777">
      <w:pPr>
        <w:pStyle w:val="Standard"/>
      </w:pPr>
      <w:r>
        <w:rPr>
          <w:b/>
          <w:bCs/>
          <w:i/>
          <w:iCs/>
          <w:u w:val="single"/>
        </w:rPr>
        <w:t xml:space="preserve">Establishing an </w:t>
      </w:r>
      <w:r w:rsidRPr="00EF1C38">
        <w:rPr>
          <w:b/>
          <w:bCs/>
          <w:i/>
          <w:iCs/>
          <w:u w:val="single"/>
        </w:rPr>
        <w:t>ESACET Threshold of</w:t>
      </w:r>
      <w:r>
        <w:rPr>
          <w:b/>
          <w:bCs/>
          <w:i/>
          <w:iCs/>
          <w:u w:val="single"/>
        </w:rPr>
        <w:t xml:space="preserve"> </w:t>
      </w:r>
      <w:r w:rsidRPr="00EF1C38">
        <w:rPr>
          <w:b/>
          <w:bCs/>
          <w:i/>
          <w:iCs/>
          <w:u w:val="single"/>
        </w:rPr>
        <w:t>1.0 for the Resource Measures at the Portfolio Level</w:t>
      </w:r>
      <w:r>
        <w:t>:  Cal Advocates propose a 1.0</w:t>
      </w:r>
      <w:r w:rsidRPr="00EF1C38">
        <w:t xml:space="preserve"> ESACET </w:t>
      </w:r>
      <w:r>
        <w:t>t</w:t>
      </w:r>
      <w:r w:rsidRPr="00EF1C38">
        <w:t xml:space="preserve">hreshold for the </w:t>
      </w:r>
      <w:r>
        <w:t>r</w:t>
      </w:r>
      <w:r w:rsidRPr="00EF1C38">
        <w:t xml:space="preserve">esource </w:t>
      </w:r>
      <w:r>
        <w:t>m</w:t>
      </w:r>
      <w:r w:rsidRPr="00EF1C38">
        <w:t xml:space="preserve">easures at the </w:t>
      </w:r>
      <w:r>
        <w:t>p</w:t>
      </w:r>
      <w:r w:rsidRPr="00EF1C38">
        <w:t xml:space="preserve">ortfolio </w:t>
      </w:r>
      <w:r>
        <w:t>l</w:t>
      </w:r>
      <w:r w:rsidRPr="00EF1C38">
        <w:t>evel for</w:t>
      </w:r>
      <w:r>
        <w:t xml:space="preserve"> all </w:t>
      </w:r>
      <w:r w:rsidRPr="00EF1C38">
        <w:t xml:space="preserve">the SMJUs </w:t>
      </w:r>
      <w:r>
        <w:t>except for</w:t>
      </w:r>
      <w:r w:rsidRPr="00EF1C38">
        <w:t xml:space="preserve"> Alpine.</w:t>
      </w:r>
      <w:r>
        <w:t xml:space="preserve">  </w:t>
      </w:r>
      <w:r w:rsidRPr="0049074B">
        <w:t>Cal Advocates</w:t>
      </w:r>
      <w:r>
        <w:t xml:space="preserve"> state that without such a </w:t>
      </w:r>
      <w:r w:rsidRPr="0049074B">
        <w:t>threshold, the Commission lacks an effective method to hold utilities</w:t>
      </w:r>
      <w:r>
        <w:t xml:space="preserve"> </w:t>
      </w:r>
      <w:r w:rsidRPr="0049074B">
        <w:t>accountable for delivering reasonable energy savings and customer bill reductions and</w:t>
      </w:r>
      <w:r>
        <w:t xml:space="preserve"> </w:t>
      </w:r>
      <w:r w:rsidRPr="0049074B">
        <w:t>using ratepayer funds for their programs most effectively.</w:t>
      </w:r>
      <w:r>
        <w:t xml:space="preserve">  </w:t>
      </w:r>
      <w:r w:rsidRPr="0049074B">
        <w:t xml:space="preserve">An ESACET threshold of 1.0 for the portfolio of resource measures is </w:t>
      </w:r>
      <w:r w:rsidRPr="0049074B">
        <w:lastRenderedPageBreak/>
        <w:t>reasonable</w:t>
      </w:r>
      <w:r>
        <w:t xml:space="preserve"> </w:t>
      </w:r>
      <w:r w:rsidRPr="0049074B">
        <w:t>and will ensure that all ratepayers, including low-income ESA customers, receive</w:t>
      </w:r>
      <w:r>
        <w:t xml:space="preserve"> </w:t>
      </w:r>
      <w:r w:rsidRPr="0049074B">
        <w:t>benefits that are equal to or greater than the funds invested in the ESA program.</w:t>
      </w:r>
      <w:r>
        <w:t xml:space="preserve">  </w:t>
      </w:r>
      <w:r w:rsidRPr="0049074B">
        <w:t xml:space="preserve">Cal Advocates </w:t>
      </w:r>
      <w:r>
        <w:t xml:space="preserve">propose that </w:t>
      </w:r>
      <w:r w:rsidRPr="0049074B">
        <w:t>measures primarily intended to provide HCS</w:t>
      </w:r>
      <w:r>
        <w:t xml:space="preserve"> </w:t>
      </w:r>
      <w:r w:rsidRPr="0049074B">
        <w:t xml:space="preserve">benefits </w:t>
      </w:r>
      <w:r>
        <w:t>be excluded from the th</w:t>
      </w:r>
      <w:r w:rsidRPr="0049074B">
        <w:t>reshold requirement</w:t>
      </w:r>
      <w:r>
        <w:t xml:space="preserve">, therefore still allowing for </w:t>
      </w:r>
      <w:r w:rsidRPr="0049074B">
        <w:t>the implementation of non-resource measures that provide HCS</w:t>
      </w:r>
      <w:r>
        <w:t xml:space="preserve"> </w:t>
      </w:r>
      <w:r w:rsidRPr="0049074B">
        <w:t>benefits.</w:t>
      </w:r>
    </w:p>
    <w:p w:rsidR="008959A4" w:rsidP="008959A4" w:rsidRDefault="008959A4" w14:paraId="31BC59E2" w14:textId="77777777">
      <w:pPr>
        <w:pStyle w:val="Standard"/>
      </w:pPr>
      <w:r w:rsidRPr="002A413A">
        <w:t>Cal Advocates notes that s</w:t>
      </w:r>
      <w:r w:rsidRPr="0049074B">
        <w:t xml:space="preserve">everal SMJUs have </w:t>
      </w:r>
      <w:r>
        <w:t xml:space="preserve">already </w:t>
      </w:r>
      <w:r w:rsidRPr="0049074B">
        <w:t>proven that this goal is achievable</w:t>
      </w:r>
      <w:r>
        <w:t xml:space="preserve">, as </w:t>
      </w:r>
      <w:r w:rsidRPr="0049074B">
        <w:t>four SMJUs (except West Coast Gas,</w:t>
      </w:r>
      <w:r>
        <w:t xml:space="preserve"> </w:t>
      </w:r>
      <w:r w:rsidRPr="0049074B">
        <w:t>which does not submit an ESA application, and Alpine) report ESACET scores of 1.0 or</w:t>
      </w:r>
      <w:r>
        <w:t xml:space="preserve"> </w:t>
      </w:r>
      <w:r w:rsidRPr="0049074B">
        <w:t>higher at the portfolio level for PYs 2021-2026.</w:t>
      </w:r>
      <w:r>
        <w:t xml:space="preserve"> </w:t>
      </w:r>
    </w:p>
    <w:p w:rsidRPr="0049074B" w:rsidR="008959A4" w:rsidP="008959A4" w:rsidRDefault="008959A4" w14:paraId="21D0F351" w14:textId="77777777">
      <w:pPr>
        <w:pStyle w:val="Standard"/>
        <w:rPr>
          <w:b/>
          <w:bCs/>
        </w:rPr>
      </w:pPr>
      <w:r w:rsidRPr="008F05A6">
        <w:rPr>
          <w:b/>
          <w:bCs/>
          <w:i/>
          <w:iCs/>
          <w:u w:val="single"/>
        </w:rPr>
        <w:t xml:space="preserve">Establishing an ESACET </w:t>
      </w:r>
      <w:r>
        <w:rPr>
          <w:b/>
          <w:bCs/>
          <w:i/>
          <w:iCs/>
          <w:u w:val="single"/>
        </w:rPr>
        <w:t>Target</w:t>
      </w:r>
      <w:r w:rsidRPr="008F05A6">
        <w:rPr>
          <w:b/>
          <w:bCs/>
          <w:i/>
          <w:iCs/>
          <w:u w:val="single"/>
        </w:rPr>
        <w:t xml:space="preserve"> of </w:t>
      </w:r>
      <w:r>
        <w:rPr>
          <w:b/>
          <w:bCs/>
          <w:i/>
          <w:iCs/>
          <w:u w:val="single"/>
        </w:rPr>
        <w:t>0.3</w:t>
      </w:r>
      <w:r w:rsidRPr="008F05A6">
        <w:rPr>
          <w:b/>
          <w:bCs/>
          <w:i/>
          <w:iCs/>
          <w:u w:val="single"/>
        </w:rPr>
        <w:t xml:space="preserve"> for the Resource Measures at the Portfolio Level</w:t>
      </w:r>
      <w:r>
        <w:rPr>
          <w:b/>
          <w:bCs/>
          <w:i/>
          <w:iCs/>
          <w:u w:val="single"/>
        </w:rPr>
        <w:t xml:space="preserve"> for Alpine</w:t>
      </w:r>
      <w:r>
        <w:t>:  Cal Advocates recommend exempting Alpine from the 1.0 threshold requirement given its small service territory and</w:t>
      </w:r>
      <w:r w:rsidRPr="0049074B">
        <w:t xml:space="preserve"> the potentially substantial burden that could be</w:t>
      </w:r>
      <w:r>
        <w:t xml:space="preserve"> </w:t>
      </w:r>
      <w:r w:rsidRPr="0049074B">
        <w:t>imposed on a utility with a relatively small eligible customer base over which to spread</w:t>
      </w:r>
      <w:r>
        <w:t xml:space="preserve"> </w:t>
      </w:r>
      <w:r w:rsidRPr="0049074B">
        <w:t>administrative costs</w:t>
      </w:r>
      <w:r>
        <w:t xml:space="preserve">; and instead, recommends setting </w:t>
      </w:r>
      <w:r w:rsidRPr="0049074B">
        <w:t>a 0.3 ESACET target for</w:t>
      </w:r>
      <w:r>
        <w:t xml:space="preserve"> </w:t>
      </w:r>
      <w:r w:rsidRPr="0049074B">
        <w:t>Alpine.</w:t>
      </w:r>
    </w:p>
    <w:p w:rsidR="008959A4" w:rsidP="008959A4" w:rsidRDefault="008959A4" w14:paraId="68133773" w14:textId="77777777">
      <w:pPr>
        <w:pStyle w:val="Heading4"/>
        <w:ind w:left="3600" w:hanging="1260"/>
      </w:pPr>
      <w:bookmarkStart w:name="_Toc82159815" w:id="240"/>
      <w:r>
        <w:t>EEC &amp; Free Energy</w:t>
      </w:r>
      <w:bookmarkEnd w:id="240"/>
      <w:r>
        <w:t xml:space="preserve"> </w:t>
      </w:r>
    </w:p>
    <w:p w:rsidR="008959A4" w:rsidP="008959A4" w:rsidRDefault="008959A4" w14:paraId="44432C7D" w14:textId="77777777">
      <w:pPr>
        <w:pStyle w:val="Standard"/>
      </w:pPr>
      <w:bookmarkStart w:name="_Hlk78926061" w:id="241"/>
      <w:r w:rsidRPr="008F05A6">
        <w:rPr>
          <w:b/>
          <w:bCs/>
          <w:i/>
          <w:iCs/>
          <w:u w:val="single"/>
        </w:rPr>
        <w:t>Establishing an ESACET Threshold of 1.0 for the Resource Measures at the Portfolio Level</w:t>
      </w:r>
      <w:r>
        <w:t xml:space="preserve">: </w:t>
      </w:r>
      <w:bookmarkEnd w:id="241"/>
      <w:r>
        <w:t xml:space="preserve"> </w:t>
      </w:r>
      <w:r w:rsidRPr="0061570A">
        <w:t xml:space="preserve">EEC </w:t>
      </w:r>
      <w:r>
        <w:t xml:space="preserve">and Free Energy </w:t>
      </w:r>
      <w:r w:rsidRPr="0061570A">
        <w:t>do not support any hard and fast rule for ESA cost-effectiveness</w:t>
      </w:r>
      <w:r>
        <w:t xml:space="preserve"> stating that t</w:t>
      </w:r>
      <w:r w:rsidRPr="0061570A">
        <w:t>here are</w:t>
      </w:r>
      <w:r>
        <w:t xml:space="preserve"> </w:t>
      </w:r>
      <w:r w:rsidRPr="0061570A">
        <w:t xml:space="preserve">too many subjective aspects to the program and its measurement to do this. </w:t>
      </w:r>
      <w:r>
        <w:t xml:space="preserve"> </w:t>
      </w:r>
      <w:r w:rsidRPr="0061570A">
        <w:t xml:space="preserve">EEC </w:t>
      </w:r>
      <w:r>
        <w:t>and Free Energy argue that setting</w:t>
      </w:r>
      <w:r w:rsidRPr="00715610">
        <w:t xml:space="preserve"> a 1.0 ESACET will not encourage </w:t>
      </w:r>
      <w:r>
        <w:t xml:space="preserve">the SMJUs </w:t>
      </w:r>
      <w:r w:rsidRPr="00715610">
        <w:t>to improve their programs</w:t>
      </w:r>
      <w:r>
        <w:t xml:space="preserve">, but </w:t>
      </w:r>
      <w:r w:rsidRPr="00715610">
        <w:t>would</w:t>
      </w:r>
      <w:r>
        <w:t xml:space="preserve"> </w:t>
      </w:r>
      <w:r w:rsidRPr="00715610">
        <w:t>be counter</w:t>
      </w:r>
      <w:r>
        <w:t>p</w:t>
      </w:r>
      <w:r w:rsidRPr="00715610">
        <w:t>roductive, allowing (if not encouraging) the three SMJUs who are well</w:t>
      </w:r>
      <w:r>
        <w:t xml:space="preserve"> </w:t>
      </w:r>
      <w:r w:rsidRPr="00715610">
        <w:t>above that level to justify cutting back on their efforts.</w:t>
      </w:r>
      <w:r>
        <w:t xml:space="preserve">  Instead, EEC and Free Energy recommend </w:t>
      </w:r>
      <w:r w:rsidRPr="00715610">
        <w:t>add</w:t>
      </w:r>
      <w:r>
        <w:t>ing</w:t>
      </w:r>
      <w:r w:rsidRPr="00715610">
        <w:t xml:space="preserve"> additional measures that are shown to be cost-effective</w:t>
      </w:r>
      <w:r>
        <w:t xml:space="preserve"> </w:t>
      </w:r>
      <w:r w:rsidRPr="00715610">
        <w:t>from other programs</w:t>
      </w:r>
      <w:r>
        <w:t xml:space="preserve"> to increase the cost effectiveness of the </w:t>
      </w:r>
      <w:r>
        <w:lastRenderedPageBreak/>
        <w:t xml:space="preserve">ESA program and </w:t>
      </w:r>
      <w:r w:rsidRPr="00715610">
        <w:t>remov</w:t>
      </w:r>
      <w:r>
        <w:t>ing</w:t>
      </w:r>
      <w:r w:rsidRPr="00715610">
        <w:t xml:space="preserve"> the</w:t>
      </w:r>
      <w:r>
        <w:t xml:space="preserve"> </w:t>
      </w:r>
      <w:r w:rsidRPr="00715610">
        <w:t>contractual barriers faced by ESA Contractors against promoting or offering other no</w:t>
      </w:r>
      <w:r>
        <w:t xml:space="preserve"> </w:t>
      </w:r>
      <w:r w:rsidRPr="00715610">
        <w:t>cost</w:t>
      </w:r>
      <w:r>
        <w:t xml:space="preserve"> </w:t>
      </w:r>
      <w:r w:rsidRPr="00715610">
        <w:t>Commission-approved programs to the low</w:t>
      </w:r>
      <w:r>
        <w:noBreakHyphen/>
      </w:r>
      <w:r w:rsidRPr="00715610">
        <w:t xml:space="preserve">income households as part of </w:t>
      </w:r>
      <w:r>
        <w:t xml:space="preserve">their </w:t>
      </w:r>
      <w:r w:rsidRPr="00715610">
        <w:t>interactions with low-income ESA families</w:t>
      </w:r>
      <w:r>
        <w:t>.</w:t>
      </w:r>
      <w:r>
        <w:rPr>
          <w:rStyle w:val="FootnoteReference"/>
        </w:rPr>
        <w:footnoteReference w:id="188"/>
      </w:r>
    </w:p>
    <w:p w:rsidR="008959A4" w:rsidP="008959A4" w:rsidRDefault="008959A4" w14:paraId="600E9EF6" w14:textId="77777777">
      <w:pPr>
        <w:pStyle w:val="Standard"/>
      </w:pPr>
      <w:r w:rsidRPr="008F05A6">
        <w:rPr>
          <w:b/>
          <w:bCs/>
          <w:i/>
          <w:iCs/>
          <w:u w:val="single"/>
        </w:rPr>
        <w:t xml:space="preserve">Establishing an ESACET Threshold of </w:t>
      </w:r>
      <w:r>
        <w:rPr>
          <w:b/>
          <w:bCs/>
          <w:i/>
          <w:iCs/>
          <w:u w:val="single"/>
        </w:rPr>
        <w:t>0.3</w:t>
      </w:r>
      <w:r w:rsidRPr="008F05A6">
        <w:rPr>
          <w:b/>
          <w:bCs/>
          <w:i/>
          <w:iCs/>
          <w:u w:val="single"/>
        </w:rPr>
        <w:t xml:space="preserve"> for the Resource Measures at the Portfolio Level</w:t>
      </w:r>
      <w:r>
        <w:rPr>
          <w:b/>
          <w:bCs/>
          <w:i/>
          <w:iCs/>
          <w:u w:val="single"/>
        </w:rPr>
        <w:t xml:space="preserve"> for Alpine</w:t>
      </w:r>
      <w:r>
        <w:t xml:space="preserve">:  EEC and Free Energy do not support Cal Advocates’ proposal of a 0.30 threshold for Alpine because this </w:t>
      </w:r>
      <w:r w:rsidRPr="00585B33">
        <w:t>giv</w:t>
      </w:r>
      <w:r>
        <w:t>es Alpine</w:t>
      </w:r>
      <w:r w:rsidRPr="00585B33">
        <w:t xml:space="preserve"> a</w:t>
      </w:r>
      <w:r>
        <w:t xml:space="preserve"> “</w:t>
      </w:r>
      <w:r w:rsidRPr="00585B33">
        <w:t>pass</w:t>
      </w:r>
      <w:r>
        <w:t>”</w:t>
      </w:r>
      <w:r w:rsidRPr="00585B33">
        <w:t xml:space="preserve"> on hitting </w:t>
      </w:r>
      <w:r>
        <w:t>a higher</w:t>
      </w:r>
      <w:r w:rsidRPr="00585B33">
        <w:t xml:space="preserve"> target</w:t>
      </w:r>
      <w:r>
        <w:t xml:space="preserve"> and could result in </w:t>
      </w:r>
      <w:r w:rsidRPr="00AF7127">
        <w:t>a reduction in allowed</w:t>
      </w:r>
      <w:r>
        <w:t xml:space="preserve"> </w:t>
      </w:r>
      <w:r w:rsidRPr="00585B33">
        <w:t>measures, reducing the savings and energy benefits provided to low-income families.</w:t>
      </w:r>
      <w:r>
        <w:t xml:space="preserve">  EEC and Free Energy state that the </w:t>
      </w:r>
      <w:r w:rsidRPr="00585B33">
        <w:t xml:space="preserve">alternative for </w:t>
      </w:r>
      <w:r>
        <w:t xml:space="preserve">Alpine’s </w:t>
      </w:r>
      <w:r w:rsidRPr="00585B33">
        <w:t>small program is to join with a much</w:t>
      </w:r>
      <w:r>
        <w:t xml:space="preserve"> </w:t>
      </w:r>
      <w:r w:rsidRPr="00585B33">
        <w:t>larger neighboring program</w:t>
      </w:r>
      <w:r>
        <w:t xml:space="preserve">, noting that </w:t>
      </w:r>
      <w:r w:rsidRPr="00585B33">
        <w:t>PG&amp;E also serves Calaveras County and the area surrounding</w:t>
      </w:r>
      <w:r>
        <w:t xml:space="preserve"> </w:t>
      </w:r>
      <w:r w:rsidRPr="00585B33">
        <w:t xml:space="preserve">Alpine. </w:t>
      </w:r>
      <w:r>
        <w:t xml:space="preserve"> Additionally, EEC and Free Energy recommend that Alpine add other </w:t>
      </w:r>
      <w:r w:rsidRPr="00083573">
        <w:t>much more</w:t>
      </w:r>
      <w:r>
        <w:t xml:space="preserve"> </w:t>
      </w:r>
      <w:r w:rsidRPr="00083573">
        <w:t>cost-effective measures</w:t>
      </w:r>
      <w:r>
        <w:t xml:space="preserve"> and</w:t>
      </w:r>
      <w:r w:rsidRPr="00083573">
        <w:t xml:space="preserve"> remove any barriers to participation in other Commission</w:t>
      </w:r>
      <w:r>
        <w:t xml:space="preserve"> </w:t>
      </w:r>
      <w:r w:rsidRPr="00083573">
        <w:t>approved</w:t>
      </w:r>
      <w:r>
        <w:t xml:space="preserve"> </w:t>
      </w:r>
      <w:r w:rsidRPr="00083573">
        <w:t>no-cost programs.</w:t>
      </w:r>
      <w:r>
        <w:rPr>
          <w:rStyle w:val="FootnoteReference"/>
        </w:rPr>
        <w:footnoteReference w:id="189"/>
      </w:r>
    </w:p>
    <w:p w:rsidR="008959A4" w:rsidP="008959A4" w:rsidRDefault="008959A4" w14:paraId="2BF51E42" w14:textId="77777777">
      <w:pPr>
        <w:pStyle w:val="Heading3"/>
      </w:pPr>
      <w:bookmarkStart w:name="_Toc82159816" w:id="242"/>
      <w:r>
        <w:t>SMJU Responses</w:t>
      </w:r>
      <w:bookmarkEnd w:id="242"/>
    </w:p>
    <w:p w:rsidR="008959A4" w:rsidP="008959A4" w:rsidRDefault="008959A4" w14:paraId="75968A1D" w14:textId="77777777">
      <w:pPr>
        <w:pStyle w:val="Heading4"/>
        <w:ind w:left="3600" w:hanging="1260"/>
      </w:pPr>
      <w:bookmarkStart w:name="_Toc82159817" w:id="243"/>
      <w:r>
        <w:t>Southwest Gas</w:t>
      </w:r>
      <w:r w:rsidRPr="00D03E26">
        <w:t>, P</w:t>
      </w:r>
      <w:r>
        <w:t>acifiCorp</w:t>
      </w:r>
      <w:r w:rsidRPr="00D03E26">
        <w:t>, L</w:t>
      </w:r>
      <w:r>
        <w:t>iberty</w:t>
      </w:r>
      <w:r w:rsidRPr="00D03E26">
        <w:t xml:space="preserve">, </w:t>
      </w:r>
      <w:r>
        <w:br/>
      </w:r>
      <w:r w:rsidRPr="00D03E26">
        <w:t>B</w:t>
      </w:r>
      <w:r>
        <w:t>ear Valley (Joint SMJUs) Response</w:t>
      </w:r>
      <w:bookmarkEnd w:id="243"/>
    </w:p>
    <w:p w:rsidR="008959A4" w:rsidP="008959A4" w:rsidRDefault="008959A4" w14:paraId="2B3D66F5" w14:textId="77777777">
      <w:pPr>
        <w:pStyle w:val="Standard"/>
      </w:pPr>
      <w:r w:rsidRPr="00827AE2">
        <w:rPr>
          <w:b/>
          <w:bCs/>
          <w:i/>
          <w:iCs/>
          <w:u w:val="single"/>
        </w:rPr>
        <w:t>Establishing an ESACET Threshold of 1.0 for the Resource Measures at the Portfolio Level:</w:t>
      </w:r>
      <w:r w:rsidRPr="00B04BA5">
        <w:t xml:space="preserve"> </w:t>
      </w:r>
      <w:r>
        <w:t xml:space="preserve"> The Joint SMJUs</w:t>
      </w:r>
      <w:r w:rsidRPr="00B04BA5">
        <w:t xml:space="preserve"> </w:t>
      </w:r>
      <w:r>
        <w:t>support</w:t>
      </w:r>
      <w:r w:rsidRPr="00B04BA5">
        <w:t xml:space="preserve"> Cal</w:t>
      </w:r>
      <w:r>
        <w:t xml:space="preserve"> Advocates’ </w:t>
      </w:r>
      <w:r w:rsidRPr="00B04BA5">
        <w:t>recommendation.</w:t>
      </w:r>
      <w:r>
        <w:rPr>
          <w:rStyle w:val="FootnoteReference"/>
        </w:rPr>
        <w:footnoteReference w:id="190"/>
      </w:r>
    </w:p>
    <w:p w:rsidRPr="00393D66" w:rsidR="008959A4" w:rsidP="008959A4" w:rsidRDefault="008959A4" w14:paraId="6DA3988C" w14:textId="77777777">
      <w:pPr>
        <w:pStyle w:val="Standard"/>
      </w:pPr>
      <w:r w:rsidRPr="00827AE2">
        <w:rPr>
          <w:b/>
          <w:bCs/>
          <w:i/>
          <w:iCs/>
          <w:u w:val="single"/>
        </w:rPr>
        <w:t xml:space="preserve">Establishing an ESACET Threshold of </w:t>
      </w:r>
      <w:r>
        <w:rPr>
          <w:b/>
          <w:bCs/>
          <w:i/>
          <w:iCs/>
          <w:u w:val="single"/>
        </w:rPr>
        <w:t>0.30</w:t>
      </w:r>
      <w:r w:rsidRPr="00827AE2">
        <w:rPr>
          <w:b/>
          <w:bCs/>
          <w:i/>
          <w:iCs/>
          <w:u w:val="single"/>
        </w:rPr>
        <w:t xml:space="preserve"> for the Resource Measures at the Portfolio Level</w:t>
      </w:r>
      <w:r>
        <w:rPr>
          <w:b/>
          <w:bCs/>
          <w:i/>
          <w:iCs/>
          <w:u w:val="single"/>
        </w:rPr>
        <w:t xml:space="preserve"> for Alpine</w:t>
      </w:r>
      <w:r w:rsidRPr="00827AE2">
        <w:rPr>
          <w:b/>
          <w:bCs/>
          <w:i/>
          <w:iCs/>
          <w:u w:val="single"/>
        </w:rPr>
        <w:t>:</w:t>
      </w:r>
      <w:r>
        <w:t xml:space="preserve">  In response to </w:t>
      </w:r>
      <w:r w:rsidRPr="00B04BA5">
        <w:t>Cal</w:t>
      </w:r>
      <w:r>
        <w:t xml:space="preserve"> Advocates’ </w:t>
      </w:r>
      <w:r w:rsidRPr="00B04BA5">
        <w:t>recommendation</w:t>
      </w:r>
      <w:r>
        <w:t xml:space="preserve">, </w:t>
      </w:r>
      <w:r w:rsidRPr="00393D66">
        <w:t>Alpine sought assistance to improve</w:t>
      </w:r>
      <w:r>
        <w:t xml:space="preserve"> </w:t>
      </w:r>
      <w:r w:rsidRPr="00393D66">
        <w:t xml:space="preserve">its proposed ESACET from 0.10 to 0.30 </w:t>
      </w:r>
      <w:r>
        <w:t xml:space="preserve">and </w:t>
      </w:r>
      <w:r>
        <w:lastRenderedPageBreak/>
        <w:t>recruited assistance from RHA to</w:t>
      </w:r>
      <w:r w:rsidRPr="00055853">
        <w:t xml:space="preserve"> calculate the new achievable ESACET </w:t>
      </w:r>
      <w:r>
        <w:t>based on a</w:t>
      </w:r>
      <w:r w:rsidRPr="00055853">
        <w:t xml:space="preserve"> </w:t>
      </w:r>
      <w:r>
        <w:t xml:space="preserve">new </w:t>
      </w:r>
      <w:r w:rsidRPr="00055853">
        <w:t>measure mix</w:t>
      </w:r>
      <w:r>
        <w:t xml:space="preserve"> that would be needed </w:t>
      </w:r>
      <w:r w:rsidRPr="00055853">
        <w:t xml:space="preserve">to meet </w:t>
      </w:r>
      <w:r>
        <w:t>the 0.30 threshold</w:t>
      </w:r>
      <w:r w:rsidRPr="00055853">
        <w:t>.</w:t>
      </w:r>
      <w:r>
        <w:t xml:space="preserve">  Upon conclusion of this exercise, A</w:t>
      </w:r>
      <w:r w:rsidRPr="00055853">
        <w:t xml:space="preserve">lpine believes that </w:t>
      </w:r>
      <w:r>
        <w:t>a</w:t>
      </w:r>
      <w:r w:rsidRPr="00055853">
        <w:t xml:space="preserve"> 0.30 target is an attainable goal</w:t>
      </w:r>
      <w:r>
        <w:t>;</w:t>
      </w:r>
      <w:r w:rsidRPr="00055853">
        <w:t xml:space="preserve"> </w:t>
      </w:r>
      <w:r>
        <w:t>therefore the Joint SMJUs also support this rec</w:t>
      </w:r>
      <w:r w:rsidRPr="00055853">
        <w:t>ommendation</w:t>
      </w:r>
      <w:r>
        <w:t>.</w:t>
      </w:r>
      <w:r>
        <w:rPr>
          <w:rStyle w:val="FootnoteReference"/>
        </w:rPr>
        <w:footnoteReference w:id="191"/>
      </w:r>
    </w:p>
    <w:p w:rsidR="008959A4" w:rsidP="008959A4" w:rsidRDefault="008959A4" w14:paraId="38202101" w14:textId="77777777">
      <w:pPr>
        <w:pStyle w:val="Heading4"/>
        <w:ind w:left="3600" w:hanging="1260"/>
      </w:pPr>
      <w:bookmarkStart w:name="_Toc82159818" w:id="244"/>
      <w:r>
        <w:t>Alpine Response</w:t>
      </w:r>
      <w:bookmarkEnd w:id="244"/>
    </w:p>
    <w:p w:rsidR="008959A4" w:rsidP="008959A4" w:rsidRDefault="008959A4" w14:paraId="439EFDCD" w14:textId="77777777">
      <w:pPr>
        <w:pStyle w:val="Standard"/>
      </w:pPr>
      <w:r w:rsidRPr="00827AE2">
        <w:rPr>
          <w:b/>
          <w:bCs/>
          <w:i/>
          <w:iCs/>
          <w:u w:val="single"/>
        </w:rPr>
        <w:t xml:space="preserve">Establishing an ESACET Threshold of </w:t>
      </w:r>
      <w:r>
        <w:rPr>
          <w:b/>
          <w:bCs/>
          <w:i/>
          <w:iCs/>
          <w:u w:val="single"/>
        </w:rPr>
        <w:t>0.30</w:t>
      </w:r>
      <w:r w:rsidRPr="00827AE2">
        <w:rPr>
          <w:b/>
          <w:bCs/>
          <w:i/>
          <w:iCs/>
          <w:u w:val="single"/>
        </w:rPr>
        <w:t xml:space="preserve"> for the Resource Measures at the Portfolio Level</w:t>
      </w:r>
      <w:r>
        <w:rPr>
          <w:b/>
          <w:bCs/>
          <w:i/>
          <w:iCs/>
          <w:u w:val="single"/>
        </w:rPr>
        <w:t xml:space="preserve"> for Alpine</w:t>
      </w:r>
      <w:r w:rsidRPr="00827AE2">
        <w:rPr>
          <w:b/>
          <w:bCs/>
          <w:i/>
          <w:iCs/>
          <w:u w:val="single"/>
        </w:rPr>
        <w:t>:</w:t>
      </w:r>
      <w:r>
        <w:t xml:space="preserve"> Originally Alpine did not support Cal Advocates </w:t>
      </w:r>
      <w:r w:rsidRPr="000D3266">
        <w:t xml:space="preserve">proposed </w:t>
      </w:r>
      <w:r>
        <w:t xml:space="preserve">0.3 </w:t>
      </w:r>
      <w:r w:rsidRPr="000D3266">
        <w:t>ESACET target for</w:t>
      </w:r>
      <w:r>
        <w:t xml:space="preserve"> </w:t>
      </w:r>
      <w:r w:rsidRPr="000D3266">
        <w:t xml:space="preserve">its ESA </w:t>
      </w:r>
      <w:r>
        <w:t>p</w:t>
      </w:r>
      <w:r w:rsidRPr="000D3266">
        <w:t>rogram</w:t>
      </w:r>
      <w:r>
        <w:t xml:space="preserve"> because when it originally </w:t>
      </w:r>
      <w:r w:rsidRPr="000D3266">
        <w:t xml:space="preserve">revaluated </w:t>
      </w:r>
      <w:r>
        <w:t>the</w:t>
      </w:r>
      <w:r w:rsidRPr="000D3266">
        <w:t xml:space="preserve"> ESACET with the resource measures outlined by</w:t>
      </w:r>
      <w:r>
        <w:t xml:space="preserve"> Cal Advocates</w:t>
      </w:r>
      <w:r w:rsidRPr="000D3266">
        <w:t>,</w:t>
      </w:r>
      <w:r>
        <w:t xml:space="preserve"> it found that it was still </w:t>
      </w:r>
      <w:r w:rsidRPr="000D3266">
        <w:t>unable to achieve the</w:t>
      </w:r>
      <w:r>
        <w:t xml:space="preserve"> </w:t>
      </w:r>
      <w:r w:rsidRPr="000D3266">
        <w:t xml:space="preserve">target score of 0.30. </w:t>
      </w:r>
      <w:r>
        <w:t xml:space="preserve"> And alternatively</w:t>
      </w:r>
      <w:r w:rsidRPr="000D3266">
        <w:t xml:space="preserve"> recommend</w:t>
      </w:r>
      <w:r>
        <w:t>ed</w:t>
      </w:r>
      <w:r w:rsidRPr="000D3266">
        <w:t xml:space="preserve"> an ESACET goal of 0.17 or</w:t>
      </w:r>
      <w:r w:rsidRPr="000D3266">
        <w:rPr>
          <w:rFonts w:ascii="ArialMT" w:hAnsi="ArialMT" w:cs="ArialMT"/>
          <w:sz w:val="23"/>
          <w:szCs w:val="23"/>
        </w:rPr>
        <w:t xml:space="preserve"> </w:t>
      </w:r>
      <w:r w:rsidRPr="000D3266">
        <w:t xml:space="preserve">greater with the measure mix suggested in </w:t>
      </w:r>
      <w:r>
        <w:t xml:space="preserve">Cal Advocates’ </w:t>
      </w:r>
      <w:r w:rsidRPr="000D3266">
        <w:t>testimony</w:t>
      </w:r>
      <w:r>
        <w:t>, as 0.17 was</w:t>
      </w:r>
      <w:r w:rsidRPr="000D3266">
        <w:t xml:space="preserve"> a more</w:t>
      </w:r>
      <w:r>
        <w:t xml:space="preserve"> </w:t>
      </w:r>
      <w:r w:rsidRPr="000D3266">
        <w:t>achievable goal.</w:t>
      </w:r>
      <w:r>
        <w:rPr>
          <w:rStyle w:val="FootnoteReference"/>
        </w:rPr>
        <w:footnoteReference w:id="192"/>
      </w:r>
      <w:r>
        <w:t xml:space="preserve">  However, after</w:t>
      </w:r>
      <w:r w:rsidRPr="00055853">
        <w:t xml:space="preserve"> </w:t>
      </w:r>
      <w:r>
        <w:t>recruiting RHA to</w:t>
      </w:r>
      <w:r w:rsidRPr="00055853">
        <w:t xml:space="preserve"> calculate the new achievable ESACET </w:t>
      </w:r>
      <w:r>
        <w:t>based on a</w:t>
      </w:r>
      <w:r w:rsidRPr="00055853">
        <w:t xml:space="preserve"> </w:t>
      </w:r>
      <w:r>
        <w:t xml:space="preserve">new </w:t>
      </w:r>
      <w:r w:rsidRPr="00055853">
        <w:t>measure</w:t>
      </w:r>
      <w:r>
        <w:t xml:space="preserve"> mix, A</w:t>
      </w:r>
      <w:r w:rsidRPr="00055853">
        <w:t xml:space="preserve">lpine </w:t>
      </w:r>
      <w:r>
        <w:t xml:space="preserve">now </w:t>
      </w:r>
      <w:r w:rsidRPr="00055853">
        <w:t xml:space="preserve">believes that </w:t>
      </w:r>
      <w:r>
        <w:t>a</w:t>
      </w:r>
      <w:r w:rsidRPr="00055853">
        <w:t xml:space="preserve"> 0.30 target is attainable and </w:t>
      </w:r>
      <w:r>
        <w:t>no longer</w:t>
      </w:r>
      <w:r w:rsidRPr="00055853">
        <w:t xml:space="preserve"> oppose</w:t>
      </w:r>
      <w:r>
        <w:t>s</w:t>
      </w:r>
      <w:r w:rsidRPr="00055853">
        <w:t xml:space="preserve"> Cal</w:t>
      </w:r>
      <w:r>
        <w:t xml:space="preserve"> Advocates’ rec</w:t>
      </w:r>
      <w:r w:rsidRPr="00055853">
        <w:t>ommendation</w:t>
      </w:r>
      <w:r>
        <w:t>.</w:t>
      </w:r>
      <w:r>
        <w:rPr>
          <w:rStyle w:val="FootnoteReference"/>
        </w:rPr>
        <w:footnoteReference w:id="193"/>
      </w:r>
      <w:r>
        <w:t xml:space="preserve"> </w:t>
      </w:r>
    </w:p>
    <w:p w:rsidR="008959A4" w:rsidP="008959A4" w:rsidRDefault="008959A4" w14:paraId="457B8487" w14:textId="77777777">
      <w:pPr>
        <w:pStyle w:val="Heading3"/>
      </w:pPr>
      <w:bookmarkStart w:name="_Toc82159819" w:id="245"/>
      <w:r>
        <w:t>Discussion</w:t>
      </w:r>
      <w:bookmarkEnd w:id="245"/>
    </w:p>
    <w:p w:rsidRPr="00593A8D" w:rsidR="008959A4" w:rsidP="008959A4" w:rsidRDefault="008959A4" w14:paraId="2E980DD4" w14:textId="28EE6E83">
      <w:pPr>
        <w:pStyle w:val="Heading4"/>
        <w:ind w:left="3600" w:hanging="1260"/>
      </w:pPr>
      <w:bookmarkStart w:name="_Toc82159820" w:id="246"/>
      <w:r w:rsidRPr="00671979">
        <w:t xml:space="preserve">Establishing an ESACET Threshold of </w:t>
      </w:r>
      <w:r>
        <w:br/>
      </w:r>
      <w:r w:rsidRPr="00671979">
        <w:t xml:space="preserve">1.0 for the Resource Measures at the </w:t>
      </w:r>
      <w:r>
        <w:br/>
      </w:r>
      <w:r w:rsidRPr="00671979">
        <w:t>Portfolio Level:</w:t>
      </w:r>
      <w:r>
        <w:t xml:space="preserve"> </w:t>
      </w:r>
      <w:r w:rsidR="000D5BBE">
        <w:t xml:space="preserve"> </w:t>
      </w:r>
      <w:r w:rsidRPr="00F159B1">
        <w:rPr>
          <w:u w:val="single"/>
        </w:rPr>
        <w:t>Denied</w:t>
      </w:r>
      <w:bookmarkEnd w:id="246"/>
    </w:p>
    <w:p w:rsidR="008959A4" w:rsidP="008959A4" w:rsidRDefault="008959A4" w14:paraId="1A574F3E" w14:textId="77777777">
      <w:pPr>
        <w:spacing w:line="360" w:lineRule="auto"/>
        <w:ind w:firstLine="720"/>
      </w:pPr>
      <w:r>
        <w:t xml:space="preserve">We deny setting a 1.0 ESACET requirement for the ESA portfolio of energy saving measures at this time, and instead </w:t>
      </w:r>
      <w:r w:rsidRPr="00693C10">
        <w:t xml:space="preserve">require the </w:t>
      </w:r>
      <w:r>
        <w:t xml:space="preserve">SMJUs </w:t>
      </w:r>
      <w:r w:rsidRPr="00693C10">
        <w:t>to use an average 0.7</w:t>
      </w:r>
      <w:r>
        <w:t> </w:t>
      </w:r>
      <w:r w:rsidRPr="00693C10">
        <w:t xml:space="preserve">ESACET </w:t>
      </w:r>
      <w:r>
        <w:t xml:space="preserve">target for the </w:t>
      </w:r>
      <w:r w:rsidRPr="00693C10">
        <w:t xml:space="preserve">portfolio level </w:t>
      </w:r>
      <w:r>
        <w:t>as</w:t>
      </w:r>
      <w:r w:rsidRPr="00693C10">
        <w:t xml:space="preserve"> a guideline when developing their ESA portfolio measure mix each program year.  </w:t>
      </w:r>
      <w:r>
        <w:t xml:space="preserve">Although we decline to adopt a firm 1.0 ESACET requirement in this decision, we expect that the SMJUs will </w:t>
      </w:r>
      <w:r>
        <w:lastRenderedPageBreak/>
        <w:t xml:space="preserve">have no issues with meeting the 0.70, or even a 1.0 ESACET as indicated and supported.  However, we recognize that other factors may affect this score that have yet to be considered in setting a firm 1.0 ESACET score, including the use of the updated avoided cost values, the potential impacts of a new ESA design and the implementation of the Basic and Plus treatment, and the potential removal of certain lower-energy savings measures that may be the critical factor in whether a household decides to participate in the program.  Additionally, excluding the HCS measures from the threshold may be inadvertently </w:t>
      </w:r>
      <w:r w:rsidRPr="00A14346">
        <w:t>incentiviz</w:t>
      </w:r>
      <w:r>
        <w:t>ing</w:t>
      </w:r>
      <w:r w:rsidRPr="00A14346">
        <w:t xml:space="preserve"> the use of </w:t>
      </w:r>
      <w:r>
        <w:t>mainly HCS</w:t>
      </w:r>
      <w:r w:rsidRPr="00A14346">
        <w:t xml:space="preserve"> measures at the expense of </w:t>
      </w:r>
      <w:r>
        <w:t>energy saving</w:t>
      </w:r>
      <w:r w:rsidRPr="00A14346">
        <w:t xml:space="preserve"> measures</w:t>
      </w:r>
      <w:r>
        <w:t xml:space="preserve"> for participation purposes, and thus moving against the goal of achieving deeper savings</w:t>
      </w:r>
      <w:r w:rsidRPr="00A14346">
        <w:t xml:space="preserve">. </w:t>
      </w:r>
      <w:r>
        <w:t xml:space="preserve"> </w:t>
      </w:r>
    </w:p>
    <w:p w:rsidRPr="00E16A01" w:rsidR="008959A4" w:rsidP="008959A4" w:rsidRDefault="008959A4" w14:paraId="2287AD1B" w14:textId="77777777">
      <w:pPr>
        <w:spacing w:line="360" w:lineRule="auto"/>
        <w:ind w:firstLine="720"/>
      </w:pPr>
      <w:r>
        <w:t xml:space="preserve">For the reasons set forth above, we deny setting a 1.0 ESACET requirement or goal for the ESA portfolio of energy saving measures and instead require all the SMJUs to use an </w:t>
      </w:r>
      <w:r w:rsidRPr="0075773F">
        <w:t xml:space="preserve">average </w:t>
      </w:r>
      <w:r>
        <w:t xml:space="preserve">portfolio level 0.7 </w:t>
      </w:r>
      <w:r w:rsidRPr="0075773F">
        <w:t xml:space="preserve">ESACET score </w:t>
      </w:r>
      <w:r>
        <w:t xml:space="preserve">as a guideline when </w:t>
      </w:r>
      <w:r w:rsidRPr="0075773F">
        <w:t>developing the</w:t>
      </w:r>
      <w:r>
        <w:t xml:space="preserve">ir </w:t>
      </w:r>
      <w:r w:rsidRPr="0075773F">
        <w:t>ESA portfolio</w:t>
      </w:r>
      <w:r>
        <w:t xml:space="preserve"> measure mix</w:t>
      </w:r>
      <w:r w:rsidRPr="0075773F">
        <w:t xml:space="preserve"> </w:t>
      </w:r>
      <w:r>
        <w:t>each program year.  We reiterate that this is not a requirement that overall portfolio must meet the 0.7 ESACET threshold but</w:t>
      </w:r>
      <w:r w:rsidRPr="00334D04">
        <w:t xml:space="preserve"> </w:t>
      </w:r>
      <w:r>
        <w:t>is a</w:t>
      </w:r>
      <w:r w:rsidRPr="00334D04">
        <w:t xml:space="preserve"> guideline to be used.  </w:t>
      </w:r>
      <w:r>
        <w:t>A</w:t>
      </w:r>
      <w:r w:rsidRPr="00334D04">
        <w:t xml:space="preserve">lthough </w:t>
      </w:r>
      <w:r>
        <w:t xml:space="preserve">we do not </w:t>
      </w:r>
      <w:r w:rsidRPr="00334D04">
        <w:t xml:space="preserve">mandate </w:t>
      </w:r>
      <w:r>
        <w:t xml:space="preserve">a specific cost effectiveness </w:t>
      </w:r>
      <w:r w:rsidRPr="00334D04">
        <w:t xml:space="preserve">requirement, </w:t>
      </w:r>
      <w:r>
        <w:t xml:space="preserve">we continue to encourage the SMJUs to seek ways to increase the program’s cost effectiveness through implementation of the above guidelines, through providing deeper treatments, accurately valuing and accounting for NEBs, and through reduced costs in administration and overhead to achieve a 0.70 ESACET portfolio average. </w:t>
      </w:r>
    </w:p>
    <w:p w:rsidRPr="00593A8D" w:rsidR="008959A4" w:rsidP="008959A4" w:rsidRDefault="008959A4" w14:paraId="4A08A566" w14:textId="5E126883">
      <w:pPr>
        <w:pStyle w:val="Heading4"/>
        <w:ind w:left="3600" w:hanging="1260"/>
      </w:pPr>
      <w:bookmarkStart w:name="_Toc82159821" w:id="247"/>
      <w:r w:rsidRPr="00671979">
        <w:t xml:space="preserve">Establishing an ESACET Threshold </w:t>
      </w:r>
      <w:r>
        <w:br/>
      </w:r>
      <w:r w:rsidRPr="00671979">
        <w:t xml:space="preserve">of </w:t>
      </w:r>
      <w:r>
        <w:t>0.3</w:t>
      </w:r>
      <w:r w:rsidRPr="00671979">
        <w:t xml:space="preserve"> for the Resource Measures at the Portfolio Level</w:t>
      </w:r>
      <w:r>
        <w:t xml:space="preserve"> for Alpine</w:t>
      </w:r>
      <w:r w:rsidRPr="00671979">
        <w:t>:</w:t>
      </w:r>
      <w:r w:rsidR="000D5BBE">
        <w:t xml:space="preserve"> </w:t>
      </w:r>
      <w:r>
        <w:t xml:space="preserve"> </w:t>
      </w:r>
      <w:r w:rsidRPr="00F159B1">
        <w:rPr>
          <w:u w:val="single"/>
        </w:rPr>
        <w:t>Denied</w:t>
      </w:r>
      <w:bookmarkEnd w:id="247"/>
    </w:p>
    <w:p w:rsidRPr="008C27D2" w:rsidR="008959A4" w:rsidP="008959A4" w:rsidRDefault="008959A4" w14:paraId="48BE038F" w14:textId="77777777">
      <w:pPr>
        <w:pStyle w:val="Standard"/>
      </w:pPr>
      <w:r>
        <w:t xml:space="preserve">While Alpine does not oppose setting a separate ESACET threshold of 0.3 for the resource measures at the portfolio level, we avoid creating various frameworks in which cost-effectiveness is calculated across the SMJU ESA </w:t>
      </w:r>
      <w:r>
        <w:lastRenderedPageBreak/>
        <w:t>programs.  Therefore, to create consistency amongst the SMJUs as well as with the ESA cost-effectiveness framework established for the large IOUs,</w:t>
      </w:r>
      <w:r>
        <w:rPr>
          <w:rStyle w:val="FootnoteReference"/>
        </w:rPr>
        <w:footnoteReference w:id="194"/>
      </w:r>
      <w:r>
        <w:t xml:space="preserve"> we deny setting a separate ESACET framework for Alpine alone.  Alpine shall work towards the 0.70 ESACET guidelines set above.</w:t>
      </w:r>
    </w:p>
    <w:p w:rsidR="008959A4" w:rsidP="008959A4" w:rsidRDefault="008959A4" w14:paraId="3C9B660F" w14:textId="77777777">
      <w:pPr>
        <w:pStyle w:val="Heading2"/>
      </w:pPr>
      <w:bookmarkStart w:name="_Toc82159822" w:id="248"/>
      <w:r w:rsidRPr="00571CAA">
        <w:t xml:space="preserve">ESA </w:t>
      </w:r>
      <w:r>
        <w:t>Program ME&amp;O and Leveraging Efforts</w:t>
      </w:r>
      <w:bookmarkEnd w:id="248"/>
    </w:p>
    <w:p w:rsidR="008959A4" w:rsidP="008959A4" w:rsidRDefault="008959A4" w14:paraId="30A71083" w14:textId="77777777">
      <w:pPr>
        <w:pStyle w:val="Heading3"/>
      </w:pPr>
      <w:bookmarkStart w:name="_Toc82159823" w:id="249"/>
      <w:r>
        <w:t>Background</w:t>
      </w:r>
      <w:bookmarkEnd w:id="249"/>
    </w:p>
    <w:p w:rsidRPr="005101FF" w:rsidR="008959A4" w:rsidP="008959A4" w:rsidRDefault="008959A4" w14:paraId="14313ADF" w14:textId="77777777">
      <w:pPr>
        <w:pStyle w:val="ALJBodyText"/>
      </w:pPr>
      <w:r>
        <w:t>Each of the SMJUs carry out specific ME&amp;O initiatives to s</w:t>
      </w:r>
      <w:r w:rsidRPr="0053608C">
        <w:t xml:space="preserve">upport the </w:t>
      </w:r>
      <w:r>
        <w:t>ESA p</w:t>
      </w:r>
      <w:r w:rsidRPr="0053608C">
        <w:t>rogram</w:t>
      </w:r>
      <w:r>
        <w:t xml:space="preserve"> goals.  In the past these have included co-marketing with the CARE program, marketing campaigns </w:t>
      </w:r>
      <w:r w:rsidRPr="0053608C">
        <w:t xml:space="preserve">including direct mail, e-mail, and targeted digital media, </w:t>
      </w:r>
      <w:r>
        <w:t>and outreach campaigns to b</w:t>
      </w:r>
      <w:r w:rsidRPr="0053608C">
        <w:t>uild awareness</w:t>
      </w:r>
      <w:r w:rsidRPr="003738A0">
        <w:t xml:space="preserve"> about holistic energy management and</w:t>
      </w:r>
      <w:r>
        <w:t xml:space="preserve"> </w:t>
      </w:r>
      <w:r w:rsidRPr="003738A0">
        <w:t>cost-savings opportunities</w:t>
      </w:r>
      <w:r>
        <w:t>.  For PYs 2021-2026, the SMJUs were asked to discuss how their ME&amp;O plans support the proposed goals, including plans for improving participation.</w:t>
      </w:r>
    </w:p>
    <w:p w:rsidR="008959A4" w:rsidP="008959A4" w:rsidRDefault="008959A4" w14:paraId="3FAC4937" w14:textId="77777777">
      <w:pPr>
        <w:pStyle w:val="Heading3"/>
      </w:pPr>
      <w:bookmarkStart w:name="_Toc82159824" w:id="250"/>
      <w:r>
        <w:t>Alpine Proposal</w:t>
      </w:r>
      <w:bookmarkEnd w:id="250"/>
    </w:p>
    <w:p w:rsidRPr="00FC649B" w:rsidR="008959A4" w:rsidP="008959A4" w:rsidRDefault="008959A4" w14:paraId="4F819267" w14:textId="77777777">
      <w:pPr>
        <w:pStyle w:val="ALJBodyText"/>
      </w:pPr>
      <w:r w:rsidRPr="00B1380A">
        <w:rPr>
          <w:b/>
          <w:bCs/>
          <w:i/>
          <w:iCs/>
          <w:u w:val="single"/>
        </w:rPr>
        <w:t>ME&amp;O</w:t>
      </w:r>
      <w:r w:rsidRPr="00CA54B0">
        <w:rPr>
          <w:i/>
          <w:iCs/>
        </w:rPr>
        <w:t>:</w:t>
      </w:r>
      <w:r w:rsidRPr="00CA54B0">
        <w:t xml:space="preserve"> </w:t>
      </w:r>
      <w:r>
        <w:t xml:space="preserve"> Alpine proposes to continue its current efforts of p</w:t>
      </w:r>
      <w:r w:rsidRPr="00FC649B">
        <w:t>romot</w:t>
      </w:r>
      <w:r>
        <w:t>ing</w:t>
      </w:r>
      <w:r w:rsidRPr="00FC649B">
        <w:t xml:space="preserve"> </w:t>
      </w:r>
      <w:r>
        <w:t>the</w:t>
      </w:r>
      <w:r w:rsidRPr="00FC649B">
        <w:t xml:space="preserve"> ESA </w:t>
      </w:r>
      <w:r>
        <w:t>p</w:t>
      </w:r>
      <w:r w:rsidRPr="00FC649B">
        <w:t>rogram via office staff</w:t>
      </w:r>
      <w:r>
        <w:t xml:space="preserve">, </w:t>
      </w:r>
      <w:r w:rsidRPr="00FC649B">
        <w:t>personal contact</w:t>
      </w:r>
      <w:r>
        <w:t xml:space="preserve">, and </w:t>
      </w:r>
      <w:r w:rsidRPr="00FC649B">
        <w:t>in conjunction with CARE</w:t>
      </w:r>
      <w:r>
        <w:t xml:space="preserve"> and</w:t>
      </w:r>
      <w:r w:rsidRPr="00FC649B">
        <w:t xml:space="preserve"> energy efficiency rebates. </w:t>
      </w:r>
      <w:r>
        <w:t xml:space="preserve"> Other</w:t>
      </w:r>
      <w:r w:rsidRPr="00FC649B">
        <w:t xml:space="preserve"> outreach efforts include </w:t>
      </w:r>
      <w:r>
        <w:t xml:space="preserve">an </w:t>
      </w:r>
      <w:r w:rsidRPr="00FC649B">
        <w:t>informational web pag</w:t>
      </w:r>
      <w:r>
        <w:t>e</w:t>
      </w:r>
      <w:r w:rsidRPr="00FC649B">
        <w:t xml:space="preserve">, direct mailings and brochures. </w:t>
      </w:r>
      <w:r>
        <w:t xml:space="preserve"> Alpine’s </w:t>
      </w:r>
      <w:r w:rsidRPr="00FC649B">
        <w:t xml:space="preserve">ESA installation contractors also conduct their own outreach efforts, </w:t>
      </w:r>
      <w:r>
        <w:t xml:space="preserve">including </w:t>
      </w:r>
      <w:r w:rsidRPr="00FC649B">
        <w:t>canvassing mobile home parks, cold calls, visit</w:t>
      </w:r>
      <w:r>
        <w:t>s</w:t>
      </w:r>
      <w:r w:rsidRPr="00FC649B">
        <w:t xml:space="preserve"> to apartment complexes, and program promotion at community events.</w:t>
      </w:r>
      <w:r w:rsidRPr="00D82BCF">
        <w:rPr>
          <w:vertAlign w:val="superscript"/>
        </w:rPr>
        <w:footnoteReference w:id="195"/>
      </w:r>
      <w:r w:rsidRPr="00FC649B">
        <w:t xml:space="preserve"> </w:t>
      </w:r>
    </w:p>
    <w:p w:rsidR="008959A4" w:rsidP="008959A4" w:rsidRDefault="008959A4" w14:paraId="38DA67F0" w14:textId="77777777">
      <w:pPr>
        <w:pStyle w:val="ALJBodyText"/>
      </w:pPr>
      <w:r w:rsidRPr="00A02CFA">
        <w:rPr>
          <w:b/>
          <w:bCs/>
          <w:i/>
          <w:iCs/>
          <w:u w:val="single"/>
        </w:rPr>
        <w:lastRenderedPageBreak/>
        <w:t>Customer Segments</w:t>
      </w:r>
      <w:r>
        <w:t>:  Alpine</w:t>
      </w:r>
      <w:r w:rsidRPr="00FC649B">
        <w:t xml:space="preserve"> </w:t>
      </w:r>
      <w:r>
        <w:t>will</w:t>
      </w:r>
      <w:r w:rsidRPr="00FC649B">
        <w:t xml:space="preserve"> continue </w:t>
      </w:r>
      <w:r>
        <w:t>to p</w:t>
      </w:r>
      <w:r w:rsidRPr="00FC649B">
        <w:t>rioritiz</w:t>
      </w:r>
      <w:r>
        <w:t>e</w:t>
      </w:r>
      <w:r w:rsidRPr="00FC649B">
        <w:t xml:space="preserve"> participants such as slow paying, late paying and Medical Baseline customers</w:t>
      </w:r>
      <w:r>
        <w:t xml:space="preserve">, but </w:t>
      </w:r>
      <w:r w:rsidRPr="003C713E">
        <w:t xml:space="preserve">proposes </w:t>
      </w:r>
      <w:r>
        <w:t xml:space="preserve">to also target </w:t>
      </w:r>
      <w:r w:rsidRPr="003C713E">
        <w:t>eligible ESA participants that have not previously been treated.</w:t>
      </w:r>
      <w:r w:rsidRPr="00D82BCF">
        <w:rPr>
          <w:vertAlign w:val="superscript"/>
        </w:rPr>
        <w:footnoteReference w:id="196"/>
      </w:r>
    </w:p>
    <w:p w:rsidRPr="00DF2EB7" w:rsidR="008959A4" w:rsidP="008959A4" w:rsidRDefault="008959A4" w14:paraId="2DD238F5" w14:textId="77777777">
      <w:pPr>
        <w:pStyle w:val="ALJBodyText"/>
      </w:pPr>
      <w:r>
        <w:rPr>
          <w:b/>
          <w:bCs/>
          <w:i/>
          <w:iCs/>
          <w:u w:val="single"/>
        </w:rPr>
        <w:t>Leveraging</w:t>
      </w:r>
      <w:r>
        <w:t xml:space="preserve">:  Alpine will continue efforts to have its </w:t>
      </w:r>
      <w:r w:rsidRPr="000C2B41">
        <w:t>ESA contractor</w:t>
      </w:r>
      <w:r>
        <w:t>,</w:t>
      </w:r>
      <w:r w:rsidRPr="000C2B41">
        <w:t xml:space="preserve"> </w:t>
      </w:r>
      <w:r>
        <w:t>RHA,</w:t>
      </w:r>
      <w:r w:rsidRPr="000C2B41">
        <w:t xml:space="preserve"> exchange ESA participant information with PG&amp;E. </w:t>
      </w:r>
      <w:r>
        <w:t xml:space="preserve"> </w:t>
      </w:r>
      <w:r w:rsidRPr="000C2B41">
        <w:t xml:space="preserve">The utilities exchange information on </w:t>
      </w:r>
      <w:r>
        <w:t xml:space="preserve">treated </w:t>
      </w:r>
      <w:r w:rsidRPr="000C2B41">
        <w:t>households</w:t>
      </w:r>
      <w:r>
        <w:t xml:space="preserve">, </w:t>
      </w:r>
      <w:r w:rsidRPr="000C2B41">
        <w:t>provid</w:t>
      </w:r>
      <w:r>
        <w:t>e</w:t>
      </w:r>
      <w:r w:rsidRPr="000C2B41">
        <w:t xml:space="preserve"> leads for each utilities’ ESA programs and ensure customers receive both electric and gas measures where applicable.</w:t>
      </w:r>
      <w:r>
        <w:rPr>
          <w:rStyle w:val="FootnoteReference"/>
        </w:rPr>
        <w:footnoteReference w:id="197"/>
      </w:r>
    </w:p>
    <w:p w:rsidR="008959A4" w:rsidP="008959A4" w:rsidRDefault="008959A4" w14:paraId="74DFCF84" w14:textId="77777777">
      <w:pPr>
        <w:pStyle w:val="Heading3"/>
      </w:pPr>
      <w:bookmarkStart w:name="_Toc82159825" w:id="251"/>
      <w:r>
        <w:t>Bear Valley Proposal</w:t>
      </w:r>
      <w:bookmarkEnd w:id="251"/>
    </w:p>
    <w:p w:rsidR="008959A4" w:rsidP="008959A4" w:rsidRDefault="008959A4" w14:paraId="4928E3DA" w14:textId="77777777">
      <w:pPr>
        <w:pStyle w:val="ALJBodyText"/>
      </w:pPr>
      <w:r w:rsidRPr="003020B7">
        <w:rPr>
          <w:b/>
          <w:bCs/>
          <w:i/>
          <w:iCs/>
          <w:u w:val="single"/>
        </w:rPr>
        <w:t>ME&amp;O:</w:t>
      </w:r>
      <w:r>
        <w:rPr>
          <w:b/>
          <w:bCs/>
          <w:i/>
          <w:iCs/>
          <w:u w:val="single"/>
        </w:rPr>
        <w:t xml:space="preserve"> </w:t>
      </w:r>
      <w:r>
        <w:t xml:space="preserve"> Bear Valley’s proposed outreach strategy consists of </w:t>
      </w:r>
      <w:r w:rsidRPr="00062912">
        <w:t>direct mail of brochures or fliers about the ESA program</w:t>
      </w:r>
      <w:r>
        <w:t xml:space="preserve">, </w:t>
      </w:r>
      <w:r w:rsidRPr="00062912">
        <w:t xml:space="preserve">telephone calls </w:t>
      </w:r>
      <w:r>
        <w:t xml:space="preserve">and </w:t>
      </w:r>
      <w:r w:rsidRPr="00062912">
        <w:t xml:space="preserve">door to door canvassing of CARE and </w:t>
      </w:r>
      <w:r>
        <w:t>n</w:t>
      </w:r>
      <w:r w:rsidRPr="00062912">
        <w:t>on-CARE participants</w:t>
      </w:r>
      <w:r>
        <w:t>.</w:t>
      </w:r>
      <w:r>
        <w:rPr>
          <w:rStyle w:val="FootnoteReference"/>
        </w:rPr>
        <w:footnoteReference w:id="198"/>
      </w:r>
      <w:r>
        <w:t xml:space="preserve"> </w:t>
      </w:r>
    </w:p>
    <w:p w:rsidR="008959A4" w:rsidP="008959A4" w:rsidRDefault="008959A4" w14:paraId="40BA076C" w14:textId="77777777">
      <w:pPr>
        <w:pStyle w:val="ALJBodyText"/>
      </w:pPr>
      <w:r w:rsidRPr="00A02CFA">
        <w:rPr>
          <w:b/>
          <w:bCs/>
          <w:i/>
          <w:iCs/>
          <w:u w:val="single"/>
        </w:rPr>
        <w:t>Customer Segments</w:t>
      </w:r>
      <w:r>
        <w:t xml:space="preserve">:  Bear Valley does not identify any specific customer segments that will be prioritized for the program. </w:t>
      </w:r>
      <w:r w:rsidRPr="00FC649B">
        <w:t xml:space="preserve"> </w:t>
      </w:r>
    </w:p>
    <w:p w:rsidRPr="00AD53E0" w:rsidR="008959A4" w:rsidP="008959A4" w:rsidRDefault="008959A4" w14:paraId="3BBBA349" w14:textId="77777777">
      <w:pPr>
        <w:pStyle w:val="ALJBodyText"/>
      </w:pPr>
      <w:r>
        <w:rPr>
          <w:b/>
          <w:bCs/>
          <w:i/>
          <w:iCs/>
          <w:u w:val="single"/>
        </w:rPr>
        <w:t>Leveraging</w:t>
      </w:r>
      <w:r>
        <w:t xml:space="preserve">: </w:t>
      </w:r>
      <w:r w:rsidRPr="00F61224">
        <w:t xml:space="preserve"> </w:t>
      </w:r>
      <w:r>
        <w:t xml:space="preserve">Bear Valley does not identify any specific leveraging efforts for the program. </w:t>
      </w:r>
      <w:r w:rsidRPr="00FC649B">
        <w:t xml:space="preserve"> </w:t>
      </w:r>
    </w:p>
    <w:p w:rsidR="008959A4" w:rsidP="008959A4" w:rsidRDefault="008959A4" w14:paraId="2873F453" w14:textId="77777777">
      <w:pPr>
        <w:pStyle w:val="Heading3"/>
      </w:pPr>
      <w:bookmarkStart w:name="_Toc82159826" w:id="252"/>
      <w:r>
        <w:t>Liberty Proposal</w:t>
      </w:r>
      <w:bookmarkEnd w:id="252"/>
    </w:p>
    <w:p w:rsidR="008959A4" w:rsidP="008959A4" w:rsidRDefault="008959A4" w14:paraId="0370CE9A" w14:textId="77777777">
      <w:pPr>
        <w:pStyle w:val="Standard"/>
      </w:pPr>
      <w:r w:rsidRPr="00E74611">
        <w:rPr>
          <w:b/>
          <w:bCs/>
          <w:i/>
          <w:iCs/>
          <w:u w:val="single"/>
        </w:rPr>
        <w:t>ME&amp;O:</w:t>
      </w:r>
      <w:r>
        <w:t xml:space="preserve">  </w:t>
      </w:r>
      <w:r w:rsidRPr="00D05CE2">
        <w:t xml:space="preserve">Liberty plans to expand outreach efforts </w:t>
      </w:r>
      <w:r>
        <w:t>with</w:t>
      </w:r>
      <w:r w:rsidRPr="00D05CE2">
        <w:t xml:space="preserve"> a focused marketing campaign directed toward identifying, educating, and</w:t>
      </w:r>
      <w:r>
        <w:t xml:space="preserve"> </w:t>
      </w:r>
      <w:r w:rsidRPr="00D05CE2">
        <w:t>enrolling qualified applicants.</w:t>
      </w:r>
      <w:r>
        <w:t xml:space="preserve"> </w:t>
      </w:r>
      <w:r w:rsidRPr="00D05CE2">
        <w:t xml:space="preserve"> </w:t>
      </w:r>
      <w:r>
        <w:t>These efforts include</w:t>
      </w:r>
      <w:r w:rsidRPr="00D05CE2">
        <w:t xml:space="preserve"> bill inserts</w:t>
      </w:r>
      <w:r>
        <w:t xml:space="preserve">, </w:t>
      </w:r>
      <w:r w:rsidRPr="00D05CE2">
        <w:t>canvassing</w:t>
      </w:r>
      <w:r>
        <w:t xml:space="preserve">, </w:t>
      </w:r>
      <w:r w:rsidRPr="00D05CE2">
        <w:t>direct marketing to property owners who rent</w:t>
      </w:r>
      <w:r>
        <w:t xml:space="preserve"> </w:t>
      </w:r>
      <w:r w:rsidRPr="00D05CE2">
        <w:t>to low-income households</w:t>
      </w:r>
      <w:r>
        <w:t xml:space="preserve">, and </w:t>
      </w:r>
      <w:r w:rsidRPr="00997A7D">
        <w:t>at food and</w:t>
      </w:r>
      <w:r>
        <w:t xml:space="preserve"> </w:t>
      </w:r>
      <w:r w:rsidRPr="00997A7D">
        <w:t>clothing drives and health fairs.</w:t>
      </w:r>
      <w:r>
        <w:t xml:space="preserve">  </w:t>
      </w:r>
      <w:r w:rsidRPr="00997A7D">
        <w:t xml:space="preserve">Liberty plans </w:t>
      </w:r>
      <w:r>
        <w:t xml:space="preserve">to </w:t>
      </w:r>
      <w:r w:rsidRPr="00997A7D">
        <w:t>rely on</w:t>
      </w:r>
      <w:r>
        <w:t xml:space="preserve"> </w:t>
      </w:r>
      <w:r w:rsidRPr="00997A7D">
        <w:t xml:space="preserve">more internal </w:t>
      </w:r>
      <w:r w:rsidRPr="00997A7D">
        <w:lastRenderedPageBreak/>
        <w:t>involvement instead of outsourcing ESA outreach efforts</w:t>
      </w:r>
      <w:r>
        <w:t xml:space="preserve"> and will </w:t>
      </w:r>
      <w:r w:rsidRPr="00997A7D">
        <w:t>continue targeted marketing to past ESA, LIHEAP, and CARE participants.</w:t>
      </w:r>
      <w:r>
        <w:rPr>
          <w:rStyle w:val="FootnoteReference"/>
        </w:rPr>
        <w:footnoteReference w:id="199"/>
      </w:r>
      <w:r>
        <w:t xml:space="preserve">  </w:t>
      </w:r>
    </w:p>
    <w:p w:rsidR="008959A4" w:rsidP="008959A4" w:rsidRDefault="008959A4" w14:paraId="19B29123" w14:textId="77777777">
      <w:pPr>
        <w:pStyle w:val="ALJBodyText"/>
      </w:pPr>
      <w:r w:rsidRPr="00A02CFA">
        <w:rPr>
          <w:b/>
          <w:bCs/>
          <w:i/>
          <w:iCs/>
          <w:u w:val="single"/>
        </w:rPr>
        <w:t>Customer Segments</w:t>
      </w:r>
      <w:r>
        <w:t>:  Liberty does not identify any specific customer segments that will be prioritized for the program.</w:t>
      </w:r>
    </w:p>
    <w:p w:rsidRPr="000E1C24" w:rsidR="008959A4" w:rsidP="008959A4" w:rsidRDefault="008959A4" w14:paraId="72769F1D" w14:textId="77777777">
      <w:pPr>
        <w:pStyle w:val="Standard"/>
      </w:pPr>
      <w:r>
        <w:rPr>
          <w:b/>
          <w:bCs/>
          <w:i/>
          <w:iCs/>
          <w:u w:val="single"/>
        </w:rPr>
        <w:t>Leveraging</w:t>
      </w:r>
      <w:r>
        <w:t>:</w:t>
      </w:r>
      <w:r w:rsidRPr="00AF6FE6">
        <w:t xml:space="preserve"> </w:t>
      </w:r>
      <w:r>
        <w:t xml:space="preserve"> </w:t>
      </w:r>
      <w:r w:rsidRPr="000E1C24">
        <w:t>Liberty will continue to work with Southwest Gas to share services</w:t>
      </w:r>
      <w:r>
        <w:t xml:space="preserve"> </w:t>
      </w:r>
      <w:r w:rsidRPr="000E1C24">
        <w:t>where service territories overlap.</w:t>
      </w:r>
      <w:r>
        <w:rPr>
          <w:rStyle w:val="FootnoteReference"/>
        </w:rPr>
        <w:footnoteReference w:id="200"/>
      </w:r>
      <w:r w:rsidRPr="000E1C24">
        <w:t xml:space="preserve"> </w:t>
      </w:r>
    </w:p>
    <w:p w:rsidR="008959A4" w:rsidP="008959A4" w:rsidRDefault="008959A4" w14:paraId="4BC30C9A" w14:textId="77777777">
      <w:pPr>
        <w:pStyle w:val="Heading3"/>
      </w:pPr>
      <w:bookmarkStart w:name="_Toc82159827" w:id="253"/>
      <w:r>
        <w:t>PacifiCorp Proposal</w:t>
      </w:r>
      <w:bookmarkEnd w:id="253"/>
    </w:p>
    <w:p w:rsidRPr="00973BCE" w:rsidR="008959A4" w:rsidP="008959A4" w:rsidRDefault="008959A4" w14:paraId="14C74D89" w14:textId="77777777">
      <w:pPr>
        <w:pStyle w:val="ALJBodyText"/>
      </w:pPr>
      <w:r w:rsidRPr="000143F1">
        <w:rPr>
          <w:b/>
          <w:bCs/>
          <w:i/>
          <w:iCs/>
          <w:u w:val="single"/>
        </w:rPr>
        <w:t>ME&amp;O</w:t>
      </w:r>
      <w:r w:rsidRPr="007A73CD">
        <w:rPr>
          <w:b/>
          <w:bCs/>
          <w:i/>
          <w:iCs/>
        </w:rPr>
        <w:t>:</w:t>
      </w:r>
      <w:r w:rsidRPr="004D223C">
        <w:t xml:space="preserve"> </w:t>
      </w:r>
      <w:r w:rsidRPr="007A73CD">
        <w:t xml:space="preserve"> </w:t>
      </w:r>
      <w:r w:rsidRPr="000420AC">
        <w:t>PacifiCorp’s outreach efforts include bill inserts, bill messages, articles included in the company’s customer newsletter</w:t>
      </w:r>
      <w:r>
        <w:t>, p</w:t>
      </w:r>
      <w:r w:rsidRPr="000420AC">
        <w:t>rint and radio advertisements</w:t>
      </w:r>
      <w:r>
        <w:t>, and d</w:t>
      </w:r>
      <w:r w:rsidRPr="000420AC">
        <w:t>igital and social</w:t>
      </w:r>
      <w:r>
        <w:t xml:space="preserve"> </w:t>
      </w:r>
      <w:r w:rsidRPr="000420AC">
        <w:t>(Facebook) advertising</w:t>
      </w:r>
      <w:r>
        <w:t xml:space="preserve">. </w:t>
      </w:r>
      <w:r w:rsidRPr="000420AC">
        <w:t xml:space="preserve"> </w:t>
      </w:r>
      <w:r>
        <w:t>P</w:t>
      </w:r>
      <w:r w:rsidRPr="009949C8">
        <w:t>acifiCorp plans to continue current outreach methods and add additional</w:t>
      </w:r>
      <w:r>
        <w:t xml:space="preserve"> </w:t>
      </w:r>
      <w:r w:rsidRPr="009949C8">
        <w:t>direct outreach to CBOs by providing them with relevant collateral to share with customers.</w:t>
      </w:r>
      <w:r>
        <w:rPr>
          <w:rStyle w:val="FootnoteReference"/>
        </w:rPr>
        <w:footnoteReference w:id="201"/>
      </w:r>
      <w:r>
        <w:t xml:space="preserve"> </w:t>
      </w:r>
    </w:p>
    <w:p w:rsidR="008959A4" w:rsidP="008959A4" w:rsidRDefault="008959A4" w14:paraId="3CF62F3A" w14:textId="77777777">
      <w:pPr>
        <w:pStyle w:val="ALJBodyText"/>
      </w:pPr>
      <w:r w:rsidRPr="000A6D13">
        <w:rPr>
          <w:b/>
          <w:bCs/>
          <w:i/>
          <w:iCs/>
          <w:u w:val="single"/>
        </w:rPr>
        <w:t>Customer Segments</w:t>
      </w:r>
      <w:r>
        <w:t xml:space="preserve">: </w:t>
      </w:r>
      <w:r w:rsidRPr="009A0404">
        <w:t>PacifiCorp and CBOs are planning increased outreach to</w:t>
      </w:r>
      <w:r w:rsidRPr="00973BCE">
        <w:t xml:space="preserve"> </w:t>
      </w:r>
      <w:r w:rsidRPr="009A0404">
        <w:t>multifamily homes</w:t>
      </w:r>
      <w:r w:rsidRPr="00973BCE">
        <w:rPr>
          <w:vertAlign w:val="superscript"/>
        </w:rPr>
        <w:footnoteReference w:id="202"/>
      </w:r>
      <w:r>
        <w:t xml:space="preserve"> as well as</w:t>
      </w:r>
      <w:r w:rsidRPr="00C237AE">
        <w:t xml:space="preserve"> target those customers</w:t>
      </w:r>
      <w:r>
        <w:t xml:space="preserve"> </w:t>
      </w:r>
      <w:r w:rsidRPr="00C237AE">
        <w:t>with the highest energy usage, considering energy burden and/or energy insecurity.</w:t>
      </w:r>
      <w:r>
        <w:rPr>
          <w:rStyle w:val="FootnoteReference"/>
        </w:rPr>
        <w:footnoteReference w:id="203"/>
      </w:r>
      <w:r>
        <w:t xml:space="preserve">  </w:t>
      </w:r>
      <w:r w:rsidRPr="00C237AE">
        <w:t xml:space="preserve">PacifiCorp </w:t>
      </w:r>
      <w:r>
        <w:t xml:space="preserve">also plans to </w:t>
      </w:r>
      <w:r w:rsidRPr="000420AC">
        <w:t>continue focus</w:t>
      </w:r>
      <w:r>
        <w:t>ing on</w:t>
      </w:r>
      <w:r w:rsidRPr="000420AC">
        <w:t xml:space="preserve"> communities with senior residents,</w:t>
      </w:r>
      <w:r>
        <w:t xml:space="preserve"> </w:t>
      </w:r>
      <w:r w:rsidRPr="000420AC">
        <w:t>individuals with disabilities, and families with children</w:t>
      </w:r>
      <w:r w:rsidRPr="00CA4A28">
        <w:t>.</w:t>
      </w:r>
      <w:r>
        <w:rPr>
          <w:rStyle w:val="FootnoteReference"/>
        </w:rPr>
        <w:footnoteReference w:id="204"/>
      </w:r>
    </w:p>
    <w:p w:rsidRPr="000A0D40" w:rsidR="008959A4" w:rsidP="008959A4" w:rsidRDefault="008959A4" w14:paraId="4B7E8F39" w14:textId="77777777">
      <w:pPr>
        <w:pStyle w:val="ALJBodyText"/>
      </w:pPr>
      <w:r w:rsidRPr="00A44F1B">
        <w:rPr>
          <w:b/>
          <w:bCs/>
          <w:i/>
          <w:iCs/>
          <w:u w:val="single"/>
        </w:rPr>
        <w:t>Leveraging</w:t>
      </w:r>
      <w:r>
        <w:t>:  PacifiCorp c</w:t>
      </w:r>
      <w:r w:rsidRPr="003821BA">
        <w:t>ustomers applying for energy assistance program</w:t>
      </w:r>
      <w:r>
        <w:t>s</w:t>
      </w:r>
      <w:r w:rsidRPr="003821BA">
        <w:t xml:space="preserve"> are referred to </w:t>
      </w:r>
      <w:r>
        <w:t xml:space="preserve">ESA </w:t>
      </w:r>
      <w:r w:rsidRPr="003821BA">
        <w:t>weatherization services</w:t>
      </w:r>
      <w:r>
        <w:t xml:space="preserve"> </w:t>
      </w:r>
      <w:r w:rsidRPr="003821BA">
        <w:t xml:space="preserve">at the same time. </w:t>
      </w:r>
      <w:r>
        <w:t xml:space="preserve"> </w:t>
      </w:r>
      <w:r w:rsidRPr="003821BA">
        <w:t>Additionally, PacifiCorp will continue to work with CBOs to help them</w:t>
      </w:r>
      <w:r>
        <w:t xml:space="preserve"> </w:t>
      </w:r>
      <w:r w:rsidRPr="003821BA">
        <w:t xml:space="preserve">identify </w:t>
      </w:r>
      <w:r w:rsidRPr="003821BA">
        <w:lastRenderedPageBreak/>
        <w:t>additional homes to service by providing list of CARE program customers specifically</w:t>
      </w:r>
      <w:r>
        <w:t xml:space="preserve"> </w:t>
      </w:r>
      <w:r w:rsidRPr="003821BA">
        <w:t>from the CARE high user post enrollment verification process.</w:t>
      </w:r>
      <w:r>
        <w:t xml:space="preserve"> </w:t>
      </w:r>
      <w:r w:rsidRPr="003821BA">
        <w:t xml:space="preserve"> While there are no additional</w:t>
      </w:r>
      <w:r>
        <w:t xml:space="preserve"> </w:t>
      </w:r>
      <w:r w:rsidRPr="003821BA">
        <w:t>programs that currently promote both public health and energy efficiency in tandem, PacifiCorp</w:t>
      </w:r>
      <w:r>
        <w:t xml:space="preserve"> </w:t>
      </w:r>
      <w:r w:rsidRPr="003821BA">
        <w:t>will work closely with partner CBOs to identify emerging programs that could promote both</w:t>
      </w:r>
      <w:r>
        <w:t xml:space="preserve"> </w:t>
      </w:r>
      <w:r w:rsidRPr="003821BA">
        <w:t>energy efficiency and public health outcomes</w:t>
      </w:r>
      <w:r>
        <w:t>.</w:t>
      </w:r>
      <w:r>
        <w:rPr>
          <w:rStyle w:val="FootnoteReference"/>
        </w:rPr>
        <w:footnoteReference w:id="205"/>
      </w:r>
    </w:p>
    <w:p w:rsidR="008959A4" w:rsidP="008959A4" w:rsidRDefault="008959A4" w14:paraId="51495EAA" w14:textId="77777777">
      <w:pPr>
        <w:pStyle w:val="Heading3"/>
      </w:pPr>
      <w:bookmarkStart w:name="_Toc82159828" w:id="254"/>
      <w:r>
        <w:t>Southwest Gas Proposal</w:t>
      </w:r>
      <w:bookmarkEnd w:id="254"/>
    </w:p>
    <w:p w:rsidR="008959A4" w:rsidP="008959A4" w:rsidRDefault="008959A4" w14:paraId="06C17B40" w14:textId="77777777">
      <w:pPr>
        <w:pStyle w:val="ALJBodyText"/>
      </w:pPr>
      <w:r w:rsidRPr="005B0EA4">
        <w:rPr>
          <w:b/>
          <w:bCs/>
          <w:i/>
          <w:iCs/>
          <w:u w:val="single"/>
        </w:rPr>
        <w:t>ME&amp;O</w:t>
      </w:r>
      <w:r w:rsidRPr="00CA54B0">
        <w:rPr>
          <w:b/>
          <w:bCs/>
          <w:i/>
          <w:iCs/>
        </w:rPr>
        <w:t>:</w:t>
      </w:r>
      <w:r>
        <w:rPr>
          <w:b/>
          <w:bCs/>
          <w:i/>
          <w:iCs/>
        </w:rPr>
        <w:t xml:space="preserve"> </w:t>
      </w:r>
      <w:r w:rsidRPr="00CA54B0">
        <w:t xml:space="preserve"> </w:t>
      </w:r>
      <w:r w:rsidRPr="00D1175C">
        <w:t>So</w:t>
      </w:r>
      <w:r>
        <w:t>uthwest Gas</w:t>
      </w:r>
      <w:r w:rsidRPr="00D1175C">
        <w:t xml:space="preserve"> </w:t>
      </w:r>
      <w:r>
        <w:t>proposes to continue current</w:t>
      </w:r>
      <w:r w:rsidRPr="00177431">
        <w:t xml:space="preserve"> outreach efforts includ</w:t>
      </w:r>
      <w:r>
        <w:t>ing</w:t>
      </w:r>
      <w:r w:rsidRPr="00177431">
        <w:t xml:space="preserve"> bill inserts, on-hold messages,</w:t>
      </w:r>
      <w:r>
        <w:t xml:space="preserve"> </w:t>
      </w:r>
      <w:r w:rsidRPr="00177431">
        <w:t>informational web page, direct mailings, email blasts, collateral</w:t>
      </w:r>
      <w:r>
        <w:t xml:space="preserve"> </w:t>
      </w:r>
      <w:r w:rsidRPr="00177431">
        <w:t>(brochures, flyers, door hangers), community outreach events, print advertisements, and</w:t>
      </w:r>
      <w:r>
        <w:t xml:space="preserve"> </w:t>
      </w:r>
      <w:r w:rsidRPr="00177431">
        <w:t xml:space="preserve">social media. </w:t>
      </w:r>
      <w:r>
        <w:t xml:space="preserve"> </w:t>
      </w:r>
      <w:r w:rsidRPr="00177431">
        <w:t>Outreach materials are translated into Spanish, wherever applicable.</w:t>
      </w:r>
      <w:r>
        <w:t xml:space="preserve">  </w:t>
      </w:r>
      <w:r w:rsidRPr="00177431">
        <w:t>Southwest Gas</w:t>
      </w:r>
      <w:r>
        <w:t xml:space="preserve">’ </w:t>
      </w:r>
      <w:r w:rsidRPr="00177431">
        <w:t>ESA installation contractors also conduct independent outreach efforts in</w:t>
      </w:r>
      <w:r>
        <w:t xml:space="preserve"> </w:t>
      </w:r>
      <w:r w:rsidRPr="00177431">
        <w:t xml:space="preserve">addition to those provided by Southwest Gas. </w:t>
      </w:r>
      <w:r>
        <w:t xml:space="preserve"> </w:t>
      </w:r>
      <w:r w:rsidRPr="00177431">
        <w:t>These outreach activities include canvassing</w:t>
      </w:r>
      <w:r>
        <w:t xml:space="preserve"> </w:t>
      </w:r>
      <w:r w:rsidRPr="00177431">
        <w:t>of mobile home parks, cold calls, visit</w:t>
      </w:r>
      <w:r>
        <w:t>s</w:t>
      </w:r>
      <w:r w:rsidRPr="00177431">
        <w:t xml:space="preserve"> to apartment complexes, and program promotion</w:t>
      </w:r>
      <w:r>
        <w:t xml:space="preserve"> </w:t>
      </w:r>
      <w:r w:rsidRPr="00177431">
        <w:t>at community events.</w:t>
      </w:r>
      <w:r>
        <w:rPr>
          <w:rStyle w:val="FootnoteReference"/>
        </w:rPr>
        <w:footnoteReference w:id="206"/>
      </w:r>
      <w:r>
        <w:t xml:space="preserve">  </w:t>
      </w:r>
    </w:p>
    <w:p w:rsidR="008959A4" w:rsidP="008959A4" w:rsidRDefault="008959A4" w14:paraId="47A1F169" w14:textId="77777777">
      <w:pPr>
        <w:pStyle w:val="ALJBodyText"/>
      </w:pPr>
      <w:r w:rsidRPr="000143F1">
        <w:t xml:space="preserve">Southwest Gas </w:t>
      </w:r>
      <w:r>
        <w:t xml:space="preserve">also </w:t>
      </w:r>
      <w:r w:rsidRPr="000143F1">
        <w:t>proposes</w:t>
      </w:r>
      <w:r>
        <w:t xml:space="preserve"> the</w:t>
      </w:r>
      <w:r w:rsidRPr="000143F1">
        <w:t xml:space="preserve"> implementation of a</w:t>
      </w:r>
      <w:r>
        <w:t xml:space="preserve"> </w:t>
      </w:r>
      <w:r w:rsidRPr="000143F1">
        <w:t xml:space="preserve">deeper community awareness campaign for </w:t>
      </w:r>
      <w:r>
        <w:t>both the CARE and</w:t>
      </w:r>
      <w:r w:rsidRPr="000143F1">
        <w:t xml:space="preserve"> ESA </w:t>
      </w:r>
      <w:r>
        <w:t>p</w:t>
      </w:r>
      <w:r w:rsidRPr="000143F1">
        <w:t>rogram</w:t>
      </w:r>
      <w:r>
        <w:t>s</w:t>
      </w:r>
      <w:r w:rsidRPr="000143F1">
        <w:t xml:space="preserve">. </w:t>
      </w:r>
      <w:r>
        <w:t xml:space="preserve"> The </w:t>
      </w:r>
      <w:r w:rsidRPr="000143F1">
        <w:t>proposed campaign includes a grassroots</w:t>
      </w:r>
      <w:r>
        <w:t xml:space="preserve"> </w:t>
      </w:r>
      <w:r w:rsidRPr="000143F1">
        <w:t xml:space="preserve">effort to widely disseminate information about the CARE and ESA </w:t>
      </w:r>
      <w:r>
        <w:t>p</w:t>
      </w:r>
      <w:r w:rsidRPr="000143F1">
        <w:t>rograms throughout the</w:t>
      </w:r>
      <w:r>
        <w:t xml:space="preserve"> </w:t>
      </w:r>
      <w:r w:rsidRPr="000143F1">
        <w:t xml:space="preserve">community and further leverage relationships with local </w:t>
      </w:r>
      <w:r>
        <w:t xml:space="preserve">CBOs </w:t>
      </w:r>
      <w:r w:rsidRPr="000143F1">
        <w:t>within Southwest Gas</w:t>
      </w:r>
      <w:r>
        <w:t>’</w:t>
      </w:r>
      <w:r w:rsidRPr="000143F1">
        <w:t xml:space="preserve"> service territories, including Sierra Community House, Salvation</w:t>
      </w:r>
      <w:r>
        <w:t xml:space="preserve"> </w:t>
      </w:r>
      <w:r w:rsidRPr="000143F1">
        <w:t xml:space="preserve">Army, and Meals-on-Wheels. </w:t>
      </w:r>
      <w:r>
        <w:t xml:space="preserve"> </w:t>
      </w:r>
      <w:r w:rsidRPr="000143F1">
        <w:t>The goal of the campaign is to successfully outreach to</w:t>
      </w:r>
      <w:r>
        <w:t xml:space="preserve"> </w:t>
      </w:r>
      <w:r w:rsidRPr="000143F1">
        <w:t xml:space="preserve">income qualified families in </w:t>
      </w:r>
      <w:r w:rsidRPr="000143F1">
        <w:lastRenderedPageBreak/>
        <w:t>modes with which they are familiar, thereby effectively breaking</w:t>
      </w:r>
      <w:r>
        <w:t xml:space="preserve"> </w:t>
      </w:r>
      <w:r w:rsidRPr="000143F1">
        <w:t>down the barrier of</w:t>
      </w:r>
      <w:r>
        <w:t xml:space="preserve"> s</w:t>
      </w:r>
      <w:r w:rsidRPr="000143F1">
        <w:t xml:space="preserve">kepticism/outsiders unwelcome. </w:t>
      </w:r>
      <w:r>
        <w:t xml:space="preserve"> </w:t>
      </w:r>
      <w:r w:rsidRPr="000143F1">
        <w:t>Receiving program information from</w:t>
      </w:r>
      <w:r>
        <w:t xml:space="preserve"> </w:t>
      </w:r>
      <w:r w:rsidRPr="000143F1">
        <w:t>sources trusted within the community will also help to better inform residents and overcome</w:t>
      </w:r>
      <w:r>
        <w:t xml:space="preserve"> </w:t>
      </w:r>
      <w:r w:rsidRPr="000143F1">
        <w:t>customer perceptions of</w:t>
      </w:r>
      <w:r w:rsidRPr="000143F1">
        <w:rPr>
          <w:rFonts w:hint="eastAsia"/>
        </w:rPr>
        <w:t xml:space="preserve"> </w:t>
      </w:r>
      <w:r w:rsidRPr="000143F1">
        <w:t>“no need“</w:t>
      </w:r>
      <w:r>
        <w:t xml:space="preserve"> </w:t>
      </w:r>
      <w:r w:rsidRPr="000143F1">
        <w:t>or</w:t>
      </w:r>
      <w:r w:rsidRPr="000143F1">
        <w:rPr>
          <w:rFonts w:hint="eastAsia"/>
        </w:rPr>
        <w:t xml:space="preserve"> </w:t>
      </w:r>
      <w:r w:rsidRPr="000143F1">
        <w:t>“changed mind“</w:t>
      </w:r>
      <w:r>
        <w:t xml:space="preserve"> </w:t>
      </w:r>
      <w:r w:rsidRPr="000143F1">
        <w:t>regarding benefits available through</w:t>
      </w:r>
      <w:r>
        <w:t xml:space="preserve"> </w:t>
      </w:r>
      <w:r w:rsidRPr="000143F1">
        <w:t>the ESA and CARE Programs.</w:t>
      </w:r>
      <w:r>
        <w:rPr>
          <w:rStyle w:val="FootnoteReference"/>
        </w:rPr>
        <w:footnoteReference w:id="207"/>
      </w:r>
    </w:p>
    <w:p w:rsidRPr="00DF2EB7" w:rsidR="008959A4" w:rsidP="008959A4" w:rsidRDefault="008959A4" w14:paraId="2AB71499" w14:textId="77777777">
      <w:pPr>
        <w:pStyle w:val="ALJBodyText"/>
      </w:pPr>
      <w:r>
        <w:t xml:space="preserve">Lastly, </w:t>
      </w:r>
      <w:r w:rsidRPr="00277B32">
        <w:t>Southwest Gas began using the PRIZM Premier</w:t>
      </w:r>
      <w:r>
        <w:rPr>
          <w:rStyle w:val="FootnoteReference"/>
        </w:rPr>
        <w:footnoteReference w:id="208"/>
      </w:r>
      <w:r>
        <w:t xml:space="preserve"> </w:t>
      </w:r>
      <w:r w:rsidRPr="00277B32">
        <w:t xml:space="preserve">data analysis system </w:t>
      </w:r>
      <w:r>
        <w:t>to help</w:t>
      </w:r>
      <w:r w:rsidRPr="00277B32">
        <w:t xml:space="preserve"> identify customer segments</w:t>
      </w:r>
      <w:r>
        <w:t xml:space="preserve"> </w:t>
      </w:r>
      <w:r w:rsidRPr="00277B32">
        <w:t xml:space="preserve">that are eligible for enrollment in both the CARE and ESA </w:t>
      </w:r>
      <w:r>
        <w:t>p</w:t>
      </w:r>
      <w:r w:rsidRPr="00277B32">
        <w:t xml:space="preserve">rograms. </w:t>
      </w:r>
      <w:r>
        <w:t xml:space="preserve"> </w:t>
      </w:r>
      <w:r w:rsidRPr="00277B32">
        <w:t>Southwest Gas proposes to couple increased utilization of the PRIZM</w:t>
      </w:r>
      <w:r>
        <w:t xml:space="preserve"> </w:t>
      </w:r>
      <w:r w:rsidRPr="00277B32">
        <w:t>Premier data analysis system with advanced marketing techniques to further bolster</w:t>
      </w:r>
      <w:r>
        <w:t xml:space="preserve"> </w:t>
      </w:r>
      <w:r w:rsidRPr="00277B32">
        <w:t>customer outreach.</w:t>
      </w:r>
      <w:r>
        <w:t xml:space="preserve"> </w:t>
      </w:r>
      <w:r w:rsidRPr="00277B32">
        <w:t xml:space="preserve"> Because the data analysis includes detailed demographic information,</w:t>
      </w:r>
      <w:r>
        <w:t xml:space="preserve"> </w:t>
      </w:r>
      <w:r w:rsidRPr="00277B32">
        <w:t xml:space="preserve">it allows for a more successful outreach campaign. </w:t>
      </w:r>
      <w:r>
        <w:t xml:space="preserve"> </w:t>
      </w:r>
      <w:r w:rsidRPr="00277B32">
        <w:t>Southwest Gas plans to refresh its</w:t>
      </w:r>
      <w:r>
        <w:t xml:space="preserve"> </w:t>
      </w:r>
      <w:r w:rsidRPr="00277B32">
        <w:t>customer data analysis multiple times during a program year and integrate targeted</w:t>
      </w:r>
      <w:r>
        <w:t xml:space="preserve"> </w:t>
      </w:r>
      <w:r w:rsidRPr="00277B32">
        <w:t>marketing elements, such as bus shelter ads, direct mail, email, digital ads (Google &amp;</w:t>
      </w:r>
      <w:r>
        <w:t xml:space="preserve"> </w:t>
      </w:r>
      <w:r w:rsidRPr="00277B32">
        <w:t>Facebook), and microsite development.</w:t>
      </w:r>
      <w:r>
        <w:t xml:space="preserve"> </w:t>
      </w:r>
      <w:r w:rsidRPr="00277B32">
        <w:t xml:space="preserve"> Southwest Gas will further track these outreac</w:t>
      </w:r>
      <w:r>
        <w:t>h</w:t>
      </w:r>
      <w:r w:rsidRPr="00277B32">
        <w:rPr>
          <w:rFonts w:ascii="CALS_InvisibleTTFont" w:eastAsia="CALS_InvisibleTTFont" w:cs="CALS_InvisibleTTFont" w:hAnsiTheme="minorHAnsi"/>
          <w:sz w:val="23"/>
          <w:szCs w:val="23"/>
        </w:rPr>
        <w:t xml:space="preserve"> </w:t>
      </w:r>
      <w:r w:rsidRPr="00277B32">
        <w:t>activities to customers and evaluate the effectiveness of the marketing strategies and the</w:t>
      </w:r>
      <w:r>
        <w:t xml:space="preserve"> </w:t>
      </w:r>
      <w:r w:rsidRPr="00277B32">
        <w:t xml:space="preserve">willingness of individuals to participate in the ESA Program. </w:t>
      </w:r>
      <w:r>
        <w:t xml:space="preserve"> </w:t>
      </w:r>
      <w:r w:rsidRPr="00277B32">
        <w:t>Given the similarities between</w:t>
      </w:r>
      <w:r>
        <w:t xml:space="preserve"> </w:t>
      </w:r>
      <w:r w:rsidRPr="00277B32">
        <w:t>CARE and ESA</w:t>
      </w:r>
      <w:r>
        <w:t>’</w:t>
      </w:r>
      <w:r w:rsidRPr="00277B32">
        <w:t>s income requirements, these efforts can be effectively leveraged for both</w:t>
      </w:r>
      <w:r>
        <w:t xml:space="preserve"> </w:t>
      </w:r>
      <w:r w:rsidRPr="00277B32">
        <w:t>programs.</w:t>
      </w:r>
      <w:r>
        <w:rPr>
          <w:rStyle w:val="FootnoteReference"/>
        </w:rPr>
        <w:footnoteReference w:id="209"/>
      </w:r>
    </w:p>
    <w:p w:rsidR="008959A4" w:rsidP="008959A4" w:rsidRDefault="008959A4" w14:paraId="4C9E080D" w14:textId="77777777">
      <w:pPr>
        <w:pStyle w:val="ALJBodyText"/>
      </w:pPr>
      <w:r w:rsidRPr="000A6D13">
        <w:rPr>
          <w:b/>
          <w:bCs/>
          <w:i/>
          <w:iCs/>
          <w:u w:val="single"/>
        </w:rPr>
        <w:t>Customer Segments</w:t>
      </w:r>
      <w:r>
        <w:t xml:space="preserve">: Although </w:t>
      </w:r>
      <w:r w:rsidRPr="00277B32">
        <w:t xml:space="preserve">Southwest Gas </w:t>
      </w:r>
      <w:r>
        <w:t xml:space="preserve">does not identify any specific customer segments that will be prioritized for the program, it does note that it </w:t>
      </w:r>
      <w:r w:rsidRPr="00277B32">
        <w:t>has encountered challenges in identifying ESA eligible</w:t>
      </w:r>
      <w:r>
        <w:t xml:space="preserve"> </w:t>
      </w:r>
      <w:r w:rsidRPr="00277B32">
        <w:t xml:space="preserve">customers who </w:t>
      </w:r>
      <w:r w:rsidRPr="00277B32">
        <w:lastRenderedPageBreak/>
        <w:t xml:space="preserve">have not previously received ESA </w:t>
      </w:r>
      <w:r>
        <w:t>p</w:t>
      </w:r>
      <w:r w:rsidRPr="00277B32">
        <w:t>rogram services</w:t>
      </w:r>
      <w:r>
        <w:t>, as well as those</w:t>
      </w:r>
      <w:r w:rsidRPr="00277B32">
        <w:t xml:space="preserve"> customers that are not currently enrolled in the</w:t>
      </w:r>
      <w:r w:rsidRPr="00277B32">
        <w:rPr>
          <w:rFonts w:ascii="CALS_InvisibleTTFont" w:eastAsia="CALS_InvisibleTTFont" w:cs="CALS_InvisibleTTFont" w:hAnsiTheme="minorHAnsi"/>
          <w:sz w:val="23"/>
          <w:szCs w:val="23"/>
        </w:rPr>
        <w:t xml:space="preserve"> </w:t>
      </w:r>
      <w:r w:rsidRPr="00277B32">
        <w:t xml:space="preserve">CARE </w:t>
      </w:r>
      <w:r>
        <w:t>p</w:t>
      </w:r>
      <w:r w:rsidRPr="00277B32">
        <w:t>rogram.</w:t>
      </w:r>
      <w:r>
        <w:t xml:space="preserve"> </w:t>
      </w:r>
      <w:r w:rsidRPr="00277B32">
        <w:t xml:space="preserve"> </w:t>
      </w:r>
      <w:r>
        <w:t>However, with use of t</w:t>
      </w:r>
      <w:r w:rsidRPr="00277B32">
        <w:t>he PRIZM Premier</w:t>
      </w:r>
      <w:r>
        <w:t xml:space="preserve"> </w:t>
      </w:r>
      <w:r w:rsidRPr="00277B32">
        <w:t>data analysis system</w:t>
      </w:r>
      <w:r>
        <w:t xml:space="preserve">, </w:t>
      </w:r>
      <w:r w:rsidRPr="00277B32">
        <w:t>Southwest Gas</w:t>
      </w:r>
      <w:r>
        <w:t xml:space="preserve"> has been able to b</w:t>
      </w:r>
      <w:r w:rsidRPr="00277B32">
        <w:t>etter identify ESA eligible customers</w:t>
      </w:r>
      <w:r>
        <w:t xml:space="preserve"> for the ESA program</w:t>
      </w:r>
      <w:r w:rsidRPr="00277B32">
        <w:t>, including those in</w:t>
      </w:r>
      <w:r>
        <w:t xml:space="preserve"> DACs</w:t>
      </w:r>
      <w:r w:rsidRPr="00277B32">
        <w:t xml:space="preserve">. </w:t>
      </w:r>
    </w:p>
    <w:p w:rsidR="008959A4" w:rsidP="008959A4" w:rsidRDefault="008959A4" w14:paraId="65A7A5B9" w14:textId="77777777">
      <w:pPr>
        <w:pStyle w:val="ALJBodyText"/>
      </w:pPr>
      <w:r w:rsidRPr="000143F1">
        <w:rPr>
          <w:b/>
          <w:bCs/>
          <w:i/>
          <w:iCs/>
          <w:u w:val="single"/>
        </w:rPr>
        <w:t>Leveraging</w:t>
      </w:r>
      <w:r>
        <w:t>:</w:t>
      </w:r>
      <w:r w:rsidRPr="00177431">
        <w:t xml:space="preserve"> </w:t>
      </w:r>
      <w:r>
        <w:t xml:space="preserve"> </w:t>
      </w:r>
      <w:r w:rsidRPr="00177431">
        <w:t>Southwest Gas promote</w:t>
      </w:r>
      <w:r>
        <w:t>s</w:t>
      </w:r>
      <w:r w:rsidRPr="00177431">
        <w:t xml:space="preserve"> its ESA </w:t>
      </w:r>
      <w:r>
        <w:t>p</w:t>
      </w:r>
      <w:r w:rsidRPr="00177431">
        <w:t>rogram in conjunction with its CARE</w:t>
      </w:r>
      <w:r>
        <w:t xml:space="preserve"> p</w:t>
      </w:r>
      <w:r w:rsidRPr="00177431">
        <w:t xml:space="preserve">rogram, energy efficiency rebates, medical baseline, and the </w:t>
      </w:r>
      <w:r>
        <w:t>c</w:t>
      </w:r>
      <w:r w:rsidRPr="00177431">
        <w:t>ompany</w:t>
      </w:r>
      <w:r>
        <w:t>’</w:t>
      </w:r>
      <w:r w:rsidRPr="00177431">
        <w:t>s Energy Share</w:t>
      </w:r>
      <w:r>
        <w:t xml:space="preserve"> p</w:t>
      </w:r>
      <w:r w:rsidRPr="00177431">
        <w:t>rogram.</w:t>
      </w:r>
      <w:r>
        <w:rPr>
          <w:rStyle w:val="FootnoteReference"/>
        </w:rPr>
        <w:footnoteReference w:id="210"/>
      </w:r>
      <w:r>
        <w:t xml:space="preserve">  </w:t>
      </w:r>
      <w:r w:rsidRPr="000143F1">
        <w:t xml:space="preserve">Southwest Gas </w:t>
      </w:r>
      <w:r>
        <w:t xml:space="preserve">will also continue to </w:t>
      </w:r>
      <w:r w:rsidRPr="000143F1">
        <w:t xml:space="preserve">leverage relationships with local </w:t>
      </w:r>
      <w:r>
        <w:t xml:space="preserve">CBOs </w:t>
      </w:r>
      <w:r w:rsidRPr="000143F1">
        <w:t>within Southwest Gas</w:t>
      </w:r>
      <w:r>
        <w:t>’</w:t>
      </w:r>
      <w:r w:rsidRPr="000143F1">
        <w:t xml:space="preserve"> service territories, including Sierra Community House, Salvation</w:t>
      </w:r>
      <w:r>
        <w:t xml:space="preserve"> </w:t>
      </w:r>
      <w:r w:rsidRPr="000143F1">
        <w:t>Army, and Meals-on-Wheels.</w:t>
      </w:r>
      <w:r>
        <w:rPr>
          <w:rStyle w:val="FootnoteReference"/>
        </w:rPr>
        <w:footnoteReference w:id="211"/>
      </w:r>
    </w:p>
    <w:p w:rsidR="008959A4" w:rsidP="008959A4" w:rsidRDefault="008959A4" w14:paraId="6B8DA397" w14:textId="77777777">
      <w:pPr>
        <w:pStyle w:val="Heading3"/>
      </w:pPr>
      <w:bookmarkStart w:name="_Toc82159829" w:id="255"/>
      <w:r>
        <w:t>Party Comments</w:t>
      </w:r>
      <w:bookmarkEnd w:id="255"/>
    </w:p>
    <w:p w:rsidRPr="001C0A5E" w:rsidR="008959A4" w:rsidP="008959A4" w:rsidRDefault="008959A4" w14:paraId="33C9BB96" w14:textId="77777777">
      <w:pPr>
        <w:pStyle w:val="ALJBodyText"/>
        <w:rPr>
          <w:i/>
          <w:iCs/>
        </w:rPr>
      </w:pPr>
      <w:r>
        <w:t>No</w:t>
      </w:r>
      <w:r w:rsidRPr="00195C3E">
        <w:t xml:space="preserve"> </w:t>
      </w:r>
      <w:r>
        <w:t xml:space="preserve">substantive </w:t>
      </w:r>
      <w:r w:rsidRPr="00195C3E">
        <w:t xml:space="preserve">party comments </w:t>
      </w:r>
      <w:r>
        <w:t xml:space="preserve">were received on this topic. </w:t>
      </w:r>
    </w:p>
    <w:p w:rsidR="008959A4" w:rsidP="008959A4" w:rsidRDefault="008959A4" w14:paraId="5D2E3A57" w14:textId="77777777">
      <w:pPr>
        <w:pStyle w:val="Heading3"/>
      </w:pPr>
      <w:bookmarkStart w:name="_Toc82159830" w:id="256"/>
      <w:r>
        <w:t>Discussion</w:t>
      </w:r>
      <w:bookmarkEnd w:id="256"/>
    </w:p>
    <w:p w:rsidR="008959A4" w:rsidP="008959A4" w:rsidRDefault="008959A4" w14:paraId="5180F512" w14:textId="77777777">
      <w:pPr>
        <w:pStyle w:val="Heading4"/>
        <w:ind w:left="3600" w:hanging="1260"/>
      </w:pPr>
      <w:bookmarkStart w:name="_Toc69948096" w:id="257"/>
      <w:bookmarkStart w:name="_Toc82159831" w:id="258"/>
      <w:r>
        <w:t>SMJU Proposed</w:t>
      </w:r>
      <w:r w:rsidRPr="00D242F9">
        <w:t xml:space="preserve"> ME&amp;O</w:t>
      </w:r>
      <w:r>
        <w:t xml:space="preserve"> </w:t>
      </w:r>
      <w:r w:rsidRPr="00D242F9">
        <w:t xml:space="preserve">Strategies: </w:t>
      </w:r>
      <w:r>
        <w:br/>
      </w:r>
      <w:r w:rsidRPr="00642B10">
        <w:rPr>
          <w:u w:val="single"/>
        </w:rPr>
        <w:t xml:space="preserve">Approved </w:t>
      </w:r>
      <w:bookmarkEnd w:id="257"/>
      <w:r w:rsidRPr="00642B10">
        <w:rPr>
          <w:u w:val="single"/>
        </w:rPr>
        <w:t>with Additional Reporting</w:t>
      </w:r>
      <w:bookmarkEnd w:id="258"/>
    </w:p>
    <w:p w:rsidRPr="00D23F0C" w:rsidR="008959A4" w:rsidP="008959A4" w:rsidRDefault="008959A4" w14:paraId="5B4688BB" w14:textId="77777777">
      <w:pPr>
        <w:pStyle w:val="Standard"/>
        <w:rPr>
          <w:rFonts w:ascii="Garamond" w:hAnsi="Garamond" w:eastAsia="Garamond" w:cs="Garamond"/>
        </w:rPr>
      </w:pPr>
      <w:r w:rsidRPr="00C05950">
        <w:t xml:space="preserve">We approve the </w:t>
      </w:r>
      <w:r>
        <w:t>SMJUs’</w:t>
      </w:r>
      <w:r w:rsidRPr="00C05950">
        <w:t xml:space="preserve"> overall </w:t>
      </w:r>
      <w:r>
        <w:t>ME&amp;O</w:t>
      </w:r>
      <w:r w:rsidRPr="00C05950">
        <w:t xml:space="preserve"> </w:t>
      </w:r>
      <w:r>
        <w:t>strategies</w:t>
      </w:r>
      <w:r w:rsidRPr="00C05950">
        <w:t xml:space="preserve">. </w:t>
      </w:r>
      <w:r>
        <w:t xml:space="preserve"> Specifically, w</w:t>
      </w:r>
      <w:r w:rsidRPr="00C05950">
        <w:t xml:space="preserve">e support </w:t>
      </w:r>
      <w:r>
        <w:t xml:space="preserve">Southwest Gas </w:t>
      </w:r>
      <w:r w:rsidRPr="00C05950">
        <w:t xml:space="preserve">use of the </w:t>
      </w:r>
      <w:r>
        <w:t>PRIZM</w:t>
      </w:r>
      <w:r w:rsidRPr="00C05950">
        <w:t xml:space="preserve"> model and recommend that all the </w:t>
      </w:r>
      <w:r>
        <w:t>SMJUs, where available,</w:t>
      </w:r>
      <w:r w:rsidRPr="00C05950">
        <w:t xml:space="preserve"> use these types of models </w:t>
      </w:r>
      <w:r w:rsidRPr="00277B32">
        <w:t>identify ESA eligible customers</w:t>
      </w:r>
      <w:r>
        <w:t xml:space="preserve"> for the ESA program</w:t>
      </w:r>
      <w:r w:rsidRPr="00277B32">
        <w:t>, including those in</w:t>
      </w:r>
      <w:r>
        <w:t xml:space="preserve"> DACs</w:t>
      </w:r>
      <w:r w:rsidRPr="00C05950">
        <w:t>.</w:t>
      </w:r>
      <w:r>
        <w:t xml:space="preserve">  Additionally, we want to acknowledge PacifiCorp’s use of CBOs to leverage the Community Service and Development’s LIHEAP program for ESA referrals, as well as CBO outreach partners for target segments of the low-income population (such as </w:t>
      </w:r>
      <w:r w:rsidRPr="00E0766A">
        <w:t xml:space="preserve">customers with the highest energy usage, considering energy burden and/or energy </w:t>
      </w:r>
      <w:r w:rsidRPr="00E0766A">
        <w:lastRenderedPageBreak/>
        <w:t>insecurity</w:t>
      </w:r>
      <w:r>
        <w:t>).</w:t>
      </w:r>
      <w:r>
        <w:rPr>
          <w:rStyle w:val="FootnoteReference"/>
        </w:rPr>
        <w:footnoteReference w:id="212"/>
      </w:r>
      <w:r>
        <w:t xml:space="preserve">  We want to emphasize this leveraging and use of CBOs as a conduit for direct marketing for the ESA program.  As part of their ESA annual reports, the SMJUs shall report updates on which CBOs they have been coordinating with to market the ESA and CARE program, as well as any ESA leveraging opportunities they have explored with other programs or agencies.  Energy Division staff will work with the SMJUs to develop and update the reporting template to collect this data, starting with the PY 2022 Annual Report.</w:t>
      </w:r>
    </w:p>
    <w:p w:rsidRPr="00593A8D" w:rsidR="008959A4" w:rsidP="008959A4" w:rsidRDefault="008959A4" w14:paraId="3BF85BEE" w14:textId="20480C44">
      <w:pPr>
        <w:pStyle w:val="Heading4"/>
        <w:ind w:left="3600" w:hanging="1260"/>
      </w:pPr>
      <w:bookmarkStart w:name="_Toc82159832" w:id="259"/>
      <w:r>
        <w:t xml:space="preserve">Targeting Specific Customer </w:t>
      </w:r>
      <w:r>
        <w:br/>
        <w:t>Segments</w:t>
      </w:r>
      <w:r w:rsidRPr="00D242F9">
        <w:t>:</w:t>
      </w:r>
      <w:r>
        <w:t xml:space="preserve"> </w:t>
      </w:r>
      <w:r w:rsidR="00264851">
        <w:t xml:space="preserve"> </w:t>
      </w:r>
      <w:r>
        <w:rPr>
          <w:u w:val="single"/>
        </w:rPr>
        <w:t>New</w:t>
      </w:r>
      <w:bookmarkEnd w:id="259"/>
    </w:p>
    <w:p w:rsidRPr="002A788C" w:rsidR="008959A4" w:rsidP="008959A4" w:rsidRDefault="008959A4" w14:paraId="41EB85D0" w14:textId="77777777">
      <w:pPr>
        <w:autoSpaceDE w:val="0"/>
        <w:autoSpaceDN w:val="0"/>
        <w:adjustRightInd w:val="0"/>
        <w:spacing w:line="360" w:lineRule="auto"/>
        <w:ind w:firstLine="720"/>
      </w:pPr>
      <w:r>
        <w:t xml:space="preserve">While some of the SMJUs identified specific customer segments that would be prioritized or targeted for ESA treatment, others did not indicate a focus but stated that they would continue to target all eligible households.  In an effort for some level of consistency amongst the SMJU and large IOU ESA programs, and to ensure that the SMJUs are taking into consideration </w:t>
      </w:r>
      <w:r w:rsidRPr="00D065E6">
        <w:t>customers</w:t>
      </w:r>
      <w:r>
        <w:t>’</w:t>
      </w:r>
      <w:r w:rsidRPr="00D065E6">
        <w:t xml:space="preserve"> needs</w:t>
      </w:r>
      <w:r>
        <w:t xml:space="preserve"> and environment now that the 2020 statutory goal has essentially been met,</w:t>
      </w:r>
      <w:r w:rsidRPr="00D065E6">
        <w:t xml:space="preserve"> </w:t>
      </w:r>
      <w:r>
        <w:t xml:space="preserve">we identify the following </w:t>
      </w:r>
      <w:r w:rsidRPr="002A788C">
        <w:t xml:space="preserve">customer segments </w:t>
      </w:r>
      <w:r>
        <w:t>that should be considered for prioritization for</w:t>
      </w:r>
      <w:r w:rsidRPr="002A788C">
        <w:t xml:space="preserve"> </w:t>
      </w:r>
      <w:r>
        <w:t>ME&amp;O</w:t>
      </w:r>
      <w:r w:rsidRPr="002A788C">
        <w:t xml:space="preserve"> and treatment.</w:t>
      </w:r>
      <w:r>
        <w:t xml:space="preserve">  The SMJUs shall consider all these variables and indicators in planning PYs 2021-2026 outreach and enrollment strategies in addition to implementation of the Plus level delivery as described in Section 5.3.9.2.   </w:t>
      </w:r>
      <w:r w:rsidRPr="002A788C">
        <w:t xml:space="preserve"> </w:t>
      </w:r>
    </w:p>
    <w:tbl>
      <w:tblPr>
        <w:tblW w:w="100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3"/>
        <w:gridCol w:w="2520"/>
        <w:gridCol w:w="2790"/>
        <w:gridCol w:w="2700"/>
      </w:tblGrid>
      <w:tr w:rsidRPr="002A788C" w:rsidR="008959A4" w:rsidTr="00717A84" w14:paraId="280ED422" w14:textId="77777777">
        <w:trPr>
          <w:trHeight w:val="176"/>
        </w:trPr>
        <w:tc>
          <w:tcPr>
            <w:tcW w:w="1993" w:type="dxa"/>
          </w:tcPr>
          <w:p w:rsidRPr="002A788C" w:rsidR="008959A4" w:rsidP="00BC48EE" w:rsidRDefault="008959A4" w14:paraId="037959ED" w14:textId="77777777">
            <w:pPr>
              <w:keepNext/>
              <w:autoSpaceDE w:val="0"/>
              <w:autoSpaceDN w:val="0"/>
              <w:adjustRightInd w:val="0"/>
              <w:rPr>
                <w:b/>
                <w:bCs/>
              </w:rPr>
            </w:pPr>
            <w:r w:rsidRPr="00EC2CBD">
              <w:rPr>
                <w:rFonts w:eastAsia="Times New Roman"/>
                <w:b/>
                <w:bCs/>
                <w:szCs w:val="26"/>
              </w:rPr>
              <w:lastRenderedPageBreak/>
              <w:t>Demographic</w:t>
            </w:r>
          </w:p>
        </w:tc>
        <w:tc>
          <w:tcPr>
            <w:tcW w:w="2520" w:type="dxa"/>
          </w:tcPr>
          <w:p w:rsidRPr="002A788C" w:rsidR="008959A4" w:rsidP="00BC48EE" w:rsidRDefault="008959A4" w14:paraId="617B9903" w14:textId="77777777">
            <w:pPr>
              <w:keepNext/>
              <w:autoSpaceDE w:val="0"/>
              <w:autoSpaceDN w:val="0"/>
              <w:adjustRightInd w:val="0"/>
              <w:rPr>
                <w:b/>
                <w:bCs/>
              </w:rPr>
            </w:pPr>
            <w:r w:rsidRPr="002A788C">
              <w:rPr>
                <w:b/>
                <w:bCs/>
              </w:rPr>
              <w:t xml:space="preserve">By Financials </w:t>
            </w:r>
          </w:p>
        </w:tc>
        <w:tc>
          <w:tcPr>
            <w:tcW w:w="2790" w:type="dxa"/>
          </w:tcPr>
          <w:p w:rsidRPr="002A788C" w:rsidR="008959A4" w:rsidP="00BC48EE" w:rsidRDefault="008959A4" w14:paraId="5DA9DF9B" w14:textId="77777777">
            <w:pPr>
              <w:keepNext/>
              <w:autoSpaceDE w:val="0"/>
              <w:autoSpaceDN w:val="0"/>
              <w:adjustRightInd w:val="0"/>
              <w:rPr>
                <w:b/>
                <w:bCs/>
              </w:rPr>
            </w:pPr>
            <w:r w:rsidRPr="002A788C">
              <w:rPr>
                <w:b/>
                <w:bCs/>
              </w:rPr>
              <w:t xml:space="preserve">By Location </w:t>
            </w:r>
          </w:p>
        </w:tc>
        <w:tc>
          <w:tcPr>
            <w:tcW w:w="2700" w:type="dxa"/>
          </w:tcPr>
          <w:p w:rsidRPr="002A788C" w:rsidR="008959A4" w:rsidP="00BC48EE" w:rsidRDefault="008959A4" w14:paraId="58F41D24" w14:textId="77777777">
            <w:pPr>
              <w:keepNext/>
              <w:autoSpaceDE w:val="0"/>
              <w:autoSpaceDN w:val="0"/>
              <w:adjustRightInd w:val="0"/>
              <w:rPr>
                <w:b/>
                <w:bCs/>
              </w:rPr>
            </w:pPr>
            <w:r w:rsidRPr="002A788C">
              <w:rPr>
                <w:b/>
                <w:bCs/>
              </w:rPr>
              <w:t xml:space="preserve">By Health Condition </w:t>
            </w:r>
          </w:p>
        </w:tc>
      </w:tr>
      <w:tr w:rsidRPr="002A788C" w:rsidR="008959A4" w:rsidTr="00717A84" w14:paraId="73B2374F" w14:textId="77777777">
        <w:trPr>
          <w:trHeight w:val="175"/>
        </w:trPr>
        <w:tc>
          <w:tcPr>
            <w:tcW w:w="1993" w:type="dxa"/>
          </w:tcPr>
          <w:p w:rsidRPr="002A788C" w:rsidR="008959A4" w:rsidP="00BC48EE" w:rsidRDefault="008959A4" w14:paraId="5BECDEF6" w14:textId="77777777">
            <w:pPr>
              <w:keepNext/>
              <w:autoSpaceDE w:val="0"/>
              <w:autoSpaceDN w:val="0"/>
              <w:adjustRightInd w:val="0"/>
            </w:pPr>
            <w:r w:rsidRPr="00EC2CBD">
              <w:rPr>
                <w:rFonts w:eastAsia="Times New Roman"/>
                <w:szCs w:val="26"/>
              </w:rPr>
              <w:t>Housing type</w:t>
            </w:r>
          </w:p>
        </w:tc>
        <w:tc>
          <w:tcPr>
            <w:tcW w:w="2520" w:type="dxa"/>
          </w:tcPr>
          <w:p w:rsidRPr="002A788C" w:rsidR="008959A4" w:rsidP="00BC48EE" w:rsidRDefault="008959A4" w14:paraId="29326F91" w14:textId="77777777">
            <w:pPr>
              <w:keepNext/>
              <w:autoSpaceDE w:val="0"/>
              <w:autoSpaceDN w:val="0"/>
              <w:adjustRightInd w:val="0"/>
            </w:pPr>
            <w:r w:rsidRPr="002A788C">
              <w:t xml:space="preserve">CARE </w:t>
            </w:r>
          </w:p>
        </w:tc>
        <w:tc>
          <w:tcPr>
            <w:tcW w:w="2790" w:type="dxa"/>
          </w:tcPr>
          <w:p w:rsidRPr="002A788C" w:rsidR="008959A4" w:rsidP="00BC48EE" w:rsidRDefault="008959A4" w14:paraId="0EEECC3F" w14:textId="77777777">
            <w:pPr>
              <w:keepNext/>
              <w:autoSpaceDE w:val="0"/>
              <w:autoSpaceDN w:val="0"/>
              <w:adjustRightInd w:val="0"/>
            </w:pPr>
            <w:r w:rsidRPr="002A788C">
              <w:t xml:space="preserve">DAC </w:t>
            </w:r>
          </w:p>
        </w:tc>
        <w:tc>
          <w:tcPr>
            <w:tcW w:w="2700" w:type="dxa"/>
          </w:tcPr>
          <w:p w:rsidRPr="002A788C" w:rsidR="008959A4" w:rsidP="00BC48EE" w:rsidRDefault="008959A4" w14:paraId="7A1E33B2" w14:textId="77777777">
            <w:pPr>
              <w:keepNext/>
              <w:autoSpaceDE w:val="0"/>
              <w:autoSpaceDN w:val="0"/>
              <w:adjustRightInd w:val="0"/>
            </w:pPr>
            <w:r w:rsidRPr="002A788C">
              <w:t xml:space="preserve">Medical Baseline </w:t>
            </w:r>
          </w:p>
        </w:tc>
      </w:tr>
      <w:tr w:rsidRPr="002A788C" w:rsidR="008959A4" w:rsidTr="00717A84" w14:paraId="029E2EE0" w14:textId="77777777">
        <w:trPr>
          <w:trHeight w:val="175"/>
        </w:trPr>
        <w:tc>
          <w:tcPr>
            <w:tcW w:w="1993" w:type="dxa"/>
          </w:tcPr>
          <w:p w:rsidRPr="002A788C" w:rsidR="008959A4" w:rsidP="00BC48EE" w:rsidRDefault="008959A4" w14:paraId="1700D773" w14:textId="77777777">
            <w:pPr>
              <w:keepNext/>
              <w:autoSpaceDE w:val="0"/>
              <w:autoSpaceDN w:val="0"/>
              <w:adjustRightInd w:val="0"/>
            </w:pPr>
            <w:r w:rsidRPr="00EC2CBD">
              <w:rPr>
                <w:rFonts w:eastAsia="Times New Roman"/>
                <w:szCs w:val="26"/>
              </w:rPr>
              <w:t>Rent vs Own</w:t>
            </w:r>
          </w:p>
        </w:tc>
        <w:tc>
          <w:tcPr>
            <w:tcW w:w="2520" w:type="dxa"/>
          </w:tcPr>
          <w:p w:rsidRPr="002A788C" w:rsidR="008959A4" w:rsidP="00BC48EE" w:rsidRDefault="008959A4" w14:paraId="16561319" w14:textId="77777777">
            <w:pPr>
              <w:keepNext/>
              <w:autoSpaceDE w:val="0"/>
              <w:autoSpaceDN w:val="0"/>
              <w:adjustRightInd w:val="0"/>
            </w:pPr>
            <w:r w:rsidRPr="002A788C">
              <w:t xml:space="preserve">Disconnected </w:t>
            </w:r>
          </w:p>
        </w:tc>
        <w:tc>
          <w:tcPr>
            <w:tcW w:w="2790" w:type="dxa"/>
          </w:tcPr>
          <w:p w:rsidRPr="002A788C" w:rsidR="008959A4" w:rsidP="00BC48EE" w:rsidRDefault="008959A4" w14:paraId="7F276205" w14:textId="77777777">
            <w:pPr>
              <w:keepNext/>
              <w:autoSpaceDE w:val="0"/>
              <w:autoSpaceDN w:val="0"/>
              <w:adjustRightInd w:val="0"/>
            </w:pPr>
            <w:r w:rsidRPr="002A788C">
              <w:t xml:space="preserve">Rural </w:t>
            </w:r>
          </w:p>
        </w:tc>
        <w:tc>
          <w:tcPr>
            <w:tcW w:w="2700" w:type="dxa"/>
          </w:tcPr>
          <w:p w:rsidRPr="002A788C" w:rsidR="008959A4" w:rsidP="00BC48EE" w:rsidRDefault="008959A4" w14:paraId="24E86602" w14:textId="77777777">
            <w:pPr>
              <w:keepNext/>
              <w:autoSpaceDE w:val="0"/>
              <w:autoSpaceDN w:val="0"/>
              <w:adjustRightInd w:val="0"/>
            </w:pPr>
            <w:r w:rsidRPr="002A788C">
              <w:t xml:space="preserve">Respiratory </w:t>
            </w:r>
          </w:p>
        </w:tc>
      </w:tr>
      <w:tr w:rsidRPr="002A788C" w:rsidR="008959A4" w:rsidTr="00717A84" w14:paraId="36477910" w14:textId="77777777">
        <w:trPr>
          <w:trHeight w:val="175"/>
        </w:trPr>
        <w:tc>
          <w:tcPr>
            <w:tcW w:w="1993" w:type="dxa"/>
          </w:tcPr>
          <w:p w:rsidRPr="002A788C" w:rsidR="008959A4" w:rsidP="00BC48EE" w:rsidRDefault="008959A4" w14:paraId="0978FA2E" w14:textId="77777777">
            <w:pPr>
              <w:keepNext/>
              <w:autoSpaceDE w:val="0"/>
              <w:autoSpaceDN w:val="0"/>
              <w:adjustRightInd w:val="0"/>
            </w:pPr>
            <w:r w:rsidRPr="00EC2CBD">
              <w:rPr>
                <w:rFonts w:eastAsia="Times New Roman"/>
                <w:szCs w:val="26"/>
              </w:rPr>
              <w:t>Previous vs new participant</w:t>
            </w:r>
          </w:p>
        </w:tc>
        <w:tc>
          <w:tcPr>
            <w:tcW w:w="2520" w:type="dxa"/>
          </w:tcPr>
          <w:p w:rsidRPr="002A788C" w:rsidR="008959A4" w:rsidP="00BC48EE" w:rsidRDefault="008959A4" w14:paraId="0122700A" w14:textId="77777777">
            <w:pPr>
              <w:keepNext/>
              <w:autoSpaceDE w:val="0"/>
              <w:autoSpaceDN w:val="0"/>
              <w:adjustRightInd w:val="0"/>
            </w:pPr>
            <w:r w:rsidRPr="002A788C">
              <w:t xml:space="preserve">Arrearages </w:t>
            </w:r>
          </w:p>
        </w:tc>
        <w:tc>
          <w:tcPr>
            <w:tcW w:w="2790" w:type="dxa"/>
          </w:tcPr>
          <w:p w:rsidRPr="002A788C" w:rsidR="008959A4" w:rsidP="00BC48EE" w:rsidRDefault="008959A4" w14:paraId="2130D205" w14:textId="77777777">
            <w:pPr>
              <w:keepNext/>
              <w:autoSpaceDE w:val="0"/>
              <w:autoSpaceDN w:val="0"/>
              <w:adjustRightInd w:val="0"/>
            </w:pPr>
            <w:r w:rsidRPr="002A788C">
              <w:t xml:space="preserve">Tribal </w:t>
            </w:r>
          </w:p>
        </w:tc>
        <w:tc>
          <w:tcPr>
            <w:tcW w:w="2700" w:type="dxa"/>
          </w:tcPr>
          <w:p w:rsidRPr="002A788C" w:rsidR="008959A4" w:rsidP="00BC48EE" w:rsidRDefault="008959A4" w14:paraId="68F5BC58" w14:textId="77777777">
            <w:pPr>
              <w:keepNext/>
              <w:autoSpaceDE w:val="0"/>
              <w:autoSpaceDN w:val="0"/>
              <w:adjustRightInd w:val="0"/>
            </w:pPr>
            <w:r w:rsidRPr="002A788C">
              <w:t xml:space="preserve">Disabled </w:t>
            </w:r>
          </w:p>
        </w:tc>
      </w:tr>
      <w:tr w:rsidRPr="002A788C" w:rsidR="008959A4" w:rsidTr="00717A84" w14:paraId="5D045F54" w14:textId="77777777">
        <w:trPr>
          <w:trHeight w:val="175"/>
        </w:trPr>
        <w:tc>
          <w:tcPr>
            <w:tcW w:w="1993" w:type="dxa"/>
          </w:tcPr>
          <w:p w:rsidRPr="002A788C" w:rsidR="008959A4" w:rsidP="00BC48EE" w:rsidRDefault="008959A4" w14:paraId="6EFC2AFC" w14:textId="77777777">
            <w:pPr>
              <w:keepNext/>
              <w:autoSpaceDE w:val="0"/>
              <w:autoSpaceDN w:val="0"/>
              <w:adjustRightInd w:val="0"/>
            </w:pPr>
            <w:r w:rsidRPr="00EC2CBD">
              <w:rPr>
                <w:rFonts w:eastAsia="Times New Roman"/>
                <w:szCs w:val="26"/>
              </w:rPr>
              <w:t>Seniors</w:t>
            </w:r>
          </w:p>
        </w:tc>
        <w:tc>
          <w:tcPr>
            <w:tcW w:w="2520" w:type="dxa"/>
          </w:tcPr>
          <w:p w:rsidRPr="002A788C" w:rsidR="008959A4" w:rsidP="00BC48EE" w:rsidRDefault="008959A4" w14:paraId="5B09ED06" w14:textId="77777777">
            <w:pPr>
              <w:keepNext/>
              <w:autoSpaceDE w:val="0"/>
              <w:autoSpaceDN w:val="0"/>
              <w:adjustRightInd w:val="0"/>
            </w:pPr>
            <w:r w:rsidRPr="002A788C">
              <w:t xml:space="preserve">High usage </w:t>
            </w:r>
          </w:p>
        </w:tc>
        <w:tc>
          <w:tcPr>
            <w:tcW w:w="2790" w:type="dxa"/>
          </w:tcPr>
          <w:p w:rsidRPr="002A788C" w:rsidR="008959A4" w:rsidP="00BC48EE" w:rsidRDefault="008959A4" w14:paraId="26D6D32D" w14:textId="77777777">
            <w:pPr>
              <w:keepNext/>
              <w:autoSpaceDE w:val="0"/>
              <w:autoSpaceDN w:val="0"/>
              <w:adjustRightInd w:val="0"/>
            </w:pPr>
            <w:r w:rsidRPr="002A788C">
              <w:t xml:space="preserve">PSPS Zone </w:t>
            </w:r>
          </w:p>
        </w:tc>
        <w:tc>
          <w:tcPr>
            <w:tcW w:w="2700" w:type="dxa"/>
          </w:tcPr>
          <w:p w:rsidRPr="002A788C" w:rsidR="008959A4" w:rsidP="00BC48EE" w:rsidRDefault="008959A4" w14:paraId="1A703094" w14:textId="77777777">
            <w:pPr>
              <w:keepNext/>
              <w:autoSpaceDE w:val="0"/>
              <w:autoSpaceDN w:val="0"/>
              <w:adjustRightInd w:val="0"/>
            </w:pPr>
          </w:p>
        </w:tc>
      </w:tr>
      <w:tr w:rsidRPr="002A788C" w:rsidR="008959A4" w:rsidTr="00717A84" w14:paraId="4741D5D0" w14:textId="77777777">
        <w:trPr>
          <w:trHeight w:val="175"/>
        </w:trPr>
        <w:tc>
          <w:tcPr>
            <w:tcW w:w="1993" w:type="dxa"/>
          </w:tcPr>
          <w:p w:rsidRPr="002A788C" w:rsidR="008959A4" w:rsidP="00BC48EE" w:rsidRDefault="008959A4" w14:paraId="0BC9F0E3" w14:textId="77777777">
            <w:pPr>
              <w:keepNext/>
              <w:autoSpaceDE w:val="0"/>
              <w:autoSpaceDN w:val="0"/>
              <w:adjustRightInd w:val="0"/>
            </w:pPr>
            <w:r w:rsidRPr="00EC2CBD">
              <w:rPr>
                <w:rFonts w:eastAsia="Times New Roman"/>
                <w:szCs w:val="26"/>
              </w:rPr>
              <w:t>Veterans</w:t>
            </w:r>
          </w:p>
        </w:tc>
        <w:tc>
          <w:tcPr>
            <w:tcW w:w="2520" w:type="dxa"/>
          </w:tcPr>
          <w:p w:rsidRPr="002A788C" w:rsidR="008959A4" w:rsidP="00BC48EE" w:rsidRDefault="008959A4" w14:paraId="5D2ADFFF" w14:textId="77777777">
            <w:pPr>
              <w:keepNext/>
              <w:autoSpaceDE w:val="0"/>
              <w:autoSpaceDN w:val="0"/>
              <w:adjustRightInd w:val="0"/>
            </w:pPr>
            <w:r w:rsidRPr="002A788C">
              <w:t xml:space="preserve">High energy burden </w:t>
            </w:r>
          </w:p>
        </w:tc>
        <w:tc>
          <w:tcPr>
            <w:tcW w:w="2790" w:type="dxa"/>
          </w:tcPr>
          <w:p w:rsidRPr="002A788C" w:rsidR="008959A4" w:rsidP="00BC48EE" w:rsidRDefault="008959A4" w14:paraId="50E027EE" w14:textId="77777777">
            <w:pPr>
              <w:keepNext/>
              <w:autoSpaceDE w:val="0"/>
              <w:autoSpaceDN w:val="0"/>
              <w:adjustRightInd w:val="0"/>
            </w:pPr>
            <w:r w:rsidRPr="002A788C">
              <w:t xml:space="preserve">Wildfire Zone </w:t>
            </w:r>
          </w:p>
        </w:tc>
        <w:tc>
          <w:tcPr>
            <w:tcW w:w="2700" w:type="dxa"/>
          </w:tcPr>
          <w:p w:rsidRPr="002A788C" w:rsidR="008959A4" w:rsidP="00BC48EE" w:rsidRDefault="008959A4" w14:paraId="4268BDB0" w14:textId="77777777">
            <w:pPr>
              <w:keepNext/>
              <w:autoSpaceDE w:val="0"/>
              <w:autoSpaceDN w:val="0"/>
              <w:adjustRightInd w:val="0"/>
            </w:pPr>
          </w:p>
        </w:tc>
      </w:tr>
      <w:tr w:rsidRPr="002A788C" w:rsidR="008959A4" w:rsidTr="00717A84" w14:paraId="750EB44A" w14:textId="77777777">
        <w:trPr>
          <w:trHeight w:val="175"/>
        </w:trPr>
        <w:tc>
          <w:tcPr>
            <w:tcW w:w="1993" w:type="dxa"/>
          </w:tcPr>
          <w:p w:rsidRPr="002A788C" w:rsidR="008959A4" w:rsidP="00BC48EE" w:rsidRDefault="008959A4" w14:paraId="43B47457" w14:textId="77777777">
            <w:pPr>
              <w:keepNext/>
              <w:autoSpaceDE w:val="0"/>
              <w:autoSpaceDN w:val="0"/>
              <w:adjustRightInd w:val="0"/>
            </w:pPr>
            <w:r w:rsidRPr="00EC2CBD">
              <w:rPr>
                <w:rFonts w:eastAsia="Times New Roman"/>
                <w:szCs w:val="26"/>
              </w:rPr>
              <w:t>Hard-to-reach</w:t>
            </w:r>
          </w:p>
        </w:tc>
        <w:tc>
          <w:tcPr>
            <w:tcW w:w="2520" w:type="dxa"/>
          </w:tcPr>
          <w:p w:rsidRPr="002A788C" w:rsidR="008959A4" w:rsidP="00BC48EE" w:rsidRDefault="008959A4" w14:paraId="7CDFF708" w14:textId="77777777">
            <w:pPr>
              <w:keepNext/>
              <w:autoSpaceDE w:val="0"/>
              <w:autoSpaceDN w:val="0"/>
              <w:adjustRightInd w:val="0"/>
            </w:pPr>
            <w:r w:rsidRPr="002A788C">
              <w:t xml:space="preserve">SEVI </w:t>
            </w:r>
          </w:p>
        </w:tc>
        <w:tc>
          <w:tcPr>
            <w:tcW w:w="2790" w:type="dxa"/>
          </w:tcPr>
          <w:p w:rsidRPr="002A788C" w:rsidR="008959A4" w:rsidP="00BC48EE" w:rsidRDefault="008959A4" w14:paraId="3714EE69" w14:textId="77777777">
            <w:pPr>
              <w:keepNext/>
              <w:autoSpaceDE w:val="0"/>
              <w:autoSpaceDN w:val="0"/>
              <w:adjustRightInd w:val="0"/>
            </w:pPr>
            <w:r w:rsidRPr="002A788C">
              <w:t xml:space="preserve">Climate Zone </w:t>
            </w:r>
          </w:p>
        </w:tc>
        <w:tc>
          <w:tcPr>
            <w:tcW w:w="2700" w:type="dxa"/>
          </w:tcPr>
          <w:p w:rsidRPr="002A788C" w:rsidR="008959A4" w:rsidP="00BC48EE" w:rsidRDefault="008959A4" w14:paraId="390AF967" w14:textId="77777777">
            <w:pPr>
              <w:keepNext/>
              <w:autoSpaceDE w:val="0"/>
              <w:autoSpaceDN w:val="0"/>
              <w:adjustRightInd w:val="0"/>
            </w:pPr>
          </w:p>
        </w:tc>
      </w:tr>
      <w:tr w:rsidRPr="002A788C" w:rsidR="008959A4" w:rsidTr="00717A84" w14:paraId="08C21DC2" w14:textId="77777777">
        <w:trPr>
          <w:trHeight w:val="175"/>
        </w:trPr>
        <w:tc>
          <w:tcPr>
            <w:tcW w:w="1993" w:type="dxa"/>
          </w:tcPr>
          <w:p w:rsidRPr="002A788C" w:rsidR="008959A4" w:rsidP="00BC48EE" w:rsidRDefault="008959A4" w14:paraId="50276CD9" w14:textId="77777777">
            <w:pPr>
              <w:keepNext/>
              <w:autoSpaceDE w:val="0"/>
              <w:autoSpaceDN w:val="0"/>
              <w:adjustRightInd w:val="0"/>
            </w:pPr>
            <w:r w:rsidRPr="00EC2CBD">
              <w:rPr>
                <w:rFonts w:eastAsia="Times New Roman"/>
                <w:szCs w:val="26"/>
              </w:rPr>
              <w:t>Vulnerable</w:t>
            </w:r>
          </w:p>
        </w:tc>
        <w:tc>
          <w:tcPr>
            <w:tcW w:w="2520" w:type="dxa"/>
          </w:tcPr>
          <w:p w:rsidRPr="002A788C" w:rsidR="008959A4" w:rsidP="00BC48EE" w:rsidRDefault="008959A4" w14:paraId="1387A550" w14:textId="77777777">
            <w:pPr>
              <w:keepNext/>
              <w:autoSpaceDE w:val="0"/>
              <w:autoSpaceDN w:val="0"/>
              <w:adjustRightInd w:val="0"/>
            </w:pPr>
            <w:r w:rsidRPr="002A788C">
              <w:t xml:space="preserve">Affordability Ratio </w:t>
            </w:r>
          </w:p>
        </w:tc>
        <w:tc>
          <w:tcPr>
            <w:tcW w:w="2790" w:type="dxa"/>
          </w:tcPr>
          <w:p w:rsidRPr="002A788C" w:rsidR="008959A4" w:rsidP="00BC48EE" w:rsidRDefault="008959A4" w14:paraId="55DDB7CA" w14:textId="77777777">
            <w:pPr>
              <w:keepNext/>
              <w:autoSpaceDE w:val="0"/>
              <w:autoSpaceDN w:val="0"/>
              <w:adjustRightInd w:val="0"/>
            </w:pPr>
            <w:r w:rsidRPr="002A788C">
              <w:t xml:space="preserve">CARB communities </w:t>
            </w:r>
          </w:p>
        </w:tc>
        <w:tc>
          <w:tcPr>
            <w:tcW w:w="2700" w:type="dxa"/>
          </w:tcPr>
          <w:p w:rsidRPr="002A788C" w:rsidR="008959A4" w:rsidP="00BC48EE" w:rsidRDefault="008959A4" w14:paraId="35E0B665" w14:textId="77777777">
            <w:pPr>
              <w:keepNext/>
              <w:autoSpaceDE w:val="0"/>
              <w:autoSpaceDN w:val="0"/>
              <w:adjustRightInd w:val="0"/>
            </w:pPr>
          </w:p>
        </w:tc>
      </w:tr>
    </w:tbl>
    <w:p w:rsidRPr="00F967C3" w:rsidR="008959A4" w:rsidP="00BC48EE" w:rsidRDefault="008959A4" w14:paraId="19FC3F85" w14:textId="77777777">
      <w:pPr>
        <w:pStyle w:val="Standard"/>
        <w:keepNext/>
        <w:spacing w:line="240" w:lineRule="auto"/>
      </w:pPr>
    </w:p>
    <w:p w:rsidRPr="00593A8D" w:rsidR="008959A4" w:rsidP="008959A4" w:rsidRDefault="008959A4" w14:paraId="7D1D92F3" w14:textId="070B4474">
      <w:pPr>
        <w:pStyle w:val="Heading4"/>
        <w:ind w:left="3600" w:hanging="1260"/>
      </w:pPr>
      <w:bookmarkStart w:name="_Toc82159833" w:id="260"/>
      <w:r>
        <w:t xml:space="preserve">Public Workshop on </w:t>
      </w:r>
      <w:r>
        <w:br/>
        <w:t>Leveraging</w:t>
      </w:r>
      <w:r w:rsidRPr="00D242F9">
        <w:t>:</w:t>
      </w:r>
      <w:r>
        <w:t xml:space="preserve"> </w:t>
      </w:r>
      <w:r w:rsidR="00264851">
        <w:t xml:space="preserve"> </w:t>
      </w:r>
      <w:r>
        <w:rPr>
          <w:u w:val="single"/>
        </w:rPr>
        <w:t>New</w:t>
      </w:r>
      <w:bookmarkEnd w:id="260"/>
    </w:p>
    <w:p w:rsidRPr="00F47C02" w:rsidR="008959A4" w:rsidP="008959A4" w:rsidRDefault="008959A4" w14:paraId="729B78F9" w14:textId="77777777">
      <w:pPr>
        <w:pStyle w:val="Standard"/>
      </w:pPr>
      <w:r>
        <w:t xml:space="preserve">Given that very little was provided in terms of how the SMJUs are currently or planning to leverage with other partners, </w:t>
      </w:r>
      <w:r w:rsidRPr="00CD3F89">
        <w:t xml:space="preserve">the </w:t>
      </w:r>
      <w:r>
        <w:t>SMJUs</w:t>
      </w:r>
      <w:r w:rsidRPr="00CD3F89">
        <w:t xml:space="preserve"> </w:t>
      </w:r>
      <w:r>
        <w:t xml:space="preserve">shall </w:t>
      </w:r>
      <w:r w:rsidRPr="00CD3F89">
        <w:t xml:space="preserve">hold a public workshop, within 120 days after the </w:t>
      </w:r>
      <w:r>
        <w:t>effective date</w:t>
      </w:r>
      <w:r w:rsidRPr="00CD3F89">
        <w:t xml:space="preserve"> of the decision</w:t>
      </w:r>
      <w:r>
        <w:t>, focused on low-income program leveraging.  The audience will include a representative from each</w:t>
      </w:r>
      <w:r w:rsidRPr="00CD3F89">
        <w:t xml:space="preserve"> </w:t>
      </w:r>
      <w:r>
        <w:t xml:space="preserve">SMJU </w:t>
      </w:r>
      <w:r w:rsidRPr="00CD3F89">
        <w:t xml:space="preserve">and other low income and/or clean energy program administrators </w:t>
      </w:r>
      <w:r>
        <w:t xml:space="preserve">as available </w:t>
      </w:r>
      <w:r w:rsidRPr="00CD3F89">
        <w:t>(</w:t>
      </w:r>
      <w:r>
        <w:t>including</w:t>
      </w:r>
      <w:r w:rsidRPr="00CD3F89">
        <w:t xml:space="preserve"> ESA, CARE, F</w:t>
      </w:r>
      <w:r>
        <w:t xml:space="preserve">amily </w:t>
      </w:r>
      <w:r w:rsidRPr="00CD3F89">
        <w:t>E</w:t>
      </w:r>
      <w:r>
        <w:t xml:space="preserve">lectric </w:t>
      </w:r>
      <w:r w:rsidRPr="00CD3F89">
        <w:t>R</w:t>
      </w:r>
      <w:r>
        <w:t xml:space="preserve">ate </w:t>
      </w:r>
      <w:r w:rsidRPr="00CD3F89">
        <w:t>A</w:t>
      </w:r>
      <w:r>
        <w:t>ssistance</w:t>
      </w:r>
      <w:r w:rsidRPr="00CD3F89">
        <w:t>, S</w:t>
      </w:r>
      <w:r>
        <w:t xml:space="preserve">olar </w:t>
      </w:r>
      <w:r w:rsidRPr="00CD3F89">
        <w:t>G</w:t>
      </w:r>
      <w:r>
        <w:t xml:space="preserve">eneration </w:t>
      </w:r>
      <w:r w:rsidRPr="00CD3F89">
        <w:t>I</w:t>
      </w:r>
      <w:r>
        <w:t xml:space="preserve">ncentive </w:t>
      </w:r>
      <w:r w:rsidRPr="00CD3F89">
        <w:t>P</w:t>
      </w:r>
      <w:r>
        <w:t>rogram</w:t>
      </w:r>
      <w:r w:rsidRPr="00CD3F89">
        <w:t xml:space="preserve">, SOMAH, </w:t>
      </w:r>
      <w:r>
        <w:t xml:space="preserve">COVID-19 Relief Payment Plans, </w:t>
      </w:r>
      <w:r w:rsidRPr="00CD3F89">
        <w:t>CSD low</w:t>
      </w:r>
      <w:r>
        <w:t>-</w:t>
      </w:r>
      <w:r w:rsidRPr="00CD3F89">
        <w:t>income assistance programs, DAC programs)</w:t>
      </w:r>
      <w:r>
        <w:t xml:space="preserve"> and ESA contractors to discuss program leveraging opportunities and best practices for SMJU service territories.  This will include topics on which energy-related, income-qualified programs are available and relevant to SMJU customers, which SMJUs already have leveraging experiences with these programs, and any best practices/lessons learned for what SMJUs can do to work with these programs when delivering ESA services.  A written summary of this meeting along with the slides presented will be distributed jointly by the SMJUs to the relevant service list 30 days after this workshop.</w:t>
      </w:r>
    </w:p>
    <w:p w:rsidR="008959A4" w:rsidP="008959A4" w:rsidRDefault="008959A4" w14:paraId="517CDCAC" w14:textId="77777777">
      <w:pPr>
        <w:pStyle w:val="Heading2"/>
      </w:pPr>
      <w:bookmarkStart w:name="_Toc82159834" w:id="261"/>
      <w:r w:rsidRPr="00571CAA">
        <w:lastRenderedPageBreak/>
        <w:t xml:space="preserve">ESA </w:t>
      </w:r>
      <w:r>
        <w:t xml:space="preserve">Program Workforce, Education </w:t>
      </w:r>
      <w:r>
        <w:br/>
        <w:t>and Training (WE&amp;T)</w:t>
      </w:r>
      <w:bookmarkEnd w:id="261"/>
      <w:r>
        <w:t xml:space="preserve"> </w:t>
      </w:r>
    </w:p>
    <w:p w:rsidR="008959A4" w:rsidP="008959A4" w:rsidRDefault="008959A4" w14:paraId="3E2A81D5" w14:textId="77777777">
      <w:pPr>
        <w:pStyle w:val="Heading3"/>
      </w:pPr>
      <w:bookmarkStart w:name="_Toc82159835" w:id="262"/>
      <w:r>
        <w:t>Background</w:t>
      </w:r>
      <w:bookmarkEnd w:id="262"/>
    </w:p>
    <w:p w:rsidRPr="005101FF" w:rsidR="008959A4" w:rsidP="008959A4" w:rsidRDefault="008959A4" w14:paraId="7FC3AFED" w14:textId="77777777">
      <w:pPr>
        <w:pStyle w:val="ALJBodyText"/>
      </w:pPr>
      <w:r>
        <w:t>Although the SMJUs were not specifically directed to</w:t>
      </w:r>
      <w:r w:rsidRPr="009C0EF7">
        <w:t xml:space="preserve"> discuss what workforce development opportunities or efforts were being provided to support the existing ESA workforce and ensure hiring within local communities</w:t>
      </w:r>
      <w:r>
        <w:t>,</w:t>
      </w:r>
      <w:r w:rsidRPr="009C0EF7">
        <w:rPr>
          <w:vertAlign w:val="superscript"/>
        </w:rPr>
        <w:footnoteReference w:id="213"/>
      </w:r>
      <w:r>
        <w:t xml:space="preserve"> the</w:t>
      </w:r>
      <w:r w:rsidRPr="007318E6">
        <w:t xml:space="preserve"> ESA program </w:t>
      </w:r>
      <w:r>
        <w:t>continues to have</w:t>
      </w:r>
      <w:r w:rsidRPr="007318E6">
        <w:t xml:space="preserve"> a long history of promoting WE&amp;T efforts in support of the statutory requirements for contractors to utilize and employ people from the local area and provide local job training.   </w:t>
      </w:r>
    </w:p>
    <w:p w:rsidR="008959A4" w:rsidP="008959A4" w:rsidRDefault="008959A4" w14:paraId="1141185A" w14:textId="77777777">
      <w:pPr>
        <w:pStyle w:val="Heading3"/>
      </w:pPr>
      <w:bookmarkStart w:name="_Toc82159836" w:id="263"/>
      <w:r>
        <w:t>Alpine Proposal</w:t>
      </w:r>
      <w:bookmarkEnd w:id="263"/>
    </w:p>
    <w:p w:rsidRPr="00EB33F4" w:rsidR="008959A4" w:rsidP="008959A4" w:rsidRDefault="008959A4" w14:paraId="094FF4EA" w14:textId="77777777">
      <w:pPr>
        <w:pStyle w:val="Standard"/>
      </w:pPr>
      <w:r>
        <w:t>Alpine does not identify</w:t>
      </w:r>
      <w:r w:rsidRPr="008D6C87">
        <w:t xml:space="preserve"> </w:t>
      </w:r>
      <w:r>
        <w:t xml:space="preserve">specific </w:t>
      </w:r>
      <w:r w:rsidRPr="008D6C87">
        <w:t xml:space="preserve">WE&amp;T </w:t>
      </w:r>
      <w:r>
        <w:t>efforts.</w:t>
      </w:r>
    </w:p>
    <w:p w:rsidR="008959A4" w:rsidP="008959A4" w:rsidRDefault="008959A4" w14:paraId="5B735BAB" w14:textId="77777777">
      <w:pPr>
        <w:pStyle w:val="Heading3"/>
      </w:pPr>
      <w:bookmarkStart w:name="_Toc82159837" w:id="264"/>
      <w:r>
        <w:t>Bear Valley Proposal</w:t>
      </w:r>
      <w:bookmarkEnd w:id="264"/>
    </w:p>
    <w:p w:rsidRPr="00B72F74" w:rsidR="008959A4" w:rsidP="008959A4" w:rsidRDefault="008959A4" w14:paraId="7390A4D5" w14:textId="77777777">
      <w:pPr>
        <w:pStyle w:val="Standard"/>
      </w:pPr>
      <w:r>
        <w:t>Bear Valley does not identify</w:t>
      </w:r>
      <w:r w:rsidRPr="008D6C87">
        <w:t xml:space="preserve"> </w:t>
      </w:r>
      <w:r>
        <w:t xml:space="preserve">specific </w:t>
      </w:r>
      <w:r w:rsidRPr="008D6C87">
        <w:t xml:space="preserve">WE&amp;T </w:t>
      </w:r>
      <w:r>
        <w:t>efforts.</w:t>
      </w:r>
    </w:p>
    <w:p w:rsidR="008959A4" w:rsidP="008959A4" w:rsidRDefault="008959A4" w14:paraId="0F1066EF" w14:textId="77777777">
      <w:pPr>
        <w:pStyle w:val="Heading3"/>
      </w:pPr>
      <w:bookmarkStart w:name="_Toc82159838" w:id="265"/>
      <w:r>
        <w:t>Liberty Proposal</w:t>
      </w:r>
      <w:bookmarkEnd w:id="265"/>
    </w:p>
    <w:p w:rsidRPr="00B72F74" w:rsidR="008959A4" w:rsidP="008959A4" w:rsidRDefault="008959A4" w14:paraId="03499381" w14:textId="77777777">
      <w:pPr>
        <w:pStyle w:val="Standard"/>
      </w:pPr>
      <w:r>
        <w:t>Liberty does not identify</w:t>
      </w:r>
      <w:r w:rsidRPr="008D6C87">
        <w:t xml:space="preserve"> </w:t>
      </w:r>
      <w:r>
        <w:t xml:space="preserve">specific </w:t>
      </w:r>
      <w:r w:rsidRPr="008D6C87">
        <w:t xml:space="preserve">WE&amp;T </w:t>
      </w:r>
      <w:r>
        <w:t>efforts.</w:t>
      </w:r>
    </w:p>
    <w:p w:rsidR="008959A4" w:rsidP="008959A4" w:rsidRDefault="008959A4" w14:paraId="38AC6393" w14:textId="77777777">
      <w:pPr>
        <w:pStyle w:val="Heading3"/>
      </w:pPr>
      <w:bookmarkStart w:name="_Toc82159839" w:id="266"/>
      <w:r>
        <w:t>PacifiCorp Proposal</w:t>
      </w:r>
      <w:bookmarkEnd w:id="266"/>
    </w:p>
    <w:p w:rsidRPr="00B72F74" w:rsidR="008959A4" w:rsidP="008959A4" w:rsidRDefault="008959A4" w14:paraId="4874E295" w14:textId="77777777">
      <w:pPr>
        <w:pStyle w:val="Standard"/>
      </w:pPr>
      <w:r>
        <w:t>PacifiCorp does not identify</w:t>
      </w:r>
      <w:r w:rsidRPr="008D6C87">
        <w:t xml:space="preserve"> </w:t>
      </w:r>
      <w:r>
        <w:t xml:space="preserve">specific </w:t>
      </w:r>
      <w:r w:rsidRPr="008D6C87">
        <w:t xml:space="preserve">WE&amp;T </w:t>
      </w:r>
      <w:r>
        <w:t>efforts.</w:t>
      </w:r>
    </w:p>
    <w:p w:rsidR="008959A4" w:rsidP="008959A4" w:rsidRDefault="008959A4" w14:paraId="4725595A" w14:textId="77777777">
      <w:pPr>
        <w:pStyle w:val="Heading3"/>
      </w:pPr>
      <w:bookmarkStart w:name="_Toc82159840" w:id="267"/>
      <w:r>
        <w:t>Southwest Gas Proposal</w:t>
      </w:r>
      <w:bookmarkEnd w:id="267"/>
    </w:p>
    <w:p w:rsidRPr="00B72F74" w:rsidR="008959A4" w:rsidP="008959A4" w:rsidRDefault="008959A4" w14:paraId="7EE1A8C2" w14:textId="77777777">
      <w:pPr>
        <w:pStyle w:val="Standard"/>
      </w:pPr>
      <w:r>
        <w:t>Southwest Gas does not identify</w:t>
      </w:r>
      <w:r w:rsidRPr="008D6C87">
        <w:t xml:space="preserve"> </w:t>
      </w:r>
      <w:r>
        <w:t xml:space="preserve">specific </w:t>
      </w:r>
      <w:r w:rsidRPr="008D6C87">
        <w:t xml:space="preserve">WE&amp;T </w:t>
      </w:r>
      <w:r>
        <w:t>efforts.</w:t>
      </w:r>
    </w:p>
    <w:p w:rsidR="008959A4" w:rsidP="008959A4" w:rsidRDefault="008959A4" w14:paraId="32141D3A" w14:textId="77777777">
      <w:pPr>
        <w:pStyle w:val="Heading3"/>
      </w:pPr>
      <w:bookmarkStart w:name="_Toc82159841" w:id="268"/>
      <w:r>
        <w:t>Party Comments</w:t>
      </w:r>
      <w:bookmarkEnd w:id="268"/>
    </w:p>
    <w:p w:rsidR="008959A4" w:rsidP="008959A4" w:rsidRDefault="008959A4" w14:paraId="48B2128F" w14:textId="77777777">
      <w:pPr>
        <w:pStyle w:val="Heading4"/>
        <w:ind w:left="3600" w:hanging="1260"/>
      </w:pPr>
      <w:bookmarkStart w:name="_Toc82159842" w:id="269"/>
      <w:r>
        <w:t>EEC and Free Energy</w:t>
      </w:r>
      <w:bookmarkEnd w:id="269"/>
    </w:p>
    <w:p w:rsidR="008959A4" w:rsidP="008959A4" w:rsidRDefault="008959A4" w14:paraId="727EE5A4" w14:textId="77777777">
      <w:pPr>
        <w:pStyle w:val="Standard"/>
      </w:pPr>
      <w:r w:rsidRPr="004D3EDC">
        <w:rPr>
          <w:b/>
          <w:bCs/>
          <w:i/>
          <w:iCs/>
          <w:u w:val="single"/>
        </w:rPr>
        <w:t>Restrictions on Ex-Offenders</w:t>
      </w:r>
      <w:r>
        <w:t>: EEC and Free Energy state that the</w:t>
      </w:r>
      <w:r w:rsidRPr="00464D0B">
        <w:t xml:space="preserve"> </w:t>
      </w:r>
      <w:r w:rsidRPr="00765F2A">
        <w:t>SMJU ESA contracts</w:t>
      </w:r>
      <w:r>
        <w:t xml:space="preserve"> ban m</w:t>
      </w:r>
      <w:r w:rsidRPr="00765F2A">
        <w:t xml:space="preserve">ost ex-offenders with a criminal background from </w:t>
      </w:r>
      <w:r>
        <w:t>working in the ESA program</w:t>
      </w:r>
      <w:r w:rsidRPr="00765F2A">
        <w:t>.</w:t>
      </w:r>
      <w:r>
        <w:t xml:space="preserve">  And although it is </w:t>
      </w:r>
      <w:r w:rsidRPr="00765F2A">
        <w:t>reasonable to require drug and criminal background checks</w:t>
      </w:r>
      <w:r>
        <w:t>, E</w:t>
      </w:r>
      <w:r w:rsidRPr="00765F2A">
        <w:t xml:space="preserve">SA </w:t>
      </w:r>
      <w:r>
        <w:t>c</w:t>
      </w:r>
      <w:r w:rsidRPr="00765F2A">
        <w:t xml:space="preserve">ontractors </w:t>
      </w:r>
      <w:r>
        <w:t xml:space="preserve">should be able to </w:t>
      </w:r>
      <w:r w:rsidRPr="00765F2A">
        <w:t xml:space="preserve">weigh </w:t>
      </w:r>
      <w:r>
        <w:t>an</w:t>
      </w:r>
      <w:r w:rsidRPr="00765F2A">
        <w:t xml:space="preserve"> individual's criminal history, alongside indications of</w:t>
      </w:r>
      <w:r>
        <w:t xml:space="preserve"> </w:t>
      </w:r>
      <w:r w:rsidRPr="00765F2A">
        <w:t xml:space="preserve">rehabilitation and reform, completion </w:t>
      </w:r>
      <w:r w:rsidRPr="00765F2A">
        <w:lastRenderedPageBreak/>
        <w:t>of probation, age at time of conviction, and other</w:t>
      </w:r>
      <w:r>
        <w:t xml:space="preserve"> </w:t>
      </w:r>
      <w:r w:rsidRPr="00765F2A">
        <w:t>relevant factors to determine which jobs they should be allowed to perform.</w:t>
      </w:r>
      <w:r>
        <w:t xml:space="preserve">  EEC and Free Energy request </w:t>
      </w:r>
      <w:r w:rsidRPr="00765F2A">
        <w:t xml:space="preserve">flexibility </w:t>
      </w:r>
      <w:r>
        <w:t xml:space="preserve">in hiring individuals </w:t>
      </w:r>
      <w:r w:rsidRPr="00765F2A">
        <w:t xml:space="preserve">with a criminal background </w:t>
      </w:r>
      <w:r>
        <w:t xml:space="preserve">so that they can </w:t>
      </w:r>
      <w:r w:rsidRPr="00765F2A">
        <w:t>increase hiring from low income</w:t>
      </w:r>
      <w:r>
        <w:t xml:space="preserve">, </w:t>
      </w:r>
      <w:r w:rsidRPr="00765F2A">
        <w:t>minority,</w:t>
      </w:r>
      <w:r>
        <w:t xml:space="preserve"> and DACs</w:t>
      </w:r>
      <w:r w:rsidRPr="00765F2A">
        <w:t xml:space="preserve">. </w:t>
      </w:r>
      <w:r>
        <w:t xml:space="preserve"> EEC and Free Energy state that an estimated one </w:t>
      </w:r>
      <w:r w:rsidRPr="00765F2A">
        <w:t>third of adult Californians have some type of criminal record</w:t>
      </w:r>
      <w:r>
        <w:t xml:space="preserve">, with a much higher </w:t>
      </w:r>
      <w:r w:rsidRPr="00765F2A">
        <w:t>proportion among low-income families who cannot afford high quality legal counsel.</w:t>
      </w:r>
      <w:r>
        <w:t xml:space="preserve">  EEC and Free Energy recommend that these outdated</w:t>
      </w:r>
      <w:r w:rsidRPr="00765F2A">
        <w:t xml:space="preserve"> ESA contract</w:t>
      </w:r>
      <w:r>
        <w:t xml:space="preserve"> </w:t>
      </w:r>
      <w:r w:rsidRPr="00765F2A">
        <w:t xml:space="preserve">restrictions </w:t>
      </w:r>
      <w:r>
        <w:t xml:space="preserve">that </w:t>
      </w:r>
      <w:r w:rsidRPr="00765F2A">
        <w:t>provid</w:t>
      </w:r>
      <w:r>
        <w:t>e</w:t>
      </w:r>
      <w:r w:rsidRPr="00765F2A">
        <w:t xml:space="preserve"> lifetime bans, or blanket treatment</w:t>
      </w:r>
      <w:r>
        <w:t xml:space="preserve"> be removed</w:t>
      </w:r>
      <w:r w:rsidRPr="00765F2A">
        <w:t xml:space="preserve"> for</w:t>
      </w:r>
      <w:r>
        <w:t xml:space="preserve"> </w:t>
      </w:r>
      <w:r w:rsidRPr="00765F2A">
        <w:t xml:space="preserve">commonly occurring crimes and </w:t>
      </w:r>
      <w:r>
        <w:t xml:space="preserve">that the contractors </w:t>
      </w:r>
      <w:r w:rsidRPr="00765F2A">
        <w:t>be allowed to judge each person on their own merits</w:t>
      </w:r>
      <w:r>
        <w:t>.</w:t>
      </w:r>
      <w:r>
        <w:rPr>
          <w:rStyle w:val="FootnoteReference"/>
        </w:rPr>
        <w:footnoteReference w:id="214"/>
      </w:r>
    </w:p>
    <w:p w:rsidRPr="00783F7A" w:rsidR="008959A4" w:rsidP="008959A4" w:rsidRDefault="008959A4" w14:paraId="093CC1C9" w14:textId="54649940">
      <w:pPr>
        <w:pStyle w:val="Standard"/>
      </w:pPr>
      <w:r>
        <w:rPr>
          <w:b/>
          <w:bCs/>
          <w:i/>
          <w:iCs/>
          <w:u w:val="single"/>
        </w:rPr>
        <w:t>Financial Assistance with Pre-Hiring</w:t>
      </w:r>
      <w:r>
        <w:t>:  EEC and Free Energy recommend that the ESA program a</w:t>
      </w:r>
      <w:r w:rsidRPr="00467E7A">
        <w:t xml:space="preserve">ssist prospective </w:t>
      </w:r>
      <w:r>
        <w:t>o</w:t>
      </w:r>
      <w:r w:rsidRPr="00467E7A">
        <w:t xml:space="preserve">utreach </w:t>
      </w:r>
      <w:r>
        <w:t>s</w:t>
      </w:r>
      <w:r w:rsidRPr="00467E7A">
        <w:t>pecialists during their pre</w:t>
      </w:r>
      <w:r w:rsidR="000D5BBE">
        <w:noBreakHyphen/>
      </w:r>
      <w:r w:rsidRPr="00467E7A">
        <w:t>hiring job training to secure</w:t>
      </w:r>
      <w:r>
        <w:t xml:space="preserve"> </w:t>
      </w:r>
      <w:r w:rsidRPr="00467E7A">
        <w:t>their legally mandated listing on HISR (Home Improvement Salesperson Registry) by</w:t>
      </w:r>
      <w:r>
        <w:t xml:space="preserve"> </w:t>
      </w:r>
      <w:r w:rsidRPr="00467E7A">
        <w:t>the California CSLB (Contractors State Licensing Board)</w:t>
      </w:r>
      <w:r>
        <w:t xml:space="preserve"> stating that this c</w:t>
      </w:r>
      <w:r w:rsidRPr="00467E7A">
        <w:t xml:space="preserve">hange will help ESA </w:t>
      </w:r>
      <w:r>
        <w:t>and</w:t>
      </w:r>
      <w:r w:rsidRPr="00467E7A">
        <w:t xml:space="preserve"> other</w:t>
      </w:r>
      <w:r>
        <w:t xml:space="preserve"> </w:t>
      </w:r>
      <w:r w:rsidRPr="00467E7A">
        <w:t>residential programs.</w:t>
      </w:r>
      <w:r>
        <w:t xml:space="preserve">  EEC and Free Energy state that the </w:t>
      </w:r>
      <w:r w:rsidRPr="00467E7A">
        <w:t>registration, training, or certification often requires the payment of fees or at</w:t>
      </w:r>
      <w:r>
        <w:t xml:space="preserve"> </w:t>
      </w:r>
      <w:r w:rsidRPr="00467E7A">
        <w:t>the least require additional time and expenses to cover such training time, which</w:t>
      </w:r>
      <w:r>
        <w:t xml:space="preserve"> </w:t>
      </w:r>
      <w:r w:rsidRPr="00467E7A">
        <w:t xml:space="preserve">low-income trainees or those from </w:t>
      </w:r>
      <w:r>
        <w:t>DACs</w:t>
      </w:r>
      <w:r w:rsidRPr="00467E7A">
        <w:t xml:space="preserve"> cannot readily pay</w:t>
      </w:r>
      <w:r>
        <w:t xml:space="preserve"> for</w:t>
      </w:r>
      <w:r w:rsidRPr="00467E7A">
        <w:t xml:space="preserve"> out of pocket.</w:t>
      </w:r>
      <w:r>
        <w:t xml:space="preserve"> </w:t>
      </w:r>
      <w:r w:rsidRPr="00467E7A">
        <w:t xml:space="preserve"> </w:t>
      </w:r>
      <w:r>
        <w:t xml:space="preserve">EEC and Free Energy recommend that </w:t>
      </w:r>
      <w:r w:rsidRPr="00467E7A">
        <w:t xml:space="preserve">those in training prior to hiring should </w:t>
      </w:r>
      <w:r>
        <w:t>have these fees paid for, or</w:t>
      </w:r>
      <w:r w:rsidRPr="00467E7A">
        <w:t xml:space="preserve"> at the least, be provided with a forgivable loan to</w:t>
      </w:r>
      <w:r>
        <w:t xml:space="preserve"> </w:t>
      </w:r>
      <w:r w:rsidRPr="00467E7A">
        <w:t xml:space="preserve">cover such costs, with the </w:t>
      </w:r>
      <w:r>
        <w:t xml:space="preserve">utility </w:t>
      </w:r>
      <w:r w:rsidRPr="00467E7A">
        <w:t xml:space="preserve">or the hiring ESA </w:t>
      </w:r>
      <w:r>
        <w:t>c</w:t>
      </w:r>
      <w:r w:rsidRPr="00467E7A">
        <w:t>ontractor reimbursing them for</w:t>
      </w:r>
      <w:r>
        <w:t xml:space="preserve"> </w:t>
      </w:r>
      <w:r w:rsidRPr="00467E7A">
        <w:t>such fees</w:t>
      </w:r>
      <w:r>
        <w:t>.</w:t>
      </w:r>
      <w:r>
        <w:rPr>
          <w:rStyle w:val="FootnoteReference"/>
        </w:rPr>
        <w:footnoteReference w:id="215"/>
      </w:r>
    </w:p>
    <w:p w:rsidR="008959A4" w:rsidP="008959A4" w:rsidRDefault="008959A4" w14:paraId="7AE30393" w14:textId="77777777">
      <w:pPr>
        <w:pStyle w:val="Heading3"/>
      </w:pPr>
      <w:bookmarkStart w:name="_Toc82159843" w:id="270"/>
      <w:r>
        <w:lastRenderedPageBreak/>
        <w:t>SMJU Responses</w:t>
      </w:r>
      <w:bookmarkEnd w:id="270"/>
    </w:p>
    <w:p w:rsidR="008959A4" w:rsidP="008959A4" w:rsidRDefault="008959A4" w14:paraId="720D0A26" w14:textId="77777777">
      <w:pPr>
        <w:pStyle w:val="Heading4"/>
        <w:ind w:left="3600" w:hanging="1260"/>
      </w:pPr>
      <w:bookmarkStart w:name="_Toc82159844" w:id="271"/>
      <w:r>
        <w:t>Southwest Gas Response</w:t>
      </w:r>
      <w:bookmarkEnd w:id="271"/>
    </w:p>
    <w:p w:rsidRPr="00342CD2" w:rsidR="008959A4" w:rsidP="008959A4" w:rsidRDefault="008959A4" w14:paraId="794B356F" w14:textId="77777777">
      <w:pPr>
        <w:pStyle w:val="Standard"/>
        <w:tabs>
          <w:tab w:val="left" w:pos="8820"/>
        </w:tabs>
      </w:pPr>
      <w:r w:rsidRPr="004D3EDC">
        <w:rPr>
          <w:b/>
          <w:bCs/>
          <w:i/>
          <w:iCs/>
          <w:u w:val="single"/>
        </w:rPr>
        <w:t>Restrictions on Ex-Offenders</w:t>
      </w:r>
      <w:r>
        <w:t>:  Southwest Gas disagrees with EEC and Free Energy’s recommendation to eliminate the limitations on hiring ex-offenders in ESA service contracts stating that these requirements are employed to reduce risk exposure, particularly for service contractors and their employees who will have access to customer premises and/or data.  Further, the contractual provisions included in Southwest Gas’ service contract with its ESA program implementer do not per se prohibit the implementer or any of its subcontractors from hiring certain employees; rather, it reasonably restricts the implementer or its subcontractors from knowingly permitting access to the company’s or its customers’ premises or confidential information when such employee has been convicted of a felony, a crime of dishonesty or physical harm to any person.  Southwest Gas believes that its current policy is a reasonable contractual limitation and should not be omitted, as it limits risk and promotes safety for its customers receiving ESA services.</w:t>
      </w:r>
    </w:p>
    <w:p w:rsidR="008959A4" w:rsidP="008959A4" w:rsidRDefault="008959A4" w14:paraId="554DD73D" w14:textId="77777777">
      <w:pPr>
        <w:pStyle w:val="Heading4"/>
        <w:ind w:left="3600" w:hanging="1260"/>
      </w:pPr>
      <w:bookmarkStart w:name="_Toc82159845" w:id="272"/>
      <w:r>
        <w:t>PacifiCorp Response</w:t>
      </w:r>
      <w:bookmarkEnd w:id="272"/>
    </w:p>
    <w:p w:rsidR="008959A4" w:rsidP="008959A4" w:rsidRDefault="008959A4" w14:paraId="26471900" w14:textId="77777777">
      <w:pPr>
        <w:pStyle w:val="ALJBodyText"/>
      </w:pPr>
      <w:r w:rsidRPr="004D3EDC">
        <w:rPr>
          <w:b/>
          <w:bCs/>
          <w:i/>
          <w:iCs/>
          <w:u w:val="single"/>
        </w:rPr>
        <w:t>Restrictions on Ex-Offenders</w:t>
      </w:r>
      <w:r>
        <w:t xml:space="preserve">:  </w:t>
      </w:r>
      <w:r w:rsidRPr="004B237F">
        <w:t xml:space="preserve">PacifiCorp </w:t>
      </w:r>
      <w:r>
        <w:t xml:space="preserve">states that it has </w:t>
      </w:r>
      <w:r w:rsidRPr="004B237F">
        <w:t>provided all its CBO agreements to EEC in discovery; as such, EEC is aware that none of its agreements contain restrictions on CBOs on the hiring of ex-offenders.</w:t>
      </w:r>
      <w:r>
        <w:t xml:space="preserve"> </w:t>
      </w:r>
      <w:r w:rsidRPr="004B237F">
        <w:t xml:space="preserve"> </w:t>
      </w:r>
      <w:r>
        <w:t>Therefore</w:t>
      </w:r>
      <w:r w:rsidRPr="004B237F">
        <w:t>, the Commission should reject the EEC recommendations as unnecessary.</w:t>
      </w:r>
    </w:p>
    <w:p w:rsidRPr="004B237F" w:rsidR="008959A4" w:rsidP="008959A4" w:rsidRDefault="008959A4" w14:paraId="1096E6AD" w14:textId="77777777">
      <w:pPr>
        <w:pStyle w:val="ALJBodyText"/>
      </w:pPr>
      <w:bookmarkStart w:name="_Hlk79087604" w:id="273"/>
      <w:r>
        <w:rPr>
          <w:b/>
          <w:bCs/>
          <w:i/>
          <w:iCs/>
          <w:u w:val="single"/>
        </w:rPr>
        <w:t>Financial Assistance with Pre-Hiring</w:t>
      </w:r>
      <w:bookmarkEnd w:id="273"/>
      <w:r>
        <w:t>:</w:t>
      </w:r>
      <w:r w:rsidRPr="00AC3226">
        <w:t xml:space="preserve"> </w:t>
      </w:r>
      <w:r>
        <w:t xml:space="preserve"> </w:t>
      </w:r>
      <w:r w:rsidRPr="004B237F">
        <w:t xml:space="preserve">PacifiCorp </w:t>
      </w:r>
      <w:r>
        <w:t xml:space="preserve">states that it </w:t>
      </w:r>
      <w:r w:rsidRPr="004B237F">
        <w:t xml:space="preserve">does not engage </w:t>
      </w:r>
      <w:r>
        <w:t xml:space="preserve">with </w:t>
      </w:r>
      <w:r w:rsidRPr="004B237F">
        <w:t xml:space="preserve">ESA contractors directly; instead, </w:t>
      </w:r>
      <w:r>
        <w:t xml:space="preserve">it </w:t>
      </w:r>
      <w:r w:rsidRPr="004B237F">
        <w:t>contract</w:t>
      </w:r>
      <w:r>
        <w:t>s</w:t>
      </w:r>
      <w:r w:rsidRPr="004B237F">
        <w:t xml:space="preserve"> with CBOs who then engage contractors.</w:t>
      </w:r>
      <w:r>
        <w:t xml:space="preserve"> </w:t>
      </w:r>
      <w:r w:rsidRPr="004B237F">
        <w:t xml:space="preserve"> CBOs’ workforce training is conducted through Community and Services Development, a process in which PacifiCorp is not involved</w:t>
      </w:r>
      <w:r>
        <w:t xml:space="preserve">; </w:t>
      </w:r>
      <w:r>
        <w:lastRenderedPageBreak/>
        <w:t xml:space="preserve">therefore, </w:t>
      </w:r>
      <w:r w:rsidRPr="004B237F">
        <w:t>the Commission should reject the EEC recommendations as unnecessary.</w:t>
      </w:r>
    </w:p>
    <w:p w:rsidR="008959A4" w:rsidP="008959A4" w:rsidRDefault="008959A4" w14:paraId="081C2DE1" w14:textId="77777777">
      <w:pPr>
        <w:pStyle w:val="Heading3"/>
      </w:pPr>
      <w:bookmarkStart w:name="_Toc82159846" w:id="274"/>
      <w:r>
        <w:t>Discussion</w:t>
      </w:r>
      <w:bookmarkEnd w:id="274"/>
    </w:p>
    <w:p w:rsidRPr="00593A8D" w:rsidR="008959A4" w:rsidP="008959A4" w:rsidRDefault="008959A4" w14:paraId="3C18B89A" w14:textId="77777777">
      <w:pPr>
        <w:pStyle w:val="Heading4"/>
        <w:ind w:left="3600" w:hanging="1260"/>
      </w:pPr>
      <w:bookmarkStart w:name="_Toc82159847" w:id="275"/>
      <w:r>
        <w:t>Modifying Restrictions on Ex-Offenders</w:t>
      </w:r>
      <w:r w:rsidRPr="00D242F9">
        <w:t xml:space="preserve">: </w:t>
      </w:r>
      <w:r w:rsidRPr="004D107B">
        <w:rPr>
          <w:u w:val="single"/>
        </w:rPr>
        <w:t xml:space="preserve">Approved </w:t>
      </w:r>
      <w:r>
        <w:rPr>
          <w:u w:val="single"/>
        </w:rPr>
        <w:t>with Modifications</w:t>
      </w:r>
      <w:bookmarkEnd w:id="275"/>
    </w:p>
    <w:p w:rsidRPr="00D90876" w:rsidR="008959A4" w:rsidP="008959A4" w:rsidRDefault="008959A4" w14:paraId="1B6EB7B3" w14:textId="77777777">
      <w:pPr>
        <w:pStyle w:val="ALJBodyText"/>
      </w:pPr>
      <w:r>
        <w:t xml:space="preserve">We approve in part EEC and Free Energy Company’s recommendation and modify the policy related to background checks for the ESA program to be consistent with the current direction for energy efficiency contractors as ordered in D.18-10-008 and corrected in D.19-07-016.  We direct the SMJUs to include the following changes in their agreements with contractors: requiring standard term background checks of third-party employees or representatives who have direct contact with SMJUs facilities or assets, and/or access to customer premises, where an individual’s court record for the seven-year period immediately preceding the individual’s date of hire would be considered. </w:t>
      </w:r>
    </w:p>
    <w:p w:rsidR="008959A4" w:rsidP="008959A4" w:rsidRDefault="008959A4" w14:paraId="018A1A02" w14:textId="020B7AC3">
      <w:pPr>
        <w:pStyle w:val="Heading4"/>
        <w:rPr>
          <w:u w:val="single"/>
        </w:rPr>
      </w:pPr>
      <w:bookmarkStart w:name="_Toc82159848" w:id="276"/>
      <w:r>
        <w:t xml:space="preserve">Financial </w:t>
      </w:r>
      <w:r w:rsidRPr="00FA70D9">
        <w:t xml:space="preserve">Assistance with </w:t>
      </w:r>
      <w:r w:rsidR="00264851">
        <w:br/>
      </w:r>
      <w:r w:rsidRPr="00FA70D9">
        <w:t>Pre-Hiring</w:t>
      </w:r>
      <w:r w:rsidRPr="00D242F9">
        <w:t>:</w:t>
      </w:r>
      <w:r>
        <w:t xml:space="preserve"> </w:t>
      </w:r>
      <w:r w:rsidR="00264851">
        <w:t xml:space="preserve"> </w:t>
      </w:r>
      <w:r>
        <w:rPr>
          <w:u w:val="single"/>
        </w:rPr>
        <w:t>Denied</w:t>
      </w:r>
      <w:bookmarkEnd w:id="276"/>
    </w:p>
    <w:p w:rsidRPr="009D60F0" w:rsidR="008959A4" w:rsidP="008959A4" w:rsidRDefault="008959A4" w14:paraId="2A14793F" w14:textId="77777777">
      <w:pPr>
        <w:pStyle w:val="ALJBodyText"/>
        <w:rPr>
          <w:b/>
          <w:u w:val="single"/>
        </w:rPr>
      </w:pPr>
      <w:r>
        <w:t xml:space="preserve">We deny EEC and </w:t>
      </w:r>
      <w:r w:rsidRPr="0013035F">
        <w:t>Free Energy Savings</w:t>
      </w:r>
      <w:r>
        <w:t xml:space="preserve"> Company</w:t>
      </w:r>
      <w:r w:rsidRPr="0013035F">
        <w:t>’</w:t>
      </w:r>
      <w:r>
        <w:t>s</w:t>
      </w:r>
      <w:r w:rsidRPr="0013035F">
        <w:t xml:space="preserve"> recommendations </w:t>
      </w:r>
      <w:r>
        <w:t>for reimbursement of training and certification fees out of the ESA program budget as this would not be a good use of ratepayer funds</w:t>
      </w:r>
      <w:r w:rsidRPr="0013035F">
        <w:t>, given the low rate of course completion.</w:t>
      </w:r>
    </w:p>
    <w:p w:rsidR="008959A4" w:rsidP="008959A4" w:rsidRDefault="008959A4" w14:paraId="6E7C3A68" w14:textId="77777777">
      <w:pPr>
        <w:pStyle w:val="Heading2"/>
      </w:pPr>
      <w:bookmarkStart w:name="_Toc82159849" w:id="277"/>
      <w:r>
        <w:t>ESA Program Budgets</w:t>
      </w:r>
      <w:bookmarkEnd w:id="277"/>
    </w:p>
    <w:p w:rsidR="008959A4" w:rsidP="008959A4" w:rsidRDefault="008959A4" w14:paraId="2ED988ED" w14:textId="77777777">
      <w:pPr>
        <w:pStyle w:val="Heading3"/>
      </w:pPr>
      <w:bookmarkStart w:name="_Toc82159850" w:id="278"/>
      <w:r>
        <w:t>Background</w:t>
      </w:r>
      <w:bookmarkEnd w:id="278"/>
    </w:p>
    <w:p w:rsidR="008959A4" w:rsidP="008959A4" w:rsidRDefault="008959A4" w14:paraId="6A66C5EF" w14:textId="77777777">
      <w:pPr>
        <w:pStyle w:val="ALJBodyText"/>
      </w:pPr>
      <w:r>
        <w:t>For PYs 2021-2026, the SMJUs were asked to propose budgets that balance a funding level which would achieve deeper energy savings and hardship reductions.  The SMJUs propose the below ESA budgets.</w:t>
      </w:r>
    </w:p>
    <w:p w:rsidR="008959A4" w:rsidP="00BC48EE" w:rsidRDefault="008959A4" w14:paraId="03C459DD" w14:textId="77777777">
      <w:pPr>
        <w:pStyle w:val="ALJBodyText"/>
        <w:keepNext/>
        <w:keepLines/>
        <w:spacing w:line="240" w:lineRule="auto"/>
        <w:ind w:firstLine="0"/>
        <w:jc w:val="center"/>
        <w:rPr>
          <w:b/>
          <w:bCs/>
        </w:rPr>
      </w:pPr>
      <w:r w:rsidRPr="005C5061">
        <w:rPr>
          <w:b/>
          <w:bCs/>
        </w:rPr>
        <w:lastRenderedPageBreak/>
        <w:t xml:space="preserve">Table </w:t>
      </w:r>
      <w:r>
        <w:rPr>
          <w:b/>
          <w:bCs/>
        </w:rPr>
        <w:t>8:  SMJU Proposed ESA Budgets</w:t>
      </w:r>
    </w:p>
    <w:p w:rsidR="008959A4" w:rsidP="00BC48EE" w:rsidRDefault="008959A4" w14:paraId="1EB82650" w14:textId="77777777">
      <w:pPr>
        <w:pStyle w:val="ALJBodyText"/>
        <w:keepNext/>
        <w:keepLines/>
        <w:spacing w:line="240" w:lineRule="auto"/>
        <w:ind w:firstLine="0"/>
        <w:jc w:val="center"/>
        <w:rPr>
          <w:b/>
          <w:bCs/>
        </w:rPr>
      </w:pPr>
    </w:p>
    <w:tbl>
      <w:tblPr>
        <w:tblW w:w="10220" w:type="dxa"/>
        <w:jc w:val="center"/>
        <w:tblLook w:val="04A0" w:firstRow="1" w:lastRow="0" w:firstColumn="1" w:lastColumn="0" w:noHBand="0" w:noVBand="1"/>
      </w:tblPr>
      <w:tblGrid>
        <w:gridCol w:w="1597"/>
        <w:gridCol w:w="1386"/>
        <w:gridCol w:w="1386"/>
        <w:gridCol w:w="1386"/>
        <w:gridCol w:w="1386"/>
        <w:gridCol w:w="1386"/>
        <w:gridCol w:w="1386"/>
        <w:gridCol w:w="1516"/>
        <w:gridCol w:w="222"/>
      </w:tblGrid>
      <w:tr w:rsidRPr="00593A8D" w:rsidR="008959A4" w:rsidTr="00717A84" w14:paraId="50FD7431" w14:textId="77777777">
        <w:trPr>
          <w:gridAfter w:val="1"/>
          <w:wAfter w:w="163" w:type="dxa"/>
          <w:trHeight w:val="239"/>
          <w:jc w:val="center"/>
        </w:trPr>
        <w:tc>
          <w:tcPr>
            <w:tcW w:w="15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19A2994A" w14:textId="77777777">
            <w:pPr>
              <w:keepNext/>
              <w:keepLines/>
              <w:jc w:val="center"/>
              <w:rPr>
                <w:rFonts w:cs="Calibri"/>
                <w:b/>
                <w:bCs/>
                <w:color w:val="000000"/>
                <w:szCs w:val="26"/>
              </w:rPr>
            </w:pPr>
            <w:r w:rsidRPr="00593A8D">
              <w:rPr>
                <w:rFonts w:cs="Calibri"/>
                <w:b/>
                <w:bCs/>
                <w:color w:val="000000"/>
                <w:szCs w:val="26"/>
              </w:rPr>
              <w:t>SMJU</w:t>
            </w:r>
          </w:p>
        </w:tc>
        <w:tc>
          <w:tcPr>
            <w:tcW w:w="8460" w:type="dxa"/>
            <w:gridSpan w:val="7"/>
            <w:tcBorders>
              <w:top w:val="single" w:color="auto" w:sz="4" w:space="0"/>
              <w:left w:val="nil"/>
              <w:bottom w:val="single" w:color="auto" w:sz="4" w:space="0"/>
              <w:right w:val="single" w:color="auto" w:sz="4" w:space="0"/>
            </w:tcBorders>
            <w:shd w:val="clear" w:color="auto" w:fill="auto"/>
            <w:noWrap/>
            <w:vAlign w:val="bottom"/>
            <w:hideMark/>
          </w:tcPr>
          <w:p w:rsidRPr="00593A8D" w:rsidR="008959A4" w:rsidP="00BC48EE" w:rsidRDefault="008959A4" w14:paraId="0DDF77A4" w14:textId="77777777">
            <w:pPr>
              <w:keepNext/>
              <w:keepLines/>
              <w:jc w:val="center"/>
              <w:rPr>
                <w:rFonts w:cs="Calibri"/>
                <w:b/>
                <w:bCs/>
                <w:color w:val="000000"/>
                <w:szCs w:val="26"/>
              </w:rPr>
            </w:pPr>
            <w:r w:rsidRPr="00593A8D">
              <w:rPr>
                <w:rFonts w:cs="Calibri"/>
                <w:b/>
                <w:bCs/>
                <w:color w:val="000000"/>
                <w:szCs w:val="26"/>
              </w:rPr>
              <w:t>Proposed ESA Budgets</w:t>
            </w:r>
          </w:p>
        </w:tc>
      </w:tr>
      <w:tr w:rsidRPr="00593A8D" w:rsidR="008959A4" w:rsidTr="00717A84" w14:paraId="21A4104D" w14:textId="77777777">
        <w:trPr>
          <w:gridAfter w:val="1"/>
          <w:wAfter w:w="165" w:type="dxa"/>
          <w:trHeight w:val="509"/>
          <w:jc w:val="center"/>
        </w:trPr>
        <w:tc>
          <w:tcPr>
            <w:tcW w:w="1597" w:type="dxa"/>
            <w:vMerge/>
            <w:tcBorders>
              <w:top w:val="single" w:color="auto" w:sz="4" w:space="0"/>
              <w:left w:val="single" w:color="auto" w:sz="4" w:space="0"/>
              <w:bottom w:val="single" w:color="auto" w:sz="4" w:space="0"/>
              <w:right w:val="single" w:color="auto" w:sz="4" w:space="0"/>
            </w:tcBorders>
            <w:vAlign w:val="center"/>
            <w:hideMark/>
          </w:tcPr>
          <w:p w:rsidRPr="00593A8D" w:rsidR="008959A4" w:rsidP="00BC48EE" w:rsidRDefault="008959A4" w14:paraId="265F5CAF" w14:textId="77777777">
            <w:pPr>
              <w:keepNext/>
              <w:keepLines/>
              <w:rPr>
                <w:rFonts w:cs="Calibri"/>
                <w:b/>
                <w:bCs/>
                <w:color w:val="000000"/>
                <w:szCs w:val="26"/>
              </w:rPr>
            </w:pPr>
          </w:p>
        </w:tc>
        <w:tc>
          <w:tcPr>
            <w:tcW w:w="1085" w:type="dxa"/>
            <w:vMerge w:val="restart"/>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33737A18" w14:textId="77777777">
            <w:pPr>
              <w:keepNext/>
              <w:keepLines/>
              <w:jc w:val="center"/>
              <w:rPr>
                <w:rFonts w:cs="Calibri"/>
                <w:b/>
                <w:bCs/>
                <w:color w:val="000000"/>
                <w:szCs w:val="26"/>
              </w:rPr>
            </w:pPr>
            <w:r w:rsidRPr="00593A8D">
              <w:rPr>
                <w:rFonts w:cs="Calibri"/>
                <w:b/>
                <w:bCs/>
                <w:color w:val="000000"/>
                <w:szCs w:val="26"/>
              </w:rPr>
              <w:t>2021</w:t>
            </w:r>
          </w:p>
        </w:tc>
        <w:tc>
          <w:tcPr>
            <w:tcW w:w="110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93A8D" w:rsidR="008959A4" w:rsidP="00BC48EE" w:rsidRDefault="008959A4" w14:paraId="701FC05C" w14:textId="77777777">
            <w:pPr>
              <w:keepNext/>
              <w:keepLines/>
              <w:jc w:val="center"/>
              <w:rPr>
                <w:rFonts w:cs="Calibri"/>
                <w:b/>
                <w:bCs/>
                <w:color w:val="000000"/>
                <w:szCs w:val="26"/>
              </w:rPr>
            </w:pPr>
            <w:r w:rsidRPr="00593A8D">
              <w:rPr>
                <w:rFonts w:cs="Calibri"/>
                <w:b/>
                <w:bCs/>
                <w:color w:val="000000"/>
                <w:szCs w:val="26"/>
              </w:rPr>
              <w:t>2022</w:t>
            </w:r>
          </w:p>
        </w:tc>
        <w:tc>
          <w:tcPr>
            <w:tcW w:w="1323"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93A8D" w:rsidR="008959A4" w:rsidP="00BC48EE" w:rsidRDefault="008959A4" w14:paraId="0D237ADE" w14:textId="77777777">
            <w:pPr>
              <w:keepNext/>
              <w:keepLines/>
              <w:jc w:val="center"/>
              <w:rPr>
                <w:rFonts w:cs="Calibri"/>
                <w:b/>
                <w:bCs/>
                <w:color w:val="000000"/>
                <w:szCs w:val="26"/>
              </w:rPr>
            </w:pPr>
            <w:r w:rsidRPr="00593A8D">
              <w:rPr>
                <w:rFonts w:cs="Calibri"/>
                <w:b/>
                <w:bCs/>
                <w:color w:val="000000"/>
                <w:szCs w:val="26"/>
              </w:rPr>
              <w:t>2023</w:t>
            </w:r>
          </w:p>
        </w:tc>
        <w:tc>
          <w:tcPr>
            <w:tcW w:w="1353"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93A8D" w:rsidR="008959A4" w:rsidP="00BC48EE" w:rsidRDefault="008959A4" w14:paraId="252D4A6D" w14:textId="77777777">
            <w:pPr>
              <w:keepNext/>
              <w:keepLines/>
              <w:jc w:val="center"/>
              <w:rPr>
                <w:rFonts w:cs="Calibri"/>
                <w:b/>
                <w:bCs/>
                <w:color w:val="000000"/>
                <w:szCs w:val="26"/>
              </w:rPr>
            </w:pPr>
            <w:r w:rsidRPr="00593A8D">
              <w:rPr>
                <w:rFonts w:cs="Calibri"/>
                <w:b/>
                <w:bCs/>
                <w:color w:val="000000"/>
                <w:szCs w:val="26"/>
              </w:rPr>
              <w:t>2024</w:t>
            </w:r>
          </w:p>
        </w:tc>
        <w:tc>
          <w:tcPr>
            <w:tcW w:w="1323"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93A8D" w:rsidR="008959A4" w:rsidP="00BC48EE" w:rsidRDefault="008959A4" w14:paraId="558CFEC7" w14:textId="77777777">
            <w:pPr>
              <w:keepNext/>
              <w:keepLines/>
              <w:jc w:val="center"/>
              <w:rPr>
                <w:rFonts w:cs="Calibri"/>
                <w:b/>
                <w:bCs/>
                <w:color w:val="000000"/>
                <w:szCs w:val="26"/>
              </w:rPr>
            </w:pPr>
            <w:r w:rsidRPr="00593A8D">
              <w:rPr>
                <w:rFonts w:cs="Calibri"/>
                <w:b/>
                <w:bCs/>
                <w:color w:val="000000"/>
                <w:szCs w:val="26"/>
              </w:rPr>
              <w:t>2025</w:t>
            </w:r>
          </w:p>
        </w:tc>
        <w:tc>
          <w:tcPr>
            <w:tcW w:w="108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93A8D" w:rsidR="008959A4" w:rsidP="00BC48EE" w:rsidRDefault="008959A4" w14:paraId="1D170790" w14:textId="77777777">
            <w:pPr>
              <w:keepNext/>
              <w:keepLines/>
              <w:jc w:val="center"/>
              <w:rPr>
                <w:rFonts w:cs="Calibri"/>
                <w:b/>
                <w:bCs/>
                <w:color w:val="000000"/>
                <w:szCs w:val="26"/>
              </w:rPr>
            </w:pPr>
            <w:r w:rsidRPr="00593A8D">
              <w:rPr>
                <w:rFonts w:cs="Calibri"/>
                <w:b/>
                <w:bCs/>
                <w:color w:val="000000"/>
                <w:szCs w:val="26"/>
              </w:rPr>
              <w:t>2026</w:t>
            </w:r>
          </w:p>
        </w:tc>
        <w:tc>
          <w:tcPr>
            <w:tcW w:w="1189" w:type="dxa"/>
            <w:vMerge w:val="restart"/>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1789EF0A" w14:textId="77777777">
            <w:pPr>
              <w:keepNext/>
              <w:keepLines/>
              <w:jc w:val="center"/>
              <w:rPr>
                <w:rFonts w:cs="Calibri"/>
                <w:b/>
                <w:bCs/>
                <w:color w:val="000000"/>
                <w:szCs w:val="26"/>
              </w:rPr>
            </w:pPr>
            <w:r w:rsidRPr="00593A8D">
              <w:rPr>
                <w:rFonts w:cs="Calibri"/>
                <w:b/>
                <w:bCs/>
                <w:color w:val="000000"/>
                <w:szCs w:val="26"/>
              </w:rPr>
              <w:t>Total</w:t>
            </w:r>
          </w:p>
        </w:tc>
      </w:tr>
      <w:tr w:rsidRPr="00593A8D" w:rsidR="008959A4" w:rsidTr="00717A84" w14:paraId="529DA94E" w14:textId="77777777">
        <w:trPr>
          <w:trHeight w:val="239"/>
          <w:jc w:val="center"/>
        </w:trPr>
        <w:tc>
          <w:tcPr>
            <w:tcW w:w="1597" w:type="dxa"/>
            <w:vMerge/>
            <w:tcBorders>
              <w:top w:val="single" w:color="auto" w:sz="4" w:space="0"/>
              <w:left w:val="single" w:color="auto" w:sz="4" w:space="0"/>
              <w:bottom w:val="single" w:color="auto" w:sz="4" w:space="0"/>
              <w:right w:val="single" w:color="auto" w:sz="4" w:space="0"/>
            </w:tcBorders>
            <w:vAlign w:val="center"/>
            <w:hideMark/>
          </w:tcPr>
          <w:p w:rsidRPr="00593A8D" w:rsidR="008959A4" w:rsidP="00BC48EE" w:rsidRDefault="008959A4" w14:paraId="2E122042" w14:textId="77777777">
            <w:pPr>
              <w:keepNext/>
              <w:keepLines/>
              <w:rPr>
                <w:rFonts w:cs="Calibri"/>
                <w:b/>
                <w:bCs/>
                <w:color w:val="000000"/>
                <w:szCs w:val="26"/>
              </w:rPr>
            </w:pPr>
          </w:p>
        </w:tc>
        <w:tc>
          <w:tcPr>
            <w:tcW w:w="1085"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086C45FE" w14:textId="77777777">
            <w:pPr>
              <w:keepNext/>
              <w:keepLines/>
              <w:rPr>
                <w:rFonts w:cs="Calibri"/>
                <w:b/>
                <w:bCs/>
                <w:color w:val="000000"/>
                <w:szCs w:val="26"/>
              </w:rPr>
            </w:pPr>
          </w:p>
        </w:tc>
        <w:tc>
          <w:tcPr>
            <w:tcW w:w="1100"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3CC5D5B9" w14:textId="77777777">
            <w:pPr>
              <w:keepNext/>
              <w:keepLines/>
              <w:rPr>
                <w:rFonts w:cs="Calibri"/>
                <w:b/>
                <w:bCs/>
                <w:color w:val="000000"/>
                <w:szCs w:val="26"/>
              </w:rPr>
            </w:pPr>
          </w:p>
        </w:tc>
        <w:tc>
          <w:tcPr>
            <w:tcW w:w="1323"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0CA4F9BE" w14:textId="77777777">
            <w:pPr>
              <w:keepNext/>
              <w:keepLines/>
              <w:rPr>
                <w:rFonts w:cs="Calibri"/>
                <w:b/>
                <w:bCs/>
                <w:color w:val="000000"/>
                <w:szCs w:val="26"/>
              </w:rPr>
            </w:pPr>
          </w:p>
        </w:tc>
        <w:tc>
          <w:tcPr>
            <w:tcW w:w="1353"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300DB834" w14:textId="77777777">
            <w:pPr>
              <w:keepNext/>
              <w:keepLines/>
              <w:rPr>
                <w:rFonts w:cs="Calibri"/>
                <w:b/>
                <w:bCs/>
                <w:color w:val="000000"/>
                <w:szCs w:val="26"/>
              </w:rPr>
            </w:pPr>
          </w:p>
        </w:tc>
        <w:tc>
          <w:tcPr>
            <w:tcW w:w="1323"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196075FD" w14:textId="77777777">
            <w:pPr>
              <w:keepNext/>
              <w:keepLines/>
              <w:rPr>
                <w:rFonts w:cs="Calibri"/>
                <w:b/>
                <w:bCs/>
                <w:color w:val="000000"/>
                <w:szCs w:val="26"/>
              </w:rPr>
            </w:pPr>
          </w:p>
        </w:tc>
        <w:tc>
          <w:tcPr>
            <w:tcW w:w="1085"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249B2F3F" w14:textId="77777777">
            <w:pPr>
              <w:keepNext/>
              <w:keepLines/>
              <w:rPr>
                <w:rFonts w:cs="Calibri"/>
                <w:b/>
                <w:bCs/>
                <w:color w:val="000000"/>
                <w:szCs w:val="26"/>
              </w:rPr>
            </w:pPr>
          </w:p>
        </w:tc>
        <w:tc>
          <w:tcPr>
            <w:tcW w:w="1189" w:type="dxa"/>
            <w:vMerge/>
            <w:tcBorders>
              <w:top w:val="nil"/>
              <w:left w:val="single" w:color="auto" w:sz="4" w:space="0"/>
              <w:bottom w:val="single" w:color="auto" w:sz="4" w:space="0"/>
              <w:right w:val="single" w:color="auto" w:sz="4" w:space="0"/>
            </w:tcBorders>
            <w:vAlign w:val="center"/>
            <w:hideMark/>
          </w:tcPr>
          <w:p w:rsidRPr="00593A8D" w:rsidR="008959A4" w:rsidP="00BC48EE" w:rsidRDefault="008959A4" w14:paraId="70705089" w14:textId="77777777">
            <w:pPr>
              <w:keepNext/>
              <w:keepLines/>
              <w:rPr>
                <w:rFonts w:cs="Calibri"/>
                <w:b/>
                <w:bCs/>
                <w:color w:val="000000"/>
                <w:szCs w:val="26"/>
              </w:rPr>
            </w:pPr>
          </w:p>
        </w:tc>
        <w:tc>
          <w:tcPr>
            <w:tcW w:w="165" w:type="dxa"/>
            <w:tcBorders>
              <w:top w:val="nil"/>
              <w:left w:val="nil"/>
              <w:bottom w:val="nil"/>
              <w:right w:val="nil"/>
            </w:tcBorders>
            <w:shd w:val="clear" w:color="auto" w:fill="auto"/>
            <w:noWrap/>
            <w:vAlign w:val="bottom"/>
            <w:hideMark/>
          </w:tcPr>
          <w:p w:rsidRPr="00593A8D" w:rsidR="008959A4" w:rsidP="00BC48EE" w:rsidRDefault="008959A4" w14:paraId="1FCE9101" w14:textId="77777777">
            <w:pPr>
              <w:keepNext/>
              <w:keepLines/>
              <w:jc w:val="center"/>
              <w:rPr>
                <w:rFonts w:cs="Calibri"/>
                <w:b/>
                <w:bCs/>
                <w:color w:val="000000"/>
                <w:szCs w:val="26"/>
              </w:rPr>
            </w:pPr>
          </w:p>
        </w:tc>
      </w:tr>
      <w:tr w:rsidRPr="00593A8D" w:rsidR="008959A4" w:rsidTr="00717A84" w14:paraId="772C7CCA" w14:textId="77777777">
        <w:trPr>
          <w:trHeight w:val="239"/>
          <w:jc w:val="center"/>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0574FC4B" w14:textId="77777777">
            <w:pPr>
              <w:keepNext/>
              <w:keepLines/>
              <w:rPr>
                <w:rFonts w:cs="Calibri"/>
                <w:color w:val="000000"/>
                <w:szCs w:val="26"/>
              </w:rPr>
            </w:pPr>
            <w:r w:rsidRPr="00593A8D">
              <w:rPr>
                <w:rFonts w:cs="Calibri"/>
                <w:color w:val="000000"/>
                <w:szCs w:val="26"/>
              </w:rPr>
              <w:t>Alpine</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3FF6C62" w14:textId="77777777">
            <w:pPr>
              <w:keepNext/>
              <w:keepLines/>
              <w:jc w:val="right"/>
              <w:rPr>
                <w:rFonts w:cs="Calibri"/>
                <w:color w:val="000000"/>
                <w:szCs w:val="26"/>
              </w:rPr>
            </w:pPr>
            <w:r w:rsidRPr="00593A8D">
              <w:rPr>
                <w:rFonts w:cs="Calibri"/>
                <w:color w:val="000000"/>
                <w:szCs w:val="26"/>
              </w:rPr>
              <w:t>$32,500</w:t>
            </w:r>
          </w:p>
        </w:tc>
        <w:tc>
          <w:tcPr>
            <w:tcW w:w="1100"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28EDF313" w14:textId="77777777">
            <w:pPr>
              <w:keepNext/>
              <w:keepLines/>
              <w:jc w:val="right"/>
              <w:rPr>
                <w:rFonts w:cs="Calibri"/>
                <w:color w:val="000000"/>
                <w:szCs w:val="26"/>
              </w:rPr>
            </w:pPr>
            <w:r w:rsidRPr="00593A8D">
              <w:rPr>
                <w:rFonts w:cs="Calibri"/>
                <w:color w:val="000000"/>
                <w:szCs w:val="26"/>
              </w:rPr>
              <w:t>$32,500</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4B92E2F6" w14:textId="77777777">
            <w:pPr>
              <w:keepNext/>
              <w:keepLines/>
              <w:jc w:val="right"/>
              <w:rPr>
                <w:rFonts w:cs="Calibri"/>
                <w:color w:val="000000"/>
                <w:szCs w:val="26"/>
              </w:rPr>
            </w:pPr>
            <w:r w:rsidRPr="00593A8D">
              <w:rPr>
                <w:rFonts w:cs="Calibri"/>
                <w:color w:val="000000"/>
                <w:szCs w:val="26"/>
              </w:rPr>
              <w:t>$32,500</w:t>
            </w:r>
          </w:p>
        </w:tc>
        <w:tc>
          <w:tcPr>
            <w:tcW w:w="135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5D19E702" w14:textId="77777777">
            <w:pPr>
              <w:keepNext/>
              <w:keepLines/>
              <w:jc w:val="right"/>
              <w:rPr>
                <w:rFonts w:cs="Calibri"/>
                <w:color w:val="000000"/>
                <w:szCs w:val="26"/>
              </w:rPr>
            </w:pPr>
            <w:r w:rsidRPr="00593A8D">
              <w:rPr>
                <w:rFonts w:cs="Calibri"/>
                <w:color w:val="000000"/>
                <w:szCs w:val="26"/>
              </w:rPr>
              <w:t>$32,500</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45C02A4B" w14:textId="77777777">
            <w:pPr>
              <w:keepNext/>
              <w:keepLines/>
              <w:jc w:val="right"/>
              <w:rPr>
                <w:rFonts w:cs="Calibri"/>
                <w:color w:val="000000"/>
                <w:szCs w:val="26"/>
              </w:rPr>
            </w:pPr>
            <w:r w:rsidRPr="00593A8D">
              <w:rPr>
                <w:rFonts w:cs="Calibri"/>
                <w:color w:val="000000"/>
                <w:szCs w:val="26"/>
              </w:rPr>
              <w:t>$32,500</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8234EAB" w14:textId="77777777">
            <w:pPr>
              <w:keepNext/>
              <w:keepLines/>
              <w:jc w:val="right"/>
              <w:rPr>
                <w:rFonts w:cs="Calibri"/>
                <w:color w:val="000000"/>
                <w:szCs w:val="26"/>
              </w:rPr>
            </w:pPr>
            <w:r w:rsidRPr="00593A8D">
              <w:rPr>
                <w:rFonts w:cs="Calibri"/>
                <w:color w:val="000000"/>
                <w:szCs w:val="26"/>
              </w:rPr>
              <w:t>$32,500</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7D8DE4A3" w14:textId="77777777">
            <w:pPr>
              <w:keepNext/>
              <w:keepLines/>
              <w:jc w:val="right"/>
              <w:rPr>
                <w:rFonts w:cs="Calibri"/>
                <w:b/>
                <w:bCs/>
                <w:color w:val="000000"/>
                <w:szCs w:val="26"/>
              </w:rPr>
            </w:pPr>
            <w:r w:rsidRPr="00593A8D">
              <w:rPr>
                <w:rFonts w:cs="Calibri"/>
                <w:b/>
                <w:bCs/>
                <w:color w:val="000000"/>
                <w:szCs w:val="26"/>
              </w:rPr>
              <w:t>$195,000</w:t>
            </w:r>
          </w:p>
        </w:tc>
        <w:tc>
          <w:tcPr>
            <w:tcW w:w="165" w:type="dxa"/>
            <w:vAlign w:val="center"/>
            <w:hideMark/>
          </w:tcPr>
          <w:p w:rsidRPr="00593A8D" w:rsidR="008959A4" w:rsidP="00BC48EE" w:rsidRDefault="008959A4" w14:paraId="47893E6B" w14:textId="77777777">
            <w:pPr>
              <w:keepNext/>
              <w:keepLines/>
              <w:rPr>
                <w:szCs w:val="26"/>
              </w:rPr>
            </w:pPr>
          </w:p>
        </w:tc>
      </w:tr>
      <w:tr w:rsidRPr="00593A8D" w:rsidR="008959A4" w:rsidTr="00717A84" w14:paraId="75369019" w14:textId="77777777">
        <w:trPr>
          <w:trHeight w:val="254"/>
          <w:jc w:val="center"/>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00BC3D22" w14:textId="77777777">
            <w:pPr>
              <w:keepNext/>
              <w:keepLines/>
              <w:rPr>
                <w:rFonts w:cs="Calibri"/>
                <w:color w:val="000000"/>
                <w:szCs w:val="26"/>
              </w:rPr>
            </w:pPr>
            <w:r w:rsidRPr="00593A8D">
              <w:rPr>
                <w:rFonts w:cs="Calibri"/>
                <w:color w:val="000000"/>
                <w:szCs w:val="26"/>
              </w:rPr>
              <w:t>Bear Valley</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5081FC9F" w14:textId="77777777">
            <w:pPr>
              <w:keepNext/>
              <w:keepLines/>
              <w:jc w:val="right"/>
              <w:rPr>
                <w:rFonts w:cs="Calibri"/>
                <w:color w:val="000000"/>
                <w:szCs w:val="26"/>
              </w:rPr>
            </w:pPr>
            <w:r w:rsidRPr="00593A8D">
              <w:rPr>
                <w:rFonts w:cs="Calibri"/>
                <w:color w:val="000000"/>
                <w:szCs w:val="26"/>
              </w:rPr>
              <w:t>$137,055</w:t>
            </w:r>
          </w:p>
        </w:tc>
        <w:tc>
          <w:tcPr>
            <w:tcW w:w="1100"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25C52D3E" w14:textId="77777777">
            <w:pPr>
              <w:keepNext/>
              <w:keepLines/>
              <w:jc w:val="right"/>
              <w:rPr>
                <w:rFonts w:cs="Calibri"/>
                <w:color w:val="000000"/>
                <w:szCs w:val="26"/>
              </w:rPr>
            </w:pPr>
            <w:r w:rsidRPr="00593A8D">
              <w:rPr>
                <w:rFonts w:cs="Calibri"/>
                <w:color w:val="000000"/>
                <w:szCs w:val="26"/>
              </w:rPr>
              <w:t>$137,055</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8655B6C" w14:textId="77777777">
            <w:pPr>
              <w:keepNext/>
              <w:keepLines/>
              <w:jc w:val="right"/>
              <w:rPr>
                <w:rFonts w:cs="Calibri"/>
                <w:color w:val="000000"/>
                <w:szCs w:val="26"/>
              </w:rPr>
            </w:pPr>
            <w:r w:rsidRPr="00593A8D">
              <w:rPr>
                <w:rFonts w:cs="Calibri"/>
                <w:color w:val="000000"/>
                <w:szCs w:val="26"/>
              </w:rPr>
              <w:t>$137,055</w:t>
            </w:r>
          </w:p>
        </w:tc>
        <w:tc>
          <w:tcPr>
            <w:tcW w:w="135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0371050C" w14:textId="77777777">
            <w:pPr>
              <w:keepNext/>
              <w:keepLines/>
              <w:jc w:val="right"/>
              <w:rPr>
                <w:rFonts w:cs="Calibri"/>
                <w:color w:val="000000"/>
                <w:szCs w:val="26"/>
              </w:rPr>
            </w:pPr>
            <w:r w:rsidRPr="00593A8D">
              <w:rPr>
                <w:rFonts w:cs="Calibri"/>
                <w:color w:val="000000"/>
                <w:szCs w:val="26"/>
              </w:rPr>
              <w:t>$137,055</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21DB436D" w14:textId="77777777">
            <w:pPr>
              <w:keepNext/>
              <w:keepLines/>
              <w:jc w:val="right"/>
              <w:rPr>
                <w:rFonts w:cs="Calibri"/>
                <w:color w:val="000000"/>
                <w:szCs w:val="26"/>
              </w:rPr>
            </w:pPr>
            <w:r w:rsidRPr="00593A8D">
              <w:rPr>
                <w:rFonts w:cs="Calibri"/>
                <w:color w:val="000000"/>
                <w:szCs w:val="26"/>
              </w:rPr>
              <w:t>$137,055</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3B66A8F" w14:textId="77777777">
            <w:pPr>
              <w:keepNext/>
              <w:keepLines/>
              <w:jc w:val="right"/>
              <w:rPr>
                <w:rFonts w:cs="Calibri"/>
                <w:color w:val="000000"/>
                <w:szCs w:val="26"/>
              </w:rPr>
            </w:pPr>
            <w:r w:rsidRPr="00593A8D">
              <w:rPr>
                <w:rFonts w:cs="Calibri"/>
                <w:color w:val="000000"/>
                <w:szCs w:val="26"/>
              </w:rPr>
              <w:t>$137,055</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3822F878" w14:textId="77777777">
            <w:pPr>
              <w:keepNext/>
              <w:keepLines/>
              <w:jc w:val="right"/>
              <w:rPr>
                <w:rFonts w:cs="Calibri"/>
                <w:b/>
                <w:bCs/>
                <w:color w:val="000000"/>
                <w:szCs w:val="26"/>
              </w:rPr>
            </w:pPr>
            <w:r w:rsidRPr="00593A8D">
              <w:rPr>
                <w:rFonts w:cs="Calibri"/>
                <w:b/>
                <w:bCs/>
                <w:color w:val="000000"/>
                <w:szCs w:val="26"/>
              </w:rPr>
              <w:t>$822,330</w:t>
            </w:r>
          </w:p>
        </w:tc>
        <w:tc>
          <w:tcPr>
            <w:tcW w:w="165" w:type="dxa"/>
            <w:vAlign w:val="center"/>
            <w:hideMark/>
          </w:tcPr>
          <w:p w:rsidRPr="00593A8D" w:rsidR="008959A4" w:rsidP="00BC48EE" w:rsidRDefault="008959A4" w14:paraId="30A2EBA3" w14:textId="77777777">
            <w:pPr>
              <w:keepNext/>
              <w:keepLines/>
              <w:rPr>
                <w:szCs w:val="26"/>
              </w:rPr>
            </w:pPr>
          </w:p>
        </w:tc>
      </w:tr>
      <w:tr w:rsidRPr="00593A8D" w:rsidR="008959A4" w:rsidTr="00717A84" w14:paraId="24979773" w14:textId="77777777">
        <w:trPr>
          <w:trHeight w:val="254"/>
          <w:jc w:val="center"/>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4942FEA6" w14:textId="77777777">
            <w:pPr>
              <w:keepNext/>
              <w:keepLines/>
              <w:rPr>
                <w:rFonts w:cs="Calibri"/>
                <w:color w:val="000000"/>
                <w:szCs w:val="26"/>
              </w:rPr>
            </w:pPr>
            <w:r w:rsidRPr="00593A8D">
              <w:rPr>
                <w:rFonts w:cs="Calibri"/>
                <w:color w:val="000000"/>
                <w:szCs w:val="26"/>
              </w:rPr>
              <w:t>Liberty</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2A3011FA" w14:textId="77777777">
            <w:pPr>
              <w:keepNext/>
              <w:keepLines/>
              <w:jc w:val="right"/>
              <w:rPr>
                <w:rFonts w:cs="Calibri"/>
                <w:color w:val="000000"/>
                <w:szCs w:val="26"/>
              </w:rPr>
            </w:pPr>
            <w:r w:rsidRPr="00593A8D">
              <w:rPr>
                <w:rFonts w:cs="Calibri"/>
                <w:color w:val="000000"/>
                <w:szCs w:val="26"/>
              </w:rPr>
              <w:t>$388,927</w:t>
            </w:r>
          </w:p>
        </w:tc>
        <w:tc>
          <w:tcPr>
            <w:tcW w:w="1100"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12E7E56" w14:textId="77777777">
            <w:pPr>
              <w:keepNext/>
              <w:keepLines/>
              <w:jc w:val="right"/>
              <w:rPr>
                <w:rFonts w:cs="Calibri"/>
                <w:color w:val="000000"/>
                <w:szCs w:val="26"/>
              </w:rPr>
            </w:pPr>
            <w:r w:rsidRPr="00593A8D">
              <w:rPr>
                <w:rFonts w:cs="Calibri"/>
                <w:color w:val="000000"/>
                <w:szCs w:val="26"/>
              </w:rPr>
              <w:t>$396,705</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3FB16CE7" w14:textId="77777777">
            <w:pPr>
              <w:keepNext/>
              <w:keepLines/>
              <w:jc w:val="right"/>
              <w:rPr>
                <w:rFonts w:cs="Calibri"/>
                <w:color w:val="000000"/>
                <w:szCs w:val="26"/>
              </w:rPr>
            </w:pPr>
            <w:r w:rsidRPr="00593A8D">
              <w:rPr>
                <w:rFonts w:cs="Calibri"/>
                <w:color w:val="000000"/>
                <w:szCs w:val="26"/>
              </w:rPr>
              <w:t>$458,687</w:t>
            </w:r>
          </w:p>
        </w:tc>
        <w:tc>
          <w:tcPr>
            <w:tcW w:w="135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4ABB496" w14:textId="77777777">
            <w:pPr>
              <w:keepNext/>
              <w:keepLines/>
              <w:jc w:val="right"/>
              <w:rPr>
                <w:rFonts w:cs="Calibri"/>
                <w:color w:val="000000"/>
                <w:szCs w:val="26"/>
              </w:rPr>
            </w:pPr>
            <w:r w:rsidRPr="00593A8D">
              <w:rPr>
                <w:rFonts w:cs="Calibri"/>
                <w:color w:val="000000"/>
                <w:szCs w:val="26"/>
              </w:rPr>
              <w:t>$467,580</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A3B89BA" w14:textId="77777777">
            <w:pPr>
              <w:keepNext/>
              <w:keepLines/>
              <w:jc w:val="right"/>
              <w:rPr>
                <w:rFonts w:cs="Calibri"/>
                <w:color w:val="000000"/>
                <w:szCs w:val="26"/>
              </w:rPr>
            </w:pPr>
            <w:r w:rsidRPr="00593A8D">
              <w:rPr>
                <w:rFonts w:cs="Calibri"/>
                <w:color w:val="000000"/>
                <w:szCs w:val="26"/>
              </w:rPr>
              <w:t>$476,511</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91F76FD" w14:textId="77777777">
            <w:pPr>
              <w:keepNext/>
              <w:keepLines/>
              <w:jc w:val="right"/>
              <w:rPr>
                <w:rFonts w:cs="Calibri"/>
                <w:color w:val="000000"/>
                <w:szCs w:val="26"/>
              </w:rPr>
            </w:pPr>
            <w:r w:rsidRPr="00593A8D">
              <w:rPr>
                <w:rFonts w:cs="Calibri"/>
                <w:color w:val="000000"/>
                <w:szCs w:val="26"/>
              </w:rPr>
              <w:t>$485,479</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4724C09F" w14:textId="77777777">
            <w:pPr>
              <w:keepNext/>
              <w:keepLines/>
              <w:jc w:val="right"/>
              <w:rPr>
                <w:rFonts w:cs="Calibri"/>
                <w:b/>
                <w:bCs/>
                <w:color w:val="000000"/>
                <w:szCs w:val="26"/>
              </w:rPr>
            </w:pPr>
            <w:r w:rsidRPr="00593A8D">
              <w:rPr>
                <w:rFonts w:cs="Calibri"/>
                <w:b/>
                <w:bCs/>
                <w:color w:val="000000"/>
                <w:szCs w:val="26"/>
              </w:rPr>
              <w:t>$2,673,889</w:t>
            </w:r>
          </w:p>
        </w:tc>
        <w:tc>
          <w:tcPr>
            <w:tcW w:w="165" w:type="dxa"/>
            <w:vAlign w:val="center"/>
            <w:hideMark/>
          </w:tcPr>
          <w:p w:rsidRPr="00593A8D" w:rsidR="008959A4" w:rsidP="00BC48EE" w:rsidRDefault="008959A4" w14:paraId="67FE5F36" w14:textId="77777777">
            <w:pPr>
              <w:keepNext/>
              <w:keepLines/>
              <w:rPr>
                <w:szCs w:val="26"/>
              </w:rPr>
            </w:pPr>
          </w:p>
        </w:tc>
      </w:tr>
      <w:tr w:rsidRPr="00593A8D" w:rsidR="008959A4" w:rsidTr="00717A84" w14:paraId="6D763B6F" w14:textId="77777777">
        <w:trPr>
          <w:trHeight w:val="254"/>
          <w:jc w:val="center"/>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6699E1C7" w14:textId="77777777">
            <w:pPr>
              <w:keepNext/>
              <w:keepLines/>
              <w:rPr>
                <w:rFonts w:cs="Calibri"/>
                <w:color w:val="000000"/>
                <w:szCs w:val="26"/>
              </w:rPr>
            </w:pPr>
            <w:r w:rsidRPr="00593A8D">
              <w:rPr>
                <w:rFonts w:cs="Calibri"/>
                <w:color w:val="000000"/>
                <w:szCs w:val="26"/>
              </w:rPr>
              <w:t>PacifiCorp</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387788AD" w14:textId="77777777">
            <w:pPr>
              <w:keepNext/>
              <w:keepLines/>
              <w:jc w:val="right"/>
              <w:rPr>
                <w:rFonts w:cs="Calibri"/>
                <w:color w:val="000000"/>
                <w:szCs w:val="26"/>
              </w:rPr>
            </w:pPr>
            <w:r w:rsidRPr="00593A8D">
              <w:rPr>
                <w:rFonts w:cs="Calibri"/>
                <w:color w:val="000000"/>
                <w:szCs w:val="26"/>
              </w:rPr>
              <w:t>$770,140</w:t>
            </w:r>
          </w:p>
        </w:tc>
        <w:tc>
          <w:tcPr>
            <w:tcW w:w="1100"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5CC33893" w14:textId="77777777">
            <w:pPr>
              <w:keepNext/>
              <w:keepLines/>
              <w:jc w:val="right"/>
              <w:rPr>
                <w:rFonts w:cs="Calibri"/>
                <w:color w:val="000000"/>
                <w:szCs w:val="26"/>
              </w:rPr>
            </w:pPr>
            <w:r w:rsidRPr="00593A8D">
              <w:rPr>
                <w:rFonts w:cs="Calibri"/>
                <w:color w:val="000000"/>
                <w:szCs w:val="26"/>
              </w:rPr>
              <w:t>$743,709</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485E568A" w14:textId="77777777">
            <w:pPr>
              <w:keepNext/>
              <w:keepLines/>
              <w:jc w:val="right"/>
              <w:rPr>
                <w:rFonts w:cs="Calibri"/>
                <w:color w:val="000000"/>
                <w:szCs w:val="26"/>
              </w:rPr>
            </w:pPr>
            <w:r w:rsidRPr="00593A8D">
              <w:rPr>
                <w:rFonts w:cs="Calibri"/>
                <w:color w:val="000000"/>
                <w:szCs w:val="26"/>
              </w:rPr>
              <w:t>$809,360</w:t>
            </w:r>
          </w:p>
        </w:tc>
        <w:tc>
          <w:tcPr>
            <w:tcW w:w="135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662ABEA0" w14:textId="77777777">
            <w:pPr>
              <w:keepNext/>
              <w:keepLines/>
              <w:jc w:val="right"/>
              <w:rPr>
                <w:rFonts w:cs="Calibri"/>
                <w:color w:val="000000"/>
                <w:szCs w:val="26"/>
              </w:rPr>
            </w:pPr>
            <w:r w:rsidRPr="00593A8D">
              <w:rPr>
                <w:rFonts w:cs="Calibri"/>
                <w:color w:val="000000"/>
                <w:szCs w:val="26"/>
              </w:rPr>
              <w:t>$851,345</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0DFFFCE" w14:textId="77777777">
            <w:pPr>
              <w:keepNext/>
              <w:keepLines/>
              <w:jc w:val="right"/>
              <w:rPr>
                <w:rFonts w:cs="Calibri"/>
                <w:color w:val="000000"/>
                <w:szCs w:val="26"/>
              </w:rPr>
            </w:pPr>
            <w:r w:rsidRPr="00593A8D">
              <w:rPr>
                <w:rFonts w:cs="Calibri"/>
                <w:color w:val="000000"/>
                <w:szCs w:val="26"/>
              </w:rPr>
              <w:t>$888,506</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C654917" w14:textId="77777777">
            <w:pPr>
              <w:keepNext/>
              <w:keepLines/>
              <w:jc w:val="right"/>
              <w:rPr>
                <w:rFonts w:cs="Calibri"/>
                <w:color w:val="000000"/>
                <w:szCs w:val="26"/>
              </w:rPr>
            </w:pPr>
            <w:r w:rsidRPr="00593A8D">
              <w:rPr>
                <w:rFonts w:cs="Calibri"/>
                <w:color w:val="000000"/>
                <w:szCs w:val="26"/>
              </w:rPr>
              <w:t>$933,141</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54B1ED97" w14:textId="77777777">
            <w:pPr>
              <w:keepNext/>
              <w:keepLines/>
              <w:jc w:val="right"/>
              <w:rPr>
                <w:rFonts w:cs="Calibri"/>
                <w:b/>
                <w:bCs/>
                <w:color w:val="000000"/>
                <w:szCs w:val="26"/>
              </w:rPr>
            </w:pPr>
            <w:r w:rsidRPr="00593A8D">
              <w:rPr>
                <w:rFonts w:cs="Calibri"/>
                <w:b/>
                <w:bCs/>
                <w:color w:val="000000"/>
                <w:szCs w:val="26"/>
              </w:rPr>
              <w:t>$4,996,201</w:t>
            </w:r>
          </w:p>
        </w:tc>
        <w:tc>
          <w:tcPr>
            <w:tcW w:w="165" w:type="dxa"/>
            <w:vAlign w:val="center"/>
            <w:hideMark/>
          </w:tcPr>
          <w:p w:rsidRPr="00593A8D" w:rsidR="008959A4" w:rsidP="00BC48EE" w:rsidRDefault="008959A4" w14:paraId="48F4ABF9" w14:textId="77777777">
            <w:pPr>
              <w:keepNext/>
              <w:keepLines/>
              <w:rPr>
                <w:szCs w:val="26"/>
              </w:rPr>
            </w:pPr>
          </w:p>
        </w:tc>
      </w:tr>
      <w:tr w:rsidRPr="00593A8D" w:rsidR="008959A4" w:rsidTr="00717A84" w14:paraId="722BBFAA" w14:textId="77777777">
        <w:trPr>
          <w:trHeight w:val="254"/>
          <w:jc w:val="center"/>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593A8D" w:rsidR="008959A4" w:rsidP="00BC48EE" w:rsidRDefault="008959A4" w14:paraId="6BD2F234" w14:textId="77777777">
            <w:pPr>
              <w:keepNext/>
              <w:keepLines/>
              <w:rPr>
                <w:rFonts w:cs="Calibri"/>
                <w:color w:val="000000"/>
                <w:szCs w:val="26"/>
              </w:rPr>
            </w:pPr>
            <w:r w:rsidRPr="00593A8D">
              <w:rPr>
                <w:rFonts w:cs="Calibri"/>
                <w:color w:val="000000"/>
                <w:szCs w:val="26"/>
              </w:rPr>
              <w:t>Southwest Gas</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16A2AFDA" w14:textId="77777777">
            <w:pPr>
              <w:keepNext/>
              <w:keepLines/>
              <w:jc w:val="right"/>
              <w:rPr>
                <w:rFonts w:cs="Calibri"/>
                <w:color w:val="000000"/>
                <w:szCs w:val="26"/>
              </w:rPr>
            </w:pPr>
            <w:r w:rsidRPr="00593A8D">
              <w:rPr>
                <w:rFonts w:cs="Calibri"/>
                <w:color w:val="000000"/>
                <w:szCs w:val="26"/>
              </w:rPr>
              <w:t>$5,577,452</w:t>
            </w:r>
          </w:p>
        </w:tc>
        <w:tc>
          <w:tcPr>
            <w:tcW w:w="1100"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7A40F484" w14:textId="77777777">
            <w:pPr>
              <w:keepNext/>
              <w:keepLines/>
              <w:jc w:val="right"/>
              <w:rPr>
                <w:rFonts w:cs="Calibri"/>
                <w:color w:val="000000"/>
                <w:szCs w:val="26"/>
              </w:rPr>
            </w:pPr>
            <w:r w:rsidRPr="00593A8D">
              <w:rPr>
                <w:rFonts w:cs="Calibri"/>
                <w:color w:val="000000"/>
                <w:szCs w:val="26"/>
              </w:rPr>
              <w:t>$5,689,410</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28F1603E" w14:textId="77777777">
            <w:pPr>
              <w:keepNext/>
              <w:keepLines/>
              <w:jc w:val="right"/>
              <w:rPr>
                <w:rFonts w:cs="Calibri"/>
                <w:color w:val="000000"/>
                <w:szCs w:val="26"/>
              </w:rPr>
            </w:pPr>
            <w:r w:rsidRPr="00593A8D">
              <w:rPr>
                <w:rFonts w:cs="Calibri"/>
                <w:color w:val="000000"/>
                <w:szCs w:val="26"/>
              </w:rPr>
              <w:t>$5,799,142</w:t>
            </w:r>
          </w:p>
        </w:tc>
        <w:tc>
          <w:tcPr>
            <w:tcW w:w="135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4F0600C4" w14:textId="77777777">
            <w:pPr>
              <w:keepNext/>
              <w:keepLines/>
              <w:jc w:val="right"/>
              <w:rPr>
                <w:rFonts w:cs="Calibri"/>
                <w:color w:val="000000"/>
                <w:szCs w:val="26"/>
              </w:rPr>
            </w:pPr>
            <w:r w:rsidRPr="00593A8D">
              <w:rPr>
                <w:rFonts w:cs="Calibri"/>
                <w:color w:val="000000"/>
                <w:szCs w:val="26"/>
              </w:rPr>
              <w:t>$5,917,365</w:t>
            </w:r>
          </w:p>
        </w:tc>
        <w:tc>
          <w:tcPr>
            <w:tcW w:w="1323"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34583BAA" w14:textId="77777777">
            <w:pPr>
              <w:keepNext/>
              <w:keepLines/>
              <w:jc w:val="right"/>
              <w:rPr>
                <w:rFonts w:cs="Calibri"/>
                <w:color w:val="000000"/>
                <w:szCs w:val="26"/>
              </w:rPr>
            </w:pPr>
            <w:r w:rsidRPr="00593A8D">
              <w:rPr>
                <w:rFonts w:cs="Calibri"/>
                <w:color w:val="000000"/>
                <w:szCs w:val="26"/>
              </w:rPr>
              <w:t>$6,033,570</w:t>
            </w:r>
          </w:p>
        </w:tc>
        <w:tc>
          <w:tcPr>
            <w:tcW w:w="1085" w:type="dxa"/>
            <w:tcBorders>
              <w:top w:val="nil"/>
              <w:left w:val="nil"/>
              <w:bottom w:val="single" w:color="auto" w:sz="4" w:space="0"/>
              <w:right w:val="single" w:color="auto" w:sz="4" w:space="0"/>
            </w:tcBorders>
            <w:shd w:val="clear" w:color="auto" w:fill="auto"/>
            <w:vAlign w:val="bottom"/>
            <w:hideMark/>
          </w:tcPr>
          <w:p w:rsidRPr="00593A8D" w:rsidR="008959A4" w:rsidP="00BC48EE" w:rsidRDefault="008959A4" w14:paraId="37F5C824" w14:textId="77777777">
            <w:pPr>
              <w:keepNext/>
              <w:keepLines/>
              <w:jc w:val="right"/>
              <w:rPr>
                <w:rFonts w:cs="Calibri"/>
                <w:color w:val="000000"/>
                <w:szCs w:val="26"/>
              </w:rPr>
            </w:pPr>
            <w:r w:rsidRPr="00593A8D">
              <w:rPr>
                <w:rFonts w:cs="Calibri"/>
                <w:color w:val="000000"/>
                <w:szCs w:val="26"/>
              </w:rPr>
              <w:t>$6,158,092</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6B0BEFAE" w14:textId="77777777">
            <w:pPr>
              <w:keepNext/>
              <w:keepLines/>
              <w:jc w:val="right"/>
              <w:rPr>
                <w:rFonts w:cs="Calibri"/>
                <w:b/>
                <w:bCs/>
                <w:color w:val="000000"/>
                <w:szCs w:val="26"/>
              </w:rPr>
            </w:pPr>
            <w:r w:rsidRPr="00593A8D">
              <w:rPr>
                <w:rFonts w:cs="Calibri"/>
                <w:b/>
                <w:bCs/>
                <w:color w:val="000000"/>
                <w:szCs w:val="26"/>
              </w:rPr>
              <w:t>$35,175,031</w:t>
            </w:r>
          </w:p>
        </w:tc>
        <w:tc>
          <w:tcPr>
            <w:tcW w:w="165" w:type="dxa"/>
            <w:vAlign w:val="center"/>
            <w:hideMark/>
          </w:tcPr>
          <w:p w:rsidRPr="00593A8D" w:rsidR="008959A4" w:rsidP="00BC48EE" w:rsidRDefault="008959A4" w14:paraId="43F6E7E9" w14:textId="77777777">
            <w:pPr>
              <w:keepNext/>
              <w:keepLines/>
              <w:rPr>
                <w:szCs w:val="26"/>
              </w:rPr>
            </w:pPr>
          </w:p>
        </w:tc>
      </w:tr>
      <w:tr w:rsidRPr="00593A8D" w:rsidR="008959A4" w:rsidTr="00717A84" w14:paraId="0A342087" w14:textId="77777777">
        <w:trPr>
          <w:trHeight w:val="239"/>
          <w:jc w:val="center"/>
        </w:trPr>
        <w:tc>
          <w:tcPr>
            <w:tcW w:w="1597" w:type="dxa"/>
            <w:tcBorders>
              <w:top w:val="nil"/>
              <w:left w:val="single" w:color="auto" w:sz="4" w:space="0"/>
              <w:bottom w:val="single" w:color="auto" w:sz="4" w:space="0"/>
              <w:right w:val="single" w:color="auto" w:sz="4" w:space="0"/>
            </w:tcBorders>
            <w:shd w:val="clear" w:color="auto" w:fill="auto"/>
            <w:noWrap/>
            <w:vAlign w:val="bottom"/>
            <w:hideMark/>
          </w:tcPr>
          <w:p w:rsidRPr="00593A8D" w:rsidR="008959A4" w:rsidP="00BC48EE" w:rsidRDefault="008959A4" w14:paraId="1364DDCA" w14:textId="77777777">
            <w:pPr>
              <w:keepNext/>
              <w:keepLines/>
              <w:rPr>
                <w:rFonts w:cs="Calibri"/>
                <w:b/>
                <w:bCs/>
                <w:color w:val="000000"/>
                <w:szCs w:val="26"/>
              </w:rPr>
            </w:pPr>
            <w:r w:rsidRPr="00593A8D">
              <w:rPr>
                <w:rFonts w:cs="Calibri"/>
                <w:b/>
                <w:bCs/>
                <w:color w:val="000000"/>
                <w:szCs w:val="26"/>
              </w:rPr>
              <w:t>Total</w:t>
            </w:r>
          </w:p>
        </w:tc>
        <w:tc>
          <w:tcPr>
            <w:tcW w:w="1085"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1F9D39C5" w14:textId="77777777">
            <w:pPr>
              <w:keepNext/>
              <w:keepLines/>
              <w:jc w:val="right"/>
              <w:rPr>
                <w:rFonts w:cs="Calibri"/>
                <w:b/>
                <w:bCs/>
                <w:color w:val="000000"/>
                <w:szCs w:val="26"/>
              </w:rPr>
            </w:pPr>
            <w:r w:rsidRPr="00593A8D">
              <w:rPr>
                <w:rFonts w:cs="Calibri"/>
                <w:b/>
                <w:bCs/>
                <w:color w:val="000000"/>
                <w:szCs w:val="26"/>
              </w:rPr>
              <w:t>$6,906,074</w:t>
            </w:r>
          </w:p>
        </w:tc>
        <w:tc>
          <w:tcPr>
            <w:tcW w:w="1100"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6DBDF48F" w14:textId="77777777">
            <w:pPr>
              <w:keepNext/>
              <w:keepLines/>
              <w:jc w:val="right"/>
              <w:rPr>
                <w:rFonts w:cs="Calibri"/>
                <w:b/>
                <w:bCs/>
                <w:color w:val="000000"/>
                <w:szCs w:val="26"/>
              </w:rPr>
            </w:pPr>
            <w:r w:rsidRPr="00593A8D">
              <w:rPr>
                <w:rFonts w:cs="Calibri"/>
                <w:b/>
                <w:bCs/>
                <w:color w:val="000000"/>
                <w:szCs w:val="26"/>
              </w:rPr>
              <w:t>$6,999,379</w:t>
            </w:r>
          </w:p>
        </w:tc>
        <w:tc>
          <w:tcPr>
            <w:tcW w:w="1323"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2B5C026B" w14:textId="77777777">
            <w:pPr>
              <w:keepNext/>
              <w:keepLines/>
              <w:jc w:val="right"/>
              <w:rPr>
                <w:rFonts w:cs="Calibri"/>
                <w:b/>
                <w:bCs/>
                <w:color w:val="000000"/>
                <w:szCs w:val="26"/>
              </w:rPr>
            </w:pPr>
            <w:r w:rsidRPr="00593A8D">
              <w:rPr>
                <w:rFonts w:cs="Calibri"/>
                <w:b/>
                <w:bCs/>
                <w:color w:val="000000"/>
                <w:szCs w:val="26"/>
              </w:rPr>
              <w:t>$7,236,744</w:t>
            </w:r>
          </w:p>
        </w:tc>
        <w:tc>
          <w:tcPr>
            <w:tcW w:w="1353"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03D58F14" w14:textId="77777777">
            <w:pPr>
              <w:keepNext/>
              <w:keepLines/>
              <w:jc w:val="right"/>
              <w:rPr>
                <w:rFonts w:cs="Calibri"/>
                <w:b/>
                <w:bCs/>
                <w:color w:val="000000"/>
                <w:szCs w:val="26"/>
              </w:rPr>
            </w:pPr>
            <w:r w:rsidRPr="00593A8D">
              <w:rPr>
                <w:rFonts w:cs="Calibri"/>
                <w:b/>
                <w:bCs/>
                <w:color w:val="000000"/>
                <w:szCs w:val="26"/>
              </w:rPr>
              <w:t>$7,405,845</w:t>
            </w:r>
          </w:p>
        </w:tc>
        <w:tc>
          <w:tcPr>
            <w:tcW w:w="1323"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32DE9B54" w14:textId="77777777">
            <w:pPr>
              <w:keepNext/>
              <w:keepLines/>
              <w:jc w:val="right"/>
              <w:rPr>
                <w:rFonts w:cs="Calibri"/>
                <w:b/>
                <w:bCs/>
                <w:color w:val="000000"/>
                <w:szCs w:val="26"/>
              </w:rPr>
            </w:pPr>
            <w:r w:rsidRPr="00593A8D">
              <w:rPr>
                <w:rFonts w:cs="Calibri"/>
                <w:b/>
                <w:bCs/>
                <w:color w:val="000000"/>
                <w:szCs w:val="26"/>
              </w:rPr>
              <w:t>$7,568,142</w:t>
            </w:r>
          </w:p>
        </w:tc>
        <w:tc>
          <w:tcPr>
            <w:tcW w:w="1085"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20F9ADAC" w14:textId="77777777">
            <w:pPr>
              <w:keepNext/>
              <w:keepLines/>
              <w:jc w:val="right"/>
              <w:rPr>
                <w:rFonts w:cs="Calibri"/>
                <w:b/>
                <w:bCs/>
                <w:color w:val="000000"/>
                <w:szCs w:val="26"/>
              </w:rPr>
            </w:pPr>
            <w:r w:rsidRPr="00593A8D">
              <w:rPr>
                <w:rFonts w:cs="Calibri"/>
                <w:b/>
                <w:bCs/>
                <w:color w:val="000000"/>
                <w:szCs w:val="26"/>
              </w:rPr>
              <w:t>$7,746,267</w:t>
            </w:r>
          </w:p>
        </w:tc>
        <w:tc>
          <w:tcPr>
            <w:tcW w:w="1189" w:type="dxa"/>
            <w:tcBorders>
              <w:top w:val="nil"/>
              <w:left w:val="nil"/>
              <w:bottom w:val="single" w:color="auto" w:sz="4" w:space="0"/>
              <w:right w:val="single" w:color="auto" w:sz="4" w:space="0"/>
            </w:tcBorders>
            <w:shd w:val="clear" w:color="auto" w:fill="auto"/>
            <w:noWrap/>
            <w:vAlign w:val="bottom"/>
            <w:hideMark/>
          </w:tcPr>
          <w:p w:rsidRPr="00593A8D" w:rsidR="008959A4" w:rsidP="00BC48EE" w:rsidRDefault="008959A4" w14:paraId="25887641" w14:textId="77777777">
            <w:pPr>
              <w:keepNext/>
              <w:keepLines/>
              <w:jc w:val="right"/>
              <w:rPr>
                <w:rFonts w:cs="Calibri"/>
                <w:b/>
                <w:bCs/>
                <w:color w:val="000000"/>
                <w:szCs w:val="26"/>
              </w:rPr>
            </w:pPr>
            <w:r w:rsidRPr="00593A8D">
              <w:rPr>
                <w:rFonts w:cs="Calibri"/>
                <w:b/>
                <w:bCs/>
                <w:color w:val="000000"/>
                <w:szCs w:val="26"/>
              </w:rPr>
              <w:t>$43,862,451</w:t>
            </w:r>
          </w:p>
        </w:tc>
        <w:tc>
          <w:tcPr>
            <w:tcW w:w="165" w:type="dxa"/>
            <w:vAlign w:val="center"/>
            <w:hideMark/>
          </w:tcPr>
          <w:p w:rsidRPr="00593A8D" w:rsidR="008959A4" w:rsidP="00BC48EE" w:rsidRDefault="008959A4" w14:paraId="7F2D5C1F" w14:textId="77777777">
            <w:pPr>
              <w:keepNext/>
              <w:keepLines/>
              <w:rPr>
                <w:szCs w:val="26"/>
              </w:rPr>
            </w:pPr>
          </w:p>
        </w:tc>
      </w:tr>
    </w:tbl>
    <w:p w:rsidRPr="00593A8D" w:rsidR="008959A4" w:rsidP="008959A4" w:rsidRDefault="008959A4" w14:paraId="0CD099E9" w14:textId="77777777">
      <w:pPr>
        <w:pStyle w:val="ALJBodyText"/>
        <w:keepNext/>
        <w:keepLines/>
        <w:spacing w:line="240" w:lineRule="auto"/>
        <w:ind w:left="360"/>
        <w:jc w:val="center"/>
        <w:rPr>
          <w:b/>
          <w:bCs/>
          <w:szCs w:val="26"/>
        </w:rPr>
      </w:pPr>
    </w:p>
    <w:p w:rsidRPr="0045641C" w:rsidR="008959A4" w:rsidP="008959A4" w:rsidRDefault="008959A4" w14:paraId="39AD4255" w14:textId="77777777">
      <w:pPr>
        <w:pStyle w:val="ALJBodyText"/>
      </w:pPr>
      <w:r>
        <w:t>For comparison, Table 9 provides a summary of the average annual budgets authorized for PYs 2017-2020,</w:t>
      </w:r>
      <w:r>
        <w:rPr>
          <w:rStyle w:val="FootnoteReference"/>
        </w:rPr>
        <w:footnoteReference w:id="216"/>
      </w:r>
      <w:r>
        <w:t xml:space="preserve"> spent for PYs 2017-2020, and proposed for PYs 2021-2026 by SMJU.</w:t>
      </w:r>
    </w:p>
    <w:p w:rsidR="008959A4" w:rsidP="008959A4" w:rsidRDefault="008959A4" w14:paraId="46D683AE" w14:textId="77777777">
      <w:pPr>
        <w:pStyle w:val="ALJBodyText"/>
        <w:keepNext/>
        <w:keepLines/>
        <w:spacing w:line="240" w:lineRule="auto"/>
        <w:ind w:firstLine="0"/>
        <w:jc w:val="center"/>
        <w:rPr>
          <w:b/>
          <w:bCs/>
        </w:rPr>
      </w:pPr>
      <w:r>
        <w:rPr>
          <w:b/>
          <w:bCs/>
        </w:rPr>
        <w:t xml:space="preserve">Table 9:  </w:t>
      </w:r>
      <w:r w:rsidRPr="005C5061">
        <w:rPr>
          <w:b/>
          <w:bCs/>
        </w:rPr>
        <w:t>Average Annual ESA Budgets</w:t>
      </w:r>
    </w:p>
    <w:p w:rsidRPr="005C5061" w:rsidR="008959A4" w:rsidP="008959A4" w:rsidRDefault="008959A4" w14:paraId="2E868B05" w14:textId="77777777">
      <w:pPr>
        <w:pStyle w:val="ALJBodyText"/>
        <w:keepNext/>
        <w:keepLines/>
        <w:spacing w:after="240" w:line="240" w:lineRule="auto"/>
        <w:ind w:firstLine="0"/>
        <w:jc w:val="center"/>
        <w:rPr>
          <w:b/>
          <w:bCs/>
        </w:rPr>
      </w:pPr>
      <w:r w:rsidRPr="005C5061">
        <w:rPr>
          <w:b/>
          <w:bCs/>
        </w:rPr>
        <w:t>(Authorized, Spent, Proposed)</w:t>
      </w:r>
    </w:p>
    <w:tbl>
      <w:tblPr>
        <w:tblStyle w:val="TableGrid"/>
        <w:tblW w:w="9900" w:type="dxa"/>
        <w:tblInd w:w="-365" w:type="dxa"/>
        <w:tblLayout w:type="fixed"/>
        <w:tblLook w:val="04A0" w:firstRow="1" w:lastRow="0" w:firstColumn="1" w:lastColumn="0" w:noHBand="0" w:noVBand="1"/>
      </w:tblPr>
      <w:tblGrid>
        <w:gridCol w:w="1710"/>
        <w:gridCol w:w="1260"/>
        <w:gridCol w:w="1440"/>
        <w:gridCol w:w="1260"/>
        <w:gridCol w:w="1440"/>
        <w:gridCol w:w="1350"/>
        <w:gridCol w:w="1440"/>
      </w:tblGrid>
      <w:tr w:rsidRPr="007B2879" w:rsidR="008959A4" w:rsidTr="00717A84" w14:paraId="0DF04811" w14:textId="77777777">
        <w:tc>
          <w:tcPr>
            <w:tcW w:w="1710" w:type="dxa"/>
            <w:vMerge w:val="restart"/>
            <w:vAlign w:val="center"/>
          </w:tcPr>
          <w:p w:rsidRPr="007B2879" w:rsidR="008959A4" w:rsidP="00717A84" w:rsidRDefault="008959A4" w14:paraId="7A900C5D" w14:textId="77777777">
            <w:pPr>
              <w:pStyle w:val="ALJBodyText"/>
              <w:keepNext/>
              <w:keepLines/>
              <w:ind w:firstLine="0"/>
              <w:rPr>
                <w:b/>
                <w:bCs/>
                <w:sz w:val="22"/>
                <w:szCs w:val="22"/>
              </w:rPr>
            </w:pPr>
            <w:r>
              <w:rPr>
                <w:b/>
                <w:bCs/>
                <w:sz w:val="22"/>
                <w:szCs w:val="22"/>
              </w:rPr>
              <w:t>SMJU</w:t>
            </w:r>
          </w:p>
        </w:tc>
        <w:tc>
          <w:tcPr>
            <w:tcW w:w="2700" w:type="dxa"/>
            <w:gridSpan w:val="2"/>
          </w:tcPr>
          <w:p w:rsidRPr="007B2879" w:rsidR="008959A4" w:rsidP="00717A84" w:rsidRDefault="008959A4" w14:paraId="03374BEB" w14:textId="77777777">
            <w:pPr>
              <w:pStyle w:val="ALJBodyText"/>
              <w:keepNext/>
              <w:keepLines/>
              <w:spacing w:line="240" w:lineRule="auto"/>
              <w:ind w:left="360" w:firstLine="0"/>
              <w:jc w:val="center"/>
              <w:rPr>
                <w:b/>
                <w:bCs/>
                <w:sz w:val="22"/>
                <w:szCs w:val="22"/>
              </w:rPr>
            </w:pPr>
            <w:r w:rsidRPr="007B2879">
              <w:rPr>
                <w:b/>
                <w:bCs/>
                <w:sz w:val="22"/>
                <w:szCs w:val="22"/>
              </w:rPr>
              <w:t>AUTHORIZED</w:t>
            </w:r>
          </w:p>
          <w:p w:rsidRPr="007B2879" w:rsidR="008959A4" w:rsidP="00717A84" w:rsidRDefault="008959A4" w14:paraId="7B681ADC" w14:textId="77777777">
            <w:pPr>
              <w:pStyle w:val="ALJBodyText"/>
              <w:keepNext/>
              <w:keepLines/>
              <w:spacing w:line="240" w:lineRule="auto"/>
              <w:ind w:left="360" w:firstLine="0"/>
              <w:jc w:val="center"/>
              <w:rPr>
                <w:b/>
                <w:bCs/>
                <w:sz w:val="22"/>
                <w:szCs w:val="22"/>
              </w:rPr>
            </w:pPr>
            <w:r w:rsidRPr="007B2879">
              <w:rPr>
                <w:b/>
                <w:bCs/>
                <w:sz w:val="22"/>
                <w:szCs w:val="22"/>
              </w:rPr>
              <w:t>(2017-2020)</w:t>
            </w:r>
          </w:p>
        </w:tc>
        <w:tc>
          <w:tcPr>
            <w:tcW w:w="2700" w:type="dxa"/>
            <w:gridSpan w:val="2"/>
          </w:tcPr>
          <w:p w:rsidRPr="007B2879" w:rsidR="008959A4" w:rsidP="00717A84" w:rsidRDefault="008959A4" w14:paraId="63DB555F" w14:textId="77777777">
            <w:pPr>
              <w:pStyle w:val="ALJBodyText"/>
              <w:keepNext/>
              <w:keepLines/>
              <w:spacing w:line="240" w:lineRule="auto"/>
              <w:ind w:left="360" w:firstLine="0"/>
              <w:jc w:val="center"/>
              <w:rPr>
                <w:b/>
                <w:bCs/>
                <w:sz w:val="22"/>
                <w:szCs w:val="22"/>
              </w:rPr>
            </w:pPr>
            <w:r w:rsidRPr="007B2879">
              <w:rPr>
                <w:b/>
                <w:bCs/>
                <w:sz w:val="22"/>
                <w:szCs w:val="22"/>
              </w:rPr>
              <w:t>SPENT</w:t>
            </w:r>
          </w:p>
          <w:p w:rsidRPr="007B2879" w:rsidR="008959A4" w:rsidP="00717A84" w:rsidRDefault="008959A4" w14:paraId="7066FA32" w14:textId="77777777">
            <w:pPr>
              <w:pStyle w:val="ALJBodyText"/>
              <w:keepNext/>
              <w:keepLines/>
              <w:spacing w:line="240" w:lineRule="auto"/>
              <w:ind w:left="360" w:firstLine="0"/>
              <w:jc w:val="center"/>
              <w:rPr>
                <w:b/>
                <w:bCs/>
                <w:sz w:val="22"/>
                <w:szCs w:val="22"/>
              </w:rPr>
            </w:pPr>
            <w:r w:rsidRPr="007B2879">
              <w:rPr>
                <w:b/>
                <w:bCs/>
                <w:sz w:val="22"/>
                <w:szCs w:val="22"/>
              </w:rPr>
              <w:t>(2017-2020)</w:t>
            </w:r>
          </w:p>
        </w:tc>
        <w:tc>
          <w:tcPr>
            <w:tcW w:w="2790" w:type="dxa"/>
            <w:gridSpan w:val="2"/>
          </w:tcPr>
          <w:p w:rsidRPr="007B2879" w:rsidR="008959A4" w:rsidP="00717A84" w:rsidRDefault="008959A4" w14:paraId="39994474" w14:textId="77777777">
            <w:pPr>
              <w:pStyle w:val="ALJBodyText"/>
              <w:keepNext/>
              <w:keepLines/>
              <w:spacing w:line="240" w:lineRule="auto"/>
              <w:ind w:left="360" w:firstLine="0"/>
              <w:jc w:val="center"/>
              <w:rPr>
                <w:b/>
                <w:bCs/>
                <w:sz w:val="22"/>
                <w:szCs w:val="22"/>
              </w:rPr>
            </w:pPr>
            <w:r w:rsidRPr="007B2879">
              <w:rPr>
                <w:b/>
                <w:bCs/>
                <w:sz w:val="22"/>
                <w:szCs w:val="22"/>
              </w:rPr>
              <w:t>PROPOSED</w:t>
            </w:r>
          </w:p>
          <w:p w:rsidRPr="007B2879" w:rsidR="008959A4" w:rsidP="00717A84" w:rsidRDefault="008959A4" w14:paraId="47E3EC62" w14:textId="77777777">
            <w:pPr>
              <w:pStyle w:val="ALJBodyText"/>
              <w:keepNext/>
              <w:keepLines/>
              <w:spacing w:line="240" w:lineRule="auto"/>
              <w:ind w:left="360" w:firstLine="0"/>
              <w:jc w:val="center"/>
              <w:rPr>
                <w:b/>
                <w:bCs/>
                <w:sz w:val="22"/>
                <w:szCs w:val="22"/>
              </w:rPr>
            </w:pPr>
            <w:r w:rsidRPr="007B2879">
              <w:rPr>
                <w:b/>
                <w:bCs/>
                <w:sz w:val="22"/>
                <w:szCs w:val="22"/>
              </w:rPr>
              <w:t>(2021-2026)</w:t>
            </w:r>
          </w:p>
        </w:tc>
      </w:tr>
      <w:tr w:rsidRPr="007B2879" w:rsidR="008959A4" w:rsidTr="00717A84" w14:paraId="14BA3EEB" w14:textId="77777777">
        <w:trPr>
          <w:trHeight w:val="43"/>
        </w:trPr>
        <w:tc>
          <w:tcPr>
            <w:tcW w:w="1710" w:type="dxa"/>
            <w:vMerge/>
          </w:tcPr>
          <w:p w:rsidRPr="007B2879" w:rsidR="008959A4" w:rsidP="00717A84" w:rsidRDefault="008959A4" w14:paraId="56096D32" w14:textId="77777777">
            <w:pPr>
              <w:pStyle w:val="ALJBodyText"/>
              <w:keepNext/>
              <w:keepLines/>
              <w:ind w:left="360" w:firstLine="0"/>
              <w:jc w:val="center"/>
              <w:rPr>
                <w:b/>
                <w:bCs/>
                <w:sz w:val="22"/>
                <w:szCs w:val="22"/>
              </w:rPr>
            </w:pPr>
          </w:p>
        </w:tc>
        <w:tc>
          <w:tcPr>
            <w:tcW w:w="1260" w:type="dxa"/>
          </w:tcPr>
          <w:p w:rsidRPr="00870391" w:rsidR="008959A4" w:rsidP="00717A84" w:rsidRDefault="008959A4" w14:paraId="42AEF9C5" w14:textId="77777777">
            <w:pPr>
              <w:pStyle w:val="ALJBodyText"/>
              <w:keepNext/>
              <w:keepLines/>
              <w:spacing w:line="240" w:lineRule="auto"/>
              <w:ind w:firstLine="0"/>
              <w:rPr>
                <w:b/>
                <w:bCs/>
                <w:sz w:val="20"/>
              </w:rPr>
            </w:pPr>
            <w:r w:rsidRPr="00870391">
              <w:rPr>
                <w:b/>
                <w:bCs/>
                <w:sz w:val="20"/>
              </w:rPr>
              <w:t>Avg. Annual Budget</w:t>
            </w:r>
          </w:p>
        </w:tc>
        <w:tc>
          <w:tcPr>
            <w:tcW w:w="1440" w:type="dxa"/>
          </w:tcPr>
          <w:p w:rsidRPr="00870391" w:rsidR="008959A4" w:rsidP="00717A84" w:rsidRDefault="008959A4" w14:paraId="4DB0D5E7" w14:textId="77777777">
            <w:pPr>
              <w:pStyle w:val="ALJBodyText"/>
              <w:keepNext/>
              <w:keepLines/>
              <w:spacing w:line="240" w:lineRule="auto"/>
              <w:ind w:firstLine="0"/>
              <w:rPr>
                <w:b/>
                <w:bCs/>
                <w:sz w:val="20"/>
              </w:rPr>
            </w:pPr>
            <w:r w:rsidRPr="00870391">
              <w:rPr>
                <w:b/>
                <w:bCs/>
                <w:sz w:val="20"/>
              </w:rPr>
              <w:t>Avg. Annual Budget / HH</w:t>
            </w:r>
          </w:p>
        </w:tc>
        <w:tc>
          <w:tcPr>
            <w:tcW w:w="1260" w:type="dxa"/>
          </w:tcPr>
          <w:p w:rsidRPr="00870391" w:rsidR="008959A4" w:rsidP="00717A84" w:rsidRDefault="008959A4" w14:paraId="140AE8DF" w14:textId="77777777">
            <w:pPr>
              <w:pStyle w:val="ALJBodyText"/>
              <w:keepNext/>
              <w:keepLines/>
              <w:spacing w:line="240" w:lineRule="auto"/>
              <w:ind w:firstLine="0"/>
              <w:rPr>
                <w:b/>
                <w:bCs/>
                <w:sz w:val="20"/>
              </w:rPr>
            </w:pPr>
            <w:r w:rsidRPr="00870391">
              <w:rPr>
                <w:b/>
                <w:bCs/>
                <w:sz w:val="20"/>
              </w:rPr>
              <w:t>Avg. Annual Budget</w:t>
            </w:r>
          </w:p>
        </w:tc>
        <w:tc>
          <w:tcPr>
            <w:tcW w:w="1440" w:type="dxa"/>
          </w:tcPr>
          <w:p w:rsidRPr="00870391" w:rsidR="008959A4" w:rsidP="00717A84" w:rsidRDefault="008959A4" w14:paraId="01946059" w14:textId="77777777">
            <w:pPr>
              <w:pStyle w:val="ALJBodyText"/>
              <w:keepNext/>
              <w:keepLines/>
              <w:spacing w:line="240" w:lineRule="auto"/>
              <w:ind w:firstLine="0"/>
              <w:rPr>
                <w:b/>
                <w:bCs/>
                <w:sz w:val="20"/>
              </w:rPr>
            </w:pPr>
            <w:r w:rsidRPr="00870391">
              <w:rPr>
                <w:b/>
                <w:bCs/>
                <w:sz w:val="20"/>
              </w:rPr>
              <w:t>Avg. Annual Budget / HH</w:t>
            </w:r>
          </w:p>
        </w:tc>
        <w:tc>
          <w:tcPr>
            <w:tcW w:w="1350" w:type="dxa"/>
          </w:tcPr>
          <w:p w:rsidRPr="00870391" w:rsidR="008959A4" w:rsidP="00717A84" w:rsidRDefault="008959A4" w14:paraId="3440E5B0" w14:textId="77777777">
            <w:pPr>
              <w:pStyle w:val="ALJBodyText"/>
              <w:keepNext/>
              <w:keepLines/>
              <w:spacing w:line="240" w:lineRule="auto"/>
              <w:ind w:firstLine="0"/>
              <w:rPr>
                <w:b/>
                <w:bCs/>
                <w:sz w:val="20"/>
              </w:rPr>
            </w:pPr>
            <w:r w:rsidRPr="00870391">
              <w:rPr>
                <w:b/>
                <w:bCs/>
                <w:sz w:val="20"/>
              </w:rPr>
              <w:t xml:space="preserve">Avg. Annual Budget </w:t>
            </w:r>
          </w:p>
        </w:tc>
        <w:tc>
          <w:tcPr>
            <w:tcW w:w="1440" w:type="dxa"/>
          </w:tcPr>
          <w:p w:rsidRPr="00870391" w:rsidR="008959A4" w:rsidP="00717A84" w:rsidRDefault="008959A4" w14:paraId="38B862FC" w14:textId="77777777">
            <w:pPr>
              <w:pStyle w:val="ALJBodyText"/>
              <w:keepNext/>
              <w:keepLines/>
              <w:spacing w:line="240" w:lineRule="auto"/>
              <w:ind w:firstLine="0"/>
              <w:rPr>
                <w:b/>
                <w:bCs/>
                <w:sz w:val="20"/>
              </w:rPr>
            </w:pPr>
            <w:r w:rsidRPr="00870391">
              <w:rPr>
                <w:b/>
                <w:bCs/>
                <w:sz w:val="20"/>
              </w:rPr>
              <w:t>Avg. Annual Budget / HH</w:t>
            </w:r>
          </w:p>
        </w:tc>
      </w:tr>
      <w:tr w:rsidRPr="007B2879" w:rsidR="008959A4" w:rsidTr="00717A84" w14:paraId="7F4161C6" w14:textId="77777777">
        <w:tc>
          <w:tcPr>
            <w:tcW w:w="1710" w:type="dxa"/>
          </w:tcPr>
          <w:p w:rsidRPr="007B2879" w:rsidR="008959A4" w:rsidP="00717A84" w:rsidRDefault="008959A4" w14:paraId="480C859A" w14:textId="77777777">
            <w:pPr>
              <w:pStyle w:val="ALJBodyText"/>
              <w:ind w:firstLine="0"/>
              <w:rPr>
                <w:sz w:val="22"/>
                <w:szCs w:val="22"/>
              </w:rPr>
            </w:pPr>
            <w:r>
              <w:rPr>
                <w:sz w:val="22"/>
                <w:szCs w:val="22"/>
              </w:rPr>
              <w:t>Alpine</w:t>
            </w:r>
          </w:p>
        </w:tc>
        <w:tc>
          <w:tcPr>
            <w:tcW w:w="1260" w:type="dxa"/>
            <w:vAlign w:val="center"/>
          </w:tcPr>
          <w:p w:rsidRPr="007B2879" w:rsidR="008959A4" w:rsidP="00717A84" w:rsidRDefault="008959A4" w14:paraId="236E42AF" w14:textId="77777777">
            <w:pPr>
              <w:pStyle w:val="ALJBodyText"/>
              <w:ind w:firstLine="0"/>
              <w:jc w:val="right"/>
              <w:rPr>
                <w:sz w:val="22"/>
                <w:szCs w:val="22"/>
              </w:rPr>
            </w:pPr>
            <w:r w:rsidRPr="00C30636">
              <w:rPr>
                <w:rFonts w:cs="Calibri"/>
                <w:color w:val="000000" w:themeColor="text1"/>
                <w:sz w:val="22"/>
                <w:szCs w:val="22"/>
              </w:rPr>
              <w:t>$28,825</w:t>
            </w:r>
          </w:p>
        </w:tc>
        <w:tc>
          <w:tcPr>
            <w:tcW w:w="1440" w:type="dxa"/>
            <w:vAlign w:val="center"/>
          </w:tcPr>
          <w:p w:rsidRPr="007B2879" w:rsidR="008959A4" w:rsidP="00717A84" w:rsidRDefault="008959A4" w14:paraId="5800EFF7" w14:textId="77777777">
            <w:pPr>
              <w:pStyle w:val="ALJBodyText"/>
              <w:ind w:firstLine="0"/>
              <w:jc w:val="right"/>
              <w:rPr>
                <w:sz w:val="22"/>
                <w:szCs w:val="22"/>
              </w:rPr>
            </w:pPr>
            <w:r w:rsidRPr="00C30636">
              <w:rPr>
                <w:rFonts w:cs="Calibri"/>
                <w:color w:val="000000" w:themeColor="text1"/>
                <w:sz w:val="22"/>
                <w:szCs w:val="22"/>
              </w:rPr>
              <w:t>$1,441</w:t>
            </w:r>
          </w:p>
        </w:tc>
        <w:tc>
          <w:tcPr>
            <w:tcW w:w="1260" w:type="dxa"/>
            <w:vAlign w:val="center"/>
          </w:tcPr>
          <w:p w:rsidRPr="007B2879" w:rsidR="008959A4" w:rsidP="00717A84" w:rsidRDefault="008959A4" w14:paraId="3702C001" w14:textId="77777777">
            <w:pPr>
              <w:pStyle w:val="ALJBodyText"/>
              <w:ind w:firstLine="0"/>
              <w:jc w:val="right"/>
              <w:rPr>
                <w:sz w:val="22"/>
                <w:szCs w:val="22"/>
              </w:rPr>
            </w:pPr>
            <w:r w:rsidRPr="00C30636">
              <w:rPr>
                <w:rFonts w:cs="Calibri"/>
                <w:color w:val="000000" w:themeColor="text1"/>
                <w:sz w:val="22"/>
                <w:szCs w:val="22"/>
              </w:rPr>
              <w:t>$20,850</w:t>
            </w:r>
          </w:p>
        </w:tc>
        <w:tc>
          <w:tcPr>
            <w:tcW w:w="1440" w:type="dxa"/>
            <w:vAlign w:val="center"/>
          </w:tcPr>
          <w:p w:rsidRPr="007B2879" w:rsidR="008959A4" w:rsidP="00717A84" w:rsidRDefault="008959A4" w14:paraId="7F8CC811" w14:textId="77777777">
            <w:pPr>
              <w:pStyle w:val="ALJBodyText"/>
              <w:ind w:firstLine="0"/>
              <w:jc w:val="right"/>
              <w:rPr>
                <w:sz w:val="22"/>
                <w:szCs w:val="22"/>
              </w:rPr>
            </w:pPr>
            <w:r w:rsidRPr="00C30636">
              <w:rPr>
                <w:rFonts w:cs="Calibri"/>
                <w:color w:val="000000" w:themeColor="text1"/>
                <w:sz w:val="22"/>
                <w:szCs w:val="22"/>
              </w:rPr>
              <w:t>$1,497</w:t>
            </w:r>
          </w:p>
        </w:tc>
        <w:tc>
          <w:tcPr>
            <w:tcW w:w="1350" w:type="dxa"/>
            <w:vAlign w:val="center"/>
          </w:tcPr>
          <w:p w:rsidRPr="007B2879" w:rsidR="008959A4" w:rsidP="00717A84" w:rsidRDefault="008959A4" w14:paraId="56E42EFB" w14:textId="77777777">
            <w:pPr>
              <w:pStyle w:val="ALJBodyText"/>
              <w:ind w:firstLine="0"/>
              <w:jc w:val="right"/>
              <w:rPr>
                <w:sz w:val="22"/>
                <w:szCs w:val="22"/>
              </w:rPr>
            </w:pPr>
            <w:r w:rsidRPr="00C30636">
              <w:rPr>
                <w:rFonts w:cs="Calibri"/>
                <w:color w:val="000000" w:themeColor="text1"/>
                <w:sz w:val="22"/>
                <w:szCs w:val="22"/>
              </w:rPr>
              <w:t>$32,500</w:t>
            </w:r>
          </w:p>
        </w:tc>
        <w:tc>
          <w:tcPr>
            <w:tcW w:w="1440" w:type="dxa"/>
            <w:vAlign w:val="center"/>
          </w:tcPr>
          <w:p w:rsidRPr="007B2879" w:rsidR="008959A4" w:rsidP="00717A84" w:rsidRDefault="008959A4" w14:paraId="0AEB484D" w14:textId="77777777">
            <w:pPr>
              <w:pStyle w:val="ALJBodyText"/>
              <w:ind w:firstLine="0"/>
              <w:jc w:val="right"/>
              <w:rPr>
                <w:sz w:val="22"/>
                <w:szCs w:val="22"/>
              </w:rPr>
            </w:pPr>
            <w:r w:rsidRPr="00C30636">
              <w:rPr>
                <w:rFonts w:cs="Calibri"/>
                <w:color w:val="000000" w:themeColor="text1"/>
                <w:sz w:val="22"/>
                <w:szCs w:val="22"/>
              </w:rPr>
              <w:t>$2,031</w:t>
            </w:r>
          </w:p>
        </w:tc>
      </w:tr>
      <w:tr w:rsidRPr="007B2879" w:rsidR="008959A4" w:rsidTr="00717A84" w14:paraId="270C74CE" w14:textId="77777777">
        <w:tc>
          <w:tcPr>
            <w:tcW w:w="1710" w:type="dxa"/>
          </w:tcPr>
          <w:p w:rsidRPr="007B2879" w:rsidR="008959A4" w:rsidP="00717A84" w:rsidRDefault="008959A4" w14:paraId="0A50E4CA" w14:textId="77777777">
            <w:pPr>
              <w:pStyle w:val="ALJBodyText"/>
              <w:ind w:firstLine="0"/>
              <w:rPr>
                <w:sz w:val="22"/>
                <w:szCs w:val="22"/>
              </w:rPr>
            </w:pPr>
            <w:r>
              <w:rPr>
                <w:sz w:val="22"/>
                <w:szCs w:val="22"/>
              </w:rPr>
              <w:t>Bear Valley</w:t>
            </w:r>
          </w:p>
        </w:tc>
        <w:tc>
          <w:tcPr>
            <w:tcW w:w="1260" w:type="dxa"/>
            <w:vAlign w:val="center"/>
          </w:tcPr>
          <w:p w:rsidRPr="007B2879" w:rsidR="008959A4" w:rsidP="00717A84" w:rsidRDefault="008959A4" w14:paraId="5C65D699" w14:textId="77777777">
            <w:pPr>
              <w:pStyle w:val="ALJBodyText"/>
              <w:ind w:firstLine="0"/>
              <w:jc w:val="right"/>
              <w:rPr>
                <w:sz w:val="22"/>
                <w:szCs w:val="22"/>
              </w:rPr>
            </w:pPr>
            <w:r w:rsidRPr="00C30636">
              <w:rPr>
                <w:rFonts w:cs="Calibri"/>
                <w:color w:val="000000" w:themeColor="text1"/>
                <w:sz w:val="22"/>
                <w:szCs w:val="22"/>
              </w:rPr>
              <w:t>$294,414</w:t>
            </w:r>
          </w:p>
        </w:tc>
        <w:tc>
          <w:tcPr>
            <w:tcW w:w="1440" w:type="dxa"/>
            <w:vAlign w:val="center"/>
          </w:tcPr>
          <w:p w:rsidRPr="007B2879" w:rsidR="008959A4" w:rsidP="00717A84" w:rsidRDefault="008959A4" w14:paraId="49E694C8" w14:textId="77777777">
            <w:pPr>
              <w:pStyle w:val="ALJBodyText"/>
              <w:ind w:firstLine="0"/>
              <w:jc w:val="right"/>
              <w:rPr>
                <w:sz w:val="22"/>
                <w:szCs w:val="22"/>
              </w:rPr>
            </w:pPr>
            <w:r w:rsidRPr="00C30636">
              <w:rPr>
                <w:rFonts w:cs="Calibri"/>
                <w:color w:val="000000" w:themeColor="text1"/>
                <w:sz w:val="22"/>
                <w:szCs w:val="22"/>
              </w:rPr>
              <w:t>$1,554</w:t>
            </w:r>
          </w:p>
        </w:tc>
        <w:tc>
          <w:tcPr>
            <w:tcW w:w="1260" w:type="dxa"/>
            <w:vAlign w:val="center"/>
          </w:tcPr>
          <w:p w:rsidRPr="007B2879" w:rsidR="008959A4" w:rsidP="00717A84" w:rsidRDefault="008959A4" w14:paraId="2DE69765" w14:textId="77777777">
            <w:pPr>
              <w:pStyle w:val="ALJBodyText"/>
              <w:ind w:firstLine="0"/>
              <w:jc w:val="right"/>
              <w:rPr>
                <w:sz w:val="22"/>
                <w:szCs w:val="22"/>
              </w:rPr>
            </w:pPr>
            <w:r w:rsidRPr="00C30636">
              <w:rPr>
                <w:rFonts w:cs="Calibri"/>
                <w:color w:val="000000" w:themeColor="text1"/>
                <w:sz w:val="22"/>
                <w:szCs w:val="22"/>
              </w:rPr>
              <w:t>$93,729</w:t>
            </w:r>
          </w:p>
        </w:tc>
        <w:tc>
          <w:tcPr>
            <w:tcW w:w="1440" w:type="dxa"/>
            <w:vAlign w:val="center"/>
          </w:tcPr>
          <w:p w:rsidRPr="007B2879" w:rsidR="008959A4" w:rsidP="00717A84" w:rsidRDefault="008959A4" w14:paraId="024AD643" w14:textId="77777777">
            <w:pPr>
              <w:pStyle w:val="ALJBodyText"/>
              <w:ind w:firstLine="0"/>
              <w:jc w:val="right"/>
              <w:rPr>
                <w:sz w:val="22"/>
                <w:szCs w:val="22"/>
              </w:rPr>
            </w:pPr>
            <w:r w:rsidRPr="00C30636">
              <w:rPr>
                <w:rFonts w:cs="Calibri"/>
                <w:color w:val="000000" w:themeColor="text1"/>
                <w:sz w:val="22"/>
                <w:szCs w:val="22"/>
              </w:rPr>
              <w:t>$932</w:t>
            </w:r>
          </w:p>
        </w:tc>
        <w:tc>
          <w:tcPr>
            <w:tcW w:w="1350" w:type="dxa"/>
            <w:vAlign w:val="center"/>
          </w:tcPr>
          <w:p w:rsidRPr="007B2879" w:rsidR="008959A4" w:rsidP="00717A84" w:rsidRDefault="008959A4" w14:paraId="0C0A7048" w14:textId="77777777">
            <w:pPr>
              <w:pStyle w:val="ALJBodyText"/>
              <w:ind w:firstLine="0"/>
              <w:jc w:val="right"/>
              <w:rPr>
                <w:sz w:val="22"/>
                <w:szCs w:val="22"/>
              </w:rPr>
            </w:pPr>
            <w:r w:rsidRPr="00C30636">
              <w:rPr>
                <w:rFonts w:cs="Calibri"/>
                <w:color w:val="000000" w:themeColor="text1"/>
                <w:sz w:val="22"/>
                <w:szCs w:val="22"/>
              </w:rPr>
              <w:t>$137,055</w:t>
            </w:r>
          </w:p>
        </w:tc>
        <w:tc>
          <w:tcPr>
            <w:tcW w:w="1440" w:type="dxa"/>
            <w:vAlign w:val="center"/>
          </w:tcPr>
          <w:p w:rsidRPr="007B2879" w:rsidR="008959A4" w:rsidP="00717A84" w:rsidRDefault="008959A4" w14:paraId="07822685" w14:textId="77777777">
            <w:pPr>
              <w:pStyle w:val="ALJBodyText"/>
              <w:ind w:firstLine="0"/>
              <w:jc w:val="right"/>
              <w:rPr>
                <w:sz w:val="22"/>
                <w:szCs w:val="22"/>
              </w:rPr>
            </w:pPr>
            <w:r w:rsidRPr="00C30636">
              <w:rPr>
                <w:rFonts w:cs="Calibri"/>
                <w:color w:val="000000" w:themeColor="text1"/>
                <w:sz w:val="22"/>
                <w:szCs w:val="22"/>
              </w:rPr>
              <w:t>$1,371</w:t>
            </w:r>
          </w:p>
        </w:tc>
      </w:tr>
      <w:tr w:rsidRPr="007B2879" w:rsidR="008959A4" w:rsidTr="00717A84" w14:paraId="7A6A7AD7" w14:textId="77777777">
        <w:tc>
          <w:tcPr>
            <w:tcW w:w="1710" w:type="dxa"/>
          </w:tcPr>
          <w:p w:rsidRPr="007B2879" w:rsidR="008959A4" w:rsidP="00717A84" w:rsidRDefault="008959A4" w14:paraId="23E9CBC5" w14:textId="77777777">
            <w:pPr>
              <w:pStyle w:val="ALJBodyText"/>
              <w:ind w:firstLine="0"/>
              <w:rPr>
                <w:sz w:val="22"/>
                <w:szCs w:val="22"/>
              </w:rPr>
            </w:pPr>
            <w:r>
              <w:rPr>
                <w:sz w:val="22"/>
                <w:szCs w:val="22"/>
              </w:rPr>
              <w:t>Liberty</w:t>
            </w:r>
          </w:p>
        </w:tc>
        <w:tc>
          <w:tcPr>
            <w:tcW w:w="1260" w:type="dxa"/>
            <w:vAlign w:val="center"/>
          </w:tcPr>
          <w:p w:rsidRPr="007B2879" w:rsidR="008959A4" w:rsidP="00717A84" w:rsidRDefault="008959A4" w14:paraId="5B3B1BB5" w14:textId="77777777">
            <w:pPr>
              <w:pStyle w:val="ALJBodyText"/>
              <w:ind w:firstLine="0"/>
              <w:jc w:val="right"/>
              <w:rPr>
                <w:sz w:val="22"/>
                <w:szCs w:val="22"/>
              </w:rPr>
            </w:pPr>
            <w:r w:rsidRPr="00C30636">
              <w:rPr>
                <w:rFonts w:cs="Calibri"/>
                <w:color w:val="000000" w:themeColor="text1"/>
                <w:sz w:val="22"/>
                <w:szCs w:val="22"/>
              </w:rPr>
              <w:t>$746,790</w:t>
            </w:r>
          </w:p>
        </w:tc>
        <w:tc>
          <w:tcPr>
            <w:tcW w:w="1440" w:type="dxa"/>
            <w:vAlign w:val="center"/>
          </w:tcPr>
          <w:p w:rsidRPr="007B2879" w:rsidR="008959A4" w:rsidP="00717A84" w:rsidRDefault="008959A4" w14:paraId="05A2D21D" w14:textId="77777777">
            <w:pPr>
              <w:pStyle w:val="ALJBodyText"/>
              <w:ind w:firstLine="0"/>
              <w:jc w:val="right"/>
              <w:rPr>
                <w:sz w:val="22"/>
                <w:szCs w:val="22"/>
              </w:rPr>
            </w:pPr>
            <w:r w:rsidRPr="00C30636">
              <w:rPr>
                <w:rFonts w:cs="Calibri"/>
                <w:color w:val="000000" w:themeColor="text1"/>
                <w:sz w:val="22"/>
                <w:szCs w:val="22"/>
              </w:rPr>
              <w:t>$1,494</w:t>
            </w:r>
          </w:p>
        </w:tc>
        <w:tc>
          <w:tcPr>
            <w:tcW w:w="1260" w:type="dxa"/>
            <w:vAlign w:val="center"/>
          </w:tcPr>
          <w:p w:rsidRPr="007B2879" w:rsidR="008959A4" w:rsidP="00717A84" w:rsidRDefault="008959A4" w14:paraId="52635077" w14:textId="77777777">
            <w:pPr>
              <w:pStyle w:val="ALJBodyText"/>
              <w:ind w:firstLine="0"/>
              <w:jc w:val="right"/>
              <w:rPr>
                <w:sz w:val="22"/>
                <w:szCs w:val="22"/>
              </w:rPr>
            </w:pPr>
            <w:r w:rsidRPr="00C30636">
              <w:rPr>
                <w:rFonts w:cs="Calibri"/>
                <w:color w:val="000000" w:themeColor="text1"/>
                <w:sz w:val="22"/>
                <w:szCs w:val="22"/>
              </w:rPr>
              <w:t>$175,806</w:t>
            </w:r>
          </w:p>
        </w:tc>
        <w:tc>
          <w:tcPr>
            <w:tcW w:w="1440" w:type="dxa"/>
            <w:vAlign w:val="center"/>
          </w:tcPr>
          <w:p w:rsidRPr="007B2879" w:rsidR="008959A4" w:rsidP="00717A84" w:rsidRDefault="008959A4" w14:paraId="4712CC55" w14:textId="77777777">
            <w:pPr>
              <w:pStyle w:val="ALJBodyText"/>
              <w:ind w:firstLine="0"/>
              <w:jc w:val="right"/>
              <w:rPr>
                <w:sz w:val="22"/>
                <w:szCs w:val="22"/>
              </w:rPr>
            </w:pPr>
            <w:r w:rsidRPr="00C30636">
              <w:rPr>
                <w:rFonts w:cs="Calibri"/>
                <w:color w:val="000000" w:themeColor="text1"/>
                <w:sz w:val="22"/>
                <w:szCs w:val="22"/>
              </w:rPr>
              <w:t>$1,294</w:t>
            </w:r>
          </w:p>
        </w:tc>
        <w:tc>
          <w:tcPr>
            <w:tcW w:w="1350" w:type="dxa"/>
            <w:vAlign w:val="center"/>
          </w:tcPr>
          <w:p w:rsidRPr="007B2879" w:rsidR="008959A4" w:rsidP="00717A84" w:rsidRDefault="008959A4" w14:paraId="3735B052" w14:textId="77777777">
            <w:pPr>
              <w:pStyle w:val="ALJBodyText"/>
              <w:ind w:firstLine="0"/>
              <w:jc w:val="right"/>
              <w:rPr>
                <w:sz w:val="22"/>
                <w:szCs w:val="22"/>
              </w:rPr>
            </w:pPr>
            <w:r w:rsidRPr="00C30636">
              <w:rPr>
                <w:rFonts w:cs="Calibri"/>
                <w:color w:val="000000" w:themeColor="text1"/>
                <w:sz w:val="22"/>
                <w:szCs w:val="22"/>
              </w:rPr>
              <w:t>$445,648</w:t>
            </w:r>
          </w:p>
        </w:tc>
        <w:tc>
          <w:tcPr>
            <w:tcW w:w="1440" w:type="dxa"/>
            <w:vAlign w:val="center"/>
          </w:tcPr>
          <w:p w:rsidRPr="007B2879" w:rsidR="008959A4" w:rsidP="00717A84" w:rsidRDefault="008959A4" w14:paraId="21BA12A8" w14:textId="77777777">
            <w:pPr>
              <w:pStyle w:val="ALJBodyText"/>
              <w:ind w:firstLine="0"/>
              <w:jc w:val="right"/>
              <w:rPr>
                <w:sz w:val="22"/>
                <w:szCs w:val="22"/>
              </w:rPr>
            </w:pPr>
            <w:r w:rsidRPr="00C30636">
              <w:rPr>
                <w:rFonts w:cs="Calibri"/>
                <w:color w:val="000000" w:themeColor="text1"/>
                <w:sz w:val="22"/>
                <w:szCs w:val="22"/>
              </w:rPr>
              <w:t>$2,438</w:t>
            </w:r>
          </w:p>
        </w:tc>
      </w:tr>
      <w:tr w:rsidRPr="007B2879" w:rsidR="008959A4" w:rsidTr="00717A84" w14:paraId="4664CED9" w14:textId="77777777">
        <w:tc>
          <w:tcPr>
            <w:tcW w:w="1710" w:type="dxa"/>
          </w:tcPr>
          <w:p w:rsidRPr="007B2879" w:rsidR="008959A4" w:rsidP="00717A84" w:rsidRDefault="008959A4" w14:paraId="61F772B4" w14:textId="77777777">
            <w:pPr>
              <w:pStyle w:val="ALJBodyText"/>
              <w:ind w:firstLine="0"/>
              <w:rPr>
                <w:sz w:val="22"/>
                <w:szCs w:val="22"/>
              </w:rPr>
            </w:pPr>
            <w:r>
              <w:rPr>
                <w:sz w:val="22"/>
                <w:szCs w:val="22"/>
              </w:rPr>
              <w:t>PacifiCorp</w:t>
            </w:r>
          </w:p>
        </w:tc>
        <w:tc>
          <w:tcPr>
            <w:tcW w:w="1260" w:type="dxa"/>
            <w:vAlign w:val="center"/>
          </w:tcPr>
          <w:p w:rsidRPr="007B2879" w:rsidR="008959A4" w:rsidP="00717A84" w:rsidRDefault="008959A4" w14:paraId="6CF8531B" w14:textId="77777777">
            <w:pPr>
              <w:pStyle w:val="ALJBodyText"/>
              <w:ind w:firstLine="0"/>
              <w:jc w:val="right"/>
              <w:rPr>
                <w:sz w:val="22"/>
                <w:szCs w:val="22"/>
              </w:rPr>
            </w:pPr>
            <w:r w:rsidRPr="00C30636">
              <w:rPr>
                <w:rFonts w:cs="Calibri"/>
                <w:color w:val="000000" w:themeColor="text1"/>
                <w:sz w:val="22"/>
                <w:szCs w:val="22"/>
              </w:rPr>
              <w:t>$840,438</w:t>
            </w:r>
          </w:p>
        </w:tc>
        <w:tc>
          <w:tcPr>
            <w:tcW w:w="1440" w:type="dxa"/>
            <w:vAlign w:val="center"/>
          </w:tcPr>
          <w:p w:rsidRPr="007B2879" w:rsidR="008959A4" w:rsidP="00717A84" w:rsidRDefault="008959A4" w14:paraId="0D992C58" w14:textId="77777777">
            <w:pPr>
              <w:pStyle w:val="ALJBodyText"/>
              <w:ind w:firstLine="0"/>
              <w:jc w:val="right"/>
              <w:rPr>
                <w:sz w:val="22"/>
                <w:szCs w:val="22"/>
              </w:rPr>
            </w:pPr>
            <w:r w:rsidRPr="00C30636">
              <w:rPr>
                <w:rFonts w:cs="Calibri"/>
                <w:color w:val="000000" w:themeColor="text1"/>
                <w:sz w:val="22"/>
                <w:szCs w:val="22"/>
              </w:rPr>
              <w:t>$5,603</w:t>
            </w:r>
          </w:p>
        </w:tc>
        <w:tc>
          <w:tcPr>
            <w:tcW w:w="1260" w:type="dxa"/>
            <w:vAlign w:val="center"/>
          </w:tcPr>
          <w:p w:rsidRPr="007B2879" w:rsidR="008959A4" w:rsidP="00717A84" w:rsidRDefault="008959A4" w14:paraId="4846F76C" w14:textId="77777777">
            <w:pPr>
              <w:pStyle w:val="ALJBodyText"/>
              <w:ind w:firstLine="0"/>
              <w:jc w:val="right"/>
              <w:rPr>
                <w:sz w:val="22"/>
                <w:szCs w:val="22"/>
              </w:rPr>
            </w:pPr>
            <w:r w:rsidRPr="00C30636">
              <w:rPr>
                <w:rFonts w:cs="Calibri"/>
                <w:color w:val="000000" w:themeColor="text1"/>
                <w:sz w:val="22"/>
                <w:szCs w:val="22"/>
              </w:rPr>
              <w:t>$449,511</w:t>
            </w:r>
          </w:p>
        </w:tc>
        <w:tc>
          <w:tcPr>
            <w:tcW w:w="1440" w:type="dxa"/>
            <w:vAlign w:val="center"/>
          </w:tcPr>
          <w:p w:rsidRPr="007B2879" w:rsidR="008959A4" w:rsidP="00717A84" w:rsidRDefault="008959A4" w14:paraId="658EC0B3" w14:textId="77777777">
            <w:pPr>
              <w:pStyle w:val="ALJBodyText"/>
              <w:ind w:firstLine="0"/>
              <w:jc w:val="right"/>
              <w:rPr>
                <w:sz w:val="22"/>
                <w:szCs w:val="22"/>
              </w:rPr>
            </w:pPr>
            <w:r w:rsidRPr="00C30636">
              <w:rPr>
                <w:rFonts w:cs="Calibri"/>
                <w:color w:val="000000" w:themeColor="text1"/>
                <w:sz w:val="22"/>
                <w:szCs w:val="22"/>
              </w:rPr>
              <w:t>$4,134</w:t>
            </w:r>
          </w:p>
        </w:tc>
        <w:tc>
          <w:tcPr>
            <w:tcW w:w="1350" w:type="dxa"/>
            <w:vAlign w:val="center"/>
          </w:tcPr>
          <w:p w:rsidRPr="007B2879" w:rsidR="008959A4" w:rsidP="00717A84" w:rsidRDefault="008959A4" w14:paraId="30838465" w14:textId="77777777">
            <w:pPr>
              <w:pStyle w:val="ALJBodyText"/>
              <w:ind w:firstLine="0"/>
              <w:jc w:val="right"/>
              <w:rPr>
                <w:sz w:val="22"/>
                <w:szCs w:val="22"/>
              </w:rPr>
            </w:pPr>
            <w:r w:rsidRPr="00C30636">
              <w:rPr>
                <w:rFonts w:cs="Calibri"/>
                <w:color w:val="000000" w:themeColor="text1"/>
                <w:sz w:val="22"/>
                <w:szCs w:val="22"/>
              </w:rPr>
              <w:t>$832,700</w:t>
            </w:r>
          </w:p>
        </w:tc>
        <w:tc>
          <w:tcPr>
            <w:tcW w:w="1440" w:type="dxa"/>
            <w:vAlign w:val="center"/>
          </w:tcPr>
          <w:p w:rsidRPr="007B2879" w:rsidR="008959A4" w:rsidP="00717A84" w:rsidRDefault="008959A4" w14:paraId="407AE9B6" w14:textId="77777777">
            <w:pPr>
              <w:pStyle w:val="ALJBodyText"/>
              <w:ind w:firstLine="0"/>
              <w:jc w:val="right"/>
              <w:rPr>
                <w:sz w:val="22"/>
                <w:szCs w:val="22"/>
              </w:rPr>
            </w:pPr>
            <w:r w:rsidRPr="00C30636">
              <w:rPr>
                <w:rFonts w:cs="Calibri"/>
                <w:color w:val="000000" w:themeColor="text1"/>
                <w:sz w:val="22"/>
                <w:szCs w:val="22"/>
              </w:rPr>
              <w:t>$5,783</w:t>
            </w:r>
          </w:p>
        </w:tc>
      </w:tr>
      <w:tr w:rsidRPr="007B2879" w:rsidR="008959A4" w:rsidTr="00717A84" w14:paraId="70FEE7D6" w14:textId="77777777">
        <w:tc>
          <w:tcPr>
            <w:tcW w:w="1710" w:type="dxa"/>
          </w:tcPr>
          <w:p w:rsidRPr="007B2879" w:rsidR="008959A4" w:rsidP="00717A84" w:rsidRDefault="008959A4" w14:paraId="24602B9B" w14:textId="77777777">
            <w:pPr>
              <w:pStyle w:val="ALJBodyText"/>
              <w:ind w:firstLine="0"/>
              <w:rPr>
                <w:sz w:val="22"/>
                <w:szCs w:val="22"/>
              </w:rPr>
            </w:pPr>
            <w:r>
              <w:rPr>
                <w:sz w:val="22"/>
                <w:szCs w:val="22"/>
              </w:rPr>
              <w:t>Southwest Gas</w:t>
            </w:r>
          </w:p>
        </w:tc>
        <w:tc>
          <w:tcPr>
            <w:tcW w:w="1260" w:type="dxa"/>
            <w:vAlign w:val="center"/>
          </w:tcPr>
          <w:p w:rsidRPr="007B2879" w:rsidR="008959A4" w:rsidP="00717A84" w:rsidRDefault="008959A4" w14:paraId="1875ABCF" w14:textId="77777777">
            <w:pPr>
              <w:pStyle w:val="ALJBodyText"/>
              <w:ind w:firstLine="0"/>
              <w:jc w:val="right"/>
              <w:rPr>
                <w:sz w:val="22"/>
                <w:szCs w:val="22"/>
              </w:rPr>
            </w:pPr>
            <w:r w:rsidRPr="00C30636">
              <w:rPr>
                <w:rFonts w:cs="Calibri"/>
                <w:color w:val="000000" w:themeColor="text1"/>
                <w:sz w:val="22"/>
                <w:szCs w:val="22"/>
              </w:rPr>
              <w:t>$5,542,342</w:t>
            </w:r>
          </w:p>
        </w:tc>
        <w:tc>
          <w:tcPr>
            <w:tcW w:w="1440" w:type="dxa"/>
            <w:vAlign w:val="center"/>
          </w:tcPr>
          <w:p w:rsidRPr="007B2879" w:rsidR="008959A4" w:rsidP="00717A84" w:rsidRDefault="008959A4" w14:paraId="754CD726" w14:textId="77777777">
            <w:pPr>
              <w:pStyle w:val="ALJBodyText"/>
              <w:ind w:firstLine="0"/>
              <w:jc w:val="right"/>
              <w:rPr>
                <w:sz w:val="22"/>
                <w:szCs w:val="22"/>
              </w:rPr>
            </w:pPr>
            <w:r w:rsidRPr="00C30636">
              <w:rPr>
                <w:rFonts w:cs="Calibri"/>
                <w:color w:val="000000" w:themeColor="text1"/>
                <w:sz w:val="22"/>
                <w:szCs w:val="22"/>
              </w:rPr>
              <w:t>$2,191</w:t>
            </w:r>
          </w:p>
        </w:tc>
        <w:tc>
          <w:tcPr>
            <w:tcW w:w="1260" w:type="dxa"/>
            <w:vAlign w:val="center"/>
          </w:tcPr>
          <w:p w:rsidRPr="007B2879" w:rsidR="008959A4" w:rsidP="00717A84" w:rsidRDefault="008959A4" w14:paraId="1FE6BA6D" w14:textId="77777777">
            <w:pPr>
              <w:pStyle w:val="ALJBodyText"/>
              <w:ind w:firstLine="0"/>
              <w:jc w:val="right"/>
              <w:rPr>
                <w:sz w:val="22"/>
                <w:szCs w:val="22"/>
              </w:rPr>
            </w:pPr>
            <w:r w:rsidRPr="00C30636">
              <w:rPr>
                <w:rFonts w:cs="Calibri"/>
                <w:color w:val="000000" w:themeColor="text1"/>
                <w:sz w:val="22"/>
                <w:szCs w:val="22"/>
              </w:rPr>
              <w:t>$4,697,065</w:t>
            </w:r>
          </w:p>
        </w:tc>
        <w:tc>
          <w:tcPr>
            <w:tcW w:w="1440" w:type="dxa"/>
            <w:vAlign w:val="center"/>
          </w:tcPr>
          <w:p w:rsidRPr="007B2879" w:rsidR="008959A4" w:rsidP="00717A84" w:rsidRDefault="008959A4" w14:paraId="718AB78B" w14:textId="77777777">
            <w:pPr>
              <w:pStyle w:val="ALJBodyText"/>
              <w:ind w:firstLine="0"/>
              <w:jc w:val="right"/>
              <w:rPr>
                <w:sz w:val="22"/>
                <w:szCs w:val="22"/>
              </w:rPr>
            </w:pPr>
            <w:r w:rsidRPr="00C30636">
              <w:rPr>
                <w:rFonts w:cs="Calibri"/>
                <w:color w:val="000000" w:themeColor="text1"/>
                <w:sz w:val="22"/>
                <w:szCs w:val="22"/>
              </w:rPr>
              <w:t>$2,551</w:t>
            </w:r>
          </w:p>
        </w:tc>
        <w:tc>
          <w:tcPr>
            <w:tcW w:w="1350" w:type="dxa"/>
            <w:vAlign w:val="center"/>
          </w:tcPr>
          <w:p w:rsidRPr="007B2879" w:rsidR="008959A4" w:rsidP="00717A84" w:rsidRDefault="008959A4" w14:paraId="71B0486D" w14:textId="77777777">
            <w:pPr>
              <w:jc w:val="right"/>
              <w:rPr>
                <w:sz w:val="22"/>
                <w:szCs w:val="22"/>
              </w:rPr>
            </w:pPr>
            <w:r w:rsidRPr="00D57072">
              <w:rPr>
                <w:rFonts w:cs="Calibri"/>
                <w:color w:val="000000" w:themeColor="text1"/>
                <w:sz w:val="22"/>
                <w:szCs w:val="22"/>
              </w:rPr>
              <w:t>$5,862,505</w:t>
            </w:r>
          </w:p>
        </w:tc>
        <w:tc>
          <w:tcPr>
            <w:tcW w:w="1440" w:type="dxa"/>
            <w:vAlign w:val="center"/>
          </w:tcPr>
          <w:p w:rsidRPr="007B2879" w:rsidR="008959A4" w:rsidP="00717A84" w:rsidRDefault="008959A4" w14:paraId="12D78466" w14:textId="77777777">
            <w:pPr>
              <w:pStyle w:val="ALJBodyText"/>
              <w:ind w:firstLine="0"/>
              <w:jc w:val="right"/>
              <w:rPr>
                <w:sz w:val="22"/>
                <w:szCs w:val="22"/>
              </w:rPr>
            </w:pPr>
            <w:r w:rsidRPr="00D57072">
              <w:rPr>
                <w:rFonts w:cs="Calibri"/>
                <w:color w:val="000000" w:themeColor="text1"/>
                <w:sz w:val="22"/>
                <w:szCs w:val="22"/>
              </w:rPr>
              <w:t>$2,931</w:t>
            </w:r>
          </w:p>
        </w:tc>
      </w:tr>
    </w:tbl>
    <w:p w:rsidRPr="00D93342" w:rsidR="008959A4" w:rsidP="008959A4" w:rsidRDefault="008959A4" w14:paraId="7E10F214" w14:textId="77777777">
      <w:pPr>
        <w:pStyle w:val="ALJBodyText"/>
        <w:spacing w:line="240" w:lineRule="auto"/>
        <w:ind w:firstLine="0"/>
      </w:pPr>
    </w:p>
    <w:p w:rsidR="008959A4" w:rsidP="008959A4" w:rsidRDefault="008959A4" w14:paraId="6B23D47C" w14:textId="77777777">
      <w:pPr>
        <w:pStyle w:val="Heading3"/>
      </w:pPr>
      <w:bookmarkStart w:name="_Toc82159851" w:id="279"/>
      <w:bookmarkStart w:name="_Ref65422876" w:id="280"/>
      <w:bookmarkStart w:name="_Ref65423349" w:id="281"/>
      <w:bookmarkStart w:name="_Ref64995840" w:id="282"/>
      <w:r>
        <w:lastRenderedPageBreak/>
        <w:t>Alpine Proposal</w:t>
      </w:r>
      <w:bookmarkEnd w:id="279"/>
      <w:r>
        <w:t xml:space="preserve"> </w:t>
      </w:r>
    </w:p>
    <w:p w:rsidRPr="00CD3D66" w:rsidR="008959A4" w:rsidP="008959A4" w:rsidRDefault="008959A4" w14:paraId="589B968D" w14:textId="77777777">
      <w:pPr>
        <w:pStyle w:val="ALJBodyText"/>
      </w:pPr>
      <w:r>
        <w:t>Alpine</w:t>
      </w:r>
      <w:r w:rsidRPr="00336777">
        <w:t xml:space="preserve"> </w:t>
      </w:r>
      <w:r>
        <w:t>requests</w:t>
      </w:r>
      <w:r w:rsidRPr="001E5711">
        <w:t xml:space="preserve"> $</w:t>
      </w:r>
      <w:r>
        <w:t>195,000</w:t>
      </w:r>
      <w:r w:rsidRPr="001E5711">
        <w:t xml:space="preserve"> </w:t>
      </w:r>
      <w:r>
        <w:t>for PYs 2021-2026</w:t>
      </w:r>
      <w:r w:rsidRPr="001E5711">
        <w:t xml:space="preserve">, </w:t>
      </w:r>
      <w:r>
        <w:t xml:space="preserve">or $32,500 annually, with an average </w:t>
      </w:r>
      <w:r w:rsidRPr="00D7393D">
        <w:t xml:space="preserve">per </w:t>
      </w:r>
      <w:r>
        <w:t>household investment of $2,031.  A</w:t>
      </w:r>
      <w:r w:rsidRPr="001E5711">
        <w:t xml:space="preserve">dministrative costs </w:t>
      </w:r>
      <w:r>
        <w:t>account for 26.2</w:t>
      </w:r>
      <w:r w:rsidRPr="00E1050D">
        <w:t xml:space="preserve"> </w:t>
      </w:r>
      <w:r w:rsidRPr="0026503D">
        <w:t>percent</w:t>
      </w:r>
      <w:r w:rsidRPr="001E5711">
        <w:t xml:space="preserve"> for the program cycle</w:t>
      </w:r>
      <w:r>
        <w:t xml:space="preserve"> at $51,000, energy efficiency measures account for 74 percent at $144,000.  Of the total administrative costs, general administration</w:t>
      </w:r>
      <w:r w:rsidRPr="00CD3D66">
        <w:t xml:space="preserve"> </w:t>
      </w:r>
      <w:r>
        <w:t>accounts for 59 percent at $30,000, and outreach and inspections account for 41 percent at $21,000.</w:t>
      </w:r>
      <w:r>
        <w:rPr>
          <w:rStyle w:val="FootnoteReference"/>
        </w:rPr>
        <w:footnoteReference w:id="217"/>
      </w:r>
    </w:p>
    <w:p w:rsidR="008959A4" w:rsidP="008959A4" w:rsidRDefault="008959A4" w14:paraId="63EB82A7" w14:textId="77777777">
      <w:pPr>
        <w:pStyle w:val="ALJBodyText"/>
      </w:pPr>
      <w:r>
        <w:t>Compared</w:t>
      </w:r>
      <w:r w:rsidRPr="000C6626">
        <w:t xml:space="preserve"> to </w:t>
      </w:r>
      <w:r>
        <w:t xml:space="preserve">the </w:t>
      </w:r>
      <w:r w:rsidRPr="000C6626">
        <w:t>201</w:t>
      </w:r>
      <w:r>
        <w:t>7</w:t>
      </w:r>
      <w:r w:rsidRPr="000C6626">
        <w:t xml:space="preserve">-2020 ESA </w:t>
      </w:r>
      <w:r>
        <w:t>authorized p</w:t>
      </w:r>
      <w:r w:rsidRPr="000C6626">
        <w:t>rogram budget,</w:t>
      </w:r>
      <w:r>
        <w:t xml:space="preserve"> Alpine </w:t>
      </w:r>
      <w:r w:rsidRPr="000C6626">
        <w:t xml:space="preserve">is proposing a </w:t>
      </w:r>
      <w:r w:rsidRPr="00EB248E">
        <w:t>higher overall total budget annually</w:t>
      </w:r>
      <w:r>
        <w:t xml:space="preserve"> due to a shift in focus on more </w:t>
      </w:r>
      <w:r w:rsidRPr="00EB248E">
        <w:t xml:space="preserve">comprehensive measures, but fewer households treated. </w:t>
      </w:r>
      <w:r>
        <w:t xml:space="preserve"> Alpine also notes that </w:t>
      </w:r>
      <w:r w:rsidRPr="00EB248E">
        <w:t xml:space="preserve">in the previous program cycle, the third-party ESA </w:t>
      </w:r>
      <w:r>
        <w:t>p</w:t>
      </w:r>
      <w:r w:rsidRPr="00EB248E">
        <w:t xml:space="preserve">rogram administration efforts and associated costs were tracked within ESA </w:t>
      </w:r>
      <w:r>
        <w:t>p</w:t>
      </w:r>
      <w:r w:rsidRPr="00EB248E">
        <w:t>rogram costs.</w:t>
      </w:r>
      <w:r>
        <w:t xml:space="preserve"> </w:t>
      </w:r>
      <w:r w:rsidRPr="00EB248E">
        <w:t xml:space="preserve"> For PYs 2021-2026, this proposed administration budget has been shifted to the </w:t>
      </w:r>
      <w:r>
        <w:t>g</w:t>
      </w:r>
      <w:r w:rsidRPr="00EB248E">
        <w:t xml:space="preserve">eneral budget category to be more appropriately tracked as a component of </w:t>
      </w:r>
      <w:r>
        <w:t>a</w:t>
      </w:r>
      <w:r w:rsidRPr="00EB248E">
        <w:t xml:space="preserve">dministration. </w:t>
      </w:r>
      <w:r>
        <w:t xml:space="preserve"> And lastly, s</w:t>
      </w:r>
      <w:r w:rsidRPr="00EB248E">
        <w:t>everal</w:t>
      </w:r>
      <w:r w:rsidRPr="00A06C18">
        <w:rPr>
          <w:rFonts w:ascii="Arial" w:hAnsi="Arial" w:cs="Arial"/>
          <w:color w:val="000000"/>
          <w:sz w:val="23"/>
          <w:szCs w:val="23"/>
        </w:rPr>
        <w:t xml:space="preserve"> </w:t>
      </w:r>
      <w:r w:rsidRPr="00A06C18">
        <w:t xml:space="preserve">components of the budget are for services that increase </w:t>
      </w:r>
      <w:r>
        <w:t>HCS</w:t>
      </w:r>
      <w:r w:rsidRPr="00A06C18">
        <w:t xml:space="preserve"> but do not provide quantifiable energy savings</w:t>
      </w:r>
      <w:r>
        <w:t>, including n</w:t>
      </w:r>
      <w:r w:rsidRPr="00A06C18">
        <w:t>on</w:t>
      </w:r>
      <w:r>
        <w:noBreakHyphen/>
      </w:r>
      <w:r w:rsidRPr="00A06C18">
        <w:t>resource measures and energy education efforts</w:t>
      </w:r>
      <w:r>
        <w:t>.</w:t>
      </w:r>
      <w:r>
        <w:rPr>
          <w:rStyle w:val="FootnoteReference"/>
        </w:rPr>
        <w:footnoteReference w:id="218"/>
      </w:r>
      <w:r>
        <w:t xml:space="preserve"> </w:t>
      </w:r>
    </w:p>
    <w:p w:rsidR="008959A4" w:rsidP="008959A4" w:rsidRDefault="008959A4" w14:paraId="5D001BEE" w14:textId="77777777">
      <w:pPr>
        <w:pStyle w:val="Heading3"/>
      </w:pPr>
      <w:bookmarkStart w:name="_Toc82159852" w:id="283"/>
      <w:r>
        <w:t>Bear Valley Proposal</w:t>
      </w:r>
      <w:bookmarkEnd w:id="283"/>
    </w:p>
    <w:p w:rsidR="008959A4" w:rsidP="008959A4" w:rsidRDefault="008959A4" w14:paraId="683C5C70" w14:textId="77777777">
      <w:pPr>
        <w:pStyle w:val="ALJBodyText"/>
      </w:pPr>
      <w:r>
        <w:t>Bear Valley</w:t>
      </w:r>
      <w:r w:rsidRPr="001E5711">
        <w:t xml:space="preserve"> </w:t>
      </w:r>
      <w:r>
        <w:t>requests</w:t>
      </w:r>
      <w:r w:rsidRPr="001E5711">
        <w:t xml:space="preserve"> approximately $</w:t>
      </w:r>
      <w:r>
        <w:t>822,330</w:t>
      </w:r>
      <w:r w:rsidRPr="001E5711">
        <w:t xml:space="preserve"> </w:t>
      </w:r>
      <w:r>
        <w:t>for PYs 2021-2026</w:t>
      </w:r>
      <w:r w:rsidRPr="001E5711">
        <w:t xml:space="preserve">, </w:t>
      </w:r>
      <w:r>
        <w:t>or $</w:t>
      </w:r>
      <w:r w:rsidRPr="0024025D">
        <w:t>137,055</w:t>
      </w:r>
      <w:r>
        <w:t xml:space="preserve"> annually, </w:t>
      </w:r>
      <w:r w:rsidRPr="001E5711">
        <w:t xml:space="preserve">with </w:t>
      </w:r>
      <w:r>
        <w:t xml:space="preserve">an average </w:t>
      </w:r>
      <w:r w:rsidRPr="00D7393D">
        <w:t xml:space="preserve">per </w:t>
      </w:r>
      <w:r>
        <w:t xml:space="preserve">household </w:t>
      </w:r>
      <w:r w:rsidRPr="000D259D">
        <w:rPr>
          <w:szCs w:val="26"/>
        </w:rPr>
        <w:t>investment of $</w:t>
      </w:r>
      <w:r w:rsidRPr="000D259D">
        <w:rPr>
          <w:rFonts w:cs="Calibri"/>
          <w:color w:val="000000" w:themeColor="text1"/>
          <w:szCs w:val="26"/>
        </w:rPr>
        <w:t>1,371</w:t>
      </w:r>
      <w:r w:rsidRPr="000D259D">
        <w:rPr>
          <w:szCs w:val="26"/>
        </w:rPr>
        <w:t>.  Administrative costs account for 22 percent for the p</w:t>
      </w:r>
      <w:r w:rsidRPr="001E5711">
        <w:t>rogram cycle</w:t>
      </w:r>
      <w:r>
        <w:t xml:space="preserve"> at $177,606, and energy efficiency measures account for 78 percent at $644,724.  Of the total </w:t>
      </w:r>
      <w:r>
        <w:lastRenderedPageBreak/>
        <w:t>administrative costs, general administration</w:t>
      </w:r>
      <w:r w:rsidRPr="00CD3D66">
        <w:t xml:space="preserve"> </w:t>
      </w:r>
      <w:r>
        <w:t>accounts for 48 percent at $86,106, and outreach and inspections account for 52 percent at $91,500.</w:t>
      </w:r>
      <w:r>
        <w:rPr>
          <w:rStyle w:val="FootnoteReference"/>
        </w:rPr>
        <w:footnoteReference w:id="219"/>
      </w:r>
    </w:p>
    <w:p w:rsidR="008959A4" w:rsidP="008959A4" w:rsidRDefault="008959A4" w14:paraId="6EB332DD" w14:textId="77777777">
      <w:pPr>
        <w:pStyle w:val="ALJBodyText"/>
      </w:pPr>
      <w:r>
        <w:t>Compared</w:t>
      </w:r>
      <w:r w:rsidRPr="000C6626">
        <w:t xml:space="preserve"> to </w:t>
      </w:r>
      <w:r>
        <w:t>the 2017</w:t>
      </w:r>
      <w:r w:rsidRPr="000C6626">
        <w:t xml:space="preserve">-2020 </w:t>
      </w:r>
      <w:r>
        <w:t xml:space="preserve">authorized </w:t>
      </w:r>
      <w:r w:rsidRPr="000C6626">
        <w:t xml:space="preserve">ESA </w:t>
      </w:r>
      <w:r>
        <w:t>p</w:t>
      </w:r>
      <w:r w:rsidRPr="000C6626">
        <w:t>rogram budget,</w:t>
      </w:r>
      <w:r>
        <w:t xml:space="preserve"> Bear Valley </w:t>
      </w:r>
      <w:r w:rsidRPr="000C6626">
        <w:t xml:space="preserve">is proposing a </w:t>
      </w:r>
      <w:r>
        <w:t>lower</w:t>
      </w:r>
      <w:r w:rsidRPr="00EB248E">
        <w:t xml:space="preserve"> overall total budget annually</w:t>
      </w:r>
      <w:r>
        <w:t xml:space="preserve"> due to a shift in treating less households and the historic underspending of Bear Valley’s authorized ESA budget.</w:t>
      </w:r>
    </w:p>
    <w:p w:rsidR="008959A4" w:rsidP="008959A4" w:rsidRDefault="008959A4" w14:paraId="6BB343FD" w14:textId="77777777">
      <w:pPr>
        <w:pStyle w:val="Heading3"/>
      </w:pPr>
      <w:bookmarkStart w:name="_Toc82159853" w:id="284"/>
      <w:r>
        <w:t>Liberty Proposal</w:t>
      </w:r>
      <w:bookmarkEnd w:id="284"/>
      <w:r>
        <w:t xml:space="preserve"> </w:t>
      </w:r>
    </w:p>
    <w:p w:rsidRPr="00CD3D66" w:rsidR="008959A4" w:rsidP="008959A4" w:rsidRDefault="008959A4" w14:paraId="57443CEA" w14:textId="07180D8E">
      <w:pPr>
        <w:pStyle w:val="ALJBodyText"/>
      </w:pPr>
      <w:r w:rsidRPr="00D7393D">
        <w:t xml:space="preserve">Liberty </w:t>
      </w:r>
      <w:r>
        <w:t>r</w:t>
      </w:r>
      <w:r w:rsidRPr="00D7393D">
        <w:t xml:space="preserve">equests </w:t>
      </w:r>
      <w:r w:rsidRPr="001E5711">
        <w:t xml:space="preserve">approximately </w:t>
      </w:r>
      <w:r w:rsidRPr="00D7393D">
        <w:t xml:space="preserve">$2.674 million for </w:t>
      </w:r>
      <w:r>
        <w:t xml:space="preserve">PYs </w:t>
      </w:r>
      <w:r w:rsidRPr="00D7393D">
        <w:t>2021-2026</w:t>
      </w:r>
      <w:r>
        <w:t>, or $</w:t>
      </w:r>
      <w:r w:rsidRPr="001436F0">
        <w:rPr>
          <w:rFonts w:cs="Calibri"/>
          <w:color w:val="000000" w:themeColor="text1"/>
          <w:szCs w:val="26"/>
        </w:rPr>
        <w:t>445,648</w:t>
      </w:r>
      <w:r w:rsidR="0018612B">
        <w:rPr>
          <w:rFonts w:cs="Calibri"/>
          <w:color w:val="000000" w:themeColor="text1"/>
          <w:szCs w:val="26"/>
        </w:rPr>
        <w:t xml:space="preserve"> </w:t>
      </w:r>
      <w:r>
        <w:t xml:space="preserve">annually, </w:t>
      </w:r>
      <w:r w:rsidRPr="001E5711">
        <w:t xml:space="preserve">with </w:t>
      </w:r>
      <w:r>
        <w:t xml:space="preserve">an average </w:t>
      </w:r>
      <w:r w:rsidRPr="00D7393D">
        <w:t xml:space="preserve">per </w:t>
      </w:r>
      <w:r>
        <w:t>household investment of $</w:t>
      </w:r>
      <w:r w:rsidRPr="00D7393D">
        <w:t>2,4</w:t>
      </w:r>
      <w:r>
        <w:t>38.  A</w:t>
      </w:r>
      <w:r w:rsidRPr="001E5711">
        <w:t xml:space="preserve">dministrative costs </w:t>
      </w:r>
      <w:r>
        <w:t>account for 39</w:t>
      </w:r>
      <w:r w:rsidRPr="00E1050D">
        <w:t xml:space="preserve"> </w:t>
      </w:r>
      <w:r w:rsidRPr="0026503D">
        <w:t>percent</w:t>
      </w:r>
      <w:r w:rsidRPr="001E5711">
        <w:t xml:space="preserve"> for the program cycle</w:t>
      </w:r>
      <w:r>
        <w:t xml:space="preserve"> at $1.048 million, and energy efficiency measures account for 61 percent at $1.624 million.  Of the total administrative costs, general administration</w:t>
      </w:r>
      <w:r w:rsidRPr="00CD3D66">
        <w:t xml:space="preserve"> </w:t>
      </w:r>
      <w:r>
        <w:t>accounts for 54 percent at $568,034, and outreach and inspections account for 46 percent at $480,941.</w:t>
      </w:r>
    </w:p>
    <w:p w:rsidR="008959A4" w:rsidP="008959A4" w:rsidRDefault="008959A4" w14:paraId="6FE1CE86" w14:textId="0D71480F">
      <w:pPr>
        <w:pStyle w:val="ALJBodyText"/>
      </w:pPr>
      <w:r>
        <w:t>Compared</w:t>
      </w:r>
      <w:r w:rsidRPr="000C6626">
        <w:t xml:space="preserve"> to </w:t>
      </w:r>
      <w:r>
        <w:t xml:space="preserve">the </w:t>
      </w:r>
      <w:r w:rsidRPr="000C6626">
        <w:t>201</w:t>
      </w:r>
      <w:r>
        <w:t>7</w:t>
      </w:r>
      <w:r w:rsidRPr="000C6626">
        <w:t xml:space="preserve">-2020 ESA </w:t>
      </w:r>
      <w:r>
        <w:t>authorized p</w:t>
      </w:r>
      <w:r w:rsidRPr="000C6626">
        <w:t>rogram budget</w:t>
      </w:r>
      <w:r>
        <w:t>, Liberty is</w:t>
      </w:r>
      <w:r w:rsidRPr="000C6626">
        <w:t xml:space="preserve"> proposing a </w:t>
      </w:r>
      <w:r>
        <w:t>lower</w:t>
      </w:r>
      <w:r w:rsidRPr="00EB248E">
        <w:t xml:space="preserve"> overall total budget annually</w:t>
      </w:r>
      <w:r>
        <w:t xml:space="preserve">, but a much higher investment per household (from $1,494 to $2,438).  Liberty states that this </w:t>
      </w:r>
      <w:r w:rsidRPr="00D7393D">
        <w:t>budget is based on costs from actual measure</w:t>
      </w:r>
      <w:r w:rsidRPr="00D7393D">
        <w:rPr>
          <w:rFonts w:ascii="TimesNewRomanPSMT" w:hAnsi="TimesNewRomanPSMT" w:cs="TimesNewRomanPSMT"/>
          <w:sz w:val="24"/>
          <w:szCs w:val="24"/>
        </w:rPr>
        <w:t xml:space="preserve"> </w:t>
      </w:r>
      <w:r w:rsidRPr="00D7393D">
        <w:t>offerings from previous program cycles, as well as estimated enrollment for new measure offerings,</w:t>
      </w:r>
      <w:r>
        <w:t xml:space="preserve"> </w:t>
      </w:r>
      <w:r w:rsidRPr="00D7393D">
        <w:t>including the implementation of the new electrification pilot.</w:t>
      </w:r>
      <w:r>
        <w:rPr>
          <w:rStyle w:val="FootnoteReference"/>
        </w:rPr>
        <w:footnoteReference w:id="220"/>
      </w:r>
      <w:r>
        <w:t xml:space="preserve">  Of the proposed </w:t>
      </w:r>
      <w:r w:rsidRPr="00D7393D">
        <w:t>$2.674 million</w:t>
      </w:r>
      <w:r>
        <w:t xml:space="preserve">, </w:t>
      </w:r>
      <w:r w:rsidRPr="005B1ED9">
        <w:t xml:space="preserve">$166,387 </w:t>
      </w:r>
      <w:r>
        <w:t xml:space="preserve">would be a carryover from the </w:t>
      </w:r>
      <w:r w:rsidRPr="005B1ED9">
        <w:t>2020</w:t>
      </w:r>
      <w:r>
        <w:t xml:space="preserve"> </w:t>
      </w:r>
      <w:r w:rsidRPr="005B1ED9">
        <w:t>administrative budget</w:t>
      </w:r>
      <w:r>
        <w:t>.</w:t>
      </w:r>
      <w:r>
        <w:rPr>
          <w:rStyle w:val="FootnoteReference"/>
        </w:rPr>
        <w:footnoteReference w:id="221"/>
      </w:r>
    </w:p>
    <w:p w:rsidR="008959A4" w:rsidP="008959A4" w:rsidRDefault="008959A4" w14:paraId="44BCCBA3" w14:textId="77777777">
      <w:pPr>
        <w:pStyle w:val="Heading3"/>
      </w:pPr>
      <w:bookmarkStart w:name="_Toc82159854" w:id="285"/>
      <w:r>
        <w:lastRenderedPageBreak/>
        <w:t>PacifiCorp Proposal</w:t>
      </w:r>
      <w:bookmarkEnd w:id="285"/>
      <w:r>
        <w:t xml:space="preserve"> </w:t>
      </w:r>
    </w:p>
    <w:p w:rsidR="008959A4" w:rsidP="008959A4" w:rsidRDefault="008959A4" w14:paraId="19DD07DB" w14:textId="77777777">
      <w:pPr>
        <w:pStyle w:val="ALJBodyText"/>
      </w:pPr>
      <w:r>
        <w:t>PacifiCorp</w:t>
      </w:r>
      <w:r w:rsidRPr="00637D5D">
        <w:t xml:space="preserve"> </w:t>
      </w:r>
      <w:r>
        <w:t>requests</w:t>
      </w:r>
      <w:r w:rsidRPr="001E5711">
        <w:t xml:space="preserve"> approximately $</w:t>
      </w:r>
      <w:r>
        <w:t>5</w:t>
      </w:r>
      <w:r w:rsidRPr="00637D5D">
        <w:t xml:space="preserve"> million</w:t>
      </w:r>
      <w:r w:rsidRPr="001E5711">
        <w:t xml:space="preserve"> </w:t>
      </w:r>
      <w:r>
        <w:t>for PYs 2021-2026</w:t>
      </w:r>
      <w:r w:rsidRPr="001E5711">
        <w:t xml:space="preserve">, </w:t>
      </w:r>
      <w:r>
        <w:t xml:space="preserve">or $832,700 annually, </w:t>
      </w:r>
      <w:r w:rsidRPr="001E5711">
        <w:t xml:space="preserve">with </w:t>
      </w:r>
      <w:r>
        <w:t xml:space="preserve">an average </w:t>
      </w:r>
      <w:r w:rsidRPr="00D7393D">
        <w:t xml:space="preserve">per </w:t>
      </w:r>
      <w:r>
        <w:t xml:space="preserve">household investment of </w:t>
      </w:r>
      <w:r w:rsidRPr="00DE4776">
        <w:t>$5,783</w:t>
      </w:r>
      <w:r>
        <w:t>.  A</w:t>
      </w:r>
      <w:r w:rsidRPr="001E5711">
        <w:t xml:space="preserve">dministrative costs </w:t>
      </w:r>
      <w:r>
        <w:t>account for 25</w:t>
      </w:r>
      <w:r w:rsidRPr="00E1050D">
        <w:t xml:space="preserve"> </w:t>
      </w:r>
      <w:r w:rsidRPr="0026503D">
        <w:t>percent</w:t>
      </w:r>
      <w:r>
        <w:t xml:space="preserve"> </w:t>
      </w:r>
      <w:r w:rsidRPr="001E5711">
        <w:t>for the program cycle</w:t>
      </w:r>
      <w:r>
        <w:t xml:space="preserve"> at $1.235 million, and energy efficiency measures account for 75 percent at $3.76 million. Of the total administrative costs, </w:t>
      </w:r>
      <w:r w:rsidRPr="007520DE">
        <w:t>general</w:t>
      </w:r>
      <w:r>
        <w:t xml:space="preserve"> administration</w:t>
      </w:r>
      <w:r w:rsidRPr="00CD3D66">
        <w:t xml:space="preserve"> </w:t>
      </w:r>
      <w:r>
        <w:t>accounts for 79 percent at $970,500, and outreach and inspections account for 21 percent at 265,000.</w:t>
      </w:r>
      <w:r>
        <w:rPr>
          <w:rStyle w:val="FootnoteReference"/>
        </w:rPr>
        <w:footnoteReference w:id="222"/>
      </w:r>
      <w:r>
        <w:t xml:space="preserve">  </w:t>
      </w:r>
    </w:p>
    <w:p w:rsidRPr="00886C25" w:rsidR="008959A4" w:rsidP="008959A4" w:rsidRDefault="008959A4" w14:paraId="4F8315A7" w14:textId="77777777">
      <w:pPr>
        <w:pStyle w:val="ALJBodyText"/>
      </w:pPr>
      <w:r>
        <w:t>Compared</w:t>
      </w:r>
      <w:r w:rsidRPr="000C6626">
        <w:t xml:space="preserve"> to </w:t>
      </w:r>
      <w:r>
        <w:t xml:space="preserve">the </w:t>
      </w:r>
      <w:r w:rsidRPr="000C6626">
        <w:t>201</w:t>
      </w:r>
      <w:r>
        <w:t>7</w:t>
      </w:r>
      <w:r w:rsidRPr="000C6626">
        <w:t xml:space="preserve">-2020 ESA </w:t>
      </w:r>
      <w:r>
        <w:t>authorized p</w:t>
      </w:r>
      <w:r w:rsidRPr="000C6626">
        <w:t>rogram budget,</w:t>
      </w:r>
      <w:r>
        <w:t xml:space="preserve"> PacifiCorp </w:t>
      </w:r>
      <w:r w:rsidRPr="000C6626">
        <w:t xml:space="preserve">is proposing a </w:t>
      </w:r>
      <w:r>
        <w:t>similar</w:t>
      </w:r>
      <w:r w:rsidRPr="00EB248E">
        <w:t xml:space="preserve"> overall total budget annually</w:t>
      </w:r>
      <w:r>
        <w:t xml:space="preserve"> and an increase in average household investment due to a shift in focus on deeper, more expensive energy efficiency measure installations</w:t>
      </w:r>
      <w:r w:rsidRPr="00EB248E">
        <w:t xml:space="preserve">, </w:t>
      </w:r>
      <w:r>
        <w:t>and</w:t>
      </w:r>
      <w:r w:rsidRPr="00EB248E">
        <w:t xml:space="preserve"> fewer households treated</w:t>
      </w:r>
      <w:r>
        <w:t>.</w:t>
      </w:r>
    </w:p>
    <w:p w:rsidR="008959A4" w:rsidP="008959A4" w:rsidRDefault="008959A4" w14:paraId="72E2913D" w14:textId="77777777">
      <w:pPr>
        <w:pStyle w:val="Heading3"/>
      </w:pPr>
      <w:bookmarkStart w:name="_Toc82159855" w:id="286"/>
      <w:r>
        <w:t>Southwest Gas Proposal</w:t>
      </w:r>
      <w:bookmarkEnd w:id="286"/>
      <w:r>
        <w:t xml:space="preserve"> </w:t>
      </w:r>
    </w:p>
    <w:p w:rsidRPr="002B110D" w:rsidR="008959A4" w:rsidP="008959A4" w:rsidRDefault="008959A4" w14:paraId="78EACEBD" w14:textId="77777777">
      <w:pPr>
        <w:pStyle w:val="ALJBodyText"/>
      </w:pPr>
      <w:r w:rsidRPr="00336777">
        <w:t>S</w:t>
      </w:r>
      <w:r>
        <w:t>outhwest Gas</w:t>
      </w:r>
      <w:r w:rsidRPr="00336777">
        <w:t xml:space="preserve"> </w:t>
      </w:r>
      <w:r>
        <w:t>requests</w:t>
      </w:r>
      <w:r w:rsidRPr="001E5711">
        <w:t xml:space="preserve"> approximately $</w:t>
      </w:r>
      <w:r>
        <w:t xml:space="preserve">35 </w:t>
      </w:r>
      <w:r w:rsidRPr="00637D5D">
        <w:t>million</w:t>
      </w:r>
      <w:r w:rsidRPr="001E5711">
        <w:t xml:space="preserve"> </w:t>
      </w:r>
      <w:r>
        <w:t>for PYs 2021-2026</w:t>
      </w:r>
      <w:r w:rsidRPr="001E5711">
        <w:t>,</w:t>
      </w:r>
      <w:r>
        <w:t xml:space="preserve"> </w:t>
      </w:r>
      <w:r w:rsidRPr="001E5711">
        <w:t xml:space="preserve">with </w:t>
      </w:r>
      <w:r>
        <w:t xml:space="preserve">an average </w:t>
      </w:r>
      <w:r w:rsidRPr="00D7393D">
        <w:t xml:space="preserve">per </w:t>
      </w:r>
      <w:r>
        <w:t xml:space="preserve">household investment of </w:t>
      </w:r>
      <w:r w:rsidRPr="00D7393D">
        <w:t>$</w:t>
      </w:r>
      <w:r>
        <w:t>2,931.  A</w:t>
      </w:r>
      <w:r w:rsidRPr="001E5711">
        <w:t xml:space="preserve">dministrative costs </w:t>
      </w:r>
      <w:r>
        <w:t xml:space="preserve">account for 13 </w:t>
      </w:r>
      <w:r w:rsidRPr="0026503D">
        <w:t>percent</w:t>
      </w:r>
      <w:r w:rsidRPr="001E5711">
        <w:t xml:space="preserve"> for the program cycle</w:t>
      </w:r>
      <w:r>
        <w:t xml:space="preserve"> at $4.5 million, and energy efficiency measures account for 87 percent at $30.671 million. Of the total administrative costs, general administration</w:t>
      </w:r>
      <w:r w:rsidRPr="00CD3D66">
        <w:t xml:space="preserve"> </w:t>
      </w:r>
      <w:r>
        <w:t>accounts for 62 percent at $2.8 million, and outreach and inspections account for 38 percent at $1.697 million.</w:t>
      </w:r>
      <w:r>
        <w:rPr>
          <w:rStyle w:val="FootnoteReference"/>
        </w:rPr>
        <w:footnoteReference w:id="223"/>
      </w:r>
    </w:p>
    <w:p w:rsidR="008959A4" w:rsidP="008959A4" w:rsidRDefault="008959A4" w14:paraId="630A12FB" w14:textId="77777777">
      <w:pPr>
        <w:pStyle w:val="ALJBodyText"/>
      </w:pPr>
      <w:r>
        <w:t>Compared</w:t>
      </w:r>
      <w:r w:rsidRPr="000C6626">
        <w:t xml:space="preserve"> to </w:t>
      </w:r>
      <w:r>
        <w:t xml:space="preserve">the </w:t>
      </w:r>
      <w:r w:rsidRPr="000C6626">
        <w:t>201</w:t>
      </w:r>
      <w:r>
        <w:t>7</w:t>
      </w:r>
      <w:r w:rsidRPr="000C6626">
        <w:t xml:space="preserve">-2020 ESA </w:t>
      </w:r>
      <w:r>
        <w:t>authorized p</w:t>
      </w:r>
      <w:r w:rsidRPr="000C6626">
        <w:t>rogram budget,</w:t>
      </w:r>
      <w:r>
        <w:t xml:space="preserve"> </w:t>
      </w:r>
      <w:r w:rsidRPr="000C6626">
        <w:t xml:space="preserve">Southwest Gas is proposing a </w:t>
      </w:r>
      <w:r>
        <w:t>slightly higher</w:t>
      </w:r>
      <w:r w:rsidRPr="000C6626">
        <w:t xml:space="preserve"> overall total budget</w:t>
      </w:r>
      <w:r>
        <w:t xml:space="preserve"> annually due to a as compared to the 2018-2020 budget because PYs </w:t>
      </w:r>
      <w:r w:rsidRPr="000C6626">
        <w:t>2021-</w:t>
      </w:r>
      <w:r>
        <w:t xml:space="preserve"> </w:t>
      </w:r>
      <w:r w:rsidRPr="000C6626">
        <w:t xml:space="preserve">2026 </w:t>
      </w:r>
      <w:r>
        <w:t>due to a shift in focus on deeper, high value energy efficiency measure installations</w:t>
      </w:r>
      <w:r w:rsidRPr="00EB248E">
        <w:t xml:space="preserve">, </w:t>
      </w:r>
      <w:r>
        <w:t>and</w:t>
      </w:r>
      <w:r w:rsidRPr="00EB248E">
        <w:t xml:space="preserve"> fewer households treated</w:t>
      </w:r>
      <w:r>
        <w:t>.</w:t>
      </w:r>
    </w:p>
    <w:p w:rsidRPr="0007091E" w:rsidR="008959A4" w:rsidP="008959A4" w:rsidRDefault="008959A4" w14:paraId="14871DCC" w14:textId="77777777">
      <w:pPr>
        <w:pStyle w:val="Heading3"/>
      </w:pPr>
      <w:bookmarkStart w:name="_Toc82159856" w:id="287"/>
      <w:r w:rsidRPr="0007091E">
        <w:lastRenderedPageBreak/>
        <w:t xml:space="preserve">Party </w:t>
      </w:r>
      <w:r>
        <w:t>Comments</w:t>
      </w:r>
      <w:bookmarkEnd w:id="287"/>
    </w:p>
    <w:p w:rsidRPr="0019115B" w:rsidR="008959A4" w:rsidP="008959A4" w:rsidRDefault="008959A4" w14:paraId="1E8EE331" w14:textId="77777777">
      <w:pPr>
        <w:pStyle w:val="Heading4"/>
        <w:ind w:left="3600" w:hanging="1260"/>
      </w:pPr>
      <w:bookmarkStart w:name="_Toc82159857" w:id="288"/>
      <w:r w:rsidRPr="0019115B">
        <w:t>Cal Advocates</w:t>
      </w:r>
      <w:bookmarkEnd w:id="288"/>
    </w:p>
    <w:p w:rsidRPr="005627C3" w:rsidR="008959A4" w:rsidP="008959A4" w:rsidRDefault="008959A4" w14:paraId="6AAE9E99" w14:textId="77777777">
      <w:pPr>
        <w:pStyle w:val="Standard"/>
      </w:pPr>
      <w:r>
        <w:rPr>
          <w:b/>
          <w:bCs/>
          <w:i/>
          <w:iCs/>
          <w:u w:val="single"/>
        </w:rPr>
        <w:t>Budget Adjustments via Tier 3 Advice Letter:</w:t>
      </w:r>
      <w:r>
        <w:t xml:space="preserve"> Cal </w:t>
      </w:r>
      <w:r w:rsidRPr="00EB0954">
        <w:t xml:space="preserve">Advocates </w:t>
      </w:r>
      <w:r>
        <w:t xml:space="preserve">states that the </w:t>
      </w:r>
      <w:r w:rsidRPr="00A51FC8">
        <w:t xml:space="preserve">COVID-19 pandemic </w:t>
      </w:r>
      <w:r>
        <w:t>has l</w:t>
      </w:r>
      <w:r w:rsidRPr="00A51FC8">
        <w:t xml:space="preserve">ikely </w:t>
      </w:r>
      <w:r>
        <w:t>i</w:t>
      </w:r>
      <w:r w:rsidRPr="00A51FC8">
        <w:t>ncrease</w:t>
      </w:r>
      <w:r>
        <w:t>d</w:t>
      </w:r>
      <w:r w:rsidRPr="00A51FC8">
        <w:t xml:space="preserve"> the number of </w:t>
      </w:r>
      <w:r>
        <w:t>ESA</w:t>
      </w:r>
      <w:r w:rsidRPr="00EB0954">
        <w:t xml:space="preserve"> e</w:t>
      </w:r>
      <w:r w:rsidRPr="00A51FC8">
        <w:t>ligible customers in all SMJUs’ service territories</w:t>
      </w:r>
      <w:r>
        <w:t xml:space="preserve">.  </w:t>
      </w:r>
      <w:r w:rsidRPr="009E72FE">
        <w:t>To reduce the financial hardship of low-income customers, the</w:t>
      </w:r>
      <w:r>
        <w:t xml:space="preserve"> </w:t>
      </w:r>
      <w:r w:rsidRPr="009E72FE">
        <w:t>SMJUs should increase enrollment of customers in the ESA program and should increase</w:t>
      </w:r>
      <w:r>
        <w:t xml:space="preserve"> </w:t>
      </w:r>
      <w:r w:rsidRPr="009E72FE">
        <w:t>ESA installations, to the extent permitted under state and local public health regulations</w:t>
      </w:r>
      <w:r>
        <w:t xml:space="preserve"> </w:t>
      </w:r>
      <w:r w:rsidRPr="009E72FE">
        <w:t xml:space="preserve">for in-home access, proportional to increases in CARE eligibility. </w:t>
      </w:r>
      <w:r>
        <w:t xml:space="preserve"> </w:t>
      </w:r>
      <w:r w:rsidRPr="009E72FE">
        <w:t>If an SMJU anticipates treating more customers in PY 2021-2026 due to a rising</w:t>
      </w:r>
      <w:r>
        <w:t xml:space="preserve"> </w:t>
      </w:r>
      <w:r w:rsidRPr="009E72FE">
        <w:t>number of ESA-eligible customers in the territory</w:t>
      </w:r>
      <w:r w:rsidRPr="00E400C4">
        <w:t>, the SMJU should file a Tier 3 advice letter requesting</w:t>
      </w:r>
      <w:r w:rsidRPr="00E400C4">
        <w:rPr>
          <w:rFonts w:ascii="TimesNewRomanPSMT" w:hAnsi="TimesNewRomanPSMT" w:cs="TimesNewRomanPSMT"/>
          <w:szCs w:val="26"/>
        </w:rPr>
        <w:t xml:space="preserve"> </w:t>
      </w:r>
      <w:r w:rsidRPr="00E400C4">
        <w:t>additional cost recovery for increased program activity.</w:t>
      </w:r>
      <w:r w:rsidRPr="00E400C4">
        <w:rPr>
          <w:rStyle w:val="FootnoteReference"/>
        </w:rPr>
        <w:footnoteReference w:id="224"/>
      </w:r>
    </w:p>
    <w:p w:rsidRPr="0019115B" w:rsidR="008959A4" w:rsidP="008959A4" w:rsidRDefault="008959A4" w14:paraId="48073E94" w14:textId="77777777">
      <w:pPr>
        <w:pStyle w:val="Heading4"/>
        <w:ind w:left="3600" w:hanging="1260"/>
      </w:pPr>
      <w:bookmarkStart w:name="_Toc82159858" w:id="289"/>
      <w:r w:rsidRPr="0019115B">
        <w:t>EEC and Free Energy</w:t>
      </w:r>
      <w:bookmarkEnd w:id="289"/>
    </w:p>
    <w:p w:rsidR="008959A4" w:rsidP="008959A4" w:rsidRDefault="008959A4" w14:paraId="58F89C4A" w14:textId="77777777">
      <w:pPr>
        <w:pStyle w:val="Standard"/>
      </w:pPr>
      <w:r w:rsidRPr="003D792C">
        <w:rPr>
          <w:b/>
          <w:bCs/>
          <w:i/>
          <w:iCs/>
          <w:u w:val="single"/>
        </w:rPr>
        <w:t>Budget Adjustments via Tier 3 Advice Letter</w:t>
      </w:r>
      <w:r w:rsidRPr="007704A4">
        <w:rPr>
          <w:b/>
          <w:bCs/>
          <w:i/>
          <w:iCs/>
        </w:rPr>
        <w:t>:</w:t>
      </w:r>
      <w:r w:rsidRPr="003D792C">
        <w:t xml:space="preserve">  EEC and Free Energy recommend that the annual budgets be adjusted to reflect </w:t>
      </w:r>
      <w:r>
        <w:t>an updated treatment goal, with the new treatment numbers being multiplied by the</w:t>
      </w:r>
      <w:r w:rsidRPr="003D792C">
        <w:t xml:space="preserve"> typical costs expected for the relative expected mix of original and re-treatment weatherization and for approved measure mixes</w:t>
      </w:r>
      <w:r>
        <w:t xml:space="preserve"> to calculate budget adjustments</w:t>
      </w:r>
      <w:r w:rsidRPr="003D792C">
        <w:t>.</w:t>
      </w:r>
      <w:r w:rsidRPr="003D792C">
        <w:rPr>
          <w:vertAlign w:val="superscript"/>
        </w:rPr>
        <w:footnoteReference w:id="225"/>
      </w:r>
    </w:p>
    <w:p w:rsidR="008959A4" w:rsidP="008959A4" w:rsidRDefault="008959A4" w14:paraId="5490ABA2" w14:textId="77777777">
      <w:pPr>
        <w:pStyle w:val="Standard"/>
      </w:pPr>
      <w:r>
        <w:t xml:space="preserve">They do not recommend waiting until the advice letter process to adjust budgets, and instead recommend that the Commission adjust budgets in this decision based on new and higher proposed goals, given that the SMJUs’ proposed goals do not take into consideration the impacts of COVID-19 and the </w:t>
      </w:r>
      <w:r>
        <w:lastRenderedPageBreak/>
        <w:t>increased eligible population</w:t>
      </w:r>
      <w:r w:rsidRPr="00330E99">
        <w:t>.</w:t>
      </w:r>
      <w:r>
        <w:rPr>
          <w:rStyle w:val="FootnoteReference"/>
        </w:rPr>
        <w:footnoteReference w:id="226"/>
      </w:r>
      <w:r>
        <w:t xml:space="preserve">  However they do agree that the SMJUs should be </w:t>
      </w:r>
      <w:r w:rsidRPr="00EA442A">
        <w:t xml:space="preserve">granted the ability to make ESA program adjustments via </w:t>
      </w:r>
      <w:r>
        <w:t>a</w:t>
      </w:r>
      <w:r w:rsidRPr="00EA442A">
        <w:t>dvice letters and regulatory reports</w:t>
      </w:r>
      <w:r>
        <w:t xml:space="preserve">, but recommend that the SMJUs seek input/participation </w:t>
      </w:r>
      <w:r w:rsidRPr="00EA442A">
        <w:t>by other stakeholders</w:t>
      </w:r>
      <w:r>
        <w:t xml:space="preserve">, specifically the </w:t>
      </w:r>
      <w:r w:rsidRPr="00EA442A">
        <w:t>ESA contractors and, if feasible, the L</w:t>
      </w:r>
      <w:r>
        <w:t xml:space="preserve">ow </w:t>
      </w:r>
      <w:r w:rsidRPr="00EA442A">
        <w:t>I</w:t>
      </w:r>
      <w:r>
        <w:t xml:space="preserve">ncome </w:t>
      </w:r>
      <w:r w:rsidRPr="00EA442A">
        <w:t>O</w:t>
      </w:r>
      <w:r>
        <w:t xml:space="preserve">versight </w:t>
      </w:r>
      <w:r w:rsidRPr="00EA442A">
        <w:t>B</w:t>
      </w:r>
      <w:r>
        <w:t>oard.  EEC and Free Energy also recommend that all s</w:t>
      </w:r>
      <w:r w:rsidRPr="00EA442A">
        <w:t xml:space="preserve">uch advice letters and regulatory reports be automatically provided to all ESA </w:t>
      </w:r>
      <w:r>
        <w:t>c</w:t>
      </w:r>
      <w:r w:rsidRPr="00EA442A">
        <w:t>ontractors and other stakeholders unless an individual</w:t>
      </w:r>
      <w:r>
        <w:t xml:space="preserve"> </w:t>
      </w:r>
      <w:r w:rsidRPr="00EA442A">
        <w:t>wishes to opt-out of such distributions</w:t>
      </w:r>
      <w:r>
        <w:t xml:space="preserve">, and that the SMJUs be required to </w:t>
      </w:r>
      <w:r w:rsidRPr="00EA442A">
        <w:t>provide regular interim progress reports</w:t>
      </w:r>
      <w:r>
        <w:t xml:space="preserve"> (either monthly or quarterly)</w:t>
      </w:r>
      <w:r w:rsidRPr="00EA442A">
        <w:t>.</w:t>
      </w:r>
      <w:r>
        <w:rPr>
          <w:rStyle w:val="FootnoteReference"/>
        </w:rPr>
        <w:footnoteReference w:id="227"/>
      </w:r>
    </w:p>
    <w:p w:rsidRPr="00E91C3F" w:rsidR="008959A4" w:rsidP="008959A4" w:rsidRDefault="008959A4" w14:paraId="4D153D24" w14:textId="77777777">
      <w:pPr>
        <w:pStyle w:val="Standard"/>
      </w:pPr>
      <w:r w:rsidRPr="003912C5">
        <w:rPr>
          <w:b/>
          <w:bCs/>
          <w:i/>
          <w:iCs/>
          <w:u w:val="single"/>
        </w:rPr>
        <w:t>Budget Certainty</w:t>
      </w:r>
      <w:r>
        <w:rPr>
          <w:b/>
          <w:bCs/>
          <w:i/>
          <w:iCs/>
          <w:u w:val="single"/>
        </w:rPr>
        <w:t xml:space="preserve"> for ESA Contractors</w:t>
      </w:r>
      <w:r>
        <w:t xml:space="preserve">:  EEC and Free Energy state that ESA contractors should be granted with some level of budget certainty to </w:t>
      </w:r>
      <w:r w:rsidRPr="007F11B3">
        <w:t>plan for the</w:t>
      </w:r>
      <w:r>
        <w:t xml:space="preserve"> </w:t>
      </w:r>
      <w:r w:rsidRPr="007F11B3">
        <w:t>program.</w:t>
      </w:r>
      <w:r>
        <w:t xml:space="preserve">  Specifically, they recommend that t</w:t>
      </w:r>
      <w:r w:rsidRPr="007F11B3">
        <w:t>he per unit</w:t>
      </w:r>
      <w:r>
        <w:t xml:space="preserve"> </w:t>
      </w:r>
      <w:r w:rsidRPr="007F11B3">
        <w:t xml:space="preserve">reimbursements </w:t>
      </w:r>
      <w:r>
        <w:t xml:space="preserve">for contractors </w:t>
      </w:r>
      <w:r w:rsidRPr="007F11B3">
        <w:t xml:space="preserve">be increased at the same rate as being provided to the </w:t>
      </w:r>
      <w:r>
        <w:t xml:space="preserve">utilities, allowing </w:t>
      </w:r>
      <w:r w:rsidRPr="007F11B3">
        <w:t xml:space="preserve">the ESA </w:t>
      </w:r>
      <w:r>
        <w:t>c</w:t>
      </w:r>
      <w:r w:rsidRPr="007F11B3">
        <w:t>ontractors to make long term investments in staffing, equipment, and other</w:t>
      </w:r>
      <w:r>
        <w:t xml:space="preserve"> </w:t>
      </w:r>
      <w:r w:rsidRPr="007F11B3">
        <w:t>infrastructure.</w:t>
      </w:r>
      <w:r>
        <w:t xml:space="preserve">  This assurance would not require the </w:t>
      </w:r>
      <w:r w:rsidRPr="007F11B3">
        <w:t xml:space="preserve">Commission </w:t>
      </w:r>
      <w:r>
        <w:t xml:space="preserve">to get involved with </w:t>
      </w:r>
      <w:r w:rsidRPr="007F11B3">
        <w:t>the current or planned individual item-by</w:t>
      </w:r>
      <w:r>
        <w:t>-</w:t>
      </w:r>
      <w:r w:rsidRPr="007F11B3">
        <w:t>item reimbursements</w:t>
      </w:r>
      <w:r>
        <w:t xml:space="preserve">, but rather assure that the </w:t>
      </w:r>
      <w:r w:rsidRPr="007F11B3">
        <w:t>year-to-year percentage increases generally match</w:t>
      </w:r>
      <w:r>
        <w:t xml:space="preserve"> </w:t>
      </w:r>
      <w:r w:rsidRPr="007F11B3">
        <w:t xml:space="preserve">that requested by and being provided to the </w:t>
      </w:r>
      <w:r>
        <w:t>u</w:t>
      </w:r>
      <w:r w:rsidRPr="007F11B3">
        <w:t>tilities.</w:t>
      </w:r>
      <w:r>
        <w:rPr>
          <w:rStyle w:val="FootnoteReference"/>
        </w:rPr>
        <w:footnoteReference w:id="228"/>
      </w:r>
    </w:p>
    <w:p w:rsidRPr="003269FF" w:rsidR="008959A4" w:rsidP="008959A4" w:rsidRDefault="008959A4" w14:paraId="42D77F5F" w14:textId="77777777">
      <w:pPr>
        <w:pStyle w:val="Heading3"/>
      </w:pPr>
      <w:bookmarkStart w:name="_Toc82159859" w:id="290"/>
      <w:r w:rsidRPr="003269FF">
        <w:t>SMJU Responses</w:t>
      </w:r>
      <w:bookmarkEnd w:id="290"/>
    </w:p>
    <w:p w:rsidR="008959A4" w:rsidP="008959A4" w:rsidRDefault="008959A4" w14:paraId="603E2B90" w14:textId="77777777">
      <w:pPr>
        <w:pStyle w:val="Heading4"/>
        <w:ind w:left="3600" w:hanging="1260"/>
      </w:pPr>
      <w:bookmarkStart w:name="_Toc82159860" w:id="291"/>
      <w:r>
        <w:t>Southwest Gas</w:t>
      </w:r>
      <w:r w:rsidRPr="00D03E26">
        <w:t>, P</w:t>
      </w:r>
      <w:r>
        <w:t>acifiCorp</w:t>
      </w:r>
      <w:r w:rsidRPr="00D03E26">
        <w:t>, L</w:t>
      </w:r>
      <w:r>
        <w:t>iberty</w:t>
      </w:r>
      <w:r w:rsidRPr="00D03E26">
        <w:t xml:space="preserve">, </w:t>
      </w:r>
      <w:r>
        <w:br/>
      </w:r>
      <w:r w:rsidRPr="00D03E26">
        <w:t>B</w:t>
      </w:r>
      <w:r>
        <w:t>ear Valley (Joint SMJUs) Response</w:t>
      </w:r>
      <w:bookmarkEnd w:id="291"/>
    </w:p>
    <w:p w:rsidR="008959A4" w:rsidP="008959A4" w:rsidRDefault="008959A4" w14:paraId="4C1A1B2A" w14:textId="77777777">
      <w:pPr>
        <w:pStyle w:val="Standard"/>
      </w:pPr>
      <w:r>
        <w:rPr>
          <w:b/>
          <w:bCs/>
          <w:i/>
          <w:iCs/>
          <w:u w:val="single"/>
        </w:rPr>
        <w:t>Budget Adjustments via Tier 3 Advice Letter</w:t>
      </w:r>
      <w:r w:rsidRPr="0029369F">
        <w:rPr>
          <w:b/>
          <w:bCs/>
          <w:i/>
          <w:iCs/>
        </w:rPr>
        <w:t xml:space="preserve">: </w:t>
      </w:r>
      <w:r>
        <w:t xml:space="preserve"> First, the Joint SMJUs </w:t>
      </w:r>
      <w:r w:rsidRPr="00FD758A">
        <w:t xml:space="preserve">disagree with </w:t>
      </w:r>
      <w:r>
        <w:t xml:space="preserve">EEC and Free Energy’s </w:t>
      </w:r>
      <w:r w:rsidRPr="00FD758A">
        <w:t>flawed conclusion</w:t>
      </w:r>
      <w:r>
        <w:t xml:space="preserve"> for newly proposed </w:t>
      </w:r>
      <w:r>
        <w:lastRenderedPageBreak/>
        <w:t xml:space="preserve">goals and budgets.  Second, they state that EEC and Free Energy’s concerns can and will be addressed by Cal Advocate’s proposal for the SMJUs to </w:t>
      </w:r>
      <w:r w:rsidRPr="00FD758A">
        <w:t xml:space="preserve">file an advice letter if they find that an increase in the ESA </w:t>
      </w:r>
      <w:r>
        <w:t>p</w:t>
      </w:r>
      <w:r w:rsidRPr="00FD758A">
        <w:t xml:space="preserve">rogram budget is needed to address unforeseen impacts resulting from the COVID-19 pandemic. </w:t>
      </w:r>
      <w:r>
        <w:t xml:space="preserve"> F</w:t>
      </w:r>
      <w:r w:rsidRPr="00FD758A">
        <w:t>inally, if the Commission believes the SMJUs should use</w:t>
      </w:r>
      <w:r w:rsidRPr="00FD758A">
        <w:rPr>
          <w:rFonts w:ascii="Arial" w:hAnsi="Arial" w:cs="Arial"/>
          <w:color w:val="000000"/>
          <w:sz w:val="23"/>
          <w:szCs w:val="23"/>
        </w:rPr>
        <w:t xml:space="preserve"> </w:t>
      </w:r>
      <w:r w:rsidRPr="00FD758A">
        <w:t xml:space="preserve">more recent data in developing their ESA Program budgets, the SMJUs </w:t>
      </w:r>
      <w:r>
        <w:t xml:space="preserve">recommend </w:t>
      </w:r>
      <w:r w:rsidRPr="00FD758A">
        <w:t>that the issue be addressed by revising the Guidance Document on a going forward basis</w:t>
      </w:r>
      <w:r>
        <w:t>, as r</w:t>
      </w:r>
      <w:r w:rsidRPr="00FD758A">
        <w:t xml:space="preserve">evising the vintage of data used in this proceeding would cause an unreasonable and unnecessary delay in effectuating the ESA </w:t>
      </w:r>
      <w:r>
        <w:t>p</w:t>
      </w:r>
      <w:r w:rsidRPr="00FD758A">
        <w:t>rogram for the current plan years.</w:t>
      </w:r>
      <w:r>
        <w:rPr>
          <w:rStyle w:val="FootnoteReference"/>
        </w:rPr>
        <w:footnoteReference w:id="229"/>
      </w:r>
    </w:p>
    <w:p w:rsidR="008959A4" w:rsidP="008959A4" w:rsidRDefault="008959A4" w14:paraId="2090EAA8" w14:textId="77777777">
      <w:pPr>
        <w:pStyle w:val="Standard"/>
      </w:pPr>
      <w:r w:rsidRPr="00E90484">
        <w:t xml:space="preserve">The </w:t>
      </w:r>
      <w:r>
        <w:t xml:space="preserve">Joint </w:t>
      </w:r>
      <w:r w:rsidRPr="00E90484">
        <w:t xml:space="preserve">SMJUs </w:t>
      </w:r>
      <w:r>
        <w:t xml:space="preserve">also oppose EEC and Free Energy’s recommendation that the </w:t>
      </w:r>
      <w:r w:rsidRPr="00E90484">
        <w:t>SMJUs provide</w:t>
      </w:r>
      <w:r>
        <w:t xml:space="preserve"> additional reporting because they are</w:t>
      </w:r>
      <w:r w:rsidRPr="00E90484">
        <w:t xml:space="preserve"> neither warranted nor practicable</w:t>
      </w:r>
      <w:r>
        <w:t xml:space="preserve">; The SMJUs already </w:t>
      </w:r>
      <w:r w:rsidRPr="00E90484">
        <w:t>provide annual</w:t>
      </w:r>
      <w:r w:rsidRPr="00E90484">
        <w:rPr>
          <w:rFonts w:ascii="Arial" w:hAnsi="Arial" w:cs="Arial"/>
          <w:sz w:val="23"/>
          <w:szCs w:val="23"/>
        </w:rPr>
        <w:t xml:space="preserve"> </w:t>
      </w:r>
      <w:r w:rsidRPr="00E90484">
        <w:t>low-income report</w:t>
      </w:r>
      <w:r>
        <w:t>s</w:t>
      </w:r>
      <w:r w:rsidRPr="00E90484">
        <w:t xml:space="preserve"> and monthly COVID-19 CARE reporting to the Commission. </w:t>
      </w:r>
      <w:r>
        <w:t xml:space="preserve"> </w:t>
      </w:r>
      <w:r w:rsidRPr="00E90484">
        <w:t>Additionally,</w:t>
      </w:r>
      <w:r>
        <w:t xml:space="preserve"> </w:t>
      </w:r>
      <w:r w:rsidRPr="00E90484">
        <w:t>the SMJUs have smaller California operations and greater resource limitations than the</w:t>
      </w:r>
      <w:r>
        <w:t xml:space="preserve"> </w:t>
      </w:r>
      <w:r w:rsidRPr="00E90484">
        <w:t>large IOUs and would require various system improvements and additional resources to</w:t>
      </w:r>
      <w:r>
        <w:t xml:space="preserve"> </w:t>
      </w:r>
      <w:r w:rsidRPr="00E90484">
        <w:t>allow for more frequent reporting.</w:t>
      </w:r>
      <w:r>
        <w:rPr>
          <w:rStyle w:val="FootnoteReference"/>
        </w:rPr>
        <w:footnoteReference w:id="230"/>
      </w:r>
    </w:p>
    <w:p w:rsidRPr="00DB07EC" w:rsidR="008959A4" w:rsidP="008959A4" w:rsidRDefault="008959A4" w14:paraId="7287050C" w14:textId="77777777">
      <w:pPr>
        <w:pStyle w:val="Standard"/>
      </w:pPr>
      <w:r w:rsidRPr="00940864">
        <w:t>Lastly, t</w:t>
      </w:r>
      <w:r w:rsidRPr="00D170CD">
        <w:t>he</w:t>
      </w:r>
      <w:r w:rsidRPr="00542F63">
        <w:t xml:space="preserve"> Joint </w:t>
      </w:r>
      <w:r w:rsidRPr="00D170CD">
        <w:t>SMJUs recommend that the Commission allow the utilities to file a Tier 2 advice letter rather</w:t>
      </w:r>
      <w:r>
        <w:t xml:space="preserve"> </w:t>
      </w:r>
      <w:r w:rsidRPr="00D170CD">
        <w:t xml:space="preserve">than </w:t>
      </w:r>
      <w:r>
        <w:t>Cal Advocates’</w:t>
      </w:r>
      <w:r w:rsidRPr="00D170CD">
        <w:t xml:space="preserve"> proposed Tier 3 advice letter, as a Tier 2 advice letter is a reasonable and more</w:t>
      </w:r>
      <w:r>
        <w:t xml:space="preserve"> </w:t>
      </w:r>
      <w:r w:rsidRPr="00D170CD">
        <w:t xml:space="preserve">expedient alternative. </w:t>
      </w:r>
      <w:r>
        <w:t xml:space="preserve"> </w:t>
      </w:r>
      <w:r w:rsidRPr="00D170CD">
        <w:t>The Tier 2 advice letter provides for a quicker review process that</w:t>
      </w:r>
      <w:r>
        <w:t xml:space="preserve"> </w:t>
      </w:r>
      <w:r w:rsidRPr="00D170CD">
        <w:t>would allow the SMJUs to be nimble and responsive to future events and customer needs.</w:t>
      </w:r>
      <w:r>
        <w:t xml:space="preserve">  </w:t>
      </w:r>
      <w:r w:rsidRPr="00D170CD">
        <w:t xml:space="preserve">In contrast, a Tier 3 advice letter, if contested, can take months to resolve and </w:t>
      </w:r>
      <w:r w:rsidRPr="00D170CD">
        <w:lastRenderedPageBreak/>
        <w:t>receive a</w:t>
      </w:r>
      <w:r>
        <w:t xml:space="preserve"> </w:t>
      </w:r>
      <w:r w:rsidRPr="00D170CD">
        <w:t>Commission decision; thereby, handcuffing the SMJU requesting the needed budget</w:t>
      </w:r>
      <w:r>
        <w:t xml:space="preserve"> </w:t>
      </w:r>
      <w:r w:rsidRPr="00D170CD">
        <w:t>change.</w:t>
      </w:r>
      <w:r>
        <w:rPr>
          <w:rStyle w:val="FootnoteReference"/>
        </w:rPr>
        <w:footnoteReference w:id="231"/>
      </w:r>
    </w:p>
    <w:p w:rsidR="008959A4" w:rsidP="008959A4" w:rsidRDefault="008959A4" w14:paraId="40D98B48" w14:textId="77777777">
      <w:pPr>
        <w:pStyle w:val="Heading4"/>
        <w:ind w:left="3600" w:hanging="1260"/>
      </w:pPr>
      <w:bookmarkStart w:name="_Toc82159861" w:id="292"/>
      <w:r>
        <w:t>PacifiCorp Response</w:t>
      </w:r>
      <w:bookmarkEnd w:id="292"/>
    </w:p>
    <w:p w:rsidRPr="007009C9" w:rsidR="008959A4" w:rsidP="008959A4" w:rsidRDefault="008959A4" w14:paraId="74C10E9D" w14:textId="77777777">
      <w:pPr>
        <w:pStyle w:val="Standard"/>
      </w:pPr>
      <w:r>
        <w:rPr>
          <w:b/>
          <w:bCs/>
          <w:i/>
          <w:iCs/>
          <w:u w:val="single"/>
        </w:rPr>
        <w:t>Budget Adjustments via Tier 2 Advice Letter</w:t>
      </w:r>
      <w:r w:rsidRPr="0029369F">
        <w:rPr>
          <w:b/>
          <w:bCs/>
          <w:i/>
          <w:iCs/>
        </w:rPr>
        <w:t>:</w:t>
      </w:r>
      <w:r w:rsidRPr="0029369F">
        <w:t xml:space="preserve">  </w:t>
      </w:r>
      <w:r>
        <w:t>PacifiCorp does not agree with EEC and Free Energy’s a</w:t>
      </w:r>
      <w:r w:rsidRPr="007E4648">
        <w:t>ssert</w:t>
      </w:r>
      <w:r>
        <w:t>ions</w:t>
      </w:r>
      <w:r w:rsidRPr="007E4648">
        <w:t xml:space="preserve"> that ESA </w:t>
      </w:r>
      <w:r>
        <w:t>p</w:t>
      </w:r>
      <w:r w:rsidRPr="007E4648">
        <w:t xml:space="preserve">rogram goals </w:t>
      </w:r>
      <w:r>
        <w:t xml:space="preserve">and budgets </w:t>
      </w:r>
      <w:r w:rsidRPr="007E4648">
        <w:t>are severely</w:t>
      </w:r>
      <w:r>
        <w:t xml:space="preserve"> </w:t>
      </w:r>
      <w:r w:rsidRPr="007E4648">
        <w:t>understated due to the impacts of the COVID-19 pandemic</w:t>
      </w:r>
      <w:r>
        <w:t xml:space="preserve"> stating that the </w:t>
      </w:r>
      <w:r w:rsidRPr="007E4648">
        <w:t xml:space="preserve">methodology </w:t>
      </w:r>
      <w:r>
        <w:t xml:space="preserve">used by EEC and Free Energy </w:t>
      </w:r>
      <w:r w:rsidRPr="007E4648">
        <w:t>to calculate program goals</w:t>
      </w:r>
      <w:r>
        <w:t xml:space="preserve"> and budgets are based on</w:t>
      </w:r>
      <w:r w:rsidRPr="007E4648">
        <w:t xml:space="preserve"> one utility’s data</w:t>
      </w:r>
      <w:r>
        <w:t xml:space="preserve">, rather than on a </w:t>
      </w:r>
      <w:r w:rsidRPr="007E4648">
        <w:t>true</w:t>
      </w:r>
      <w:r>
        <w:t xml:space="preserve"> u</w:t>
      </w:r>
      <w:r w:rsidRPr="007E4648">
        <w:t>nderstanding of the pandemic’s impact on PacifiCorp’s service territory</w:t>
      </w:r>
      <w:r>
        <w:t xml:space="preserve">.  PacifiCorp instead recommends that </w:t>
      </w:r>
      <w:r w:rsidRPr="007E4648">
        <w:t>the Commission allow it to re-evaluate</w:t>
      </w:r>
      <w:r>
        <w:t xml:space="preserve"> its </w:t>
      </w:r>
      <w:r w:rsidRPr="007E4648">
        <w:t>ESA program</w:t>
      </w:r>
      <w:r w:rsidRPr="00DE188F">
        <w:rPr>
          <w:rFonts w:ascii="TimesNewRomanPSMT" w:hAnsi="TimesNewRomanPSMT" w:cs="TimesNewRomanPSMT"/>
          <w:sz w:val="24"/>
          <w:szCs w:val="24"/>
        </w:rPr>
        <w:t xml:space="preserve"> </w:t>
      </w:r>
      <w:r w:rsidRPr="00DE188F">
        <w:t>budgets for the PY 2021-2026 in the fourth quarter of 2021, including the impacts of</w:t>
      </w:r>
      <w:r>
        <w:t xml:space="preserve"> </w:t>
      </w:r>
      <w:r w:rsidRPr="00DE188F">
        <w:t>the COVID-19 pandemic and/or changes that might have occurred since the filing of its</w:t>
      </w:r>
      <w:r>
        <w:t xml:space="preserve"> a</w:t>
      </w:r>
      <w:r w:rsidRPr="00DE188F">
        <w:t>pplication</w:t>
      </w:r>
      <w:r>
        <w:t>, and i</w:t>
      </w:r>
      <w:r w:rsidRPr="00DE188F">
        <w:t xml:space="preserve">f adjustments are necessary, </w:t>
      </w:r>
      <w:r>
        <w:t>it w</w:t>
      </w:r>
      <w:r w:rsidRPr="00DE188F">
        <w:t xml:space="preserve">ill file a Tier 2 </w:t>
      </w:r>
      <w:r>
        <w:t>(as opposed to the Tier 3 proposed by Cal Advocates), a</w:t>
      </w:r>
      <w:r w:rsidRPr="00DE188F">
        <w:t xml:space="preserve">dvice </w:t>
      </w:r>
      <w:r>
        <w:t>l</w:t>
      </w:r>
      <w:r w:rsidRPr="00DE188F">
        <w:t>etter to effectuate the changes.</w:t>
      </w:r>
      <w:r>
        <w:rPr>
          <w:rStyle w:val="FootnoteReference"/>
        </w:rPr>
        <w:footnoteReference w:id="232"/>
      </w:r>
    </w:p>
    <w:p w:rsidRPr="009A6D99" w:rsidR="008959A4" w:rsidP="008959A4" w:rsidRDefault="008959A4" w14:paraId="2D5A857D" w14:textId="77777777">
      <w:pPr>
        <w:pStyle w:val="Heading4"/>
        <w:ind w:left="3600" w:hanging="1260"/>
      </w:pPr>
      <w:bookmarkStart w:name="_Toc82159862" w:id="293"/>
      <w:r>
        <w:t>Southwest Gas Response</w:t>
      </w:r>
      <w:bookmarkEnd w:id="293"/>
    </w:p>
    <w:p w:rsidRPr="009A6D99" w:rsidR="008959A4" w:rsidP="008959A4" w:rsidRDefault="008959A4" w14:paraId="04BFC7FB" w14:textId="77777777">
      <w:pPr>
        <w:pStyle w:val="Standard"/>
      </w:pPr>
      <w:r>
        <w:rPr>
          <w:b/>
          <w:bCs/>
          <w:i/>
          <w:iCs/>
          <w:u w:val="single"/>
        </w:rPr>
        <w:t>Budget Adjustments via Tier 3 Advice Letter</w:t>
      </w:r>
      <w:r w:rsidRPr="007704A4">
        <w:rPr>
          <w:b/>
          <w:bCs/>
          <w:i/>
          <w:iCs/>
        </w:rPr>
        <w:t>:</w:t>
      </w:r>
      <w:r w:rsidRPr="007704A4">
        <w:t xml:space="preserve">  </w:t>
      </w:r>
      <w:r w:rsidRPr="005E5BD9">
        <w:t>Southwest Gas</w:t>
      </w:r>
      <w:r>
        <w:t xml:space="preserve"> does not agree with EEC and Free Energy’s a</w:t>
      </w:r>
      <w:r w:rsidRPr="007E4648">
        <w:t>ssert</w:t>
      </w:r>
      <w:r>
        <w:t>ions</w:t>
      </w:r>
      <w:r w:rsidRPr="007E4648">
        <w:t xml:space="preserve"> that </w:t>
      </w:r>
      <w:r>
        <w:t xml:space="preserve">its </w:t>
      </w:r>
      <w:r w:rsidRPr="007E4648">
        <w:t xml:space="preserve">ESA </w:t>
      </w:r>
      <w:r>
        <w:t>p</w:t>
      </w:r>
      <w:r w:rsidRPr="007E4648">
        <w:t xml:space="preserve">rogram goals </w:t>
      </w:r>
      <w:r>
        <w:t xml:space="preserve">and budgets </w:t>
      </w:r>
      <w:r w:rsidRPr="007E4648">
        <w:t>are severely</w:t>
      </w:r>
      <w:r>
        <w:t xml:space="preserve"> </w:t>
      </w:r>
      <w:r w:rsidRPr="007E4648">
        <w:t xml:space="preserve">understated </w:t>
      </w:r>
      <w:r>
        <w:t>claiming that EEC and Free Energy make</w:t>
      </w:r>
      <w:r w:rsidRPr="005E5BD9">
        <w:t xml:space="preserve"> several flawed and erroneous statements</w:t>
      </w:r>
      <w:r>
        <w:t xml:space="preserve"> and base its </w:t>
      </w:r>
      <w:r w:rsidRPr="005E5BD9">
        <w:t xml:space="preserve">calculation </w:t>
      </w:r>
      <w:r>
        <w:t xml:space="preserve">on inaccurate data.  Southwest Gas instead recommends that </w:t>
      </w:r>
      <w:r w:rsidRPr="007E4648">
        <w:t xml:space="preserve">the Commission </w:t>
      </w:r>
      <w:r>
        <w:t>approve Cal Advocates’ proposal to allow t</w:t>
      </w:r>
      <w:r w:rsidRPr="005E5BD9">
        <w:t xml:space="preserve">he SMJUs to file advice letters requesting additional budget funding </w:t>
      </w:r>
      <w:r>
        <w:t>if needed</w:t>
      </w:r>
      <w:r w:rsidRPr="005E5BD9">
        <w:t xml:space="preserve"> during the 2021-2026 program cycle</w:t>
      </w:r>
      <w:r>
        <w:t>.</w:t>
      </w:r>
      <w:r>
        <w:rPr>
          <w:rStyle w:val="FootnoteReference"/>
        </w:rPr>
        <w:footnoteReference w:id="233"/>
      </w:r>
    </w:p>
    <w:p w:rsidR="008959A4" w:rsidP="008959A4" w:rsidRDefault="008959A4" w14:paraId="4C67AB2B" w14:textId="77777777">
      <w:pPr>
        <w:pStyle w:val="Heading3"/>
      </w:pPr>
      <w:bookmarkStart w:name="_Toc82159863" w:id="294"/>
      <w:r>
        <w:lastRenderedPageBreak/>
        <w:t>Discussion</w:t>
      </w:r>
      <w:bookmarkEnd w:id="294"/>
    </w:p>
    <w:p w:rsidR="008959A4" w:rsidP="008959A4" w:rsidRDefault="008959A4" w14:paraId="401E794C" w14:textId="4DE62A49">
      <w:pPr>
        <w:pStyle w:val="Heading4"/>
        <w:ind w:left="3600" w:hanging="1260"/>
      </w:pPr>
      <w:bookmarkStart w:name="_Toc82159864" w:id="295"/>
      <w:r>
        <w:t xml:space="preserve">SMJU Proposed Budgets: </w:t>
      </w:r>
      <w:r w:rsidR="00264851">
        <w:t xml:space="preserve"> </w:t>
      </w:r>
      <w:r w:rsidRPr="005E0BB8">
        <w:rPr>
          <w:u w:val="single"/>
        </w:rPr>
        <w:t xml:space="preserve">Approved </w:t>
      </w:r>
      <w:r w:rsidRPr="005E0BB8">
        <w:rPr>
          <w:u w:val="single"/>
        </w:rPr>
        <w:br/>
        <w:t>with Modifications</w:t>
      </w:r>
      <w:bookmarkEnd w:id="295"/>
    </w:p>
    <w:p w:rsidR="008959A4" w:rsidP="008959A4" w:rsidRDefault="008959A4" w14:paraId="6C2028EE" w14:textId="77777777">
      <w:pPr>
        <w:pStyle w:val="Standard"/>
      </w:pPr>
      <w:r>
        <w:t>Beginning in PY 2017, we have observed that the SMJUs have consistently underspent their approved budgets from 25 to 57 percent.  As depicted below, the underspend averages for some SMJUs for the full 2017-2020 program cycle increases to over 60</w:t>
      </w:r>
      <w:r w:rsidRPr="00F2523C">
        <w:t xml:space="preserve"> </w:t>
      </w:r>
      <w:r>
        <w:t xml:space="preserve">percent when including the pandemic-impacted program year of 2020. </w:t>
      </w:r>
    </w:p>
    <w:p w:rsidR="008959A4" w:rsidP="00A65969" w:rsidRDefault="008959A4" w14:paraId="28CF27E0" w14:textId="5D58B93B">
      <w:pPr>
        <w:pStyle w:val="Standard"/>
        <w:keepNext/>
        <w:keepLines/>
        <w:spacing w:line="240" w:lineRule="auto"/>
        <w:ind w:firstLine="0"/>
        <w:jc w:val="center"/>
        <w:rPr>
          <w:b/>
          <w:bCs/>
        </w:rPr>
      </w:pPr>
      <w:r w:rsidRPr="00277BEC">
        <w:rPr>
          <w:b/>
          <w:bCs/>
        </w:rPr>
        <w:t xml:space="preserve">Table </w:t>
      </w:r>
      <w:r>
        <w:rPr>
          <w:b/>
          <w:bCs/>
        </w:rPr>
        <w:t>10</w:t>
      </w:r>
      <w:r w:rsidRPr="00277BEC">
        <w:rPr>
          <w:b/>
          <w:bCs/>
        </w:rPr>
        <w:t xml:space="preserve">: </w:t>
      </w:r>
      <w:r w:rsidR="00A65969">
        <w:rPr>
          <w:b/>
          <w:bCs/>
        </w:rPr>
        <w:t xml:space="preserve"> </w:t>
      </w:r>
      <w:r w:rsidRPr="00277BEC">
        <w:rPr>
          <w:b/>
          <w:bCs/>
        </w:rPr>
        <w:t xml:space="preserve">SMJUs’ </w:t>
      </w:r>
      <w:r w:rsidRPr="00E72F49">
        <w:rPr>
          <w:b/>
          <w:bCs/>
        </w:rPr>
        <w:t xml:space="preserve">Underspend of Authorized ESA Program Budgets </w:t>
      </w:r>
    </w:p>
    <w:p w:rsidRPr="00277BEC" w:rsidR="008959A4" w:rsidP="00A65969" w:rsidRDefault="008959A4" w14:paraId="2E398821" w14:textId="77777777">
      <w:pPr>
        <w:pStyle w:val="Standard"/>
        <w:keepNext/>
        <w:keepLines/>
        <w:ind w:firstLine="0"/>
        <w:jc w:val="center"/>
        <w:rPr>
          <w:b/>
          <w:bCs/>
        </w:rPr>
      </w:pPr>
      <w:r w:rsidRPr="00E72F49">
        <w:rPr>
          <w:b/>
          <w:bCs/>
        </w:rPr>
        <w:t>PYs 2017 to 2020</w:t>
      </w:r>
    </w:p>
    <w:tbl>
      <w:tblPr>
        <w:tblStyle w:val="TableGrid"/>
        <w:tblW w:w="9535" w:type="dxa"/>
        <w:tblLayout w:type="fixed"/>
        <w:tblLook w:val="06A0" w:firstRow="1" w:lastRow="0" w:firstColumn="1" w:lastColumn="0" w:noHBand="1" w:noVBand="1"/>
      </w:tblPr>
      <w:tblGrid>
        <w:gridCol w:w="2245"/>
        <w:gridCol w:w="1080"/>
        <w:gridCol w:w="1080"/>
        <w:gridCol w:w="1170"/>
        <w:gridCol w:w="1260"/>
        <w:gridCol w:w="2700"/>
      </w:tblGrid>
      <w:tr w:rsidRPr="00E643B0" w:rsidR="008959A4" w:rsidTr="00717A84" w14:paraId="31F23CA1" w14:textId="77777777">
        <w:tc>
          <w:tcPr>
            <w:tcW w:w="9535" w:type="dxa"/>
            <w:gridSpan w:val="6"/>
          </w:tcPr>
          <w:p w:rsidR="008959A4" w:rsidP="00A65969" w:rsidRDefault="008959A4" w14:paraId="702825F7" w14:textId="77777777">
            <w:pPr>
              <w:pStyle w:val="ALJBodyText"/>
              <w:keepNext/>
              <w:keepLines/>
              <w:spacing w:line="240" w:lineRule="auto"/>
              <w:ind w:left="360" w:firstLine="0"/>
              <w:jc w:val="center"/>
              <w:rPr>
                <w:b/>
                <w:bCs/>
                <w:sz w:val="22"/>
                <w:szCs w:val="22"/>
              </w:rPr>
            </w:pPr>
            <w:r w:rsidRPr="00B27DF0">
              <w:rPr>
                <w:b/>
                <w:bCs/>
                <w:sz w:val="22"/>
                <w:szCs w:val="22"/>
              </w:rPr>
              <w:t xml:space="preserve">SMJUs’ </w:t>
            </w:r>
            <w:r>
              <w:rPr>
                <w:b/>
                <w:bCs/>
                <w:sz w:val="22"/>
                <w:szCs w:val="22"/>
              </w:rPr>
              <w:t>P</w:t>
            </w:r>
            <w:r w:rsidRPr="00F2523C">
              <w:rPr>
                <w:b/>
                <w:bCs/>
                <w:sz w:val="22"/>
                <w:szCs w:val="22"/>
              </w:rPr>
              <w:t>ercent</w:t>
            </w:r>
            <w:r>
              <w:rPr>
                <w:b/>
                <w:bCs/>
                <w:sz w:val="22"/>
                <w:szCs w:val="22"/>
              </w:rPr>
              <w:t xml:space="preserve">age of </w:t>
            </w:r>
            <w:r w:rsidRPr="00B27DF0">
              <w:rPr>
                <w:b/>
                <w:bCs/>
                <w:sz w:val="22"/>
                <w:szCs w:val="22"/>
              </w:rPr>
              <w:t>Underspend</w:t>
            </w:r>
            <w:r>
              <w:rPr>
                <w:b/>
                <w:bCs/>
                <w:sz w:val="22"/>
                <w:szCs w:val="22"/>
              </w:rPr>
              <w:t>ing</w:t>
            </w:r>
            <w:r w:rsidRPr="00B27DF0">
              <w:rPr>
                <w:b/>
                <w:bCs/>
                <w:sz w:val="22"/>
                <w:szCs w:val="22"/>
              </w:rPr>
              <w:t xml:space="preserve"> of Authorized ESA Program Budgets</w:t>
            </w:r>
          </w:p>
          <w:p w:rsidRPr="00F2256D" w:rsidR="008959A4" w:rsidP="00A65969" w:rsidRDefault="008959A4" w14:paraId="4F45559D" w14:textId="77777777">
            <w:pPr>
              <w:pStyle w:val="ALJBodyText"/>
              <w:keepNext/>
              <w:keepLines/>
              <w:spacing w:line="240" w:lineRule="auto"/>
              <w:ind w:left="360" w:firstLine="0"/>
              <w:jc w:val="center"/>
              <w:rPr>
                <w:sz w:val="22"/>
                <w:szCs w:val="22"/>
              </w:rPr>
            </w:pPr>
            <w:r w:rsidRPr="00B27DF0">
              <w:rPr>
                <w:b/>
                <w:bCs/>
                <w:sz w:val="22"/>
                <w:szCs w:val="22"/>
              </w:rPr>
              <w:t>PYs 2017 to 2020</w:t>
            </w:r>
          </w:p>
        </w:tc>
      </w:tr>
      <w:tr w:rsidRPr="00E643B0" w:rsidR="008959A4" w:rsidTr="00717A84" w14:paraId="6D20D60D" w14:textId="77777777">
        <w:tc>
          <w:tcPr>
            <w:tcW w:w="2245" w:type="dxa"/>
          </w:tcPr>
          <w:p w:rsidRPr="007A7A8D" w:rsidR="008959A4" w:rsidP="00A65969" w:rsidRDefault="008959A4" w14:paraId="350CC91A" w14:textId="77777777">
            <w:pPr>
              <w:pStyle w:val="ALJBodyText"/>
              <w:keepNext/>
              <w:keepLines/>
              <w:spacing w:line="240" w:lineRule="auto"/>
              <w:ind w:left="360" w:firstLine="0"/>
              <w:jc w:val="center"/>
              <w:rPr>
                <w:sz w:val="22"/>
                <w:szCs w:val="22"/>
              </w:rPr>
            </w:pPr>
            <w:r w:rsidRPr="007A7A8D">
              <w:rPr>
                <w:rFonts w:cs="Calibri"/>
                <w:b/>
                <w:bCs/>
                <w:color w:val="000000" w:themeColor="text1"/>
                <w:sz w:val="22"/>
                <w:szCs w:val="22"/>
              </w:rPr>
              <w:t>SMJU</w:t>
            </w:r>
          </w:p>
        </w:tc>
        <w:tc>
          <w:tcPr>
            <w:tcW w:w="1080" w:type="dxa"/>
          </w:tcPr>
          <w:p w:rsidRPr="00E643B0" w:rsidR="008959A4" w:rsidP="00A65969" w:rsidRDefault="008959A4" w14:paraId="468BB167" w14:textId="77777777">
            <w:pPr>
              <w:pStyle w:val="ALJBodyText"/>
              <w:keepNext/>
              <w:keepLines/>
              <w:spacing w:line="240" w:lineRule="auto"/>
              <w:ind w:left="360" w:firstLine="0"/>
              <w:jc w:val="center"/>
              <w:rPr>
                <w:sz w:val="22"/>
                <w:szCs w:val="22"/>
              </w:rPr>
            </w:pPr>
            <w:r w:rsidRPr="00024EE1">
              <w:rPr>
                <w:rFonts w:cs="Calibri"/>
                <w:b/>
                <w:bCs/>
                <w:color w:val="000000" w:themeColor="text1"/>
                <w:sz w:val="22"/>
                <w:szCs w:val="22"/>
              </w:rPr>
              <w:t>2017</w:t>
            </w:r>
          </w:p>
        </w:tc>
        <w:tc>
          <w:tcPr>
            <w:tcW w:w="1080" w:type="dxa"/>
          </w:tcPr>
          <w:p w:rsidRPr="00E643B0" w:rsidR="008959A4" w:rsidP="00A65969" w:rsidRDefault="008959A4" w14:paraId="782196C7" w14:textId="77777777">
            <w:pPr>
              <w:pStyle w:val="ALJBodyText"/>
              <w:keepNext/>
              <w:keepLines/>
              <w:spacing w:line="240" w:lineRule="auto"/>
              <w:ind w:left="360" w:firstLine="0"/>
              <w:jc w:val="center"/>
              <w:rPr>
                <w:sz w:val="22"/>
                <w:szCs w:val="22"/>
              </w:rPr>
            </w:pPr>
            <w:r w:rsidRPr="00024EE1">
              <w:rPr>
                <w:rFonts w:cs="Calibri"/>
                <w:b/>
                <w:bCs/>
                <w:color w:val="000000" w:themeColor="text1"/>
                <w:sz w:val="22"/>
                <w:szCs w:val="22"/>
              </w:rPr>
              <w:t>2018</w:t>
            </w:r>
          </w:p>
        </w:tc>
        <w:tc>
          <w:tcPr>
            <w:tcW w:w="1170" w:type="dxa"/>
          </w:tcPr>
          <w:p w:rsidRPr="00E643B0" w:rsidR="008959A4" w:rsidP="00A65969" w:rsidRDefault="008959A4" w14:paraId="3BA252BE" w14:textId="77777777">
            <w:pPr>
              <w:pStyle w:val="ALJBodyText"/>
              <w:keepNext/>
              <w:keepLines/>
              <w:spacing w:line="240" w:lineRule="auto"/>
              <w:ind w:left="360" w:firstLine="0"/>
              <w:jc w:val="center"/>
              <w:rPr>
                <w:sz w:val="22"/>
                <w:szCs w:val="22"/>
              </w:rPr>
            </w:pPr>
            <w:r w:rsidRPr="00024EE1">
              <w:rPr>
                <w:rFonts w:cs="Calibri"/>
                <w:b/>
                <w:bCs/>
                <w:color w:val="000000" w:themeColor="text1"/>
                <w:sz w:val="22"/>
                <w:szCs w:val="22"/>
              </w:rPr>
              <w:t>2019</w:t>
            </w:r>
          </w:p>
        </w:tc>
        <w:tc>
          <w:tcPr>
            <w:tcW w:w="1260" w:type="dxa"/>
          </w:tcPr>
          <w:p w:rsidRPr="00E643B0" w:rsidR="008959A4" w:rsidP="00A65969" w:rsidRDefault="008959A4" w14:paraId="5D4D2601" w14:textId="77777777">
            <w:pPr>
              <w:pStyle w:val="ALJBodyText"/>
              <w:keepNext/>
              <w:keepLines/>
              <w:spacing w:line="240" w:lineRule="auto"/>
              <w:ind w:left="360" w:firstLine="0"/>
              <w:jc w:val="center"/>
              <w:rPr>
                <w:sz w:val="22"/>
                <w:szCs w:val="22"/>
              </w:rPr>
            </w:pPr>
            <w:r w:rsidRPr="00024EE1">
              <w:rPr>
                <w:rFonts w:cs="Calibri"/>
                <w:b/>
                <w:bCs/>
                <w:color w:val="000000" w:themeColor="text1"/>
                <w:sz w:val="22"/>
                <w:szCs w:val="22"/>
              </w:rPr>
              <w:t>2020</w:t>
            </w:r>
          </w:p>
        </w:tc>
        <w:tc>
          <w:tcPr>
            <w:tcW w:w="2700" w:type="dxa"/>
          </w:tcPr>
          <w:p w:rsidRPr="00E643B0" w:rsidR="008959A4" w:rsidP="00A65969" w:rsidRDefault="008959A4" w14:paraId="73B7CC2D" w14:textId="77777777">
            <w:pPr>
              <w:pStyle w:val="ALJBodyText"/>
              <w:keepNext/>
              <w:keepLines/>
              <w:spacing w:line="240" w:lineRule="auto"/>
              <w:ind w:left="360" w:firstLine="0"/>
              <w:jc w:val="center"/>
              <w:rPr>
                <w:sz w:val="22"/>
                <w:szCs w:val="22"/>
              </w:rPr>
            </w:pPr>
            <w:r w:rsidRPr="00024EE1">
              <w:rPr>
                <w:rFonts w:cs="Calibri"/>
                <w:b/>
                <w:bCs/>
                <w:color w:val="000000" w:themeColor="text1"/>
                <w:sz w:val="22"/>
                <w:szCs w:val="22"/>
              </w:rPr>
              <w:t>Avg</w:t>
            </w:r>
            <w:r>
              <w:rPr>
                <w:rFonts w:cs="Calibri"/>
                <w:b/>
                <w:bCs/>
                <w:color w:val="000000" w:themeColor="text1"/>
                <w:sz w:val="22"/>
                <w:szCs w:val="22"/>
              </w:rPr>
              <w:t xml:space="preserve"> Underspend PY 2017-2021</w:t>
            </w:r>
          </w:p>
        </w:tc>
      </w:tr>
      <w:tr w:rsidRPr="00E643B0" w:rsidR="008959A4" w:rsidTr="00717A84" w14:paraId="786219B8" w14:textId="77777777">
        <w:tc>
          <w:tcPr>
            <w:tcW w:w="2245" w:type="dxa"/>
          </w:tcPr>
          <w:p w:rsidR="008959A4" w:rsidP="00A65969" w:rsidRDefault="008959A4" w14:paraId="1FC0ACBB" w14:textId="77777777">
            <w:pPr>
              <w:pStyle w:val="ALJBodyText"/>
              <w:keepNext/>
              <w:keepLines/>
              <w:spacing w:line="240" w:lineRule="auto"/>
              <w:ind w:left="360" w:firstLine="0"/>
              <w:rPr>
                <w:sz w:val="22"/>
                <w:szCs w:val="22"/>
              </w:rPr>
            </w:pPr>
            <w:r w:rsidRPr="00024EE1">
              <w:rPr>
                <w:rFonts w:cs="Calibri"/>
                <w:color w:val="000000" w:themeColor="text1"/>
                <w:sz w:val="22"/>
                <w:szCs w:val="22"/>
              </w:rPr>
              <w:t>Alpine</w:t>
            </w:r>
          </w:p>
        </w:tc>
        <w:tc>
          <w:tcPr>
            <w:tcW w:w="1080" w:type="dxa"/>
          </w:tcPr>
          <w:p w:rsidRPr="00E643B0" w:rsidR="008959A4" w:rsidP="00A65969" w:rsidRDefault="008959A4" w14:paraId="3DAF4D16"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40%</w:t>
            </w:r>
          </w:p>
        </w:tc>
        <w:tc>
          <w:tcPr>
            <w:tcW w:w="1080" w:type="dxa"/>
          </w:tcPr>
          <w:p w:rsidRPr="00E643B0" w:rsidR="008959A4" w:rsidP="00A65969" w:rsidRDefault="008959A4" w14:paraId="092D25F4"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43%</w:t>
            </w:r>
          </w:p>
        </w:tc>
        <w:tc>
          <w:tcPr>
            <w:tcW w:w="1170" w:type="dxa"/>
          </w:tcPr>
          <w:p w:rsidRPr="00E643B0" w:rsidR="008959A4" w:rsidP="00A65969" w:rsidRDefault="008959A4" w14:paraId="2415B6C4"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-15%</w:t>
            </w:r>
          </w:p>
        </w:tc>
        <w:tc>
          <w:tcPr>
            <w:tcW w:w="1260" w:type="dxa"/>
          </w:tcPr>
          <w:p w:rsidRPr="00E643B0" w:rsidR="008959A4" w:rsidP="00A65969" w:rsidRDefault="008959A4" w14:paraId="70114EB9"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55%</w:t>
            </w:r>
          </w:p>
        </w:tc>
        <w:tc>
          <w:tcPr>
            <w:tcW w:w="2700" w:type="dxa"/>
          </w:tcPr>
          <w:p w:rsidRPr="00E643B0" w:rsidR="008959A4" w:rsidP="00A65969" w:rsidRDefault="008959A4" w14:paraId="63060105"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31%</w:t>
            </w:r>
          </w:p>
        </w:tc>
      </w:tr>
      <w:tr w:rsidRPr="00E643B0" w:rsidR="008959A4" w:rsidTr="00717A84" w14:paraId="68D250E7" w14:textId="77777777">
        <w:tc>
          <w:tcPr>
            <w:tcW w:w="2245" w:type="dxa"/>
          </w:tcPr>
          <w:p w:rsidR="008959A4" w:rsidP="00A65969" w:rsidRDefault="008959A4" w14:paraId="6681A02D" w14:textId="77777777">
            <w:pPr>
              <w:pStyle w:val="ALJBodyText"/>
              <w:keepNext/>
              <w:keepLines/>
              <w:spacing w:line="240" w:lineRule="auto"/>
              <w:ind w:left="360" w:firstLine="0"/>
              <w:rPr>
                <w:sz w:val="22"/>
                <w:szCs w:val="22"/>
              </w:rPr>
            </w:pPr>
            <w:r w:rsidRPr="00024EE1">
              <w:rPr>
                <w:rFonts w:cs="Calibri"/>
                <w:color w:val="000000" w:themeColor="text1"/>
                <w:sz w:val="22"/>
                <w:szCs w:val="22"/>
              </w:rPr>
              <w:t>Bear Valley</w:t>
            </w:r>
          </w:p>
        </w:tc>
        <w:tc>
          <w:tcPr>
            <w:tcW w:w="1080" w:type="dxa"/>
          </w:tcPr>
          <w:p w:rsidRPr="00E643B0" w:rsidR="008959A4" w:rsidP="00A65969" w:rsidRDefault="008959A4" w14:paraId="15EAD3C3"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57%</w:t>
            </w:r>
          </w:p>
        </w:tc>
        <w:tc>
          <w:tcPr>
            <w:tcW w:w="1080" w:type="dxa"/>
          </w:tcPr>
          <w:p w:rsidRPr="00E643B0" w:rsidR="008959A4" w:rsidP="00A65969" w:rsidRDefault="008959A4" w14:paraId="6CCAAB84"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69%</w:t>
            </w:r>
          </w:p>
        </w:tc>
        <w:tc>
          <w:tcPr>
            <w:tcW w:w="1170" w:type="dxa"/>
          </w:tcPr>
          <w:p w:rsidRPr="00E643B0" w:rsidR="008959A4" w:rsidP="00A65969" w:rsidRDefault="008959A4" w14:paraId="3622D254"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66%</w:t>
            </w:r>
          </w:p>
        </w:tc>
        <w:tc>
          <w:tcPr>
            <w:tcW w:w="1260" w:type="dxa"/>
          </w:tcPr>
          <w:p w:rsidRPr="00E643B0" w:rsidR="008959A4" w:rsidP="00A65969" w:rsidRDefault="008959A4" w14:paraId="70EB9F3A"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77%</w:t>
            </w:r>
          </w:p>
        </w:tc>
        <w:tc>
          <w:tcPr>
            <w:tcW w:w="2700" w:type="dxa"/>
          </w:tcPr>
          <w:p w:rsidRPr="00E643B0" w:rsidR="008959A4" w:rsidP="00A65969" w:rsidRDefault="008959A4" w14:paraId="1A48758D"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67%</w:t>
            </w:r>
          </w:p>
        </w:tc>
      </w:tr>
      <w:tr w:rsidRPr="00E643B0" w:rsidR="008959A4" w:rsidTr="00717A84" w14:paraId="1C383717" w14:textId="77777777">
        <w:tc>
          <w:tcPr>
            <w:tcW w:w="2245" w:type="dxa"/>
          </w:tcPr>
          <w:p w:rsidR="008959A4" w:rsidP="00A65969" w:rsidRDefault="008959A4" w14:paraId="67768DF9" w14:textId="77777777">
            <w:pPr>
              <w:pStyle w:val="ALJBodyText"/>
              <w:keepNext/>
              <w:keepLines/>
              <w:spacing w:line="240" w:lineRule="auto"/>
              <w:ind w:left="360" w:firstLine="0"/>
              <w:rPr>
                <w:sz w:val="22"/>
                <w:szCs w:val="22"/>
              </w:rPr>
            </w:pPr>
            <w:r w:rsidRPr="00024EE1">
              <w:rPr>
                <w:rFonts w:cs="Calibri"/>
                <w:color w:val="000000" w:themeColor="text1"/>
                <w:sz w:val="22"/>
                <w:szCs w:val="22"/>
              </w:rPr>
              <w:t>Liberty</w:t>
            </w:r>
          </w:p>
        </w:tc>
        <w:tc>
          <w:tcPr>
            <w:tcW w:w="1080" w:type="dxa"/>
          </w:tcPr>
          <w:p w:rsidRPr="00E643B0" w:rsidR="008959A4" w:rsidP="00A65969" w:rsidRDefault="008959A4" w14:paraId="4A31846A"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29%</w:t>
            </w:r>
          </w:p>
        </w:tc>
        <w:tc>
          <w:tcPr>
            <w:tcW w:w="1080" w:type="dxa"/>
          </w:tcPr>
          <w:p w:rsidRPr="00E643B0" w:rsidR="008959A4" w:rsidP="00A65969" w:rsidRDefault="008959A4" w14:paraId="68B1B31E"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77%</w:t>
            </w:r>
          </w:p>
        </w:tc>
        <w:tc>
          <w:tcPr>
            <w:tcW w:w="1170" w:type="dxa"/>
          </w:tcPr>
          <w:p w:rsidRPr="00E643B0" w:rsidR="008959A4" w:rsidP="00A65969" w:rsidRDefault="008959A4" w14:paraId="04317339"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69%</w:t>
            </w:r>
          </w:p>
        </w:tc>
        <w:tc>
          <w:tcPr>
            <w:tcW w:w="1260" w:type="dxa"/>
          </w:tcPr>
          <w:p w:rsidRPr="00E643B0" w:rsidR="008959A4" w:rsidP="00A65969" w:rsidRDefault="008959A4" w14:paraId="781E05B4"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83%</w:t>
            </w:r>
          </w:p>
        </w:tc>
        <w:tc>
          <w:tcPr>
            <w:tcW w:w="2700" w:type="dxa"/>
          </w:tcPr>
          <w:p w:rsidRPr="00E643B0" w:rsidR="008959A4" w:rsidP="00A65969" w:rsidRDefault="008959A4" w14:paraId="32CDCCD8"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64%</w:t>
            </w:r>
          </w:p>
        </w:tc>
      </w:tr>
      <w:tr w:rsidRPr="00E643B0" w:rsidR="008959A4" w:rsidTr="00717A84" w14:paraId="013208F5" w14:textId="77777777">
        <w:tc>
          <w:tcPr>
            <w:tcW w:w="2245" w:type="dxa"/>
          </w:tcPr>
          <w:p w:rsidRPr="00E643B0" w:rsidR="008959A4" w:rsidP="00A65969" w:rsidRDefault="008959A4" w14:paraId="33A61ECF" w14:textId="77777777">
            <w:pPr>
              <w:pStyle w:val="ALJBodyText"/>
              <w:keepNext/>
              <w:keepLines/>
              <w:spacing w:line="240" w:lineRule="auto"/>
              <w:ind w:left="360" w:firstLine="0"/>
              <w:rPr>
                <w:sz w:val="22"/>
                <w:szCs w:val="22"/>
              </w:rPr>
            </w:pPr>
            <w:r w:rsidRPr="00024EE1">
              <w:rPr>
                <w:rFonts w:cs="Calibri"/>
                <w:color w:val="000000" w:themeColor="text1"/>
                <w:sz w:val="22"/>
                <w:szCs w:val="22"/>
              </w:rPr>
              <w:t>PacifiCorp</w:t>
            </w:r>
          </w:p>
        </w:tc>
        <w:tc>
          <w:tcPr>
            <w:tcW w:w="1080" w:type="dxa"/>
          </w:tcPr>
          <w:p w:rsidRPr="00E643B0" w:rsidR="008959A4" w:rsidP="00A65969" w:rsidRDefault="008959A4" w14:paraId="06F8C08C"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40%</w:t>
            </w:r>
          </w:p>
        </w:tc>
        <w:tc>
          <w:tcPr>
            <w:tcW w:w="1080" w:type="dxa"/>
          </w:tcPr>
          <w:p w:rsidRPr="00E643B0" w:rsidR="008959A4" w:rsidP="00A65969" w:rsidRDefault="008959A4" w14:paraId="0FFF6A11"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37%</w:t>
            </w:r>
          </w:p>
        </w:tc>
        <w:tc>
          <w:tcPr>
            <w:tcW w:w="1170" w:type="dxa"/>
          </w:tcPr>
          <w:p w:rsidRPr="00E643B0" w:rsidR="008959A4" w:rsidP="00A65969" w:rsidRDefault="008959A4" w14:paraId="5494D249"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24%</w:t>
            </w:r>
          </w:p>
        </w:tc>
        <w:tc>
          <w:tcPr>
            <w:tcW w:w="1260" w:type="dxa"/>
          </w:tcPr>
          <w:p w:rsidRPr="00E643B0" w:rsidR="008959A4" w:rsidP="00A65969" w:rsidRDefault="008959A4" w14:paraId="6C5418A1"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82%</w:t>
            </w:r>
          </w:p>
        </w:tc>
        <w:tc>
          <w:tcPr>
            <w:tcW w:w="2700" w:type="dxa"/>
          </w:tcPr>
          <w:p w:rsidRPr="00E643B0" w:rsidR="008959A4" w:rsidP="00A65969" w:rsidRDefault="008959A4" w14:paraId="7141B7B8" w14:textId="77777777">
            <w:pPr>
              <w:pStyle w:val="ALJBodyText"/>
              <w:keepNext/>
              <w:keepLines/>
              <w:spacing w:line="240" w:lineRule="auto"/>
              <w:ind w:left="360" w:firstLine="0"/>
              <w:jc w:val="center"/>
              <w:rPr>
                <w:sz w:val="22"/>
                <w:szCs w:val="22"/>
              </w:rPr>
            </w:pPr>
            <w:r w:rsidRPr="00024EE1">
              <w:rPr>
                <w:rFonts w:cs="Calibri"/>
                <w:color w:val="000000" w:themeColor="text1"/>
                <w:sz w:val="22"/>
                <w:szCs w:val="22"/>
              </w:rPr>
              <w:t>46%</w:t>
            </w:r>
          </w:p>
        </w:tc>
      </w:tr>
      <w:tr w:rsidRPr="00E643B0" w:rsidR="008959A4" w:rsidTr="00717A84" w14:paraId="5F0D6899" w14:textId="77777777">
        <w:tc>
          <w:tcPr>
            <w:tcW w:w="2245" w:type="dxa"/>
          </w:tcPr>
          <w:p w:rsidRPr="00E643B0" w:rsidR="008959A4" w:rsidP="00A65969" w:rsidRDefault="008959A4" w14:paraId="778E3CE6" w14:textId="77777777">
            <w:pPr>
              <w:pStyle w:val="ALJBodyText"/>
              <w:keepNext/>
              <w:keepLines/>
              <w:spacing w:line="240" w:lineRule="auto"/>
              <w:ind w:left="360" w:firstLine="0"/>
              <w:rPr>
                <w:sz w:val="22"/>
                <w:szCs w:val="22"/>
              </w:rPr>
            </w:pPr>
            <w:r w:rsidRPr="00024EE1">
              <w:rPr>
                <w:rFonts w:cs="Calibri"/>
                <w:color w:val="000000" w:themeColor="text1"/>
                <w:sz w:val="22"/>
                <w:szCs w:val="22"/>
              </w:rPr>
              <w:t>Southwest Gas</w:t>
            </w:r>
          </w:p>
        </w:tc>
        <w:tc>
          <w:tcPr>
            <w:tcW w:w="1080" w:type="dxa"/>
          </w:tcPr>
          <w:p w:rsidRPr="00A4127E" w:rsidR="008959A4" w:rsidP="00A65969" w:rsidRDefault="008959A4" w14:paraId="26C32F9B" w14:textId="77777777">
            <w:pPr>
              <w:pStyle w:val="ALJBodyText"/>
              <w:keepNext/>
              <w:keepLines/>
              <w:spacing w:line="240" w:lineRule="auto"/>
              <w:ind w:left="360" w:firstLine="0"/>
              <w:jc w:val="center"/>
              <w:rPr>
                <w:b/>
                <w:bCs/>
                <w:sz w:val="22"/>
                <w:szCs w:val="22"/>
              </w:rPr>
            </w:pPr>
            <w:r w:rsidRPr="00024EE1">
              <w:rPr>
                <w:rFonts w:cs="Calibri"/>
                <w:color w:val="000000" w:themeColor="text1"/>
                <w:sz w:val="22"/>
                <w:szCs w:val="22"/>
              </w:rPr>
              <w:t>25%</w:t>
            </w:r>
          </w:p>
        </w:tc>
        <w:tc>
          <w:tcPr>
            <w:tcW w:w="1080" w:type="dxa"/>
          </w:tcPr>
          <w:p w:rsidRPr="00A4127E" w:rsidR="008959A4" w:rsidP="00A65969" w:rsidRDefault="008959A4" w14:paraId="2906097A" w14:textId="77777777">
            <w:pPr>
              <w:pStyle w:val="ALJBodyText"/>
              <w:keepNext/>
              <w:keepLines/>
              <w:spacing w:line="240" w:lineRule="auto"/>
              <w:ind w:left="360" w:firstLine="0"/>
              <w:jc w:val="center"/>
              <w:rPr>
                <w:b/>
                <w:bCs/>
                <w:sz w:val="22"/>
                <w:szCs w:val="22"/>
              </w:rPr>
            </w:pPr>
            <w:r w:rsidRPr="00024EE1">
              <w:rPr>
                <w:rFonts w:cs="Calibri"/>
                <w:color w:val="000000" w:themeColor="text1"/>
                <w:sz w:val="22"/>
                <w:szCs w:val="22"/>
              </w:rPr>
              <w:t>39%</w:t>
            </w:r>
          </w:p>
        </w:tc>
        <w:tc>
          <w:tcPr>
            <w:tcW w:w="1170" w:type="dxa"/>
          </w:tcPr>
          <w:p w:rsidRPr="00A4127E" w:rsidR="008959A4" w:rsidP="00A65969" w:rsidRDefault="008959A4" w14:paraId="67A661B0" w14:textId="77777777">
            <w:pPr>
              <w:pStyle w:val="ALJBodyText"/>
              <w:keepNext/>
              <w:keepLines/>
              <w:spacing w:line="240" w:lineRule="auto"/>
              <w:ind w:left="360" w:firstLine="0"/>
              <w:jc w:val="center"/>
              <w:rPr>
                <w:b/>
                <w:bCs/>
                <w:sz w:val="22"/>
                <w:szCs w:val="22"/>
              </w:rPr>
            </w:pPr>
            <w:r w:rsidRPr="00024EE1">
              <w:rPr>
                <w:rFonts w:cs="Calibri"/>
                <w:color w:val="000000" w:themeColor="text1"/>
                <w:sz w:val="22"/>
                <w:szCs w:val="22"/>
              </w:rPr>
              <w:t>5%</w:t>
            </w:r>
          </w:p>
        </w:tc>
        <w:tc>
          <w:tcPr>
            <w:tcW w:w="1260" w:type="dxa"/>
          </w:tcPr>
          <w:p w:rsidRPr="00A4127E" w:rsidR="008959A4" w:rsidP="00A65969" w:rsidRDefault="008959A4" w14:paraId="74FE8B01" w14:textId="77777777">
            <w:pPr>
              <w:pStyle w:val="ALJBodyText"/>
              <w:keepNext/>
              <w:keepLines/>
              <w:spacing w:line="240" w:lineRule="auto"/>
              <w:ind w:left="360" w:firstLine="0"/>
              <w:jc w:val="center"/>
              <w:rPr>
                <w:b/>
                <w:bCs/>
                <w:sz w:val="22"/>
                <w:szCs w:val="22"/>
              </w:rPr>
            </w:pPr>
            <w:r w:rsidRPr="00024EE1">
              <w:rPr>
                <w:rFonts w:cs="Calibri"/>
                <w:color w:val="000000" w:themeColor="text1"/>
                <w:sz w:val="22"/>
                <w:szCs w:val="22"/>
              </w:rPr>
              <w:t>-1%</w:t>
            </w:r>
          </w:p>
        </w:tc>
        <w:tc>
          <w:tcPr>
            <w:tcW w:w="2700" w:type="dxa"/>
          </w:tcPr>
          <w:p w:rsidRPr="00A4127E" w:rsidR="008959A4" w:rsidP="00A65969" w:rsidRDefault="008959A4" w14:paraId="64279F0C" w14:textId="77777777">
            <w:pPr>
              <w:pStyle w:val="ALJBodyText"/>
              <w:keepNext/>
              <w:keepLines/>
              <w:spacing w:line="240" w:lineRule="auto"/>
              <w:ind w:left="360" w:firstLine="0"/>
              <w:jc w:val="center"/>
              <w:rPr>
                <w:b/>
                <w:bCs/>
                <w:sz w:val="22"/>
                <w:szCs w:val="22"/>
              </w:rPr>
            </w:pPr>
            <w:r w:rsidRPr="00024EE1">
              <w:rPr>
                <w:rFonts w:cs="Calibri"/>
                <w:color w:val="000000" w:themeColor="text1"/>
                <w:sz w:val="22"/>
                <w:szCs w:val="22"/>
              </w:rPr>
              <w:t>17%</w:t>
            </w:r>
          </w:p>
        </w:tc>
      </w:tr>
    </w:tbl>
    <w:p w:rsidR="008959A4" w:rsidP="008959A4" w:rsidRDefault="008959A4" w14:paraId="20729C3C" w14:textId="77777777">
      <w:pPr>
        <w:pStyle w:val="Standard"/>
        <w:spacing w:line="240" w:lineRule="auto"/>
        <w:ind w:firstLine="0"/>
        <w:jc w:val="center"/>
      </w:pPr>
    </w:p>
    <w:p w:rsidR="008959A4" w:rsidP="008959A4" w:rsidRDefault="008959A4" w14:paraId="67E07DCA" w14:textId="77777777">
      <w:pPr>
        <w:pStyle w:val="Standard"/>
      </w:pPr>
      <w:r>
        <w:t xml:space="preserve">Since the SMJUs have underspent their authorized budgets for years, ranging from an average of 17 percent to 67 percent for PY 2017 to 2020, a significant accrual of unspent funds has accumulated.  This suggests that the SMJUs have generally taken a conservative approach to budgeting.  We understand that it may be reasonable to do so to ensure that the program is adequately funded based on the treatment goals, and to anticipate for any underestimation of measure and program costs, but such misalignment gives an inaccurate perception of the true program needs.  Therefore, based on this program’s spending history, the misalignment of the authorized versus the true expenditures, and the lack of justification for the increase in requests, we reduce the SMJUs’ proposed budget spend for PYs 2022-2026 by 10 percent.  </w:t>
      </w:r>
      <w:r>
        <w:lastRenderedPageBreak/>
        <w:t xml:space="preserve">Additionally, Liberty’s program budget is reduced by </w:t>
      </w:r>
      <w:r w:rsidRPr="00EB5712">
        <w:t xml:space="preserve">$54,167 </w:t>
      </w:r>
      <w:r>
        <w:t>in PY 2023 before this 10</w:t>
      </w:r>
      <w:r w:rsidRPr="00DC2310">
        <w:t xml:space="preserve"> </w:t>
      </w:r>
      <w:r>
        <w:t>percent reduction is applied due to updates on its proposed electrification pilot, as further discussed in Section 7.1.  This adjustment is reasonable and will provide enough flexibility for the SMJUs to manage the programs within the limits, and still results in an increased annual budget as compared to previous years’ program expenditures.  Therefore, there should be no concerns regarding negative impacts to existing workforce opportunities or job displacement.  This allows for workforce opportunities to remain intact while still being able to ensure program cost containment and responsible use of ratepayer funds under the new program design.</w:t>
      </w:r>
    </w:p>
    <w:p w:rsidR="008959A4" w:rsidP="008959A4" w:rsidRDefault="008959A4" w14:paraId="2A469FFA" w14:textId="6B08EDD6">
      <w:pPr>
        <w:pStyle w:val="Standard"/>
      </w:pPr>
      <w:r>
        <w:t>For the remainder of PY 2021, we approve funding for the second half of 2021 (July 1 to December 31, 2021) equal to the amount approved for the first six</w:t>
      </w:r>
      <w:r w:rsidR="00264851">
        <w:t> </w:t>
      </w:r>
      <w:r>
        <w:t>months of 2021.</w:t>
      </w:r>
      <w:r>
        <w:rPr>
          <w:rStyle w:val="FootnoteReference"/>
        </w:rPr>
        <w:footnoteReference w:id="234"/>
      </w:r>
      <w:r>
        <w:t xml:space="preserve">  This adheres to the SMJU ESA/CARE guidance decision that stated that the Commission hereby authorizes a bridge</w:t>
      </w:r>
      <w:r>
        <w:noBreakHyphen/>
        <w:t>funding amount up to the authorized 2020 budget levels.</w:t>
      </w:r>
      <w:r>
        <w:rPr>
          <w:rStyle w:val="FootnoteReference"/>
        </w:rPr>
        <w:footnoteReference w:id="235"/>
      </w:r>
      <w:r>
        <w:t xml:space="preserve">  </w:t>
      </w:r>
      <w:r w:rsidRPr="00247CD3">
        <w:t>An existing Bear Valley advice letter (423-E submitted June 4, 2021) requests to extend surcharges for the CARE program and the ESA program in the Public Purpose Program surcharge adopted in Advice Letter 401-E for six months covering July</w:t>
      </w:r>
      <w:r>
        <w:t> </w:t>
      </w:r>
      <w:r w:rsidRPr="00247CD3">
        <w:t xml:space="preserve">1, 2021 to December 31, 2021. Since this decision approves the second half of the bridge funding budget and goals for the remainder of 2021, Bear Valley’s Advice Letter 423-E is moot. Therefore, we reject Bear Valley's Advice Letter 423-E in favor of approving the remainder of PY 2021 funding levels for all SMJUs </w:t>
      </w:r>
      <w:r>
        <w:t>in</w:t>
      </w:r>
      <w:r w:rsidRPr="00247CD3">
        <w:t xml:space="preserve"> this decision</w:t>
      </w:r>
      <w:r>
        <w:t xml:space="preserve">. </w:t>
      </w:r>
    </w:p>
    <w:p w:rsidRPr="004E3439" w:rsidR="008959A4" w:rsidP="00BC48EE" w:rsidRDefault="008959A4" w14:paraId="7273FB61" w14:textId="77777777">
      <w:pPr>
        <w:pStyle w:val="Standard"/>
        <w:keepNext/>
        <w:ind w:firstLine="0"/>
        <w:jc w:val="center"/>
        <w:rPr>
          <w:b/>
          <w:bCs/>
        </w:rPr>
      </w:pPr>
      <w:r w:rsidRPr="004E3439">
        <w:rPr>
          <w:b/>
          <w:bCs/>
        </w:rPr>
        <w:lastRenderedPageBreak/>
        <w:t xml:space="preserve">Table </w:t>
      </w:r>
      <w:r>
        <w:rPr>
          <w:b/>
          <w:bCs/>
        </w:rPr>
        <w:t>11</w:t>
      </w:r>
      <w:r w:rsidRPr="004E3439">
        <w:rPr>
          <w:b/>
          <w:bCs/>
        </w:rPr>
        <w:t xml:space="preserve">: </w:t>
      </w:r>
      <w:r>
        <w:rPr>
          <w:b/>
          <w:bCs/>
        </w:rPr>
        <w:t xml:space="preserve"> </w:t>
      </w:r>
      <w:r w:rsidRPr="004E3439">
        <w:rPr>
          <w:b/>
          <w:bCs/>
        </w:rPr>
        <w:t>Approved ESA Budgets, PYs 2021-2026</w:t>
      </w:r>
    </w:p>
    <w:tbl>
      <w:tblPr>
        <w:tblW w:w="99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170"/>
        <w:gridCol w:w="1170"/>
        <w:gridCol w:w="1170"/>
        <w:gridCol w:w="1170"/>
        <w:gridCol w:w="1170"/>
        <w:gridCol w:w="1170"/>
        <w:gridCol w:w="1260"/>
      </w:tblGrid>
      <w:tr w:rsidRPr="007704A4" w:rsidR="008959A4" w:rsidTr="00717A84" w14:paraId="3588E3F2" w14:textId="77777777">
        <w:trPr>
          <w:trHeight w:val="307"/>
        </w:trPr>
        <w:tc>
          <w:tcPr>
            <w:tcW w:w="1620" w:type="dxa"/>
            <w:vMerge w:val="restart"/>
            <w:shd w:val="clear" w:color="auto" w:fill="auto"/>
            <w:noWrap/>
            <w:vAlign w:val="bottom"/>
            <w:hideMark/>
          </w:tcPr>
          <w:p w:rsidRPr="007704A4" w:rsidR="008959A4" w:rsidP="00BC48EE" w:rsidRDefault="008959A4" w14:paraId="667FB5F7" w14:textId="77777777">
            <w:pPr>
              <w:keepNext/>
              <w:ind w:left="360"/>
              <w:rPr>
                <w:rFonts w:eastAsia="Times New Roman" w:cs="Calibri"/>
                <w:b/>
                <w:bCs/>
                <w:color w:val="000000"/>
                <w:sz w:val="22"/>
                <w:szCs w:val="22"/>
              </w:rPr>
            </w:pPr>
            <w:r w:rsidRPr="007704A4">
              <w:rPr>
                <w:rFonts w:eastAsia="Times New Roman" w:cs="Calibri"/>
                <w:b/>
                <w:bCs/>
                <w:color w:val="000000"/>
                <w:sz w:val="22"/>
                <w:szCs w:val="22"/>
              </w:rPr>
              <w:t>SMJU</w:t>
            </w:r>
          </w:p>
        </w:tc>
        <w:tc>
          <w:tcPr>
            <w:tcW w:w="8280" w:type="dxa"/>
            <w:gridSpan w:val="7"/>
          </w:tcPr>
          <w:p w:rsidRPr="007704A4" w:rsidR="008959A4" w:rsidP="00BC48EE" w:rsidRDefault="008959A4" w14:paraId="4C74BD24" w14:textId="77777777">
            <w:pPr>
              <w:keepNext/>
              <w:ind w:left="360"/>
              <w:jc w:val="center"/>
              <w:rPr>
                <w:rFonts w:eastAsia="Times New Roman" w:cs="Calibri"/>
                <w:b/>
                <w:bCs/>
                <w:color w:val="000000"/>
                <w:sz w:val="22"/>
                <w:szCs w:val="22"/>
              </w:rPr>
            </w:pPr>
            <w:r w:rsidRPr="007704A4">
              <w:rPr>
                <w:rFonts w:eastAsia="Times New Roman" w:cs="Calibri"/>
                <w:b/>
                <w:bCs/>
                <w:color w:val="000000"/>
                <w:sz w:val="22"/>
                <w:szCs w:val="22"/>
              </w:rPr>
              <w:t>Approved ESA Budgets</w:t>
            </w:r>
          </w:p>
        </w:tc>
      </w:tr>
      <w:tr w:rsidRPr="007704A4" w:rsidR="008959A4" w:rsidTr="00717A84" w14:paraId="6982C539" w14:textId="77777777">
        <w:trPr>
          <w:trHeight w:val="307"/>
        </w:trPr>
        <w:tc>
          <w:tcPr>
            <w:tcW w:w="1620" w:type="dxa"/>
            <w:vMerge/>
            <w:vAlign w:val="center"/>
            <w:hideMark/>
          </w:tcPr>
          <w:p w:rsidRPr="007704A4" w:rsidR="008959A4" w:rsidP="00BC48EE" w:rsidRDefault="008959A4" w14:paraId="5F9D9AE5" w14:textId="77777777">
            <w:pPr>
              <w:keepNext/>
              <w:ind w:left="360"/>
              <w:rPr>
                <w:rFonts w:eastAsia="Times New Roman" w:cs="Calibri"/>
                <w:b/>
                <w:bCs/>
                <w:color w:val="000000"/>
                <w:sz w:val="22"/>
                <w:szCs w:val="22"/>
              </w:rPr>
            </w:pPr>
          </w:p>
        </w:tc>
        <w:tc>
          <w:tcPr>
            <w:tcW w:w="1170" w:type="dxa"/>
            <w:vAlign w:val="center"/>
          </w:tcPr>
          <w:p w:rsidRPr="007704A4" w:rsidR="008959A4" w:rsidP="00BC48EE" w:rsidRDefault="008959A4" w14:paraId="3C4C372E"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2021</w:t>
            </w:r>
          </w:p>
        </w:tc>
        <w:tc>
          <w:tcPr>
            <w:tcW w:w="1170" w:type="dxa"/>
            <w:shd w:val="clear" w:color="auto" w:fill="auto"/>
            <w:noWrap/>
            <w:vAlign w:val="center"/>
            <w:hideMark/>
          </w:tcPr>
          <w:p w:rsidRPr="007704A4" w:rsidR="008959A4" w:rsidP="00BC48EE" w:rsidRDefault="008959A4" w14:paraId="52EDC071"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2022</w:t>
            </w:r>
          </w:p>
        </w:tc>
        <w:tc>
          <w:tcPr>
            <w:tcW w:w="1170" w:type="dxa"/>
            <w:shd w:val="clear" w:color="auto" w:fill="auto"/>
            <w:noWrap/>
            <w:vAlign w:val="center"/>
            <w:hideMark/>
          </w:tcPr>
          <w:p w:rsidRPr="007704A4" w:rsidR="008959A4" w:rsidP="00BC48EE" w:rsidRDefault="008959A4" w14:paraId="05FC9C00"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2023</w:t>
            </w:r>
          </w:p>
        </w:tc>
        <w:tc>
          <w:tcPr>
            <w:tcW w:w="1170" w:type="dxa"/>
            <w:shd w:val="clear" w:color="auto" w:fill="auto"/>
            <w:noWrap/>
            <w:vAlign w:val="center"/>
            <w:hideMark/>
          </w:tcPr>
          <w:p w:rsidRPr="007704A4" w:rsidR="008959A4" w:rsidP="00BC48EE" w:rsidRDefault="008959A4" w14:paraId="46F96386"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2024</w:t>
            </w:r>
          </w:p>
        </w:tc>
        <w:tc>
          <w:tcPr>
            <w:tcW w:w="1170" w:type="dxa"/>
            <w:shd w:val="clear" w:color="auto" w:fill="auto"/>
            <w:noWrap/>
            <w:vAlign w:val="center"/>
            <w:hideMark/>
          </w:tcPr>
          <w:p w:rsidRPr="007704A4" w:rsidR="008959A4" w:rsidP="00BC48EE" w:rsidRDefault="008959A4" w14:paraId="686BD602"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2025</w:t>
            </w:r>
          </w:p>
        </w:tc>
        <w:tc>
          <w:tcPr>
            <w:tcW w:w="1170" w:type="dxa"/>
            <w:shd w:val="clear" w:color="auto" w:fill="auto"/>
            <w:noWrap/>
            <w:vAlign w:val="center"/>
            <w:hideMark/>
          </w:tcPr>
          <w:p w:rsidRPr="007704A4" w:rsidR="008959A4" w:rsidP="00BC48EE" w:rsidRDefault="008959A4" w14:paraId="0BFDEBC3"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2026</w:t>
            </w:r>
          </w:p>
        </w:tc>
        <w:tc>
          <w:tcPr>
            <w:tcW w:w="1260" w:type="dxa"/>
            <w:shd w:val="clear" w:color="auto" w:fill="auto"/>
            <w:noWrap/>
            <w:vAlign w:val="center"/>
            <w:hideMark/>
          </w:tcPr>
          <w:p w:rsidRPr="007704A4" w:rsidR="008959A4" w:rsidP="00BC48EE" w:rsidRDefault="008959A4" w14:paraId="274A53EF" w14:textId="77777777">
            <w:pPr>
              <w:keepNext/>
              <w:jc w:val="center"/>
              <w:rPr>
                <w:rFonts w:eastAsia="Times New Roman" w:cs="Calibri"/>
                <w:b/>
                <w:bCs/>
                <w:color w:val="000000"/>
                <w:sz w:val="22"/>
                <w:szCs w:val="22"/>
              </w:rPr>
            </w:pPr>
            <w:r w:rsidRPr="007704A4">
              <w:rPr>
                <w:rFonts w:eastAsia="Times New Roman" w:cs="Calibri"/>
                <w:b/>
                <w:bCs/>
                <w:color w:val="000000"/>
                <w:sz w:val="22"/>
                <w:szCs w:val="22"/>
              </w:rPr>
              <w:t xml:space="preserve">Total </w:t>
            </w:r>
          </w:p>
        </w:tc>
      </w:tr>
      <w:tr w:rsidRPr="007704A4" w:rsidR="008959A4" w:rsidTr="00717A84" w14:paraId="30E3C539" w14:textId="77777777">
        <w:trPr>
          <w:trHeight w:val="307"/>
        </w:trPr>
        <w:tc>
          <w:tcPr>
            <w:tcW w:w="1620" w:type="dxa"/>
            <w:shd w:val="clear" w:color="auto" w:fill="auto"/>
            <w:noWrap/>
            <w:vAlign w:val="bottom"/>
            <w:hideMark/>
          </w:tcPr>
          <w:p w:rsidRPr="004D223C" w:rsidR="008959A4" w:rsidP="00BC48EE" w:rsidRDefault="008959A4" w14:paraId="58D50DE6" w14:textId="77777777">
            <w:pPr>
              <w:keepNext/>
              <w:rPr>
                <w:rFonts w:eastAsia="Times New Roman" w:cs="Calibri"/>
                <w:color w:val="000000"/>
                <w:sz w:val="20"/>
              </w:rPr>
            </w:pPr>
            <w:r w:rsidRPr="004D223C">
              <w:rPr>
                <w:rFonts w:eastAsia="Times New Roman" w:cs="Calibri"/>
                <w:color w:val="000000"/>
                <w:sz w:val="20"/>
              </w:rPr>
              <w:t>Alpine</w:t>
            </w:r>
          </w:p>
        </w:tc>
        <w:tc>
          <w:tcPr>
            <w:tcW w:w="1170" w:type="dxa"/>
            <w:vAlign w:val="bottom"/>
          </w:tcPr>
          <w:p w:rsidRPr="004D223C" w:rsidR="008959A4" w:rsidP="00BC48EE" w:rsidRDefault="008959A4" w14:paraId="00830381" w14:textId="77777777">
            <w:pPr>
              <w:keepNext/>
              <w:jc w:val="right"/>
              <w:rPr>
                <w:sz w:val="20"/>
              </w:rPr>
            </w:pPr>
            <w:r w:rsidRPr="004D223C">
              <w:rPr>
                <w:rFonts w:cs="Calibri"/>
                <w:color w:val="000000"/>
                <w:sz w:val="20"/>
              </w:rPr>
              <w:t>$28,824</w:t>
            </w:r>
          </w:p>
        </w:tc>
        <w:tc>
          <w:tcPr>
            <w:tcW w:w="1170" w:type="dxa"/>
            <w:shd w:val="clear" w:color="auto" w:fill="auto"/>
            <w:noWrap/>
            <w:vAlign w:val="bottom"/>
          </w:tcPr>
          <w:p w:rsidRPr="004D223C" w:rsidR="008959A4" w:rsidP="00BC48EE" w:rsidRDefault="008959A4" w14:paraId="3D2A2243" w14:textId="77777777">
            <w:pPr>
              <w:keepNext/>
              <w:jc w:val="right"/>
              <w:rPr>
                <w:rFonts w:eastAsia="Times New Roman" w:cs="Calibri"/>
                <w:color w:val="000000"/>
                <w:sz w:val="20"/>
              </w:rPr>
            </w:pPr>
            <w:r w:rsidRPr="004D223C">
              <w:rPr>
                <w:rFonts w:cs="Calibri"/>
                <w:color w:val="000000"/>
                <w:sz w:val="20"/>
              </w:rPr>
              <w:t>$29,250</w:t>
            </w:r>
          </w:p>
        </w:tc>
        <w:tc>
          <w:tcPr>
            <w:tcW w:w="1170" w:type="dxa"/>
            <w:shd w:val="clear" w:color="auto" w:fill="auto"/>
            <w:noWrap/>
            <w:vAlign w:val="bottom"/>
          </w:tcPr>
          <w:p w:rsidRPr="004D223C" w:rsidR="008959A4" w:rsidP="00BC48EE" w:rsidRDefault="008959A4" w14:paraId="1471393D" w14:textId="77777777">
            <w:pPr>
              <w:keepNext/>
              <w:jc w:val="right"/>
              <w:rPr>
                <w:rFonts w:eastAsia="Times New Roman" w:cs="Calibri"/>
                <w:color w:val="000000"/>
                <w:sz w:val="20"/>
              </w:rPr>
            </w:pPr>
            <w:r w:rsidRPr="004D223C">
              <w:rPr>
                <w:rFonts w:cs="Calibri"/>
                <w:color w:val="000000"/>
                <w:sz w:val="20"/>
              </w:rPr>
              <w:t>$29,250</w:t>
            </w:r>
          </w:p>
        </w:tc>
        <w:tc>
          <w:tcPr>
            <w:tcW w:w="1170" w:type="dxa"/>
            <w:shd w:val="clear" w:color="auto" w:fill="auto"/>
            <w:noWrap/>
            <w:vAlign w:val="bottom"/>
          </w:tcPr>
          <w:p w:rsidRPr="004D223C" w:rsidR="008959A4" w:rsidP="00BC48EE" w:rsidRDefault="008959A4" w14:paraId="56AD9062" w14:textId="77777777">
            <w:pPr>
              <w:keepNext/>
              <w:jc w:val="right"/>
              <w:rPr>
                <w:rFonts w:eastAsia="Times New Roman" w:cs="Calibri"/>
                <w:color w:val="000000"/>
                <w:sz w:val="20"/>
              </w:rPr>
            </w:pPr>
            <w:r w:rsidRPr="004D223C">
              <w:rPr>
                <w:rFonts w:cs="Calibri"/>
                <w:color w:val="000000"/>
                <w:sz w:val="20"/>
              </w:rPr>
              <w:t>$29,250</w:t>
            </w:r>
          </w:p>
        </w:tc>
        <w:tc>
          <w:tcPr>
            <w:tcW w:w="1170" w:type="dxa"/>
            <w:shd w:val="clear" w:color="auto" w:fill="auto"/>
            <w:noWrap/>
            <w:vAlign w:val="bottom"/>
          </w:tcPr>
          <w:p w:rsidRPr="004D223C" w:rsidR="008959A4" w:rsidP="00BC48EE" w:rsidRDefault="008959A4" w14:paraId="5B88D46B" w14:textId="77777777">
            <w:pPr>
              <w:keepNext/>
              <w:jc w:val="right"/>
              <w:rPr>
                <w:rFonts w:eastAsia="Times New Roman" w:cs="Calibri"/>
                <w:color w:val="000000"/>
                <w:sz w:val="20"/>
              </w:rPr>
            </w:pPr>
            <w:r w:rsidRPr="004D223C">
              <w:rPr>
                <w:rFonts w:cs="Calibri"/>
                <w:color w:val="000000"/>
                <w:sz w:val="20"/>
              </w:rPr>
              <w:t>$29,250</w:t>
            </w:r>
          </w:p>
        </w:tc>
        <w:tc>
          <w:tcPr>
            <w:tcW w:w="1170" w:type="dxa"/>
            <w:shd w:val="clear" w:color="auto" w:fill="auto"/>
            <w:noWrap/>
            <w:vAlign w:val="bottom"/>
          </w:tcPr>
          <w:p w:rsidRPr="004D223C" w:rsidR="008959A4" w:rsidP="00BC48EE" w:rsidRDefault="008959A4" w14:paraId="2B49FE64" w14:textId="77777777">
            <w:pPr>
              <w:keepNext/>
              <w:jc w:val="right"/>
              <w:rPr>
                <w:rFonts w:eastAsia="Times New Roman" w:cs="Calibri"/>
                <w:color w:val="000000"/>
                <w:sz w:val="20"/>
              </w:rPr>
            </w:pPr>
            <w:r w:rsidRPr="004D223C">
              <w:rPr>
                <w:rFonts w:cs="Calibri"/>
                <w:color w:val="000000"/>
                <w:sz w:val="20"/>
              </w:rPr>
              <w:t>$29,250</w:t>
            </w:r>
          </w:p>
        </w:tc>
        <w:tc>
          <w:tcPr>
            <w:tcW w:w="1260" w:type="dxa"/>
            <w:shd w:val="clear" w:color="auto" w:fill="auto"/>
            <w:noWrap/>
            <w:vAlign w:val="bottom"/>
          </w:tcPr>
          <w:p w:rsidRPr="004D223C" w:rsidR="008959A4" w:rsidP="00BC48EE" w:rsidRDefault="008959A4" w14:paraId="50B0FCEC" w14:textId="77777777">
            <w:pPr>
              <w:keepNext/>
              <w:jc w:val="right"/>
              <w:rPr>
                <w:rFonts w:eastAsia="Times New Roman" w:cs="Calibri"/>
                <w:color w:val="000000"/>
                <w:sz w:val="20"/>
              </w:rPr>
            </w:pPr>
            <w:r w:rsidRPr="004D223C">
              <w:rPr>
                <w:rFonts w:cs="Calibri"/>
                <w:b/>
                <w:bCs/>
                <w:color w:val="000000"/>
                <w:sz w:val="20"/>
              </w:rPr>
              <w:t>$175,074</w:t>
            </w:r>
          </w:p>
        </w:tc>
      </w:tr>
      <w:tr w:rsidRPr="007704A4" w:rsidR="008959A4" w:rsidTr="00717A84" w14:paraId="2EE8ADFD" w14:textId="77777777">
        <w:trPr>
          <w:trHeight w:val="307"/>
        </w:trPr>
        <w:tc>
          <w:tcPr>
            <w:tcW w:w="1620" w:type="dxa"/>
            <w:shd w:val="clear" w:color="auto" w:fill="auto"/>
            <w:noWrap/>
            <w:vAlign w:val="bottom"/>
            <w:hideMark/>
          </w:tcPr>
          <w:p w:rsidRPr="004D223C" w:rsidR="008959A4" w:rsidP="00BC48EE" w:rsidRDefault="008959A4" w14:paraId="2D11ED3B" w14:textId="77777777">
            <w:pPr>
              <w:keepNext/>
              <w:rPr>
                <w:rFonts w:eastAsia="Times New Roman" w:cs="Calibri"/>
                <w:color w:val="000000"/>
                <w:sz w:val="20"/>
              </w:rPr>
            </w:pPr>
            <w:r w:rsidRPr="004D223C">
              <w:rPr>
                <w:rFonts w:eastAsia="Times New Roman" w:cs="Calibri"/>
                <w:color w:val="000000"/>
                <w:sz w:val="20"/>
              </w:rPr>
              <w:t>Bear Valley</w:t>
            </w:r>
          </w:p>
        </w:tc>
        <w:tc>
          <w:tcPr>
            <w:tcW w:w="1170" w:type="dxa"/>
            <w:vAlign w:val="bottom"/>
          </w:tcPr>
          <w:p w:rsidRPr="004D223C" w:rsidR="008959A4" w:rsidP="00BC48EE" w:rsidRDefault="008959A4" w14:paraId="23C6BBE3" w14:textId="77777777">
            <w:pPr>
              <w:keepNext/>
              <w:jc w:val="right"/>
              <w:rPr>
                <w:sz w:val="20"/>
              </w:rPr>
            </w:pPr>
            <w:r w:rsidRPr="004D223C">
              <w:rPr>
                <w:rFonts w:cs="Calibri"/>
                <w:color w:val="000000"/>
                <w:sz w:val="20"/>
              </w:rPr>
              <w:t>$272,448</w:t>
            </w:r>
          </w:p>
        </w:tc>
        <w:tc>
          <w:tcPr>
            <w:tcW w:w="1170" w:type="dxa"/>
            <w:shd w:val="clear" w:color="auto" w:fill="auto"/>
            <w:noWrap/>
            <w:vAlign w:val="bottom"/>
          </w:tcPr>
          <w:p w:rsidRPr="004D223C" w:rsidR="008959A4" w:rsidP="00BC48EE" w:rsidRDefault="008959A4" w14:paraId="1A22C9EF" w14:textId="77777777">
            <w:pPr>
              <w:keepNext/>
              <w:jc w:val="right"/>
              <w:rPr>
                <w:rFonts w:eastAsia="Times New Roman" w:cs="Calibri"/>
                <w:sz w:val="20"/>
              </w:rPr>
            </w:pPr>
            <w:r w:rsidRPr="004D223C">
              <w:rPr>
                <w:rFonts w:cs="Calibri"/>
                <w:sz w:val="20"/>
              </w:rPr>
              <w:t>$123,350</w:t>
            </w:r>
          </w:p>
        </w:tc>
        <w:tc>
          <w:tcPr>
            <w:tcW w:w="1170" w:type="dxa"/>
            <w:shd w:val="clear" w:color="auto" w:fill="auto"/>
            <w:noWrap/>
            <w:vAlign w:val="bottom"/>
          </w:tcPr>
          <w:p w:rsidRPr="004D223C" w:rsidR="008959A4" w:rsidP="00BC48EE" w:rsidRDefault="008959A4" w14:paraId="43A9A0D4" w14:textId="77777777">
            <w:pPr>
              <w:keepNext/>
              <w:jc w:val="right"/>
              <w:rPr>
                <w:rFonts w:eastAsia="Times New Roman" w:cs="Calibri"/>
                <w:sz w:val="20"/>
              </w:rPr>
            </w:pPr>
            <w:r w:rsidRPr="004D223C">
              <w:rPr>
                <w:rFonts w:cs="Calibri"/>
                <w:sz w:val="20"/>
              </w:rPr>
              <w:t>$123,350</w:t>
            </w:r>
          </w:p>
        </w:tc>
        <w:tc>
          <w:tcPr>
            <w:tcW w:w="1170" w:type="dxa"/>
            <w:shd w:val="clear" w:color="auto" w:fill="auto"/>
            <w:noWrap/>
            <w:vAlign w:val="bottom"/>
          </w:tcPr>
          <w:p w:rsidRPr="004D223C" w:rsidR="008959A4" w:rsidP="00BC48EE" w:rsidRDefault="008959A4" w14:paraId="5D8BB809" w14:textId="77777777">
            <w:pPr>
              <w:keepNext/>
              <w:jc w:val="right"/>
              <w:rPr>
                <w:rFonts w:eastAsia="Times New Roman" w:cs="Calibri"/>
                <w:sz w:val="20"/>
              </w:rPr>
            </w:pPr>
            <w:r w:rsidRPr="004D223C">
              <w:rPr>
                <w:rFonts w:cs="Calibri"/>
                <w:sz w:val="20"/>
              </w:rPr>
              <w:t>$123,350</w:t>
            </w:r>
          </w:p>
        </w:tc>
        <w:tc>
          <w:tcPr>
            <w:tcW w:w="1170" w:type="dxa"/>
            <w:shd w:val="clear" w:color="auto" w:fill="auto"/>
            <w:noWrap/>
            <w:vAlign w:val="bottom"/>
          </w:tcPr>
          <w:p w:rsidRPr="004D223C" w:rsidR="008959A4" w:rsidP="00BC48EE" w:rsidRDefault="008959A4" w14:paraId="54201500" w14:textId="77777777">
            <w:pPr>
              <w:keepNext/>
              <w:jc w:val="right"/>
              <w:rPr>
                <w:rFonts w:eastAsia="Times New Roman" w:cs="Calibri"/>
                <w:sz w:val="20"/>
              </w:rPr>
            </w:pPr>
            <w:r w:rsidRPr="004D223C">
              <w:rPr>
                <w:rFonts w:cs="Calibri"/>
                <w:sz w:val="20"/>
              </w:rPr>
              <w:t>$123,350</w:t>
            </w:r>
          </w:p>
        </w:tc>
        <w:tc>
          <w:tcPr>
            <w:tcW w:w="1170" w:type="dxa"/>
            <w:shd w:val="clear" w:color="auto" w:fill="auto"/>
            <w:noWrap/>
            <w:vAlign w:val="bottom"/>
          </w:tcPr>
          <w:p w:rsidRPr="004D223C" w:rsidR="008959A4" w:rsidP="00BC48EE" w:rsidRDefault="008959A4" w14:paraId="6DD271C5" w14:textId="77777777">
            <w:pPr>
              <w:keepNext/>
              <w:jc w:val="right"/>
              <w:rPr>
                <w:rFonts w:eastAsia="Times New Roman" w:cs="Calibri"/>
                <w:color w:val="000000"/>
                <w:sz w:val="20"/>
              </w:rPr>
            </w:pPr>
            <w:r w:rsidRPr="004D223C">
              <w:rPr>
                <w:rFonts w:cs="Calibri"/>
                <w:color w:val="000000"/>
                <w:sz w:val="20"/>
              </w:rPr>
              <w:t>$123,350</w:t>
            </w:r>
          </w:p>
        </w:tc>
        <w:tc>
          <w:tcPr>
            <w:tcW w:w="1260" w:type="dxa"/>
            <w:shd w:val="clear" w:color="auto" w:fill="auto"/>
            <w:noWrap/>
            <w:vAlign w:val="bottom"/>
          </w:tcPr>
          <w:p w:rsidRPr="004D223C" w:rsidR="008959A4" w:rsidP="00BC48EE" w:rsidRDefault="008959A4" w14:paraId="3D638B6D" w14:textId="77777777">
            <w:pPr>
              <w:keepNext/>
              <w:jc w:val="right"/>
              <w:rPr>
                <w:rFonts w:eastAsia="Times New Roman" w:cs="Calibri"/>
                <w:color w:val="000000"/>
                <w:sz w:val="20"/>
              </w:rPr>
            </w:pPr>
            <w:r w:rsidRPr="004D223C">
              <w:rPr>
                <w:rFonts w:cs="Calibri"/>
                <w:b/>
                <w:bCs/>
                <w:color w:val="000000"/>
                <w:sz w:val="20"/>
              </w:rPr>
              <w:t>$889,196</w:t>
            </w:r>
          </w:p>
        </w:tc>
      </w:tr>
      <w:tr w:rsidRPr="007704A4" w:rsidR="008959A4" w:rsidTr="00717A84" w14:paraId="2F980DE2" w14:textId="77777777">
        <w:trPr>
          <w:trHeight w:val="307"/>
        </w:trPr>
        <w:tc>
          <w:tcPr>
            <w:tcW w:w="1620" w:type="dxa"/>
            <w:shd w:val="clear" w:color="auto" w:fill="auto"/>
            <w:noWrap/>
            <w:vAlign w:val="bottom"/>
            <w:hideMark/>
          </w:tcPr>
          <w:p w:rsidRPr="004D223C" w:rsidR="008959A4" w:rsidP="00BC48EE" w:rsidRDefault="008959A4" w14:paraId="2F679123" w14:textId="77777777">
            <w:pPr>
              <w:keepNext/>
              <w:rPr>
                <w:rFonts w:eastAsia="Times New Roman" w:cs="Calibri"/>
                <w:color w:val="000000"/>
                <w:sz w:val="20"/>
              </w:rPr>
            </w:pPr>
            <w:r w:rsidRPr="004D223C">
              <w:rPr>
                <w:rFonts w:eastAsia="Times New Roman" w:cs="Calibri"/>
                <w:color w:val="000000"/>
                <w:sz w:val="20"/>
              </w:rPr>
              <w:t>Liberty</w:t>
            </w:r>
          </w:p>
        </w:tc>
        <w:tc>
          <w:tcPr>
            <w:tcW w:w="1170" w:type="dxa"/>
            <w:vAlign w:val="bottom"/>
          </w:tcPr>
          <w:p w:rsidRPr="004D223C" w:rsidR="008959A4" w:rsidP="00BC48EE" w:rsidRDefault="008959A4" w14:paraId="3337B778" w14:textId="77777777">
            <w:pPr>
              <w:keepNext/>
              <w:jc w:val="right"/>
              <w:rPr>
                <w:sz w:val="20"/>
              </w:rPr>
            </w:pPr>
            <w:r w:rsidRPr="004D223C">
              <w:rPr>
                <w:rFonts w:cs="Calibri"/>
                <w:color w:val="000000"/>
                <w:sz w:val="20"/>
              </w:rPr>
              <w:t>$166,768</w:t>
            </w:r>
          </w:p>
        </w:tc>
        <w:tc>
          <w:tcPr>
            <w:tcW w:w="1170" w:type="dxa"/>
            <w:shd w:val="clear" w:color="auto" w:fill="auto"/>
            <w:noWrap/>
            <w:vAlign w:val="bottom"/>
          </w:tcPr>
          <w:p w:rsidRPr="004D223C" w:rsidR="008959A4" w:rsidP="00BC48EE" w:rsidRDefault="008959A4" w14:paraId="7B864291" w14:textId="77777777">
            <w:pPr>
              <w:keepNext/>
              <w:jc w:val="right"/>
              <w:rPr>
                <w:rFonts w:eastAsia="Times New Roman" w:cs="Calibri"/>
                <w:sz w:val="20"/>
              </w:rPr>
            </w:pPr>
            <w:r w:rsidRPr="004D223C">
              <w:rPr>
                <w:rFonts w:cs="Calibri"/>
                <w:sz w:val="20"/>
              </w:rPr>
              <w:t>$357,035</w:t>
            </w:r>
          </w:p>
        </w:tc>
        <w:tc>
          <w:tcPr>
            <w:tcW w:w="1170" w:type="dxa"/>
            <w:shd w:val="clear" w:color="auto" w:fill="auto"/>
            <w:noWrap/>
            <w:vAlign w:val="bottom"/>
          </w:tcPr>
          <w:p w:rsidRPr="004D223C" w:rsidR="008959A4" w:rsidP="00BC48EE" w:rsidRDefault="008959A4" w14:paraId="68B4BBEB" w14:textId="77777777">
            <w:pPr>
              <w:keepNext/>
              <w:jc w:val="right"/>
              <w:rPr>
                <w:rFonts w:eastAsia="Times New Roman" w:cs="Calibri"/>
                <w:sz w:val="20"/>
              </w:rPr>
            </w:pPr>
            <w:r w:rsidRPr="004D223C">
              <w:rPr>
                <w:rFonts w:cs="Calibri"/>
                <w:sz w:val="20"/>
              </w:rPr>
              <w:t>$364,068</w:t>
            </w:r>
          </w:p>
        </w:tc>
        <w:tc>
          <w:tcPr>
            <w:tcW w:w="1170" w:type="dxa"/>
            <w:shd w:val="clear" w:color="auto" w:fill="auto"/>
            <w:noWrap/>
            <w:vAlign w:val="bottom"/>
          </w:tcPr>
          <w:p w:rsidRPr="004D223C" w:rsidR="008959A4" w:rsidP="00BC48EE" w:rsidRDefault="008959A4" w14:paraId="789A2153" w14:textId="77777777">
            <w:pPr>
              <w:keepNext/>
              <w:jc w:val="right"/>
              <w:rPr>
                <w:rFonts w:eastAsia="Times New Roman" w:cs="Calibri"/>
                <w:sz w:val="20"/>
              </w:rPr>
            </w:pPr>
            <w:r w:rsidRPr="004D223C">
              <w:rPr>
                <w:rFonts w:cs="Calibri"/>
                <w:sz w:val="20"/>
              </w:rPr>
              <w:t>$420,822</w:t>
            </w:r>
          </w:p>
        </w:tc>
        <w:tc>
          <w:tcPr>
            <w:tcW w:w="1170" w:type="dxa"/>
            <w:shd w:val="clear" w:color="auto" w:fill="auto"/>
            <w:noWrap/>
            <w:vAlign w:val="bottom"/>
          </w:tcPr>
          <w:p w:rsidRPr="004D223C" w:rsidR="008959A4" w:rsidP="00BC48EE" w:rsidRDefault="008959A4" w14:paraId="4BFD7020" w14:textId="77777777">
            <w:pPr>
              <w:keepNext/>
              <w:jc w:val="right"/>
              <w:rPr>
                <w:rFonts w:eastAsia="Times New Roman" w:cs="Calibri"/>
                <w:sz w:val="20"/>
              </w:rPr>
            </w:pPr>
            <w:r w:rsidRPr="004D223C">
              <w:rPr>
                <w:rFonts w:cs="Calibri"/>
                <w:sz w:val="20"/>
              </w:rPr>
              <w:t>$428,860</w:t>
            </w:r>
          </w:p>
        </w:tc>
        <w:tc>
          <w:tcPr>
            <w:tcW w:w="1170" w:type="dxa"/>
            <w:shd w:val="clear" w:color="auto" w:fill="auto"/>
            <w:noWrap/>
            <w:vAlign w:val="bottom"/>
          </w:tcPr>
          <w:p w:rsidRPr="004D223C" w:rsidR="008959A4" w:rsidP="00BC48EE" w:rsidRDefault="008959A4" w14:paraId="54C368F2" w14:textId="77777777">
            <w:pPr>
              <w:keepNext/>
              <w:jc w:val="right"/>
              <w:rPr>
                <w:rFonts w:eastAsia="Times New Roman" w:cs="Calibri"/>
                <w:color w:val="000000"/>
                <w:sz w:val="20"/>
              </w:rPr>
            </w:pPr>
            <w:r w:rsidRPr="004D223C">
              <w:rPr>
                <w:rFonts w:cs="Calibri"/>
                <w:color w:val="000000"/>
                <w:sz w:val="20"/>
              </w:rPr>
              <w:t>$436,931</w:t>
            </w:r>
          </w:p>
        </w:tc>
        <w:tc>
          <w:tcPr>
            <w:tcW w:w="1260" w:type="dxa"/>
            <w:shd w:val="clear" w:color="auto" w:fill="auto"/>
            <w:noWrap/>
            <w:vAlign w:val="bottom"/>
          </w:tcPr>
          <w:p w:rsidRPr="004D223C" w:rsidR="008959A4" w:rsidP="00BC48EE" w:rsidRDefault="008959A4" w14:paraId="679DE647" w14:textId="77777777">
            <w:pPr>
              <w:keepNext/>
              <w:jc w:val="right"/>
              <w:rPr>
                <w:rFonts w:eastAsia="Times New Roman" w:cs="Calibri"/>
                <w:color w:val="000000"/>
                <w:sz w:val="20"/>
              </w:rPr>
            </w:pPr>
            <w:r w:rsidRPr="004D223C">
              <w:rPr>
                <w:rFonts w:cs="Calibri"/>
                <w:b/>
                <w:bCs/>
                <w:color w:val="000000"/>
                <w:sz w:val="20"/>
              </w:rPr>
              <w:t>$2,174,484</w:t>
            </w:r>
          </w:p>
        </w:tc>
      </w:tr>
      <w:tr w:rsidRPr="007704A4" w:rsidR="008959A4" w:rsidTr="00717A84" w14:paraId="2C93C911" w14:textId="77777777">
        <w:trPr>
          <w:trHeight w:val="307"/>
        </w:trPr>
        <w:tc>
          <w:tcPr>
            <w:tcW w:w="1620" w:type="dxa"/>
            <w:shd w:val="clear" w:color="auto" w:fill="auto"/>
            <w:noWrap/>
            <w:vAlign w:val="bottom"/>
            <w:hideMark/>
          </w:tcPr>
          <w:p w:rsidRPr="004D223C" w:rsidR="008959A4" w:rsidP="00717A84" w:rsidRDefault="008959A4" w14:paraId="775953A4" w14:textId="77777777">
            <w:pPr>
              <w:rPr>
                <w:rFonts w:eastAsia="Times New Roman" w:cs="Calibri"/>
                <w:color w:val="000000"/>
                <w:sz w:val="20"/>
              </w:rPr>
            </w:pPr>
            <w:r w:rsidRPr="004D223C">
              <w:rPr>
                <w:rFonts w:eastAsia="Times New Roman" w:cs="Calibri"/>
                <w:color w:val="000000"/>
                <w:sz w:val="20"/>
              </w:rPr>
              <w:t>PacifiCorp</w:t>
            </w:r>
          </w:p>
        </w:tc>
        <w:tc>
          <w:tcPr>
            <w:tcW w:w="1170" w:type="dxa"/>
            <w:vAlign w:val="bottom"/>
          </w:tcPr>
          <w:p w:rsidRPr="004D223C" w:rsidR="008959A4" w:rsidP="00717A84" w:rsidRDefault="008959A4" w14:paraId="38EAB1CA" w14:textId="77777777">
            <w:pPr>
              <w:jc w:val="right"/>
              <w:rPr>
                <w:sz w:val="20"/>
              </w:rPr>
            </w:pPr>
            <w:r w:rsidRPr="004D223C">
              <w:rPr>
                <w:rFonts w:cs="Calibri"/>
                <w:color w:val="000000"/>
                <w:sz w:val="20"/>
              </w:rPr>
              <w:t>$876,750</w:t>
            </w:r>
          </w:p>
        </w:tc>
        <w:tc>
          <w:tcPr>
            <w:tcW w:w="1170" w:type="dxa"/>
            <w:shd w:val="clear" w:color="auto" w:fill="auto"/>
            <w:noWrap/>
            <w:vAlign w:val="bottom"/>
          </w:tcPr>
          <w:p w:rsidRPr="004D223C" w:rsidR="008959A4" w:rsidP="00717A84" w:rsidRDefault="008959A4" w14:paraId="1EB36BED" w14:textId="77777777">
            <w:pPr>
              <w:jc w:val="right"/>
              <w:rPr>
                <w:rFonts w:eastAsia="Times New Roman" w:cs="Calibri"/>
                <w:sz w:val="20"/>
              </w:rPr>
            </w:pPr>
            <w:r w:rsidRPr="004D223C">
              <w:rPr>
                <w:rFonts w:cs="Calibri"/>
                <w:sz w:val="20"/>
              </w:rPr>
              <w:t>$669,338</w:t>
            </w:r>
          </w:p>
        </w:tc>
        <w:tc>
          <w:tcPr>
            <w:tcW w:w="1170" w:type="dxa"/>
            <w:shd w:val="clear" w:color="auto" w:fill="auto"/>
            <w:noWrap/>
            <w:vAlign w:val="bottom"/>
          </w:tcPr>
          <w:p w:rsidRPr="004D223C" w:rsidR="008959A4" w:rsidP="00717A84" w:rsidRDefault="008959A4" w14:paraId="644018E5" w14:textId="77777777">
            <w:pPr>
              <w:jc w:val="right"/>
              <w:rPr>
                <w:rFonts w:eastAsia="Times New Roman" w:cs="Calibri"/>
                <w:sz w:val="20"/>
              </w:rPr>
            </w:pPr>
            <w:r w:rsidRPr="004D223C">
              <w:rPr>
                <w:rFonts w:cs="Calibri"/>
                <w:sz w:val="20"/>
              </w:rPr>
              <w:t>$728,424</w:t>
            </w:r>
          </w:p>
        </w:tc>
        <w:tc>
          <w:tcPr>
            <w:tcW w:w="1170" w:type="dxa"/>
            <w:shd w:val="clear" w:color="auto" w:fill="auto"/>
            <w:noWrap/>
            <w:vAlign w:val="bottom"/>
          </w:tcPr>
          <w:p w:rsidRPr="004D223C" w:rsidR="008959A4" w:rsidP="00717A84" w:rsidRDefault="008959A4" w14:paraId="0A07F312" w14:textId="77777777">
            <w:pPr>
              <w:jc w:val="right"/>
              <w:rPr>
                <w:rFonts w:eastAsia="Times New Roman" w:cs="Calibri"/>
                <w:sz w:val="20"/>
              </w:rPr>
            </w:pPr>
            <w:r w:rsidRPr="004D223C">
              <w:rPr>
                <w:rFonts w:cs="Calibri"/>
                <w:sz w:val="20"/>
              </w:rPr>
              <w:t>$766,211</w:t>
            </w:r>
          </w:p>
        </w:tc>
        <w:tc>
          <w:tcPr>
            <w:tcW w:w="1170" w:type="dxa"/>
            <w:shd w:val="clear" w:color="auto" w:fill="auto"/>
            <w:noWrap/>
            <w:vAlign w:val="bottom"/>
          </w:tcPr>
          <w:p w:rsidRPr="004D223C" w:rsidR="008959A4" w:rsidP="00717A84" w:rsidRDefault="008959A4" w14:paraId="6E049FE6" w14:textId="77777777">
            <w:pPr>
              <w:jc w:val="right"/>
              <w:rPr>
                <w:rFonts w:eastAsia="Times New Roman" w:cs="Calibri"/>
                <w:sz w:val="20"/>
              </w:rPr>
            </w:pPr>
            <w:r w:rsidRPr="004D223C">
              <w:rPr>
                <w:rFonts w:cs="Calibri"/>
                <w:sz w:val="20"/>
              </w:rPr>
              <w:t>$799,655</w:t>
            </w:r>
          </w:p>
        </w:tc>
        <w:tc>
          <w:tcPr>
            <w:tcW w:w="1170" w:type="dxa"/>
            <w:shd w:val="clear" w:color="auto" w:fill="auto"/>
            <w:noWrap/>
            <w:vAlign w:val="bottom"/>
          </w:tcPr>
          <w:p w:rsidRPr="004D223C" w:rsidR="008959A4" w:rsidP="00717A84" w:rsidRDefault="008959A4" w14:paraId="42773AC2" w14:textId="77777777">
            <w:pPr>
              <w:jc w:val="right"/>
              <w:rPr>
                <w:rFonts w:eastAsia="Times New Roman" w:cs="Calibri"/>
                <w:color w:val="000000"/>
                <w:sz w:val="20"/>
              </w:rPr>
            </w:pPr>
            <w:r w:rsidRPr="004D223C">
              <w:rPr>
                <w:rFonts w:cs="Calibri"/>
                <w:color w:val="000000"/>
                <w:sz w:val="20"/>
              </w:rPr>
              <w:t>$839,827</w:t>
            </w:r>
          </w:p>
        </w:tc>
        <w:tc>
          <w:tcPr>
            <w:tcW w:w="1260" w:type="dxa"/>
            <w:shd w:val="clear" w:color="auto" w:fill="auto"/>
            <w:noWrap/>
            <w:vAlign w:val="bottom"/>
          </w:tcPr>
          <w:p w:rsidRPr="004D223C" w:rsidR="008959A4" w:rsidP="00717A84" w:rsidRDefault="008959A4" w14:paraId="7315F638" w14:textId="77777777">
            <w:pPr>
              <w:jc w:val="right"/>
              <w:rPr>
                <w:rFonts w:eastAsia="Times New Roman" w:cs="Calibri"/>
                <w:color w:val="000000"/>
                <w:sz w:val="20"/>
              </w:rPr>
            </w:pPr>
            <w:r w:rsidRPr="004D223C">
              <w:rPr>
                <w:rFonts w:cs="Calibri"/>
                <w:b/>
                <w:bCs/>
                <w:color w:val="000000"/>
                <w:sz w:val="20"/>
              </w:rPr>
              <w:t>$4,680,205</w:t>
            </w:r>
          </w:p>
        </w:tc>
      </w:tr>
      <w:tr w:rsidRPr="007704A4" w:rsidR="008959A4" w:rsidTr="00717A84" w14:paraId="02840C33" w14:textId="77777777">
        <w:trPr>
          <w:trHeight w:val="307"/>
        </w:trPr>
        <w:tc>
          <w:tcPr>
            <w:tcW w:w="1620" w:type="dxa"/>
            <w:shd w:val="clear" w:color="auto" w:fill="auto"/>
            <w:noWrap/>
            <w:vAlign w:val="bottom"/>
          </w:tcPr>
          <w:p w:rsidRPr="004D223C" w:rsidR="008959A4" w:rsidP="00717A84" w:rsidRDefault="008959A4" w14:paraId="3C955B6E" w14:textId="77777777">
            <w:pPr>
              <w:rPr>
                <w:rFonts w:eastAsia="Times New Roman" w:cs="Calibri"/>
                <w:color w:val="000000"/>
                <w:sz w:val="20"/>
              </w:rPr>
            </w:pPr>
            <w:r w:rsidRPr="004D223C">
              <w:rPr>
                <w:rFonts w:eastAsia="Times New Roman" w:cs="Calibri"/>
                <w:color w:val="000000"/>
                <w:sz w:val="20"/>
              </w:rPr>
              <w:t>Southwest Gas</w:t>
            </w:r>
          </w:p>
        </w:tc>
        <w:tc>
          <w:tcPr>
            <w:tcW w:w="1170" w:type="dxa"/>
            <w:vAlign w:val="bottom"/>
          </w:tcPr>
          <w:p w:rsidRPr="004D223C" w:rsidR="008959A4" w:rsidP="00717A84" w:rsidRDefault="008959A4" w14:paraId="48E16506" w14:textId="77777777">
            <w:pPr>
              <w:jc w:val="right"/>
              <w:rPr>
                <w:sz w:val="20"/>
              </w:rPr>
            </w:pPr>
            <w:r w:rsidRPr="004D223C">
              <w:rPr>
                <w:rFonts w:cs="Calibri"/>
                <w:color w:val="000000"/>
                <w:sz w:val="20"/>
              </w:rPr>
              <w:t>$6,671,980</w:t>
            </w:r>
          </w:p>
        </w:tc>
        <w:tc>
          <w:tcPr>
            <w:tcW w:w="1170" w:type="dxa"/>
            <w:shd w:val="clear" w:color="auto" w:fill="auto"/>
            <w:noWrap/>
            <w:vAlign w:val="bottom"/>
          </w:tcPr>
          <w:p w:rsidRPr="004D223C" w:rsidR="008959A4" w:rsidP="00717A84" w:rsidRDefault="008959A4" w14:paraId="09ED7DC3" w14:textId="77777777">
            <w:pPr>
              <w:jc w:val="right"/>
              <w:rPr>
                <w:sz w:val="20"/>
              </w:rPr>
            </w:pPr>
            <w:r w:rsidRPr="004D223C">
              <w:rPr>
                <w:rFonts w:cs="Calibri"/>
                <w:sz w:val="20"/>
              </w:rPr>
              <w:t>$5,120,469</w:t>
            </w:r>
          </w:p>
        </w:tc>
        <w:tc>
          <w:tcPr>
            <w:tcW w:w="1170" w:type="dxa"/>
            <w:shd w:val="clear" w:color="auto" w:fill="auto"/>
            <w:noWrap/>
            <w:vAlign w:val="bottom"/>
          </w:tcPr>
          <w:p w:rsidRPr="004D223C" w:rsidR="008959A4" w:rsidP="00717A84" w:rsidRDefault="008959A4" w14:paraId="76FE4880" w14:textId="77777777">
            <w:pPr>
              <w:jc w:val="right"/>
              <w:rPr>
                <w:sz w:val="20"/>
              </w:rPr>
            </w:pPr>
            <w:r w:rsidRPr="004D223C">
              <w:rPr>
                <w:rFonts w:cs="Calibri"/>
                <w:sz w:val="20"/>
              </w:rPr>
              <w:t>$5,219,228</w:t>
            </w:r>
          </w:p>
        </w:tc>
        <w:tc>
          <w:tcPr>
            <w:tcW w:w="1170" w:type="dxa"/>
            <w:shd w:val="clear" w:color="auto" w:fill="auto"/>
            <w:noWrap/>
            <w:vAlign w:val="bottom"/>
          </w:tcPr>
          <w:p w:rsidRPr="004D223C" w:rsidR="008959A4" w:rsidP="00717A84" w:rsidRDefault="008959A4" w14:paraId="14304C37" w14:textId="77777777">
            <w:pPr>
              <w:jc w:val="right"/>
              <w:rPr>
                <w:sz w:val="20"/>
              </w:rPr>
            </w:pPr>
            <w:r w:rsidRPr="004D223C">
              <w:rPr>
                <w:rFonts w:cs="Calibri"/>
                <w:sz w:val="20"/>
              </w:rPr>
              <w:t>$5,325,629</w:t>
            </w:r>
          </w:p>
        </w:tc>
        <w:tc>
          <w:tcPr>
            <w:tcW w:w="1170" w:type="dxa"/>
            <w:shd w:val="clear" w:color="auto" w:fill="auto"/>
            <w:noWrap/>
            <w:vAlign w:val="bottom"/>
          </w:tcPr>
          <w:p w:rsidRPr="004D223C" w:rsidR="008959A4" w:rsidP="00717A84" w:rsidRDefault="008959A4" w14:paraId="1BE89B3F" w14:textId="77777777">
            <w:pPr>
              <w:jc w:val="right"/>
              <w:rPr>
                <w:sz w:val="20"/>
              </w:rPr>
            </w:pPr>
            <w:r w:rsidRPr="004D223C">
              <w:rPr>
                <w:rFonts w:cs="Calibri"/>
                <w:sz w:val="20"/>
              </w:rPr>
              <w:t>$5,430,213</w:t>
            </w:r>
          </w:p>
        </w:tc>
        <w:tc>
          <w:tcPr>
            <w:tcW w:w="1170" w:type="dxa"/>
            <w:shd w:val="clear" w:color="auto" w:fill="auto"/>
            <w:noWrap/>
            <w:vAlign w:val="bottom"/>
          </w:tcPr>
          <w:p w:rsidRPr="004D223C" w:rsidR="008959A4" w:rsidP="00717A84" w:rsidRDefault="008959A4" w14:paraId="45987B61" w14:textId="77777777">
            <w:pPr>
              <w:jc w:val="right"/>
              <w:rPr>
                <w:sz w:val="20"/>
              </w:rPr>
            </w:pPr>
            <w:r w:rsidRPr="004D223C">
              <w:rPr>
                <w:rFonts w:cs="Calibri"/>
                <w:color w:val="000000"/>
                <w:sz w:val="20"/>
              </w:rPr>
              <w:t>$5,542,283</w:t>
            </w:r>
          </w:p>
        </w:tc>
        <w:tc>
          <w:tcPr>
            <w:tcW w:w="1260" w:type="dxa"/>
            <w:shd w:val="clear" w:color="auto" w:fill="auto"/>
            <w:noWrap/>
            <w:vAlign w:val="bottom"/>
          </w:tcPr>
          <w:p w:rsidRPr="004D223C" w:rsidR="008959A4" w:rsidP="00717A84" w:rsidRDefault="008959A4" w14:paraId="05C21A9F" w14:textId="77777777">
            <w:pPr>
              <w:jc w:val="right"/>
              <w:rPr>
                <w:sz w:val="20"/>
              </w:rPr>
            </w:pPr>
            <w:r w:rsidRPr="004D223C">
              <w:rPr>
                <w:rFonts w:cs="Calibri"/>
                <w:b/>
                <w:bCs/>
                <w:color w:val="000000"/>
                <w:sz w:val="20"/>
              </w:rPr>
              <w:t>$33,309,801</w:t>
            </w:r>
          </w:p>
        </w:tc>
      </w:tr>
      <w:tr w:rsidRPr="007704A4" w:rsidR="008959A4" w:rsidTr="00717A84" w14:paraId="0705C329" w14:textId="77777777">
        <w:trPr>
          <w:trHeight w:val="307"/>
        </w:trPr>
        <w:tc>
          <w:tcPr>
            <w:tcW w:w="1620" w:type="dxa"/>
            <w:shd w:val="clear" w:color="auto" w:fill="auto"/>
            <w:noWrap/>
            <w:vAlign w:val="bottom"/>
            <w:hideMark/>
          </w:tcPr>
          <w:p w:rsidRPr="004D223C" w:rsidR="008959A4" w:rsidP="00717A84" w:rsidRDefault="008959A4" w14:paraId="1ED4AA1D" w14:textId="77777777">
            <w:pPr>
              <w:rPr>
                <w:rFonts w:eastAsia="Times New Roman" w:cs="Calibri"/>
                <w:color w:val="000000"/>
                <w:sz w:val="20"/>
              </w:rPr>
            </w:pPr>
            <w:r w:rsidRPr="004D223C">
              <w:rPr>
                <w:rFonts w:eastAsia="Times New Roman" w:cs="Calibri"/>
                <w:color w:val="000000"/>
                <w:sz w:val="20"/>
              </w:rPr>
              <w:t>Total</w:t>
            </w:r>
          </w:p>
        </w:tc>
        <w:tc>
          <w:tcPr>
            <w:tcW w:w="1170" w:type="dxa"/>
            <w:vAlign w:val="bottom"/>
          </w:tcPr>
          <w:p w:rsidRPr="004D223C" w:rsidR="008959A4" w:rsidP="00717A84" w:rsidRDefault="008959A4" w14:paraId="5F8EED1B" w14:textId="77777777">
            <w:pPr>
              <w:jc w:val="right"/>
              <w:rPr>
                <w:sz w:val="20"/>
              </w:rPr>
            </w:pPr>
            <w:r w:rsidRPr="004D223C">
              <w:rPr>
                <w:rFonts w:cs="Calibri"/>
                <w:b/>
                <w:bCs/>
                <w:color w:val="000000"/>
                <w:sz w:val="20"/>
              </w:rPr>
              <w:t>$8,016,770</w:t>
            </w:r>
          </w:p>
        </w:tc>
        <w:tc>
          <w:tcPr>
            <w:tcW w:w="1170" w:type="dxa"/>
            <w:shd w:val="clear" w:color="auto" w:fill="auto"/>
            <w:noWrap/>
            <w:vAlign w:val="bottom"/>
          </w:tcPr>
          <w:p w:rsidRPr="004D223C" w:rsidR="008959A4" w:rsidP="00717A84" w:rsidRDefault="008959A4" w14:paraId="092B1C19" w14:textId="77777777">
            <w:pPr>
              <w:jc w:val="right"/>
              <w:rPr>
                <w:rFonts w:eastAsia="Times New Roman" w:cs="Calibri"/>
                <w:color w:val="000000"/>
                <w:sz w:val="20"/>
              </w:rPr>
            </w:pPr>
            <w:r w:rsidRPr="004D223C">
              <w:rPr>
                <w:rFonts w:cs="Calibri"/>
                <w:b/>
                <w:bCs/>
                <w:color w:val="000000"/>
                <w:sz w:val="20"/>
              </w:rPr>
              <w:t>$6,299,441</w:t>
            </w:r>
          </w:p>
        </w:tc>
        <w:tc>
          <w:tcPr>
            <w:tcW w:w="1170" w:type="dxa"/>
            <w:shd w:val="clear" w:color="auto" w:fill="auto"/>
            <w:noWrap/>
            <w:vAlign w:val="bottom"/>
          </w:tcPr>
          <w:p w:rsidRPr="004D223C" w:rsidR="008959A4" w:rsidP="00717A84" w:rsidRDefault="008959A4" w14:paraId="55E1A527" w14:textId="77777777">
            <w:pPr>
              <w:jc w:val="right"/>
              <w:rPr>
                <w:rFonts w:eastAsia="Times New Roman" w:cs="Calibri"/>
                <w:color w:val="000000"/>
                <w:sz w:val="20"/>
              </w:rPr>
            </w:pPr>
            <w:r w:rsidRPr="004D223C">
              <w:rPr>
                <w:rFonts w:cs="Calibri"/>
                <w:b/>
                <w:bCs/>
                <w:color w:val="000000"/>
                <w:sz w:val="20"/>
              </w:rPr>
              <w:t>$6,464,319</w:t>
            </w:r>
          </w:p>
        </w:tc>
        <w:tc>
          <w:tcPr>
            <w:tcW w:w="1170" w:type="dxa"/>
            <w:shd w:val="clear" w:color="auto" w:fill="auto"/>
            <w:noWrap/>
            <w:vAlign w:val="bottom"/>
          </w:tcPr>
          <w:p w:rsidRPr="004D223C" w:rsidR="008959A4" w:rsidP="00717A84" w:rsidRDefault="008959A4" w14:paraId="4C899A3D" w14:textId="77777777">
            <w:pPr>
              <w:jc w:val="right"/>
              <w:rPr>
                <w:rFonts w:eastAsia="Times New Roman" w:cs="Calibri"/>
                <w:color w:val="000000"/>
                <w:sz w:val="20"/>
              </w:rPr>
            </w:pPr>
            <w:r w:rsidRPr="004D223C">
              <w:rPr>
                <w:rFonts w:cs="Calibri"/>
                <w:b/>
                <w:bCs/>
                <w:color w:val="000000"/>
                <w:sz w:val="20"/>
              </w:rPr>
              <w:t>$6,665,261</w:t>
            </w:r>
          </w:p>
        </w:tc>
        <w:tc>
          <w:tcPr>
            <w:tcW w:w="1170" w:type="dxa"/>
            <w:shd w:val="clear" w:color="auto" w:fill="auto"/>
            <w:noWrap/>
            <w:vAlign w:val="bottom"/>
          </w:tcPr>
          <w:p w:rsidRPr="004D223C" w:rsidR="008959A4" w:rsidP="00717A84" w:rsidRDefault="008959A4" w14:paraId="55EF0487" w14:textId="77777777">
            <w:pPr>
              <w:jc w:val="right"/>
              <w:rPr>
                <w:rFonts w:eastAsia="Times New Roman" w:cs="Calibri"/>
                <w:color w:val="000000"/>
                <w:sz w:val="20"/>
              </w:rPr>
            </w:pPr>
            <w:r w:rsidRPr="004D223C">
              <w:rPr>
                <w:rFonts w:cs="Calibri"/>
                <w:b/>
                <w:bCs/>
                <w:color w:val="000000"/>
                <w:sz w:val="20"/>
              </w:rPr>
              <w:t>$6,811,328</w:t>
            </w:r>
          </w:p>
        </w:tc>
        <w:tc>
          <w:tcPr>
            <w:tcW w:w="1170" w:type="dxa"/>
            <w:shd w:val="clear" w:color="auto" w:fill="auto"/>
            <w:noWrap/>
            <w:vAlign w:val="bottom"/>
          </w:tcPr>
          <w:p w:rsidRPr="004D223C" w:rsidR="008959A4" w:rsidP="00717A84" w:rsidRDefault="008959A4" w14:paraId="4D8D9E3C" w14:textId="77777777">
            <w:pPr>
              <w:jc w:val="right"/>
              <w:rPr>
                <w:rFonts w:eastAsia="Times New Roman" w:cs="Calibri"/>
                <w:color w:val="000000"/>
                <w:sz w:val="20"/>
              </w:rPr>
            </w:pPr>
            <w:r w:rsidRPr="004D223C">
              <w:rPr>
                <w:rFonts w:cs="Calibri"/>
                <w:b/>
                <w:bCs/>
                <w:color w:val="000000"/>
                <w:sz w:val="20"/>
              </w:rPr>
              <w:t>$6,971,640</w:t>
            </w:r>
          </w:p>
        </w:tc>
        <w:tc>
          <w:tcPr>
            <w:tcW w:w="1260" w:type="dxa"/>
            <w:shd w:val="clear" w:color="auto" w:fill="auto"/>
            <w:noWrap/>
            <w:vAlign w:val="bottom"/>
          </w:tcPr>
          <w:p w:rsidRPr="004D223C" w:rsidR="008959A4" w:rsidP="00717A84" w:rsidRDefault="008959A4" w14:paraId="4CFC52EA" w14:textId="77777777">
            <w:pPr>
              <w:jc w:val="right"/>
              <w:rPr>
                <w:rFonts w:eastAsia="Times New Roman" w:cs="Calibri"/>
                <w:color w:val="000000"/>
                <w:sz w:val="20"/>
              </w:rPr>
            </w:pPr>
            <w:r w:rsidRPr="004D223C">
              <w:rPr>
                <w:rFonts w:cs="Calibri"/>
                <w:b/>
                <w:bCs/>
                <w:color w:val="000000"/>
                <w:sz w:val="20"/>
              </w:rPr>
              <w:t>$41,228,759</w:t>
            </w:r>
          </w:p>
        </w:tc>
      </w:tr>
    </w:tbl>
    <w:p w:rsidRPr="00322F11" w:rsidR="008959A4" w:rsidP="008959A4" w:rsidRDefault="008959A4" w14:paraId="031CC1CF" w14:textId="77777777">
      <w:pPr>
        <w:pStyle w:val="Standard"/>
        <w:spacing w:line="240" w:lineRule="auto"/>
      </w:pPr>
    </w:p>
    <w:p w:rsidRPr="00DE1A50" w:rsidR="008959A4" w:rsidP="008959A4" w:rsidRDefault="008959A4" w14:paraId="0143C160" w14:textId="5099203B">
      <w:pPr>
        <w:pStyle w:val="Heading4"/>
        <w:ind w:left="3600" w:hanging="1260"/>
      </w:pPr>
      <w:bookmarkStart w:name="_Toc82159865" w:id="296"/>
      <w:r w:rsidRPr="00456C3A">
        <w:t xml:space="preserve">Budget Adjustments via Advice </w:t>
      </w:r>
      <w:r>
        <w:br/>
      </w:r>
      <w:r w:rsidRPr="00456C3A">
        <w:t>Letter:</w:t>
      </w:r>
      <w:r w:rsidR="00264851">
        <w:t xml:space="preserve"> </w:t>
      </w:r>
      <w:r>
        <w:t xml:space="preserve"> </w:t>
      </w:r>
      <w:r>
        <w:rPr>
          <w:u w:val="single"/>
        </w:rPr>
        <w:t>Denied</w:t>
      </w:r>
      <w:bookmarkEnd w:id="296"/>
    </w:p>
    <w:p w:rsidRPr="00996C87" w:rsidR="008959A4" w:rsidP="008959A4" w:rsidRDefault="008959A4" w14:paraId="1F5E2292" w14:textId="67EF506C">
      <w:pPr>
        <w:pStyle w:val="Standard"/>
      </w:pPr>
      <w:r>
        <w:t>W</w:t>
      </w:r>
      <w:r w:rsidRPr="00263B38">
        <w:t xml:space="preserve">e deny utilizing the advice letter process to make changes to the budgets approved in this decision. </w:t>
      </w:r>
      <w:r>
        <w:t>As discussed throughout this decision, a</w:t>
      </w:r>
      <w:r w:rsidRPr="00263B38">
        <w:t xml:space="preserve">ny program updates resulting in </w:t>
      </w:r>
      <w:r w:rsidRPr="00263B38">
        <w:rPr>
          <w:rFonts w:eastAsiaTheme="minorEastAsia"/>
        </w:rPr>
        <w:t>lower</w:t>
      </w:r>
      <w:r>
        <w:rPr>
          <w:rFonts w:eastAsiaTheme="minorEastAsia"/>
        </w:rPr>
        <w:t>ing</w:t>
      </w:r>
      <w:r w:rsidRPr="00263B38">
        <w:rPr>
          <w:rFonts w:eastAsiaTheme="minorEastAsia"/>
        </w:rPr>
        <w:t xml:space="preserve"> the program goals (not targets), or increas</w:t>
      </w:r>
      <w:r>
        <w:rPr>
          <w:rFonts w:eastAsiaTheme="minorEastAsia"/>
        </w:rPr>
        <w:t>ing</w:t>
      </w:r>
      <w:r w:rsidRPr="00263B38">
        <w:rPr>
          <w:rFonts w:eastAsiaTheme="minorEastAsia"/>
        </w:rPr>
        <w:t xml:space="preserve"> the approved budgets, would require a petition for modification</w:t>
      </w:r>
      <w:r w:rsidRPr="00592C51" w:rsidR="00592C51">
        <w:rPr>
          <w:rFonts w:cstheme="minorBidi"/>
          <w:szCs w:val="22"/>
        </w:rPr>
        <w:t xml:space="preserve"> </w:t>
      </w:r>
      <w:r w:rsidR="00592C51">
        <w:rPr>
          <w:rFonts w:cstheme="minorBidi"/>
          <w:szCs w:val="22"/>
        </w:rPr>
        <w:t>with an exception for i</w:t>
      </w:r>
      <w:r w:rsidR="00592C51">
        <w:rPr>
          <w:rFonts w:eastAsiaTheme="minorEastAsia"/>
        </w:rPr>
        <w:t>ncreases to the CARE program subsidy budgets</w:t>
      </w:r>
      <w:r w:rsidRPr="00EC6384" w:rsidR="00EC6384">
        <w:rPr>
          <w:color w:val="FF0000"/>
        </w:rPr>
        <w:t xml:space="preserve"> </w:t>
      </w:r>
      <w:r w:rsidRPr="00BC48EE" w:rsidR="00EC6384">
        <w:rPr>
          <w:rFonts w:cstheme="minorBidi"/>
          <w:szCs w:val="22"/>
        </w:rPr>
        <w:t>which should be handled through the two-way structure of the CARE balancing account</w:t>
      </w:r>
      <w:r w:rsidRPr="00BC48EE">
        <w:rPr>
          <w:rFonts w:cstheme="minorBidi"/>
          <w:szCs w:val="22"/>
        </w:rPr>
        <w:t>.</w:t>
      </w:r>
    </w:p>
    <w:p w:rsidRPr="00DE1A50" w:rsidR="008959A4" w:rsidP="008959A4" w:rsidRDefault="008959A4" w14:paraId="79610955" w14:textId="1D764A15">
      <w:pPr>
        <w:pStyle w:val="Heading4"/>
        <w:ind w:left="3600" w:hanging="1260"/>
      </w:pPr>
      <w:bookmarkStart w:name="_Toc82159866" w:id="297"/>
      <w:r w:rsidRPr="00225BFE">
        <w:t xml:space="preserve">Budget Certainty for ESA </w:t>
      </w:r>
      <w:r>
        <w:br/>
      </w:r>
      <w:r w:rsidRPr="00225BFE">
        <w:t>Contractors:</w:t>
      </w:r>
      <w:r>
        <w:t xml:space="preserve"> </w:t>
      </w:r>
      <w:r w:rsidR="00264851">
        <w:t xml:space="preserve"> </w:t>
      </w:r>
      <w:r w:rsidRPr="00225BFE">
        <w:rPr>
          <w:u w:val="single"/>
        </w:rPr>
        <w:t>Denied</w:t>
      </w:r>
      <w:bookmarkEnd w:id="297"/>
    </w:p>
    <w:p w:rsidRPr="00AD29D8" w:rsidR="008959A4" w:rsidP="008959A4" w:rsidRDefault="008959A4" w14:paraId="1AAFE7D2" w14:textId="77777777">
      <w:pPr>
        <w:pStyle w:val="Standard"/>
      </w:pPr>
      <w:r w:rsidRPr="00DB67C4">
        <w:t xml:space="preserve">We deny </w:t>
      </w:r>
      <w:r>
        <w:t xml:space="preserve">EEC and </w:t>
      </w:r>
      <w:r w:rsidRPr="00DB67C4">
        <w:t>Free Energy</w:t>
      </w:r>
      <w:r>
        <w:t xml:space="preserve">’s proposal to </w:t>
      </w:r>
      <w:r w:rsidRPr="00DB67C4">
        <w:t xml:space="preserve">assure </w:t>
      </w:r>
      <w:r>
        <w:t xml:space="preserve">budget certainty where </w:t>
      </w:r>
      <w:r w:rsidRPr="00DB67C4">
        <w:t xml:space="preserve">all per unit reimbursements increases are passed on at the same rate as that being approved for the </w:t>
      </w:r>
      <w:r>
        <w:t>SMJUs</w:t>
      </w:r>
      <w:r w:rsidRPr="00DB67C4">
        <w:t xml:space="preserve"> in our decisions</w:t>
      </w:r>
      <w:r>
        <w:t xml:space="preserve">.  </w:t>
      </w:r>
      <w:r w:rsidRPr="00DB67C4">
        <w:t xml:space="preserve">While the Commission is interested in ensuring a quality workforce for the program, </w:t>
      </w:r>
      <w:r>
        <w:t>the</w:t>
      </w:r>
      <w:r w:rsidRPr="00DB67C4">
        <w:t xml:space="preserve"> potential territorial or geographic inequities in setting such statewide and program wide </w:t>
      </w:r>
      <w:r>
        <w:t>budget certainty</w:t>
      </w:r>
      <w:r w:rsidRPr="00DB67C4">
        <w:t xml:space="preserve"> requirements and its impacts are unknown</w:t>
      </w:r>
      <w:r>
        <w:t xml:space="preserve"> and therefore denied. </w:t>
      </w:r>
    </w:p>
    <w:p w:rsidR="008959A4" w:rsidP="008959A4" w:rsidRDefault="008959A4" w14:paraId="695D2EBD" w14:textId="77777777">
      <w:pPr>
        <w:pStyle w:val="Heading1"/>
      </w:pPr>
      <w:bookmarkStart w:name="_Toc82159867" w:id="298"/>
      <w:bookmarkEnd w:id="280"/>
      <w:bookmarkEnd w:id="281"/>
      <w:bookmarkEnd w:id="282"/>
      <w:r>
        <w:lastRenderedPageBreak/>
        <w:t>Fund Shifting and Unpent Funds</w:t>
      </w:r>
      <w:bookmarkEnd w:id="298"/>
      <w:r>
        <w:t xml:space="preserve"> </w:t>
      </w:r>
    </w:p>
    <w:p w:rsidRPr="0042468B" w:rsidR="008959A4" w:rsidP="008959A4" w:rsidRDefault="008959A4" w14:paraId="36D7057E" w14:textId="77777777">
      <w:pPr>
        <w:pStyle w:val="Heading2"/>
      </w:pPr>
      <w:bookmarkStart w:name="_Toc82159868" w:id="299"/>
      <w:r w:rsidRPr="0042468B">
        <w:t>Background</w:t>
      </w:r>
      <w:bookmarkEnd w:id="299"/>
    </w:p>
    <w:p w:rsidR="008959A4" w:rsidP="008959A4" w:rsidRDefault="008959A4" w14:paraId="71FA7DC6" w14:textId="77777777">
      <w:pPr>
        <w:pStyle w:val="ALJBodyText"/>
      </w:pPr>
      <w:r>
        <w:t xml:space="preserve">The Commission adopted </w:t>
      </w:r>
      <w:r w:rsidRPr="00216DF4">
        <w:t xml:space="preserve">fund-shifting rules for </w:t>
      </w:r>
      <w:r>
        <w:t xml:space="preserve">the </w:t>
      </w:r>
      <w:r w:rsidRPr="00216DF4">
        <w:t>ESA and CARE programs</w:t>
      </w:r>
      <w:r w:rsidRPr="00294BF7">
        <w:t xml:space="preserve"> </w:t>
      </w:r>
      <w:r>
        <w:t xml:space="preserve">in </w:t>
      </w:r>
      <w:r w:rsidRPr="00216DF4">
        <w:t>D.14-05-004</w:t>
      </w:r>
      <w:r>
        <w:t>, which were later extended into the current cycle through D.18-08-20.</w:t>
      </w:r>
      <w:r>
        <w:rPr>
          <w:rStyle w:val="FootnoteReference"/>
        </w:rPr>
        <w:footnoteReference w:id="236"/>
      </w:r>
      <w:r>
        <w:t xml:space="preserve">  The existing fund shifting rules allow the SMJUs to shift ESA and CARE program funds from one year to the next within the program cycle, borrow funds from an approved future budget year, carry over unspent funds, shift funds between program categories, and shift funds between electric and gas budgets, all within certain parameters.  The SMJUs are also required to file a motion pursuant to Article 11 of the Commission’s Rules of Practice and Procedure and obtain an Administrative Law Judge’s prior written approval for any 1) shifting of funds into or out of different program categories, 2) shifting of funds into or out of the Education subcategory, 3) shifting of funds between electric and gas programs, and/or, 4) shifting of funds totaling 15</w:t>
      </w:r>
      <w:r w:rsidRPr="00DC2310">
        <w:t xml:space="preserve"> </w:t>
      </w:r>
      <w:r>
        <w:t>percent or more of the total current annual ESA program budget.</w:t>
      </w:r>
      <w:r>
        <w:rPr>
          <w:rStyle w:val="FootnoteReference"/>
        </w:rPr>
        <w:footnoteReference w:id="237"/>
      </w:r>
      <w:r>
        <w:t xml:space="preserve">  </w:t>
      </w:r>
    </w:p>
    <w:p w:rsidR="008959A4" w:rsidP="008959A4" w:rsidRDefault="008959A4" w14:paraId="31B80E51" w14:textId="77777777">
      <w:pPr>
        <w:pStyle w:val="Heading2"/>
      </w:pPr>
      <w:bookmarkStart w:name="_Toc82159869" w:id="300"/>
      <w:r>
        <w:t>Alpine Proposal</w:t>
      </w:r>
      <w:bookmarkEnd w:id="300"/>
      <w:r>
        <w:t xml:space="preserve"> </w:t>
      </w:r>
    </w:p>
    <w:p w:rsidR="008959A4" w:rsidP="008959A4" w:rsidRDefault="008959A4" w14:paraId="7D09F6CA" w14:textId="77777777">
      <w:pPr>
        <w:pStyle w:val="Standard"/>
        <w:rPr>
          <w:b/>
          <w:bCs/>
          <w:i/>
          <w:iCs/>
          <w:u w:val="single"/>
        </w:rPr>
      </w:pPr>
      <w:r w:rsidRPr="24DCB1AB">
        <w:rPr>
          <w:b/>
          <w:bCs/>
          <w:i/>
          <w:iCs/>
          <w:u w:val="single"/>
        </w:rPr>
        <w:t>Fund Shifting</w:t>
      </w:r>
      <w:r w:rsidRPr="007704A4">
        <w:rPr>
          <w:b/>
          <w:bCs/>
          <w:i/>
          <w:iCs/>
        </w:rPr>
        <w:t xml:space="preserve">:  </w:t>
      </w:r>
      <w:r w:rsidRPr="00963C5C">
        <w:t xml:space="preserve">Alpine does not </w:t>
      </w:r>
      <w:r>
        <w:t>propose any changes.</w:t>
      </w:r>
      <w:r>
        <w:rPr>
          <w:b/>
          <w:bCs/>
          <w:i/>
          <w:iCs/>
          <w:u w:val="single"/>
        </w:rPr>
        <w:t xml:space="preserve"> </w:t>
      </w:r>
    </w:p>
    <w:p w:rsidRPr="00963C5C" w:rsidR="008959A4" w:rsidP="008959A4" w:rsidRDefault="008959A4" w14:paraId="024D9A86" w14:textId="77777777">
      <w:pPr>
        <w:pStyle w:val="Standard"/>
      </w:pPr>
      <w:r w:rsidRPr="24DCB1AB">
        <w:rPr>
          <w:b/>
          <w:bCs/>
          <w:i/>
          <w:iCs/>
          <w:u w:val="single"/>
        </w:rPr>
        <w:t>Unspent Funds</w:t>
      </w:r>
      <w:r w:rsidRPr="007704A4">
        <w:rPr>
          <w:b/>
          <w:bCs/>
          <w:i/>
          <w:iCs/>
        </w:rPr>
        <w:t>:</w:t>
      </w:r>
      <w:r w:rsidRPr="007704A4">
        <w:t xml:space="preserve">  </w:t>
      </w:r>
      <w:r w:rsidRPr="00963C5C">
        <w:t xml:space="preserve">Alpine does not </w:t>
      </w:r>
      <w:r>
        <w:t>propose any changes.</w:t>
      </w:r>
      <w:r>
        <w:rPr>
          <w:b/>
          <w:bCs/>
          <w:i/>
          <w:iCs/>
          <w:u w:val="single"/>
        </w:rPr>
        <w:t xml:space="preserve"> </w:t>
      </w:r>
    </w:p>
    <w:p w:rsidR="008959A4" w:rsidP="008959A4" w:rsidRDefault="008959A4" w14:paraId="762DB2F6" w14:textId="77777777">
      <w:pPr>
        <w:pStyle w:val="Heading2"/>
      </w:pPr>
      <w:bookmarkStart w:name="_Toc82159870" w:id="301"/>
      <w:r>
        <w:t>Bear Valley Proposal</w:t>
      </w:r>
      <w:bookmarkEnd w:id="301"/>
      <w:r>
        <w:t xml:space="preserve"> </w:t>
      </w:r>
    </w:p>
    <w:p w:rsidR="008959A4" w:rsidP="008959A4" w:rsidRDefault="008959A4" w14:paraId="52376E9F" w14:textId="77777777">
      <w:pPr>
        <w:pStyle w:val="ALJBodyText"/>
      </w:pPr>
      <w:r w:rsidRPr="24DCB1AB">
        <w:rPr>
          <w:b/>
          <w:bCs/>
          <w:i/>
          <w:iCs/>
          <w:u w:val="single"/>
        </w:rPr>
        <w:t>Fund Shifting</w:t>
      </w:r>
      <w:r w:rsidRPr="007704A4">
        <w:rPr>
          <w:b/>
          <w:bCs/>
          <w:i/>
          <w:iCs/>
        </w:rPr>
        <w:t>:</w:t>
      </w:r>
      <w:r w:rsidRPr="007704A4">
        <w:t xml:space="preserve">  </w:t>
      </w:r>
      <w:r>
        <w:t xml:space="preserve">Bear Valley </w:t>
      </w:r>
      <w:r w:rsidRPr="007A1A17">
        <w:t xml:space="preserve">has experienced a decline in the number of CARE participants </w:t>
      </w:r>
      <w:r>
        <w:t xml:space="preserve">resulting in </w:t>
      </w:r>
      <w:r w:rsidRPr="007A1A17">
        <w:t xml:space="preserve">an </w:t>
      </w:r>
      <w:r w:rsidRPr="00D55241">
        <w:t>under-collection of funds in its balancing account</w:t>
      </w:r>
      <w:r>
        <w:t xml:space="preserve"> but </w:t>
      </w:r>
      <w:r w:rsidRPr="007A1A17">
        <w:t xml:space="preserve">anticipates that a larger discount will be required to subsidize the tariff rate for additional CARE participants. </w:t>
      </w:r>
      <w:r>
        <w:t xml:space="preserve"> To address this issue, Bear Valley</w:t>
      </w:r>
      <w:r w:rsidRPr="007A1A17">
        <w:t xml:space="preserve"> requests that the Commission authorize</w:t>
      </w:r>
      <w:r>
        <w:t xml:space="preserve"> Bear Valley to</w:t>
      </w:r>
      <w:r w:rsidRPr="007A1A17">
        <w:t xml:space="preserve"> transfer the </w:t>
      </w:r>
      <w:r w:rsidRPr="007A1A17">
        <w:lastRenderedPageBreak/>
        <w:t>over</w:t>
      </w:r>
      <w:r>
        <w:noBreakHyphen/>
      </w:r>
      <w:r w:rsidRPr="007A1A17">
        <w:t>collection of</w:t>
      </w:r>
      <w:r>
        <w:t xml:space="preserve"> </w:t>
      </w:r>
      <w:r w:rsidRPr="007A1A17">
        <w:t>funds in the ESA program to the CARE program</w:t>
      </w:r>
      <w:r>
        <w:t xml:space="preserve">, specifically </w:t>
      </w:r>
      <w:r w:rsidRPr="00CF6869">
        <w:t xml:space="preserve">$600,000 </w:t>
      </w:r>
      <w:r>
        <w:t>in</w:t>
      </w:r>
      <w:r w:rsidRPr="00CF6869">
        <w:t xml:space="preserve"> over-collection in the ESA program to the CARE program </w:t>
      </w:r>
      <w:r>
        <w:t xml:space="preserve">for PYs </w:t>
      </w:r>
      <w:r w:rsidRPr="00CF6869">
        <w:t>2021-2026.</w:t>
      </w:r>
      <w:r>
        <w:rPr>
          <w:rStyle w:val="FootnoteReference"/>
        </w:rPr>
        <w:footnoteReference w:id="238"/>
      </w:r>
      <w:r w:rsidRPr="00F42573">
        <w:t xml:space="preserve"> </w:t>
      </w:r>
      <w:r w:rsidRPr="004E6E76">
        <w:t xml:space="preserve"> The transferred funds will be an</w:t>
      </w:r>
      <w:r>
        <w:t xml:space="preserve"> </w:t>
      </w:r>
      <w:r w:rsidRPr="004E6E76">
        <w:t>addition to the CARE proposed budget for PY</w:t>
      </w:r>
      <w:r>
        <w:t>s</w:t>
      </w:r>
      <w:r w:rsidRPr="004E6E76">
        <w:t xml:space="preserve"> 2021-2026</w:t>
      </w:r>
      <w:r>
        <w:t>.</w:t>
      </w:r>
    </w:p>
    <w:p w:rsidRPr="0054107C" w:rsidR="008959A4" w:rsidP="008959A4" w:rsidRDefault="008959A4" w14:paraId="339B9FDB" w14:textId="77777777">
      <w:pPr>
        <w:pStyle w:val="ALJBodyText"/>
      </w:pPr>
      <w:r w:rsidRPr="24DCB1AB">
        <w:rPr>
          <w:b/>
          <w:bCs/>
          <w:i/>
          <w:iCs/>
          <w:u w:val="single"/>
        </w:rPr>
        <w:t>Unspent Funds</w:t>
      </w:r>
      <w:r w:rsidRPr="007704A4">
        <w:rPr>
          <w:b/>
          <w:bCs/>
          <w:i/>
          <w:iCs/>
        </w:rPr>
        <w:t>:</w:t>
      </w:r>
      <w:r w:rsidRPr="007704A4">
        <w:t xml:space="preserve">  </w:t>
      </w:r>
      <w:r w:rsidRPr="00C96EFD">
        <w:t xml:space="preserve">As of end of December 2020, </w:t>
      </w:r>
      <w:r>
        <w:t>Bear Valley</w:t>
      </w:r>
      <w:r w:rsidRPr="00C96EFD">
        <w:t xml:space="preserve"> had an over collection</w:t>
      </w:r>
      <w:r w:rsidRPr="00AE4A7D">
        <w:t xml:space="preserve"> </w:t>
      </w:r>
      <w:r w:rsidRPr="00C96EFD">
        <w:t>of $1,055,676 in its ESA balancing account.</w:t>
      </w:r>
      <w:r>
        <w:rPr>
          <w:rStyle w:val="FootnoteReference"/>
        </w:rPr>
        <w:footnoteReference w:id="239"/>
      </w:r>
      <w:r>
        <w:t xml:space="preserve">  T</w:t>
      </w:r>
      <w:r w:rsidRPr="00D4506B">
        <w:t>his over-collection is</w:t>
      </w:r>
      <w:r>
        <w:t xml:space="preserve"> </w:t>
      </w:r>
      <w:r w:rsidRPr="00D4506B">
        <w:t>due to</w:t>
      </w:r>
      <w:r>
        <w:t xml:space="preserve">:  1) </w:t>
      </w:r>
      <w:r w:rsidRPr="00D4506B">
        <w:t>ESA contractor</w:t>
      </w:r>
      <w:r>
        <w:t>s</w:t>
      </w:r>
      <w:r w:rsidRPr="00D4506B">
        <w:t xml:space="preserve"> lacking personnel resources to treat</w:t>
      </w:r>
      <w:r>
        <w:t xml:space="preserve"> </w:t>
      </w:r>
      <w:r w:rsidRPr="00D4506B">
        <w:t>homes</w:t>
      </w:r>
      <w:r>
        <w:t xml:space="preserve">, and 2) </w:t>
      </w:r>
      <w:r w:rsidRPr="00D4506B">
        <w:t>the reticence of homeowners to open their doors and have their residences</w:t>
      </w:r>
      <w:r>
        <w:t xml:space="preserve"> </w:t>
      </w:r>
      <w:r w:rsidRPr="00D4506B">
        <w:t>treated</w:t>
      </w:r>
      <w:r>
        <w:t>.  Bear Valley is not proposing to use the unspent funds to offset the 2021-2026 program cycle, but to rather transfer these funds to the CARE program</w:t>
      </w:r>
      <w:r w:rsidRPr="004E6E76">
        <w:t xml:space="preserve"> to support the discount needed to subsidize the lower</w:t>
      </w:r>
      <w:r>
        <w:t xml:space="preserve"> </w:t>
      </w:r>
      <w:r w:rsidRPr="004E6E76">
        <w:t>tariff rates charged to a higher number of CARE participants.</w:t>
      </w:r>
      <w:r>
        <w:rPr>
          <w:rStyle w:val="FootnoteReference"/>
        </w:rPr>
        <w:footnoteReference w:id="240"/>
      </w:r>
    </w:p>
    <w:p w:rsidR="008959A4" w:rsidP="008959A4" w:rsidRDefault="008959A4" w14:paraId="74506315" w14:textId="77777777">
      <w:pPr>
        <w:pStyle w:val="Heading2"/>
      </w:pPr>
      <w:bookmarkStart w:name="_Toc82159871" w:id="302"/>
      <w:r>
        <w:t>Liberty Proposal</w:t>
      </w:r>
      <w:bookmarkEnd w:id="302"/>
      <w:r>
        <w:t xml:space="preserve"> </w:t>
      </w:r>
    </w:p>
    <w:p w:rsidR="008959A4" w:rsidP="008959A4" w:rsidRDefault="008959A4" w14:paraId="4AF60441" w14:textId="77777777">
      <w:pPr>
        <w:pStyle w:val="ALJBodyText"/>
      </w:pPr>
      <w:r w:rsidRPr="24DCB1AB">
        <w:rPr>
          <w:b/>
          <w:bCs/>
          <w:i/>
          <w:iCs/>
          <w:u w:val="single"/>
        </w:rPr>
        <w:t>Fund Shifting</w:t>
      </w:r>
      <w:r w:rsidRPr="007704A4">
        <w:rPr>
          <w:b/>
          <w:bCs/>
          <w:i/>
          <w:iCs/>
        </w:rPr>
        <w:t xml:space="preserve">: </w:t>
      </w:r>
      <w:r>
        <w:t xml:space="preserve"> Liberty</w:t>
      </w:r>
      <w:r w:rsidRPr="00963C5C">
        <w:t xml:space="preserve"> does not </w:t>
      </w:r>
      <w:r>
        <w:t>propose any changes.</w:t>
      </w:r>
    </w:p>
    <w:p w:rsidR="008959A4" w:rsidP="008959A4" w:rsidRDefault="008959A4" w14:paraId="5B0E138B" w14:textId="77777777">
      <w:pPr>
        <w:pStyle w:val="ALJBodyText"/>
      </w:pPr>
      <w:r>
        <w:rPr>
          <w:b/>
          <w:bCs/>
          <w:i/>
          <w:iCs/>
          <w:u w:val="single"/>
        </w:rPr>
        <w:t>Unspent Funds</w:t>
      </w:r>
      <w:r w:rsidRPr="007704A4">
        <w:rPr>
          <w:b/>
          <w:bCs/>
          <w:i/>
          <w:iCs/>
        </w:rPr>
        <w:t>:</w:t>
      </w:r>
      <w:r w:rsidRPr="007704A4">
        <w:t xml:space="preserve">  </w:t>
      </w:r>
      <w:r>
        <w:t>Liberty proposes to</w:t>
      </w:r>
      <w:r w:rsidRPr="005B1ED9">
        <w:t xml:space="preserve"> </w:t>
      </w:r>
      <w:r>
        <w:t xml:space="preserve">carry over the </w:t>
      </w:r>
      <w:r w:rsidRPr="005B1ED9">
        <w:t>2020</w:t>
      </w:r>
      <w:r>
        <w:t xml:space="preserve"> </w:t>
      </w:r>
      <w:r w:rsidRPr="005B1ED9">
        <w:t xml:space="preserve">administrative budget of $166,387 </w:t>
      </w:r>
      <w:r>
        <w:t xml:space="preserve">into PYs </w:t>
      </w:r>
      <w:r w:rsidRPr="005B1ED9">
        <w:t>2021-2026 for a</w:t>
      </w:r>
      <w:r>
        <w:t>n</w:t>
      </w:r>
      <w:r w:rsidRPr="005B1ED9">
        <w:t xml:space="preserve"> </w:t>
      </w:r>
      <w:r>
        <w:t xml:space="preserve">ESA program </w:t>
      </w:r>
      <w:r w:rsidRPr="005B1ED9">
        <w:t xml:space="preserve">total budget of $2,673,889 for </w:t>
      </w:r>
      <w:r>
        <w:t>PYs</w:t>
      </w:r>
      <w:r w:rsidRPr="005B1ED9">
        <w:t xml:space="preserve"> 2021-2026</w:t>
      </w:r>
      <w:r>
        <w:t>.</w:t>
      </w:r>
      <w:r>
        <w:rPr>
          <w:rStyle w:val="FootnoteReference"/>
        </w:rPr>
        <w:footnoteReference w:id="241"/>
      </w:r>
    </w:p>
    <w:p w:rsidR="008959A4" w:rsidP="008959A4" w:rsidRDefault="008959A4" w14:paraId="4610A4D8" w14:textId="77777777">
      <w:pPr>
        <w:pStyle w:val="Heading2"/>
      </w:pPr>
      <w:bookmarkStart w:name="_Toc82159872" w:id="303"/>
      <w:r>
        <w:t>PacifiCorp Proposal</w:t>
      </w:r>
      <w:bookmarkEnd w:id="303"/>
      <w:r>
        <w:t xml:space="preserve"> </w:t>
      </w:r>
    </w:p>
    <w:p w:rsidR="008959A4" w:rsidP="008959A4" w:rsidRDefault="008959A4" w14:paraId="0790DB26" w14:textId="77777777">
      <w:pPr>
        <w:pStyle w:val="Standard"/>
        <w:rPr>
          <w:b/>
          <w:bCs/>
          <w:i/>
          <w:iCs/>
          <w:u w:val="single"/>
        </w:rPr>
      </w:pPr>
      <w:r w:rsidRPr="24DCB1AB">
        <w:rPr>
          <w:b/>
          <w:bCs/>
          <w:i/>
          <w:iCs/>
          <w:u w:val="single"/>
        </w:rPr>
        <w:t>Fund Shifting</w:t>
      </w:r>
      <w:r w:rsidRPr="007704A4">
        <w:rPr>
          <w:b/>
          <w:bCs/>
          <w:i/>
          <w:iCs/>
        </w:rPr>
        <w:t>:</w:t>
      </w:r>
      <w:r w:rsidRPr="007704A4">
        <w:t xml:space="preserve">  </w:t>
      </w:r>
      <w:r>
        <w:t>PacifiCorp</w:t>
      </w:r>
      <w:r w:rsidRPr="00963C5C">
        <w:t xml:space="preserve"> does not </w:t>
      </w:r>
      <w:r>
        <w:t>propose any changes.</w:t>
      </w:r>
      <w:r>
        <w:rPr>
          <w:b/>
          <w:bCs/>
          <w:i/>
          <w:iCs/>
          <w:u w:val="single"/>
        </w:rPr>
        <w:t xml:space="preserve"> </w:t>
      </w:r>
    </w:p>
    <w:p w:rsidRPr="00963C5C" w:rsidR="008959A4" w:rsidP="008959A4" w:rsidRDefault="008959A4" w14:paraId="5B33EAC3" w14:textId="77777777">
      <w:pPr>
        <w:pStyle w:val="Standard"/>
      </w:pPr>
      <w:r w:rsidRPr="24DCB1AB">
        <w:rPr>
          <w:b/>
          <w:bCs/>
          <w:i/>
          <w:iCs/>
          <w:u w:val="single"/>
        </w:rPr>
        <w:t>Unspent Funds</w:t>
      </w:r>
      <w:r w:rsidRPr="007704A4">
        <w:rPr>
          <w:b/>
          <w:bCs/>
          <w:i/>
          <w:iCs/>
        </w:rPr>
        <w:t>:</w:t>
      </w:r>
      <w:r w:rsidRPr="007704A4">
        <w:t xml:space="preserve">  </w:t>
      </w:r>
      <w:r>
        <w:t>PacifiCorp</w:t>
      </w:r>
      <w:r w:rsidRPr="00963C5C">
        <w:t xml:space="preserve"> does not </w:t>
      </w:r>
      <w:r>
        <w:t>propose any changes.</w:t>
      </w:r>
      <w:r>
        <w:rPr>
          <w:b/>
          <w:bCs/>
          <w:i/>
          <w:iCs/>
          <w:u w:val="single"/>
        </w:rPr>
        <w:t xml:space="preserve"> </w:t>
      </w:r>
    </w:p>
    <w:p w:rsidR="008959A4" w:rsidP="008959A4" w:rsidRDefault="008959A4" w14:paraId="71C23040" w14:textId="77777777">
      <w:pPr>
        <w:pStyle w:val="Heading2"/>
      </w:pPr>
      <w:bookmarkStart w:name="_Toc82159873" w:id="304"/>
      <w:r>
        <w:t>Southwest Gas Proposal</w:t>
      </w:r>
      <w:bookmarkEnd w:id="304"/>
    </w:p>
    <w:p w:rsidR="008959A4" w:rsidP="008959A4" w:rsidRDefault="008959A4" w14:paraId="41C1F94B" w14:textId="77777777">
      <w:pPr>
        <w:pStyle w:val="Standard"/>
        <w:rPr>
          <w:b/>
          <w:bCs/>
          <w:i/>
          <w:iCs/>
          <w:u w:val="single"/>
        </w:rPr>
      </w:pPr>
      <w:r w:rsidRPr="24DCB1AB">
        <w:rPr>
          <w:b/>
          <w:bCs/>
          <w:i/>
          <w:iCs/>
          <w:u w:val="single"/>
        </w:rPr>
        <w:t>Fund Shifting</w:t>
      </w:r>
      <w:r w:rsidRPr="007704A4">
        <w:rPr>
          <w:b/>
          <w:bCs/>
          <w:i/>
          <w:iCs/>
        </w:rPr>
        <w:t>:</w:t>
      </w:r>
      <w:r w:rsidRPr="007704A4">
        <w:t xml:space="preserve">  </w:t>
      </w:r>
      <w:r>
        <w:t>Southwest Gas</w:t>
      </w:r>
      <w:r w:rsidRPr="00963C5C">
        <w:t xml:space="preserve"> does not </w:t>
      </w:r>
      <w:r>
        <w:t>propose any changes.</w:t>
      </w:r>
      <w:r>
        <w:rPr>
          <w:b/>
          <w:bCs/>
          <w:i/>
          <w:iCs/>
          <w:u w:val="single"/>
        </w:rPr>
        <w:t xml:space="preserve"> </w:t>
      </w:r>
    </w:p>
    <w:p w:rsidRPr="00963C5C" w:rsidR="008959A4" w:rsidP="008959A4" w:rsidRDefault="008959A4" w14:paraId="49857768" w14:textId="77777777">
      <w:pPr>
        <w:pStyle w:val="Standard"/>
      </w:pPr>
      <w:r w:rsidRPr="24DCB1AB">
        <w:rPr>
          <w:b/>
          <w:bCs/>
          <w:i/>
          <w:iCs/>
          <w:u w:val="single"/>
        </w:rPr>
        <w:lastRenderedPageBreak/>
        <w:t>Unspent Funds</w:t>
      </w:r>
      <w:r w:rsidRPr="007704A4">
        <w:rPr>
          <w:b/>
          <w:bCs/>
          <w:i/>
          <w:iCs/>
        </w:rPr>
        <w:t>:</w:t>
      </w:r>
      <w:r w:rsidRPr="007704A4">
        <w:t xml:space="preserve">  </w:t>
      </w:r>
      <w:r>
        <w:t>Southwest Gas</w:t>
      </w:r>
      <w:r w:rsidRPr="00963C5C">
        <w:t xml:space="preserve"> does not </w:t>
      </w:r>
      <w:r>
        <w:t>propose any changes.</w:t>
      </w:r>
      <w:r>
        <w:rPr>
          <w:b/>
          <w:bCs/>
          <w:i/>
          <w:iCs/>
          <w:u w:val="single"/>
        </w:rPr>
        <w:t xml:space="preserve"> </w:t>
      </w:r>
    </w:p>
    <w:p w:rsidR="008959A4" w:rsidP="008959A4" w:rsidRDefault="008959A4" w14:paraId="20429D5C" w14:textId="77777777">
      <w:pPr>
        <w:pStyle w:val="Heading2"/>
      </w:pPr>
      <w:bookmarkStart w:name="_Toc82159874" w:id="305"/>
      <w:r>
        <w:t>EEC &amp; Free Energy Proposal</w:t>
      </w:r>
      <w:bookmarkEnd w:id="305"/>
    </w:p>
    <w:p w:rsidR="008959A4" w:rsidP="008959A4" w:rsidRDefault="008959A4" w14:paraId="369B9E53" w14:textId="77777777">
      <w:pPr>
        <w:pStyle w:val="Standard"/>
      </w:pPr>
      <w:r>
        <w:rPr>
          <w:b/>
          <w:bCs/>
          <w:i/>
          <w:iCs/>
          <w:u w:val="single"/>
        </w:rPr>
        <w:t>Fund Shifting</w:t>
      </w:r>
      <w:r w:rsidRPr="007704A4">
        <w:rPr>
          <w:b/>
          <w:bCs/>
          <w:i/>
          <w:iCs/>
        </w:rPr>
        <w:t xml:space="preserve">: </w:t>
      </w:r>
      <w:r>
        <w:t xml:space="preserve"> EEC and Free Energy recommend that the S</w:t>
      </w:r>
      <w:r w:rsidRPr="005C00C0">
        <w:t>MJUs be allowed to shift funds into the accounts for measure installation from</w:t>
      </w:r>
      <w:r>
        <w:t xml:space="preserve"> </w:t>
      </w:r>
      <w:r w:rsidRPr="005C00C0">
        <w:t>other accounts but should not be allowed to shift funds from those accounts to other ESA</w:t>
      </w:r>
      <w:r>
        <w:t xml:space="preserve"> </w:t>
      </w:r>
      <w:r w:rsidRPr="005C00C0">
        <w:t>efforts.</w:t>
      </w:r>
      <w:r>
        <w:t xml:space="preserve"> </w:t>
      </w:r>
      <w:r w:rsidRPr="005C00C0">
        <w:t xml:space="preserve"> They should also be allowed to move funds within a category to where they are more</w:t>
      </w:r>
      <w:r>
        <w:t xml:space="preserve"> </w:t>
      </w:r>
      <w:r w:rsidRPr="005C00C0">
        <w:t>needed within the category</w:t>
      </w:r>
      <w:r>
        <w:t xml:space="preserve">, and that any </w:t>
      </w:r>
      <w:r w:rsidRPr="005C00C0">
        <w:t>non-measure funds that become available be shifted to support additional improvements to low-income families.</w:t>
      </w:r>
      <w:r>
        <w:rPr>
          <w:rStyle w:val="FootnoteReference"/>
        </w:rPr>
        <w:footnoteReference w:id="242"/>
      </w:r>
    </w:p>
    <w:p w:rsidRPr="005C00C0" w:rsidR="008959A4" w:rsidP="008959A4" w:rsidRDefault="008959A4" w14:paraId="0B15B012" w14:textId="77777777">
      <w:pPr>
        <w:pStyle w:val="Standard"/>
      </w:pPr>
      <w:r>
        <w:rPr>
          <w:b/>
          <w:bCs/>
          <w:i/>
          <w:iCs/>
          <w:u w:val="single"/>
        </w:rPr>
        <w:t>Unspent Fund</w:t>
      </w:r>
      <w:r w:rsidRPr="007704A4">
        <w:rPr>
          <w:b/>
          <w:bCs/>
          <w:i/>
          <w:iCs/>
        </w:rPr>
        <w:t>:</w:t>
      </w:r>
      <w:r w:rsidRPr="007704A4">
        <w:t xml:space="preserve">  </w:t>
      </w:r>
      <w:r w:rsidRPr="00745EFD">
        <w:t xml:space="preserve">EEC and Free Energy </w:t>
      </w:r>
      <w:r>
        <w:t>oppose shifting any unspent</w:t>
      </w:r>
      <w:r w:rsidRPr="00F76103">
        <w:t xml:space="preserve"> ESA funds</w:t>
      </w:r>
      <w:r>
        <w:t xml:space="preserve"> for other purposes</w:t>
      </w:r>
      <w:r w:rsidRPr="00F76103">
        <w:t>, including the</w:t>
      </w:r>
      <w:r>
        <w:t xml:space="preserve"> </w:t>
      </w:r>
      <w:r w:rsidRPr="00F76103">
        <w:t>use for reduction of the utility's rates</w:t>
      </w:r>
      <w:r>
        <w:t>, and recommend that u</w:t>
      </w:r>
      <w:r w:rsidRPr="00F76103">
        <w:t xml:space="preserve">nused or uncommitted funds always be shifted </w:t>
      </w:r>
      <w:r w:rsidRPr="00F76103">
        <w:rPr>
          <w:i/>
          <w:iCs/>
        </w:rPr>
        <w:t xml:space="preserve">into </w:t>
      </w:r>
      <w:r w:rsidRPr="00F76103">
        <w:t xml:space="preserve">the ESA program. </w:t>
      </w:r>
      <w:r>
        <w:t xml:space="preserve"> EEC and Free Energy recommend that al</w:t>
      </w:r>
      <w:r w:rsidRPr="005C00C0">
        <w:t>l unspent or uncommitted funds be carried over and held for use within the</w:t>
      </w:r>
      <w:r>
        <w:t xml:space="preserve"> </w:t>
      </w:r>
      <w:r w:rsidRPr="005C00C0">
        <w:t>same categories for the following year or even cycle</w:t>
      </w:r>
      <w:r>
        <w:t xml:space="preserve"> u</w:t>
      </w:r>
      <w:r w:rsidRPr="00265182">
        <w:t>ntil all of the</w:t>
      </w:r>
      <w:r>
        <w:t xml:space="preserve"> </w:t>
      </w:r>
      <w:r w:rsidRPr="00265182">
        <w:t xml:space="preserve">backlog of unused ESA funds have been used for their original intent. </w:t>
      </w:r>
      <w:r>
        <w:t xml:space="preserve"> And if </w:t>
      </w:r>
      <w:r w:rsidRPr="00265182">
        <w:t>the backlog is used up, the program</w:t>
      </w:r>
      <w:r>
        <w:t xml:space="preserve"> should be allowed to “</w:t>
      </w:r>
      <w:r w:rsidRPr="00265182">
        <w:t>borrow</w:t>
      </w:r>
      <w:r>
        <w:t>”</w:t>
      </w:r>
      <w:r w:rsidRPr="00265182">
        <w:t xml:space="preserve"> from future years</w:t>
      </w:r>
      <w:r>
        <w:t>’</w:t>
      </w:r>
      <w:r w:rsidRPr="00265182">
        <w:t xml:space="preserve"> budgets to get</w:t>
      </w:r>
      <w:r>
        <w:t xml:space="preserve"> </w:t>
      </w:r>
      <w:r w:rsidRPr="00265182">
        <w:t>through the then-current year.</w:t>
      </w:r>
      <w:r>
        <w:t xml:space="preserve">  EEC and Free Energy also recommend that each year, </w:t>
      </w:r>
      <w:r w:rsidRPr="00265182">
        <w:t>the contract amounts be resorted to receiving an amount proportional</w:t>
      </w:r>
      <w:r>
        <w:t xml:space="preserve"> </w:t>
      </w:r>
      <w:r w:rsidRPr="00265182">
        <w:t>to their previous year's production.</w:t>
      </w:r>
      <w:r>
        <w:rPr>
          <w:rStyle w:val="FootnoteReference"/>
        </w:rPr>
        <w:footnoteReference w:id="243"/>
      </w:r>
    </w:p>
    <w:p w:rsidR="008959A4" w:rsidP="008959A4" w:rsidRDefault="008959A4" w14:paraId="5A1054D1" w14:textId="77777777">
      <w:pPr>
        <w:pStyle w:val="Heading2"/>
      </w:pPr>
      <w:bookmarkStart w:name="_Toc82159875" w:id="306"/>
      <w:r>
        <w:lastRenderedPageBreak/>
        <w:t>SMJU Responses</w:t>
      </w:r>
      <w:bookmarkEnd w:id="306"/>
    </w:p>
    <w:p w:rsidRPr="009E6AFF" w:rsidR="008959A4" w:rsidP="008959A4" w:rsidRDefault="008959A4" w14:paraId="3F92AB32" w14:textId="77777777">
      <w:pPr>
        <w:pStyle w:val="Heading3"/>
      </w:pPr>
      <w:bookmarkStart w:name="_Toc82159876" w:id="307"/>
      <w:r>
        <w:t>Southwest Gas</w:t>
      </w:r>
      <w:r w:rsidRPr="00D03E26">
        <w:t>, P</w:t>
      </w:r>
      <w:r>
        <w:t>acifiCorp</w:t>
      </w:r>
      <w:r w:rsidRPr="00D03E26">
        <w:t>, L</w:t>
      </w:r>
      <w:r>
        <w:t>iberty</w:t>
      </w:r>
      <w:r w:rsidRPr="00D03E26">
        <w:t xml:space="preserve">, </w:t>
      </w:r>
      <w:r>
        <w:br/>
      </w:r>
      <w:r w:rsidRPr="00D03E26">
        <w:t>B</w:t>
      </w:r>
      <w:r>
        <w:t>ear Valley (Joint SMJUs) Response</w:t>
      </w:r>
      <w:bookmarkEnd w:id="307"/>
    </w:p>
    <w:p w:rsidR="008959A4" w:rsidP="008959A4" w:rsidRDefault="008959A4" w14:paraId="78BE6BC3" w14:textId="77777777">
      <w:pPr>
        <w:pStyle w:val="Standard"/>
      </w:pPr>
      <w:r w:rsidRPr="00E90484">
        <w:rPr>
          <w:b/>
          <w:bCs/>
          <w:i/>
          <w:iCs/>
          <w:u w:val="single"/>
        </w:rPr>
        <w:t>Fund Shifting</w:t>
      </w:r>
      <w:r>
        <w:t>:  The Joint SMJUs oppose EEC and Free Energy’s proposal to</w:t>
      </w:r>
      <w:r w:rsidRPr="00E90484">
        <w:t xml:space="preserve"> </w:t>
      </w:r>
      <w:r>
        <w:t>“</w:t>
      </w:r>
      <w:r w:rsidRPr="00E90484">
        <w:t>one</w:t>
      </w:r>
      <w:r>
        <w:t>-</w:t>
      </w:r>
      <w:r w:rsidRPr="00E90484">
        <w:t>way</w:t>
      </w:r>
      <w:r>
        <w:t xml:space="preserve"> </w:t>
      </w:r>
      <w:r w:rsidRPr="00E90484">
        <w:t>shift</w:t>
      </w:r>
      <w:r>
        <w:t>”</w:t>
      </w:r>
      <w:r w:rsidRPr="00E90484">
        <w:t xml:space="preserve"> ESA measure funds and borrow from future years’ budgets to continue</w:t>
      </w:r>
      <w:r>
        <w:t xml:space="preserve"> </w:t>
      </w:r>
      <w:r w:rsidRPr="00E90484">
        <w:t>operations during the current year</w:t>
      </w:r>
      <w:r>
        <w:t>, as the requirements</w:t>
      </w:r>
      <w:r w:rsidRPr="00E90484">
        <w:t xml:space="preserve"> and restrictions for fund-shifting</w:t>
      </w:r>
      <w:r>
        <w:t xml:space="preserve"> have been clearly defined in </w:t>
      </w:r>
      <w:r w:rsidRPr="00E90484">
        <w:t>D</w:t>
      </w:r>
      <w:r>
        <w:t xml:space="preserve"> </w:t>
      </w:r>
      <w:r w:rsidRPr="00E90484">
        <w:t>14-05-004 and re-affirmed in D.18-08-020.</w:t>
      </w:r>
      <w:r>
        <w:rPr>
          <w:rStyle w:val="FootnoteReference"/>
        </w:rPr>
        <w:footnoteReference w:id="244"/>
      </w:r>
    </w:p>
    <w:p w:rsidR="008959A4" w:rsidP="008959A4" w:rsidRDefault="008959A4" w14:paraId="3C39066F" w14:textId="77777777">
      <w:pPr>
        <w:pStyle w:val="Heading3"/>
      </w:pPr>
      <w:bookmarkStart w:name="_Toc82159877" w:id="308"/>
      <w:r>
        <w:t>PacifiCorp Response</w:t>
      </w:r>
      <w:bookmarkEnd w:id="308"/>
    </w:p>
    <w:p w:rsidRPr="00126F54" w:rsidR="008959A4" w:rsidP="008959A4" w:rsidRDefault="008959A4" w14:paraId="72B8AE0F" w14:textId="77777777">
      <w:pPr>
        <w:pStyle w:val="Standard"/>
      </w:pPr>
      <w:r w:rsidRPr="00E90484">
        <w:rPr>
          <w:b/>
          <w:bCs/>
          <w:i/>
          <w:iCs/>
          <w:u w:val="single"/>
        </w:rPr>
        <w:t>Fund Shifting</w:t>
      </w:r>
      <w:r>
        <w:t xml:space="preserve">:  </w:t>
      </w:r>
      <w:r w:rsidRPr="003A6ED2">
        <w:t xml:space="preserve">PacifiCorp </w:t>
      </w:r>
      <w:r>
        <w:t>argues that EEC and Free Energy’s recommendation should be rejected</w:t>
      </w:r>
      <w:r w:rsidRPr="003A6ED2">
        <w:t xml:space="preserve"> </w:t>
      </w:r>
      <w:r>
        <w:t xml:space="preserve">because </w:t>
      </w:r>
      <w:r w:rsidRPr="003A6ED2">
        <w:t>it is not a fully formed</w:t>
      </w:r>
      <w:r>
        <w:t xml:space="preserve"> </w:t>
      </w:r>
      <w:r w:rsidRPr="003A6ED2">
        <w:t>proposal</w:t>
      </w:r>
      <w:r>
        <w:t xml:space="preserve">, and </w:t>
      </w:r>
      <w:r w:rsidRPr="003A6ED2">
        <w:t>PacifiCorp and the other SMJUs have not had an opportunity to meaningfully</w:t>
      </w:r>
      <w:r>
        <w:t xml:space="preserve"> </w:t>
      </w:r>
      <w:r w:rsidRPr="003A6ED2">
        <w:t>reply to this proposal through expert testimony or investigate it through discovery</w:t>
      </w:r>
      <w:r>
        <w:t>.</w:t>
      </w:r>
      <w:r>
        <w:rPr>
          <w:rStyle w:val="FootnoteReference"/>
        </w:rPr>
        <w:footnoteReference w:id="245"/>
      </w:r>
    </w:p>
    <w:p w:rsidR="008959A4" w:rsidP="008959A4" w:rsidRDefault="008959A4" w14:paraId="31FA5835" w14:textId="77777777">
      <w:pPr>
        <w:pStyle w:val="Heading2"/>
      </w:pPr>
      <w:bookmarkStart w:name="_Toc82159878" w:id="309"/>
      <w:r w:rsidRPr="00F9303C">
        <w:t>Discussion</w:t>
      </w:r>
      <w:bookmarkEnd w:id="309"/>
    </w:p>
    <w:p w:rsidR="008959A4" w:rsidP="008959A4" w:rsidRDefault="008959A4" w14:paraId="6C16AC50" w14:textId="19970B55">
      <w:pPr>
        <w:pStyle w:val="Heading3"/>
      </w:pPr>
      <w:bookmarkStart w:name="_Toc82159879" w:id="310"/>
      <w:r w:rsidRPr="00BE7C9A">
        <w:t>Fund Shifting</w:t>
      </w:r>
      <w:r>
        <w:t xml:space="preserve"> Rules: </w:t>
      </w:r>
      <w:r w:rsidR="00A65969">
        <w:t xml:space="preserve"> </w:t>
      </w:r>
      <w:r w:rsidRPr="00575FA2">
        <w:rPr>
          <w:u w:val="single"/>
        </w:rPr>
        <w:t>New</w:t>
      </w:r>
      <w:bookmarkEnd w:id="310"/>
    </w:p>
    <w:p w:rsidR="008959A4" w:rsidP="008959A4" w:rsidRDefault="008959A4" w14:paraId="3CDD68B5" w14:textId="77777777">
      <w:pPr>
        <w:pStyle w:val="ALJBodyText"/>
      </w:pPr>
      <w:r>
        <w:t xml:space="preserve">To simplify and </w:t>
      </w:r>
      <w:r w:rsidRPr="009458ED">
        <w:t xml:space="preserve">align fund shifting rules for </w:t>
      </w:r>
      <w:r>
        <w:t>the</w:t>
      </w:r>
      <w:r w:rsidRPr="009458ED">
        <w:t xml:space="preserve"> program</w:t>
      </w:r>
      <w:r>
        <w:t>s,</w:t>
      </w:r>
      <w:r w:rsidRPr="0040052A">
        <w:t xml:space="preserve"> </w:t>
      </w:r>
      <w:r>
        <w:t>w</w:t>
      </w:r>
      <w:r w:rsidRPr="009458ED">
        <w:t xml:space="preserve">e </w:t>
      </w:r>
      <w:r>
        <w:t>make the following modifications which will supersede the fund shifting rules previously established for the SMJU ESA and CARE programs.</w:t>
      </w:r>
      <w:r w:rsidRPr="00CD4723">
        <w:rPr>
          <w:b/>
          <w:bCs/>
        </w:rPr>
        <w:t xml:space="preserve"> </w:t>
      </w:r>
      <w:r>
        <w:t xml:space="preserve"> These new rules are meant to be simple and less burdensome, allow for program flexibility within the program year, and reflect the true costs of the programs from year to year.  The following fund shifting rules will apply to the SMJU ESA and CARE programs, where relevant.  </w:t>
      </w:r>
    </w:p>
    <w:p w:rsidR="008959A4" w:rsidP="008959A4" w:rsidRDefault="008959A4" w14:paraId="1506B41C" w14:textId="67C000FE">
      <w:pPr>
        <w:pStyle w:val="ListBullet"/>
        <w:tabs>
          <w:tab w:val="clear" w:pos="360"/>
        </w:tabs>
        <w:ind w:left="1080" w:right="1440"/>
      </w:pPr>
      <w:r>
        <w:t xml:space="preserve">Fund shifting of any amount between budget categories is allowed within the program year, with reporting of any </w:t>
      </w:r>
      <w:r>
        <w:lastRenderedPageBreak/>
        <w:t xml:space="preserve">shifts in the annual reports (no need for quarterly reporting or advice letters unless otherwise noted below). </w:t>
      </w:r>
    </w:p>
    <w:p w:rsidR="008959A4" w:rsidP="006F1CE8" w:rsidRDefault="008959A4" w14:paraId="3D384D2B" w14:textId="74B9F68A">
      <w:pPr>
        <w:pStyle w:val="ListBullet"/>
        <w:numPr>
          <w:ilvl w:val="0"/>
          <w:numId w:val="18"/>
        </w:numPr>
        <w:ind w:right="1440"/>
      </w:pPr>
      <w:r>
        <w:t>This applies to the CARE administrative budgets (not subsidy budgets), and the total ESA program budget (including administrative budgets).</w:t>
      </w:r>
    </w:p>
    <w:p w:rsidR="008959A4" w:rsidP="00127854" w:rsidRDefault="008959A4" w14:paraId="33F550E6" w14:textId="77777777">
      <w:pPr>
        <w:pStyle w:val="ListBullet"/>
        <w:tabs>
          <w:tab w:val="clear" w:pos="360"/>
        </w:tabs>
        <w:ind w:left="1080" w:right="1440"/>
      </w:pPr>
      <w:r>
        <w:t xml:space="preserve">Fund shifting in and out of the pilots is to be requested via a Tier 2 advice letter.   </w:t>
      </w:r>
    </w:p>
    <w:p w:rsidR="008959A4" w:rsidP="008959A4" w:rsidRDefault="008959A4" w14:paraId="652D5F12" w14:textId="77777777">
      <w:pPr>
        <w:pStyle w:val="ListBullet"/>
        <w:tabs>
          <w:tab w:val="clear" w:pos="360"/>
        </w:tabs>
        <w:ind w:left="1080" w:right="1440"/>
      </w:pPr>
      <w:r>
        <w:t xml:space="preserve">Fund shifting is not allowed between program years; any remaining uncommitted and unspent funds at the end of a program year must be used to offset the next year’s collection. </w:t>
      </w:r>
    </w:p>
    <w:p w:rsidR="008959A4" w:rsidP="008959A4" w:rsidRDefault="008959A4" w14:paraId="18A51560" w14:textId="77777777">
      <w:pPr>
        <w:pStyle w:val="ListBullet"/>
        <w:numPr>
          <w:ilvl w:val="0"/>
          <w:numId w:val="18"/>
        </w:numPr>
        <w:ind w:right="1440"/>
      </w:pPr>
      <w:r>
        <w:t>An exception to this rule is granted for pilots and studies (where funds may be rolled over to the next program year</w:t>
      </w:r>
      <w:r w:rsidRPr="00F17F99">
        <w:t xml:space="preserve"> </w:t>
      </w:r>
      <w:r>
        <w:t xml:space="preserve">or borrowed from a future program year within the cycle, to allow for flexibility in scheduling changes with these efforts).  </w:t>
      </w:r>
    </w:p>
    <w:p w:rsidR="008959A4" w:rsidP="008959A4" w:rsidRDefault="008959A4" w14:paraId="1031C391" w14:textId="77777777">
      <w:pPr>
        <w:pStyle w:val="Standard"/>
      </w:pPr>
      <w:r>
        <w:t xml:space="preserve">Accordingly, we deny EEC and Free Energy’s fund shifting recommendations.  </w:t>
      </w:r>
    </w:p>
    <w:p w:rsidR="008959A4" w:rsidP="008959A4" w:rsidRDefault="008959A4" w14:paraId="60285449" w14:textId="529A86F5">
      <w:pPr>
        <w:pStyle w:val="Heading3"/>
      </w:pPr>
      <w:bookmarkStart w:name="_Toc82159880" w:id="311"/>
      <w:r>
        <w:t xml:space="preserve">Use of Unspent Funds: </w:t>
      </w:r>
      <w:r w:rsidR="00A65969">
        <w:t xml:space="preserve"> </w:t>
      </w:r>
      <w:r w:rsidRPr="00793C81">
        <w:rPr>
          <w:u w:val="single"/>
        </w:rPr>
        <w:t>New</w:t>
      </w:r>
      <w:bookmarkEnd w:id="311"/>
    </w:p>
    <w:p w:rsidRPr="00206086" w:rsidR="008959A4" w:rsidP="008959A4" w:rsidRDefault="008959A4" w14:paraId="063660B8" w14:textId="77777777">
      <w:pPr>
        <w:pStyle w:val="ALJBodyText"/>
      </w:pPr>
      <w:r>
        <w:t>We direct t</w:t>
      </w:r>
      <w:r w:rsidRPr="009458ED">
        <w:t xml:space="preserve">he </w:t>
      </w:r>
      <w:r>
        <w:t xml:space="preserve">SMJUs to apply in full any </w:t>
      </w:r>
      <w:r w:rsidRPr="009458ED">
        <w:t>unspent and uncommitted funds from prior approved budgets, as soon as possible (with the next occurring electric and gas true-</w:t>
      </w:r>
      <w:r>
        <w:t>up advice letters) to offset revenue collection for spending authorized in this decision.  This modification to the current policy will require the SMJUs</w:t>
      </w:r>
      <w:r w:rsidRPr="00206086">
        <w:t xml:space="preserve"> </w:t>
      </w:r>
      <w:r>
        <w:t xml:space="preserve">to </w:t>
      </w:r>
      <w:r w:rsidRPr="00206086">
        <w:t>use</w:t>
      </w:r>
      <w:r>
        <w:t xml:space="preserve"> all prior accrued</w:t>
      </w:r>
      <w:r w:rsidRPr="00206086">
        <w:t xml:space="preserve"> unspent </w:t>
      </w:r>
      <w:r>
        <w:t xml:space="preserve">and uncommitted </w:t>
      </w:r>
      <w:r w:rsidRPr="00206086">
        <w:t xml:space="preserve">funds to offset </w:t>
      </w:r>
      <w:r>
        <w:t xml:space="preserve">the </w:t>
      </w:r>
      <w:r w:rsidRPr="00206086">
        <w:t xml:space="preserve">next </w:t>
      </w:r>
      <w:r>
        <w:t xml:space="preserve">program </w:t>
      </w:r>
      <w:r w:rsidRPr="00206086">
        <w:t xml:space="preserve">year’s collections, as opposed to waiting until the end of a cycle. </w:t>
      </w:r>
      <w:r>
        <w:t xml:space="preserve"> This change will avoid</w:t>
      </w:r>
      <w:r w:rsidRPr="00206086">
        <w:t xml:space="preserve"> accumulating unspent funds</w:t>
      </w:r>
      <w:r>
        <w:t xml:space="preserve"> from cycle to cycle, provide better oversight of each program year’s spending, allow annual budgets to be balanced quickly and accurately, and avoid any unnecessary ratepayer overcollections.   </w:t>
      </w:r>
    </w:p>
    <w:p w:rsidR="008959A4" w:rsidP="008959A4" w:rsidRDefault="008959A4" w14:paraId="6F293168" w14:textId="77777777">
      <w:pPr>
        <w:pStyle w:val="Standard"/>
      </w:pPr>
      <w:r>
        <w:lastRenderedPageBreak/>
        <w:t xml:space="preserve">Therefore, we deny Bear Valley’s request to </w:t>
      </w:r>
      <w:r w:rsidRPr="00F92D1C">
        <w:t xml:space="preserve">transfer over-collected ESA funds to </w:t>
      </w:r>
      <w:r>
        <w:t xml:space="preserve">the </w:t>
      </w:r>
      <w:r w:rsidRPr="00F92D1C">
        <w:t>under-collected CARE balancing account</w:t>
      </w:r>
      <w:r>
        <w:t xml:space="preserve">.  </w:t>
      </w:r>
      <w:r w:rsidRPr="00F92D1C">
        <w:t>Since</w:t>
      </w:r>
      <w:r>
        <w:t xml:space="preserve"> the</w:t>
      </w:r>
      <w:r w:rsidRPr="00F92D1C">
        <w:t xml:space="preserve"> ESA </w:t>
      </w:r>
      <w:r>
        <w:t xml:space="preserve">program is funded by both exempt and </w:t>
      </w:r>
      <w:r w:rsidRPr="00C24413">
        <w:t>non</w:t>
      </w:r>
      <w:r w:rsidRPr="00C24413">
        <w:noBreakHyphen/>
      </w:r>
      <w:r>
        <w:t>exempt</w:t>
      </w:r>
      <w:r w:rsidRPr="00C24413">
        <w:t xml:space="preserve"> ratepayers</w:t>
      </w:r>
      <w:r w:rsidRPr="00F92D1C">
        <w:t xml:space="preserve">, and CARE </w:t>
      </w:r>
      <w:r>
        <w:t xml:space="preserve">is funded by </w:t>
      </w:r>
      <w:r w:rsidRPr="00C24413">
        <w:t>non</w:t>
      </w:r>
      <w:r w:rsidRPr="00C24413">
        <w:noBreakHyphen/>
      </w:r>
      <w:r>
        <w:t>exempt</w:t>
      </w:r>
      <w:r w:rsidRPr="00C24413">
        <w:t xml:space="preserve"> ratepayers</w:t>
      </w:r>
      <w:r>
        <w:t xml:space="preserve"> only, </w:t>
      </w:r>
      <w:r w:rsidRPr="00F92D1C">
        <w:t xml:space="preserve">using ESA unspent funds to offset CARE under-collections would be </w:t>
      </w:r>
      <w:r>
        <w:t>inappropriate</w:t>
      </w:r>
      <w:r w:rsidRPr="00F92D1C">
        <w:t>.</w:t>
      </w:r>
      <w:r>
        <w:t xml:space="preserve">  We also deny EEC and Free Energy’s recommendations for the use of unspent funds.  </w:t>
      </w:r>
    </w:p>
    <w:p w:rsidR="008959A4" w:rsidP="008959A4" w:rsidRDefault="008959A4" w14:paraId="1A595653" w14:textId="77777777">
      <w:pPr>
        <w:pStyle w:val="Heading1"/>
      </w:pPr>
      <w:bookmarkStart w:name="_Toc82159881" w:id="312"/>
      <w:r>
        <w:t xml:space="preserve">Studies </w:t>
      </w:r>
      <w:r w:rsidRPr="001C46EA">
        <w:t>and</w:t>
      </w:r>
      <w:r>
        <w:t xml:space="preserve"> Pilots</w:t>
      </w:r>
      <w:bookmarkEnd w:id="312"/>
    </w:p>
    <w:p w:rsidR="008959A4" w:rsidP="008959A4" w:rsidRDefault="008959A4" w14:paraId="70516539" w14:textId="77777777">
      <w:pPr>
        <w:pStyle w:val="Heading2"/>
      </w:pPr>
      <w:bookmarkStart w:name="_Toc82159882" w:id="313"/>
      <w:r>
        <w:t>Liberty’s Electrification Pilot</w:t>
      </w:r>
      <w:bookmarkEnd w:id="313"/>
    </w:p>
    <w:p w:rsidR="008959A4" w:rsidP="008959A4" w:rsidRDefault="008959A4" w14:paraId="7DA528F3" w14:textId="77777777">
      <w:pPr>
        <w:pStyle w:val="Standard"/>
      </w:pPr>
      <w:r w:rsidRPr="006968AB">
        <w:t xml:space="preserve">Liberty proposes to implement an electrification pilot </w:t>
      </w:r>
      <w:r>
        <w:t>for</w:t>
      </w:r>
      <w:r w:rsidRPr="006968AB">
        <w:t xml:space="preserve"> </w:t>
      </w:r>
      <w:r>
        <w:t xml:space="preserve">PYs </w:t>
      </w:r>
      <w:r w:rsidRPr="006968AB">
        <w:t>2023</w:t>
      </w:r>
      <w:r>
        <w:t>-2026</w:t>
      </w:r>
      <w:r w:rsidRPr="006968AB">
        <w:t>,</w:t>
      </w:r>
      <w:r>
        <w:t xml:space="preserve"> at an average budget of </w:t>
      </w:r>
      <w:r w:rsidRPr="00970608">
        <w:t>$5</w:t>
      </w:r>
      <w:r>
        <w:t xml:space="preserve">6,000 </w:t>
      </w:r>
      <w:r w:rsidRPr="00970608">
        <w:t>per year</w:t>
      </w:r>
      <w:r>
        <w:t xml:space="preserve">, and an average investment of $14,000 per treated home, </w:t>
      </w:r>
      <w:r w:rsidRPr="006968AB">
        <w:t>as part of its ESA</w:t>
      </w:r>
      <w:r>
        <w:t xml:space="preserve"> p</w:t>
      </w:r>
      <w:r w:rsidRPr="006968AB">
        <w:t>rogram</w:t>
      </w:r>
      <w:r>
        <w:t xml:space="preserve"> specific </w:t>
      </w:r>
      <w:r w:rsidRPr="006968AB">
        <w:t>to</w:t>
      </w:r>
      <w:r>
        <w:t xml:space="preserve"> </w:t>
      </w:r>
      <w:r w:rsidRPr="006968AB">
        <w:t xml:space="preserve">those </w:t>
      </w:r>
      <w:r>
        <w:t xml:space="preserve">customers </w:t>
      </w:r>
      <w:r w:rsidRPr="006968AB">
        <w:t xml:space="preserve">without a gas utility provider and those using alternative fuels such as propane and wood. </w:t>
      </w:r>
      <w:r>
        <w:t xml:space="preserve"> </w:t>
      </w:r>
      <w:r w:rsidRPr="006968AB">
        <w:t>Liberty</w:t>
      </w:r>
      <w:r>
        <w:t xml:space="preserve"> states that this</w:t>
      </w:r>
      <w:r w:rsidRPr="006968AB">
        <w:t xml:space="preserve"> electrification pilot supports California’s clean energy and </w:t>
      </w:r>
      <w:r>
        <w:t>GHG g</w:t>
      </w:r>
      <w:r w:rsidRPr="006968AB">
        <w:t>oals</w:t>
      </w:r>
      <w:r>
        <w:t xml:space="preserve"> and will offer m</w:t>
      </w:r>
      <w:r w:rsidRPr="006968AB">
        <w:t>easures includ</w:t>
      </w:r>
      <w:r>
        <w:t>ing</w:t>
      </w:r>
      <w:r w:rsidRPr="006968AB">
        <w:t xml:space="preserve"> heat pump water heaters, ductless mini split heat pumps,</w:t>
      </w:r>
      <w:r>
        <w:t xml:space="preserve"> </w:t>
      </w:r>
      <w:r w:rsidRPr="006968AB">
        <w:t>inductive ranges, heat pump clothes dryers, and an electric panel upgrade</w:t>
      </w:r>
      <w:r w:rsidRPr="00621342">
        <w:t>.</w:t>
      </w:r>
      <w:r>
        <w:t xml:space="preserve">  </w:t>
      </w:r>
      <w:r w:rsidRPr="00AD2A29">
        <w:t xml:space="preserve">The pilot is scheduled to begin in </w:t>
      </w:r>
      <w:r>
        <w:t xml:space="preserve">PY </w:t>
      </w:r>
      <w:r w:rsidRPr="00AD2A29">
        <w:t>2023 and will treat four customers per year</w:t>
      </w:r>
      <w:r>
        <w:t>.</w:t>
      </w:r>
      <w:r>
        <w:rPr>
          <w:rStyle w:val="FootnoteReference"/>
        </w:rPr>
        <w:footnoteReference w:id="246"/>
      </w:r>
    </w:p>
    <w:p w:rsidR="008959A4" w:rsidP="008959A4" w:rsidRDefault="008959A4" w14:paraId="4420EC30" w14:textId="77777777">
      <w:pPr>
        <w:pStyle w:val="Heading3"/>
      </w:pPr>
      <w:bookmarkStart w:name="_Toc82159883" w:id="314"/>
      <w:r>
        <w:t>Party Comments</w:t>
      </w:r>
      <w:bookmarkEnd w:id="314"/>
    </w:p>
    <w:p w:rsidR="008959A4" w:rsidP="008959A4" w:rsidRDefault="008959A4" w14:paraId="3E11B54B" w14:textId="77777777">
      <w:pPr>
        <w:pStyle w:val="Heading4"/>
        <w:ind w:left="3600" w:hanging="1260"/>
      </w:pPr>
      <w:bookmarkStart w:name="_Toc82159884" w:id="315"/>
      <w:r>
        <w:t>Cal Advocates</w:t>
      </w:r>
      <w:bookmarkEnd w:id="315"/>
    </w:p>
    <w:p w:rsidRPr="007C66D1" w:rsidR="008959A4" w:rsidP="008959A4" w:rsidRDefault="008959A4" w14:paraId="4864DF81" w14:textId="77777777">
      <w:pPr>
        <w:autoSpaceDE w:val="0"/>
        <w:autoSpaceDN w:val="0"/>
        <w:adjustRightInd w:val="0"/>
        <w:spacing w:line="360" w:lineRule="auto"/>
        <w:ind w:firstLine="720"/>
      </w:pPr>
      <w:r w:rsidRPr="008F2A6E">
        <w:rPr>
          <w:b/>
          <w:bCs/>
          <w:i/>
          <w:iCs/>
          <w:szCs w:val="26"/>
          <w:u w:val="single"/>
        </w:rPr>
        <w:t>Opposes</w:t>
      </w:r>
      <w:r>
        <w:rPr>
          <w:szCs w:val="26"/>
        </w:rPr>
        <w:t xml:space="preserve">:  </w:t>
      </w:r>
      <w:r w:rsidRPr="00E5636A">
        <w:rPr>
          <w:szCs w:val="26"/>
        </w:rPr>
        <w:t xml:space="preserve">Cal Advocates oppose Liberty’s electrification pilot because the </w:t>
      </w:r>
      <w:r w:rsidRPr="00621236">
        <w:rPr>
          <w:szCs w:val="26"/>
        </w:rPr>
        <w:t xml:space="preserve">TRC for </w:t>
      </w:r>
      <w:r w:rsidRPr="00E5636A">
        <w:rPr>
          <w:szCs w:val="26"/>
        </w:rPr>
        <w:t>this</w:t>
      </w:r>
      <w:r w:rsidRPr="00621236">
        <w:rPr>
          <w:szCs w:val="26"/>
        </w:rPr>
        <w:t xml:space="preserve"> </w:t>
      </w:r>
      <w:r w:rsidRPr="00E5636A">
        <w:rPr>
          <w:szCs w:val="26"/>
        </w:rPr>
        <w:t>p</w:t>
      </w:r>
      <w:r w:rsidRPr="00621236">
        <w:rPr>
          <w:szCs w:val="26"/>
        </w:rPr>
        <w:t>ilot</w:t>
      </w:r>
      <w:r w:rsidRPr="00E5636A">
        <w:rPr>
          <w:szCs w:val="26"/>
        </w:rPr>
        <w:t xml:space="preserve"> </w:t>
      </w:r>
      <w:r w:rsidRPr="00621236">
        <w:rPr>
          <w:szCs w:val="26"/>
        </w:rPr>
        <w:t xml:space="preserve">is approximately </w:t>
      </w:r>
      <w:r>
        <w:rPr>
          <w:szCs w:val="26"/>
        </w:rPr>
        <w:t>-</w:t>
      </w:r>
      <w:r w:rsidRPr="00621236">
        <w:rPr>
          <w:szCs w:val="26"/>
        </w:rPr>
        <w:t>0.04 for PY</w:t>
      </w:r>
      <w:r>
        <w:rPr>
          <w:szCs w:val="26"/>
        </w:rPr>
        <w:t>s</w:t>
      </w:r>
      <w:r w:rsidRPr="00621236">
        <w:rPr>
          <w:szCs w:val="26"/>
        </w:rPr>
        <w:t xml:space="preserve"> 2023-2026, which is unacceptably low and delivers no</w:t>
      </w:r>
      <w:r w:rsidRPr="00E5636A">
        <w:rPr>
          <w:szCs w:val="26"/>
        </w:rPr>
        <w:t xml:space="preserve"> </w:t>
      </w:r>
      <w:r w:rsidRPr="00621236">
        <w:rPr>
          <w:szCs w:val="26"/>
        </w:rPr>
        <w:t xml:space="preserve">meaningful savings to ESA customers or </w:t>
      </w:r>
      <w:r w:rsidRPr="00E5636A">
        <w:rPr>
          <w:szCs w:val="26"/>
        </w:rPr>
        <w:t>ratepayers</w:t>
      </w:r>
      <w:r w:rsidRPr="00621236">
        <w:rPr>
          <w:szCs w:val="26"/>
        </w:rPr>
        <w:t xml:space="preserve">. </w:t>
      </w:r>
      <w:r>
        <w:rPr>
          <w:szCs w:val="26"/>
        </w:rPr>
        <w:t xml:space="preserve"> </w:t>
      </w:r>
      <w:r w:rsidRPr="00621236">
        <w:rPr>
          <w:szCs w:val="26"/>
        </w:rPr>
        <w:t>The proposed pilot</w:t>
      </w:r>
      <w:r w:rsidRPr="00E5636A">
        <w:rPr>
          <w:szCs w:val="26"/>
        </w:rPr>
        <w:t xml:space="preserve"> </w:t>
      </w:r>
      <w:r w:rsidRPr="00621236">
        <w:rPr>
          <w:szCs w:val="26"/>
        </w:rPr>
        <w:t>would only serve four customers per year (2</w:t>
      </w:r>
      <w:r>
        <w:rPr>
          <w:szCs w:val="26"/>
        </w:rPr>
        <w:t> </w:t>
      </w:r>
      <w:r w:rsidRPr="00621236">
        <w:rPr>
          <w:szCs w:val="26"/>
        </w:rPr>
        <w:t>Single Family, 2 Multifamily) with an</w:t>
      </w:r>
      <w:r w:rsidRPr="00E5636A">
        <w:rPr>
          <w:szCs w:val="26"/>
        </w:rPr>
        <w:t xml:space="preserve"> </w:t>
      </w:r>
      <w:r w:rsidRPr="00621236">
        <w:rPr>
          <w:szCs w:val="26"/>
        </w:rPr>
        <w:t>average annual budget of approximately $55,730</w:t>
      </w:r>
      <w:r>
        <w:rPr>
          <w:szCs w:val="26"/>
        </w:rPr>
        <w:t>.</w:t>
      </w:r>
      <w:r w:rsidRPr="00E5636A">
        <w:rPr>
          <w:szCs w:val="26"/>
        </w:rPr>
        <w:t xml:space="preserve">  First, </w:t>
      </w:r>
      <w:r w:rsidRPr="00621236">
        <w:rPr>
          <w:szCs w:val="26"/>
        </w:rPr>
        <w:t xml:space="preserve">Liberty fails </w:t>
      </w:r>
      <w:r w:rsidRPr="00E5636A">
        <w:rPr>
          <w:szCs w:val="26"/>
        </w:rPr>
        <w:t>to adequately</w:t>
      </w:r>
      <w:r w:rsidRPr="00621236">
        <w:rPr>
          <w:szCs w:val="26"/>
        </w:rPr>
        <w:t xml:space="preserve"> justify the</w:t>
      </w:r>
      <w:r w:rsidRPr="00E5636A">
        <w:rPr>
          <w:szCs w:val="26"/>
        </w:rPr>
        <w:t xml:space="preserve"> </w:t>
      </w:r>
      <w:r w:rsidRPr="00621236">
        <w:rPr>
          <w:szCs w:val="26"/>
        </w:rPr>
        <w:t xml:space="preserve">high per-household cost of </w:t>
      </w:r>
      <w:r w:rsidRPr="00621236">
        <w:rPr>
          <w:szCs w:val="26"/>
        </w:rPr>
        <w:lastRenderedPageBreak/>
        <w:t>the pilot (about $13,750 per household</w:t>
      </w:r>
      <w:r w:rsidRPr="00E5636A">
        <w:rPr>
          <w:szCs w:val="26"/>
        </w:rPr>
        <w:t xml:space="preserve">) or explain </w:t>
      </w:r>
      <w:r w:rsidRPr="00621236">
        <w:rPr>
          <w:szCs w:val="26"/>
        </w:rPr>
        <w:t>why the pilot has</w:t>
      </w:r>
      <w:r w:rsidRPr="00E5636A">
        <w:rPr>
          <w:szCs w:val="26"/>
        </w:rPr>
        <w:t xml:space="preserve"> </w:t>
      </w:r>
      <w:r w:rsidRPr="00621236">
        <w:rPr>
          <w:szCs w:val="26"/>
        </w:rPr>
        <w:t>annual ESACET scores ranging from 0.54 to 0.58 and a negative TRC (-0.04)</w:t>
      </w:r>
      <w:r w:rsidRPr="00E5636A">
        <w:rPr>
          <w:szCs w:val="26"/>
        </w:rPr>
        <w:t>.</w:t>
      </w:r>
      <w:r w:rsidRPr="00E5636A">
        <w:rPr>
          <w:rFonts w:cs="TimesNewRomanPSMT"/>
          <w:szCs w:val="26"/>
        </w:rPr>
        <w:t xml:space="preserve"> </w:t>
      </w:r>
      <w:r>
        <w:rPr>
          <w:rFonts w:cs="TimesNewRomanPSMT"/>
          <w:szCs w:val="26"/>
        </w:rPr>
        <w:t xml:space="preserve"> </w:t>
      </w:r>
      <w:r w:rsidRPr="00E5636A">
        <w:rPr>
          <w:szCs w:val="26"/>
        </w:rPr>
        <w:t xml:space="preserve">These figures indicate that the pilot </w:t>
      </w:r>
      <w:r w:rsidRPr="00857E81">
        <w:rPr>
          <w:szCs w:val="26"/>
        </w:rPr>
        <w:t>would not efficiently deliver meaningful savings to Liberty’s ESA customers or</w:t>
      </w:r>
      <w:r w:rsidRPr="00E5636A">
        <w:rPr>
          <w:szCs w:val="26"/>
        </w:rPr>
        <w:t xml:space="preserve"> its ratepayers. </w:t>
      </w:r>
      <w:r>
        <w:rPr>
          <w:szCs w:val="26"/>
        </w:rPr>
        <w:t xml:space="preserve"> </w:t>
      </w:r>
      <w:r w:rsidRPr="00E5636A">
        <w:rPr>
          <w:szCs w:val="26"/>
        </w:rPr>
        <w:t xml:space="preserve">Second, </w:t>
      </w:r>
      <w:r w:rsidRPr="00E5636A">
        <w:rPr>
          <w:rFonts w:cs="TimesNewRomanPSMT"/>
          <w:szCs w:val="26"/>
        </w:rPr>
        <w:t>Liberty’s proposed budget for the pilot is approximately 11.8</w:t>
      </w:r>
      <w:r w:rsidRPr="00DC2310">
        <w:t xml:space="preserve"> </w:t>
      </w:r>
      <w:r>
        <w:t>percent</w:t>
      </w:r>
      <w:r w:rsidRPr="00E5636A">
        <w:rPr>
          <w:rFonts w:cs="TimesNewRomanPSMT"/>
          <w:szCs w:val="26"/>
        </w:rPr>
        <w:t xml:space="preserve"> of its total proposed budget for PYs</w:t>
      </w:r>
      <w:r>
        <w:rPr>
          <w:rFonts w:cs="TimesNewRomanPSMT"/>
          <w:szCs w:val="26"/>
        </w:rPr>
        <w:t> </w:t>
      </w:r>
      <w:r w:rsidRPr="00E5636A">
        <w:rPr>
          <w:rFonts w:cs="TimesNewRomanPSMT"/>
          <w:szCs w:val="26"/>
        </w:rPr>
        <w:t>2021</w:t>
      </w:r>
      <w:r>
        <w:rPr>
          <w:rFonts w:cs="TimesNewRomanPSMT"/>
          <w:szCs w:val="26"/>
        </w:rPr>
        <w:noBreakHyphen/>
      </w:r>
      <w:r w:rsidRPr="00E5636A">
        <w:rPr>
          <w:rFonts w:cs="TimesNewRomanPSMT"/>
          <w:szCs w:val="26"/>
        </w:rPr>
        <w:t>2026, but Liberty fail</w:t>
      </w:r>
      <w:r>
        <w:rPr>
          <w:rFonts w:cs="TimesNewRomanPSMT"/>
          <w:szCs w:val="26"/>
        </w:rPr>
        <w:t xml:space="preserve">s </w:t>
      </w:r>
      <w:r w:rsidRPr="00E5636A">
        <w:rPr>
          <w:rFonts w:cs="TimesNewRomanPSMT"/>
          <w:szCs w:val="26"/>
        </w:rPr>
        <w:t>to include detailed program designs and an evaluation proposal to justify the high program costs in accordance with the Post-2020 Guidelines.</w:t>
      </w:r>
      <w:r>
        <w:rPr>
          <w:rFonts w:cs="TimesNewRomanPSMT"/>
          <w:szCs w:val="26"/>
        </w:rPr>
        <w:t xml:space="preserve"> </w:t>
      </w:r>
      <w:r w:rsidRPr="00E5636A">
        <w:rPr>
          <w:rFonts w:cs="TimesNewRomanPSMT"/>
          <w:szCs w:val="26"/>
        </w:rPr>
        <w:t xml:space="preserve"> Finally, Liberty argues that the low ESACET and negative TRC may occur for various reasons, including increased energy use for HCS measures.</w:t>
      </w:r>
      <w:r>
        <w:rPr>
          <w:rFonts w:cs="TimesNewRomanPSMT"/>
          <w:szCs w:val="26"/>
        </w:rPr>
        <w:t xml:space="preserve"> </w:t>
      </w:r>
      <w:r w:rsidRPr="00E5636A">
        <w:rPr>
          <w:rFonts w:cs="TimesNewRomanPSMT"/>
          <w:b/>
          <w:bCs/>
          <w:szCs w:val="26"/>
        </w:rPr>
        <w:t xml:space="preserve"> </w:t>
      </w:r>
      <w:r w:rsidRPr="00E5636A">
        <w:rPr>
          <w:rFonts w:cs="TimesNewRomanPSMT"/>
          <w:szCs w:val="26"/>
        </w:rPr>
        <w:t xml:space="preserve">However, the ESACET includes Commission-approved energy benefits and non-energy benefits (including HCS values), as well as administrative costs. </w:t>
      </w:r>
      <w:r>
        <w:rPr>
          <w:rFonts w:cs="TimesNewRomanPSMT"/>
          <w:szCs w:val="26"/>
        </w:rPr>
        <w:t xml:space="preserve"> </w:t>
      </w:r>
      <w:r w:rsidRPr="00E5636A">
        <w:rPr>
          <w:rFonts w:cs="TimesNewRomanPSMT"/>
          <w:szCs w:val="26"/>
        </w:rPr>
        <w:t>Therefore, Liberty’s proposed electrification pilot would not provide meaningful energy savings or non-energy benefits to its ratepayers, and thus the Commission should reject this pilot program.</w:t>
      </w:r>
      <w:r w:rsidRPr="00E5636A">
        <w:rPr>
          <w:rStyle w:val="FootnoteReference"/>
          <w:rFonts w:cs="TimesNewRomanPSMT"/>
          <w:szCs w:val="26"/>
        </w:rPr>
        <w:footnoteReference w:id="247"/>
      </w:r>
      <w:r>
        <w:rPr>
          <w:rFonts w:cs="TimesNewRomanPSMT"/>
          <w:szCs w:val="26"/>
        </w:rPr>
        <w:t xml:space="preserve">  </w:t>
      </w:r>
      <w:r w:rsidRPr="00E5636A">
        <w:rPr>
          <w:rFonts w:cs="TimesNewRomanPSMT"/>
          <w:szCs w:val="26"/>
        </w:rPr>
        <w:t>Even though Liberty’s pilot program could promote California’s clean energy goals and reduce GHG emission to some extent, using ratepayer funds for such a small</w:t>
      </w:r>
      <w:r>
        <w:rPr>
          <w:rFonts w:cs="TimesNewRomanPSMT"/>
          <w:szCs w:val="26"/>
        </w:rPr>
        <w:noBreakHyphen/>
      </w:r>
      <w:r w:rsidRPr="00E5636A">
        <w:rPr>
          <w:rFonts w:cs="TimesNewRomanPSMT"/>
          <w:szCs w:val="26"/>
        </w:rPr>
        <w:t>scale pilot with uncertain outcomes and poor cost-effectiveness metrics is not reasonable.</w:t>
      </w:r>
      <w:r w:rsidRPr="00E5636A">
        <w:rPr>
          <w:rStyle w:val="FootnoteReference"/>
          <w:rFonts w:cs="TimesNewRomanPSMT"/>
          <w:szCs w:val="26"/>
        </w:rPr>
        <w:footnoteReference w:id="248"/>
      </w:r>
    </w:p>
    <w:p w:rsidR="008959A4" w:rsidP="008959A4" w:rsidRDefault="008959A4" w14:paraId="60DF28DC" w14:textId="77777777">
      <w:pPr>
        <w:pStyle w:val="Heading4"/>
        <w:ind w:left="3600" w:hanging="1260"/>
      </w:pPr>
      <w:bookmarkStart w:name="_Toc82159885" w:id="316"/>
      <w:r>
        <w:t>EEC &amp; Free Energy</w:t>
      </w:r>
      <w:bookmarkEnd w:id="316"/>
      <w:r>
        <w:t xml:space="preserve"> </w:t>
      </w:r>
    </w:p>
    <w:p w:rsidR="008959A4" w:rsidP="008959A4" w:rsidRDefault="008959A4" w14:paraId="6C2F6752" w14:textId="77777777">
      <w:pPr>
        <w:pStyle w:val="Standard"/>
      </w:pPr>
      <w:r w:rsidRPr="008F2A6E">
        <w:rPr>
          <w:b/>
          <w:bCs/>
          <w:i/>
          <w:iCs/>
          <w:szCs w:val="26"/>
          <w:u w:val="single"/>
        </w:rPr>
        <w:t>Opposes</w:t>
      </w:r>
      <w:r>
        <w:t>:</w:t>
      </w:r>
      <w:r w:rsidRPr="00AF685E">
        <w:rPr>
          <w:rFonts w:ascii="Calibri" w:hAnsi="Calibri" w:cs="Calibri"/>
          <w:sz w:val="24"/>
          <w:szCs w:val="24"/>
        </w:rPr>
        <w:t xml:space="preserve"> </w:t>
      </w:r>
      <w:r>
        <w:rPr>
          <w:rFonts w:ascii="Calibri" w:hAnsi="Calibri" w:cs="Calibri"/>
          <w:sz w:val="24"/>
          <w:szCs w:val="24"/>
        </w:rPr>
        <w:t xml:space="preserve"> </w:t>
      </w:r>
      <w:r w:rsidRPr="00AF685E">
        <w:t xml:space="preserve">EEC </w:t>
      </w:r>
      <w:r>
        <w:t xml:space="preserve">and Free Energy oppose Liberty’s pilot because this </w:t>
      </w:r>
      <w:r w:rsidRPr="00AF685E">
        <w:t>divert</w:t>
      </w:r>
      <w:r>
        <w:t>s</w:t>
      </w:r>
      <w:r w:rsidRPr="00AF685E">
        <w:t xml:space="preserve"> funds from ESA to</w:t>
      </w:r>
      <w:r>
        <w:t xml:space="preserve">wards </w:t>
      </w:r>
      <w:r w:rsidRPr="00AF685E">
        <w:t xml:space="preserve">a much less cost-effective and less useful </w:t>
      </w:r>
      <w:r>
        <w:t>effort</w:t>
      </w:r>
      <w:r w:rsidRPr="00AF685E">
        <w:t xml:space="preserve"> that will not benefit the low-income community (although it might</w:t>
      </w:r>
      <w:r>
        <w:t xml:space="preserve"> </w:t>
      </w:r>
      <w:r w:rsidRPr="00AF685E">
        <w:t>please the very few low-income participants).</w:t>
      </w:r>
      <w:r>
        <w:t xml:space="preserve"> </w:t>
      </w:r>
      <w:r w:rsidRPr="00AF685E">
        <w:t xml:space="preserve"> This pilot is being proposed at the same time</w:t>
      </w:r>
      <w:r>
        <w:t xml:space="preserve"> </w:t>
      </w:r>
      <w:r w:rsidRPr="00AF685E">
        <w:t xml:space="preserve">that the </w:t>
      </w:r>
      <w:r w:rsidRPr="00AF685E">
        <w:lastRenderedPageBreak/>
        <w:t>utility is proposing to reduce its commitment to ESA installations from the 500</w:t>
      </w:r>
      <w:r>
        <w:t> </w:t>
      </w:r>
      <w:r w:rsidRPr="00AF685E">
        <w:t>units</w:t>
      </w:r>
      <w:r>
        <w:t xml:space="preserve"> </w:t>
      </w:r>
      <w:r w:rsidRPr="00AF685E">
        <w:t>authorized for 2020, to less than 200 per year for the next six years.</w:t>
      </w:r>
      <w:r>
        <w:t xml:space="preserve">  If this pilot is approved, it</w:t>
      </w:r>
      <w:r w:rsidRPr="00AF685E">
        <w:t xml:space="preserve"> should not be funded </w:t>
      </w:r>
      <w:r>
        <w:t>through</w:t>
      </w:r>
      <w:r w:rsidRPr="00AF685E">
        <w:t xml:space="preserve"> ESA.</w:t>
      </w:r>
      <w:r>
        <w:rPr>
          <w:rStyle w:val="FootnoteReference"/>
        </w:rPr>
        <w:footnoteReference w:id="249"/>
      </w:r>
    </w:p>
    <w:p w:rsidR="008959A4" w:rsidP="008959A4" w:rsidRDefault="008959A4" w14:paraId="719BA81A" w14:textId="77777777">
      <w:pPr>
        <w:pStyle w:val="Heading3"/>
      </w:pPr>
      <w:bookmarkStart w:name="_Toc82159886" w:id="317"/>
      <w:r>
        <w:t>Joint SMJU Response</w:t>
      </w:r>
      <w:bookmarkEnd w:id="317"/>
    </w:p>
    <w:p w:rsidRPr="00FB3A26" w:rsidR="008959A4" w:rsidP="008959A4" w:rsidRDefault="008959A4" w14:paraId="7B8CDC43" w14:textId="77777777">
      <w:pPr>
        <w:pStyle w:val="Standard"/>
      </w:pPr>
      <w:r>
        <w:t xml:space="preserve">The Joint SMJUs state that Cal Advocates </w:t>
      </w:r>
      <w:r w:rsidRPr="00060E82">
        <w:t>fail to account for the new</w:t>
      </w:r>
      <w:r>
        <w:t xml:space="preserve"> </w:t>
      </w:r>
      <w:r w:rsidRPr="00060E82">
        <w:t xml:space="preserve">benefit </w:t>
      </w:r>
      <w:r>
        <w:t xml:space="preserve">and technologies that </w:t>
      </w:r>
      <w:r w:rsidRPr="00060E82">
        <w:t xml:space="preserve">the </w:t>
      </w:r>
      <w:r>
        <w:t>p</w:t>
      </w:r>
      <w:r w:rsidRPr="00060E82">
        <w:t>ilot will provide to Liberty’s low-income customers</w:t>
      </w:r>
      <w:r>
        <w:t xml:space="preserve"> which may </w:t>
      </w:r>
      <w:r w:rsidRPr="00060E82">
        <w:t>increase customer interest and</w:t>
      </w:r>
      <w:r>
        <w:t xml:space="preserve"> </w:t>
      </w:r>
      <w:r w:rsidRPr="00060E82">
        <w:t>participation</w:t>
      </w:r>
      <w:r>
        <w:t xml:space="preserve">, and </w:t>
      </w:r>
      <w:r w:rsidRPr="00060E82">
        <w:t>promote a viable</w:t>
      </w:r>
      <w:r>
        <w:t xml:space="preserve"> </w:t>
      </w:r>
      <w:r w:rsidRPr="00060E82">
        <w:t>substitute for alternative fuels, while also provid</w:t>
      </w:r>
      <w:r>
        <w:t>ing</w:t>
      </w:r>
      <w:r w:rsidRPr="00060E82">
        <w:t xml:space="preserve"> additional </w:t>
      </w:r>
      <w:r>
        <w:t>HCS</w:t>
      </w:r>
      <w:r w:rsidRPr="00A335FA">
        <w:rPr>
          <w:rFonts w:ascii="TimesNewRomanPSMT" w:hAnsi="TimesNewRomanPSMT" w:cs="TimesNewRomanPSMT"/>
          <w:sz w:val="24"/>
          <w:szCs w:val="24"/>
        </w:rPr>
        <w:t xml:space="preserve"> </w:t>
      </w:r>
      <w:r w:rsidRPr="00A335FA">
        <w:t>benefit</w:t>
      </w:r>
      <w:r>
        <w:t>s</w:t>
      </w:r>
      <w:r w:rsidRPr="00A335FA">
        <w:t>.</w:t>
      </w:r>
      <w:r>
        <w:t xml:space="preserve"> </w:t>
      </w:r>
      <w:r w:rsidRPr="00A335FA">
        <w:t xml:space="preserve"> By</w:t>
      </w:r>
      <w:r>
        <w:t xml:space="preserve"> </w:t>
      </w:r>
      <w:r w:rsidRPr="00A335FA">
        <w:t>converting these customers to clean and efficient technologies, Liberty will be supporting</w:t>
      </w:r>
      <w:r>
        <w:t xml:space="preserve"> </w:t>
      </w:r>
      <w:r w:rsidRPr="00A335FA">
        <w:t>California's clean energy goals to greatly reduce GHG emissions.</w:t>
      </w:r>
      <w:r>
        <w:rPr>
          <w:rStyle w:val="FootnoteReference"/>
        </w:rPr>
        <w:footnoteReference w:id="250"/>
      </w:r>
    </w:p>
    <w:p w:rsidR="008959A4" w:rsidP="008959A4" w:rsidRDefault="008959A4" w14:paraId="65EAE90E" w14:textId="77777777">
      <w:pPr>
        <w:pStyle w:val="Heading3"/>
      </w:pPr>
      <w:bookmarkStart w:name="_Toc82159887" w:id="318"/>
      <w:r>
        <w:t>Discussion</w:t>
      </w:r>
      <w:bookmarkEnd w:id="318"/>
    </w:p>
    <w:p w:rsidRPr="008616D7" w:rsidR="008959A4" w:rsidP="008959A4" w:rsidRDefault="008959A4" w14:paraId="7FFB9B85" w14:textId="77777777">
      <w:pPr>
        <w:pStyle w:val="Heading4"/>
        <w:ind w:left="3600" w:hanging="1260"/>
      </w:pPr>
      <w:bookmarkStart w:name="_Toc82159888" w:id="319"/>
      <w:r w:rsidRPr="007D0510">
        <w:t>Liberty’s Electrification Pilot</w:t>
      </w:r>
      <w:r>
        <w:t xml:space="preserve">: </w:t>
      </w:r>
      <w:r>
        <w:br/>
      </w:r>
      <w:r w:rsidRPr="009A0BA1">
        <w:rPr>
          <w:u w:val="single"/>
        </w:rPr>
        <w:t xml:space="preserve">Approved </w:t>
      </w:r>
      <w:r>
        <w:rPr>
          <w:u w:val="single"/>
        </w:rPr>
        <w:t>Pending Advice Letter</w:t>
      </w:r>
      <w:bookmarkEnd w:id="319"/>
    </w:p>
    <w:p w:rsidRPr="00FF622C" w:rsidR="008959A4" w:rsidP="008959A4" w:rsidRDefault="008959A4" w14:paraId="728A2A8F" w14:textId="77777777">
      <w:pPr>
        <w:pStyle w:val="Standard"/>
      </w:pPr>
      <w:r>
        <w:t xml:space="preserve">We view Liberty’s Electrification pilot as an opportunity to explore the feasibility and impacts of electrification in a SMJU service territory.  While the </w:t>
      </w:r>
      <w:r w:rsidRPr="00FF622C">
        <w:t>average cost per home of the Liberty Electrification pilot is</w:t>
      </w:r>
      <w:r>
        <w:t xml:space="preserve"> high at $14,000</w:t>
      </w:r>
      <w:r w:rsidRPr="00FF622C">
        <w:t xml:space="preserve">, </w:t>
      </w:r>
      <w:r>
        <w:t xml:space="preserve">it is </w:t>
      </w:r>
      <w:r w:rsidRPr="00FF622C">
        <w:t>similar to S</w:t>
      </w:r>
      <w:r>
        <w:t xml:space="preserve">outhern </w:t>
      </w:r>
      <w:r w:rsidRPr="00FF622C">
        <w:t>C</w:t>
      </w:r>
      <w:r>
        <w:t xml:space="preserve">alifornia </w:t>
      </w:r>
      <w:r w:rsidRPr="00FF622C">
        <w:t>E</w:t>
      </w:r>
      <w:r>
        <w:t>dison’</w:t>
      </w:r>
      <w:r w:rsidRPr="00FF622C">
        <w:t xml:space="preserve">s Building Electrification pilot approved in the large IOU </w:t>
      </w:r>
      <w:r>
        <w:t xml:space="preserve">CARE and ESA decision, </w:t>
      </w:r>
      <w:r w:rsidRPr="00FF622C">
        <w:t xml:space="preserve">which </w:t>
      </w:r>
      <w:r>
        <w:t xml:space="preserve">approved </w:t>
      </w:r>
      <w:r w:rsidRPr="00FF622C">
        <w:t>a</w:t>
      </w:r>
      <w:r>
        <w:t>n average investment of $</w:t>
      </w:r>
      <w:r w:rsidRPr="00FF622C">
        <w:t>15,000</w:t>
      </w:r>
      <w:r>
        <w:t xml:space="preserve"> per </w:t>
      </w:r>
      <w:r w:rsidRPr="00FF622C">
        <w:t>home</w:t>
      </w:r>
      <w:r>
        <w:t>.</w:t>
      </w:r>
      <w:r w:rsidRPr="00FF622C">
        <w:rPr>
          <w:vertAlign w:val="superscript"/>
        </w:rPr>
        <w:footnoteReference w:id="251"/>
      </w:r>
      <w:r w:rsidRPr="00FF622C">
        <w:t xml:space="preserve"> </w:t>
      </w:r>
    </w:p>
    <w:p w:rsidR="008959A4" w:rsidP="008959A4" w:rsidRDefault="008959A4" w14:paraId="398FA9DC" w14:textId="77777777">
      <w:pPr>
        <w:pStyle w:val="Standard"/>
      </w:pPr>
      <w:r>
        <w:t>However, since this pilot would be focused on customers who currently use propane or wood,</w:t>
      </w:r>
      <w:r>
        <w:rPr>
          <w:rStyle w:val="FootnoteReference"/>
        </w:rPr>
        <w:footnoteReference w:id="252"/>
      </w:r>
      <w:r>
        <w:t xml:space="preserve"> and not a regulated Commission fuel source (such as natural gas), this pilot would be considered “fuel-switching” instead of </w:t>
      </w:r>
      <w:r>
        <w:lastRenderedPageBreak/>
        <w:t>“fuel</w:t>
      </w:r>
      <w:r>
        <w:noBreakHyphen/>
        <w:t>substitution” by Commission definitions.</w:t>
      </w:r>
      <w:r>
        <w:rPr>
          <w:rStyle w:val="FootnoteReference"/>
        </w:rPr>
        <w:footnoteReference w:id="253"/>
      </w:r>
      <w:r>
        <w:t xml:space="preserve">  As of the writing of this decision, fuel-switching does not currently have the regulatory and evaluation framework like fuel-substitution does in either the mainstream energy efficiency or ESA proceedings.</w:t>
      </w:r>
      <w:r>
        <w:rPr>
          <w:rStyle w:val="FootnoteReference"/>
        </w:rPr>
        <w:footnoteReference w:id="254"/>
      </w:r>
      <w:r>
        <w:t xml:space="preserve">  Currently, the </w:t>
      </w:r>
      <w:r w:rsidRPr="00635807">
        <w:t>San Joaquin Valley Disadvantaged Communities</w:t>
      </w:r>
      <w:r>
        <w:t xml:space="preserve"> (SJV DAC)</w:t>
      </w:r>
      <w:r w:rsidRPr="00635807">
        <w:t xml:space="preserve"> Pilot Projects</w:t>
      </w:r>
      <w:r>
        <w:t xml:space="preserve"> are exploring this type of fuel-switching pilot and regulatory framework that is similar to what Liberty is proposing with its pilot.</w:t>
      </w:r>
      <w:r>
        <w:rPr>
          <w:rStyle w:val="FootnoteReference"/>
        </w:rPr>
        <w:footnoteReference w:id="255"/>
      </w:r>
      <w:r>
        <w:t xml:space="preserve">  The SJV DAC pilots are currently underway with an evaluation  tentatively slated for 2023.  The results of these pilot evaluations will provide critical information to help guide fuel-switching pilots such as the one proposed by Liberty.</w:t>
      </w:r>
    </w:p>
    <w:p w:rsidRPr="004F6318" w:rsidR="008959A4" w:rsidP="008959A4" w:rsidRDefault="008959A4" w14:paraId="577424C7" w14:textId="77777777">
      <w:pPr>
        <w:pStyle w:val="Standard"/>
        <w:rPr>
          <w:szCs w:val="26"/>
        </w:rPr>
      </w:pPr>
      <w:r>
        <w:t xml:space="preserve">Therefore, we conditionally approve Liberty’s Electrification Pilot for PYs 2024-2026 at a budget of </w:t>
      </w:r>
      <w:r w:rsidRPr="006866E0">
        <w:t xml:space="preserve">$168,752 </w:t>
      </w:r>
      <w:r>
        <w:t xml:space="preserve">pending the approval of a Tier 2 advice letter to be </w:t>
      </w:r>
      <w:r w:rsidRPr="004F6318">
        <w:rPr>
          <w:szCs w:val="26"/>
        </w:rPr>
        <w:t xml:space="preserve">submitted </w:t>
      </w:r>
      <w:r>
        <w:rPr>
          <w:szCs w:val="26"/>
        </w:rPr>
        <w:t>by Liberty within six months of the filing of the evaluation of the SJV DAC fuel switching pilot</w:t>
      </w:r>
      <w:r w:rsidRPr="004F6318">
        <w:rPr>
          <w:szCs w:val="26"/>
        </w:rPr>
        <w:t xml:space="preserve">. </w:t>
      </w:r>
      <w:r>
        <w:rPr>
          <w:szCs w:val="26"/>
        </w:rPr>
        <w:t xml:space="preserve"> The proposed budget of </w:t>
      </w:r>
      <w:r w:rsidRPr="001C1D6E">
        <w:rPr>
          <w:szCs w:val="26"/>
        </w:rPr>
        <w:t xml:space="preserve">$54,167 </w:t>
      </w:r>
      <w:r>
        <w:rPr>
          <w:szCs w:val="26"/>
        </w:rPr>
        <w:t>for PY 2023 is denied due to the expectation that the SJV DAC evaluation will not be completed in time for this budge to be spent.  Liberty’s Tier 2</w:t>
      </w:r>
      <w:r w:rsidRPr="004F6318">
        <w:rPr>
          <w:szCs w:val="26"/>
        </w:rPr>
        <w:t xml:space="preserve"> advice letter shall contain the following information:</w:t>
      </w:r>
    </w:p>
    <w:p w:rsidRPr="004F6318" w:rsidR="008959A4" w:rsidP="008959A4" w:rsidRDefault="008959A4" w14:paraId="1DB3C78D" w14:textId="77777777">
      <w:pPr>
        <w:pStyle w:val="ListParagraph"/>
        <w:numPr>
          <w:ilvl w:val="0"/>
          <w:numId w:val="19"/>
        </w:numPr>
        <w:spacing w:after="120"/>
        <w:ind w:left="1080" w:right="1440"/>
        <w:rPr>
          <w:rFonts w:eastAsia="Times New Roman"/>
          <w:color w:val="000000"/>
          <w:szCs w:val="26"/>
          <w:shd w:val="clear" w:color="auto" w:fill="FFFFFF"/>
        </w:rPr>
      </w:pPr>
      <w:r w:rsidRPr="004F6318">
        <w:rPr>
          <w:rFonts w:eastAsia="Times New Roman"/>
          <w:color w:val="000000"/>
          <w:szCs w:val="26"/>
          <w:shd w:val="clear" w:color="auto" w:fill="FFFFFF"/>
        </w:rPr>
        <w:t xml:space="preserve">Description </w:t>
      </w:r>
      <w:r w:rsidRPr="004F6318">
        <w:t xml:space="preserve">of how the results of the SJV DAC pilot evaluation influenced the decision to run this pilot, and how the following information from the SJV </w:t>
      </w:r>
      <w:r w:rsidRPr="004F6318">
        <w:lastRenderedPageBreak/>
        <w:t>DAC evaluation</w:t>
      </w:r>
      <w:r>
        <w:rPr>
          <w:rFonts w:eastAsia="Times New Roman"/>
          <w:color w:val="000000"/>
          <w:szCs w:val="26"/>
          <w:shd w:val="clear" w:color="auto" w:fill="FFFFFF"/>
        </w:rPr>
        <w:t xml:space="preserve"> is relevant or even useable for the Liberty pilot</w:t>
      </w:r>
      <w:r w:rsidRPr="004F6318">
        <w:rPr>
          <w:rFonts w:eastAsia="Times New Roman"/>
          <w:color w:val="000000"/>
          <w:szCs w:val="26"/>
          <w:shd w:val="clear" w:color="auto" w:fill="FFFFFF"/>
        </w:rPr>
        <w:t>:</w:t>
      </w:r>
    </w:p>
    <w:p w:rsidRPr="004F6318" w:rsidR="008959A4" w:rsidP="008959A4" w:rsidRDefault="008959A4" w14:paraId="14FB3D39" w14:textId="77777777">
      <w:pPr>
        <w:pStyle w:val="Standard"/>
        <w:numPr>
          <w:ilvl w:val="1"/>
          <w:numId w:val="19"/>
        </w:numPr>
        <w:spacing w:after="120" w:line="240" w:lineRule="auto"/>
        <w:ind w:left="1620" w:right="1440" w:hanging="540"/>
        <w:rPr>
          <w:rFonts w:eastAsia="Times New Roman"/>
          <w:color w:val="000000"/>
          <w:szCs w:val="26"/>
          <w:shd w:val="clear" w:color="auto" w:fill="FFFFFF"/>
        </w:rPr>
      </w:pPr>
      <w:r w:rsidRPr="004F6318">
        <w:rPr>
          <w:rFonts w:eastAsia="Times New Roman"/>
          <w:color w:val="000000"/>
          <w:szCs w:val="26"/>
          <w:shd w:val="clear" w:color="auto" w:fill="FFFFFF"/>
        </w:rPr>
        <w:t>Methodology for calculation to show that installed measures do not increase total source energy or adversely impact environment;</w:t>
      </w:r>
    </w:p>
    <w:p w:rsidRPr="004F6318" w:rsidR="008959A4" w:rsidP="008959A4" w:rsidRDefault="008959A4" w14:paraId="056874C0" w14:textId="77777777">
      <w:pPr>
        <w:pStyle w:val="Standard"/>
        <w:numPr>
          <w:ilvl w:val="1"/>
          <w:numId w:val="19"/>
        </w:numPr>
        <w:spacing w:after="120" w:line="240" w:lineRule="auto"/>
        <w:ind w:left="1620" w:right="1440" w:hanging="540"/>
        <w:rPr>
          <w:rFonts w:eastAsia="Times New Roman"/>
          <w:color w:val="000000"/>
          <w:szCs w:val="26"/>
          <w:shd w:val="clear" w:color="auto" w:fill="FFFFFF"/>
        </w:rPr>
      </w:pPr>
      <w:r w:rsidRPr="004F6318">
        <w:rPr>
          <w:rFonts w:eastAsia="Times New Roman"/>
          <w:color w:val="000000"/>
          <w:szCs w:val="26"/>
          <w:shd w:val="clear" w:color="auto" w:fill="FFFFFF"/>
        </w:rPr>
        <w:t>Methodology of how Liberty will calculate energy cost/bill savings for propane and/or wood not used;</w:t>
      </w:r>
    </w:p>
    <w:p w:rsidRPr="004F6318" w:rsidR="008959A4" w:rsidP="008959A4" w:rsidRDefault="008959A4" w14:paraId="13539057" w14:textId="77777777">
      <w:pPr>
        <w:pStyle w:val="Standard"/>
        <w:numPr>
          <w:ilvl w:val="1"/>
          <w:numId w:val="19"/>
        </w:numPr>
        <w:spacing w:after="120" w:line="240" w:lineRule="auto"/>
        <w:ind w:left="1620" w:right="1440" w:hanging="540"/>
        <w:rPr>
          <w:rFonts w:eastAsia="Times New Roman"/>
          <w:color w:val="000000"/>
          <w:szCs w:val="26"/>
          <w:shd w:val="clear" w:color="auto" w:fill="FFFFFF"/>
        </w:rPr>
      </w:pPr>
      <w:r w:rsidRPr="004F6318">
        <w:rPr>
          <w:rFonts w:eastAsia="Times New Roman"/>
          <w:color w:val="000000"/>
          <w:szCs w:val="26"/>
          <w:shd w:val="clear" w:color="auto" w:fill="FFFFFF"/>
        </w:rPr>
        <w:t>Details on the regulatory framework, including cost test(s) used to assess performance of measures involving fuel switching (</w:t>
      </w:r>
      <w:r w:rsidRPr="009643C3">
        <w:rPr>
          <w:rFonts w:eastAsia="Times New Roman"/>
          <w:i/>
          <w:iCs/>
          <w:color w:val="000000"/>
          <w:szCs w:val="26"/>
          <w:shd w:val="clear" w:color="auto" w:fill="FFFFFF"/>
        </w:rPr>
        <w:t>e.g.</w:t>
      </w:r>
      <w:r w:rsidRPr="004F6318">
        <w:rPr>
          <w:rFonts w:eastAsia="Times New Roman"/>
          <w:color w:val="000000"/>
          <w:szCs w:val="26"/>
          <w:shd w:val="clear" w:color="auto" w:fill="FFFFFF"/>
        </w:rPr>
        <w:t>, from wood to electric, propane to electric)</w:t>
      </w:r>
      <w:r>
        <w:rPr>
          <w:rFonts w:eastAsia="Times New Roman"/>
          <w:color w:val="000000"/>
          <w:szCs w:val="26"/>
          <w:shd w:val="clear" w:color="auto" w:fill="FFFFFF"/>
        </w:rPr>
        <w:t>;</w:t>
      </w:r>
    </w:p>
    <w:p w:rsidRPr="004F6318" w:rsidR="008959A4" w:rsidP="008959A4" w:rsidRDefault="008959A4" w14:paraId="07D521FD" w14:textId="77777777">
      <w:pPr>
        <w:pStyle w:val="Standard"/>
        <w:numPr>
          <w:ilvl w:val="1"/>
          <w:numId w:val="19"/>
        </w:numPr>
        <w:spacing w:after="120" w:line="240" w:lineRule="auto"/>
        <w:ind w:left="1620" w:right="1440" w:hanging="540"/>
        <w:rPr>
          <w:rFonts w:eastAsia="Times New Roman"/>
          <w:color w:val="000000"/>
          <w:szCs w:val="26"/>
          <w:shd w:val="clear" w:color="auto" w:fill="FFFFFF"/>
        </w:rPr>
      </w:pPr>
      <w:r w:rsidRPr="004F6318">
        <w:rPr>
          <w:rFonts w:eastAsia="Times New Roman"/>
          <w:color w:val="000000"/>
          <w:szCs w:val="26"/>
          <w:shd w:val="clear" w:color="auto" w:fill="FFFFFF"/>
        </w:rPr>
        <w:t>Public health (or other) adders by existing fuel type that could be included in cost effectiveness calculations</w:t>
      </w:r>
      <w:r>
        <w:rPr>
          <w:rFonts w:eastAsia="Times New Roman"/>
          <w:color w:val="000000"/>
          <w:szCs w:val="26"/>
          <w:shd w:val="clear" w:color="auto" w:fill="FFFFFF"/>
        </w:rPr>
        <w:t>; and</w:t>
      </w:r>
    </w:p>
    <w:p w:rsidRPr="000A729E" w:rsidR="008959A4" w:rsidP="008959A4" w:rsidRDefault="008959A4" w14:paraId="1685AC39" w14:textId="77777777">
      <w:pPr>
        <w:pStyle w:val="Standard"/>
        <w:numPr>
          <w:ilvl w:val="1"/>
          <w:numId w:val="19"/>
        </w:numPr>
        <w:spacing w:after="120" w:line="240" w:lineRule="auto"/>
        <w:ind w:left="1620" w:right="1440" w:hanging="540"/>
        <w:rPr>
          <w:rFonts w:eastAsia="Times New Roman"/>
          <w:color w:val="000000"/>
          <w:szCs w:val="26"/>
          <w:shd w:val="clear" w:color="auto" w:fill="FFFFFF"/>
        </w:rPr>
      </w:pPr>
      <w:r w:rsidRPr="004F6318">
        <w:rPr>
          <w:rFonts w:eastAsia="Times New Roman"/>
          <w:color w:val="000000"/>
          <w:szCs w:val="26"/>
          <w:shd w:val="clear" w:color="auto" w:fill="FFFFFF"/>
        </w:rPr>
        <w:t xml:space="preserve">Calculation tools (if available) for analysis for Fuel Switching measures for individual homes in climate zones </w:t>
      </w:r>
      <w:r>
        <w:rPr>
          <w:rFonts w:eastAsia="Times New Roman"/>
          <w:color w:val="000000"/>
          <w:szCs w:val="26"/>
          <w:shd w:val="clear" w:color="auto" w:fill="FFFFFF"/>
        </w:rPr>
        <w:t>relevant to Liberty’s service territory</w:t>
      </w:r>
      <w:r w:rsidRPr="004F6318">
        <w:rPr>
          <w:rFonts w:eastAsia="Times New Roman"/>
          <w:color w:val="000000"/>
          <w:szCs w:val="26"/>
          <w:shd w:val="clear" w:color="auto" w:fill="FFFFFF"/>
        </w:rPr>
        <w:t>.</w:t>
      </w:r>
    </w:p>
    <w:p w:rsidRPr="000A729E" w:rsidR="008959A4" w:rsidP="008959A4" w:rsidRDefault="008959A4" w14:paraId="212CBADC" w14:textId="77777777">
      <w:pPr>
        <w:pStyle w:val="ListParagraph"/>
        <w:numPr>
          <w:ilvl w:val="0"/>
          <w:numId w:val="19"/>
        </w:numPr>
        <w:spacing w:after="120"/>
        <w:ind w:left="1080" w:right="1440"/>
        <w:rPr>
          <w:rFonts w:eastAsia="Times New Roman"/>
          <w:color w:val="000000"/>
          <w:szCs w:val="26"/>
          <w:shd w:val="clear" w:color="auto" w:fill="FFFFFF"/>
        </w:rPr>
      </w:pPr>
      <w:r w:rsidRPr="000A729E">
        <w:rPr>
          <w:rFonts w:eastAsia="Times New Roman"/>
          <w:color w:val="000000"/>
          <w:szCs w:val="26"/>
          <w:shd w:val="clear" w:color="auto" w:fill="FFFFFF"/>
        </w:rPr>
        <w:t>Description of how pilot homes will be selected, and how costs related to electrical infrastructure upgrades (if needed) at the home will be accounted for.</w:t>
      </w:r>
    </w:p>
    <w:p w:rsidRPr="000A729E" w:rsidR="008959A4" w:rsidP="008959A4" w:rsidRDefault="008959A4" w14:paraId="4C094D95" w14:textId="77777777">
      <w:pPr>
        <w:pStyle w:val="ListParagraph"/>
        <w:numPr>
          <w:ilvl w:val="0"/>
          <w:numId w:val="19"/>
        </w:numPr>
        <w:spacing w:after="120"/>
        <w:ind w:left="1080" w:right="1440"/>
        <w:rPr>
          <w:rFonts w:eastAsia="Times New Roman"/>
          <w:color w:val="000000"/>
          <w:szCs w:val="26"/>
          <w:shd w:val="clear" w:color="auto" w:fill="FFFFFF"/>
        </w:rPr>
      </w:pPr>
      <w:r w:rsidRPr="000A729E">
        <w:rPr>
          <w:rFonts w:eastAsia="Times New Roman"/>
          <w:color w:val="000000"/>
          <w:szCs w:val="26"/>
          <w:shd w:val="clear" w:color="auto" w:fill="FFFFFF"/>
        </w:rPr>
        <w:t>Description of whether target pilot households are expected to be in Southwest Gas territory, and if so, how other Commission programs (such as TECH) will be leveraged.</w:t>
      </w:r>
    </w:p>
    <w:p w:rsidRPr="000A729E" w:rsidR="008959A4" w:rsidP="008959A4" w:rsidRDefault="008959A4" w14:paraId="1BF227CB" w14:textId="77777777">
      <w:pPr>
        <w:pStyle w:val="ListParagraph"/>
        <w:numPr>
          <w:ilvl w:val="0"/>
          <w:numId w:val="19"/>
        </w:numPr>
        <w:spacing w:after="120"/>
        <w:ind w:left="1080" w:right="1440"/>
        <w:rPr>
          <w:rFonts w:eastAsia="Times New Roman"/>
          <w:color w:val="000000"/>
          <w:szCs w:val="26"/>
          <w:shd w:val="clear" w:color="auto" w:fill="FFFFFF"/>
        </w:rPr>
      </w:pPr>
      <w:r w:rsidRPr="000A729E">
        <w:rPr>
          <w:rFonts w:eastAsia="Times New Roman"/>
          <w:color w:val="000000"/>
          <w:szCs w:val="26"/>
          <w:shd w:val="clear" w:color="auto" w:fill="FFFFFF"/>
        </w:rPr>
        <w:t>Description of the timeline and budget, not to exceed $168,752, for implementing Liberty’s electrification pilot.</w:t>
      </w:r>
    </w:p>
    <w:p w:rsidRPr="000A729E" w:rsidR="008959A4" w:rsidP="008959A4" w:rsidRDefault="008959A4" w14:paraId="33ED6858" w14:textId="77777777">
      <w:pPr>
        <w:pStyle w:val="ListParagraph"/>
        <w:numPr>
          <w:ilvl w:val="0"/>
          <w:numId w:val="19"/>
        </w:numPr>
        <w:spacing w:after="120"/>
        <w:ind w:left="1080" w:right="1440"/>
        <w:rPr>
          <w:rFonts w:eastAsia="Times New Roman"/>
          <w:color w:val="000000"/>
          <w:szCs w:val="26"/>
          <w:shd w:val="clear" w:color="auto" w:fill="FFFFFF"/>
        </w:rPr>
      </w:pPr>
      <w:r w:rsidRPr="000A729E">
        <w:rPr>
          <w:rFonts w:eastAsia="Times New Roman"/>
          <w:color w:val="000000"/>
          <w:szCs w:val="26"/>
          <w:shd w:val="clear" w:color="auto" w:fill="FFFFFF"/>
        </w:rPr>
        <w:t>Description of how the pilot can/will be structured such that four households electrified a year will provide a meaningful indicator of impacts that could be anticipated in future if pilot extended/replicated.</w:t>
      </w:r>
    </w:p>
    <w:p w:rsidR="008959A4" w:rsidP="008959A4" w:rsidRDefault="008959A4" w14:paraId="35C8CA64" w14:textId="77777777">
      <w:pPr>
        <w:pStyle w:val="Standard"/>
      </w:pPr>
      <w:r>
        <w:t xml:space="preserve">In the instance Liberty does not submit the Tier 2 advice letter with the above information to move the Electrification pilot forward, Liberty must submit a Tier 1 advice letter </w:t>
      </w:r>
      <w:r>
        <w:rPr>
          <w:szCs w:val="26"/>
        </w:rPr>
        <w:t xml:space="preserve">within six months of the filing of the evaluation of the SJV </w:t>
      </w:r>
      <w:r>
        <w:rPr>
          <w:szCs w:val="26"/>
        </w:rPr>
        <w:lastRenderedPageBreak/>
        <w:t>DAC fuel-switching pilot</w:t>
      </w:r>
      <w:r w:rsidDel="005B224C">
        <w:t xml:space="preserve"> </w:t>
      </w:r>
      <w:r>
        <w:t>explaining w</w:t>
      </w:r>
      <w:r w:rsidRPr="00B42F3A">
        <w:t xml:space="preserve">hy </w:t>
      </w:r>
      <w:r>
        <w:t>Liberty</w:t>
      </w:r>
      <w:r w:rsidRPr="00B42F3A">
        <w:t xml:space="preserve"> decided to not run a fuel</w:t>
      </w:r>
      <w:r>
        <w:noBreakHyphen/>
      </w:r>
      <w:r w:rsidRPr="00B42F3A">
        <w:t>switching pilot and</w:t>
      </w:r>
      <w:r>
        <w:t xml:space="preserve"> describing </w:t>
      </w:r>
      <w:r w:rsidRPr="00B42F3A">
        <w:t>how the SJV </w:t>
      </w:r>
      <w:r>
        <w:t xml:space="preserve">DAC </w:t>
      </w:r>
      <w:r w:rsidRPr="00B42F3A">
        <w:t>pilot evaluation was used to inform this decision</w:t>
      </w:r>
      <w:r>
        <w:t xml:space="preserve">.  The budget conditionally approved for this pilot would then be subject to the unspent funds rules described in Section 6.9.2.  </w:t>
      </w:r>
    </w:p>
    <w:p w:rsidR="008959A4" w:rsidP="008959A4" w:rsidRDefault="008959A4" w14:paraId="730930AC" w14:textId="77777777">
      <w:pPr>
        <w:pStyle w:val="Standard"/>
      </w:pPr>
      <w:r>
        <w:t>If the SJV DAC evaluation results are delayed and Liberty is no longer able to proceed with the implementation of the Electrification</w:t>
      </w:r>
      <w:r w:rsidDel="00C75952">
        <w:t xml:space="preserve"> </w:t>
      </w:r>
      <w:r>
        <w:t xml:space="preserve">pilot within this program cycle, then the conditionally approved budget for this pilot will be subject to the unspent funds rules described in Section 6.9.2. </w:t>
      </w:r>
    </w:p>
    <w:p w:rsidR="008959A4" w:rsidP="008959A4" w:rsidRDefault="008959A4" w14:paraId="429D283A" w14:textId="77777777">
      <w:pPr>
        <w:pStyle w:val="Heading2"/>
      </w:pPr>
      <w:bookmarkStart w:name="_Toc82159889" w:id="320"/>
      <w:r w:rsidRPr="00E261CF">
        <w:t>Annual SMJU CARE Eligibility R</w:t>
      </w:r>
      <w:r>
        <w:t>eport</w:t>
      </w:r>
      <w:bookmarkEnd w:id="320"/>
    </w:p>
    <w:p w:rsidR="008959A4" w:rsidP="008959A4" w:rsidRDefault="008959A4" w14:paraId="221D08B9" w14:textId="77777777">
      <w:pPr>
        <w:pStyle w:val="Standard"/>
      </w:pPr>
      <w:r w:rsidRPr="00621342">
        <w:t xml:space="preserve">The </w:t>
      </w:r>
      <w:r w:rsidRPr="000A5DED">
        <w:t xml:space="preserve">SMJUs collectively propose </w:t>
      </w:r>
      <w:r>
        <w:t xml:space="preserve">to continue the </w:t>
      </w:r>
      <w:r w:rsidRPr="00596109">
        <w:t>Annual CARE Eligibility Report</w:t>
      </w:r>
      <w:r>
        <w:t xml:space="preserve"> (commonly referred to as the</w:t>
      </w:r>
      <w:r w:rsidRPr="000A5DED">
        <w:t xml:space="preserve"> Athens</w:t>
      </w:r>
      <w:r>
        <w:t xml:space="preserve"> </w:t>
      </w:r>
      <w:r w:rsidRPr="000A5DED">
        <w:t>Research study</w:t>
      </w:r>
      <w:r>
        <w:t>)</w:t>
      </w:r>
      <w:r w:rsidRPr="000A5DED">
        <w:t xml:space="preserve"> for </w:t>
      </w:r>
      <w:r>
        <w:t xml:space="preserve">PYs </w:t>
      </w:r>
      <w:r w:rsidRPr="000A5DED">
        <w:t>2021-2026 to develop utility-specific “base</w:t>
      </w:r>
      <w:r>
        <w:t xml:space="preserve"> </w:t>
      </w:r>
      <w:r w:rsidRPr="000A5DED">
        <w:t>counts” or technical eligibility customer count</w:t>
      </w:r>
      <w:r>
        <w:t>s</w:t>
      </w:r>
      <w:r w:rsidRPr="000A5DED">
        <w:t xml:space="preserve"> for</w:t>
      </w:r>
      <w:r>
        <w:t xml:space="preserve"> the</w:t>
      </w:r>
      <w:r w:rsidRPr="000A5DED">
        <w:t xml:space="preserve"> ESA and CARE programs. </w:t>
      </w:r>
      <w:r>
        <w:t xml:space="preserve"> </w:t>
      </w:r>
      <w:r w:rsidRPr="000A5DED">
        <w:t xml:space="preserve">PacifiCorp </w:t>
      </w:r>
      <w:r>
        <w:t>states that t</w:t>
      </w:r>
      <w:r w:rsidRPr="000A5DED">
        <w:t>he study was beneficial as it removed</w:t>
      </w:r>
      <w:r>
        <w:t xml:space="preserve"> </w:t>
      </w:r>
      <w:r w:rsidRPr="000A5DED">
        <w:t>potential seasonal homes (households with 2 or more periods less than the normalized 100 kWh)</w:t>
      </w:r>
      <w:r>
        <w:t xml:space="preserve"> </w:t>
      </w:r>
      <w:r w:rsidRPr="000A5DED">
        <w:t>thereby adjusting the customer base eligibility which increased participation rates.</w:t>
      </w:r>
      <w:r>
        <w:t xml:space="preserve"> </w:t>
      </w:r>
      <w:r w:rsidRPr="000A5DED">
        <w:t xml:space="preserve"> </w:t>
      </w:r>
      <w:r>
        <w:t>Liberty and Southwest Gas propose a total 2021-2026 budget of $</w:t>
      </w:r>
      <w:r w:rsidRPr="00F20586">
        <w:t>190,326</w:t>
      </w:r>
      <w:r>
        <w:t xml:space="preserve"> for a yearly study, while PacifiCorp proposes a total 2021-2026 budget of $</w:t>
      </w:r>
      <w:r w:rsidRPr="00FE7431">
        <w:t>186,594</w:t>
      </w:r>
      <w:r>
        <w:t>.</w:t>
      </w:r>
      <w:r>
        <w:rPr>
          <w:rStyle w:val="FootnoteReference"/>
        </w:rPr>
        <w:footnoteReference w:id="256"/>
      </w:r>
      <w:r>
        <w:t xml:space="preserve">  Southwest Gas proposes to cover 65 percent of the study costs, Liberty proposes to cover 15 percent of the costs, and PacifiCorp proposes to cover 12 percent of the cost.  Bear Valley, Alpine and West Coast Gas did not provide any funding split for this yearly study.</w:t>
      </w:r>
    </w:p>
    <w:p w:rsidR="008959A4" w:rsidP="008959A4" w:rsidRDefault="008959A4" w14:paraId="4EE457E7" w14:textId="77777777">
      <w:pPr>
        <w:pStyle w:val="Heading3"/>
      </w:pPr>
      <w:bookmarkStart w:name="_Toc82159890" w:id="321"/>
      <w:r>
        <w:t>Party Positions</w:t>
      </w:r>
      <w:bookmarkEnd w:id="321"/>
    </w:p>
    <w:p w:rsidRPr="00621342" w:rsidR="008959A4" w:rsidP="008959A4" w:rsidRDefault="008959A4" w14:paraId="290D29B0" w14:textId="77777777">
      <w:pPr>
        <w:pStyle w:val="Standard"/>
      </w:pPr>
      <w:bookmarkStart w:name="_Hlk64059868" w:id="322"/>
      <w:r w:rsidRPr="00D80C80">
        <w:t>No substantive party comments were received on this topic</w:t>
      </w:r>
      <w:r>
        <w:t>.</w:t>
      </w:r>
    </w:p>
    <w:p w:rsidR="008959A4" w:rsidP="008959A4" w:rsidRDefault="008959A4" w14:paraId="79050692" w14:textId="77777777">
      <w:pPr>
        <w:pStyle w:val="Heading3"/>
      </w:pPr>
      <w:bookmarkStart w:name="_Toc82159891" w:id="323"/>
      <w:bookmarkEnd w:id="322"/>
      <w:r>
        <w:lastRenderedPageBreak/>
        <w:t>Discussion</w:t>
      </w:r>
      <w:bookmarkEnd w:id="323"/>
    </w:p>
    <w:p w:rsidR="008959A4" w:rsidP="008959A4" w:rsidRDefault="008959A4" w14:paraId="50DA13BD" w14:textId="77777777">
      <w:pPr>
        <w:pStyle w:val="Heading4"/>
        <w:ind w:left="3600" w:hanging="1260"/>
      </w:pPr>
      <w:bookmarkStart w:name="_Toc82159892" w:id="324"/>
      <w:r w:rsidRPr="00E56ED7">
        <w:t>Annual SMJU CARE Eligibility Report</w:t>
      </w:r>
      <w:r>
        <w:t xml:space="preserve">: </w:t>
      </w:r>
      <w:r w:rsidRPr="00905141">
        <w:rPr>
          <w:u w:val="single"/>
        </w:rPr>
        <w:t>Approved</w:t>
      </w:r>
      <w:r>
        <w:rPr>
          <w:u w:val="single"/>
        </w:rPr>
        <w:t xml:space="preserve"> with Modification</w:t>
      </w:r>
      <w:bookmarkEnd w:id="324"/>
    </w:p>
    <w:p w:rsidR="008959A4" w:rsidP="008959A4" w:rsidRDefault="008959A4" w14:paraId="59340782" w14:textId="77777777">
      <w:pPr>
        <w:pStyle w:val="Standard"/>
      </w:pPr>
      <w:r>
        <w:t>We approve a yearly</w:t>
      </w:r>
      <w:r w:rsidRPr="000A5DED">
        <w:t xml:space="preserve"> </w:t>
      </w:r>
      <w:r w:rsidRPr="00596109">
        <w:t xml:space="preserve">Annual CARE Eligibility </w:t>
      </w:r>
      <w:r w:rsidRPr="000A5DED">
        <w:t xml:space="preserve">study </w:t>
      </w:r>
      <w:r>
        <w:t>with a total budget of $</w:t>
      </w:r>
      <w:r w:rsidRPr="00F20586">
        <w:t>190,326</w:t>
      </w:r>
      <w:r>
        <w:t xml:space="preserve"> for PYs 2021-2026 utilizing the following SMJU funding split:  Southwest Gas at 65 percent, Liberty at 15 percent, PacifiCorp at 12 percent, Bear Valley at 4 percent, Alpine at 2 percent and West Coast Gas at 2 percent. </w:t>
      </w:r>
    </w:p>
    <w:p w:rsidR="008959A4" w:rsidP="008959A4" w:rsidRDefault="008959A4" w14:paraId="3C10FBDD" w14:textId="77777777">
      <w:pPr>
        <w:pStyle w:val="Standard"/>
      </w:pPr>
      <w:r>
        <w:t>This funding split uses the proposed funding split from Southwest Gas, Liberty and PacifiCorp, which covers 92 percent of the study costs, as a starting point.  For the remaining 8 percent, the Commission splits the budget proportionally between Bear Valley, Alpine and West Coast Gas based on the size of their CARE administrative budgets.  We believe that Bear Valley, Alpine and West Coast Gas’ CARE administration budgets can absorb the funding of this study with the administrative budgets already approved in this decision.  The annual study will be submitted jointly by the SMJUs each year on the relevant service lists by February 12 of each year for the current year, consistent with the schedule for the large IOUs’ Annual CARE Eligibility Report.</w:t>
      </w:r>
      <w:r>
        <w:rPr>
          <w:rStyle w:val="FootnoteReference"/>
        </w:rPr>
        <w:footnoteReference w:id="257"/>
      </w:r>
      <w:r>
        <w:t xml:space="preserve">  However, since this will be the first time that the SMJUs will be receiving yearly reports, we make an exception and extend the 2022 SMJU </w:t>
      </w:r>
      <w:r w:rsidRPr="00596109">
        <w:t>Annual CARE Eligibility Report</w:t>
      </w:r>
      <w:r>
        <w:t xml:space="preserve">’s filing date to March 12, 2022.  Thereafter, the report will be filed on the same date as the large IOU report </w:t>
      </w:r>
      <w:r w:rsidRPr="009F3322">
        <w:t>on February 12.  The</w:t>
      </w:r>
      <w:r>
        <w:t xml:space="preserve"> report shall include </w:t>
      </w:r>
      <w:r w:rsidRPr="000A5DED">
        <w:t>eligibility customer count for</w:t>
      </w:r>
      <w:r>
        <w:t xml:space="preserve"> the</w:t>
      </w:r>
      <w:r w:rsidRPr="000A5DED">
        <w:t xml:space="preserve"> ESA and CARE programs</w:t>
      </w:r>
      <w:r>
        <w:t xml:space="preserve"> by SMJU service territory and by the counties in those service territories, using the same table formats and data granularity as the large IOU </w:t>
      </w:r>
      <w:r w:rsidRPr="00596109">
        <w:t>Annual CARE Eligibility Report</w:t>
      </w:r>
      <w:r>
        <w:t xml:space="preserve">s.  Southwest Gas will be the lead SMJU for contracting with the </w:t>
      </w:r>
      <w:r>
        <w:lastRenderedPageBreak/>
        <w:t xml:space="preserve">independent economic consultant to provide annual CARE eligibility reports (conferring with the other SMJUs as part of the contractor selection process) and will be responsible for setting up any payment mechanisms between the other SMJUs per the funding splits for this report described in this decision. </w:t>
      </w:r>
    </w:p>
    <w:p w:rsidRPr="00B05026" w:rsidR="008959A4" w:rsidP="008959A4" w:rsidRDefault="008959A4" w14:paraId="729B2DDD" w14:textId="77777777">
      <w:pPr>
        <w:pStyle w:val="Heading1"/>
      </w:pPr>
      <w:bookmarkStart w:name="_Toc65342777" w:id="325"/>
      <w:bookmarkStart w:name="_Toc82159893" w:id="326"/>
      <w:bookmarkEnd w:id="325"/>
      <w:r w:rsidRPr="00B05026">
        <w:t>Environmental and Social Justice</w:t>
      </w:r>
      <w:bookmarkEnd w:id="326"/>
      <w:r w:rsidRPr="00B05026">
        <w:t xml:space="preserve"> </w:t>
      </w:r>
    </w:p>
    <w:p w:rsidR="008959A4" w:rsidP="008959A4" w:rsidRDefault="008959A4" w14:paraId="463B7CA8" w14:textId="77777777">
      <w:pPr>
        <w:pStyle w:val="Heading2"/>
      </w:pPr>
      <w:bookmarkStart w:name="_Toc82159894" w:id="327"/>
      <w:r w:rsidRPr="00682805">
        <w:t>Background</w:t>
      </w:r>
      <w:bookmarkEnd w:id="327"/>
    </w:p>
    <w:p w:rsidRPr="00C67A8A" w:rsidR="008959A4" w:rsidP="008959A4" w:rsidRDefault="008959A4" w14:paraId="732A1F28" w14:textId="77777777">
      <w:pPr>
        <w:pStyle w:val="Standard"/>
      </w:pPr>
      <w:r>
        <w:t>On</w:t>
      </w:r>
      <w:r w:rsidRPr="009B5AD9">
        <w:t xml:space="preserve"> February </w:t>
      </w:r>
      <w:r>
        <w:t xml:space="preserve">21, </w:t>
      </w:r>
      <w:r w:rsidRPr="009B5AD9">
        <w:t>2019, the Commission adopted the Environmental and Social Justice (ESJ) Action Plan</w:t>
      </w:r>
      <w:r w:rsidRPr="009035BD">
        <w:rPr>
          <w:rStyle w:val="FootnoteReference"/>
        </w:rPr>
        <w:footnoteReference w:id="258"/>
      </w:r>
      <w:r w:rsidRPr="009B5AD9">
        <w:t xml:space="preserve"> which serves to expand public inclusion in Commission decision-making and improve services to targeted communities in California, specifically communities of color and/or low</w:t>
      </w:r>
      <w:r>
        <w:t>-</w:t>
      </w:r>
      <w:r w:rsidRPr="009B5AD9">
        <w:t xml:space="preserve">income communities. </w:t>
      </w:r>
      <w:r>
        <w:t xml:space="preserve"> </w:t>
      </w:r>
      <w:r w:rsidRPr="00C67A8A">
        <w:t xml:space="preserve">The ESJ Action Plan defines environmental and social justice as: </w:t>
      </w:r>
    </w:p>
    <w:p w:rsidRPr="003B2F85" w:rsidR="008959A4" w:rsidP="008959A4" w:rsidRDefault="008959A4" w14:paraId="31FA317A" w14:textId="77777777">
      <w:pPr>
        <w:pStyle w:val="BlockQuote"/>
        <w:spacing w:after="240"/>
        <w:ind w:right="1440"/>
      </w:pPr>
      <w:r w:rsidRPr="003B2F85">
        <w:rPr>
          <w:rStyle w:val="ALJBlockQuoteChar"/>
        </w:rPr>
        <w:t>Environmental and social justice seeks to come to terms with, and remedy, a history of unfair treatment of communities, predominantly communities of people of color and/or low</w:t>
      </w:r>
      <w:r>
        <w:rPr>
          <w:rStyle w:val="ALJBlockQuoteChar"/>
        </w:rPr>
        <w:noBreakHyphen/>
      </w:r>
      <w:r w:rsidRPr="003B2F85">
        <w:rPr>
          <w:rStyle w:val="ALJBlockQuoteChar"/>
        </w:rPr>
        <w:t xml:space="preserve">income residents. </w:t>
      </w:r>
      <w:r>
        <w:rPr>
          <w:rStyle w:val="ALJBlockQuoteChar"/>
        </w:rPr>
        <w:t xml:space="preserve"> </w:t>
      </w:r>
      <w:r w:rsidRPr="003B2F85">
        <w:rPr>
          <w:rStyle w:val="ALJBlockQuoteChar"/>
        </w:rPr>
        <w:t>These communities have been subjected to disproportionate impacts from one or more environmental hazards, socioeconomic burdens, or both.</w:t>
      </w:r>
    </w:p>
    <w:p w:rsidR="008959A4" w:rsidP="008959A4" w:rsidRDefault="008959A4" w14:paraId="6648D72E" w14:textId="77777777">
      <w:pPr>
        <w:pStyle w:val="Standard"/>
      </w:pPr>
      <w:r>
        <w:t>The overall goals identified by the ESJ action plans include:</w:t>
      </w:r>
    </w:p>
    <w:p w:rsidRPr="00831E93" w:rsidR="008959A4" w:rsidP="008959A4" w:rsidRDefault="008959A4" w14:paraId="1373F2F4" w14:textId="77777777">
      <w:pPr>
        <w:pStyle w:val="ListBullet"/>
        <w:tabs>
          <w:tab w:val="clear" w:pos="360"/>
          <w:tab w:val="num" w:pos="-360"/>
        </w:tabs>
        <w:ind w:left="1080" w:right="1440"/>
      </w:pPr>
      <w:r w:rsidRPr="00831E93">
        <w:rPr>
          <w:b/>
          <w:bCs/>
          <w:u w:val="single"/>
        </w:rPr>
        <w:t>Goal 1</w:t>
      </w:r>
      <w:r w:rsidRPr="004958F9">
        <w:rPr>
          <w:b/>
          <w:bCs/>
        </w:rPr>
        <w:t>:</w:t>
      </w:r>
      <w:r w:rsidRPr="004958F9">
        <w:t xml:space="preserve">  </w:t>
      </w:r>
      <w:r w:rsidRPr="00831E93">
        <w:t xml:space="preserve">Consistently integrate equity and access considerations throughout CPUC proceedings and other efforts. </w:t>
      </w:r>
    </w:p>
    <w:p w:rsidRPr="00831E93" w:rsidR="008959A4" w:rsidP="008959A4" w:rsidRDefault="008959A4" w14:paraId="623C3C0D" w14:textId="77777777">
      <w:pPr>
        <w:pStyle w:val="ListBullet"/>
        <w:tabs>
          <w:tab w:val="clear" w:pos="360"/>
          <w:tab w:val="num" w:pos="-360"/>
        </w:tabs>
        <w:ind w:left="1080" w:right="1440"/>
      </w:pPr>
      <w:r w:rsidRPr="00831E93">
        <w:rPr>
          <w:b/>
          <w:bCs/>
          <w:u w:val="single"/>
        </w:rPr>
        <w:t>Goal 2</w:t>
      </w:r>
      <w:r w:rsidRPr="004958F9">
        <w:rPr>
          <w:b/>
          <w:bCs/>
        </w:rPr>
        <w:t>:</w:t>
      </w:r>
      <w:r w:rsidRPr="004958F9">
        <w:t xml:space="preserve">  </w:t>
      </w:r>
      <w:r w:rsidRPr="00831E93">
        <w:t xml:space="preserve">Increase investment in clean energy resources to benefit ESJ communities, especially to improve local air quality and public health. </w:t>
      </w:r>
    </w:p>
    <w:p w:rsidRPr="00831E93" w:rsidR="008959A4" w:rsidP="008959A4" w:rsidRDefault="008959A4" w14:paraId="3BD8AE84" w14:textId="77777777">
      <w:pPr>
        <w:pStyle w:val="ListBullet"/>
        <w:tabs>
          <w:tab w:val="clear" w:pos="360"/>
          <w:tab w:val="num" w:pos="-360"/>
        </w:tabs>
        <w:ind w:left="1080" w:right="1440"/>
      </w:pPr>
      <w:r w:rsidRPr="00831E93">
        <w:rPr>
          <w:b/>
          <w:bCs/>
          <w:u w:val="single"/>
        </w:rPr>
        <w:t>Goal 3</w:t>
      </w:r>
      <w:r w:rsidRPr="004958F9">
        <w:rPr>
          <w:b/>
          <w:bCs/>
        </w:rPr>
        <w:t>:</w:t>
      </w:r>
      <w:r w:rsidRPr="004958F9">
        <w:t xml:space="preserve">  </w:t>
      </w:r>
      <w:r w:rsidRPr="00831E93">
        <w:t xml:space="preserve">Strive to improve access to high-quality water, communications, and transportation services for ESJ communities. </w:t>
      </w:r>
    </w:p>
    <w:p w:rsidRPr="00831E93" w:rsidR="008959A4" w:rsidP="008959A4" w:rsidRDefault="008959A4" w14:paraId="02ABD819" w14:textId="77777777">
      <w:pPr>
        <w:pStyle w:val="ListBullet"/>
        <w:tabs>
          <w:tab w:val="clear" w:pos="360"/>
          <w:tab w:val="num" w:pos="-360"/>
        </w:tabs>
        <w:ind w:left="1080" w:right="1440"/>
      </w:pPr>
      <w:r w:rsidRPr="00831E93">
        <w:rPr>
          <w:b/>
          <w:bCs/>
          <w:u w:val="single"/>
        </w:rPr>
        <w:t>Goal 4</w:t>
      </w:r>
      <w:r w:rsidRPr="004958F9">
        <w:rPr>
          <w:b/>
          <w:bCs/>
        </w:rPr>
        <w:t xml:space="preserve">: </w:t>
      </w:r>
      <w:r w:rsidRPr="00831E93">
        <w:t xml:space="preserve"> Increase climate resiliency in ESJ communities. </w:t>
      </w:r>
    </w:p>
    <w:p w:rsidRPr="00831E93" w:rsidR="008959A4" w:rsidP="008959A4" w:rsidRDefault="008959A4" w14:paraId="158DD7E7" w14:textId="77777777">
      <w:pPr>
        <w:pStyle w:val="ListBullet"/>
        <w:tabs>
          <w:tab w:val="clear" w:pos="360"/>
          <w:tab w:val="num" w:pos="-360"/>
        </w:tabs>
        <w:ind w:left="1080" w:right="1440"/>
      </w:pPr>
      <w:r w:rsidRPr="00831E93">
        <w:rPr>
          <w:b/>
          <w:bCs/>
          <w:u w:val="single"/>
        </w:rPr>
        <w:lastRenderedPageBreak/>
        <w:t>Goal 5</w:t>
      </w:r>
      <w:r w:rsidRPr="004958F9">
        <w:rPr>
          <w:b/>
          <w:bCs/>
        </w:rPr>
        <w:t xml:space="preserve">: </w:t>
      </w:r>
      <w:r w:rsidRPr="00831E93">
        <w:t xml:space="preserve"> Enhance outreach and public participation opportunities for ESJ communities to meaningfully participate in the CPUC’s decision-making process and benefit from CPUC programs. </w:t>
      </w:r>
    </w:p>
    <w:p w:rsidRPr="00831E93" w:rsidR="008959A4" w:rsidP="008959A4" w:rsidRDefault="008959A4" w14:paraId="7DA081D2" w14:textId="77777777">
      <w:pPr>
        <w:pStyle w:val="ListBullet"/>
        <w:tabs>
          <w:tab w:val="clear" w:pos="360"/>
          <w:tab w:val="num" w:pos="-360"/>
        </w:tabs>
        <w:ind w:left="1080" w:right="1440"/>
      </w:pPr>
      <w:r w:rsidRPr="00831E93">
        <w:rPr>
          <w:b/>
          <w:bCs/>
          <w:u w:val="single"/>
        </w:rPr>
        <w:t>Goal 6</w:t>
      </w:r>
      <w:r w:rsidRPr="004958F9">
        <w:rPr>
          <w:b/>
          <w:bCs/>
        </w:rPr>
        <w:t>:</w:t>
      </w:r>
      <w:r w:rsidRPr="004958F9">
        <w:t xml:space="preserve">  </w:t>
      </w:r>
      <w:r w:rsidRPr="00831E93">
        <w:t xml:space="preserve">Enhance enforcement to ensure safety and consumer protection for ESJ communities. </w:t>
      </w:r>
    </w:p>
    <w:p w:rsidRPr="00831E93" w:rsidR="008959A4" w:rsidP="008959A4" w:rsidRDefault="008959A4" w14:paraId="11A16262" w14:textId="77777777">
      <w:pPr>
        <w:pStyle w:val="ListBullet"/>
        <w:tabs>
          <w:tab w:val="clear" w:pos="360"/>
          <w:tab w:val="num" w:pos="-360"/>
        </w:tabs>
        <w:ind w:left="1080" w:right="1440"/>
      </w:pPr>
      <w:r w:rsidRPr="00831E93">
        <w:rPr>
          <w:b/>
          <w:bCs/>
          <w:u w:val="single"/>
        </w:rPr>
        <w:t>Goal 7</w:t>
      </w:r>
      <w:r w:rsidRPr="004958F9">
        <w:rPr>
          <w:b/>
          <w:bCs/>
        </w:rPr>
        <w:t xml:space="preserve">: </w:t>
      </w:r>
      <w:r w:rsidRPr="00831E93">
        <w:t xml:space="preserve"> Promote economic and workforce development opportunities in ESJ communities. </w:t>
      </w:r>
    </w:p>
    <w:p w:rsidRPr="00831E93" w:rsidR="008959A4" w:rsidP="008959A4" w:rsidRDefault="008959A4" w14:paraId="7747FE46" w14:textId="77777777">
      <w:pPr>
        <w:pStyle w:val="ListBullet"/>
        <w:tabs>
          <w:tab w:val="clear" w:pos="360"/>
          <w:tab w:val="num" w:pos="-360"/>
        </w:tabs>
        <w:ind w:left="1080" w:right="1440"/>
      </w:pPr>
      <w:r w:rsidRPr="00831E93">
        <w:rPr>
          <w:b/>
          <w:bCs/>
          <w:u w:val="single"/>
        </w:rPr>
        <w:t>Goal 8</w:t>
      </w:r>
      <w:r w:rsidRPr="004958F9">
        <w:rPr>
          <w:b/>
          <w:bCs/>
        </w:rPr>
        <w:t xml:space="preserve">: </w:t>
      </w:r>
      <w:r w:rsidRPr="00831E93">
        <w:t xml:space="preserve"> Improve training and staff development related to ESJ issues within the CPUC’s jurisdiction. </w:t>
      </w:r>
    </w:p>
    <w:p w:rsidRPr="00831E93" w:rsidR="008959A4" w:rsidP="008959A4" w:rsidRDefault="008959A4" w14:paraId="1FF2B7DF" w14:textId="77777777">
      <w:pPr>
        <w:pStyle w:val="ListBullet"/>
        <w:tabs>
          <w:tab w:val="clear" w:pos="360"/>
          <w:tab w:val="num" w:pos="-360"/>
        </w:tabs>
        <w:ind w:left="1080" w:right="1440"/>
      </w:pPr>
      <w:r w:rsidRPr="00831E93">
        <w:rPr>
          <w:b/>
          <w:bCs/>
          <w:u w:val="single"/>
        </w:rPr>
        <w:t>Goal 9</w:t>
      </w:r>
      <w:r w:rsidRPr="004958F9">
        <w:rPr>
          <w:b/>
          <w:bCs/>
        </w:rPr>
        <w:t xml:space="preserve">: </w:t>
      </w:r>
      <w:r w:rsidRPr="00831E93">
        <w:t xml:space="preserve"> Monitor the CPUC’s ESJ efforts to evaluate how they are achieving their objectives.</w:t>
      </w:r>
    </w:p>
    <w:p w:rsidRPr="00B355D9" w:rsidR="008959A4" w:rsidP="008959A4" w:rsidRDefault="008959A4" w14:paraId="3D84A3FA" w14:textId="77777777">
      <w:pPr>
        <w:pStyle w:val="Standard"/>
        <w:rPr>
          <w:i/>
          <w:iCs/>
        </w:rPr>
      </w:pPr>
      <w:r w:rsidRPr="00410D6C">
        <w:t xml:space="preserve">ESJ communities are </w:t>
      </w:r>
      <w:r>
        <w:t xml:space="preserve">also </w:t>
      </w:r>
      <w:r w:rsidRPr="00410D6C">
        <w:t>identified as those where residents are</w:t>
      </w:r>
      <w:r>
        <w:t xml:space="preserve"> p</w:t>
      </w:r>
      <w:r w:rsidRPr="00410D6C">
        <w:t>redominantly communities of color or low</w:t>
      </w:r>
      <w:r>
        <w:t xml:space="preserve"> </w:t>
      </w:r>
      <w:r w:rsidRPr="00410D6C">
        <w:t>income</w:t>
      </w:r>
      <w:r>
        <w:t>, u</w:t>
      </w:r>
      <w:r w:rsidRPr="00410D6C">
        <w:t>nderrepresented in the policy setting or decision-making process</w:t>
      </w:r>
      <w:r>
        <w:t>, s</w:t>
      </w:r>
      <w:r w:rsidRPr="00410D6C">
        <w:t>ubject to a disproportionate impact from one or more environmental hazards</w:t>
      </w:r>
      <w:r>
        <w:t>, and l</w:t>
      </w:r>
      <w:r w:rsidRPr="00410D6C">
        <w:t xml:space="preserve">ikely to experience disparate implementation of environmental regulations and socio-economic investments in their communities. </w:t>
      </w:r>
      <w:r>
        <w:t xml:space="preserve"> </w:t>
      </w:r>
      <w:r w:rsidRPr="00410D6C">
        <w:t xml:space="preserve">On the ground, </w:t>
      </w:r>
      <w:r>
        <w:t xml:space="preserve">these </w:t>
      </w:r>
      <w:r w:rsidRPr="00410D6C">
        <w:t>targeted communities typically include but are not limited to</w:t>
      </w:r>
      <w:r>
        <w:t>, DACs,</w:t>
      </w:r>
      <w:r>
        <w:rPr>
          <w:rStyle w:val="FootnoteReference"/>
        </w:rPr>
        <w:footnoteReference w:id="259"/>
      </w:r>
      <w:r>
        <w:t xml:space="preserve"> a</w:t>
      </w:r>
      <w:r w:rsidRPr="00410D6C">
        <w:t>ll Tribal lands</w:t>
      </w:r>
      <w:r>
        <w:t>, and l</w:t>
      </w:r>
      <w:r w:rsidRPr="00410D6C">
        <w:t>ow</w:t>
      </w:r>
      <w:r>
        <w:t>-</w:t>
      </w:r>
      <w:r w:rsidRPr="00410D6C">
        <w:t xml:space="preserve">income households </w:t>
      </w:r>
      <w:r>
        <w:t xml:space="preserve">and </w:t>
      </w:r>
      <w:r w:rsidRPr="00410D6C">
        <w:t>census tract</w:t>
      </w:r>
      <w:r>
        <w:t>s.</w:t>
      </w:r>
      <w:r>
        <w:rPr>
          <w:rStyle w:val="FootnoteReference"/>
        </w:rPr>
        <w:footnoteReference w:id="260"/>
      </w:r>
      <w:r>
        <w:t xml:space="preserve">  </w:t>
      </w:r>
    </w:p>
    <w:p w:rsidR="008959A4" w:rsidP="008959A4" w:rsidRDefault="008959A4" w14:paraId="24938FFA" w14:textId="77777777">
      <w:pPr>
        <w:pStyle w:val="Heading2"/>
      </w:pPr>
      <w:bookmarkStart w:name="_Toc82159895" w:id="328"/>
      <w:r>
        <w:t xml:space="preserve">Incorporating ESJ Goals </w:t>
      </w:r>
      <w:r w:rsidRPr="00682805">
        <w:t>and</w:t>
      </w:r>
      <w:r>
        <w:t xml:space="preserve"> Efforts into CARE and ESA</w:t>
      </w:r>
      <w:bookmarkEnd w:id="328"/>
    </w:p>
    <w:p w:rsidR="008959A4" w:rsidP="008959A4" w:rsidRDefault="008959A4" w14:paraId="4C0741B6" w14:textId="77777777">
      <w:pPr>
        <w:pStyle w:val="Standard"/>
      </w:pPr>
      <w:r w:rsidRPr="00CC4B96">
        <w:t xml:space="preserve">As </w:t>
      </w:r>
      <w:r>
        <w:t>CARE and ESA</w:t>
      </w:r>
      <w:r w:rsidRPr="00CC4B96">
        <w:t xml:space="preserve"> </w:t>
      </w:r>
      <w:r>
        <w:t xml:space="preserve">program </w:t>
      </w:r>
      <w:r w:rsidRPr="00CC4B96">
        <w:t xml:space="preserve">eligibility </w:t>
      </w:r>
      <w:r>
        <w:t>is set at or below 200 percent of FPG, most if not all,</w:t>
      </w:r>
      <w:r w:rsidRPr="00CC4B96">
        <w:t xml:space="preserve"> ESA</w:t>
      </w:r>
      <w:r>
        <w:t xml:space="preserve"> and </w:t>
      </w:r>
      <w:r w:rsidRPr="00CC4B96">
        <w:t>CARE participants are part of an ESJ community</w:t>
      </w:r>
      <w:r>
        <w:t>.  Through this proceeding, we</w:t>
      </w:r>
      <w:r w:rsidRPr="00A37BDC">
        <w:t xml:space="preserve"> prioritize actions that improve local air quality, benefit public health, increase climate resiliency </w:t>
      </w:r>
      <w:r>
        <w:t>and</w:t>
      </w:r>
      <w:r w:rsidRPr="00A37BDC">
        <w:t xml:space="preserve"> provide economic benefits within </w:t>
      </w:r>
      <w:r>
        <w:t xml:space="preserve">the </w:t>
      </w:r>
      <w:r w:rsidRPr="00A37BDC">
        <w:t>ESJ communities</w:t>
      </w:r>
      <w:r>
        <w:t xml:space="preserve">.  This decision makes great strides in prioritizing ESJ </w:t>
      </w:r>
      <w:r>
        <w:lastRenderedPageBreak/>
        <w:t>issues and takes actions that advance e</w:t>
      </w:r>
      <w:r w:rsidRPr="00CC736F">
        <w:t xml:space="preserve">quity and policies for </w:t>
      </w:r>
      <w:r>
        <w:t>ESJ c</w:t>
      </w:r>
      <w:r w:rsidRPr="00CC736F">
        <w:t>ommunitie</w:t>
      </w:r>
      <w:r>
        <w:t>s.  Below we outline the efforts directed in this decision that specifically address and further the goals of the Action Plan</w:t>
      </w:r>
      <w:r w:rsidRPr="00CC736F">
        <w:t>.</w:t>
      </w:r>
      <w:r>
        <w:t xml:space="preserve">  </w:t>
      </w:r>
    </w:p>
    <w:p w:rsidR="008959A4" w:rsidP="008959A4" w:rsidRDefault="008959A4" w14:paraId="4D70BF6E" w14:textId="77777777">
      <w:pPr>
        <w:pStyle w:val="ListBullet"/>
        <w:tabs>
          <w:tab w:val="clear" w:pos="360"/>
          <w:tab w:val="num" w:pos="-360"/>
        </w:tabs>
        <w:ind w:left="1080" w:right="1440"/>
      </w:pPr>
      <w:r>
        <w:t xml:space="preserve">Requiring the SMJUs to continue to </w:t>
      </w:r>
      <w:r w:rsidRPr="00627C4C">
        <w:t xml:space="preserve">hold annual </w:t>
      </w:r>
      <w:r>
        <w:t>p</w:t>
      </w:r>
      <w:r w:rsidRPr="00627C4C">
        <w:t xml:space="preserve">ublic </w:t>
      </w:r>
      <w:r>
        <w:t>m</w:t>
      </w:r>
      <w:r w:rsidRPr="00627C4C">
        <w:t>eeting</w:t>
      </w:r>
      <w:r>
        <w:t>s</w:t>
      </w:r>
      <w:r w:rsidRPr="00627C4C">
        <w:t xml:space="preserve"> to discuss </w:t>
      </w:r>
      <w:r>
        <w:t>program progress with community members; Furthers Goal 5.</w:t>
      </w:r>
    </w:p>
    <w:p w:rsidR="008959A4" w:rsidP="008959A4" w:rsidRDefault="008959A4" w14:paraId="796CB068" w14:textId="77777777">
      <w:pPr>
        <w:pStyle w:val="ListBullet"/>
        <w:tabs>
          <w:tab w:val="clear" w:pos="360"/>
          <w:tab w:val="num" w:pos="-360"/>
        </w:tabs>
        <w:spacing w:after="240"/>
        <w:ind w:left="1080" w:right="1440"/>
      </w:pPr>
      <w:r>
        <w:t xml:space="preserve">Prioritizing the below customer segments for outreach, education, and treatment which are inclusive of ESJ community members; Furthers Goal 1. </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0"/>
        <w:gridCol w:w="2700"/>
        <w:gridCol w:w="2610"/>
        <w:gridCol w:w="2700"/>
      </w:tblGrid>
      <w:tr w:rsidR="008959A4" w:rsidTr="00DB56C5" w14:paraId="20EAF1AD" w14:textId="77777777">
        <w:trPr>
          <w:jc w:val="center"/>
        </w:trPr>
        <w:tc>
          <w:tcPr>
            <w:tcW w:w="2070" w:type="dxa"/>
          </w:tcPr>
          <w:p w:rsidR="008959A4" w:rsidP="00717A84" w:rsidRDefault="008959A4" w14:paraId="59B870A1" w14:textId="77777777">
            <w:pPr>
              <w:keepNext/>
              <w:spacing w:afterAutospacing="1"/>
              <w:rPr>
                <w:rFonts w:eastAsia="Garamond" w:cs="Garamond"/>
                <w:b/>
                <w:bCs/>
                <w:szCs w:val="26"/>
              </w:rPr>
            </w:pPr>
            <w:r w:rsidRPr="00EC2CBD">
              <w:rPr>
                <w:rFonts w:eastAsia="Times New Roman"/>
                <w:b/>
                <w:bCs/>
                <w:szCs w:val="26"/>
              </w:rPr>
              <w:t>Demographic</w:t>
            </w:r>
          </w:p>
        </w:tc>
        <w:tc>
          <w:tcPr>
            <w:tcW w:w="2700" w:type="dxa"/>
          </w:tcPr>
          <w:p w:rsidRPr="00014610" w:rsidR="008959A4" w:rsidP="00717A84" w:rsidRDefault="008959A4" w14:paraId="13C5AB3B" w14:textId="77777777">
            <w:pPr>
              <w:keepNext/>
              <w:spacing w:afterAutospacing="1"/>
              <w:rPr>
                <w:rFonts w:eastAsia="Garamond" w:cs="Garamond"/>
                <w:szCs w:val="26"/>
              </w:rPr>
            </w:pPr>
            <w:r>
              <w:rPr>
                <w:rFonts w:eastAsia="Garamond" w:cs="Garamond"/>
                <w:b/>
                <w:bCs/>
                <w:szCs w:val="26"/>
              </w:rPr>
              <w:t xml:space="preserve">By </w:t>
            </w:r>
            <w:r w:rsidRPr="00014610">
              <w:rPr>
                <w:rFonts w:eastAsia="Garamond" w:cs="Garamond"/>
                <w:b/>
                <w:bCs/>
                <w:szCs w:val="26"/>
              </w:rPr>
              <w:t>Financial</w:t>
            </w:r>
            <w:r>
              <w:rPr>
                <w:rFonts w:eastAsia="Garamond" w:cs="Garamond"/>
                <w:b/>
                <w:bCs/>
                <w:szCs w:val="26"/>
              </w:rPr>
              <w:t>s</w:t>
            </w:r>
          </w:p>
        </w:tc>
        <w:tc>
          <w:tcPr>
            <w:tcW w:w="2610" w:type="dxa"/>
          </w:tcPr>
          <w:p w:rsidRPr="00014610" w:rsidR="008959A4" w:rsidP="00717A84" w:rsidRDefault="008959A4" w14:paraId="2146A8A3" w14:textId="77777777">
            <w:pPr>
              <w:keepNext/>
              <w:spacing w:afterAutospacing="1"/>
              <w:rPr>
                <w:rFonts w:eastAsia="Garamond" w:cs="Garamond"/>
                <w:szCs w:val="26"/>
              </w:rPr>
            </w:pPr>
            <w:r>
              <w:rPr>
                <w:rFonts w:eastAsia="Garamond" w:cs="Garamond"/>
                <w:b/>
                <w:bCs/>
                <w:szCs w:val="26"/>
              </w:rPr>
              <w:t xml:space="preserve">By </w:t>
            </w:r>
            <w:r w:rsidRPr="00014610">
              <w:rPr>
                <w:rFonts w:eastAsia="Garamond" w:cs="Garamond"/>
                <w:b/>
                <w:bCs/>
                <w:szCs w:val="26"/>
              </w:rPr>
              <w:t>Location</w:t>
            </w:r>
          </w:p>
        </w:tc>
        <w:tc>
          <w:tcPr>
            <w:tcW w:w="2700" w:type="dxa"/>
          </w:tcPr>
          <w:p w:rsidRPr="00014610" w:rsidR="008959A4" w:rsidP="00717A84" w:rsidRDefault="008959A4" w14:paraId="2EC04384" w14:textId="77777777">
            <w:pPr>
              <w:keepNext/>
              <w:spacing w:afterAutospacing="1"/>
              <w:rPr>
                <w:rFonts w:eastAsia="Garamond" w:cs="Garamond"/>
                <w:szCs w:val="26"/>
              </w:rPr>
            </w:pPr>
            <w:r>
              <w:rPr>
                <w:rFonts w:eastAsia="Garamond" w:cs="Garamond"/>
                <w:b/>
                <w:bCs/>
                <w:szCs w:val="26"/>
              </w:rPr>
              <w:t xml:space="preserve">By </w:t>
            </w:r>
            <w:r w:rsidRPr="00014610">
              <w:rPr>
                <w:rFonts w:eastAsia="Garamond" w:cs="Garamond"/>
                <w:b/>
                <w:bCs/>
                <w:szCs w:val="26"/>
              </w:rPr>
              <w:t>Health Condition</w:t>
            </w:r>
          </w:p>
        </w:tc>
      </w:tr>
      <w:tr w:rsidR="008959A4" w:rsidTr="00DB56C5" w14:paraId="092D5C9D" w14:textId="77777777">
        <w:trPr>
          <w:jc w:val="center"/>
        </w:trPr>
        <w:tc>
          <w:tcPr>
            <w:tcW w:w="2070" w:type="dxa"/>
          </w:tcPr>
          <w:p w:rsidRPr="00014610" w:rsidR="008959A4" w:rsidP="00717A84" w:rsidRDefault="008959A4" w14:paraId="704641B4" w14:textId="77777777">
            <w:pPr>
              <w:keepNext/>
              <w:spacing w:afterAutospacing="1"/>
              <w:rPr>
                <w:rFonts w:eastAsia="Garamond" w:cs="Garamond"/>
                <w:color w:val="000000" w:themeColor="text1"/>
                <w:szCs w:val="26"/>
              </w:rPr>
            </w:pPr>
            <w:r w:rsidRPr="00EC2CBD">
              <w:rPr>
                <w:rFonts w:eastAsia="Times New Roman"/>
                <w:szCs w:val="26"/>
              </w:rPr>
              <w:t>Housing type</w:t>
            </w:r>
          </w:p>
        </w:tc>
        <w:tc>
          <w:tcPr>
            <w:tcW w:w="2700" w:type="dxa"/>
          </w:tcPr>
          <w:p w:rsidRPr="00014610" w:rsidR="008959A4" w:rsidP="00717A84" w:rsidRDefault="008959A4" w14:paraId="525377A6"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CARE</w:t>
            </w:r>
          </w:p>
        </w:tc>
        <w:tc>
          <w:tcPr>
            <w:tcW w:w="2610" w:type="dxa"/>
          </w:tcPr>
          <w:p w:rsidRPr="00014610" w:rsidR="008959A4" w:rsidP="00717A84" w:rsidRDefault="008959A4" w14:paraId="6721EC73"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DAC </w:t>
            </w:r>
          </w:p>
        </w:tc>
        <w:tc>
          <w:tcPr>
            <w:tcW w:w="2700" w:type="dxa"/>
          </w:tcPr>
          <w:p w:rsidRPr="00014610" w:rsidR="008959A4" w:rsidP="00717A84" w:rsidRDefault="008959A4" w14:paraId="1B78ED1E"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Medical Baseline </w:t>
            </w:r>
          </w:p>
        </w:tc>
      </w:tr>
      <w:tr w:rsidR="008959A4" w:rsidTr="00DB56C5" w14:paraId="46C55970" w14:textId="77777777">
        <w:trPr>
          <w:jc w:val="center"/>
        </w:trPr>
        <w:tc>
          <w:tcPr>
            <w:tcW w:w="2070" w:type="dxa"/>
          </w:tcPr>
          <w:p w:rsidRPr="00014610" w:rsidR="008959A4" w:rsidP="00717A84" w:rsidRDefault="008959A4" w14:paraId="2C4695CE" w14:textId="77777777">
            <w:pPr>
              <w:keepNext/>
              <w:spacing w:afterAutospacing="1"/>
              <w:rPr>
                <w:rFonts w:eastAsia="Garamond" w:cs="Garamond"/>
                <w:color w:val="000000" w:themeColor="text1"/>
                <w:szCs w:val="26"/>
              </w:rPr>
            </w:pPr>
            <w:r w:rsidRPr="00EC2CBD">
              <w:rPr>
                <w:rFonts w:eastAsia="Times New Roman"/>
                <w:szCs w:val="26"/>
              </w:rPr>
              <w:t>Rent vs Own</w:t>
            </w:r>
          </w:p>
        </w:tc>
        <w:tc>
          <w:tcPr>
            <w:tcW w:w="2700" w:type="dxa"/>
          </w:tcPr>
          <w:p w:rsidRPr="00014610" w:rsidR="008959A4" w:rsidP="00717A84" w:rsidRDefault="008959A4" w14:paraId="2AEDBE1A"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Disconnected </w:t>
            </w:r>
          </w:p>
        </w:tc>
        <w:tc>
          <w:tcPr>
            <w:tcW w:w="2610" w:type="dxa"/>
          </w:tcPr>
          <w:p w:rsidRPr="00014610" w:rsidR="008959A4" w:rsidP="00717A84" w:rsidRDefault="008959A4" w14:paraId="7DA2C31C"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Rural </w:t>
            </w:r>
          </w:p>
        </w:tc>
        <w:tc>
          <w:tcPr>
            <w:tcW w:w="2700" w:type="dxa"/>
          </w:tcPr>
          <w:p w:rsidRPr="00014610" w:rsidR="008959A4" w:rsidP="00717A84" w:rsidRDefault="008959A4" w14:paraId="6823F6F1"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Respiratory </w:t>
            </w:r>
          </w:p>
        </w:tc>
      </w:tr>
      <w:tr w:rsidR="008959A4" w:rsidTr="00DB56C5" w14:paraId="004BA68A" w14:textId="77777777">
        <w:trPr>
          <w:jc w:val="center"/>
        </w:trPr>
        <w:tc>
          <w:tcPr>
            <w:tcW w:w="2070" w:type="dxa"/>
          </w:tcPr>
          <w:p w:rsidRPr="00014610" w:rsidR="008959A4" w:rsidP="00717A84" w:rsidRDefault="008959A4" w14:paraId="1C04E805" w14:textId="77777777">
            <w:pPr>
              <w:keepNext/>
              <w:spacing w:afterAutospacing="1"/>
              <w:rPr>
                <w:rFonts w:eastAsia="Garamond" w:cs="Garamond"/>
                <w:color w:val="000000" w:themeColor="text1"/>
                <w:szCs w:val="26"/>
              </w:rPr>
            </w:pPr>
            <w:r w:rsidRPr="00EC2CBD">
              <w:rPr>
                <w:rFonts w:eastAsia="Times New Roman"/>
                <w:szCs w:val="26"/>
              </w:rPr>
              <w:t>Previous vs new participant</w:t>
            </w:r>
          </w:p>
        </w:tc>
        <w:tc>
          <w:tcPr>
            <w:tcW w:w="2700" w:type="dxa"/>
          </w:tcPr>
          <w:p w:rsidRPr="00014610" w:rsidR="008959A4" w:rsidP="00717A84" w:rsidRDefault="008959A4" w14:paraId="0345C27D"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Arrearages </w:t>
            </w:r>
          </w:p>
        </w:tc>
        <w:tc>
          <w:tcPr>
            <w:tcW w:w="2610" w:type="dxa"/>
          </w:tcPr>
          <w:p w:rsidRPr="00014610" w:rsidR="008959A4" w:rsidP="00717A84" w:rsidRDefault="008959A4" w14:paraId="2642F181"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Tribal </w:t>
            </w:r>
          </w:p>
        </w:tc>
        <w:tc>
          <w:tcPr>
            <w:tcW w:w="2700" w:type="dxa"/>
          </w:tcPr>
          <w:p w:rsidRPr="00014610" w:rsidR="008959A4" w:rsidP="00717A84" w:rsidRDefault="008959A4" w14:paraId="7137AF44"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Disabled </w:t>
            </w:r>
          </w:p>
        </w:tc>
      </w:tr>
      <w:tr w:rsidR="008959A4" w:rsidTr="00DB56C5" w14:paraId="35E881D7" w14:textId="77777777">
        <w:trPr>
          <w:jc w:val="center"/>
        </w:trPr>
        <w:tc>
          <w:tcPr>
            <w:tcW w:w="2070" w:type="dxa"/>
          </w:tcPr>
          <w:p w:rsidRPr="00014610" w:rsidR="008959A4" w:rsidP="00717A84" w:rsidRDefault="008959A4" w14:paraId="71409FB9" w14:textId="77777777">
            <w:pPr>
              <w:keepNext/>
              <w:spacing w:afterAutospacing="1"/>
              <w:rPr>
                <w:rFonts w:eastAsia="Garamond" w:cs="Garamond"/>
                <w:color w:val="000000" w:themeColor="text1"/>
                <w:szCs w:val="26"/>
              </w:rPr>
            </w:pPr>
            <w:r w:rsidRPr="00EC2CBD">
              <w:rPr>
                <w:rFonts w:eastAsia="Times New Roman"/>
                <w:szCs w:val="26"/>
              </w:rPr>
              <w:t>Seniors</w:t>
            </w:r>
          </w:p>
        </w:tc>
        <w:tc>
          <w:tcPr>
            <w:tcW w:w="2700" w:type="dxa"/>
          </w:tcPr>
          <w:p w:rsidRPr="00014610" w:rsidR="008959A4" w:rsidP="00717A84" w:rsidRDefault="008959A4" w14:paraId="573C60C3"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High usage </w:t>
            </w:r>
          </w:p>
        </w:tc>
        <w:tc>
          <w:tcPr>
            <w:tcW w:w="2610" w:type="dxa"/>
          </w:tcPr>
          <w:p w:rsidRPr="00014610" w:rsidR="008959A4" w:rsidP="00717A84" w:rsidRDefault="008959A4" w14:paraId="4258F7ED"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PSPS Zone </w:t>
            </w:r>
          </w:p>
        </w:tc>
        <w:tc>
          <w:tcPr>
            <w:tcW w:w="2700" w:type="dxa"/>
          </w:tcPr>
          <w:p w:rsidRPr="00014610" w:rsidR="008959A4" w:rsidP="00717A84" w:rsidRDefault="008959A4" w14:paraId="6A2C05D4" w14:textId="77777777">
            <w:pPr>
              <w:keepNext/>
              <w:spacing w:afterAutospacing="1"/>
              <w:rPr>
                <w:rFonts w:eastAsia="Garamond" w:cs="Garamond"/>
                <w:color w:val="000000" w:themeColor="text1"/>
                <w:szCs w:val="26"/>
              </w:rPr>
            </w:pPr>
          </w:p>
        </w:tc>
      </w:tr>
      <w:tr w:rsidR="008959A4" w:rsidTr="00DB56C5" w14:paraId="7969104B" w14:textId="77777777">
        <w:trPr>
          <w:jc w:val="center"/>
        </w:trPr>
        <w:tc>
          <w:tcPr>
            <w:tcW w:w="2070" w:type="dxa"/>
          </w:tcPr>
          <w:p w:rsidRPr="00014610" w:rsidR="008959A4" w:rsidP="00717A84" w:rsidRDefault="008959A4" w14:paraId="33C9D731" w14:textId="77777777">
            <w:pPr>
              <w:keepNext/>
              <w:spacing w:afterAutospacing="1"/>
              <w:rPr>
                <w:rFonts w:eastAsia="Garamond" w:cs="Garamond"/>
                <w:color w:val="000000" w:themeColor="text1"/>
                <w:szCs w:val="26"/>
              </w:rPr>
            </w:pPr>
            <w:r w:rsidRPr="00EC2CBD">
              <w:rPr>
                <w:rFonts w:eastAsia="Times New Roman"/>
                <w:szCs w:val="26"/>
              </w:rPr>
              <w:t>Veterans</w:t>
            </w:r>
          </w:p>
        </w:tc>
        <w:tc>
          <w:tcPr>
            <w:tcW w:w="2700" w:type="dxa"/>
          </w:tcPr>
          <w:p w:rsidRPr="00014610" w:rsidR="008959A4" w:rsidP="00717A84" w:rsidRDefault="008959A4" w14:paraId="61515495"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High energy burden </w:t>
            </w:r>
          </w:p>
        </w:tc>
        <w:tc>
          <w:tcPr>
            <w:tcW w:w="2610" w:type="dxa"/>
          </w:tcPr>
          <w:p w:rsidRPr="00014610" w:rsidR="008959A4" w:rsidP="00717A84" w:rsidRDefault="008959A4" w14:paraId="0826B38C"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Wildfire Zone </w:t>
            </w:r>
          </w:p>
        </w:tc>
        <w:tc>
          <w:tcPr>
            <w:tcW w:w="2700" w:type="dxa"/>
          </w:tcPr>
          <w:p w:rsidRPr="00014610" w:rsidR="008959A4" w:rsidP="00717A84" w:rsidRDefault="008959A4" w14:paraId="4FC2A60D" w14:textId="77777777">
            <w:pPr>
              <w:keepNext/>
              <w:spacing w:afterAutospacing="1"/>
              <w:rPr>
                <w:rFonts w:eastAsia="Garamond" w:cs="Garamond"/>
                <w:color w:val="000000" w:themeColor="text1"/>
                <w:szCs w:val="26"/>
              </w:rPr>
            </w:pPr>
          </w:p>
        </w:tc>
      </w:tr>
      <w:tr w:rsidR="008959A4" w:rsidTr="00DB56C5" w14:paraId="559DCE56" w14:textId="77777777">
        <w:trPr>
          <w:jc w:val="center"/>
        </w:trPr>
        <w:tc>
          <w:tcPr>
            <w:tcW w:w="2070" w:type="dxa"/>
          </w:tcPr>
          <w:p w:rsidRPr="00014610" w:rsidR="008959A4" w:rsidP="00717A84" w:rsidRDefault="008959A4" w14:paraId="4EA309B4" w14:textId="77777777">
            <w:pPr>
              <w:keepNext/>
              <w:spacing w:afterAutospacing="1"/>
              <w:rPr>
                <w:rFonts w:eastAsia="Garamond" w:cs="Garamond"/>
                <w:color w:val="000000" w:themeColor="text1"/>
                <w:szCs w:val="26"/>
              </w:rPr>
            </w:pPr>
            <w:r w:rsidRPr="00EC2CBD">
              <w:rPr>
                <w:rFonts w:eastAsia="Times New Roman"/>
                <w:szCs w:val="26"/>
              </w:rPr>
              <w:t>Hard-to-reach</w:t>
            </w:r>
          </w:p>
        </w:tc>
        <w:tc>
          <w:tcPr>
            <w:tcW w:w="2700" w:type="dxa"/>
          </w:tcPr>
          <w:p w:rsidRPr="00014610" w:rsidR="008959A4" w:rsidP="00717A84" w:rsidRDefault="008959A4" w14:paraId="5FB80CFD"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SEVI </w:t>
            </w:r>
          </w:p>
        </w:tc>
        <w:tc>
          <w:tcPr>
            <w:tcW w:w="2610" w:type="dxa"/>
          </w:tcPr>
          <w:p w:rsidRPr="00014610" w:rsidR="008959A4" w:rsidP="00717A84" w:rsidRDefault="008959A4" w14:paraId="32D73481"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Climate Zone</w:t>
            </w:r>
            <w:r w:rsidRPr="00014610">
              <w:rPr>
                <w:rFonts w:eastAsia="Cambria Math" w:cs="Cambria Math"/>
                <w:color w:val="000000" w:themeColor="text1"/>
                <w:szCs w:val="26"/>
              </w:rPr>
              <w:t> </w:t>
            </w:r>
            <w:r w:rsidRPr="00014610">
              <w:rPr>
                <w:rFonts w:eastAsia="Garamond" w:cs="Garamond"/>
                <w:color w:val="000000" w:themeColor="text1"/>
                <w:szCs w:val="26"/>
              </w:rPr>
              <w:t> </w:t>
            </w:r>
          </w:p>
        </w:tc>
        <w:tc>
          <w:tcPr>
            <w:tcW w:w="2700" w:type="dxa"/>
          </w:tcPr>
          <w:p w:rsidRPr="00014610" w:rsidR="008959A4" w:rsidP="00717A84" w:rsidRDefault="008959A4" w14:paraId="0506169A" w14:textId="77777777">
            <w:pPr>
              <w:keepNext/>
              <w:spacing w:afterAutospacing="1"/>
              <w:rPr>
                <w:rFonts w:eastAsia="Garamond" w:cs="Garamond"/>
                <w:color w:val="000000" w:themeColor="text1"/>
                <w:szCs w:val="26"/>
              </w:rPr>
            </w:pPr>
          </w:p>
        </w:tc>
      </w:tr>
      <w:tr w:rsidR="008959A4" w:rsidTr="00DB56C5" w14:paraId="405823DB" w14:textId="77777777">
        <w:trPr>
          <w:jc w:val="center"/>
        </w:trPr>
        <w:tc>
          <w:tcPr>
            <w:tcW w:w="2070" w:type="dxa"/>
          </w:tcPr>
          <w:p w:rsidRPr="00014610" w:rsidR="008959A4" w:rsidP="00717A84" w:rsidRDefault="008959A4" w14:paraId="2201A285" w14:textId="77777777">
            <w:pPr>
              <w:keepNext/>
              <w:spacing w:afterAutospacing="1"/>
              <w:rPr>
                <w:rFonts w:eastAsia="Garamond" w:cs="Garamond"/>
                <w:color w:val="000000" w:themeColor="text1"/>
                <w:szCs w:val="26"/>
              </w:rPr>
            </w:pPr>
            <w:r w:rsidRPr="00EC2CBD">
              <w:rPr>
                <w:rFonts w:eastAsia="Times New Roman"/>
                <w:szCs w:val="26"/>
              </w:rPr>
              <w:t>Vulnerable</w:t>
            </w:r>
          </w:p>
        </w:tc>
        <w:tc>
          <w:tcPr>
            <w:tcW w:w="2700" w:type="dxa"/>
          </w:tcPr>
          <w:p w:rsidRPr="00014610" w:rsidR="008959A4" w:rsidP="00717A84" w:rsidRDefault="008959A4" w14:paraId="33C483A9"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Affordability Ratio </w:t>
            </w:r>
          </w:p>
        </w:tc>
        <w:tc>
          <w:tcPr>
            <w:tcW w:w="2610" w:type="dxa"/>
          </w:tcPr>
          <w:p w:rsidRPr="00014610" w:rsidR="008959A4" w:rsidP="00717A84" w:rsidRDefault="008959A4" w14:paraId="14FBBED7" w14:textId="77777777">
            <w:pPr>
              <w:keepNext/>
              <w:spacing w:afterAutospacing="1"/>
              <w:rPr>
                <w:rFonts w:eastAsia="Garamond" w:cs="Garamond"/>
                <w:color w:val="000000" w:themeColor="text1"/>
                <w:szCs w:val="26"/>
              </w:rPr>
            </w:pPr>
            <w:r w:rsidRPr="00014610">
              <w:rPr>
                <w:rFonts w:eastAsia="Garamond" w:cs="Garamond"/>
                <w:color w:val="000000" w:themeColor="text1"/>
                <w:szCs w:val="26"/>
              </w:rPr>
              <w:t>CARB communities </w:t>
            </w:r>
          </w:p>
        </w:tc>
        <w:tc>
          <w:tcPr>
            <w:tcW w:w="2700" w:type="dxa"/>
          </w:tcPr>
          <w:p w:rsidRPr="00014610" w:rsidR="008959A4" w:rsidP="00717A84" w:rsidRDefault="008959A4" w14:paraId="18D50CC8" w14:textId="77777777">
            <w:pPr>
              <w:keepNext/>
              <w:spacing w:afterAutospacing="1"/>
              <w:rPr>
                <w:rFonts w:eastAsia="Garamond" w:cs="Garamond"/>
                <w:color w:val="000000" w:themeColor="text1"/>
                <w:szCs w:val="26"/>
              </w:rPr>
            </w:pPr>
          </w:p>
        </w:tc>
      </w:tr>
    </w:tbl>
    <w:p w:rsidRPr="003B2F85" w:rsidR="008959A4" w:rsidP="008959A4" w:rsidRDefault="008959A4" w14:paraId="1064622D" w14:textId="77777777">
      <w:pPr>
        <w:pStyle w:val="ListBullet"/>
        <w:keepNext/>
        <w:numPr>
          <w:ilvl w:val="0"/>
          <w:numId w:val="0"/>
        </w:numPr>
        <w:ind w:left="1080"/>
        <w:rPr>
          <w:sz w:val="12"/>
          <w:szCs w:val="12"/>
        </w:rPr>
      </w:pPr>
    </w:p>
    <w:p w:rsidR="008959A4" w:rsidP="008959A4" w:rsidRDefault="008959A4" w14:paraId="7617151D" w14:textId="77777777">
      <w:pPr>
        <w:pStyle w:val="ListBullet"/>
        <w:tabs>
          <w:tab w:val="clear" w:pos="360"/>
          <w:tab w:val="num" w:pos="-360"/>
        </w:tabs>
        <w:spacing w:after="240"/>
        <w:ind w:left="1080" w:right="1440"/>
      </w:pPr>
      <w:r>
        <w:t>Conditionally approving Liberty’s Electrification pilot that will offer high-usage, income-qualified single-family households in DACs electrification measures at no cost; Furthers Goals 1, 2, 4.</w:t>
      </w:r>
    </w:p>
    <w:p w:rsidRPr="009B5AD9" w:rsidR="008959A4" w:rsidP="008959A4" w:rsidRDefault="008959A4" w14:paraId="6E91DF49" w14:textId="77777777">
      <w:pPr>
        <w:pStyle w:val="Standard"/>
      </w:pPr>
      <w:r>
        <w:t>We are confident that the objectives and actions taken here are necessary and will advance the Commission towards the state’s equity goals</w:t>
      </w:r>
      <w:r w:rsidRPr="00D22F02">
        <w:t>.</w:t>
      </w:r>
      <w:r>
        <w:t xml:space="preserve"> </w:t>
      </w:r>
    </w:p>
    <w:p w:rsidRPr="00F700A1" w:rsidR="008959A4" w:rsidP="008959A4" w:rsidRDefault="008959A4" w14:paraId="6D2FE722" w14:textId="77777777">
      <w:pPr>
        <w:pStyle w:val="Heading1"/>
      </w:pPr>
      <w:bookmarkStart w:name="_Toc82159896" w:id="329"/>
      <w:r>
        <w:t>Reporting</w:t>
      </w:r>
      <w:bookmarkEnd w:id="329"/>
    </w:p>
    <w:p w:rsidR="008959A4" w:rsidP="008959A4" w:rsidRDefault="008959A4" w14:paraId="61C2E7AE" w14:textId="77777777">
      <w:pPr>
        <w:pStyle w:val="Heading2"/>
      </w:pPr>
      <w:bookmarkStart w:name="_Toc82159897" w:id="330"/>
      <w:r>
        <w:t>Background</w:t>
      </w:r>
      <w:bookmarkEnd w:id="330"/>
    </w:p>
    <w:p w:rsidRPr="0005002D" w:rsidR="008959A4" w:rsidP="008959A4" w:rsidRDefault="008959A4" w14:paraId="0D3EE072" w14:textId="4BF2FEF1">
      <w:pPr>
        <w:pStyle w:val="Standard"/>
      </w:pPr>
      <w:r>
        <w:t>Currently the SMJUs file annual reports with the Commission on its CARE and ESA program, holding</w:t>
      </w:r>
      <w:r w:rsidRPr="00684D49">
        <w:t xml:space="preserve"> annual public workshops within 60 days of submission of their low</w:t>
      </w:r>
      <w:r>
        <w:t>-</w:t>
      </w:r>
      <w:r w:rsidRPr="00684D49">
        <w:t xml:space="preserve">income annual reports which are due each year by </w:t>
      </w:r>
      <w:r w:rsidRPr="00684D49">
        <w:lastRenderedPageBreak/>
        <w:t>May</w:t>
      </w:r>
      <w:r>
        <w:t> </w:t>
      </w:r>
      <w:r w:rsidRPr="00684D49">
        <w:t>1</w:t>
      </w:r>
      <w:r>
        <w:t>.</w:t>
      </w:r>
      <w:r>
        <w:rPr>
          <w:rStyle w:val="FootnoteReference"/>
        </w:rPr>
        <w:footnoteReference w:id="261"/>
      </w:r>
      <w:r>
        <w:t xml:space="preserve"> </w:t>
      </w:r>
      <w:r w:rsidR="004E66F8">
        <w:t xml:space="preserve"> </w:t>
      </w:r>
      <w:r>
        <w:t xml:space="preserve">For major program changes including increases </w:t>
      </w:r>
      <w:r w:rsidR="00B92260">
        <w:t xml:space="preserve">in budgets </w:t>
      </w:r>
      <w:r>
        <w:t xml:space="preserve">and changes to goals, the SMJUs would file a petition for modification. </w:t>
      </w:r>
    </w:p>
    <w:p w:rsidR="008959A4" w:rsidP="008959A4" w:rsidRDefault="008959A4" w14:paraId="40352DE9" w14:textId="77777777">
      <w:pPr>
        <w:pStyle w:val="Heading2"/>
      </w:pPr>
      <w:bookmarkStart w:name="_Toc82159898" w:id="331"/>
      <w:r>
        <w:t>Alpine Proposal</w:t>
      </w:r>
      <w:bookmarkEnd w:id="331"/>
      <w:r>
        <w:t xml:space="preserve"> </w:t>
      </w:r>
    </w:p>
    <w:p w:rsidR="008959A4" w:rsidP="008959A4" w:rsidRDefault="008959A4" w14:paraId="532F1BD6" w14:textId="77777777">
      <w:pPr>
        <w:pStyle w:val="ALJBodyText"/>
      </w:pPr>
      <w:r>
        <w:rPr>
          <w:b/>
          <w:bCs/>
          <w:i/>
          <w:iCs/>
          <w:u w:val="single"/>
        </w:rPr>
        <w:t>Program Updates via Annual</w:t>
      </w:r>
      <w:r w:rsidRPr="24DCB1AB">
        <w:rPr>
          <w:b/>
          <w:bCs/>
          <w:i/>
          <w:iCs/>
          <w:u w:val="single"/>
        </w:rPr>
        <w:t xml:space="preserve"> Reports</w:t>
      </w:r>
      <w:r w:rsidRPr="004958F9">
        <w:rPr>
          <w:b/>
          <w:bCs/>
          <w:i/>
          <w:iCs/>
        </w:rPr>
        <w:t>:</w:t>
      </w:r>
      <w:r w:rsidRPr="004958F9">
        <w:t xml:space="preserve">  </w:t>
      </w:r>
      <w:r>
        <w:t>Alpine</w:t>
      </w:r>
      <w:r w:rsidRPr="000264FD">
        <w:t xml:space="preserve"> </w:t>
      </w:r>
      <w:r w:rsidRPr="008113E1">
        <w:t>proposes to track and report minor</w:t>
      </w:r>
      <w:r>
        <w:t xml:space="preserve"> </w:t>
      </w:r>
      <w:r w:rsidRPr="008113E1">
        <w:t>program modifications via the annual program reports</w:t>
      </w:r>
      <w:r>
        <w:t xml:space="preserve">, stating that this </w:t>
      </w:r>
      <w:r w:rsidRPr="008113E1">
        <w:t>flexib</w:t>
      </w:r>
      <w:r>
        <w:t>i</w:t>
      </w:r>
      <w:r w:rsidRPr="008113E1">
        <w:t>l</w:t>
      </w:r>
      <w:r>
        <w:t>ity</w:t>
      </w:r>
      <w:r w:rsidRPr="008113E1">
        <w:t xml:space="preserve"> would allow </w:t>
      </w:r>
      <w:r>
        <w:t>it to be r</w:t>
      </w:r>
      <w:r w:rsidRPr="008113E1">
        <w:t>esponsive to future events and customer needs</w:t>
      </w:r>
      <w:r>
        <w:t xml:space="preserve">, and </w:t>
      </w:r>
      <w:r w:rsidRPr="008113E1">
        <w:t>quickly make necessary program adjustments</w:t>
      </w:r>
      <w:r>
        <w:t xml:space="preserve"> </w:t>
      </w:r>
      <w:r w:rsidRPr="008113E1">
        <w:t>to meet goals within the program</w:t>
      </w:r>
      <w:r w:rsidRPr="00D9364D">
        <w:t>.</w:t>
      </w:r>
      <w:r>
        <w:rPr>
          <w:rStyle w:val="FootnoteReference"/>
        </w:rPr>
        <w:footnoteReference w:id="262"/>
      </w:r>
      <w:r w:rsidRPr="00D9364D">
        <w:t xml:space="preserve"> </w:t>
      </w:r>
    </w:p>
    <w:p w:rsidR="008959A4" w:rsidP="008959A4" w:rsidRDefault="008959A4" w14:paraId="514BB290" w14:textId="77777777">
      <w:pPr>
        <w:pStyle w:val="Heading2"/>
      </w:pPr>
      <w:bookmarkStart w:name="_Toc82159899" w:id="332"/>
      <w:r>
        <w:t>Southwest Gas Proposal</w:t>
      </w:r>
      <w:bookmarkEnd w:id="332"/>
      <w:r>
        <w:t xml:space="preserve"> </w:t>
      </w:r>
    </w:p>
    <w:p w:rsidRPr="000264FD" w:rsidR="008959A4" w:rsidP="008959A4" w:rsidRDefault="008959A4" w14:paraId="600E25A3" w14:textId="77777777">
      <w:pPr>
        <w:pStyle w:val="ALJBodyText"/>
      </w:pPr>
      <w:r>
        <w:rPr>
          <w:b/>
          <w:bCs/>
          <w:i/>
          <w:iCs/>
          <w:u w:val="single"/>
        </w:rPr>
        <w:t>Program Updates via Annual</w:t>
      </w:r>
      <w:r w:rsidRPr="24DCB1AB">
        <w:rPr>
          <w:b/>
          <w:bCs/>
          <w:i/>
          <w:iCs/>
          <w:u w:val="single"/>
        </w:rPr>
        <w:t xml:space="preserve"> Reports</w:t>
      </w:r>
      <w:r w:rsidRPr="004958F9">
        <w:rPr>
          <w:b/>
          <w:bCs/>
          <w:i/>
          <w:iCs/>
        </w:rPr>
        <w:t>:</w:t>
      </w:r>
      <w:r w:rsidRPr="004958F9">
        <w:t xml:space="preserve">  </w:t>
      </w:r>
      <w:r w:rsidRPr="008113E1">
        <w:t>Southwest Gas proposes to track and report minor</w:t>
      </w:r>
      <w:r>
        <w:t xml:space="preserve"> </w:t>
      </w:r>
      <w:r w:rsidRPr="008113E1">
        <w:t>program modifications via the annual program reports</w:t>
      </w:r>
      <w:r>
        <w:t xml:space="preserve">, including </w:t>
      </w:r>
      <w:r w:rsidRPr="008113E1">
        <w:t>adding or removing ESA measures and fund shifting</w:t>
      </w:r>
      <w:r>
        <w:t xml:space="preserve"> </w:t>
      </w:r>
      <w:r w:rsidRPr="008113E1">
        <w:t xml:space="preserve">between program categories, when needed. </w:t>
      </w:r>
      <w:r>
        <w:t xml:space="preserve"> Southwest Gas states that the C</w:t>
      </w:r>
      <w:r w:rsidRPr="008113E1">
        <w:t>ommission has allowed for</w:t>
      </w:r>
      <w:r>
        <w:t xml:space="preserve"> </w:t>
      </w:r>
      <w:r w:rsidRPr="008113E1">
        <w:t xml:space="preserve">implementation of minor program changes in the </w:t>
      </w:r>
      <w:r>
        <w:t>mainstream e</w:t>
      </w:r>
      <w:r w:rsidRPr="008113E1">
        <w:t xml:space="preserve">nergy </w:t>
      </w:r>
      <w:r>
        <w:t>e</w:t>
      </w:r>
      <w:r w:rsidRPr="008113E1">
        <w:t>fficiency proceeding without</w:t>
      </w:r>
      <w:r>
        <w:t xml:space="preserve"> a</w:t>
      </w:r>
      <w:r w:rsidRPr="008113E1">
        <w:t xml:space="preserve">dvice </w:t>
      </w:r>
      <w:r>
        <w:t>l</w:t>
      </w:r>
      <w:r w:rsidRPr="008113E1">
        <w:t xml:space="preserve">etter requirements. </w:t>
      </w:r>
      <w:r>
        <w:t xml:space="preserve"> Southwest Gas states that this </w:t>
      </w:r>
      <w:r w:rsidRPr="008113E1">
        <w:t>flexib</w:t>
      </w:r>
      <w:r>
        <w:t>ility</w:t>
      </w:r>
      <w:r w:rsidRPr="008113E1">
        <w:t xml:space="preserve"> would allow </w:t>
      </w:r>
      <w:r>
        <w:t>it to be</w:t>
      </w:r>
      <w:r w:rsidRPr="008113E1">
        <w:t xml:space="preserve"> nimble</w:t>
      </w:r>
      <w:r>
        <w:t>, r</w:t>
      </w:r>
      <w:r w:rsidRPr="008113E1">
        <w:t>esponsive to future events and customer needs</w:t>
      </w:r>
      <w:r>
        <w:t xml:space="preserve">, </w:t>
      </w:r>
      <w:r w:rsidRPr="008113E1">
        <w:t>quickly make necessary program adjustments</w:t>
      </w:r>
      <w:r>
        <w:t xml:space="preserve"> </w:t>
      </w:r>
      <w:r w:rsidRPr="008113E1">
        <w:t>to meet goals within the program</w:t>
      </w:r>
      <w:r w:rsidRPr="000264FD">
        <w:t>.</w:t>
      </w:r>
      <w:r w:rsidRPr="000264FD">
        <w:rPr>
          <w:vertAlign w:val="superscript"/>
        </w:rPr>
        <w:footnoteReference w:id="263"/>
      </w:r>
      <w:r>
        <w:t xml:space="preserve">  </w:t>
      </w:r>
    </w:p>
    <w:p w:rsidR="008959A4" w:rsidP="008959A4" w:rsidRDefault="008959A4" w14:paraId="19C6CA90" w14:textId="77777777">
      <w:pPr>
        <w:pStyle w:val="Heading2"/>
      </w:pPr>
      <w:bookmarkStart w:name="_Toc82159900" w:id="333"/>
      <w:r>
        <w:t>EEC &amp; Free Energy Proposal</w:t>
      </w:r>
      <w:bookmarkEnd w:id="333"/>
    </w:p>
    <w:p w:rsidRPr="00A1366F" w:rsidR="008959A4" w:rsidP="008959A4" w:rsidRDefault="008959A4" w14:paraId="7A55C2D0" w14:textId="77777777">
      <w:pPr>
        <w:pStyle w:val="Standard"/>
      </w:pPr>
      <w:r>
        <w:rPr>
          <w:b/>
          <w:bCs/>
          <w:i/>
          <w:iCs/>
          <w:u w:val="single"/>
        </w:rPr>
        <w:t>Monthly Reporting</w:t>
      </w:r>
      <w:r w:rsidRPr="000E485A">
        <w:rPr>
          <w:b/>
          <w:bCs/>
          <w:i/>
          <w:iCs/>
        </w:rPr>
        <w:t>:</w:t>
      </w:r>
      <w:r w:rsidRPr="000E485A">
        <w:t xml:space="preserve">  </w:t>
      </w:r>
      <w:r>
        <w:t xml:space="preserve">EEC and Free Energy recommend that the SMJUs be required to report monthly on </w:t>
      </w:r>
      <w:r w:rsidRPr="00DA3D56">
        <w:t>their progress during the year and</w:t>
      </w:r>
      <w:r>
        <w:t xml:space="preserve"> </w:t>
      </w:r>
      <w:r w:rsidRPr="00DA3D56">
        <w:t>not wait until the following May to publicly reveal the program's status.</w:t>
      </w:r>
      <w:r>
        <w:rPr>
          <w:rStyle w:val="FootnoteReference"/>
        </w:rPr>
        <w:footnoteReference w:id="264"/>
      </w:r>
    </w:p>
    <w:p w:rsidR="008959A4" w:rsidP="008959A4" w:rsidRDefault="008959A4" w14:paraId="471F90DC" w14:textId="77777777">
      <w:pPr>
        <w:pStyle w:val="Heading2"/>
      </w:pPr>
      <w:bookmarkStart w:name="_Toc82159901" w:id="334"/>
      <w:r>
        <w:lastRenderedPageBreak/>
        <w:t>Southwest Gas</w:t>
      </w:r>
      <w:r w:rsidRPr="00D03E26">
        <w:t>, P</w:t>
      </w:r>
      <w:r>
        <w:t>acifiCorp</w:t>
      </w:r>
      <w:r w:rsidRPr="00D03E26">
        <w:t>, L</w:t>
      </w:r>
      <w:r>
        <w:t>iberty</w:t>
      </w:r>
      <w:r w:rsidRPr="00D03E26">
        <w:t xml:space="preserve">, </w:t>
      </w:r>
      <w:r>
        <w:br/>
      </w:r>
      <w:r w:rsidRPr="00D03E26">
        <w:t>B</w:t>
      </w:r>
      <w:r>
        <w:t>ear Valley (Joint SMJUs) Response</w:t>
      </w:r>
      <w:bookmarkEnd w:id="334"/>
    </w:p>
    <w:p w:rsidR="008959A4" w:rsidP="008959A4" w:rsidRDefault="008959A4" w14:paraId="210525F6" w14:textId="77777777">
      <w:pPr>
        <w:pStyle w:val="Standard"/>
      </w:pPr>
      <w:r>
        <w:rPr>
          <w:b/>
          <w:bCs/>
          <w:i/>
          <w:iCs/>
          <w:u w:val="single"/>
        </w:rPr>
        <w:t>Monthly Reporting</w:t>
      </w:r>
      <w:r w:rsidRPr="004958F9">
        <w:rPr>
          <w:b/>
          <w:bCs/>
          <w:i/>
          <w:iCs/>
        </w:rPr>
        <w:t xml:space="preserve">: </w:t>
      </w:r>
      <w:r>
        <w:t xml:space="preserve"> The Joint SMJUs oppose EEC and Free Energy’s </w:t>
      </w:r>
      <w:r w:rsidRPr="00F22142">
        <w:t xml:space="preserve">recommendation </w:t>
      </w:r>
      <w:r>
        <w:t xml:space="preserve">to </w:t>
      </w:r>
      <w:r w:rsidRPr="00F22142">
        <w:t>impose an interim progress</w:t>
      </w:r>
      <w:r>
        <w:t xml:space="preserve">/monthly </w:t>
      </w:r>
      <w:r w:rsidRPr="00F22142">
        <w:t>reporting requirement</w:t>
      </w:r>
      <w:r>
        <w:t xml:space="preserve">s because this would require the </w:t>
      </w:r>
      <w:r w:rsidRPr="00F22142">
        <w:t xml:space="preserve">SMJUs </w:t>
      </w:r>
      <w:r>
        <w:t>t</w:t>
      </w:r>
      <w:r w:rsidRPr="00F22142">
        <w:t>o implement various system</w:t>
      </w:r>
      <w:r>
        <w:t xml:space="preserve"> </w:t>
      </w:r>
      <w:r w:rsidRPr="00F22142">
        <w:t>improvements</w:t>
      </w:r>
      <w:r>
        <w:t xml:space="preserve">, </w:t>
      </w:r>
      <w:r w:rsidRPr="00F22142">
        <w:t xml:space="preserve">require additional resources </w:t>
      </w:r>
      <w:r>
        <w:t xml:space="preserve">that they do not have, and is </w:t>
      </w:r>
      <w:r w:rsidRPr="00F22142">
        <w:t>neither warranted or</w:t>
      </w:r>
      <w:r>
        <w:t xml:space="preserve"> </w:t>
      </w:r>
      <w:r w:rsidRPr="00F22142">
        <w:t>practicable as it would increase costs and stretch already limited resources for no discernable</w:t>
      </w:r>
      <w:r>
        <w:t xml:space="preserve"> </w:t>
      </w:r>
      <w:r w:rsidRPr="00F22142">
        <w:t>benefit.</w:t>
      </w:r>
      <w:r>
        <w:rPr>
          <w:rStyle w:val="FootnoteReference"/>
        </w:rPr>
        <w:footnoteReference w:id="265"/>
      </w:r>
    </w:p>
    <w:p w:rsidR="008959A4" w:rsidP="008959A4" w:rsidRDefault="008959A4" w14:paraId="5D8E0045" w14:textId="77777777">
      <w:pPr>
        <w:pStyle w:val="Heading2"/>
      </w:pPr>
      <w:bookmarkStart w:name="_Toc82159902" w:id="335"/>
      <w:r>
        <w:t>Discussion</w:t>
      </w:r>
      <w:bookmarkEnd w:id="335"/>
    </w:p>
    <w:p w:rsidR="008959A4" w:rsidP="008959A4" w:rsidRDefault="008959A4" w14:paraId="2BAD2FDC" w14:textId="77777777">
      <w:pPr>
        <w:pStyle w:val="Heading3"/>
        <w:rPr>
          <w:u w:val="single"/>
        </w:rPr>
      </w:pPr>
      <w:bookmarkStart w:name="_Toc82159903" w:id="336"/>
      <w:r w:rsidRPr="009B2427">
        <w:t>Program Updates via Annual Reports:</w:t>
      </w:r>
      <w:r>
        <w:t xml:space="preserve"> </w:t>
      </w:r>
      <w:r>
        <w:br/>
      </w:r>
      <w:r w:rsidRPr="009B2427">
        <w:rPr>
          <w:u w:val="single"/>
        </w:rPr>
        <w:t>Approved</w:t>
      </w:r>
      <w:r>
        <w:rPr>
          <w:u w:val="single"/>
        </w:rPr>
        <w:t xml:space="preserve"> with Modifications</w:t>
      </w:r>
      <w:bookmarkEnd w:id="336"/>
    </w:p>
    <w:p w:rsidR="008959A4" w:rsidP="008959A4" w:rsidRDefault="008959A4" w14:paraId="2E11C7C4" w14:textId="4B7FC43F">
      <w:pPr>
        <w:pStyle w:val="ALJBodyText"/>
        <w:rPr>
          <w:rFonts w:eastAsiaTheme="minorEastAsia"/>
        </w:rPr>
      </w:pPr>
      <w:r>
        <w:t xml:space="preserve">We agree with the SMJUs’ proposals to simplify the process to make program and measure adjustments by approving the use of reports, in lieu of advice letters, for program manual and measure updates.  We direct the SMJUs to follow a process of first, discussing the revisions with stakeholders, to receive stakeholder feedback per the suggestion of EEC, and second, submitting for notification to the proceeding’s service list.  This process is efficient and will result in less regulatory burden. </w:t>
      </w:r>
      <w:r w:rsidRPr="4FC83D76">
        <w:rPr>
          <w:rFonts w:eastAsiaTheme="minorEastAsia"/>
        </w:rPr>
        <w:t xml:space="preserve"> </w:t>
      </w:r>
      <w:r>
        <w:rPr>
          <w:rFonts w:eastAsiaTheme="minorEastAsia"/>
        </w:rPr>
        <w:t>However, the n</w:t>
      </w:r>
      <w:r w:rsidRPr="4FC83D76">
        <w:rPr>
          <w:rFonts w:eastAsiaTheme="minorEastAsia"/>
        </w:rPr>
        <w:t>otification of these changes</w:t>
      </w:r>
      <w:r>
        <w:rPr>
          <w:rFonts w:eastAsiaTheme="minorEastAsia"/>
        </w:rPr>
        <w:t xml:space="preserve"> will be via quarterly</w:t>
      </w:r>
      <w:r w:rsidRPr="4FC83D76">
        <w:rPr>
          <w:rFonts w:eastAsiaTheme="minorEastAsia"/>
        </w:rPr>
        <w:t xml:space="preserve"> reports</w:t>
      </w:r>
      <w:r>
        <w:rPr>
          <w:rFonts w:eastAsiaTheme="minorEastAsia"/>
        </w:rPr>
        <w:t xml:space="preserve">, as opposed to the annual reports proposed by the SMJUs and </w:t>
      </w:r>
      <w:r w:rsidRPr="4FC83D76">
        <w:rPr>
          <w:rFonts w:eastAsiaTheme="minorEastAsia"/>
        </w:rPr>
        <w:t xml:space="preserve">will be </w:t>
      </w:r>
      <w:r>
        <w:rPr>
          <w:rFonts w:eastAsiaTheme="minorEastAsia"/>
        </w:rPr>
        <w:t xml:space="preserve">made </w:t>
      </w:r>
      <w:r w:rsidRPr="4FC83D76">
        <w:rPr>
          <w:rFonts w:eastAsiaTheme="minorEastAsia"/>
        </w:rPr>
        <w:t xml:space="preserve">available for the public’s reference through the service list, Commission docket, and </w:t>
      </w:r>
      <w:r>
        <w:rPr>
          <w:rFonts w:eastAsiaTheme="minorEastAsia"/>
        </w:rPr>
        <w:t>the LIOB</w:t>
      </w:r>
      <w:r w:rsidRPr="4FC83D76">
        <w:rPr>
          <w:rFonts w:eastAsiaTheme="minorEastAsia"/>
        </w:rPr>
        <w:t xml:space="preserve"> website. </w:t>
      </w:r>
      <w:r>
        <w:rPr>
          <w:rFonts w:eastAsiaTheme="minorEastAsia"/>
        </w:rPr>
        <w:t xml:space="preserve"> </w:t>
      </w:r>
      <w:r w:rsidRPr="4FC83D76">
        <w:rPr>
          <w:rFonts w:eastAsiaTheme="minorEastAsia"/>
        </w:rPr>
        <w:t xml:space="preserve">We reiterate that program revisions cannot result in any changes to program goals, </w:t>
      </w:r>
      <w:r w:rsidR="003E7A52">
        <w:rPr>
          <w:rFonts w:eastAsiaTheme="minorEastAsia"/>
        </w:rPr>
        <w:t>increases in</w:t>
      </w:r>
      <w:r w:rsidRPr="4FC83D76">
        <w:rPr>
          <w:rFonts w:eastAsiaTheme="minorEastAsia"/>
        </w:rPr>
        <w:t xml:space="preserve"> approved budgets, or adverse impacts to cost-effectiveness results per the guidelines.</w:t>
      </w:r>
      <w:r>
        <w:rPr>
          <w:rFonts w:eastAsiaTheme="minorEastAsia"/>
        </w:rPr>
        <w:t xml:space="preserve"> </w:t>
      </w:r>
      <w:r w:rsidRPr="4FC83D76">
        <w:rPr>
          <w:rFonts w:eastAsiaTheme="minorEastAsia"/>
        </w:rPr>
        <w:t xml:space="preserve"> </w:t>
      </w:r>
      <w:r>
        <w:rPr>
          <w:rFonts w:eastAsiaTheme="minorEastAsia"/>
        </w:rPr>
        <w:t>A</w:t>
      </w:r>
      <w:r w:rsidRPr="4FC83D76">
        <w:rPr>
          <w:rFonts w:eastAsiaTheme="minorEastAsia"/>
        </w:rPr>
        <w:t xml:space="preserve">ny changes </w:t>
      </w:r>
      <w:r>
        <w:rPr>
          <w:rFonts w:eastAsiaTheme="minorEastAsia"/>
        </w:rPr>
        <w:t xml:space="preserve">resulting in the lowering the </w:t>
      </w:r>
      <w:r w:rsidRPr="4FC83D76">
        <w:rPr>
          <w:rFonts w:eastAsiaTheme="minorEastAsia"/>
        </w:rPr>
        <w:t xml:space="preserve">goals, </w:t>
      </w:r>
      <w:r>
        <w:rPr>
          <w:rFonts w:eastAsiaTheme="minorEastAsia"/>
        </w:rPr>
        <w:t xml:space="preserve">increase in authorized </w:t>
      </w:r>
      <w:r w:rsidRPr="4FC83D76">
        <w:rPr>
          <w:rFonts w:eastAsiaTheme="minorEastAsia"/>
        </w:rPr>
        <w:t xml:space="preserve">budgets, or </w:t>
      </w:r>
      <w:r>
        <w:rPr>
          <w:rFonts w:eastAsiaTheme="minorEastAsia"/>
        </w:rPr>
        <w:t xml:space="preserve">modifications to </w:t>
      </w:r>
      <w:r w:rsidRPr="4FC83D76">
        <w:rPr>
          <w:rFonts w:eastAsiaTheme="minorEastAsia"/>
        </w:rPr>
        <w:t xml:space="preserve">directives related to program design outlined in this decision </w:t>
      </w:r>
      <w:r w:rsidRPr="4FC83D76">
        <w:rPr>
          <w:rFonts w:eastAsiaTheme="minorEastAsia"/>
        </w:rPr>
        <w:lastRenderedPageBreak/>
        <w:t xml:space="preserve">will require </w:t>
      </w:r>
      <w:r>
        <w:rPr>
          <w:rFonts w:eastAsiaTheme="minorEastAsia"/>
        </w:rPr>
        <w:t xml:space="preserve">a </w:t>
      </w:r>
      <w:r w:rsidRPr="4FC83D76">
        <w:rPr>
          <w:rFonts w:eastAsiaTheme="minorEastAsia"/>
        </w:rPr>
        <w:t>petition for modification</w:t>
      </w:r>
      <w:r w:rsidR="005F7402">
        <w:rPr>
          <w:rFonts w:eastAsiaTheme="minorEastAsia"/>
        </w:rPr>
        <w:t xml:space="preserve">, </w:t>
      </w:r>
      <w:r w:rsidR="007600FC">
        <w:rPr>
          <w:rFonts w:cstheme="minorBidi"/>
          <w:szCs w:val="22"/>
        </w:rPr>
        <w:t xml:space="preserve">with an </w:t>
      </w:r>
      <w:r w:rsidR="005140FD">
        <w:rPr>
          <w:rFonts w:cstheme="minorBidi"/>
          <w:szCs w:val="22"/>
        </w:rPr>
        <w:t>exception</w:t>
      </w:r>
      <w:r w:rsidR="007600FC">
        <w:rPr>
          <w:rFonts w:cstheme="minorBidi"/>
          <w:szCs w:val="22"/>
        </w:rPr>
        <w:t xml:space="preserve"> for i</w:t>
      </w:r>
      <w:r w:rsidR="007600FC">
        <w:rPr>
          <w:rFonts w:eastAsiaTheme="minorEastAsia"/>
        </w:rPr>
        <w:t>ncreases to the CARE program subsidy budgets</w:t>
      </w:r>
      <w:r w:rsidRPr="00607A0E" w:rsidR="00607A0E">
        <w:rPr>
          <w:color w:val="FF0000"/>
        </w:rPr>
        <w:t xml:space="preserve"> </w:t>
      </w:r>
      <w:r w:rsidRPr="00BC48EE" w:rsidR="00607A0E">
        <w:rPr>
          <w:rFonts w:cstheme="minorBidi"/>
          <w:szCs w:val="22"/>
        </w:rPr>
        <w:t>which should be handled through the two-way structure of the CARE balancing account</w:t>
      </w:r>
      <w:r w:rsidRPr="00E9163D" w:rsidR="00E9163D">
        <w:rPr>
          <w:rFonts w:eastAsiaTheme="minorEastAsia"/>
        </w:rPr>
        <w:t>.</w:t>
      </w:r>
      <w:r w:rsidR="004F1937">
        <w:rPr>
          <w:rFonts w:eastAsiaTheme="minorEastAsia"/>
        </w:rPr>
        <w:t xml:space="preserve"> </w:t>
      </w:r>
    </w:p>
    <w:p w:rsidR="008959A4" w:rsidP="008959A4" w:rsidRDefault="008959A4" w14:paraId="7B29708F" w14:textId="77777777">
      <w:pPr>
        <w:pStyle w:val="Heading3"/>
      </w:pPr>
      <w:bookmarkStart w:name="_Toc82159904" w:id="337"/>
      <w:r>
        <w:t xml:space="preserve">Mid Cycle Review:  </w:t>
      </w:r>
      <w:r w:rsidRPr="00333B02">
        <w:rPr>
          <w:u w:val="single"/>
        </w:rPr>
        <w:t>New</w:t>
      </w:r>
      <w:bookmarkEnd w:id="337"/>
    </w:p>
    <w:p w:rsidRPr="00333B02" w:rsidR="008959A4" w:rsidP="008959A4" w:rsidRDefault="008959A4" w14:paraId="7FD00D4A" w14:textId="77777777">
      <w:pPr>
        <w:pStyle w:val="Standard"/>
        <w:keepNext/>
      </w:pPr>
      <w:r w:rsidRPr="00333B02">
        <w:rPr>
          <w:i/>
          <w:iCs/>
        </w:rPr>
        <w:t>See</w:t>
      </w:r>
      <w:r>
        <w:t xml:space="preserve"> Section 5.3.9.8.</w:t>
      </w:r>
    </w:p>
    <w:p w:rsidR="008959A4" w:rsidP="008959A4" w:rsidRDefault="008959A4" w14:paraId="6B9ACD16" w14:textId="26450273">
      <w:pPr>
        <w:pStyle w:val="Heading3"/>
      </w:pPr>
      <w:bookmarkStart w:name="_Toc82159905" w:id="338"/>
      <w:r w:rsidRPr="009B2427">
        <w:t>Monthly Reporting:</w:t>
      </w:r>
      <w:r>
        <w:t xml:space="preserve"> </w:t>
      </w:r>
      <w:r w:rsidR="004E66F8">
        <w:t xml:space="preserve"> </w:t>
      </w:r>
      <w:r w:rsidRPr="00F42D56">
        <w:rPr>
          <w:u w:val="single"/>
        </w:rPr>
        <w:t xml:space="preserve">Denied but Replaced </w:t>
      </w:r>
      <w:r w:rsidRPr="00F42D56">
        <w:rPr>
          <w:u w:val="single"/>
        </w:rPr>
        <w:br/>
        <w:t>with Quarterly Reporting</w:t>
      </w:r>
      <w:bookmarkEnd w:id="338"/>
    </w:p>
    <w:p w:rsidRPr="009C261A" w:rsidR="008959A4" w:rsidP="008959A4" w:rsidRDefault="008959A4" w14:paraId="2CBAB2EA" w14:textId="77777777">
      <w:pPr>
        <w:pStyle w:val="Standard"/>
        <w:rPr>
          <w:rFonts w:ascii="Garamond" w:hAnsi="Garamond" w:eastAsia="Garamond" w:cs="Garamond"/>
        </w:rPr>
      </w:pPr>
      <w:r>
        <w:t xml:space="preserve">We deny EEC and Free Energy’s proposal to implement monthly reporting as we feel that this requirement would be too burdensome for the SMJUs’ much smaller service areas and program management staff.  However, we agree with EEC and Free Energy that more frequent updates would be beneficial rather than having to </w:t>
      </w:r>
      <w:r w:rsidRPr="00DA3D56">
        <w:t xml:space="preserve">wait until the following May to </w:t>
      </w:r>
      <w:r>
        <w:t>see if the SMJUs are on track and making sufficient progress.  Therefore, we direct the SMJUs to submit quarterly reports on their CARE and ESA programs to the relevant service lists in addition to the annual reports.  These reports will be due on the 21</w:t>
      </w:r>
      <w:r w:rsidRPr="00C448FF">
        <w:rPr>
          <w:vertAlign w:val="superscript"/>
        </w:rPr>
        <w:t>st</w:t>
      </w:r>
      <w:r>
        <w:t xml:space="preserve"> of the month following the end of a quarter (for example, the 1</w:t>
      </w:r>
      <w:r w:rsidRPr="00C448FF">
        <w:rPr>
          <w:vertAlign w:val="superscript"/>
        </w:rPr>
        <w:t>st</w:t>
      </w:r>
      <w:r>
        <w:t xml:space="preserve"> Quarterly report will be due on April 21</w:t>
      </w:r>
      <w:r w:rsidRPr="00C448FF">
        <w:rPr>
          <w:vertAlign w:val="superscript"/>
        </w:rPr>
        <w:t>st</w:t>
      </w:r>
      <w:r>
        <w:t xml:space="preserve"> covering January through March).  The content of these quarterly reports will not be as detailed as the SMJU Annual Reports, but will require updates on budgets, enrollment, treatments, and other categories of reporting currently tracked by the SMJUs for the ESA and CARE programs.  Energy Division staff will work with the SMJUs to develop and update the reporting template with quarterly reports to be submitted starting in PY 2022. </w:t>
      </w:r>
    </w:p>
    <w:p w:rsidR="008959A4" w:rsidP="008959A4" w:rsidRDefault="008959A4" w14:paraId="116E8078" w14:textId="66660E43">
      <w:pPr>
        <w:pStyle w:val="Heading3"/>
        <w:rPr>
          <w:u w:val="single"/>
        </w:rPr>
      </w:pPr>
      <w:bookmarkStart w:name="_Toc82159906" w:id="339"/>
      <w:r>
        <w:t xml:space="preserve">Updating the Policy and </w:t>
      </w:r>
      <w:r w:rsidR="004E66F8">
        <w:br/>
      </w:r>
      <w:r>
        <w:t>Procedures Manual</w:t>
      </w:r>
      <w:r w:rsidRPr="009B2427">
        <w:t>:</w:t>
      </w:r>
      <w:r w:rsidR="004E66F8">
        <w:t xml:space="preserve"> </w:t>
      </w:r>
      <w:r>
        <w:t xml:space="preserve"> </w:t>
      </w:r>
      <w:r w:rsidRPr="000967C5">
        <w:rPr>
          <w:u w:val="single"/>
        </w:rPr>
        <w:t>New</w:t>
      </w:r>
      <w:bookmarkEnd w:id="339"/>
    </w:p>
    <w:p w:rsidRPr="008602C5" w:rsidR="008959A4" w:rsidP="008959A4" w:rsidRDefault="008959A4" w14:paraId="57433DAE" w14:textId="77777777">
      <w:pPr>
        <w:pStyle w:val="Standard"/>
      </w:pPr>
      <w:r w:rsidRPr="00CD1510">
        <w:t xml:space="preserve">The ESA Statewide </w:t>
      </w:r>
      <w:r>
        <w:t xml:space="preserve">P&amp;P Manual </w:t>
      </w:r>
      <w:r w:rsidRPr="00CD1510">
        <w:t xml:space="preserve">is a single repository for ESA program policy and procedure content. </w:t>
      </w:r>
      <w:r>
        <w:t xml:space="preserve"> </w:t>
      </w:r>
      <w:r w:rsidRPr="00CD1510">
        <w:t xml:space="preserve">The Commission intends that the manual reflect the most recent governing Commission decisions authorizing ESA program </w:t>
      </w:r>
      <w:r w:rsidRPr="00CD1510">
        <w:lastRenderedPageBreak/>
        <w:t>budgets, measures, and policy updates.</w:t>
      </w:r>
      <w:r>
        <w:t xml:space="preserve">  </w:t>
      </w:r>
      <w:r w:rsidRPr="003B3C3E">
        <w:t xml:space="preserve">We direct the SMJUs to continue to make all good faith and reasonable efforts to comply with Statewide </w:t>
      </w:r>
      <w:r>
        <w:t>P&amp;P</w:t>
      </w:r>
      <w:r w:rsidRPr="003B3C3E">
        <w:t xml:space="preserve"> and Installation Standards Manuals updates, to the extent practicable</w:t>
      </w:r>
      <w:r>
        <w:t>.  Taking the example from previous SMJU ESA decisions, we direct</w:t>
      </w:r>
      <w:r w:rsidRPr="005E0170">
        <w:t xml:space="preserve"> the SMJU with the largest </w:t>
      </w:r>
      <w:r>
        <w:t>2021-2026</w:t>
      </w:r>
      <w:r w:rsidRPr="005E0170">
        <w:t xml:space="preserve"> ESA </w:t>
      </w:r>
      <w:r>
        <w:t>p</w:t>
      </w:r>
      <w:r w:rsidRPr="005E0170">
        <w:t xml:space="preserve">rogram budget to fund updating the ESA Statewide </w:t>
      </w:r>
      <w:r>
        <w:t>P&amp;P</w:t>
      </w:r>
      <w:r w:rsidRPr="005E0170">
        <w:t xml:space="preserve"> and Installation Standards Manual</w:t>
      </w:r>
      <w:r>
        <w:t>.</w:t>
      </w:r>
      <w:r>
        <w:rPr>
          <w:rStyle w:val="FootnoteReference"/>
        </w:rPr>
        <w:footnoteReference w:id="266"/>
      </w:r>
      <w:r>
        <w:t xml:space="preserve">  T</w:t>
      </w:r>
      <w:r w:rsidRPr="00353CDB">
        <w:t xml:space="preserve">herefore Southwest Gas </w:t>
      </w:r>
      <w:r>
        <w:t>shall update the SMJU appendices of the</w:t>
      </w:r>
      <w:r w:rsidRPr="00353CDB">
        <w:t xml:space="preserve"> ESA Statewide </w:t>
      </w:r>
      <w:r>
        <w:t>P&amp;P</w:t>
      </w:r>
      <w:r w:rsidRPr="00353CDB">
        <w:t xml:space="preserve"> and Installation Standards Manuals</w:t>
      </w:r>
      <w:r>
        <w:t xml:space="preserve"> by December 31, 2022, </w:t>
      </w:r>
      <w:r w:rsidRPr="00353CDB">
        <w:t>from</w:t>
      </w:r>
      <w:r>
        <w:t xml:space="preserve"> its</w:t>
      </w:r>
      <w:r w:rsidRPr="00353CDB">
        <w:t xml:space="preserve"> </w:t>
      </w:r>
      <w:r>
        <w:t xml:space="preserve">ESA </w:t>
      </w:r>
      <w:r w:rsidRPr="00353CDB">
        <w:t xml:space="preserve">budget approved </w:t>
      </w:r>
      <w:r>
        <w:t>in this decision</w:t>
      </w:r>
      <w:r w:rsidRPr="00353CDB">
        <w:t>, at a level not to exceed $</w:t>
      </w:r>
      <w:r>
        <w:t>20</w:t>
      </w:r>
      <w:r w:rsidRPr="00353CDB">
        <w:t>,000.</w:t>
      </w:r>
    </w:p>
    <w:p w:rsidR="008959A4" w:rsidP="008959A4" w:rsidRDefault="008959A4" w14:paraId="49A21DFE" w14:textId="77777777">
      <w:pPr>
        <w:pStyle w:val="Heading1"/>
      </w:pPr>
      <w:bookmarkStart w:name="_Toc10793267" w:id="340"/>
      <w:bookmarkStart w:name="_Toc10793341" w:id="341"/>
      <w:bookmarkStart w:name="_Toc10793472" w:id="342"/>
      <w:bookmarkStart w:name="_Toc10793268" w:id="343"/>
      <w:bookmarkStart w:name="_Toc10793342" w:id="344"/>
      <w:bookmarkStart w:name="_Toc10793473" w:id="345"/>
      <w:bookmarkStart w:name="_Toc45616427" w:id="346"/>
      <w:bookmarkStart w:name="_Toc45696565" w:id="347"/>
      <w:bookmarkStart w:name="_Toc82159907" w:id="348"/>
      <w:bookmarkEnd w:id="340"/>
      <w:bookmarkEnd w:id="341"/>
      <w:bookmarkEnd w:id="342"/>
      <w:bookmarkEnd w:id="343"/>
      <w:bookmarkEnd w:id="344"/>
      <w:bookmarkEnd w:id="345"/>
      <w:r>
        <w:t xml:space="preserve">Comments on </w:t>
      </w:r>
      <w:r w:rsidRPr="007F25E4">
        <w:t>Proposed</w:t>
      </w:r>
      <w:r>
        <w:t xml:space="preserve"> Decision</w:t>
      </w:r>
      <w:bookmarkEnd w:id="346"/>
      <w:bookmarkEnd w:id="347"/>
      <w:bookmarkEnd w:id="348"/>
    </w:p>
    <w:p w:rsidRPr="00A03538" w:rsidR="00A03538" w:rsidP="00A03538" w:rsidRDefault="008959A4" w14:paraId="5F9EEE40" w14:textId="069B54AA">
      <w:pPr>
        <w:pStyle w:val="Standard"/>
      </w:pPr>
      <w:r w:rsidRPr="00204461">
        <w:t>The proposed decision of A</w:t>
      </w:r>
      <w:r>
        <w:t>LJ</w:t>
      </w:r>
      <w:r w:rsidRPr="00204461">
        <w:t xml:space="preserve"> Ava Tran in this matter was mailed to the parties in accordance with Section 311 of the Pub. Util.</w:t>
      </w:r>
      <w:bookmarkStart w:name="_Toc2523442" w:id="349"/>
      <w:r w:rsidRPr="00204461">
        <w:t xml:space="preserve"> Code and comments were allowed under Rule 14.3 of the Commission’s Rules of Practice and Procedure</w:t>
      </w:r>
      <w:r>
        <w:t xml:space="preserve">. Comments were filed on </w:t>
      </w:r>
      <w:r w:rsidR="006240E1">
        <w:t xml:space="preserve">October 5, </w:t>
      </w:r>
      <w:r w:rsidR="00015555">
        <w:t>2021</w:t>
      </w:r>
      <w:r w:rsidRPr="00C947DE" w:rsidR="00C947DE">
        <w:t xml:space="preserve"> </w:t>
      </w:r>
      <w:r w:rsidR="00C947DE">
        <w:t xml:space="preserve">by Southwest Gas, PacifiCorp, EEC &amp; Free Energy, and jointly by Bear Valley, Liberty and </w:t>
      </w:r>
      <w:r w:rsidR="00604E54">
        <w:t>Alpine</w:t>
      </w:r>
      <w:r w:rsidR="00C947DE">
        <w:t>.</w:t>
      </w:r>
      <w:r w:rsidR="00656F7B">
        <w:t xml:space="preserve"> </w:t>
      </w:r>
      <w:r w:rsidR="00604E54">
        <w:t>R</w:t>
      </w:r>
      <w:r>
        <w:t xml:space="preserve">eply comments were filed on </w:t>
      </w:r>
      <w:r w:rsidR="004217F4">
        <w:t xml:space="preserve">October 11, 2021 </w:t>
      </w:r>
      <w:r>
        <w:t xml:space="preserve">by </w:t>
      </w:r>
      <w:r w:rsidR="00015555">
        <w:t xml:space="preserve">Southwest Gas, PacifiCorp, </w:t>
      </w:r>
      <w:r w:rsidR="00604E54">
        <w:t xml:space="preserve">and </w:t>
      </w:r>
      <w:r w:rsidR="00015555">
        <w:t>EEC &amp; Free Energy</w:t>
      </w:r>
      <w:r>
        <w:t>.</w:t>
      </w:r>
      <w:r w:rsidRPr="00A03538" w:rsidR="00A03538">
        <w:t xml:space="preserve"> </w:t>
      </w:r>
      <w:r w:rsidR="00DB56C5">
        <w:t xml:space="preserve"> </w:t>
      </w:r>
      <w:r w:rsidRPr="00A03538" w:rsidR="00A03538">
        <w:t xml:space="preserve">In response to comments, we make </w:t>
      </w:r>
      <w:r w:rsidR="00A03538">
        <w:t>the following</w:t>
      </w:r>
      <w:r w:rsidRPr="00A03538" w:rsidR="00A03538">
        <w:t xml:space="preserve"> revisions and clarifications:</w:t>
      </w:r>
    </w:p>
    <w:p w:rsidR="009652D8" w:rsidP="00BC48EE" w:rsidRDefault="009652D8" w14:paraId="596BF1C3" w14:textId="4EE576A6">
      <w:pPr>
        <w:pStyle w:val="Standard"/>
        <w:numPr>
          <w:ilvl w:val="0"/>
          <w:numId w:val="33"/>
        </w:numPr>
        <w:spacing w:after="120" w:line="240" w:lineRule="auto"/>
        <w:ind w:left="1080" w:right="1440"/>
      </w:pPr>
      <w:r>
        <w:t xml:space="preserve">Modification of the ESA program income eligibility requirements </w:t>
      </w:r>
      <w:r w:rsidRPr="009652D8">
        <w:t>from 200 percent FPG to 250 percent FPG beginning July 1, 2022</w:t>
      </w:r>
      <w:r>
        <w:t>, per Senate Bill</w:t>
      </w:r>
      <w:r w:rsidRPr="009652D8">
        <w:t xml:space="preserve"> 756.</w:t>
      </w:r>
    </w:p>
    <w:p w:rsidRPr="00A03538" w:rsidR="00A03538" w:rsidP="00BC48EE" w:rsidRDefault="00A03538" w14:paraId="4461F92C" w14:textId="3F4872E1">
      <w:pPr>
        <w:pStyle w:val="Standard"/>
        <w:numPr>
          <w:ilvl w:val="0"/>
          <w:numId w:val="33"/>
        </w:numPr>
        <w:spacing w:after="120" w:line="240" w:lineRule="auto"/>
        <w:ind w:left="1080" w:right="1440"/>
      </w:pPr>
      <w:r w:rsidRPr="00A03538">
        <w:t xml:space="preserve">Extending </w:t>
      </w:r>
      <w:r>
        <w:t xml:space="preserve">the </w:t>
      </w:r>
      <w:r w:rsidRPr="00A03538">
        <w:t>date for required advice letter filings to allow for a transition period to the new programs.</w:t>
      </w:r>
    </w:p>
    <w:p w:rsidRPr="00A03538" w:rsidR="00A03538" w:rsidP="00BC48EE" w:rsidRDefault="00A03538" w14:paraId="6AE5D0E0" w14:textId="703CCC1B">
      <w:pPr>
        <w:pStyle w:val="Standard"/>
        <w:numPr>
          <w:ilvl w:val="0"/>
          <w:numId w:val="33"/>
        </w:numPr>
        <w:spacing w:after="120" w:line="240" w:lineRule="auto"/>
        <w:ind w:left="1080" w:right="1440"/>
      </w:pPr>
      <w:r w:rsidRPr="00A03538">
        <w:t xml:space="preserve">Clarification </w:t>
      </w:r>
      <w:r>
        <w:t xml:space="preserve">to exempt </w:t>
      </w:r>
      <w:r w:rsidR="00C43F33">
        <w:t xml:space="preserve">changes to </w:t>
      </w:r>
      <w:r>
        <w:t xml:space="preserve">the CARE subsidy budgets from the requirement of a petition for modification. </w:t>
      </w:r>
      <w:r w:rsidRPr="00A03538">
        <w:t xml:space="preserve"> </w:t>
      </w:r>
    </w:p>
    <w:p w:rsidR="00C43F33" w:rsidP="00BC48EE" w:rsidRDefault="00A03538" w14:paraId="3416C265" w14:textId="3CB37027">
      <w:pPr>
        <w:pStyle w:val="Standard"/>
        <w:numPr>
          <w:ilvl w:val="0"/>
          <w:numId w:val="33"/>
        </w:numPr>
        <w:spacing w:after="120" w:line="240" w:lineRule="auto"/>
        <w:ind w:left="1080" w:right="1440"/>
      </w:pPr>
      <w:r w:rsidRPr="00A03538">
        <w:lastRenderedPageBreak/>
        <w:t>Clarification to the fund shifting rules to</w:t>
      </w:r>
      <w:r>
        <w:t xml:space="preserve"> remove the </w:t>
      </w:r>
      <w:r w:rsidR="00C43F33">
        <w:t xml:space="preserve">shifting </w:t>
      </w:r>
      <w:r w:rsidR="003D64E8">
        <w:t>of funds between the</w:t>
      </w:r>
      <w:r w:rsidR="00C43F33">
        <w:t xml:space="preserve"> gas and electric budgets given that all the SMJU</w:t>
      </w:r>
      <w:r w:rsidR="002B53CC">
        <w:t>s</w:t>
      </w:r>
      <w:r w:rsidR="00C43F33">
        <w:t xml:space="preserve"> are single fueled utilities. </w:t>
      </w:r>
    </w:p>
    <w:p w:rsidRPr="00097FF0" w:rsidR="008959A4" w:rsidP="00BC48EE" w:rsidRDefault="00A03538" w14:paraId="6B6574AF" w14:textId="3E4137BF">
      <w:pPr>
        <w:pStyle w:val="Standard"/>
        <w:numPr>
          <w:ilvl w:val="0"/>
          <w:numId w:val="33"/>
        </w:numPr>
        <w:spacing w:after="120" w:line="240" w:lineRule="auto"/>
        <w:ind w:left="1080" w:right="1440"/>
      </w:pPr>
      <w:r w:rsidRPr="00A03538">
        <w:t xml:space="preserve">Corrections to various non-substantive typographical errors and omissions throughout the document. </w:t>
      </w:r>
    </w:p>
    <w:p w:rsidRPr="0015081F" w:rsidR="008959A4" w:rsidP="008959A4" w:rsidRDefault="008959A4" w14:paraId="2E3A4E7E" w14:textId="77777777">
      <w:pPr>
        <w:pStyle w:val="Heading1"/>
      </w:pPr>
      <w:bookmarkStart w:name="_Toc45616428" w:id="350"/>
      <w:bookmarkStart w:name="_Toc82159908" w:id="351"/>
      <w:r w:rsidRPr="00257E90">
        <w:t>Assignment</w:t>
      </w:r>
      <w:r>
        <w:t xml:space="preserve"> of Proceeding</w:t>
      </w:r>
      <w:bookmarkEnd w:id="349"/>
      <w:bookmarkEnd w:id="350"/>
      <w:bookmarkEnd w:id="351"/>
    </w:p>
    <w:p w:rsidRPr="0015081F" w:rsidR="008959A4" w:rsidP="00352D97" w:rsidRDefault="008959A4" w14:paraId="0DE2076D" w14:textId="77777777">
      <w:pPr>
        <w:pStyle w:val="Standard"/>
      </w:pPr>
      <w:r w:rsidRPr="00BD66D6">
        <w:t xml:space="preserve">Genevieve Shiroma </w:t>
      </w:r>
      <w:r w:rsidRPr="0015081F">
        <w:t>is the assigned Commissioner and Ava Tran is the assigned A</w:t>
      </w:r>
      <w:r>
        <w:t>LJ</w:t>
      </w:r>
      <w:r w:rsidRPr="0015081F">
        <w:t xml:space="preserve"> in this proceeding.</w:t>
      </w:r>
      <w:r>
        <w:t xml:space="preserve"> </w:t>
      </w:r>
    </w:p>
    <w:p w:rsidRPr="00F3349E" w:rsidR="008959A4" w:rsidP="008959A4" w:rsidRDefault="008959A4" w14:paraId="3343974C" w14:textId="77777777">
      <w:pPr>
        <w:pStyle w:val="Dummy"/>
      </w:pPr>
      <w:bookmarkStart w:name="_Toc2523443" w:id="352"/>
      <w:bookmarkStart w:name="_Toc45616429" w:id="353"/>
      <w:bookmarkStart w:name="_Toc82159909" w:id="354"/>
      <w:r w:rsidRPr="00F3349E">
        <w:t>Findings of Fact</w:t>
      </w:r>
      <w:bookmarkEnd w:id="352"/>
      <w:bookmarkEnd w:id="353"/>
      <w:bookmarkEnd w:id="354"/>
    </w:p>
    <w:p w:rsidR="008959A4" w:rsidP="008959A4" w:rsidRDefault="008959A4" w14:paraId="43100903" w14:textId="77777777">
      <w:pPr>
        <w:pStyle w:val="FoF"/>
        <w:numPr>
          <w:ilvl w:val="0"/>
          <w:numId w:val="12"/>
        </w:numPr>
        <w:rPr>
          <w:szCs w:val="26"/>
        </w:rPr>
      </w:pPr>
      <w:r w:rsidRPr="0080592F">
        <w:rPr>
          <w:szCs w:val="26"/>
        </w:rPr>
        <w:t>The CARE program is a low</w:t>
      </w:r>
      <w:r>
        <w:rPr>
          <w:szCs w:val="26"/>
        </w:rPr>
        <w:t>-</w:t>
      </w:r>
      <w:r w:rsidRPr="0080592F">
        <w:rPr>
          <w:szCs w:val="26"/>
        </w:rPr>
        <w:t>income energy rate assistance program established in 1989 to provide a discount on energy rates to low</w:t>
      </w:r>
      <w:r>
        <w:rPr>
          <w:szCs w:val="26"/>
        </w:rPr>
        <w:t>-</w:t>
      </w:r>
      <w:r w:rsidRPr="0080592F">
        <w:rPr>
          <w:szCs w:val="26"/>
        </w:rPr>
        <w:t>income households with incomes at or below 200 percent of the federal poverty guideline</w:t>
      </w:r>
      <w:r>
        <w:rPr>
          <w:szCs w:val="26"/>
        </w:rPr>
        <w:t>.</w:t>
      </w:r>
    </w:p>
    <w:p w:rsidRPr="007767DD" w:rsidR="008959A4" w:rsidP="008959A4" w:rsidRDefault="008959A4" w14:paraId="5936A017" w14:textId="77777777">
      <w:pPr>
        <w:pStyle w:val="FoF"/>
        <w:numPr>
          <w:ilvl w:val="0"/>
          <w:numId w:val="12"/>
        </w:numPr>
        <w:rPr>
          <w:szCs w:val="26"/>
        </w:rPr>
      </w:pPr>
      <w:r w:rsidRPr="00C53DBD">
        <w:rPr>
          <w:szCs w:val="26"/>
        </w:rPr>
        <w:t>The ESA program is a no-cost energy efficiency program that provides home weatherization services and energy efficiency measures to help low</w:t>
      </w:r>
      <w:r>
        <w:rPr>
          <w:szCs w:val="26"/>
        </w:rPr>
        <w:noBreakHyphen/>
      </w:r>
      <w:r w:rsidRPr="00C53DBD">
        <w:rPr>
          <w:szCs w:val="26"/>
        </w:rPr>
        <w:t xml:space="preserve">income households conserve energy, reduce their energy costs/utility bills, and improve the </w:t>
      </w:r>
      <w:r>
        <w:rPr>
          <w:szCs w:val="26"/>
        </w:rPr>
        <w:t>HCS</w:t>
      </w:r>
      <w:r w:rsidRPr="00C53DBD">
        <w:rPr>
          <w:szCs w:val="26"/>
        </w:rPr>
        <w:t xml:space="preserve"> of the home.  The program also provides information and education to promote energy efficient practices in low</w:t>
      </w:r>
      <w:r w:rsidRPr="00C53DBD">
        <w:rPr>
          <w:szCs w:val="26"/>
        </w:rPr>
        <w:noBreakHyphen/>
        <w:t>income communities</w:t>
      </w:r>
      <w:r w:rsidRPr="007767DD">
        <w:rPr>
          <w:szCs w:val="26"/>
        </w:rPr>
        <w:t>.</w:t>
      </w:r>
    </w:p>
    <w:p w:rsidRPr="00995A91" w:rsidR="008959A4" w:rsidP="008959A4" w:rsidRDefault="008959A4" w14:paraId="1FA870B1" w14:textId="77777777">
      <w:pPr>
        <w:pStyle w:val="FoF"/>
        <w:numPr>
          <w:ilvl w:val="0"/>
          <w:numId w:val="12"/>
        </w:numPr>
      </w:pPr>
      <w:r w:rsidRPr="00995A91">
        <w:t xml:space="preserve">The income eligibility guidelines and the discount rate for the CARE program are set in statute. </w:t>
      </w:r>
    </w:p>
    <w:p w:rsidRPr="00995A91" w:rsidR="008959A4" w:rsidP="008959A4" w:rsidRDefault="008959A4" w14:paraId="1BF80414" w14:textId="77777777">
      <w:pPr>
        <w:pStyle w:val="FoF"/>
        <w:numPr>
          <w:ilvl w:val="0"/>
          <w:numId w:val="12"/>
        </w:numPr>
      </w:pPr>
      <w:r w:rsidRPr="00995A91">
        <w:t xml:space="preserve">The CARE program is funded by </w:t>
      </w:r>
      <w:r w:rsidRPr="00C24413">
        <w:t>non</w:t>
      </w:r>
      <w:r w:rsidRPr="00C24413">
        <w:noBreakHyphen/>
      </w:r>
      <w:r>
        <w:t>exempt</w:t>
      </w:r>
      <w:r w:rsidRPr="00C24413">
        <w:t xml:space="preserve"> ratepayers</w:t>
      </w:r>
      <w:r>
        <w:t xml:space="preserve"> </w:t>
      </w:r>
      <w:r w:rsidRPr="00995A91">
        <w:t>as part of a statutory public purpose program surcharge.</w:t>
      </w:r>
    </w:p>
    <w:p w:rsidRPr="00995A91" w:rsidR="008959A4" w:rsidP="008959A4" w:rsidRDefault="008959A4" w14:paraId="14C13B93" w14:textId="77777777">
      <w:pPr>
        <w:pStyle w:val="FoF"/>
        <w:numPr>
          <w:ilvl w:val="0"/>
          <w:numId w:val="12"/>
        </w:numPr>
      </w:pPr>
      <w:r w:rsidRPr="00995A91">
        <w:t xml:space="preserve">Enrollment goals for the CARE program </w:t>
      </w:r>
      <w:r>
        <w:t>have</w:t>
      </w:r>
      <w:r w:rsidRPr="00995A91">
        <w:t xml:space="preserve"> been established in Commission decisions at 90 percent. </w:t>
      </w:r>
    </w:p>
    <w:p w:rsidRPr="00995A91" w:rsidR="008959A4" w:rsidP="008959A4" w:rsidRDefault="008959A4" w14:paraId="541734BE" w14:textId="77777777">
      <w:pPr>
        <w:pStyle w:val="FoF"/>
        <w:numPr>
          <w:ilvl w:val="0"/>
          <w:numId w:val="12"/>
        </w:numPr>
      </w:pPr>
      <w:r w:rsidRPr="00995A91">
        <w:t xml:space="preserve">The </w:t>
      </w:r>
      <w:r>
        <w:t>SMJUs</w:t>
      </w:r>
      <w:r w:rsidRPr="00995A91">
        <w:t xml:space="preserve"> can meet the 90 percent enrollment goals with the funding provided. </w:t>
      </w:r>
    </w:p>
    <w:p w:rsidRPr="00995A91" w:rsidR="008959A4" w:rsidP="008959A4" w:rsidRDefault="008959A4" w14:paraId="194F3BA9" w14:textId="77777777">
      <w:pPr>
        <w:pStyle w:val="FoF"/>
        <w:numPr>
          <w:ilvl w:val="0"/>
          <w:numId w:val="12"/>
        </w:numPr>
      </w:pPr>
      <w:r w:rsidRPr="00995A91">
        <w:lastRenderedPageBreak/>
        <w:t xml:space="preserve">Applying certain CARE program rules (including self-certification, categorical eligibility, post enrollment verification, and the income documentation processes and requirements) decreases barriers to participation and/or protects the integrity of the program. </w:t>
      </w:r>
    </w:p>
    <w:p w:rsidR="008959A4" w:rsidP="008959A4" w:rsidRDefault="008959A4" w14:paraId="0FB085AF" w14:textId="77777777">
      <w:pPr>
        <w:pStyle w:val="FoF"/>
        <w:numPr>
          <w:ilvl w:val="0"/>
          <w:numId w:val="12"/>
        </w:numPr>
      </w:pPr>
      <w:r w:rsidRPr="00995A91">
        <w:t>The CARE capitation program helps to increase the CARE program enrollment rate, educates customers on the CARE discount, and assists customers in enrolling in the ESA program.</w:t>
      </w:r>
    </w:p>
    <w:p w:rsidR="008959A4" w:rsidP="008959A4" w:rsidRDefault="008959A4" w14:paraId="02054266" w14:textId="12D2134A">
      <w:pPr>
        <w:pStyle w:val="FoF"/>
        <w:numPr>
          <w:ilvl w:val="0"/>
          <w:numId w:val="12"/>
        </w:numPr>
      </w:pPr>
      <w:r>
        <w:t>Categorical enrollment allows for a household to automatically qualify for CARE i</w:t>
      </w:r>
      <w:r w:rsidRPr="00EF504A">
        <w:t>f the customer is already enrolled in one of the Commission-approved means-tested low</w:t>
      </w:r>
      <w:r w:rsidR="00B35EAD">
        <w:t>-</w:t>
      </w:r>
      <w:r w:rsidRPr="00EF504A">
        <w:t>income public assistance programs</w:t>
      </w:r>
      <w:r>
        <w:t xml:space="preserve"> without the need to meet the CARE program’s income eligibility</w:t>
      </w:r>
      <w:r w:rsidRPr="00EF504A">
        <w:t>.</w:t>
      </w:r>
      <w:r w:rsidRPr="00A42A32">
        <w:t xml:space="preserve">  </w:t>
      </w:r>
    </w:p>
    <w:p w:rsidRPr="00995A91" w:rsidR="008959A4" w:rsidP="008959A4" w:rsidRDefault="008959A4" w14:paraId="1ED102E5" w14:textId="77777777">
      <w:pPr>
        <w:pStyle w:val="FoF"/>
        <w:numPr>
          <w:ilvl w:val="0"/>
          <w:numId w:val="12"/>
        </w:numPr>
      </w:pPr>
      <w:r w:rsidRPr="00995A91">
        <w:t xml:space="preserve">Targeted strategies and dedicating funding for the marketing, education and outreach of the CARE program have allowed the </w:t>
      </w:r>
      <w:r>
        <w:t>SMJUs</w:t>
      </w:r>
      <w:r w:rsidRPr="00995A91">
        <w:t xml:space="preserve"> to meet the CARE program goals. </w:t>
      </w:r>
    </w:p>
    <w:p w:rsidRPr="00995A91" w:rsidR="008959A4" w:rsidP="008959A4" w:rsidRDefault="008959A4" w14:paraId="5368DBBE" w14:textId="77777777">
      <w:pPr>
        <w:pStyle w:val="FoF"/>
        <w:numPr>
          <w:ilvl w:val="0"/>
          <w:numId w:val="12"/>
        </w:numPr>
      </w:pPr>
      <w:r w:rsidRPr="00995A91">
        <w:t xml:space="preserve">Coordinating and leveraging the CARE program with other programs and organizations targeting the same population helps to increase participation and decrease confusion and barriers.  </w:t>
      </w:r>
    </w:p>
    <w:p w:rsidRPr="00CB2123" w:rsidR="008959A4" w:rsidP="008959A4" w:rsidRDefault="008959A4" w14:paraId="78C2DC9D" w14:textId="2C3B33C2">
      <w:pPr>
        <w:pStyle w:val="FoF"/>
        <w:numPr>
          <w:ilvl w:val="0"/>
          <w:numId w:val="12"/>
        </w:numPr>
      </w:pPr>
      <w:r w:rsidRPr="00CB2123">
        <w:t xml:space="preserve">The </w:t>
      </w:r>
      <w:r w:rsidR="004F2313">
        <w:t xml:space="preserve">current </w:t>
      </w:r>
      <w:r w:rsidRPr="00CB2123">
        <w:t xml:space="preserve">income eligibility guidelines for the ESA program are set in statute at 200 percent of federal poverty guidelines. </w:t>
      </w:r>
    </w:p>
    <w:p w:rsidRPr="00CB2123" w:rsidR="004F2313" w:rsidP="004F2313" w:rsidRDefault="004F2313" w14:paraId="31266711" w14:textId="4700040A">
      <w:pPr>
        <w:pStyle w:val="FoF"/>
        <w:numPr>
          <w:ilvl w:val="0"/>
          <w:numId w:val="12"/>
        </w:numPr>
      </w:pPr>
      <w:r w:rsidRPr="00CB2123">
        <w:t xml:space="preserve">The income eligibility guidelines for the ESA program </w:t>
      </w:r>
      <w:r>
        <w:t xml:space="preserve">will be modified to </w:t>
      </w:r>
      <w:r w:rsidRPr="00CB2123">
        <w:t>2</w:t>
      </w:r>
      <w:r>
        <w:t>5</w:t>
      </w:r>
      <w:r w:rsidRPr="00CB2123">
        <w:t>0 percent of federal poverty guidelines</w:t>
      </w:r>
      <w:r>
        <w:t xml:space="preserve"> beginning on July 1, 2022 per Senate Bill 756</w:t>
      </w:r>
      <w:r w:rsidRPr="00CB2123">
        <w:t xml:space="preserve">. </w:t>
      </w:r>
    </w:p>
    <w:p w:rsidRPr="00CB2123" w:rsidR="008959A4" w:rsidP="008959A4" w:rsidRDefault="008959A4" w14:paraId="66967602" w14:textId="77777777">
      <w:pPr>
        <w:pStyle w:val="FoF"/>
        <w:numPr>
          <w:ilvl w:val="0"/>
          <w:numId w:val="12"/>
        </w:numPr>
      </w:pPr>
      <w:r w:rsidRPr="00CB2123">
        <w:t xml:space="preserve">The ESA program is funded by both </w:t>
      </w:r>
      <w:r>
        <w:t>exempt</w:t>
      </w:r>
      <w:r w:rsidRPr="00374DD3">
        <w:t xml:space="preserve"> and non</w:t>
      </w:r>
      <w:r w:rsidRPr="00374DD3">
        <w:noBreakHyphen/>
      </w:r>
      <w:r>
        <w:t>exempt</w:t>
      </w:r>
      <w:r w:rsidRPr="00374DD3">
        <w:t xml:space="preserve"> </w:t>
      </w:r>
      <w:r w:rsidRPr="00CB2123">
        <w:t>ratepayers as part of a statutory public purpose program surcharge.</w:t>
      </w:r>
    </w:p>
    <w:p w:rsidRPr="00CB2123" w:rsidR="008959A4" w:rsidP="008959A4" w:rsidRDefault="008959A4" w14:paraId="353A180C" w14:textId="262A448D">
      <w:pPr>
        <w:pStyle w:val="FoF"/>
        <w:numPr>
          <w:ilvl w:val="0"/>
          <w:numId w:val="12"/>
        </w:numPr>
        <w:rPr>
          <w:iCs/>
        </w:rPr>
      </w:pPr>
      <w:r w:rsidRPr="00CB2123">
        <w:rPr>
          <w:iCs/>
        </w:rPr>
        <w:t xml:space="preserve">California </w:t>
      </w:r>
      <w:r w:rsidRPr="00CB2123">
        <w:t>Pub</w:t>
      </w:r>
      <w:r>
        <w:t>.</w:t>
      </w:r>
      <w:r w:rsidRPr="00CB2123">
        <w:t xml:space="preserve"> Util</w:t>
      </w:r>
      <w:r>
        <w:t>.</w:t>
      </w:r>
      <w:r w:rsidRPr="00CB2123">
        <w:rPr>
          <w:iCs/>
        </w:rPr>
        <w:t xml:space="preserve"> Code </w:t>
      </w:r>
      <w:r>
        <w:rPr>
          <w:iCs/>
        </w:rPr>
        <w:t>§</w:t>
      </w:r>
      <w:r w:rsidRPr="00CB2123">
        <w:rPr>
          <w:iCs/>
        </w:rPr>
        <w:t xml:space="preserve"> 382(e) requires that: </w:t>
      </w:r>
      <w:r w:rsidR="00BC48EE">
        <w:rPr>
          <w:iCs/>
        </w:rPr>
        <w:t xml:space="preserve"> </w:t>
      </w:r>
      <w:r w:rsidRPr="00CB2123">
        <w:rPr>
          <w:iCs/>
        </w:rPr>
        <w:t xml:space="preserve">“The commission shall, by not later than December 31, 2020, ensure that all eligible low-income </w:t>
      </w:r>
      <w:r w:rsidRPr="00CB2123">
        <w:rPr>
          <w:iCs/>
        </w:rPr>
        <w:lastRenderedPageBreak/>
        <w:t>electricity and gas customers are given the opportunity to participate in low</w:t>
      </w:r>
      <w:r>
        <w:rPr>
          <w:iCs/>
        </w:rPr>
        <w:noBreakHyphen/>
      </w:r>
      <w:r w:rsidRPr="00CB2123">
        <w:rPr>
          <w:iCs/>
        </w:rPr>
        <w:t>income energy efficiency programs, including customers occupying apartments or similar multiunit residential structures.”</w:t>
      </w:r>
    </w:p>
    <w:p w:rsidR="008959A4" w:rsidP="008959A4" w:rsidRDefault="008959A4" w14:paraId="10B95EBA" w14:textId="77777777">
      <w:pPr>
        <w:pStyle w:val="FoF"/>
        <w:numPr>
          <w:ilvl w:val="0"/>
          <w:numId w:val="12"/>
        </w:numPr>
      </w:pPr>
      <w:r w:rsidRPr="00CB2123">
        <w:t>Pub</w:t>
      </w:r>
      <w:r>
        <w:t>.</w:t>
      </w:r>
      <w:r w:rsidRPr="00CB2123">
        <w:t xml:space="preserve"> Util</w:t>
      </w:r>
      <w:r>
        <w:t>.</w:t>
      </w:r>
      <w:r w:rsidRPr="00CB2123">
        <w:rPr>
          <w:iCs/>
        </w:rPr>
        <w:t xml:space="preserve"> Code </w:t>
      </w:r>
      <w:r w:rsidRPr="00CB2123">
        <w:t>2790 states that the ESA program should “tak[e] into consideration both the cost-effectiveness of the services and the policy of reducing the hardships facing low</w:t>
      </w:r>
      <w:r>
        <w:t>-</w:t>
      </w:r>
      <w:r w:rsidRPr="00CB2123">
        <w:t xml:space="preserve">income households.”  </w:t>
      </w:r>
    </w:p>
    <w:p w:rsidR="008959A4" w:rsidP="008959A4" w:rsidRDefault="008959A4" w14:paraId="3273BB4C" w14:textId="77777777">
      <w:pPr>
        <w:pStyle w:val="FoF"/>
        <w:numPr>
          <w:ilvl w:val="0"/>
          <w:numId w:val="12"/>
        </w:numPr>
        <w:shd w:val="clear" w:color="auto" w:fill="FFFFFF" w:themeFill="background1"/>
      </w:pPr>
      <w:r>
        <w:t>The SMJUs</w:t>
      </w:r>
      <w:r w:rsidRPr="00995A91">
        <w:t xml:space="preserve"> </w:t>
      </w:r>
      <w:r>
        <w:t xml:space="preserve">have all achieved the statutory goal of treating all willing and eligible households by 2020 except for Southwest Gas. </w:t>
      </w:r>
    </w:p>
    <w:p w:rsidR="008959A4" w:rsidP="008959A4" w:rsidRDefault="008959A4" w14:paraId="1CE50F27" w14:textId="77777777">
      <w:pPr>
        <w:pStyle w:val="FoF"/>
        <w:numPr>
          <w:ilvl w:val="0"/>
          <w:numId w:val="12"/>
        </w:numPr>
        <w:shd w:val="clear" w:color="auto" w:fill="FFFFFF" w:themeFill="background1"/>
      </w:pPr>
      <w:r>
        <w:t>The SMJUs’</w:t>
      </w:r>
      <w:r w:rsidRPr="00995A91">
        <w:t xml:space="preserve"> </w:t>
      </w:r>
      <w:r>
        <w:t>ESA program measures focus on deeper energy savings that will help achieve the program goals.</w:t>
      </w:r>
    </w:p>
    <w:p w:rsidR="008959A4" w:rsidP="008959A4" w:rsidRDefault="008959A4" w14:paraId="1A831C05" w14:textId="77777777">
      <w:pPr>
        <w:pStyle w:val="FoF"/>
        <w:numPr>
          <w:ilvl w:val="0"/>
          <w:numId w:val="12"/>
        </w:numPr>
        <w:shd w:val="clear" w:color="auto" w:fill="FFFFFF" w:themeFill="background1"/>
      </w:pPr>
      <w:r>
        <w:t>The SMJUs</w:t>
      </w:r>
      <w:r w:rsidRPr="00995A91">
        <w:t xml:space="preserve"> </w:t>
      </w:r>
      <w:r>
        <w:t xml:space="preserve">propose targets/goals for energy savings, household treatment levels, non-energy benefits, and cost effectiveness based on guidance provided in </w:t>
      </w:r>
      <w:r w:rsidRPr="00C91043">
        <w:t>D.</w:t>
      </w:r>
      <w:r w:rsidRPr="003D300B">
        <w:t>19</w:t>
      </w:r>
      <w:r w:rsidRPr="003D300B">
        <w:noBreakHyphen/>
        <w:t>11</w:t>
      </w:r>
      <w:r w:rsidRPr="003D300B">
        <w:noBreakHyphen/>
        <w:t>005</w:t>
      </w:r>
      <w:r>
        <w:t xml:space="preserve"> and on historical performance. </w:t>
      </w:r>
    </w:p>
    <w:p w:rsidRPr="00B3149D" w:rsidR="008959A4" w:rsidP="008959A4" w:rsidRDefault="008959A4" w14:paraId="32D69EEB" w14:textId="77777777">
      <w:pPr>
        <w:pStyle w:val="FoF"/>
        <w:numPr>
          <w:ilvl w:val="0"/>
          <w:numId w:val="12"/>
        </w:numPr>
        <w:shd w:val="clear" w:color="auto" w:fill="FFFFFF" w:themeFill="background1"/>
      </w:pPr>
      <w:r w:rsidRPr="00B3149D">
        <w:t>An ESA program design based on tiers, offering increasing levels of services dependent on eligibility, need and specific vulnerable customer segments, better serve</w:t>
      </w:r>
      <w:r>
        <w:t>s</w:t>
      </w:r>
      <w:r w:rsidRPr="00B3149D">
        <w:t xml:space="preserve"> the customers.  </w:t>
      </w:r>
    </w:p>
    <w:p w:rsidRPr="00B3149D" w:rsidR="008959A4" w:rsidP="008959A4" w:rsidRDefault="008959A4" w14:paraId="6E9B7290" w14:textId="77777777">
      <w:pPr>
        <w:pStyle w:val="FoF"/>
        <w:numPr>
          <w:ilvl w:val="0"/>
          <w:numId w:val="12"/>
        </w:numPr>
        <w:shd w:val="clear" w:color="auto" w:fill="FFFFFF" w:themeFill="background1"/>
      </w:pPr>
      <w:r w:rsidRPr="00B3149D">
        <w:t xml:space="preserve">Applying certain ESA program rules (including self-certification, categorical eligibility, audit, property owner approvals/ waivers, and the income documentation processes and requirements,) decrease barriers to participation and/or protects the integrity of the program. </w:t>
      </w:r>
    </w:p>
    <w:p w:rsidRPr="00B3149D" w:rsidR="008959A4" w:rsidP="008959A4" w:rsidRDefault="008959A4" w14:paraId="5C86EC4E" w14:textId="77777777">
      <w:pPr>
        <w:pStyle w:val="FoF"/>
        <w:numPr>
          <w:ilvl w:val="0"/>
          <w:numId w:val="12"/>
        </w:numPr>
      </w:pPr>
      <w:r w:rsidRPr="00B3149D">
        <w:t xml:space="preserve">Allowing for minor program changes (including updating measures, manuals, fund shifts) through the </w:t>
      </w:r>
      <w:r>
        <w:t>SMJUs’</w:t>
      </w:r>
      <w:r w:rsidRPr="00995A91">
        <w:t xml:space="preserve"> </w:t>
      </w:r>
      <w:r>
        <w:t xml:space="preserve">quarterly/annual </w:t>
      </w:r>
      <w:r w:rsidRPr="00B3149D">
        <w:t>reports, or an advice letter as opposed to a petition for modification to the decision</w:t>
      </w:r>
      <w:r>
        <w:t>,</w:t>
      </w:r>
      <w:r w:rsidRPr="00B3149D">
        <w:t xml:space="preserve"> would ease administrative burdens on all parties and Commission staff. </w:t>
      </w:r>
    </w:p>
    <w:p w:rsidRPr="00B3149D" w:rsidR="008959A4" w:rsidP="008959A4" w:rsidRDefault="008959A4" w14:paraId="3F245F0D" w14:textId="77777777">
      <w:pPr>
        <w:pStyle w:val="FoF"/>
        <w:numPr>
          <w:ilvl w:val="0"/>
          <w:numId w:val="12"/>
        </w:numPr>
        <w:shd w:val="clear" w:color="auto" w:fill="FFFFFF" w:themeFill="background1"/>
      </w:pPr>
      <w:r w:rsidRPr="00B3149D">
        <w:lastRenderedPageBreak/>
        <w:t xml:space="preserve">Targeted strategies and dedicating funding for the marketing, education and outreach of the ESA program </w:t>
      </w:r>
      <w:r>
        <w:t>will</w:t>
      </w:r>
      <w:r w:rsidRPr="00B3149D">
        <w:t xml:space="preserve"> allow the </w:t>
      </w:r>
      <w:r>
        <w:t>SMJUs</w:t>
      </w:r>
      <w:r w:rsidRPr="00B3149D">
        <w:t xml:space="preserve"> to meet the ESA program goals. </w:t>
      </w:r>
    </w:p>
    <w:p w:rsidR="008959A4" w:rsidP="008959A4" w:rsidRDefault="008959A4" w14:paraId="715F5315" w14:textId="77777777">
      <w:pPr>
        <w:pStyle w:val="FoF"/>
        <w:numPr>
          <w:ilvl w:val="0"/>
          <w:numId w:val="12"/>
        </w:numPr>
      </w:pPr>
      <w:r w:rsidRPr="00B3149D">
        <w:t xml:space="preserve">Coordinating and leveraging the ESA program with other programs and organizations targeting the same population </w:t>
      </w:r>
      <w:r>
        <w:t xml:space="preserve">will </w:t>
      </w:r>
      <w:r w:rsidRPr="00B3149D">
        <w:t>help increase participation and decrease confusion and barriers.</w:t>
      </w:r>
    </w:p>
    <w:p w:rsidR="008959A4" w:rsidP="008959A4" w:rsidRDefault="008959A4" w14:paraId="710332E7" w14:textId="77777777">
      <w:pPr>
        <w:pStyle w:val="FoF"/>
        <w:numPr>
          <w:ilvl w:val="0"/>
          <w:numId w:val="12"/>
        </w:numPr>
      </w:pPr>
      <w:r>
        <w:t xml:space="preserve">The multifamily housing sector offers opportunities for ESA program savings.  </w:t>
      </w:r>
    </w:p>
    <w:p w:rsidR="008959A4" w:rsidP="008959A4" w:rsidRDefault="008959A4" w14:paraId="22C4C5E0" w14:textId="77777777">
      <w:pPr>
        <w:pStyle w:val="FoF"/>
        <w:numPr>
          <w:ilvl w:val="0"/>
          <w:numId w:val="12"/>
        </w:numPr>
      </w:pPr>
      <w:r w:rsidRPr="00154F39">
        <w:t xml:space="preserve">The </w:t>
      </w:r>
      <w:r>
        <w:t>SMJUs</w:t>
      </w:r>
      <w:r w:rsidRPr="00995A91">
        <w:t xml:space="preserve"> </w:t>
      </w:r>
      <w:r w:rsidRPr="00154F39">
        <w:t>have consistently underspent the ESA program authorized budgets since 201</w:t>
      </w:r>
      <w:r>
        <w:t>8</w:t>
      </w:r>
      <w:r w:rsidRPr="00154F39">
        <w:t>.</w:t>
      </w:r>
    </w:p>
    <w:p w:rsidR="008959A4" w:rsidP="008959A4" w:rsidRDefault="008959A4" w14:paraId="71E7E2E3" w14:textId="77777777">
      <w:pPr>
        <w:pStyle w:val="FoF"/>
        <w:numPr>
          <w:ilvl w:val="0"/>
          <w:numId w:val="12"/>
        </w:numPr>
      </w:pPr>
      <w:r>
        <w:t>There has been a large accumulation of</w:t>
      </w:r>
      <w:r w:rsidDel="00E01B51">
        <w:t xml:space="preserve"> </w:t>
      </w:r>
      <w:r>
        <w:t>unspent, uncommitted ESA program funds as of 2020.</w:t>
      </w:r>
    </w:p>
    <w:p w:rsidR="008959A4" w:rsidP="008959A4" w:rsidRDefault="008959A4" w14:paraId="67F8075D" w14:textId="77777777">
      <w:pPr>
        <w:pStyle w:val="FoF"/>
        <w:numPr>
          <w:ilvl w:val="0"/>
          <w:numId w:val="12"/>
        </w:numPr>
      </w:pPr>
      <w:r w:rsidRPr="00D40478">
        <w:t xml:space="preserve">The </w:t>
      </w:r>
      <w:r>
        <w:t>SMJUs</w:t>
      </w:r>
      <w:r w:rsidRPr="00995A91">
        <w:t xml:space="preserve"> </w:t>
      </w:r>
      <w:r w:rsidRPr="00D40478">
        <w:t xml:space="preserve">and some parties have failed to provide reasoning for </w:t>
      </w:r>
      <w:r>
        <w:t>various</w:t>
      </w:r>
      <w:r w:rsidRPr="00D40478">
        <w:t xml:space="preserve"> large budget increases</w:t>
      </w:r>
      <w:r>
        <w:t>.</w:t>
      </w:r>
    </w:p>
    <w:p w:rsidRPr="006A16B6" w:rsidR="008959A4" w:rsidP="008959A4" w:rsidRDefault="008959A4" w14:paraId="313F6004" w14:textId="77777777">
      <w:pPr>
        <w:pStyle w:val="FoF"/>
        <w:numPr>
          <w:ilvl w:val="0"/>
          <w:numId w:val="12"/>
        </w:numPr>
      </w:pPr>
      <w:r w:rsidRPr="006A16B6">
        <w:t>The CARE and ESA programs would benefit from continuous data collection and reporting, studies, evaluations and cost</w:t>
      </w:r>
      <w:r>
        <w:t>-</w:t>
      </w:r>
      <w:r w:rsidRPr="006A16B6">
        <w:t xml:space="preserve">effective pilots. </w:t>
      </w:r>
    </w:p>
    <w:p w:rsidR="008959A4" w:rsidP="008959A4" w:rsidRDefault="008959A4" w14:paraId="67533C23" w14:textId="77777777">
      <w:pPr>
        <w:pStyle w:val="FoF"/>
        <w:numPr>
          <w:ilvl w:val="0"/>
          <w:numId w:val="12"/>
        </w:numPr>
      </w:pPr>
      <w:r w:rsidRPr="006A16B6">
        <w:t xml:space="preserve">The CARE and ESA programs would benefit from ongoing monitoring of progress towards goals and targets and feedback from </w:t>
      </w:r>
      <w:r>
        <w:t>stakeholders.</w:t>
      </w:r>
    </w:p>
    <w:p w:rsidRPr="006C569D" w:rsidR="008959A4" w:rsidP="008959A4" w:rsidRDefault="008959A4" w14:paraId="7F36FDE0" w14:textId="77777777">
      <w:pPr>
        <w:pStyle w:val="Dummy"/>
      </w:pPr>
      <w:bookmarkStart w:name="_Toc8123726" w:id="355"/>
      <w:bookmarkStart w:name="_Toc12866696" w:id="356"/>
      <w:bookmarkStart w:name="_Toc82159910" w:id="357"/>
      <w:r w:rsidRPr="006C569D">
        <w:t>Conclusions of Law</w:t>
      </w:r>
      <w:bookmarkEnd w:id="355"/>
      <w:bookmarkEnd w:id="356"/>
      <w:bookmarkEnd w:id="357"/>
    </w:p>
    <w:p w:rsidR="008959A4" w:rsidP="008959A4" w:rsidRDefault="008959A4" w14:paraId="7BB6818B" w14:textId="77777777">
      <w:pPr>
        <w:pStyle w:val="OP"/>
        <w:rPr>
          <w:rFonts w:cstheme="minorBidi"/>
          <w:szCs w:val="22"/>
        </w:rPr>
      </w:pPr>
      <w:r w:rsidRPr="006C569D">
        <w:rPr>
          <w:rFonts w:cstheme="minorBidi"/>
          <w:szCs w:val="22"/>
        </w:rPr>
        <w:t>The CARE program should continue offer to electric and gas rate discounts to eligible households with total household annual gross income at 200 percent or less of the federal poverty guideline level</w:t>
      </w:r>
      <w:r>
        <w:rPr>
          <w:rFonts w:cstheme="minorBidi"/>
          <w:szCs w:val="22"/>
        </w:rPr>
        <w:t>.</w:t>
      </w:r>
    </w:p>
    <w:p w:rsidRPr="006C569D" w:rsidR="008959A4" w:rsidP="008959A4" w:rsidRDefault="008959A4" w14:paraId="2394A56A" w14:textId="77777777">
      <w:pPr>
        <w:pStyle w:val="OP"/>
        <w:rPr>
          <w:rFonts w:cstheme="minorBidi"/>
          <w:szCs w:val="22"/>
        </w:rPr>
      </w:pPr>
      <w:r w:rsidRPr="006C569D">
        <w:rPr>
          <w:szCs w:val="26"/>
        </w:rPr>
        <w:t>The CARE program enrollment goal should remain at 90 percent.</w:t>
      </w:r>
    </w:p>
    <w:p w:rsidRPr="006C569D" w:rsidR="008959A4" w:rsidP="008959A4" w:rsidRDefault="008959A4" w14:paraId="189A86FC" w14:textId="77777777">
      <w:pPr>
        <w:pStyle w:val="OP"/>
        <w:rPr>
          <w:rFonts w:cstheme="minorBidi"/>
          <w:szCs w:val="22"/>
        </w:rPr>
      </w:pPr>
      <w:r w:rsidRPr="006C569D">
        <w:rPr>
          <w:rFonts w:cstheme="minorBidi"/>
          <w:szCs w:val="22"/>
        </w:rPr>
        <w:t xml:space="preserve">The CARE administrative budgets should be increased from prior years’ actual expenditures to enroll that last remaining, hard to reach, group of customers. </w:t>
      </w:r>
    </w:p>
    <w:p w:rsidRPr="006C569D" w:rsidR="008959A4" w:rsidP="008959A4" w:rsidRDefault="008959A4" w14:paraId="7B394337" w14:textId="77777777">
      <w:pPr>
        <w:pStyle w:val="OP"/>
        <w:rPr>
          <w:rFonts w:cstheme="minorBidi"/>
          <w:szCs w:val="22"/>
        </w:rPr>
      </w:pPr>
      <w:r w:rsidRPr="006C569D">
        <w:rPr>
          <w:rFonts w:cstheme="minorBidi"/>
          <w:szCs w:val="22"/>
        </w:rPr>
        <w:lastRenderedPageBreak/>
        <w:t>Certain CARE program rules (including self-certification, categorical eligibility, post enrollment verification, and the income documentation processes and requirements) should be modified to decrease barriers to participation and/or protect the integrity of the program.</w:t>
      </w:r>
    </w:p>
    <w:p w:rsidRPr="006C569D" w:rsidR="008959A4" w:rsidP="00EF4E87" w:rsidRDefault="008959A4" w14:paraId="5ED494BB" w14:textId="77777777">
      <w:pPr>
        <w:pStyle w:val="OP"/>
      </w:pPr>
      <w:r w:rsidRPr="006C569D">
        <w:t xml:space="preserve">The implementation of categorical eligibility </w:t>
      </w:r>
      <w:r w:rsidRPr="00F73675">
        <w:t xml:space="preserve">enrollment </w:t>
      </w:r>
      <w:r w:rsidRPr="004D223C">
        <w:t>will</w:t>
      </w:r>
      <w:r w:rsidRPr="006C569D">
        <w:t xml:space="preserve"> increase the CARE program enrollment rate</w:t>
      </w:r>
      <w:r>
        <w:t xml:space="preserve"> and should be approved</w:t>
      </w:r>
      <w:r w:rsidRPr="006C569D">
        <w:t>.</w:t>
      </w:r>
    </w:p>
    <w:p w:rsidRPr="006C569D" w:rsidR="008959A4" w:rsidP="008959A4" w:rsidRDefault="008959A4" w14:paraId="1C5ABE99" w14:textId="6674C85B">
      <w:pPr>
        <w:pStyle w:val="OP"/>
        <w:rPr>
          <w:rFonts w:cstheme="minorBidi"/>
          <w:szCs w:val="22"/>
        </w:rPr>
      </w:pPr>
      <w:r w:rsidRPr="006C569D">
        <w:rPr>
          <w:rFonts w:cstheme="minorBidi"/>
          <w:szCs w:val="22"/>
        </w:rPr>
        <w:t>The CARE capitation reimbursement rate should be increased to help increase the CARE program enrollment rate, educate customers on the CARE discount, and assists customers in enrolling in the ESA program.</w:t>
      </w:r>
    </w:p>
    <w:p w:rsidRPr="006C569D" w:rsidR="008959A4" w:rsidP="008959A4" w:rsidRDefault="008959A4" w14:paraId="604EC64D" w14:textId="77777777">
      <w:pPr>
        <w:pStyle w:val="OP"/>
        <w:rPr>
          <w:rFonts w:cstheme="minorBidi"/>
          <w:szCs w:val="22"/>
        </w:rPr>
      </w:pPr>
      <w:r w:rsidRPr="006C569D">
        <w:rPr>
          <w:rFonts w:cstheme="minorBidi"/>
          <w:szCs w:val="22"/>
        </w:rPr>
        <w:t xml:space="preserve">Dedicated funding should be provided for the targeted marketing, education and outreach of the CARE program to help the </w:t>
      </w:r>
      <w:r>
        <w:t>SMJUs</w:t>
      </w:r>
      <w:r w:rsidRPr="00995A91">
        <w:t xml:space="preserve"> </w:t>
      </w:r>
      <w:r w:rsidRPr="006C569D">
        <w:rPr>
          <w:rFonts w:cstheme="minorBidi"/>
          <w:szCs w:val="22"/>
        </w:rPr>
        <w:t>to meet the CARE program goals.</w:t>
      </w:r>
    </w:p>
    <w:p w:rsidR="008959A4" w:rsidP="008959A4" w:rsidRDefault="008959A4" w14:paraId="491A6631" w14:textId="24A7C94A">
      <w:pPr>
        <w:pStyle w:val="OP"/>
        <w:rPr>
          <w:rFonts w:cstheme="minorBidi"/>
          <w:szCs w:val="22"/>
        </w:rPr>
      </w:pPr>
      <w:r w:rsidRPr="006C569D">
        <w:rPr>
          <w:rFonts w:cstheme="minorBidi"/>
          <w:szCs w:val="22"/>
        </w:rPr>
        <w:t>The ESA program should continue to offer energy efficiency services to eligible households with total household annual gross income at 200 percent or less of the federal poverty guideline level</w:t>
      </w:r>
      <w:r w:rsidR="00825380">
        <w:rPr>
          <w:rFonts w:cstheme="minorBidi"/>
          <w:szCs w:val="22"/>
        </w:rPr>
        <w:t xml:space="preserve"> until </w:t>
      </w:r>
      <w:r w:rsidRPr="00E227D1" w:rsidR="00E227D1">
        <w:rPr>
          <w:rFonts w:cstheme="minorBidi"/>
          <w:szCs w:val="22"/>
        </w:rPr>
        <w:t>June 30, 2022</w:t>
      </w:r>
      <w:r w:rsidRPr="006C569D">
        <w:rPr>
          <w:rFonts w:cstheme="minorBidi"/>
          <w:szCs w:val="22"/>
        </w:rPr>
        <w:t>.</w:t>
      </w:r>
    </w:p>
    <w:p w:rsidRPr="006C569D" w:rsidR="00E227D1" w:rsidP="008959A4" w:rsidRDefault="00E227D1" w14:paraId="53E1DFFE" w14:textId="6249F0B5">
      <w:pPr>
        <w:pStyle w:val="OP"/>
        <w:rPr>
          <w:rFonts w:cstheme="minorBidi"/>
          <w:szCs w:val="22"/>
        </w:rPr>
      </w:pPr>
      <w:r w:rsidRPr="006C569D">
        <w:rPr>
          <w:rFonts w:cstheme="minorBidi"/>
          <w:szCs w:val="22"/>
        </w:rPr>
        <w:t>The ESA program should offer energy efficiency services to eligible households with total household annual gross income at 2</w:t>
      </w:r>
      <w:r>
        <w:rPr>
          <w:rFonts w:cstheme="minorBidi"/>
          <w:szCs w:val="22"/>
        </w:rPr>
        <w:t>5</w:t>
      </w:r>
      <w:r w:rsidRPr="006C569D">
        <w:rPr>
          <w:rFonts w:cstheme="minorBidi"/>
          <w:szCs w:val="22"/>
        </w:rPr>
        <w:t>0 percent or less of the federal poverty guideline level</w:t>
      </w:r>
      <w:r>
        <w:rPr>
          <w:rFonts w:cstheme="minorBidi"/>
          <w:szCs w:val="22"/>
        </w:rPr>
        <w:t xml:space="preserve"> beginning July 1</w:t>
      </w:r>
      <w:r w:rsidRPr="00E227D1">
        <w:rPr>
          <w:rFonts w:cstheme="minorBidi"/>
          <w:szCs w:val="22"/>
        </w:rPr>
        <w:t>, 2022</w:t>
      </w:r>
      <w:r>
        <w:rPr>
          <w:rFonts w:cstheme="minorBidi"/>
          <w:szCs w:val="22"/>
        </w:rPr>
        <w:t>.</w:t>
      </w:r>
    </w:p>
    <w:p w:rsidRPr="006C569D" w:rsidR="008959A4" w:rsidP="008959A4" w:rsidRDefault="008959A4" w14:paraId="14CF4710" w14:textId="77777777">
      <w:pPr>
        <w:pStyle w:val="OP"/>
        <w:rPr>
          <w:rFonts w:cstheme="minorBidi"/>
          <w:szCs w:val="22"/>
        </w:rPr>
      </w:pPr>
      <w:r w:rsidRPr="006C569D">
        <w:rPr>
          <w:rFonts w:cstheme="minorBidi"/>
          <w:szCs w:val="22"/>
        </w:rPr>
        <w:t>The ESA program should continue to take into consideration both the cost</w:t>
      </w:r>
      <w:r>
        <w:rPr>
          <w:rFonts w:cstheme="minorBidi"/>
          <w:szCs w:val="22"/>
        </w:rPr>
        <w:noBreakHyphen/>
      </w:r>
      <w:r w:rsidRPr="006C569D">
        <w:rPr>
          <w:rFonts w:cstheme="minorBidi"/>
          <w:szCs w:val="22"/>
        </w:rPr>
        <w:t>effectiveness of the services and the policy of reducing the hardships facing low</w:t>
      </w:r>
      <w:r>
        <w:rPr>
          <w:rFonts w:cstheme="minorBidi"/>
          <w:szCs w:val="22"/>
        </w:rPr>
        <w:noBreakHyphen/>
      </w:r>
      <w:r w:rsidRPr="006C569D">
        <w:rPr>
          <w:rFonts w:cstheme="minorBidi"/>
          <w:szCs w:val="22"/>
        </w:rPr>
        <w:t xml:space="preserve">income households when designing the program.   </w:t>
      </w:r>
    </w:p>
    <w:p w:rsidRPr="006C569D" w:rsidR="008959A4" w:rsidP="008959A4" w:rsidRDefault="008959A4" w14:paraId="6EE5DB72" w14:textId="77777777">
      <w:pPr>
        <w:pStyle w:val="OP"/>
        <w:rPr>
          <w:rFonts w:cstheme="minorBidi"/>
          <w:szCs w:val="22"/>
        </w:rPr>
      </w:pPr>
      <w:r w:rsidRPr="006C569D">
        <w:rPr>
          <w:rFonts w:cstheme="minorBidi"/>
          <w:szCs w:val="22"/>
        </w:rPr>
        <w:t xml:space="preserve">Given that the </w:t>
      </w:r>
      <w:r>
        <w:t>SMJUs</w:t>
      </w:r>
      <w:r w:rsidRPr="00995A91">
        <w:t xml:space="preserve"> </w:t>
      </w:r>
      <w:r w:rsidRPr="006C569D">
        <w:rPr>
          <w:rFonts w:cstheme="minorBidi"/>
          <w:szCs w:val="22"/>
        </w:rPr>
        <w:t>have essentially achieved the statutory goal of treating all willing and eligible households by 2020, except for Southwest Gas, the ESA program design and delivery models should shift towards a Basic and Plus level model based on need.</w:t>
      </w:r>
    </w:p>
    <w:p w:rsidRPr="006C569D" w:rsidR="008959A4" w:rsidP="008959A4" w:rsidRDefault="008959A4" w14:paraId="03208BD2" w14:textId="77777777">
      <w:pPr>
        <w:pStyle w:val="OP"/>
        <w:rPr>
          <w:rFonts w:cstheme="minorBidi"/>
          <w:szCs w:val="22"/>
        </w:rPr>
      </w:pPr>
      <w:r w:rsidRPr="006C569D">
        <w:rPr>
          <w:rFonts w:cstheme="minorBidi"/>
          <w:szCs w:val="22"/>
        </w:rPr>
        <w:lastRenderedPageBreak/>
        <w:t>The ESA program measures should focus on deeper energy savings that will help achieve program goals.</w:t>
      </w:r>
    </w:p>
    <w:p w:rsidRPr="006C569D" w:rsidR="008959A4" w:rsidP="008959A4" w:rsidRDefault="008959A4" w14:paraId="12A09DE1" w14:textId="77777777">
      <w:pPr>
        <w:pStyle w:val="OP"/>
        <w:rPr>
          <w:rFonts w:cstheme="minorBidi"/>
          <w:szCs w:val="22"/>
        </w:rPr>
      </w:pPr>
      <w:r w:rsidRPr="006C569D">
        <w:rPr>
          <w:rFonts w:cstheme="minorBidi"/>
          <w:szCs w:val="22"/>
        </w:rPr>
        <w:t xml:space="preserve">Energy savings goals should be established for the ESA program to require the </w:t>
      </w:r>
      <w:r>
        <w:t>SMJUs</w:t>
      </w:r>
      <w:r w:rsidRPr="00995A91">
        <w:t xml:space="preserve"> </w:t>
      </w:r>
      <w:r w:rsidRPr="006C569D">
        <w:rPr>
          <w:rFonts w:cstheme="minorBidi"/>
          <w:szCs w:val="22"/>
        </w:rPr>
        <w:t>to be more targeted, tailored, thoughtful, and strategic about treatments.</w:t>
      </w:r>
    </w:p>
    <w:p w:rsidRPr="006C569D" w:rsidR="008959A4" w:rsidP="008959A4" w:rsidRDefault="008959A4" w14:paraId="36D5891F" w14:textId="77777777">
      <w:pPr>
        <w:pStyle w:val="OP"/>
        <w:rPr>
          <w:rFonts w:cstheme="minorBidi"/>
          <w:szCs w:val="22"/>
        </w:rPr>
      </w:pPr>
      <w:r w:rsidRPr="006C569D">
        <w:rPr>
          <w:rFonts w:cstheme="minorBidi"/>
          <w:szCs w:val="22"/>
        </w:rPr>
        <w:t xml:space="preserve">Household treatment targets, as opposed to goals, should be established for the ESA program to allow the </w:t>
      </w:r>
      <w:r>
        <w:t>SMJUs</w:t>
      </w:r>
      <w:r w:rsidRPr="00995A91">
        <w:t xml:space="preserve"> </w:t>
      </w:r>
      <w:r w:rsidRPr="006C569D">
        <w:rPr>
          <w:rFonts w:cstheme="minorBidi"/>
          <w:szCs w:val="22"/>
        </w:rPr>
        <w:t>to focus less on treating as many households as possible and more on the quality of the treatments by household.</w:t>
      </w:r>
    </w:p>
    <w:p w:rsidR="008959A4" w:rsidP="008959A4" w:rsidRDefault="008959A4" w14:paraId="38FA4693" w14:textId="77777777">
      <w:pPr>
        <w:pStyle w:val="OP"/>
        <w:rPr>
          <w:rFonts w:cstheme="minorBidi"/>
          <w:szCs w:val="22"/>
        </w:rPr>
      </w:pPr>
      <w:r w:rsidRPr="006C569D">
        <w:rPr>
          <w:rFonts w:cstheme="minorBidi"/>
          <w:szCs w:val="22"/>
        </w:rPr>
        <w:t xml:space="preserve">The </w:t>
      </w:r>
      <w:r>
        <w:t>SMJUs</w:t>
      </w:r>
      <w:r w:rsidRPr="00995A91">
        <w:t xml:space="preserve"> </w:t>
      </w:r>
      <w:r w:rsidRPr="006C569D">
        <w:rPr>
          <w:rFonts w:cstheme="minorBidi"/>
          <w:szCs w:val="22"/>
        </w:rPr>
        <w:t>should have flexibility in modifying and developing their own measure mix and customer segmentation strategies so that the programs can be tailored to better meet the household’s needs.</w:t>
      </w:r>
    </w:p>
    <w:p w:rsidRPr="006C569D" w:rsidR="008959A4" w:rsidP="008959A4" w:rsidRDefault="008959A4" w14:paraId="747246D9" w14:textId="77777777">
      <w:pPr>
        <w:pStyle w:val="OP"/>
        <w:rPr>
          <w:rFonts w:cstheme="minorBidi"/>
          <w:szCs w:val="22"/>
        </w:rPr>
      </w:pPr>
      <w:r w:rsidRPr="001065B2">
        <w:rPr>
          <w:rFonts w:cstheme="minorBidi"/>
          <w:szCs w:val="22"/>
        </w:rPr>
        <w:t xml:space="preserve">Contracts the </w:t>
      </w:r>
      <w:r>
        <w:t>SMJUs</w:t>
      </w:r>
      <w:r w:rsidRPr="00995A91">
        <w:t xml:space="preserve"> </w:t>
      </w:r>
      <w:r w:rsidRPr="001065B2">
        <w:rPr>
          <w:rFonts w:cstheme="minorBidi"/>
          <w:szCs w:val="22"/>
        </w:rPr>
        <w:t xml:space="preserve">hold with ESA program contractors should be established/updated to reflect the changes to program design and delivery set forth in this decision.  </w:t>
      </w:r>
    </w:p>
    <w:p w:rsidRPr="006C569D" w:rsidR="008959A4" w:rsidP="008959A4" w:rsidRDefault="008959A4" w14:paraId="5F14DDAE" w14:textId="77777777">
      <w:pPr>
        <w:pStyle w:val="OP"/>
        <w:rPr>
          <w:rFonts w:cstheme="minorBidi"/>
          <w:szCs w:val="22"/>
        </w:rPr>
      </w:pPr>
      <w:r w:rsidRPr="006C569D">
        <w:rPr>
          <w:rFonts w:cstheme="minorBidi"/>
          <w:szCs w:val="22"/>
        </w:rPr>
        <w:t xml:space="preserve">Cost effectiveness guidelines should be established for the ESA program to hold the </w:t>
      </w:r>
      <w:r>
        <w:t>SMJUs</w:t>
      </w:r>
      <w:r w:rsidRPr="00995A91">
        <w:t xml:space="preserve"> </w:t>
      </w:r>
      <w:r w:rsidRPr="006C569D">
        <w:rPr>
          <w:rFonts w:cstheme="minorBidi"/>
          <w:szCs w:val="22"/>
        </w:rPr>
        <w:t>accountable for ensuring the best use of ratepayer funds.</w:t>
      </w:r>
    </w:p>
    <w:p w:rsidRPr="006C569D" w:rsidR="008959A4" w:rsidP="008959A4" w:rsidRDefault="008959A4" w14:paraId="3E8936F3" w14:textId="77777777">
      <w:pPr>
        <w:pStyle w:val="OP"/>
        <w:rPr>
          <w:rFonts w:cstheme="minorBidi"/>
          <w:szCs w:val="22"/>
        </w:rPr>
      </w:pPr>
      <w:r w:rsidRPr="006C569D">
        <w:rPr>
          <w:rFonts w:cstheme="minorBidi"/>
          <w:szCs w:val="22"/>
        </w:rPr>
        <w:t>Certain ESA program rules (including self-certification, categorical eligibility, and property owner approvals/waivers) should be modified to decrease barriers to participation and/or protect the integrity of the program.</w:t>
      </w:r>
    </w:p>
    <w:p w:rsidRPr="006C569D" w:rsidR="008959A4" w:rsidP="008959A4" w:rsidRDefault="008959A4" w14:paraId="310DE0D8" w14:textId="77777777">
      <w:pPr>
        <w:pStyle w:val="OP"/>
        <w:rPr>
          <w:rFonts w:cstheme="minorBidi"/>
          <w:szCs w:val="22"/>
        </w:rPr>
      </w:pPr>
      <w:r w:rsidRPr="006C569D">
        <w:rPr>
          <w:rFonts w:cstheme="minorBidi"/>
          <w:szCs w:val="22"/>
        </w:rPr>
        <w:t xml:space="preserve">Minor program changes (including updating measures, manuals, fund shifts) should be allowed to be made through the </w:t>
      </w:r>
      <w:r>
        <w:t>SMJUs’</w:t>
      </w:r>
      <w:r w:rsidRPr="00995A91">
        <w:t xml:space="preserve"> </w:t>
      </w:r>
      <w:r w:rsidRPr="006C569D">
        <w:rPr>
          <w:rFonts w:cstheme="minorBidi"/>
          <w:szCs w:val="22"/>
        </w:rPr>
        <w:t>reports, or an advice letter, as opposed to a petition for modification to the decision to ease administrative burdens on all parties and Commission staff.</w:t>
      </w:r>
    </w:p>
    <w:p w:rsidRPr="006C569D" w:rsidR="008959A4" w:rsidP="008959A4" w:rsidRDefault="008959A4" w14:paraId="7C778CC4" w14:textId="77777777">
      <w:pPr>
        <w:pStyle w:val="OP"/>
        <w:rPr>
          <w:rFonts w:cstheme="minorBidi"/>
          <w:szCs w:val="22"/>
        </w:rPr>
      </w:pPr>
      <w:r w:rsidRPr="006C569D">
        <w:rPr>
          <w:rFonts w:cstheme="minorBidi"/>
          <w:szCs w:val="22"/>
        </w:rPr>
        <w:t xml:space="preserve">Dedicated funding should be provided for marketing, education and outreach efforts for the ESA program to help the </w:t>
      </w:r>
      <w:r>
        <w:t>SMJUs</w:t>
      </w:r>
      <w:r w:rsidRPr="00995A91">
        <w:t xml:space="preserve"> </w:t>
      </w:r>
      <w:r w:rsidRPr="006C569D">
        <w:rPr>
          <w:rFonts w:cstheme="minorBidi"/>
          <w:szCs w:val="22"/>
        </w:rPr>
        <w:t>meet the ESA program goals.</w:t>
      </w:r>
    </w:p>
    <w:p w:rsidRPr="006C569D" w:rsidR="008959A4" w:rsidP="008959A4" w:rsidRDefault="008959A4" w14:paraId="1160344A" w14:textId="77777777">
      <w:pPr>
        <w:pStyle w:val="OP"/>
        <w:rPr>
          <w:rFonts w:cstheme="minorBidi"/>
          <w:szCs w:val="22"/>
        </w:rPr>
      </w:pPr>
      <w:r w:rsidRPr="006C569D">
        <w:rPr>
          <w:rFonts w:cstheme="minorBidi"/>
          <w:szCs w:val="22"/>
        </w:rPr>
        <w:lastRenderedPageBreak/>
        <w:t xml:space="preserve">The </w:t>
      </w:r>
      <w:r>
        <w:t>SMJUs</w:t>
      </w:r>
      <w:r w:rsidRPr="00995A91">
        <w:t xml:space="preserve"> </w:t>
      </w:r>
      <w:r w:rsidRPr="006C569D">
        <w:rPr>
          <w:rFonts w:cstheme="minorBidi"/>
          <w:szCs w:val="22"/>
        </w:rPr>
        <w:t xml:space="preserve">should consider new ESA measures for the multifamily sector because these treatments offer opportunities for savings. </w:t>
      </w:r>
    </w:p>
    <w:p w:rsidRPr="006C569D" w:rsidR="008959A4" w:rsidP="008959A4" w:rsidRDefault="008959A4" w14:paraId="32C2C2BD" w14:textId="77777777">
      <w:pPr>
        <w:pStyle w:val="OP"/>
        <w:rPr>
          <w:rFonts w:cstheme="minorBidi"/>
          <w:szCs w:val="22"/>
        </w:rPr>
      </w:pPr>
      <w:r w:rsidRPr="006C569D">
        <w:rPr>
          <w:rFonts w:cstheme="minorBidi"/>
          <w:szCs w:val="22"/>
        </w:rPr>
        <w:t xml:space="preserve">The </w:t>
      </w:r>
      <w:r>
        <w:t>SMJUs’</w:t>
      </w:r>
      <w:r w:rsidRPr="00995A91">
        <w:t xml:space="preserve"> </w:t>
      </w:r>
      <w:r w:rsidRPr="006C569D">
        <w:rPr>
          <w:rFonts w:cstheme="minorBidi"/>
          <w:szCs w:val="22"/>
        </w:rPr>
        <w:t xml:space="preserve">ESA program budgets should not be authorized at proposed levels given that they have consistently underspent past authorized budgets since 2018 and have failed to justify areas of significant budget increases. </w:t>
      </w:r>
    </w:p>
    <w:p w:rsidRPr="006C569D" w:rsidR="008959A4" w:rsidP="008959A4" w:rsidRDefault="008959A4" w14:paraId="74B5ADEA" w14:textId="77777777">
      <w:pPr>
        <w:pStyle w:val="OP"/>
        <w:rPr>
          <w:rFonts w:cstheme="minorBidi"/>
          <w:szCs w:val="22"/>
        </w:rPr>
      </w:pPr>
      <w:r w:rsidRPr="006C569D">
        <w:rPr>
          <w:rFonts w:cstheme="minorBidi"/>
          <w:szCs w:val="22"/>
        </w:rPr>
        <w:t>The accumulation of large sums of unspent and uncommitted funds should not be carried over from year to year to supplement future budgets as it misrepresents the true costs of providing program services and poses the risk of program funds being shifted to sources that do not benefit low</w:t>
      </w:r>
      <w:r>
        <w:rPr>
          <w:rFonts w:cstheme="minorBidi"/>
          <w:szCs w:val="22"/>
        </w:rPr>
        <w:t>-</w:t>
      </w:r>
      <w:r w:rsidRPr="006C569D">
        <w:rPr>
          <w:rFonts w:cstheme="minorBidi"/>
          <w:szCs w:val="22"/>
        </w:rPr>
        <w:t xml:space="preserve">income customers and are against statutory requirements. </w:t>
      </w:r>
    </w:p>
    <w:p w:rsidRPr="006C569D" w:rsidR="008959A4" w:rsidP="008959A4" w:rsidRDefault="008959A4" w14:paraId="78DDE15E" w14:textId="77777777">
      <w:pPr>
        <w:pStyle w:val="OP"/>
        <w:rPr>
          <w:rFonts w:cstheme="minorBidi"/>
          <w:szCs w:val="22"/>
        </w:rPr>
      </w:pPr>
      <w:r w:rsidRPr="006C569D">
        <w:rPr>
          <w:rFonts w:cstheme="minorBidi"/>
          <w:szCs w:val="22"/>
        </w:rPr>
        <w:t xml:space="preserve">The </w:t>
      </w:r>
      <w:r>
        <w:t>SMJUs</w:t>
      </w:r>
      <w:r w:rsidRPr="00995A91">
        <w:t xml:space="preserve"> </w:t>
      </w:r>
      <w:r w:rsidRPr="006C569D">
        <w:rPr>
          <w:rFonts w:cstheme="minorBidi"/>
          <w:szCs w:val="22"/>
        </w:rPr>
        <w:t>should continue to monitor and collect data on the CARE and ESA programs through the quarterly/annual report, studies, evaluations and pilots to enhance the programs.</w:t>
      </w:r>
    </w:p>
    <w:p w:rsidRPr="006C569D" w:rsidR="008959A4" w:rsidP="008959A4" w:rsidRDefault="008959A4" w14:paraId="731BBA9F" w14:textId="77777777">
      <w:pPr>
        <w:pStyle w:val="OP"/>
        <w:rPr>
          <w:rFonts w:cstheme="minorBidi"/>
          <w:szCs w:val="22"/>
        </w:rPr>
      </w:pPr>
      <w:r>
        <w:rPr>
          <w:rFonts w:cstheme="minorBidi"/>
          <w:szCs w:val="22"/>
        </w:rPr>
        <w:t>T</w:t>
      </w:r>
      <w:r w:rsidRPr="006C569D">
        <w:rPr>
          <w:rFonts w:cstheme="minorBidi"/>
          <w:szCs w:val="22"/>
        </w:rPr>
        <w:t xml:space="preserve">he </w:t>
      </w:r>
      <w:r>
        <w:rPr>
          <w:rFonts w:cstheme="minorBidi"/>
          <w:szCs w:val="22"/>
        </w:rPr>
        <w:t xml:space="preserve">proposed </w:t>
      </w:r>
      <w:r w:rsidRPr="006C569D">
        <w:rPr>
          <w:rFonts w:cstheme="minorBidi"/>
          <w:szCs w:val="22"/>
        </w:rPr>
        <w:t xml:space="preserve">CARE budgets </w:t>
      </w:r>
      <w:r>
        <w:rPr>
          <w:rFonts w:cstheme="minorBidi"/>
          <w:szCs w:val="22"/>
        </w:rPr>
        <w:t>are</w:t>
      </w:r>
      <w:r w:rsidRPr="006C569D">
        <w:rPr>
          <w:rFonts w:cstheme="minorBidi"/>
          <w:szCs w:val="22"/>
        </w:rPr>
        <w:t xml:space="preserve"> needed to enroll that last remaining, hard to reach, group of customers</w:t>
      </w:r>
      <w:r>
        <w:rPr>
          <w:rFonts w:cstheme="minorBidi"/>
          <w:szCs w:val="22"/>
        </w:rPr>
        <w:t xml:space="preserve"> and should be approved</w:t>
      </w:r>
      <w:r w:rsidRPr="006C569D">
        <w:rPr>
          <w:rFonts w:cstheme="minorBidi"/>
          <w:szCs w:val="22"/>
        </w:rPr>
        <w:t xml:space="preserve">. </w:t>
      </w:r>
    </w:p>
    <w:p w:rsidRPr="006C569D" w:rsidR="008959A4" w:rsidP="008959A4" w:rsidRDefault="008959A4" w14:paraId="09D36020" w14:textId="77777777">
      <w:pPr>
        <w:pStyle w:val="OP"/>
        <w:spacing w:after="120"/>
        <w:ind w:firstLine="547"/>
        <w:rPr>
          <w:rFonts w:cstheme="minorBidi"/>
          <w:szCs w:val="22"/>
        </w:rPr>
      </w:pPr>
      <w:r>
        <w:rPr>
          <w:rFonts w:cstheme="minorBidi"/>
          <w:szCs w:val="22"/>
        </w:rPr>
        <w:t>T</w:t>
      </w:r>
      <w:r w:rsidRPr="006C569D">
        <w:rPr>
          <w:rFonts w:cstheme="minorBidi"/>
          <w:szCs w:val="22"/>
        </w:rPr>
        <w:t xml:space="preserve">he </w:t>
      </w:r>
      <w:r>
        <w:rPr>
          <w:rFonts w:cstheme="minorBidi"/>
          <w:szCs w:val="22"/>
        </w:rPr>
        <w:t xml:space="preserve">proposed </w:t>
      </w:r>
      <w:r w:rsidRPr="006C569D">
        <w:rPr>
          <w:rFonts w:cstheme="minorBidi"/>
          <w:szCs w:val="22"/>
        </w:rPr>
        <w:t xml:space="preserve">ESA budgets </w:t>
      </w:r>
      <w:r>
        <w:rPr>
          <w:rFonts w:cstheme="minorBidi"/>
          <w:szCs w:val="22"/>
        </w:rPr>
        <w:t>are</w:t>
      </w:r>
      <w:r w:rsidRPr="006C569D">
        <w:rPr>
          <w:rFonts w:cstheme="minorBidi"/>
          <w:szCs w:val="22"/>
        </w:rPr>
        <w:t xml:space="preserve"> needed to support the new ESA design and shift to deeper energy savings</w:t>
      </w:r>
      <w:r w:rsidRPr="00F73675">
        <w:rPr>
          <w:rFonts w:cstheme="minorBidi"/>
          <w:szCs w:val="22"/>
        </w:rPr>
        <w:t xml:space="preserve"> </w:t>
      </w:r>
      <w:r>
        <w:rPr>
          <w:rFonts w:cstheme="minorBidi"/>
          <w:szCs w:val="22"/>
        </w:rPr>
        <w:t>and should be approved with modifications</w:t>
      </w:r>
      <w:r w:rsidRPr="006C569D">
        <w:rPr>
          <w:rFonts w:cstheme="minorBidi"/>
          <w:szCs w:val="22"/>
        </w:rPr>
        <w:t xml:space="preserve">. </w:t>
      </w:r>
    </w:p>
    <w:p w:rsidRPr="00292155" w:rsidR="008959A4" w:rsidP="008959A4" w:rsidRDefault="008959A4" w14:paraId="0D1B5091" w14:textId="77777777">
      <w:pPr>
        <w:pStyle w:val="Mainex"/>
      </w:pPr>
      <w:bookmarkStart w:name="_Toc12866697" w:id="358"/>
      <w:bookmarkStart w:name="_Toc82159911" w:id="359"/>
      <w:r w:rsidRPr="00292155">
        <w:t>ORDER</w:t>
      </w:r>
      <w:bookmarkEnd w:id="358"/>
      <w:bookmarkEnd w:id="359"/>
    </w:p>
    <w:p w:rsidRPr="00292155" w:rsidR="008959A4" w:rsidP="008959A4" w:rsidRDefault="008959A4" w14:paraId="6BEE9334" w14:textId="77777777">
      <w:pPr>
        <w:keepNext/>
        <w:spacing w:line="360" w:lineRule="auto"/>
        <w:ind w:firstLine="720"/>
        <w:rPr>
          <w:rFonts w:cstheme="minorBidi"/>
          <w:szCs w:val="22"/>
        </w:rPr>
      </w:pPr>
      <w:r w:rsidRPr="00292155">
        <w:rPr>
          <w:rFonts w:cstheme="minorBidi"/>
          <w:b/>
          <w:szCs w:val="22"/>
        </w:rPr>
        <w:t>IT IS ORDERED</w:t>
      </w:r>
      <w:r w:rsidRPr="00292155">
        <w:rPr>
          <w:rFonts w:cstheme="minorBidi"/>
          <w:szCs w:val="22"/>
        </w:rPr>
        <w:t xml:space="preserve"> that:</w:t>
      </w:r>
    </w:p>
    <w:p w:rsidR="008959A4" w:rsidP="008959A4" w:rsidRDefault="008959A4" w14:paraId="3A922B80" w14:textId="77777777">
      <w:pPr>
        <w:numPr>
          <w:ilvl w:val="0"/>
          <w:numId w:val="3"/>
        </w:numPr>
        <w:spacing w:line="360" w:lineRule="auto"/>
        <w:rPr>
          <w:rFonts w:cstheme="minorBidi"/>
          <w:szCs w:val="22"/>
        </w:rPr>
      </w:pPr>
      <w:r w:rsidRPr="00292155">
        <w:rPr>
          <w:rFonts w:cstheme="minorBidi"/>
          <w:szCs w:val="22"/>
        </w:rPr>
        <w:t>The California Alternate Rates for Energy program budgets of Alpine Natural Gas Operating Company No. 1, LLC, Golden State Water Company on behalf of Bear Valley Electric Service Division, Liberty Utilities LLC, PacifiCorp, Southwest Gas Corporation, and West Coast Gas Company are authorized collectively at $83,143,086 for program years 2021-2026.</w:t>
      </w:r>
    </w:p>
    <w:p w:rsidRPr="00292155" w:rsidR="008959A4" w:rsidP="008959A4" w:rsidRDefault="008959A4" w14:paraId="149B9FD9" w14:textId="77777777">
      <w:pPr>
        <w:numPr>
          <w:ilvl w:val="0"/>
          <w:numId w:val="3"/>
        </w:numPr>
        <w:spacing w:line="360" w:lineRule="auto"/>
        <w:rPr>
          <w:rFonts w:cstheme="minorBidi"/>
          <w:szCs w:val="22"/>
        </w:rPr>
      </w:pPr>
      <w:r w:rsidRPr="00292155">
        <w:rPr>
          <w:szCs w:val="26"/>
        </w:rPr>
        <w:t xml:space="preserve">The Energy Savings Assistance program budgets of </w:t>
      </w:r>
      <w:r w:rsidRPr="00D41D5B">
        <w:t>Alpine Natural Gas Operating Company No. 1, LLC</w:t>
      </w:r>
      <w:r>
        <w:t xml:space="preserve">, </w:t>
      </w:r>
      <w:r w:rsidRPr="00D41D5B">
        <w:t xml:space="preserve">Golden State Water Company on behalf </w:t>
      </w:r>
      <w:r>
        <w:t xml:space="preserve">of </w:t>
      </w:r>
      <w:r w:rsidRPr="00D41D5B">
        <w:t xml:space="preserve">Bear </w:t>
      </w:r>
      <w:r w:rsidRPr="00D41D5B">
        <w:lastRenderedPageBreak/>
        <w:t>Valley Electric Service Division,</w:t>
      </w:r>
      <w:r>
        <w:t xml:space="preserve"> </w:t>
      </w:r>
      <w:r w:rsidRPr="00D41D5B">
        <w:t>Liberty Utilities LL</w:t>
      </w:r>
      <w:r>
        <w:t>C</w:t>
      </w:r>
      <w:r w:rsidRPr="00D41D5B">
        <w:t xml:space="preserve">, PacifiCorp, </w:t>
      </w:r>
      <w:r>
        <w:t xml:space="preserve">and </w:t>
      </w:r>
      <w:r w:rsidRPr="00D41D5B">
        <w:t>Southwest Gas Corporation</w:t>
      </w:r>
      <w:r>
        <w:t xml:space="preserve"> </w:t>
      </w:r>
      <w:r w:rsidRPr="00292155">
        <w:rPr>
          <w:szCs w:val="26"/>
        </w:rPr>
        <w:t>are authorized at $</w:t>
      </w:r>
      <w:r w:rsidRPr="009641B2">
        <w:t>4</w:t>
      </w:r>
      <w:r>
        <w:t>1</w:t>
      </w:r>
      <w:r w:rsidRPr="009641B2">
        <w:t>,</w:t>
      </w:r>
      <w:r>
        <w:t>228</w:t>
      </w:r>
      <w:r w:rsidRPr="009641B2">
        <w:t>,</w:t>
      </w:r>
      <w:r>
        <w:t xml:space="preserve">759 </w:t>
      </w:r>
      <w:r w:rsidRPr="00292155">
        <w:rPr>
          <w:rFonts w:eastAsia="Times New Roman"/>
          <w:szCs w:val="26"/>
        </w:rPr>
        <w:t>for program years 2021-2026.</w:t>
      </w:r>
    </w:p>
    <w:p w:rsidRPr="00292155" w:rsidR="008959A4" w:rsidP="008959A4" w:rsidRDefault="008959A4" w14:paraId="31501336" w14:textId="77777777">
      <w:pPr>
        <w:numPr>
          <w:ilvl w:val="0"/>
          <w:numId w:val="3"/>
        </w:numPr>
        <w:spacing w:line="360" w:lineRule="auto"/>
        <w:rPr>
          <w:rFonts w:cstheme="minorBidi"/>
          <w:szCs w:val="22"/>
        </w:rPr>
      </w:pPr>
      <w:r w:rsidRPr="00292155">
        <w:rPr>
          <w:rFonts w:cstheme="minorBidi"/>
          <w:szCs w:val="22"/>
        </w:rPr>
        <w:t>The California Alternate Rates for Energy program enrollment goal will continue to be set at 90 percent during program years 2021-2026.</w:t>
      </w:r>
    </w:p>
    <w:p w:rsidRPr="00292155" w:rsidR="008959A4" w:rsidP="008959A4" w:rsidRDefault="008959A4" w14:paraId="67FDCE1D" w14:textId="482CC813">
      <w:pPr>
        <w:numPr>
          <w:ilvl w:val="0"/>
          <w:numId w:val="3"/>
        </w:numPr>
        <w:spacing w:line="360" w:lineRule="auto"/>
        <w:rPr>
          <w:rFonts w:cstheme="minorBidi"/>
          <w:szCs w:val="22"/>
        </w:rPr>
      </w:pPr>
      <w:r w:rsidRPr="00292155">
        <w:rPr>
          <w:rFonts w:cstheme="minorBidi"/>
          <w:szCs w:val="22"/>
        </w:rPr>
        <w:t>The California Alternate Rates for Energy program</w:t>
      </w:r>
      <w:r w:rsidR="007343AF">
        <w:rPr>
          <w:rFonts w:cstheme="minorBidi"/>
          <w:szCs w:val="22"/>
        </w:rPr>
        <w:t>’</w:t>
      </w:r>
      <w:r w:rsidRPr="00292155">
        <w:rPr>
          <w:rFonts w:cstheme="minorBidi"/>
          <w:szCs w:val="22"/>
        </w:rPr>
        <w:t>s income eligibility requirements will remain at 200 percent of Federal Poverty Guidelines.</w:t>
      </w:r>
    </w:p>
    <w:p w:rsidR="00696301" w:rsidP="00696301" w:rsidRDefault="00696301" w14:paraId="5600B77C" w14:textId="6763EE6E">
      <w:pPr>
        <w:numPr>
          <w:ilvl w:val="0"/>
          <w:numId w:val="3"/>
        </w:numPr>
        <w:spacing w:line="360" w:lineRule="auto"/>
        <w:rPr>
          <w:rFonts w:cstheme="minorBidi"/>
          <w:szCs w:val="22"/>
        </w:rPr>
      </w:pPr>
      <w:r w:rsidRPr="00292155">
        <w:rPr>
          <w:rFonts w:cstheme="minorBidi"/>
          <w:szCs w:val="22"/>
        </w:rPr>
        <w:t>The Energy Savings Assistance program</w:t>
      </w:r>
      <w:r w:rsidR="007343AF">
        <w:rPr>
          <w:rFonts w:cstheme="minorBidi"/>
          <w:szCs w:val="22"/>
        </w:rPr>
        <w:t>’</w:t>
      </w:r>
      <w:r w:rsidRPr="00292155">
        <w:rPr>
          <w:rFonts w:cstheme="minorBidi"/>
          <w:szCs w:val="22"/>
        </w:rPr>
        <w:t>s income eligibility requirements will remain at 200 percent of Federal Poverty Guidelines</w:t>
      </w:r>
      <w:r w:rsidR="007343AF">
        <w:rPr>
          <w:rFonts w:cstheme="minorBidi"/>
          <w:szCs w:val="22"/>
        </w:rPr>
        <w:t xml:space="preserve"> until June 30, 2022</w:t>
      </w:r>
      <w:r w:rsidR="005928AF">
        <w:rPr>
          <w:rFonts w:cstheme="minorBidi"/>
          <w:szCs w:val="22"/>
        </w:rPr>
        <w:t>.</w:t>
      </w:r>
    </w:p>
    <w:p w:rsidRPr="005928AF" w:rsidR="005928AF" w:rsidP="005928AF" w:rsidRDefault="005928AF" w14:paraId="7FBEF203" w14:textId="595FA22F">
      <w:pPr>
        <w:numPr>
          <w:ilvl w:val="0"/>
          <w:numId w:val="3"/>
        </w:numPr>
        <w:spacing w:line="360" w:lineRule="auto"/>
        <w:rPr>
          <w:rFonts w:cstheme="minorBidi"/>
          <w:szCs w:val="22"/>
        </w:rPr>
      </w:pPr>
      <w:r w:rsidRPr="00292155">
        <w:rPr>
          <w:rFonts w:cstheme="minorBidi"/>
          <w:szCs w:val="22"/>
        </w:rPr>
        <w:t>The Energy Savings Assistance program</w:t>
      </w:r>
      <w:r>
        <w:rPr>
          <w:rFonts w:cstheme="minorBidi"/>
          <w:szCs w:val="22"/>
        </w:rPr>
        <w:t>’</w:t>
      </w:r>
      <w:r w:rsidRPr="00292155">
        <w:rPr>
          <w:rFonts w:cstheme="minorBidi"/>
          <w:szCs w:val="22"/>
        </w:rPr>
        <w:t xml:space="preserve">s income eligibility requirements will </w:t>
      </w:r>
      <w:r>
        <w:rPr>
          <w:rFonts w:cstheme="minorBidi"/>
          <w:szCs w:val="22"/>
        </w:rPr>
        <w:t xml:space="preserve">be set </w:t>
      </w:r>
      <w:r w:rsidRPr="00292155">
        <w:rPr>
          <w:rFonts w:cstheme="minorBidi"/>
          <w:szCs w:val="22"/>
        </w:rPr>
        <w:t>at 2</w:t>
      </w:r>
      <w:r>
        <w:rPr>
          <w:rFonts w:cstheme="minorBidi"/>
          <w:szCs w:val="22"/>
        </w:rPr>
        <w:t>5</w:t>
      </w:r>
      <w:r w:rsidRPr="00292155">
        <w:rPr>
          <w:rFonts w:cstheme="minorBidi"/>
          <w:szCs w:val="22"/>
        </w:rPr>
        <w:t>0 percent of Federal Poverty Guidelines</w:t>
      </w:r>
      <w:r>
        <w:rPr>
          <w:rFonts w:cstheme="minorBidi"/>
          <w:szCs w:val="22"/>
        </w:rPr>
        <w:t xml:space="preserve"> starting </w:t>
      </w:r>
      <w:r w:rsidR="00D87CB9">
        <w:rPr>
          <w:rFonts w:cstheme="minorBidi"/>
          <w:szCs w:val="22"/>
        </w:rPr>
        <w:t xml:space="preserve">on </w:t>
      </w:r>
      <w:r>
        <w:rPr>
          <w:rFonts w:cstheme="minorBidi"/>
          <w:szCs w:val="22"/>
        </w:rPr>
        <w:t>July 1, 2022.</w:t>
      </w:r>
    </w:p>
    <w:p w:rsidRPr="00292155" w:rsidR="008959A4" w:rsidP="008959A4" w:rsidRDefault="008959A4" w14:paraId="0ED92407" w14:textId="77777777">
      <w:pPr>
        <w:numPr>
          <w:ilvl w:val="0"/>
          <w:numId w:val="3"/>
        </w:numPr>
        <w:spacing w:line="360" w:lineRule="auto"/>
        <w:rPr>
          <w:rFonts w:cstheme="minorBidi"/>
          <w:szCs w:val="22"/>
        </w:rPr>
      </w:pPr>
      <w:r w:rsidRPr="00292155">
        <w:rPr>
          <w:rFonts w:cstheme="minorBidi"/>
          <w:szCs w:val="22"/>
        </w:rPr>
        <w:t>The California Alternate Rates for Energy (CARE) enrollment rate must be measured for each utility as the ratio of enrolled CARE households to total eligible CARE households, as estimated by the yearly Annual CARE Eligibility Report.</w:t>
      </w:r>
    </w:p>
    <w:p w:rsidRPr="00292155" w:rsidR="008959A4" w:rsidP="008959A4" w:rsidRDefault="008959A4" w14:paraId="3B47CCD4" w14:textId="79045485">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 must file a Tier 1 advice letter by no later than February 21, 2024, if it fails to meet the California Alternate Rates for Energy (CARE) 90 percent </w:t>
      </w:r>
      <w:r>
        <w:t xml:space="preserve">enrollment </w:t>
      </w:r>
      <w:r w:rsidRPr="00292155">
        <w:rPr>
          <w:rFonts w:cstheme="minorBidi"/>
          <w:szCs w:val="22"/>
        </w:rPr>
        <w:t xml:space="preserve">goal by December 31, 2023. </w:t>
      </w:r>
      <w:r>
        <w:rPr>
          <w:rFonts w:cstheme="minorBidi"/>
          <w:szCs w:val="22"/>
        </w:rPr>
        <w:t xml:space="preserve"> </w:t>
      </w:r>
      <w:r w:rsidRPr="00292155">
        <w:rPr>
          <w:rFonts w:cstheme="minorBidi"/>
          <w:szCs w:val="22"/>
        </w:rPr>
        <w:t xml:space="preserve">The advice letter will include, but is not limited to, information on the cost of various outreach strategies implemented in the first three years of the program cycle, the utility’s most cost-effective strategies for increasing CARE enrollment, and any proposed outreach adjustments for the remaining program cycle based on the evaluation of previous outreach strategies. </w:t>
      </w:r>
    </w:p>
    <w:p w:rsidRPr="00292155" w:rsidR="008959A4" w:rsidP="008959A4" w:rsidRDefault="008959A4" w14:paraId="4C89A1E7" w14:textId="7C456C13">
      <w:pPr>
        <w:numPr>
          <w:ilvl w:val="0"/>
          <w:numId w:val="3"/>
        </w:numPr>
        <w:spacing w:line="360" w:lineRule="auto"/>
        <w:rPr>
          <w:rFonts w:cstheme="minorBidi"/>
          <w:szCs w:val="22"/>
        </w:rPr>
      </w:pPr>
      <w:r w:rsidRPr="00292155">
        <w:rPr>
          <w:rFonts w:cstheme="minorBidi"/>
          <w:szCs w:val="22"/>
        </w:rPr>
        <w:lastRenderedPageBreak/>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 must </w:t>
      </w:r>
      <w:r>
        <w:rPr>
          <w:rFonts w:cstheme="minorBidi"/>
          <w:szCs w:val="22"/>
        </w:rPr>
        <w:t xml:space="preserve">each </w:t>
      </w:r>
      <w:r w:rsidRPr="00292155">
        <w:rPr>
          <w:rFonts w:cstheme="minorBidi"/>
          <w:szCs w:val="22"/>
        </w:rPr>
        <w:t xml:space="preserve">implement categorical eligibility enrollment by no later than </w:t>
      </w:r>
      <w:r w:rsidR="00236602">
        <w:rPr>
          <w:rFonts w:cstheme="minorBidi"/>
          <w:szCs w:val="22"/>
        </w:rPr>
        <w:t>July </w:t>
      </w:r>
      <w:r w:rsidRPr="00292155">
        <w:rPr>
          <w:rFonts w:cstheme="minorBidi"/>
          <w:szCs w:val="22"/>
        </w:rPr>
        <w:t>1,</w:t>
      </w:r>
      <w:r>
        <w:rPr>
          <w:rFonts w:cstheme="minorBidi"/>
          <w:szCs w:val="22"/>
        </w:rPr>
        <w:t> </w:t>
      </w:r>
      <w:r w:rsidRPr="00292155">
        <w:rPr>
          <w:rFonts w:cstheme="minorBidi"/>
          <w:szCs w:val="22"/>
        </w:rPr>
        <w:t>202</w:t>
      </w:r>
      <w:r w:rsidR="00541930">
        <w:rPr>
          <w:rFonts w:cstheme="minorBidi"/>
          <w:szCs w:val="22"/>
        </w:rPr>
        <w:t>2</w:t>
      </w:r>
      <w:r w:rsidRPr="00292155">
        <w:rPr>
          <w:rFonts w:cstheme="minorBidi"/>
          <w:szCs w:val="22"/>
        </w:rPr>
        <w:t xml:space="preserve"> for the California Alternative Rates for Energy and the Energy Savings Assistance programs consisting of the same assistance programs used by the large Investor Owned Utilities’ categorical eligibility enrollment program.  This list of categorical eligible programs will automatically be updated when the categorical eligibility list of programs is also updated for the large utilities. </w:t>
      </w:r>
    </w:p>
    <w:p w:rsidRPr="00292155" w:rsidR="008959A4" w:rsidP="008959A4" w:rsidRDefault="008959A4" w14:paraId="5715004B"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 must </w:t>
      </w:r>
      <w:r>
        <w:rPr>
          <w:rFonts w:cstheme="minorBidi"/>
          <w:szCs w:val="22"/>
        </w:rPr>
        <w:t xml:space="preserve">each </w:t>
      </w:r>
      <w:r w:rsidRPr="00292155">
        <w:rPr>
          <w:rFonts w:cstheme="minorBidi"/>
          <w:szCs w:val="22"/>
        </w:rPr>
        <w:t xml:space="preserve">publish information regarding the categorical eligibility enrollment option on program resources and train their staff and contractors on implementation of the new categorical eligibility provisions for California Alternative Rates for Energy and the Energy Savings Assistance programs.  </w:t>
      </w:r>
    </w:p>
    <w:p w:rsidRPr="00292155" w:rsidR="008959A4" w:rsidP="008959A4" w:rsidRDefault="008959A4" w14:paraId="5BB9343B" w14:textId="0E501DE0">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 must</w:t>
      </w:r>
      <w:r>
        <w:rPr>
          <w:rFonts w:cstheme="minorBidi"/>
          <w:szCs w:val="22"/>
        </w:rPr>
        <w:t xml:space="preserve"> each</w:t>
      </w:r>
      <w:r w:rsidRPr="00292155">
        <w:rPr>
          <w:rFonts w:cstheme="minorBidi"/>
          <w:szCs w:val="22"/>
        </w:rPr>
        <w:t xml:space="preserve"> begin reporting the categorical eligibility enrollment numbers in its annual reports starting with the </w:t>
      </w:r>
      <w:r>
        <w:rPr>
          <w:rFonts w:cstheme="minorBidi"/>
          <w:szCs w:val="22"/>
        </w:rPr>
        <w:t xml:space="preserve">program year </w:t>
      </w:r>
      <w:r w:rsidRPr="00292155">
        <w:rPr>
          <w:rFonts w:cstheme="minorBidi"/>
          <w:szCs w:val="22"/>
        </w:rPr>
        <w:t>202</w:t>
      </w:r>
      <w:r w:rsidR="00541930">
        <w:rPr>
          <w:rFonts w:cstheme="minorBidi"/>
          <w:szCs w:val="22"/>
        </w:rPr>
        <w:t>2</w:t>
      </w:r>
      <w:r w:rsidRPr="00292155">
        <w:rPr>
          <w:rFonts w:cstheme="minorBidi"/>
          <w:szCs w:val="22"/>
        </w:rPr>
        <w:t xml:space="preserve"> annual report.</w:t>
      </w:r>
    </w:p>
    <w:p w:rsidRPr="00292155" w:rsidR="008959A4" w:rsidP="008959A4" w:rsidRDefault="008959A4" w14:paraId="6B15A65B" w14:textId="77777777">
      <w:pPr>
        <w:numPr>
          <w:ilvl w:val="0"/>
          <w:numId w:val="3"/>
        </w:numPr>
        <w:spacing w:line="360" w:lineRule="auto"/>
        <w:rPr>
          <w:rFonts w:cstheme="minorBidi"/>
          <w:szCs w:val="22"/>
        </w:rPr>
      </w:pPr>
      <w:r w:rsidRPr="00292155">
        <w:rPr>
          <w:rFonts w:cstheme="minorBidi"/>
          <w:szCs w:val="22"/>
        </w:rPr>
        <w:t>The California Alternate Rates for Energy capitation fee is increased from $20 to up to $30 per enrollment.</w:t>
      </w:r>
    </w:p>
    <w:p w:rsidRPr="00292155" w:rsidR="008959A4" w:rsidP="008959A4" w:rsidRDefault="008959A4" w14:paraId="389BD29E" w14:textId="77777777">
      <w:pPr>
        <w:numPr>
          <w:ilvl w:val="0"/>
          <w:numId w:val="3"/>
        </w:numPr>
        <w:spacing w:line="360" w:lineRule="auto"/>
        <w:rPr>
          <w:rFonts w:cstheme="minorBidi"/>
          <w:szCs w:val="22"/>
        </w:rPr>
      </w:pPr>
      <w:r w:rsidRPr="00292155">
        <w:rPr>
          <w:rFonts w:cstheme="minorBidi"/>
          <w:szCs w:val="22"/>
        </w:rPr>
        <w:t xml:space="preserve">The requirement to income verify, or post-enrollment verify, all California Alternate Rates for Energy customers that exceed 400 percent of baseline usage is </w:t>
      </w:r>
      <w:r w:rsidRPr="00292155">
        <w:rPr>
          <w:rFonts w:cstheme="minorBidi"/>
          <w:szCs w:val="22"/>
        </w:rPr>
        <w:lastRenderedPageBreak/>
        <w:t>modified from one time in a 12-month period to three times in a 12-month period.</w:t>
      </w:r>
    </w:p>
    <w:p w:rsidRPr="00292155" w:rsidR="008959A4" w:rsidP="008959A4" w:rsidRDefault="008959A4" w14:paraId="4CEBBE0E"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 must</w:t>
      </w:r>
      <w:r>
        <w:rPr>
          <w:rFonts w:cstheme="minorBidi"/>
          <w:szCs w:val="22"/>
        </w:rPr>
        <w:t xml:space="preserve"> each</w:t>
      </w:r>
      <w:r w:rsidRPr="00292155">
        <w:rPr>
          <w:rFonts w:cstheme="minorBidi"/>
          <w:szCs w:val="22"/>
        </w:rPr>
        <w:t xml:space="preserve"> allow California Alternate Rates for Energy customers selected for high usage post-enrollment verification to verify their income using the documentation used in the regular post-enrollment verification process, rather than requiring a transcript of Internal Revenue Service (IRS) tax return or IRS verification of non-filing.  </w:t>
      </w:r>
      <w:r w:rsidRPr="00B17F81">
        <w:t xml:space="preserve">All </w:t>
      </w:r>
      <w:r>
        <w:t>the electric small and multijurisdictional utilities</w:t>
      </w:r>
      <w:r w:rsidRPr="00B17F81">
        <w:t xml:space="preserve"> </w:t>
      </w:r>
      <w:r>
        <w:t>must</w:t>
      </w:r>
      <w:r w:rsidRPr="00B17F81">
        <w:t xml:space="preserve"> update their communication materials to reflect the </w:t>
      </w:r>
      <w:r w:rsidRPr="00D7141B">
        <w:t xml:space="preserve">permanently </w:t>
      </w:r>
      <w:r w:rsidRPr="00B17F81">
        <w:t>approved income documentation list</w:t>
      </w:r>
      <w:r>
        <w:t>.</w:t>
      </w:r>
    </w:p>
    <w:p w:rsidRPr="00292155" w:rsidR="008959A4" w:rsidP="008959A4" w:rsidRDefault="008959A4" w14:paraId="0AE703F1" w14:textId="59560EF5">
      <w:pPr>
        <w:numPr>
          <w:ilvl w:val="0"/>
          <w:numId w:val="3"/>
        </w:numPr>
        <w:spacing w:line="360" w:lineRule="auto"/>
        <w:rPr>
          <w:rFonts w:cstheme="minorBidi"/>
          <w:szCs w:val="22"/>
        </w:rPr>
      </w:pPr>
      <w:r w:rsidRPr="00292155">
        <w:rPr>
          <w:rFonts w:cstheme="minorBidi"/>
          <w:szCs w:val="22"/>
        </w:rPr>
        <w:t xml:space="preserve">Southwest Gas Corporation’s proposal to add source code fields to its web applications used to track the source of enrollment is approved as this will result in greater efficiencies, lower costs, and decreased utilization of paper forms. </w:t>
      </w:r>
    </w:p>
    <w:p w:rsidRPr="00292155" w:rsidR="008959A4" w:rsidP="008959A4" w:rsidRDefault="008959A4" w14:paraId="5B8EFAC2" w14:textId="7CAA0C75">
      <w:pPr>
        <w:numPr>
          <w:ilvl w:val="0"/>
          <w:numId w:val="3"/>
        </w:numPr>
        <w:spacing w:line="360" w:lineRule="auto"/>
        <w:rPr>
          <w:rFonts w:cstheme="minorBidi"/>
          <w:szCs w:val="22"/>
        </w:rPr>
      </w:pPr>
      <w:r w:rsidRPr="00292155">
        <w:rPr>
          <w:rFonts w:cstheme="minorBidi"/>
          <w:szCs w:val="22"/>
        </w:rPr>
        <w:t xml:space="preserve">Certain fixed-income </w:t>
      </w:r>
      <w:bookmarkStart w:name="_Hlk85525555" w:id="360"/>
      <w:r w:rsidRPr="00292155">
        <w:rPr>
          <w:rFonts w:cstheme="minorBidi"/>
          <w:szCs w:val="22"/>
        </w:rPr>
        <w:t xml:space="preserve">California Alternate Rates for Energy </w:t>
      </w:r>
      <w:bookmarkEnd w:id="360"/>
      <w:r w:rsidRPr="00292155">
        <w:rPr>
          <w:rFonts w:cstheme="minorBidi"/>
          <w:szCs w:val="22"/>
        </w:rPr>
        <w:t>(CARE) customers</w:t>
      </w:r>
      <w:r w:rsidR="00B12A8F">
        <w:rPr>
          <w:rFonts w:cstheme="minorBidi"/>
          <w:szCs w:val="22"/>
        </w:rPr>
        <w:t>,</w:t>
      </w:r>
      <w:r w:rsidRPr="00B12A8F" w:rsidR="00B12A8F">
        <w:t xml:space="preserve"> </w:t>
      </w:r>
      <w:r w:rsidRPr="00324C8E" w:rsidR="00B12A8F">
        <w:t xml:space="preserve">specifically </w:t>
      </w:r>
      <w:r w:rsidR="00B12A8F">
        <w:t xml:space="preserve">those </w:t>
      </w:r>
      <w:r w:rsidRPr="00324C8E" w:rsidR="00B12A8F">
        <w:t xml:space="preserve">with only one or two persons living in the </w:t>
      </w:r>
      <w:r w:rsidRPr="00494671" w:rsidR="00B12A8F">
        <w:t>household</w:t>
      </w:r>
      <w:r w:rsidRPr="00324C8E" w:rsidR="00B12A8F">
        <w:t>,</w:t>
      </w:r>
      <w:r w:rsidRPr="00292155">
        <w:rPr>
          <w:rFonts w:cstheme="minorBidi"/>
          <w:szCs w:val="22"/>
        </w:rPr>
        <w:t xml:space="preserve"> are exempt from future CARE recertification and verification requests after verifying income using approved documentation. </w:t>
      </w:r>
      <w:r>
        <w:rPr>
          <w:rFonts w:cstheme="minorBidi"/>
          <w:szCs w:val="22"/>
        </w:rPr>
        <w:t xml:space="preserve"> </w:t>
      </w:r>
      <w:r w:rsidRPr="00292155">
        <w:rPr>
          <w:rFonts w:cstheme="minorBidi"/>
          <w:szCs w:val="22"/>
        </w:rPr>
        <w:t xml:space="preserve">The exemption will be valid until the customer account is closed, customer-of-record name is altered, or a minimum of six years has elapsed since the customer verified income using approved documentation. </w:t>
      </w:r>
    </w:p>
    <w:p w:rsidRPr="00292155" w:rsidR="008959A4" w:rsidP="008959A4" w:rsidRDefault="008959A4" w14:paraId="1736C5E3"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Company’s California Alternate Rates for Energy marketing, education, outreach </w:t>
      </w:r>
      <w:r w:rsidRPr="00292155">
        <w:rPr>
          <w:rFonts w:cstheme="minorBidi"/>
          <w:szCs w:val="22"/>
        </w:rPr>
        <w:lastRenderedPageBreak/>
        <w:t xml:space="preserve">and leveraging strategies are approved, with additional reporting requirements (per the reporting template to be developed and issued by Energy Division staff). </w:t>
      </w:r>
    </w:p>
    <w:p w:rsidRPr="00292155" w:rsidR="008959A4" w:rsidP="008959A4" w:rsidRDefault="008959A4" w14:paraId="2B524E0A" w14:textId="4CA70A02">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 must </w:t>
      </w:r>
      <w:r>
        <w:rPr>
          <w:rFonts w:cstheme="minorBidi"/>
          <w:szCs w:val="22"/>
        </w:rPr>
        <w:t xml:space="preserve">each </w:t>
      </w:r>
      <w:r w:rsidRPr="00292155">
        <w:rPr>
          <w:rFonts w:cstheme="minorBidi"/>
          <w:szCs w:val="22"/>
        </w:rPr>
        <w:t xml:space="preserve">report annually the list of </w:t>
      </w:r>
      <w:r>
        <w:rPr>
          <w:rFonts w:cstheme="minorBidi"/>
          <w:szCs w:val="22"/>
        </w:rPr>
        <w:t>its</w:t>
      </w:r>
      <w:r w:rsidRPr="00292155">
        <w:rPr>
          <w:rFonts w:cstheme="minorBidi"/>
          <w:szCs w:val="22"/>
        </w:rPr>
        <w:t xml:space="preserve"> capitation agencies and any other community</w:t>
      </w:r>
      <w:r w:rsidR="00BE6E5B">
        <w:rPr>
          <w:rFonts w:cstheme="minorBidi"/>
          <w:szCs w:val="22"/>
        </w:rPr>
        <w:t>-</w:t>
      </w:r>
      <w:r w:rsidRPr="00292155">
        <w:rPr>
          <w:rFonts w:cstheme="minorBidi"/>
          <w:szCs w:val="22"/>
        </w:rPr>
        <w:t xml:space="preserve">based organizations that </w:t>
      </w:r>
      <w:r>
        <w:rPr>
          <w:rFonts w:cstheme="minorBidi"/>
          <w:szCs w:val="22"/>
        </w:rPr>
        <w:t>it</w:t>
      </w:r>
      <w:r w:rsidRPr="00292155">
        <w:rPr>
          <w:rFonts w:cstheme="minorBidi"/>
          <w:szCs w:val="22"/>
        </w:rPr>
        <w:t xml:space="preserve"> </w:t>
      </w:r>
      <w:r>
        <w:rPr>
          <w:rFonts w:cstheme="minorBidi"/>
          <w:szCs w:val="22"/>
        </w:rPr>
        <w:t>partners with</w:t>
      </w:r>
      <w:r w:rsidRPr="00292155">
        <w:rPr>
          <w:rFonts w:cstheme="minorBidi"/>
          <w:szCs w:val="22"/>
        </w:rPr>
        <w:t xml:space="preserve"> for </w:t>
      </w:r>
      <w:r>
        <w:rPr>
          <w:rFonts w:cstheme="minorBidi"/>
          <w:szCs w:val="22"/>
        </w:rPr>
        <w:t>its</w:t>
      </w:r>
      <w:r w:rsidRPr="00292155">
        <w:rPr>
          <w:rFonts w:cstheme="minorBidi"/>
          <w:szCs w:val="22"/>
        </w:rPr>
        <w:t xml:space="preserve"> marketing, education, and outreach efforts. </w:t>
      </w:r>
    </w:p>
    <w:p w:rsidR="00CC74CB" w:rsidP="009C6599" w:rsidRDefault="008959A4" w14:paraId="08A948DA" w14:textId="3296CF5A">
      <w:pPr>
        <w:numPr>
          <w:ilvl w:val="0"/>
          <w:numId w:val="3"/>
        </w:numPr>
        <w:spacing w:line="360" w:lineRule="auto"/>
      </w:pPr>
      <w:r w:rsidRPr="00CC74CB">
        <w:rPr>
          <w:rFonts w:cstheme="minorBidi"/>
          <w:szCs w:val="22"/>
        </w:rPr>
        <w:t>Alpine Natural Gas Operating Company No. 1, LLC, Golden State Water Company on behalf of Bear Valley Electric Service Division, Liberty Utilities</w:t>
      </w:r>
      <w:r w:rsidRPr="00CA47CA">
        <w:rPr>
          <w:rFonts w:cstheme="minorBidi"/>
          <w:szCs w:val="22"/>
        </w:rPr>
        <w:t> </w:t>
      </w:r>
      <w:r w:rsidRPr="007C51EF">
        <w:rPr>
          <w:rFonts w:cstheme="minorBidi"/>
          <w:szCs w:val="22"/>
        </w:rPr>
        <w:t>LLC, PacifiCorp, Southwest Gas Corporation, and West</w:t>
      </w:r>
      <w:r w:rsidRPr="00A960C0">
        <w:rPr>
          <w:rFonts w:cstheme="minorBidi"/>
          <w:szCs w:val="22"/>
        </w:rPr>
        <w:t xml:space="preserve"> Coast Gas Company may make minor program changes via the low income quarterly and annual reports, </w:t>
      </w:r>
      <w:r w:rsidRPr="00D95EAE">
        <w:rPr>
          <w:rFonts w:cstheme="minorBidi"/>
          <w:szCs w:val="22"/>
        </w:rPr>
        <w:t xml:space="preserve">but must file </w:t>
      </w:r>
      <w:r w:rsidRPr="00ED350B">
        <w:rPr>
          <w:rFonts w:cstheme="minorBidi"/>
          <w:szCs w:val="22"/>
        </w:rPr>
        <w:t xml:space="preserve">a petition for modification for </w:t>
      </w:r>
      <w:r w:rsidRPr="00D552ED">
        <w:rPr>
          <w:rFonts w:cstheme="minorBidi"/>
          <w:szCs w:val="22"/>
        </w:rPr>
        <w:t xml:space="preserve">any program updates resulting in lower program goals or an increase </w:t>
      </w:r>
      <w:r w:rsidRPr="00862BF1">
        <w:rPr>
          <w:rFonts w:cstheme="minorBidi"/>
          <w:szCs w:val="22"/>
        </w:rPr>
        <w:t>in approved budgets</w:t>
      </w:r>
      <w:r w:rsidR="009B1221">
        <w:rPr>
          <w:rFonts w:cstheme="minorBidi"/>
          <w:szCs w:val="22"/>
        </w:rPr>
        <w:t xml:space="preserve">, with an </w:t>
      </w:r>
      <w:r w:rsidR="005140FD">
        <w:rPr>
          <w:rFonts w:cstheme="minorBidi"/>
          <w:szCs w:val="22"/>
        </w:rPr>
        <w:t>exception</w:t>
      </w:r>
      <w:r w:rsidR="009B1221">
        <w:rPr>
          <w:rFonts w:cstheme="minorBidi"/>
          <w:szCs w:val="22"/>
        </w:rPr>
        <w:t xml:space="preserve"> </w:t>
      </w:r>
      <w:r w:rsidR="00F805B9">
        <w:rPr>
          <w:rFonts w:cstheme="minorBidi"/>
          <w:szCs w:val="22"/>
        </w:rPr>
        <w:t xml:space="preserve">for </w:t>
      </w:r>
      <w:r w:rsidR="00F805B9">
        <w:rPr>
          <w:rFonts w:eastAsiaTheme="minorEastAsia"/>
        </w:rPr>
        <w:t>increases</w:t>
      </w:r>
      <w:r w:rsidR="00A0428A">
        <w:rPr>
          <w:rFonts w:eastAsiaTheme="minorEastAsia"/>
        </w:rPr>
        <w:t xml:space="preserve"> to the </w:t>
      </w:r>
      <w:r w:rsidRPr="006C4778" w:rsidR="006C4778">
        <w:rPr>
          <w:rFonts w:eastAsiaTheme="minorEastAsia"/>
        </w:rPr>
        <w:t xml:space="preserve">California Alternate Rates for Energy </w:t>
      </w:r>
      <w:r w:rsidR="006C4778">
        <w:rPr>
          <w:rFonts w:eastAsiaTheme="minorEastAsia"/>
        </w:rPr>
        <w:t>(</w:t>
      </w:r>
      <w:r w:rsidR="00A0428A">
        <w:rPr>
          <w:rFonts w:eastAsiaTheme="minorEastAsia"/>
        </w:rPr>
        <w:t>CARE</w:t>
      </w:r>
      <w:r w:rsidR="006C4778">
        <w:rPr>
          <w:rFonts w:eastAsiaTheme="minorEastAsia"/>
        </w:rPr>
        <w:t>)</w:t>
      </w:r>
      <w:r w:rsidR="00A0428A">
        <w:rPr>
          <w:rFonts w:eastAsiaTheme="minorEastAsia"/>
        </w:rPr>
        <w:t xml:space="preserve"> program subsidy budgets</w:t>
      </w:r>
      <w:r w:rsidRPr="00F805B9" w:rsidR="00F805B9">
        <w:rPr>
          <w:color w:val="FF0000"/>
        </w:rPr>
        <w:t xml:space="preserve"> </w:t>
      </w:r>
      <w:r w:rsidRPr="00B35EAD" w:rsidR="00F805B9">
        <w:t>which should be handled through the two-way structure of the CARE balancing account</w:t>
      </w:r>
      <w:r w:rsidRPr="00E9163D" w:rsidR="00CC74CB">
        <w:t>.</w:t>
      </w:r>
      <w:r w:rsidR="00CC74CB">
        <w:t xml:space="preserve"> </w:t>
      </w:r>
    </w:p>
    <w:p w:rsidRPr="00292155" w:rsidR="008959A4" w:rsidP="008959A4" w:rsidRDefault="008959A4" w14:paraId="04CCDFAA"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Corporation’s Energy Savings Assistance program delivery models are approved following a Tier 2 advice letter compliance filing per Attachment 1.  </w:t>
      </w:r>
    </w:p>
    <w:p w:rsidRPr="00292155" w:rsidR="008959A4" w:rsidP="008959A4" w:rsidRDefault="008959A4" w14:paraId="42AD3E18" w14:textId="5E9D734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meet and confer, and jointly submit a compliance filing via a Tier 2 advice </w:t>
      </w:r>
      <w:r w:rsidR="001E6AEE">
        <w:rPr>
          <w:rFonts w:cstheme="minorBidi"/>
          <w:szCs w:val="22"/>
        </w:rPr>
        <w:t>120</w:t>
      </w:r>
      <w:r w:rsidRPr="00292155" w:rsidR="001E6AEE">
        <w:rPr>
          <w:rFonts w:cstheme="minorBidi"/>
          <w:szCs w:val="22"/>
        </w:rPr>
        <w:t xml:space="preserve"> </w:t>
      </w:r>
      <w:r w:rsidRPr="00292155">
        <w:rPr>
          <w:rFonts w:cstheme="minorBidi"/>
          <w:szCs w:val="22"/>
        </w:rPr>
        <w:t xml:space="preserve">days after the </w:t>
      </w:r>
      <w:r>
        <w:rPr>
          <w:rFonts w:cstheme="minorBidi"/>
          <w:szCs w:val="22"/>
        </w:rPr>
        <w:lastRenderedPageBreak/>
        <w:t>effective date</w:t>
      </w:r>
      <w:r w:rsidRPr="00292155">
        <w:rPr>
          <w:rFonts w:cstheme="minorBidi"/>
          <w:szCs w:val="22"/>
        </w:rPr>
        <w:t xml:space="preserve"> of this decision to categorize the Energy Savings Assistance program measures approved in their applications into two basic categories of treatment levels, Basic and Plus, where the Basic level treatment is expected to achieve up to 5 percent in energy savings and the Plus level treatment is expected to achieve up to 15 percent in energy savings, per Attachment 1.   </w:t>
      </w:r>
    </w:p>
    <w:p w:rsidRPr="00292155" w:rsidR="008959A4" w:rsidP="008959A4" w:rsidRDefault="008959A4" w14:paraId="0B34078C" w14:textId="595C64DA">
      <w:pPr>
        <w:numPr>
          <w:ilvl w:val="0"/>
          <w:numId w:val="3"/>
        </w:numPr>
        <w:spacing w:line="360" w:lineRule="auto"/>
        <w:rPr>
          <w:rFonts w:cstheme="minorBidi"/>
          <w:szCs w:val="22"/>
        </w:rPr>
      </w:pPr>
      <w:r w:rsidRPr="00292155">
        <w:rPr>
          <w:rFonts w:cstheme="minorBidi"/>
          <w:szCs w:val="22"/>
        </w:rPr>
        <w:t>Alpine Natural Gas Operating Company No. 1, LLC</w:t>
      </w:r>
      <w:r>
        <w:rPr>
          <w:rFonts w:cstheme="minorBidi"/>
          <w:szCs w:val="22"/>
        </w:rPr>
        <w:t xml:space="preserve"> </w:t>
      </w:r>
      <w:bookmarkStart w:name="_Hlk82425507" w:id="361"/>
      <w:r>
        <w:rPr>
          <w:rFonts w:cstheme="minorBidi"/>
          <w:szCs w:val="22"/>
        </w:rPr>
        <w:t>(Alpine)</w:t>
      </w:r>
      <w:r w:rsidRPr="00292155">
        <w:rPr>
          <w:rFonts w:cstheme="minorBidi"/>
          <w:szCs w:val="22"/>
        </w:rPr>
        <w:t>, Golden State Water Company on behalf of Bear Valley Electric Service Division</w:t>
      </w:r>
      <w:r>
        <w:rPr>
          <w:rFonts w:cstheme="minorBidi"/>
          <w:szCs w:val="22"/>
        </w:rPr>
        <w:t xml:space="preserve"> (Bear Valley)</w:t>
      </w:r>
      <w:r w:rsidRPr="00292155">
        <w:rPr>
          <w:rFonts w:cstheme="minorBidi"/>
          <w:szCs w:val="22"/>
        </w:rPr>
        <w:t>, Liberty Utilities</w:t>
      </w:r>
      <w:r>
        <w:rPr>
          <w:rFonts w:cstheme="minorBidi"/>
          <w:szCs w:val="22"/>
        </w:rPr>
        <w:t> </w:t>
      </w:r>
      <w:r w:rsidRPr="00292155">
        <w:rPr>
          <w:rFonts w:cstheme="minorBidi"/>
          <w:szCs w:val="22"/>
        </w:rPr>
        <w:t>LLC</w:t>
      </w:r>
      <w:r>
        <w:rPr>
          <w:rFonts w:cstheme="minorBidi"/>
          <w:szCs w:val="22"/>
        </w:rPr>
        <w:t xml:space="preserve"> (Liberty)</w:t>
      </w:r>
      <w:r w:rsidRPr="00292155">
        <w:rPr>
          <w:rFonts w:cstheme="minorBidi"/>
          <w:szCs w:val="22"/>
        </w:rPr>
        <w:t xml:space="preserve">, PacifiCorp, and Southwest Gas Corporation </w:t>
      </w:r>
      <w:r>
        <w:rPr>
          <w:rFonts w:cstheme="minorBidi"/>
          <w:szCs w:val="22"/>
        </w:rPr>
        <w:t>(Southwest Gas)</w:t>
      </w:r>
      <w:bookmarkEnd w:id="361"/>
      <w:r>
        <w:rPr>
          <w:rFonts w:cstheme="minorBidi"/>
          <w:szCs w:val="22"/>
        </w:rPr>
        <w:t xml:space="preserve"> </w:t>
      </w:r>
      <w:r w:rsidRPr="00292155">
        <w:rPr>
          <w:rFonts w:cstheme="minorBidi"/>
          <w:szCs w:val="22"/>
        </w:rPr>
        <w:t xml:space="preserve">must allow customers to self-certify that they meet the Energy Savings Assistance (ESA) program income eligibility requirement to receive ESA Basic measures, which may include energy education, light-emitting diode light bulbs and smart power strips, and energy conservation savings kits.  Measures requiring modifications to dwellings, which includes grounding, refrigerators, portable air conditioners, and smart thermostats, are exempt from this requirement to be provided to self-certifying customers. </w:t>
      </w:r>
      <w:r>
        <w:rPr>
          <w:rFonts w:cstheme="minorBidi"/>
          <w:szCs w:val="22"/>
        </w:rPr>
        <w:t xml:space="preserve"> </w:t>
      </w:r>
      <w:r w:rsidRPr="00C02B09">
        <w:rPr>
          <w:rFonts w:cstheme="minorBidi"/>
          <w:szCs w:val="22"/>
        </w:rPr>
        <w:t xml:space="preserve">Alpine, Bear Valley, Liberty, PacifiCorp, and Southwest Gas </w:t>
      </w:r>
      <w:r w:rsidRPr="00292155">
        <w:rPr>
          <w:rFonts w:cstheme="minorBidi"/>
          <w:szCs w:val="22"/>
        </w:rPr>
        <w:t xml:space="preserve">must file as part of the joint Tier 2 advice letter compliance filing which set of measures, including those provided through self-certification and those that are exempt, will be part of the Basic offerings, per Attachment 1.   </w:t>
      </w:r>
    </w:p>
    <w:p w:rsidRPr="00292155" w:rsidR="008959A4" w:rsidP="008959A4" w:rsidRDefault="008959A4" w14:paraId="66123DC1"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w:t>
      </w:r>
      <w:r>
        <w:rPr>
          <w:rFonts w:cstheme="minorBidi"/>
          <w:szCs w:val="22"/>
        </w:rPr>
        <w:t xml:space="preserve">each </w:t>
      </w:r>
      <w:r w:rsidRPr="00292155">
        <w:rPr>
          <w:rFonts w:cstheme="minorBidi"/>
          <w:szCs w:val="22"/>
        </w:rPr>
        <w:t xml:space="preserve">waive the Property Owner Approval/Authorization requirements for qualified households to receive the </w:t>
      </w:r>
      <w:r>
        <w:rPr>
          <w:rFonts w:cstheme="minorBidi"/>
          <w:szCs w:val="22"/>
        </w:rPr>
        <w:t>B</w:t>
      </w:r>
      <w:r w:rsidRPr="00292155">
        <w:rPr>
          <w:rFonts w:cstheme="minorBidi"/>
          <w:szCs w:val="22"/>
        </w:rPr>
        <w:t xml:space="preserve">asic level of Energy Savings Assistance program services. Measures requiring modifications to dwellings, which includes grounding, </w:t>
      </w:r>
      <w:r w:rsidRPr="00292155">
        <w:rPr>
          <w:rFonts w:cstheme="minorBidi"/>
          <w:szCs w:val="22"/>
        </w:rPr>
        <w:lastRenderedPageBreak/>
        <w:t>refrigerators, portable air conditioners, and smart thermostats, are exempt from this requirement.</w:t>
      </w:r>
    </w:p>
    <w:p w:rsidRPr="00292155" w:rsidR="008959A4" w:rsidP="008959A4" w:rsidRDefault="008959A4" w14:paraId="64D80248"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submit a joint mid-cycle progress report to the Commission and </w:t>
      </w:r>
      <w:r>
        <w:rPr>
          <w:rFonts w:cstheme="minorBidi"/>
          <w:szCs w:val="22"/>
        </w:rPr>
        <w:t>the</w:t>
      </w:r>
      <w:r w:rsidRPr="00292155">
        <w:rPr>
          <w:rFonts w:cstheme="minorBidi"/>
          <w:szCs w:val="22"/>
        </w:rPr>
        <w:t xml:space="preserve"> service list</w:t>
      </w:r>
      <w:r>
        <w:rPr>
          <w:rFonts w:cstheme="minorBidi"/>
          <w:szCs w:val="22"/>
        </w:rPr>
        <w:t xml:space="preserve"> of this proceeding or any successor proceeding</w:t>
      </w:r>
      <w:r w:rsidRPr="00292155">
        <w:rPr>
          <w:rFonts w:cstheme="minorBidi"/>
          <w:szCs w:val="22"/>
        </w:rPr>
        <w:t xml:space="preserve"> by December 31, 2023. </w:t>
      </w:r>
      <w:r>
        <w:rPr>
          <w:rFonts w:cstheme="minorBidi"/>
          <w:szCs w:val="22"/>
        </w:rPr>
        <w:t xml:space="preserve"> </w:t>
      </w:r>
      <w:r w:rsidRPr="00292155">
        <w:rPr>
          <w:rFonts w:cstheme="minorBidi"/>
          <w:szCs w:val="22"/>
        </w:rPr>
        <w:t>At a minimum, the progress report shall discuss</w:t>
      </w:r>
      <w:r>
        <w:rPr>
          <w:rFonts w:cstheme="minorBidi"/>
          <w:szCs w:val="22"/>
        </w:rPr>
        <w:t xml:space="preserve">: </w:t>
      </w:r>
      <w:r w:rsidRPr="00292155">
        <w:rPr>
          <w:rFonts w:cstheme="minorBidi"/>
          <w:szCs w:val="22"/>
        </w:rPr>
        <w:t>a)</w:t>
      </w:r>
      <w:r>
        <w:rPr>
          <w:rFonts w:cstheme="minorBidi"/>
          <w:szCs w:val="22"/>
        </w:rPr>
        <w:t> </w:t>
      </w:r>
      <w:r w:rsidRPr="00292155">
        <w:rPr>
          <w:rFonts w:cstheme="minorBidi"/>
          <w:szCs w:val="22"/>
        </w:rPr>
        <w:t>whether the energy savings goals set in this decision are still feasible, why or why not, b) whether the utilit</w:t>
      </w:r>
      <w:r>
        <w:rPr>
          <w:rFonts w:cstheme="minorBidi"/>
          <w:szCs w:val="22"/>
        </w:rPr>
        <w:t>y</w:t>
      </w:r>
      <w:r w:rsidRPr="00292155">
        <w:rPr>
          <w:rFonts w:cstheme="minorBidi"/>
          <w:szCs w:val="22"/>
        </w:rPr>
        <w:t xml:space="preserve"> </w:t>
      </w:r>
      <w:r>
        <w:rPr>
          <w:rFonts w:cstheme="minorBidi"/>
          <w:szCs w:val="22"/>
        </w:rPr>
        <w:t>is</w:t>
      </w:r>
      <w:r w:rsidRPr="00292155">
        <w:rPr>
          <w:rFonts w:cstheme="minorBidi"/>
          <w:szCs w:val="22"/>
        </w:rPr>
        <w:t xml:space="preserve"> on track to meet the goals and targets set in this decision, why or why not, c) whether any of the goals or targets set in this decision need to be updated in light of the data and new information collected during the first half of the program cycle, why or why not, d) the new Energy Savings Assistance program’s cost effectiveness levels under the new guidance thresholds, </w:t>
      </w:r>
      <w:r>
        <w:rPr>
          <w:rFonts w:cstheme="minorBidi"/>
          <w:szCs w:val="22"/>
        </w:rPr>
        <w:t xml:space="preserve">and </w:t>
      </w:r>
      <w:r w:rsidRPr="00292155">
        <w:rPr>
          <w:rFonts w:cstheme="minorBidi"/>
          <w:szCs w:val="22"/>
        </w:rPr>
        <w:t xml:space="preserve">e) any updates that may be needed to the delivery or design of the program, including goals, targets, or budgets considering the data collected and progress experienced so far. </w:t>
      </w:r>
    </w:p>
    <w:p w:rsidR="008959A4" w:rsidP="008959A4" w:rsidRDefault="008959A4" w14:paraId="4DDC76F2" w14:textId="77777777">
      <w:pPr>
        <w:pStyle w:val="CoL"/>
      </w:pPr>
      <w:r w:rsidRPr="00A45956">
        <w:t>Alpine Natural Gas Operating Company No. 1, LLC, Golden State</w:t>
      </w:r>
      <w:r w:rsidRPr="00D41D5B">
        <w:t xml:space="preserve"> Water Company on behalf </w:t>
      </w:r>
      <w:r>
        <w:t xml:space="preserve">of </w:t>
      </w:r>
      <w:r w:rsidRPr="00D41D5B">
        <w:t>Bear Valley Electric Service Division,</w:t>
      </w:r>
      <w:r>
        <w:t xml:space="preserve"> </w:t>
      </w:r>
      <w:r w:rsidRPr="00D41D5B">
        <w:t>Liberty Utilities</w:t>
      </w:r>
      <w:r>
        <w:t> </w:t>
      </w:r>
      <w:r w:rsidRPr="00D41D5B">
        <w:t>LL</w:t>
      </w:r>
      <w:r>
        <w:t>C</w:t>
      </w:r>
      <w:r w:rsidRPr="00D41D5B">
        <w:t>, PacifiCorp,</w:t>
      </w:r>
      <w:r>
        <w:t xml:space="preserve"> and</w:t>
      </w:r>
      <w:r w:rsidRPr="00D41D5B">
        <w:t xml:space="preserve"> Southwest Gas Corporation</w:t>
      </w:r>
      <w:r>
        <w:t xml:space="preserve"> must each submit an informational Tier 1 advice letter by June 1, 2022, disclosing </w:t>
      </w:r>
      <w:r>
        <w:rPr>
          <w:rStyle w:val="normaltextrun"/>
        </w:rPr>
        <w:t>discussion of its solicitation and contracting practices.</w:t>
      </w:r>
    </w:p>
    <w:p w:rsidRPr="00292155" w:rsidR="008959A4" w:rsidP="008959A4" w:rsidRDefault="008959A4" w14:paraId="1DCC063F"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 LLC, PacifiCorp, and Southwest Gas Corporation‘s Energy Savings Assistance program portfolio measure mix, as proposed in their applications and updated per the joint Tier 2 advice letter compliance filing, is approved.</w:t>
      </w:r>
    </w:p>
    <w:p w:rsidRPr="00292155" w:rsidR="008959A4" w:rsidP="008959A4" w:rsidRDefault="008959A4" w14:paraId="37185AAE" w14:textId="77777777">
      <w:pPr>
        <w:numPr>
          <w:ilvl w:val="0"/>
          <w:numId w:val="3"/>
        </w:numPr>
        <w:spacing w:line="360" w:lineRule="auto"/>
        <w:rPr>
          <w:rFonts w:cstheme="minorBidi"/>
          <w:szCs w:val="22"/>
        </w:rPr>
      </w:pPr>
      <w:r w:rsidRPr="00292155">
        <w:rPr>
          <w:rFonts w:cstheme="minorBidi"/>
          <w:szCs w:val="22"/>
        </w:rPr>
        <w:lastRenderedPageBreak/>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utilize the Energy Savings Assistance (ESA) program quarterly reports for ESA measure mix updates so long as the changes to the measure mix work towards the utilities’ energy savings goals and are aligned </w:t>
      </w:r>
      <w:r>
        <w:rPr>
          <w:rFonts w:cstheme="minorBidi"/>
          <w:szCs w:val="22"/>
        </w:rPr>
        <w:t xml:space="preserve">with </w:t>
      </w:r>
      <w:r w:rsidRPr="00292155">
        <w:rPr>
          <w:rFonts w:cstheme="minorBidi"/>
          <w:szCs w:val="22"/>
        </w:rPr>
        <w:t>the cost effectiveness guidelines set in this decision.</w:t>
      </w:r>
    </w:p>
    <w:p w:rsidRPr="00292155" w:rsidR="008959A4" w:rsidP="008959A4" w:rsidRDefault="008959A4" w14:paraId="3C5B9D1A"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Corporation’s must consider adding common area measures (CAM) to their respective Energy Savings Assistance (ESA) programs, similar to the CAM measures offered in the large Investor</w:t>
      </w:r>
      <w:r>
        <w:rPr>
          <w:rFonts w:cstheme="minorBidi"/>
          <w:szCs w:val="22"/>
        </w:rPr>
        <w:t>-</w:t>
      </w:r>
      <w:r w:rsidRPr="00292155">
        <w:rPr>
          <w:rFonts w:cstheme="minorBidi"/>
          <w:szCs w:val="22"/>
        </w:rPr>
        <w:t xml:space="preserve">Owned Utilities’ ESA programs.  </w:t>
      </w:r>
    </w:p>
    <w:p w:rsidRPr="00292155" w:rsidR="008959A4" w:rsidP="008959A4" w:rsidRDefault="008959A4" w14:paraId="21A6CAC2" w14:textId="529C6E54">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closely monitor the information being gathered from the San Joaquin Valley Disadvantaged Communities and Southern California Edison electrification pilots, and </w:t>
      </w:r>
      <w:r w:rsidR="00862BF1">
        <w:rPr>
          <w:rFonts w:cstheme="minorBidi"/>
          <w:szCs w:val="22"/>
        </w:rPr>
        <w:t xml:space="preserve">the electric utilities will </w:t>
      </w:r>
      <w:r w:rsidRPr="00292155">
        <w:rPr>
          <w:rFonts w:cstheme="minorBidi"/>
          <w:szCs w:val="22"/>
        </w:rPr>
        <w:t>consider adding efficient electrification measures following the results from these pilots and studies to the</w:t>
      </w:r>
      <w:r w:rsidR="00CB72CD">
        <w:rPr>
          <w:rFonts w:cstheme="minorBidi"/>
          <w:szCs w:val="22"/>
        </w:rPr>
        <w:t>ir respective</w:t>
      </w:r>
      <w:r w:rsidRPr="00292155">
        <w:rPr>
          <w:rFonts w:cstheme="minorBidi"/>
          <w:szCs w:val="22"/>
        </w:rPr>
        <w:t xml:space="preserve"> Energy Savings Assistance program</w:t>
      </w:r>
      <w:r w:rsidR="00CB72CD">
        <w:rPr>
          <w:rFonts w:cstheme="minorBidi"/>
          <w:szCs w:val="22"/>
        </w:rPr>
        <w:t>s</w:t>
      </w:r>
      <w:r w:rsidRPr="00292155">
        <w:rPr>
          <w:rFonts w:cstheme="minorBidi"/>
          <w:szCs w:val="22"/>
        </w:rPr>
        <w:t xml:space="preserve"> as appropriate.</w:t>
      </w:r>
    </w:p>
    <w:p w:rsidRPr="00292155" w:rsidR="008959A4" w:rsidP="008959A4" w:rsidRDefault="008959A4" w14:paraId="16BD45ED"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Corporation’s Energy Savings Assistance program household treatment goals and targets are approved as follows: </w:t>
      </w:r>
    </w:p>
    <w:tbl>
      <w:tblPr>
        <w:tblStyle w:val="TableGrid"/>
        <w:tblW w:w="10350" w:type="dxa"/>
        <w:tblInd w:w="-455" w:type="dxa"/>
        <w:tblLayout w:type="fixed"/>
        <w:tblLook w:val="06A0" w:firstRow="1" w:lastRow="0" w:firstColumn="1" w:lastColumn="0" w:noHBand="1" w:noVBand="1"/>
      </w:tblPr>
      <w:tblGrid>
        <w:gridCol w:w="1530"/>
        <w:gridCol w:w="1440"/>
        <w:gridCol w:w="1260"/>
        <w:gridCol w:w="1260"/>
        <w:gridCol w:w="1260"/>
        <w:gridCol w:w="1260"/>
        <w:gridCol w:w="1260"/>
        <w:gridCol w:w="1080"/>
      </w:tblGrid>
      <w:tr w:rsidRPr="00CC3ECE" w:rsidR="008959A4" w:rsidTr="00717A84" w14:paraId="37E983B8" w14:textId="77777777">
        <w:tc>
          <w:tcPr>
            <w:tcW w:w="10350" w:type="dxa"/>
            <w:gridSpan w:val="8"/>
          </w:tcPr>
          <w:p w:rsidRPr="00CC3ECE" w:rsidR="008959A4" w:rsidP="00B35EAD" w:rsidRDefault="008959A4" w14:paraId="76305994" w14:textId="77777777">
            <w:pPr>
              <w:keepNext/>
              <w:spacing w:after="120"/>
              <w:jc w:val="center"/>
              <w:rPr>
                <w:sz w:val="24"/>
                <w:szCs w:val="24"/>
              </w:rPr>
            </w:pPr>
            <w:r w:rsidRPr="00CC3ECE">
              <w:rPr>
                <w:sz w:val="24"/>
                <w:szCs w:val="24"/>
              </w:rPr>
              <w:lastRenderedPageBreak/>
              <w:t xml:space="preserve">Approved Energy Savings Assistance Household Treatment Goals and Targets, </w:t>
            </w:r>
            <w:r>
              <w:rPr>
                <w:sz w:val="24"/>
                <w:szCs w:val="24"/>
              </w:rPr>
              <w:br/>
            </w:r>
            <w:r w:rsidRPr="00CC3ECE">
              <w:rPr>
                <w:sz w:val="24"/>
                <w:szCs w:val="24"/>
              </w:rPr>
              <w:t>Program Years 2021-2026</w:t>
            </w:r>
          </w:p>
        </w:tc>
      </w:tr>
      <w:tr w:rsidRPr="00CC3ECE" w:rsidR="008959A4" w:rsidTr="00717A84" w14:paraId="4C77AB0F" w14:textId="77777777">
        <w:tc>
          <w:tcPr>
            <w:tcW w:w="1530" w:type="dxa"/>
          </w:tcPr>
          <w:p w:rsidRPr="00CC3ECE" w:rsidR="008959A4" w:rsidP="00B35EAD" w:rsidRDefault="008959A4" w14:paraId="146EF48D" w14:textId="77777777">
            <w:pPr>
              <w:keepNext/>
              <w:rPr>
                <w:sz w:val="24"/>
                <w:szCs w:val="24"/>
              </w:rPr>
            </w:pPr>
            <w:r w:rsidRPr="00CC3ECE">
              <w:rPr>
                <w:sz w:val="24"/>
                <w:szCs w:val="24"/>
              </w:rPr>
              <w:t>Utility</w:t>
            </w:r>
          </w:p>
        </w:tc>
        <w:tc>
          <w:tcPr>
            <w:tcW w:w="1440" w:type="dxa"/>
          </w:tcPr>
          <w:p w:rsidRPr="00CC3ECE" w:rsidR="008959A4" w:rsidP="00B35EAD" w:rsidRDefault="008959A4" w14:paraId="7FA87C5E" w14:textId="77777777">
            <w:pPr>
              <w:keepNext/>
              <w:jc w:val="center"/>
              <w:rPr>
                <w:sz w:val="24"/>
                <w:szCs w:val="24"/>
              </w:rPr>
            </w:pPr>
            <w:r w:rsidRPr="00CC3ECE">
              <w:rPr>
                <w:sz w:val="24"/>
                <w:szCs w:val="24"/>
              </w:rPr>
              <w:t>2021</w:t>
            </w:r>
          </w:p>
          <w:p w:rsidRPr="00CC3ECE" w:rsidR="008959A4" w:rsidP="00B35EAD" w:rsidRDefault="008959A4" w14:paraId="7DB8165C" w14:textId="77777777">
            <w:pPr>
              <w:keepNext/>
              <w:jc w:val="center"/>
              <w:rPr>
                <w:sz w:val="24"/>
                <w:szCs w:val="24"/>
              </w:rPr>
            </w:pPr>
            <w:r w:rsidRPr="00CC3ECE">
              <w:rPr>
                <w:sz w:val="24"/>
                <w:szCs w:val="24"/>
              </w:rPr>
              <w:t>(Goals)</w:t>
            </w:r>
          </w:p>
          <w:p w:rsidRPr="00CC3ECE" w:rsidR="008959A4" w:rsidP="00B35EAD" w:rsidRDefault="008959A4" w14:paraId="1A3EBD23" w14:textId="77777777">
            <w:pPr>
              <w:keepNext/>
              <w:jc w:val="center"/>
              <w:rPr>
                <w:sz w:val="24"/>
                <w:szCs w:val="24"/>
              </w:rPr>
            </w:pPr>
            <w:r w:rsidRPr="00CC3ECE">
              <w:rPr>
                <w:sz w:val="24"/>
                <w:szCs w:val="24"/>
              </w:rPr>
              <w:t>(July 1-Dec</w:t>
            </w:r>
            <w:r>
              <w:rPr>
                <w:sz w:val="24"/>
                <w:szCs w:val="24"/>
              </w:rPr>
              <w:t> </w:t>
            </w:r>
            <w:r w:rsidRPr="00CC3ECE">
              <w:rPr>
                <w:sz w:val="24"/>
                <w:szCs w:val="24"/>
              </w:rPr>
              <w:t xml:space="preserve"> 31)</w:t>
            </w:r>
          </w:p>
        </w:tc>
        <w:tc>
          <w:tcPr>
            <w:tcW w:w="1260" w:type="dxa"/>
            <w:vAlign w:val="center"/>
          </w:tcPr>
          <w:p w:rsidRPr="00CC3ECE" w:rsidR="008959A4" w:rsidP="00B35EAD" w:rsidRDefault="008959A4" w14:paraId="73EAA8F9" w14:textId="77777777">
            <w:pPr>
              <w:keepNext/>
              <w:jc w:val="center"/>
              <w:rPr>
                <w:sz w:val="24"/>
                <w:szCs w:val="24"/>
              </w:rPr>
            </w:pPr>
            <w:r w:rsidRPr="00CC3ECE">
              <w:rPr>
                <w:sz w:val="24"/>
                <w:szCs w:val="24"/>
              </w:rPr>
              <w:t>2022 (Targets)</w:t>
            </w:r>
          </w:p>
        </w:tc>
        <w:tc>
          <w:tcPr>
            <w:tcW w:w="1260" w:type="dxa"/>
            <w:vAlign w:val="center"/>
          </w:tcPr>
          <w:p w:rsidRPr="00CC3ECE" w:rsidR="008959A4" w:rsidP="00B35EAD" w:rsidRDefault="008959A4" w14:paraId="0C6160AE" w14:textId="77777777">
            <w:pPr>
              <w:keepNext/>
              <w:jc w:val="center"/>
              <w:rPr>
                <w:sz w:val="24"/>
                <w:szCs w:val="24"/>
              </w:rPr>
            </w:pPr>
            <w:r w:rsidRPr="00CC3ECE">
              <w:rPr>
                <w:sz w:val="24"/>
                <w:szCs w:val="24"/>
              </w:rPr>
              <w:t>2023 (Targets)</w:t>
            </w:r>
          </w:p>
        </w:tc>
        <w:tc>
          <w:tcPr>
            <w:tcW w:w="1260" w:type="dxa"/>
            <w:vAlign w:val="center"/>
          </w:tcPr>
          <w:p w:rsidRPr="00CC3ECE" w:rsidR="008959A4" w:rsidP="00B35EAD" w:rsidRDefault="008959A4" w14:paraId="0EC6AF62" w14:textId="77777777">
            <w:pPr>
              <w:keepNext/>
              <w:jc w:val="center"/>
              <w:rPr>
                <w:sz w:val="24"/>
                <w:szCs w:val="24"/>
              </w:rPr>
            </w:pPr>
            <w:r w:rsidRPr="00CC3ECE">
              <w:rPr>
                <w:sz w:val="24"/>
                <w:szCs w:val="24"/>
              </w:rPr>
              <w:t>2024 (Targets)</w:t>
            </w:r>
          </w:p>
        </w:tc>
        <w:tc>
          <w:tcPr>
            <w:tcW w:w="1260" w:type="dxa"/>
            <w:vAlign w:val="center"/>
          </w:tcPr>
          <w:p w:rsidRPr="00CC3ECE" w:rsidR="008959A4" w:rsidP="00B35EAD" w:rsidRDefault="008959A4" w14:paraId="7742F09B" w14:textId="77777777">
            <w:pPr>
              <w:keepNext/>
              <w:jc w:val="center"/>
              <w:rPr>
                <w:sz w:val="24"/>
                <w:szCs w:val="24"/>
              </w:rPr>
            </w:pPr>
            <w:r w:rsidRPr="00CC3ECE">
              <w:rPr>
                <w:sz w:val="24"/>
                <w:szCs w:val="24"/>
              </w:rPr>
              <w:t>2025 (Targets)</w:t>
            </w:r>
          </w:p>
        </w:tc>
        <w:tc>
          <w:tcPr>
            <w:tcW w:w="1260" w:type="dxa"/>
            <w:vAlign w:val="center"/>
          </w:tcPr>
          <w:p w:rsidRPr="00CC3ECE" w:rsidR="008959A4" w:rsidP="00B35EAD" w:rsidRDefault="008959A4" w14:paraId="5E155860" w14:textId="77777777">
            <w:pPr>
              <w:keepNext/>
              <w:jc w:val="center"/>
              <w:rPr>
                <w:sz w:val="24"/>
                <w:szCs w:val="24"/>
              </w:rPr>
            </w:pPr>
            <w:r w:rsidRPr="00CC3ECE">
              <w:rPr>
                <w:sz w:val="24"/>
                <w:szCs w:val="24"/>
              </w:rPr>
              <w:t>2026 (Targets)</w:t>
            </w:r>
          </w:p>
        </w:tc>
        <w:tc>
          <w:tcPr>
            <w:tcW w:w="1080" w:type="dxa"/>
            <w:vAlign w:val="center"/>
          </w:tcPr>
          <w:p w:rsidRPr="00CC3ECE" w:rsidR="008959A4" w:rsidP="00B35EAD" w:rsidRDefault="008959A4" w14:paraId="73EC54A1" w14:textId="77777777">
            <w:pPr>
              <w:keepNext/>
              <w:jc w:val="center"/>
              <w:rPr>
                <w:sz w:val="24"/>
                <w:szCs w:val="24"/>
              </w:rPr>
            </w:pPr>
            <w:r w:rsidRPr="00CC3ECE">
              <w:rPr>
                <w:sz w:val="24"/>
                <w:szCs w:val="24"/>
              </w:rPr>
              <w:t>Total</w:t>
            </w:r>
          </w:p>
        </w:tc>
      </w:tr>
      <w:tr w:rsidRPr="00CC3ECE" w:rsidR="008959A4" w:rsidTr="00717A84" w14:paraId="693B759A" w14:textId="77777777">
        <w:tc>
          <w:tcPr>
            <w:tcW w:w="1530" w:type="dxa"/>
          </w:tcPr>
          <w:p w:rsidRPr="00CC3ECE" w:rsidR="008959A4" w:rsidP="00B35EAD" w:rsidRDefault="008959A4" w14:paraId="25EA40FB" w14:textId="77777777">
            <w:pPr>
              <w:keepNext/>
              <w:rPr>
                <w:sz w:val="24"/>
                <w:szCs w:val="24"/>
              </w:rPr>
            </w:pPr>
            <w:r w:rsidRPr="00CC3ECE">
              <w:rPr>
                <w:sz w:val="24"/>
                <w:szCs w:val="24"/>
              </w:rPr>
              <w:t>Alpine</w:t>
            </w:r>
          </w:p>
        </w:tc>
        <w:tc>
          <w:tcPr>
            <w:tcW w:w="1440" w:type="dxa"/>
          </w:tcPr>
          <w:p w:rsidRPr="00CC3ECE" w:rsidR="008959A4" w:rsidP="00B35EAD" w:rsidRDefault="008959A4" w14:paraId="26CBB18E" w14:textId="77777777">
            <w:pPr>
              <w:keepNext/>
              <w:jc w:val="right"/>
              <w:rPr>
                <w:sz w:val="24"/>
                <w:szCs w:val="24"/>
              </w:rPr>
            </w:pPr>
            <w:r w:rsidRPr="00CC3ECE">
              <w:rPr>
                <w:sz w:val="24"/>
                <w:szCs w:val="24"/>
              </w:rPr>
              <w:t>20</w:t>
            </w:r>
          </w:p>
        </w:tc>
        <w:tc>
          <w:tcPr>
            <w:tcW w:w="1260" w:type="dxa"/>
          </w:tcPr>
          <w:p w:rsidRPr="00CC3ECE" w:rsidR="008959A4" w:rsidP="00B35EAD" w:rsidRDefault="008959A4" w14:paraId="6F675C4A" w14:textId="77777777">
            <w:pPr>
              <w:keepNext/>
              <w:jc w:val="right"/>
              <w:rPr>
                <w:sz w:val="24"/>
                <w:szCs w:val="24"/>
              </w:rPr>
            </w:pPr>
            <w:r w:rsidRPr="00CC3ECE">
              <w:rPr>
                <w:sz w:val="24"/>
                <w:szCs w:val="24"/>
              </w:rPr>
              <w:t>14</w:t>
            </w:r>
          </w:p>
        </w:tc>
        <w:tc>
          <w:tcPr>
            <w:tcW w:w="1260" w:type="dxa"/>
          </w:tcPr>
          <w:p w:rsidRPr="00CC3ECE" w:rsidR="008959A4" w:rsidP="00B35EAD" w:rsidRDefault="008959A4" w14:paraId="6B4C7C90" w14:textId="77777777">
            <w:pPr>
              <w:keepNext/>
              <w:jc w:val="right"/>
              <w:rPr>
                <w:sz w:val="24"/>
                <w:szCs w:val="24"/>
              </w:rPr>
            </w:pPr>
            <w:r w:rsidRPr="00CC3ECE">
              <w:rPr>
                <w:sz w:val="24"/>
                <w:szCs w:val="24"/>
              </w:rPr>
              <w:t>14</w:t>
            </w:r>
          </w:p>
        </w:tc>
        <w:tc>
          <w:tcPr>
            <w:tcW w:w="1260" w:type="dxa"/>
          </w:tcPr>
          <w:p w:rsidRPr="00CC3ECE" w:rsidR="008959A4" w:rsidP="00B35EAD" w:rsidRDefault="008959A4" w14:paraId="70539FEA" w14:textId="77777777">
            <w:pPr>
              <w:keepNext/>
              <w:jc w:val="right"/>
              <w:rPr>
                <w:sz w:val="24"/>
                <w:szCs w:val="24"/>
              </w:rPr>
            </w:pPr>
            <w:r w:rsidRPr="00CC3ECE">
              <w:rPr>
                <w:sz w:val="24"/>
                <w:szCs w:val="24"/>
              </w:rPr>
              <w:t>14</w:t>
            </w:r>
          </w:p>
        </w:tc>
        <w:tc>
          <w:tcPr>
            <w:tcW w:w="1260" w:type="dxa"/>
          </w:tcPr>
          <w:p w:rsidRPr="00CC3ECE" w:rsidR="008959A4" w:rsidP="00B35EAD" w:rsidRDefault="008959A4" w14:paraId="532ABABC" w14:textId="77777777">
            <w:pPr>
              <w:keepNext/>
              <w:jc w:val="right"/>
              <w:rPr>
                <w:sz w:val="24"/>
                <w:szCs w:val="24"/>
              </w:rPr>
            </w:pPr>
            <w:r w:rsidRPr="00CC3ECE">
              <w:rPr>
                <w:sz w:val="24"/>
                <w:szCs w:val="24"/>
              </w:rPr>
              <w:t>14</w:t>
            </w:r>
          </w:p>
        </w:tc>
        <w:tc>
          <w:tcPr>
            <w:tcW w:w="1260" w:type="dxa"/>
          </w:tcPr>
          <w:p w:rsidRPr="00CC3ECE" w:rsidR="008959A4" w:rsidP="00B35EAD" w:rsidRDefault="008959A4" w14:paraId="294A9956" w14:textId="77777777">
            <w:pPr>
              <w:keepNext/>
              <w:jc w:val="right"/>
              <w:rPr>
                <w:sz w:val="24"/>
                <w:szCs w:val="24"/>
              </w:rPr>
            </w:pPr>
            <w:r w:rsidRPr="00CC3ECE">
              <w:rPr>
                <w:sz w:val="24"/>
                <w:szCs w:val="24"/>
              </w:rPr>
              <w:t>14</w:t>
            </w:r>
          </w:p>
        </w:tc>
        <w:tc>
          <w:tcPr>
            <w:tcW w:w="1080" w:type="dxa"/>
          </w:tcPr>
          <w:p w:rsidRPr="00CC3ECE" w:rsidR="008959A4" w:rsidP="00B35EAD" w:rsidRDefault="008959A4" w14:paraId="2DE94652" w14:textId="77777777">
            <w:pPr>
              <w:keepNext/>
              <w:jc w:val="right"/>
              <w:rPr>
                <w:sz w:val="24"/>
                <w:szCs w:val="24"/>
              </w:rPr>
            </w:pPr>
            <w:r w:rsidRPr="00CC3ECE">
              <w:rPr>
                <w:sz w:val="24"/>
                <w:szCs w:val="24"/>
              </w:rPr>
              <w:t>92</w:t>
            </w:r>
          </w:p>
        </w:tc>
      </w:tr>
      <w:tr w:rsidRPr="00CC3ECE" w:rsidR="008959A4" w:rsidTr="00717A84" w14:paraId="5F400E3A" w14:textId="77777777">
        <w:tc>
          <w:tcPr>
            <w:tcW w:w="1530" w:type="dxa"/>
          </w:tcPr>
          <w:p w:rsidRPr="00CC3ECE" w:rsidR="008959A4" w:rsidP="00B35EAD" w:rsidRDefault="008959A4" w14:paraId="291B8F88" w14:textId="77777777">
            <w:pPr>
              <w:keepNext/>
              <w:rPr>
                <w:sz w:val="24"/>
                <w:szCs w:val="24"/>
              </w:rPr>
            </w:pPr>
            <w:r w:rsidRPr="00CC3ECE">
              <w:rPr>
                <w:sz w:val="24"/>
                <w:szCs w:val="24"/>
              </w:rPr>
              <w:t>Bear Valley</w:t>
            </w:r>
          </w:p>
        </w:tc>
        <w:tc>
          <w:tcPr>
            <w:tcW w:w="1440" w:type="dxa"/>
          </w:tcPr>
          <w:p w:rsidRPr="00CC3ECE" w:rsidR="008959A4" w:rsidP="00B35EAD" w:rsidRDefault="008959A4" w14:paraId="215E0E2E" w14:textId="77777777">
            <w:pPr>
              <w:keepNext/>
              <w:jc w:val="right"/>
              <w:rPr>
                <w:sz w:val="24"/>
                <w:szCs w:val="24"/>
              </w:rPr>
            </w:pPr>
            <w:r w:rsidRPr="00CC3ECE">
              <w:rPr>
                <w:sz w:val="24"/>
                <w:szCs w:val="24"/>
              </w:rPr>
              <w:t>144</w:t>
            </w:r>
          </w:p>
        </w:tc>
        <w:tc>
          <w:tcPr>
            <w:tcW w:w="1260" w:type="dxa"/>
          </w:tcPr>
          <w:p w:rsidRPr="00CC3ECE" w:rsidR="008959A4" w:rsidP="00B35EAD" w:rsidRDefault="008959A4" w14:paraId="3052AFE9" w14:textId="77777777">
            <w:pPr>
              <w:keepNext/>
              <w:jc w:val="right"/>
              <w:rPr>
                <w:sz w:val="24"/>
                <w:szCs w:val="24"/>
              </w:rPr>
            </w:pPr>
            <w:r w:rsidRPr="00CC3ECE">
              <w:rPr>
                <w:sz w:val="24"/>
                <w:szCs w:val="24"/>
              </w:rPr>
              <w:t>90</w:t>
            </w:r>
          </w:p>
        </w:tc>
        <w:tc>
          <w:tcPr>
            <w:tcW w:w="1260" w:type="dxa"/>
          </w:tcPr>
          <w:p w:rsidRPr="00CC3ECE" w:rsidR="008959A4" w:rsidP="00B35EAD" w:rsidRDefault="008959A4" w14:paraId="6F335622" w14:textId="77777777">
            <w:pPr>
              <w:keepNext/>
              <w:jc w:val="right"/>
              <w:rPr>
                <w:sz w:val="24"/>
                <w:szCs w:val="24"/>
              </w:rPr>
            </w:pPr>
            <w:r w:rsidRPr="00CC3ECE">
              <w:rPr>
                <w:sz w:val="24"/>
                <w:szCs w:val="24"/>
              </w:rPr>
              <w:t>90</w:t>
            </w:r>
          </w:p>
        </w:tc>
        <w:tc>
          <w:tcPr>
            <w:tcW w:w="1260" w:type="dxa"/>
          </w:tcPr>
          <w:p w:rsidRPr="00CC3ECE" w:rsidR="008959A4" w:rsidP="00B35EAD" w:rsidRDefault="008959A4" w14:paraId="1F7C440D" w14:textId="77777777">
            <w:pPr>
              <w:keepNext/>
              <w:jc w:val="right"/>
              <w:rPr>
                <w:sz w:val="24"/>
                <w:szCs w:val="24"/>
              </w:rPr>
            </w:pPr>
            <w:r w:rsidRPr="00CC3ECE">
              <w:rPr>
                <w:sz w:val="24"/>
                <w:szCs w:val="24"/>
              </w:rPr>
              <w:t>90</w:t>
            </w:r>
          </w:p>
        </w:tc>
        <w:tc>
          <w:tcPr>
            <w:tcW w:w="1260" w:type="dxa"/>
          </w:tcPr>
          <w:p w:rsidRPr="00CC3ECE" w:rsidR="008959A4" w:rsidP="00B35EAD" w:rsidRDefault="008959A4" w14:paraId="7D4B5733" w14:textId="77777777">
            <w:pPr>
              <w:keepNext/>
              <w:jc w:val="right"/>
              <w:rPr>
                <w:sz w:val="24"/>
                <w:szCs w:val="24"/>
              </w:rPr>
            </w:pPr>
            <w:r w:rsidRPr="00CC3ECE">
              <w:rPr>
                <w:sz w:val="24"/>
                <w:szCs w:val="24"/>
              </w:rPr>
              <w:t>90</w:t>
            </w:r>
          </w:p>
        </w:tc>
        <w:tc>
          <w:tcPr>
            <w:tcW w:w="1260" w:type="dxa"/>
          </w:tcPr>
          <w:p w:rsidRPr="00CC3ECE" w:rsidR="008959A4" w:rsidP="00B35EAD" w:rsidRDefault="008959A4" w14:paraId="4E5D2D5F" w14:textId="77777777">
            <w:pPr>
              <w:keepNext/>
              <w:jc w:val="right"/>
              <w:rPr>
                <w:sz w:val="24"/>
                <w:szCs w:val="24"/>
              </w:rPr>
            </w:pPr>
            <w:r w:rsidRPr="00CC3ECE">
              <w:rPr>
                <w:sz w:val="24"/>
                <w:szCs w:val="24"/>
              </w:rPr>
              <w:t>90</w:t>
            </w:r>
          </w:p>
        </w:tc>
        <w:tc>
          <w:tcPr>
            <w:tcW w:w="1080" w:type="dxa"/>
          </w:tcPr>
          <w:p w:rsidRPr="00CC3ECE" w:rsidR="008959A4" w:rsidP="00B35EAD" w:rsidRDefault="008959A4" w14:paraId="67A27A70" w14:textId="77777777">
            <w:pPr>
              <w:keepNext/>
              <w:jc w:val="right"/>
              <w:rPr>
                <w:sz w:val="24"/>
                <w:szCs w:val="24"/>
              </w:rPr>
            </w:pPr>
            <w:r w:rsidRPr="00CC3ECE">
              <w:rPr>
                <w:sz w:val="24"/>
                <w:szCs w:val="24"/>
              </w:rPr>
              <w:t>594</w:t>
            </w:r>
          </w:p>
        </w:tc>
      </w:tr>
      <w:tr w:rsidRPr="00CC3ECE" w:rsidR="00FB5608" w:rsidTr="00717A84" w14:paraId="29EC225D" w14:textId="77777777">
        <w:tc>
          <w:tcPr>
            <w:tcW w:w="1530" w:type="dxa"/>
          </w:tcPr>
          <w:p w:rsidRPr="00CC3ECE" w:rsidR="00FB5608" w:rsidP="00B35EAD" w:rsidRDefault="00FB5608" w14:paraId="376EA45B" w14:textId="77777777">
            <w:pPr>
              <w:keepNext/>
              <w:rPr>
                <w:sz w:val="24"/>
                <w:szCs w:val="24"/>
              </w:rPr>
            </w:pPr>
            <w:r w:rsidRPr="00CC3ECE">
              <w:rPr>
                <w:sz w:val="24"/>
                <w:szCs w:val="24"/>
              </w:rPr>
              <w:t>Liberty</w:t>
            </w:r>
          </w:p>
        </w:tc>
        <w:tc>
          <w:tcPr>
            <w:tcW w:w="1440" w:type="dxa"/>
          </w:tcPr>
          <w:p w:rsidRPr="00CC3ECE" w:rsidR="00FB5608" w:rsidP="00B35EAD" w:rsidRDefault="00FB5608" w14:paraId="2AA4165E" w14:textId="77777777">
            <w:pPr>
              <w:keepNext/>
              <w:jc w:val="right"/>
              <w:rPr>
                <w:sz w:val="24"/>
                <w:szCs w:val="24"/>
              </w:rPr>
            </w:pPr>
            <w:r w:rsidRPr="00CC3ECE">
              <w:rPr>
                <w:sz w:val="24"/>
                <w:szCs w:val="24"/>
              </w:rPr>
              <w:t>160</w:t>
            </w:r>
          </w:p>
        </w:tc>
        <w:tc>
          <w:tcPr>
            <w:tcW w:w="1260" w:type="dxa"/>
          </w:tcPr>
          <w:p w:rsidRPr="00CC3ECE" w:rsidR="00FB5608" w:rsidP="00B35EAD" w:rsidRDefault="00FB5608" w14:paraId="73FAEFC8" w14:textId="77777777">
            <w:pPr>
              <w:keepNext/>
              <w:jc w:val="right"/>
              <w:rPr>
                <w:sz w:val="24"/>
                <w:szCs w:val="24"/>
              </w:rPr>
            </w:pPr>
            <w:r w:rsidRPr="00CC3ECE">
              <w:rPr>
                <w:sz w:val="24"/>
                <w:szCs w:val="24"/>
              </w:rPr>
              <w:t>162</w:t>
            </w:r>
          </w:p>
        </w:tc>
        <w:tc>
          <w:tcPr>
            <w:tcW w:w="1260" w:type="dxa"/>
          </w:tcPr>
          <w:p w:rsidRPr="00CC3ECE" w:rsidR="00FB5608" w:rsidP="00B35EAD" w:rsidRDefault="00FB5608" w14:paraId="7CCDD17A" w14:textId="4895D4EA">
            <w:pPr>
              <w:keepNext/>
              <w:jc w:val="right"/>
              <w:rPr>
                <w:sz w:val="24"/>
                <w:szCs w:val="24"/>
              </w:rPr>
            </w:pPr>
            <w:r>
              <w:rPr>
                <w:sz w:val="24"/>
                <w:szCs w:val="24"/>
              </w:rPr>
              <w:t>162</w:t>
            </w:r>
          </w:p>
        </w:tc>
        <w:tc>
          <w:tcPr>
            <w:tcW w:w="1260" w:type="dxa"/>
          </w:tcPr>
          <w:p w:rsidRPr="00CC3ECE" w:rsidR="00FB5608" w:rsidP="00B35EAD" w:rsidRDefault="00FB5608" w14:paraId="7EEA1F0A" w14:textId="77777777">
            <w:pPr>
              <w:keepNext/>
              <w:jc w:val="right"/>
              <w:rPr>
                <w:sz w:val="24"/>
                <w:szCs w:val="24"/>
              </w:rPr>
            </w:pPr>
            <w:r w:rsidRPr="00CC3ECE">
              <w:rPr>
                <w:sz w:val="24"/>
                <w:szCs w:val="24"/>
              </w:rPr>
              <w:t>166</w:t>
            </w:r>
          </w:p>
        </w:tc>
        <w:tc>
          <w:tcPr>
            <w:tcW w:w="1260" w:type="dxa"/>
          </w:tcPr>
          <w:p w:rsidRPr="00CC3ECE" w:rsidR="00FB5608" w:rsidP="00B35EAD" w:rsidRDefault="00FB5608" w14:paraId="76B5CE39" w14:textId="77777777">
            <w:pPr>
              <w:keepNext/>
              <w:jc w:val="right"/>
              <w:rPr>
                <w:sz w:val="24"/>
                <w:szCs w:val="24"/>
              </w:rPr>
            </w:pPr>
            <w:r w:rsidRPr="00CC3ECE">
              <w:rPr>
                <w:sz w:val="24"/>
                <w:szCs w:val="24"/>
              </w:rPr>
              <w:t>166</w:t>
            </w:r>
          </w:p>
        </w:tc>
        <w:tc>
          <w:tcPr>
            <w:tcW w:w="1260" w:type="dxa"/>
          </w:tcPr>
          <w:p w:rsidRPr="00CC3ECE" w:rsidR="00FB5608" w:rsidP="00B35EAD" w:rsidRDefault="00FB5608" w14:paraId="37B549D5" w14:textId="77777777">
            <w:pPr>
              <w:keepNext/>
              <w:jc w:val="right"/>
              <w:rPr>
                <w:sz w:val="24"/>
                <w:szCs w:val="24"/>
              </w:rPr>
            </w:pPr>
            <w:r w:rsidRPr="00CC3ECE">
              <w:rPr>
                <w:sz w:val="24"/>
                <w:szCs w:val="24"/>
              </w:rPr>
              <w:t>166</w:t>
            </w:r>
          </w:p>
        </w:tc>
        <w:tc>
          <w:tcPr>
            <w:tcW w:w="1080" w:type="dxa"/>
          </w:tcPr>
          <w:p w:rsidRPr="00CC3ECE" w:rsidR="00FB5608" w:rsidP="00B35EAD" w:rsidRDefault="00FB5608" w14:paraId="40DE4439" w14:textId="3715E70E">
            <w:pPr>
              <w:keepNext/>
              <w:jc w:val="right"/>
              <w:rPr>
                <w:sz w:val="24"/>
                <w:szCs w:val="24"/>
              </w:rPr>
            </w:pPr>
            <w:r w:rsidRPr="00CC3ECE">
              <w:rPr>
                <w:sz w:val="24"/>
                <w:szCs w:val="24"/>
              </w:rPr>
              <w:t>98</w:t>
            </w:r>
            <w:r>
              <w:rPr>
                <w:sz w:val="24"/>
                <w:szCs w:val="24"/>
              </w:rPr>
              <w:t>1</w:t>
            </w:r>
          </w:p>
        </w:tc>
      </w:tr>
      <w:tr w:rsidRPr="00CC3ECE" w:rsidR="00FB5608" w:rsidTr="00717A84" w14:paraId="51771350" w14:textId="77777777">
        <w:tc>
          <w:tcPr>
            <w:tcW w:w="1530" w:type="dxa"/>
          </w:tcPr>
          <w:p w:rsidRPr="00CC3ECE" w:rsidR="00FB5608" w:rsidP="00B35EAD" w:rsidRDefault="00FB5608" w14:paraId="62EF1396" w14:textId="77777777">
            <w:pPr>
              <w:keepNext/>
              <w:rPr>
                <w:sz w:val="24"/>
                <w:szCs w:val="24"/>
              </w:rPr>
            </w:pPr>
            <w:r w:rsidRPr="00CC3ECE">
              <w:rPr>
                <w:sz w:val="24"/>
                <w:szCs w:val="24"/>
              </w:rPr>
              <w:t>PacifiCorp</w:t>
            </w:r>
          </w:p>
        </w:tc>
        <w:tc>
          <w:tcPr>
            <w:tcW w:w="1440" w:type="dxa"/>
          </w:tcPr>
          <w:p w:rsidRPr="00CC3ECE" w:rsidR="00FB5608" w:rsidP="00B35EAD" w:rsidRDefault="00FB5608" w14:paraId="08CF5E7A" w14:textId="77777777">
            <w:pPr>
              <w:keepNext/>
              <w:jc w:val="right"/>
              <w:rPr>
                <w:sz w:val="24"/>
                <w:szCs w:val="24"/>
              </w:rPr>
            </w:pPr>
            <w:r w:rsidRPr="00CC3ECE">
              <w:rPr>
                <w:sz w:val="24"/>
                <w:szCs w:val="24"/>
              </w:rPr>
              <w:t>150</w:t>
            </w:r>
          </w:p>
        </w:tc>
        <w:tc>
          <w:tcPr>
            <w:tcW w:w="1260" w:type="dxa"/>
          </w:tcPr>
          <w:p w:rsidRPr="00CC3ECE" w:rsidR="00FB5608" w:rsidP="00B35EAD" w:rsidRDefault="00FB5608" w14:paraId="166820E6" w14:textId="77777777">
            <w:pPr>
              <w:keepNext/>
              <w:jc w:val="right"/>
              <w:rPr>
                <w:sz w:val="24"/>
                <w:szCs w:val="24"/>
              </w:rPr>
            </w:pPr>
            <w:r w:rsidRPr="00CC3ECE">
              <w:rPr>
                <w:sz w:val="24"/>
                <w:szCs w:val="24"/>
              </w:rPr>
              <w:t>121</w:t>
            </w:r>
          </w:p>
        </w:tc>
        <w:tc>
          <w:tcPr>
            <w:tcW w:w="1260" w:type="dxa"/>
          </w:tcPr>
          <w:p w:rsidRPr="00CC3ECE" w:rsidR="00FB5608" w:rsidP="00B35EAD" w:rsidRDefault="00FB5608" w14:paraId="33C2E256" w14:textId="77777777">
            <w:pPr>
              <w:keepNext/>
              <w:jc w:val="right"/>
              <w:rPr>
                <w:sz w:val="24"/>
                <w:szCs w:val="24"/>
              </w:rPr>
            </w:pPr>
            <w:r w:rsidRPr="00CC3ECE">
              <w:rPr>
                <w:sz w:val="24"/>
                <w:szCs w:val="24"/>
              </w:rPr>
              <w:t>127</w:t>
            </w:r>
          </w:p>
        </w:tc>
        <w:tc>
          <w:tcPr>
            <w:tcW w:w="1260" w:type="dxa"/>
          </w:tcPr>
          <w:p w:rsidRPr="00CC3ECE" w:rsidR="00FB5608" w:rsidP="00B35EAD" w:rsidRDefault="00FB5608" w14:paraId="5671BB5B" w14:textId="77777777">
            <w:pPr>
              <w:keepNext/>
              <w:jc w:val="right"/>
              <w:rPr>
                <w:sz w:val="24"/>
                <w:szCs w:val="24"/>
              </w:rPr>
            </w:pPr>
            <w:r w:rsidRPr="00CC3ECE">
              <w:rPr>
                <w:sz w:val="24"/>
                <w:szCs w:val="24"/>
              </w:rPr>
              <w:t>132</w:t>
            </w:r>
          </w:p>
        </w:tc>
        <w:tc>
          <w:tcPr>
            <w:tcW w:w="1260" w:type="dxa"/>
          </w:tcPr>
          <w:p w:rsidRPr="00CC3ECE" w:rsidR="00FB5608" w:rsidP="00B35EAD" w:rsidRDefault="00FB5608" w14:paraId="642D8226" w14:textId="77777777">
            <w:pPr>
              <w:keepNext/>
              <w:jc w:val="right"/>
              <w:rPr>
                <w:sz w:val="24"/>
                <w:szCs w:val="24"/>
              </w:rPr>
            </w:pPr>
            <w:r w:rsidRPr="00CC3ECE">
              <w:rPr>
                <w:sz w:val="24"/>
                <w:szCs w:val="24"/>
              </w:rPr>
              <w:t>139</w:t>
            </w:r>
          </w:p>
        </w:tc>
        <w:tc>
          <w:tcPr>
            <w:tcW w:w="1260" w:type="dxa"/>
          </w:tcPr>
          <w:p w:rsidRPr="00CC3ECE" w:rsidR="00FB5608" w:rsidP="00B35EAD" w:rsidRDefault="00FB5608" w14:paraId="40E6E1D1" w14:textId="77777777">
            <w:pPr>
              <w:keepNext/>
              <w:jc w:val="right"/>
              <w:rPr>
                <w:sz w:val="24"/>
                <w:szCs w:val="24"/>
              </w:rPr>
            </w:pPr>
            <w:r w:rsidRPr="00CC3ECE">
              <w:rPr>
                <w:sz w:val="24"/>
                <w:szCs w:val="24"/>
              </w:rPr>
              <w:t>144</w:t>
            </w:r>
          </w:p>
        </w:tc>
        <w:tc>
          <w:tcPr>
            <w:tcW w:w="1080" w:type="dxa"/>
          </w:tcPr>
          <w:p w:rsidRPr="00CC3ECE" w:rsidR="00FB5608" w:rsidP="00B35EAD" w:rsidRDefault="00FB5608" w14:paraId="7471EBFC" w14:textId="77777777">
            <w:pPr>
              <w:keepNext/>
              <w:jc w:val="right"/>
              <w:rPr>
                <w:sz w:val="24"/>
                <w:szCs w:val="24"/>
              </w:rPr>
            </w:pPr>
            <w:r w:rsidRPr="00CC3ECE">
              <w:rPr>
                <w:sz w:val="24"/>
                <w:szCs w:val="24"/>
              </w:rPr>
              <w:t>812</w:t>
            </w:r>
          </w:p>
        </w:tc>
      </w:tr>
      <w:tr w:rsidRPr="00CC3ECE" w:rsidR="00FB5608" w:rsidTr="00717A84" w14:paraId="4E38A73B" w14:textId="77777777">
        <w:tc>
          <w:tcPr>
            <w:tcW w:w="1530" w:type="dxa"/>
          </w:tcPr>
          <w:p w:rsidRPr="00CC3ECE" w:rsidR="00FB5608" w:rsidP="00B35EAD" w:rsidRDefault="00FB5608" w14:paraId="602CCC23" w14:textId="77777777">
            <w:pPr>
              <w:keepNext/>
              <w:rPr>
                <w:sz w:val="24"/>
                <w:szCs w:val="24"/>
              </w:rPr>
            </w:pPr>
            <w:r w:rsidRPr="00CC3ECE">
              <w:rPr>
                <w:sz w:val="24"/>
                <w:szCs w:val="24"/>
              </w:rPr>
              <w:t>Southwest Gas</w:t>
            </w:r>
          </w:p>
        </w:tc>
        <w:tc>
          <w:tcPr>
            <w:tcW w:w="1440" w:type="dxa"/>
          </w:tcPr>
          <w:p w:rsidRPr="00CC3ECE" w:rsidR="00FB5608" w:rsidP="00B35EAD" w:rsidRDefault="00FB5608" w14:paraId="31A04005" w14:textId="77777777">
            <w:pPr>
              <w:keepNext/>
              <w:jc w:val="right"/>
              <w:rPr>
                <w:sz w:val="24"/>
                <w:szCs w:val="24"/>
              </w:rPr>
            </w:pPr>
            <w:r w:rsidRPr="00CC3ECE">
              <w:rPr>
                <w:sz w:val="24"/>
                <w:szCs w:val="24"/>
              </w:rPr>
              <w:t>2,116</w:t>
            </w:r>
          </w:p>
        </w:tc>
        <w:tc>
          <w:tcPr>
            <w:tcW w:w="1260" w:type="dxa"/>
          </w:tcPr>
          <w:p w:rsidRPr="00CC3ECE" w:rsidR="00FB5608" w:rsidP="00B35EAD" w:rsidRDefault="00FB5608" w14:paraId="6BC4C978" w14:textId="77777777">
            <w:pPr>
              <w:keepNext/>
              <w:jc w:val="right"/>
              <w:rPr>
                <w:sz w:val="24"/>
                <w:szCs w:val="24"/>
              </w:rPr>
            </w:pPr>
            <w:r w:rsidRPr="00CC3ECE">
              <w:rPr>
                <w:sz w:val="24"/>
                <w:szCs w:val="24"/>
              </w:rPr>
              <w:t>1,800</w:t>
            </w:r>
          </w:p>
        </w:tc>
        <w:tc>
          <w:tcPr>
            <w:tcW w:w="1260" w:type="dxa"/>
          </w:tcPr>
          <w:p w:rsidRPr="00CC3ECE" w:rsidR="00FB5608" w:rsidP="00B35EAD" w:rsidRDefault="00FB5608" w14:paraId="7771EFA2" w14:textId="77777777">
            <w:pPr>
              <w:keepNext/>
              <w:jc w:val="right"/>
              <w:rPr>
                <w:sz w:val="24"/>
                <w:szCs w:val="24"/>
              </w:rPr>
            </w:pPr>
            <w:r w:rsidRPr="00CC3ECE">
              <w:rPr>
                <w:sz w:val="24"/>
                <w:szCs w:val="24"/>
              </w:rPr>
              <w:t>1,800</w:t>
            </w:r>
          </w:p>
        </w:tc>
        <w:tc>
          <w:tcPr>
            <w:tcW w:w="1260" w:type="dxa"/>
          </w:tcPr>
          <w:p w:rsidRPr="00CC3ECE" w:rsidR="00FB5608" w:rsidP="00B35EAD" w:rsidRDefault="00FB5608" w14:paraId="6903218B" w14:textId="77777777">
            <w:pPr>
              <w:keepNext/>
              <w:jc w:val="right"/>
              <w:rPr>
                <w:sz w:val="24"/>
                <w:szCs w:val="24"/>
              </w:rPr>
            </w:pPr>
            <w:r w:rsidRPr="00CC3ECE">
              <w:rPr>
                <w:sz w:val="24"/>
                <w:szCs w:val="24"/>
              </w:rPr>
              <w:t>1,800</w:t>
            </w:r>
          </w:p>
        </w:tc>
        <w:tc>
          <w:tcPr>
            <w:tcW w:w="1260" w:type="dxa"/>
          </w:tcPr>
          <w:p w:rsidRPr="00CC3ECE" w:rsidR="00FB5608" w:rsidP="00B35EAD" w:rsidRDefault="00FB5608" w14:paraId="382ACFE7" w14:textId="77777777">
            <w:pPr>
              <w:keepNext/>
              <w:jc w:val="right"/>
              <w:rPr>
                <w:sz w:val="24"/>
                <w:szCs w:val="24"/>
              </w:rPr>
            </w:pPr>
            <w:r w:rsidRPr="00CC3ECE">
              <w:rPr>
                <w:sz w:val="24"/>
                <w:szCs w:val="24"/>
              </w:rPr>
              <w:t>1,800</w:t>
            </w:r>
          </w:p>
        </w:tc>
        <w:tc>
          <w:tcPr>
            <w:tcW w:w="1260" w:type="dxa"/>
          </w:tcPr>
          <w:p w:rsidRPr="00CC3ECE" w:rsidR="00FB5608" w:rsidP="00B35EAD" w:rsidRDefault="00FB5608" w14:paraId="5D7694CD" w14:textId="77777777">
            <w:pPr>
              <w:keepNext/>
              <w:jc w:val="right"/>
              <w:rPr>
                <w:sz w:val="24"/>
                <w:szCs w:val="24"/>
              </w:rPr>
            </w:pPr>
            <w:r w:rsidRPr="00CC3ECE">
              <w:rPr>
                <w:sz w:val="24"/>
                <w:szCs w:val="24"/>
              </w:rPr>
              <w:t>1,800</w:t>
            </w:r>
          </w:p>
        </w:tc>
        <w:tc>
          <w:tcPr>
            <w:tcW w:w="1080" w:type="dxa"/>
          </w:tcPr>
          <w:p w:rsidRPr="00CC3ECE" w:rsidR="00FB5608" w:rsidP="00B35EAD" w:rsidRDefault="00FB5608" w14:paraId="29376C0B" w14:textId="77777777">
            <w:pPr>
              <w:keepNext/>
              <w:jc w:val="right"/>
              <w:rPr>
                <w:sz w:val="24"/>
                <w:szCs w:val="24"/>
              </w:rPr>
            </w:pPr>
            <w:r w:rsidRPr="00CC3ECE">
              <w:rPr>
                <w:sz w:val="24"/>
                <w:szCs w:val="24"/>
              </w:rPr>
              <w:t>11,116</w:t>
            </w:r>
          </w:p>
        </w:tc>
      </w:tr>
      <w:tr w:rsidRPr="00CC3ECE" w:rsidR="00FA1286" w:rsidTr="00717A84" w14:paraId="5CB2C1A2" w14:textId="77777777">
        <w:tc>
          <w:tcPr>
            <w:tcW w:w="1530" w:type="dxa"/>
          </w:tcPr>
          <w:p w:rsidRPr="00CC3ECE" w:rsidR="00FA1286" w:rsidP="00B35EAD" w:rsidRDefault="00FA1286" w14:paraId="6E7455FA" w14:textId="77777777">
            <w:pPr>
              <w:keepNext/>
              <w:rPr>
                <w:sz w:val="24"/>
                <w:szCs w:val="24"/>
              </w:rPr>
            </w:pPr>
            <w:r w:rsidRPr="00CC3ECE">
              <w:rPr>
                <w:sz w:val="24"/>
                <w:szCs w:val="24"/>
              </w:rPr>
              <w:t>Total</w:t>
            </w:r>
          </w:p>
        </w:tc>
        <w:tc>
          <w:tcPr>
            <w:tcW w:w="1440" w:type="dxa"/>
          </w:tcPr>
          <w:p w:rsidRPr="00CC3ECE" w:rsidR="00FA1286" w:rsidP="00B35EAD" w:rsidRDefault="00FA1286" w14:paraId="001345F8" w14:textId="77777777">
            <w:pPr>
              <w:keepNext/>
              <w:jc w:val="right"/>
              <w:rPr>
                <w:sz w:val="24"/>
                <w:szCs w:val="24"/>
              </w:rPr>
            </w:pPr>
            <w:r w:rsidRPr="00CC3ECE">
              <w:rPr>
                <w:sz w:val="24"/>
                <w:szCs w:val="24"/>
              </w:rPr>
              <w:t>2,590</w:t>
            </w:r>
          </w:p>
        </w:tc>
        <w:tc>
          <w:tcPr>
            <w:tcW w:w="1260" w:type="dxa"/>
          </w:tcPr>
          <w:p w:rsidRPr="00CC3ECE" w:rsidR="00FA1286" w:rsidP="00B35EAD" w:rsidRDefault="00FA1286" w14:paraId="7E6FEF2A" w14:textId="77777777">
            <w:pPr>
              <w:keepNext/>
              <w:jc w:val="right"/>
              <w:rPr>
                <w:sz w:val="24"/>
                <w:szCs w:val="24"/>
              </w:rPr>
            </w:pPr>
            <w:r w:rsidRPr="00CC3ECE">
              <w:rPr>
                <w:sz w:val="24"/>
                <w:szCs w:val="24"/>
              </w:rPr>
              <w:t>2,187</w:t>
            </w:r>
          </w:p>
        </w:tc>
        <w:tc>
          <w:tcPr>
            <w:tcW w:w="1260" w:type="dxa"/>
          </w:tcPr>
          <w:p w:rsidRPr="00CC3ECE" w:rsidR="00FA1286" w:rsidP="00B35EAD" w:rsidRDefault="00FA1286" w14:paraId="273727AE" w14:textId="5E4DD9F4">
            <w:pPr>
              <w:keepNext/>
              <w:jc w:val="right"/>
              <w:rPr>
                <w:sz w:val="24"/>
                <w:szCs w:val="24"/>
              </w:rPr>
            </w:pPr>
            <w:r w:rsidRPr="00CC3ECE">
              <w:rPr>
                <w:sz w:val="24"/>
                <w:szCs w:val="24"/>
              </w:rPr>
              <w:t>2,19</w:t>
            </w:r>
            <w:r>
              <w:rPr>
                <w:sz w:val="24"/>
                <w:szCs w:val="24"/>
              </w:rPr>
              <w:t>3</w:t>
            </w:r>
          </w:p>
        </w:tc>
        <w:tc>
          <w:tcPr>
            <w:tcW w:w="1260" w:type="dxa"/>
          </w:tcPr>
          <w:p w:rsidRPr="00CC3ECE" w:rsidR="00FA1286" w:rsidP="00B35EAD" w:rsidRDefault="00FA1286" w14:paraId="09FA046C" w14:textId="77777777">
            <w:pPr>
              <w:keepNext/>
              <w:jc w:val="right"/>
              <w:rPr>
                <w:sz w:val="24"/>
                <w:szCs w:val="24"/>
              </w:rPr>
            </w:pPr>
            <w:r w:rsidRPr="00CC3ECE">
              <w:rPr>
                <w:sz w:val="24"/>
                <w:szCs w:val="24"/>
              </w:rPr>
              <w:t>2,202</w:t>
            </w:r>
          </w:p>
        </w:tc>
        <w:tc>
          <w:tcPr>
            <w:tcW w:w="1260" w:type="dxa"/>
          </w:tcPr>
          <w:p w:rsidRPr="00CC3ECE" w:rsidR="00FA1286" w:rsidP="00B35EAD" w:rsidRDefault="00FA1286" w14:paraId="57885E47" w14:textId="77777777">
            <w:pPr>
              <w:keepNext/>
              <w:jc w:val="right"/>
              <w:rPr>
                <w:sz w:val="24"/>
                <w:szCs w:val="24"/>
              </w:rPr>
            </w:pPr>
            <w:r w:rsidRPr="00CC3ECE">
              <w:rPr>
                <w:sz w:val="24"/>
                <w:szCs w:val="24"/>
              </w:rPr>
              <w:t>2,209</w:t>
            </w:r>
          </w:p>
        </w:tc>
        <w:tc>
          <w:tcPr>
            <w:tcW w:w="1260" w:type="dxa"/>
          </w:tcPr>
          <w:p w:rsidRPr="00CC3ECE" w:rsidR="00FA1286" w:rsidP="00B35EAD" w:rsidRDefault="00FA1286" w14:paraId="2595A8BB" w14:textId="77777777">
            <w:pPr>
              <w:keepNext/>
              <w:jc w:val="right"/>
              <w:rPr>
                <w:sz w:val="24"/>
                <w:szCs w:val="24"/>
              </w:rPr>
            </w:pPr>
            <w:r w:rsidRPr="00CC3ECE">
              <w:rPr>
                <w:sz w:val="24"/>
                <w:szCs w:val="24"/>
              </w:rPr>
              <w:t>2,214</w:t>
            </w:r>
          </w:p>
        </w:tc>
        <w:tc>
          <w:tcPr>
            <w:tcW w:w="1080" w:type="dxa"/>
          </w:tcPr>
          <w:p w:rsidRPr="00CC3ECE" w:rsidR="00FA1286" w:rsidP="00B35EAD" w:rsidRDefault="00FA1286" w14:paraId="7976C6BA" w14:textId="6BAF459F">
            <w:pPr>
              <w:keepNext/>
              <w:jc w:val="right"/>
              <w:rPr>
                <w:sz w:val="24"/>
                <w:szCs w:val="24"/>
              </w:rPr>
            </w:pPr>
            <w:r w:rsidRPr="00CC3ECE">
              <w:rPr>
                <w:sz w:val="24"/>
                <w:szCs w:val="24"/>
              </w:rPr>
              <w:t>13,59</w:t>
            </w:r>
            <w:r>
              <w:rPr>
                <w:sz w:val="24"/>
                <w:szCs w:val="24"/>
              </w:rPr>
              <w:t>5</w:t>
            </w:r>
          </w:p>
        </w:tc>
      </w:tr>
    </w:tbl>
    <w:p w:rsidRPr="00B85080" w:rsidR="008959A4" w:rsidP="00B35EAD" w:rsidRDefault="008959A4" w14:paraId="50BB4BA0" w14:textId="77777777">
      <w:pPr>
        <w:pStyle w:val="FoF"/>
        <w:keepNext/>
        <w:numPr>
          <w:ilvl w:val="0"/>
          <w:numId w:val="0"/>
        </w:numPr>
        <w:ind w:left="540"/>
        <w:rPr>
          <w:sz w:val="10"/>
          <w:szCs w:val="10"/>
        </w:rPr>
      </w:pPr>
    </w:p>
    <w:p w:rsidRPr="00292155" w:rsidR="008959A4" w:rsidP="00A65969" w:rsidRDefault="008959A4" w14:paraId="3C5128EB" w14:textId="77777777">
      <w:pPr>
        <w:keepNext/>
        <w:keepLines/>
        <w:numPr>
          <w:ilvl w:val="0"/>
          <w:numId w:val="3"/>
        </w:numPr>
        <w:spacing w:line="360" w:lineRule="auto"/>
        <w:ind w:firstLine="547"/>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Corporation’s must</w:t>
      </w:r>
      <w:r>
        <w:rPr>
          <w:rFonts w:cstheme="minorBidi"/>
          <w:szCs w:val="22"/>
        </w:rPr>
        <w:t xml:space="preserve"> each</w:t>
      </w:r>
      <w:r w:rsidRPr="00292155">
        <w:rPr>
          <w:rFonts w:cstheme="minorBidi"/>
          <w:szCs w:val="22"/>
        </w:rPr>
        <w:t xml:space="preserve"> include in </w:t>
      </w:r>
      <w:bookmarkStart w:name="_Hlk81578461" w:id="362"/>
      <w:r>
        <w:rPr>
          <w:rFonts w:cstheme="minorBidi"/>
          <w:szCs w:val="22"/>
        </w:rPr>
        <w:t>its</w:t>
      </w:r>
      <w:r w:rsidRPr="00292155">
        <w:rPr>
          <w:rFonts w:cstheme="minorBidi"/>
          <w:szCs w:val="22"/>
        </w:rPr>
        <w:t xml:space="preserve"> Energy Savings Assistance </w:t>
      </w:r>
      <w:bookmarkEnd w:id="362"/>
      <w:r w:rsidRPr="00292155">
        <w:rPr>
          <w:rFonts w:cstheme="minorBidi"/>
          <w:szCs w:val="22"/>
        </w:rPr>
        <w:t xml:space="preserve">(ESA) annual reports a breakdown of the building types (Single Family, Multi-Family and Mobile Home) being treated by </w:t>
      </w:r>
      <w:r>
        <w:rPr>
          <w:rFonts w:cstheme="minorBidi"/>
          <w:szCs w:val="22"/>
        </w:rPr>
        <w:t>the</w:t>
      </w:r>
      <w:r w:rsidRPr="00292155">
        <w:rPr>
          <w:rFonts w:cstheme="minorBidi"/>
          <w:szCs w:val="22"/>
        </w:rPr>
        <w:t xml:space="preserve"> ESA program, (per the reporting template to be developed and issued by Energy Division staff), starting with the </w:t>
      </w:r>
      <w:r>
        <w:rPr>
          <w:rFonts w:cstheme="minorBidi"/>
          <w:szCs w:val="22"/>
        </w:rPr>
        <w:t xml:space="preserve">program year </w:t>
      </w:r>
      <w:r w:rsidRPr="00292155">
        <w:rPr>
          <w:rFonts w:cstheme="minorBidi"/>
          <w:szCs w:val="22"/>
        </w:rPr>
        <w:t>2022 Annual Report.</w:t>
      </w:r>
    </w:p>
    <w:p w:rsidRPr="00292155" w:rsidR="008959A4" w:rsidP="008959A4" w:rsidRDefault="008959A4" w14:paraId="109B9983"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Corporation’s portfolio level energy savings goals are approved as follows.</w:t>
      </w:r>
    </w:p>
    <w:tbl>
      <w:tblPr>
        <w:tblStyle w:val="TableTheme1"/>
        <w:tblW w:w="9000" w:type="dxa"/>
        <w:jc w:val="center"/>
        <w:tblLayout w:type="fixed"/>
        <w:tblLook w:val="04A0" w:firstRow="1" w:lastRow="0" w:firstColumn="1" w:lastColumn="0" w:noHBand="0" w:noVBand="1"/>
      </w:tblPr>
      <w:tblGrid>
        <w:gridCol w:w="1440"/>
        <w:gridCol w:w="1054"/>
        <w:gridCol w:w="1054"/>
        <w:gridCol w:w="1054"/>
        <w:gridCol w:w="1055"/>
        <w:gridCol w:w="1054"/>
        <w:gridCol w:w="1054"/>
        <w:gridCol w:w="1235"/>
      </w:tblGrid>
      <w:tr w:rsidRPr="00262FF5" w:rsidR="008959A4" w:rsidTr="00717A84" w14:paraId="56805DD5" w14:textId="77777777">
        <w:trPr>
          <w:trHeight w:val="547"/>
          <w:jc w:val="center"/>
        </w:trPr>
        <w:tc>
          <w:tcPr>
            <w:tcW w:w="9000" w:type="dxa"/>
            <w:gridSpan w:val="8"/>
            <w:vAlign w:val="center"/>
          </w:tcPr>
          <w:p w:rsidRPr="00262FF5" w:rsidR="008959A4" w:rsidP="00717A84" w:rsidRDefault="008959A4" w14:paraId="3C5CFDC6" w14:textId="77777777">
            <w:pPr>
              <w:keepNext/>
              <w:ind w:left="360"/>
              <w:jc w:val="center"/>
              <w:rPr>
                <w:rFonts w:eastAsia="Times New Roman" w:cstheme="minorHAnsi"/>
                <w:color w:val="000000"/>
                <w:sz w:val="24"/>
                <w:szCs w:val="24"/>
              </w:rPr>
            </w:pPr>
            <w:r w:rsidRPr="00262FF5">
              <w:rPr>
                <w:sz w:val="24"/>
                <w:szCs w:val="24"/>
              </w:rPr>
              <w:lastRenderedPageBreak/>
              <w:t>Approved E</w:t>
            </w:r>
            <w:r w:rsidRPr="00CC3ECE">
              <w:rPr>
                <w:sz w:val="24"/>
                <w:szCs w:val="24"/>
              </w:rPr>
              <w:t xml:space="preserve">nergy </w:t>
            </w:r>
            <w:r w:rsidRPr="00262FF5">
              <w:rPr>
                <w:sz w:val="24"/>
                <w:szCs w:val="24"/>
              </w:rPr>
              <w:t>S</w:t>
            </w:r>
            <w:r w:rsidRPr="00CC3ECE">
              <w:rPr>
                <w:sz w:val="24"/>
                <w:szCs w:val="24"/>
              </w:rPr>
              <w:t xml:space="preserve">avings </w:t>
            </w:r>
            <w:r w:rsidRPr="00262FF5">
              <w:rPr>
                <w:sz w:val="24"/>
                <w:szCs w:val="24"/>
              </w:rPr>
              <w:t>A</w:t>
            </w:r>
            <w:r w:rsidRPr="00CC3ECE">
              <w:rPr>
                <w:sz w:val="24"/>
                <w:szCs w:val="24"/>
              </w:rPr>
              <w:t xml:space="preserve">ssistance </w:t>
            </w:r>
            <w:r w:rsidRPr="00262FF5">
              <w:rPr>
                <w:sz w:val="24"/>
                <w:szCs w:val="24"/>
              </w:rPr>
              <w:t>Portfolio Savings Goal, PYs 2022-2026</w:t>
            </w:r>
          </w:p>
        </w:tc>
      </w:tr>
      <w:tr w:rsidRPr="00262FF5" w:rsidR="008959A4" w:rsidTr="00717A84" w14:paraId="110D1837" w14:textId="77777777">
        <w:trPr>
          <w:trHeight w:val="547"/>
          <w:jc w:val="center"/>
        </w:trPr>
        <w:tc>
          <w:tcPr>
            <w:tcW w:w="2494" w:type="dxa"/>
            <w:gridSpan w:val="2"/>
            <w:vAlign w:val="center"/>
            <w:hideMark/>
          </w:tcPr>
          <w:p w:rsidRPr="00262FF5" w:rsidR="008959A4" w:rsidP="00717A84" w:rsidRDefault="008959A4" w14:paraId="159CAA78" w14:textId="77777777">
            <w:pPr>
              <w:keepNext/>
              <w:ind w:left="360"/>
              <w:jc w:val="center"/>
              <w:rPr>
                <w:rFonts w:eastAsia="Times New Roman" w:cstheme="minorHAnsi"/>
                <w:color w:val="000000"/>
                <w:sz w:val="24"/>
                <w:szCs w:val="24"/>
              </w:rPr>
            </w:pPr>
            <w:r w:rsidRPr="00CC3ECE">
              <w:rPr>
                <w:rFonts w:eastAsia="Times New Roman" w:cstheme="minorHAnsi"/>
                <w:color w:val="000000"/>
                <w:sz w:val="24"/>
                <w:szCs w:val="24"/>
              </w:rPr>
              <w:t>Utility</w:t>
            </w:r>
          </w:p>
        </w:tc>
        <w:tc>
          <w:tcPr>
            <w:tcW w:w="1054" w:type="dxa"/>
            <w:noWrap/>
            <w:hideMark/>
          </w:tcPr>
          <w:p w:rsidRPr="00262FF5" w:rsidR="008959A4" w:rsidP="00717A84" w:rsidRDefault="008959A4" w14:paraId="36447B43" w14:textId="77777777">
            <w:pPr>
              <w:keepNext/>
              <w:jc w:val="center"/>
              <w:rPr>
                <w:rFonts w:eastAsia="Times New Roman" w:cstheme="minorHAnsi"/>
                <w:color w:val="000000"/>
                <w:sz w:val="24"/>
                <w:szCs w:val="24"/>
              </w:rPr>
            </w:pPr>
            <w:r w:rsidRPr="00262FF5">
              <w:rPr>
                <w:rFonts w:eastAsia="Times New Roman" w:cstheme="minorHAnsi"/>
                <w:color w:val="000000"/>
                <w:sz w:val="24"/>
                <w:szCs w:val="24"/>
              </w:rPr>
              <w:t>2022</w:t>
            </w:r>
          </w:p>
        </w:tc>
        <w:tc>
          <w:tcPr>
            <w:tcW w:w="1054" w:type="dxa"/>
            <w:noWrap/>
            <w:hideMark/>
          </w:tcPr>
          <w:p w:rsidRPr="00262FF5" w:rsidR="008959A4" w:rsidP="00717A84" w:rsidRDefault="008959A4" w14:paraId="7C397F9F" w14:textId="77777777">
            <w:pPr>
              <w:keepNext/>
              <w:jc w:val="center"/>
              <w:rPr>
                <w:rFonts w:eastAsia="Times New Roman" w:cstheme="minorHAnsi"/>
                <w:color w:val="000000"/>
                <w:sz w:val="24"/>
                <w:szCs w:val="24"/>
              </w:rPr>
            </w:pPr>
            <w:r w:rsidRPr="00262FF5">
              <w:rPr>
                <w:rFonts w:eastAsia="Times New Roman" w:cstheme="minorHAnsi"/>
                <w:color w:val="000000"/>
                <w:sz w:val="24"/>
                <w:szCs w:val="24"/>
              </w:rPr>
              <w:t>2023</w:t>
            </w:r>
          </w:p>
        </w:tc>
        <w:tc>
          <w:tcPr>
            <w:tcW w:w="1055" w:type="dxa"/>
            <w:noWrap/>
            <w:hideMark/>
          </w:tcPr>
          <w:p w:rsidRPr="00262FF5" w:rsidR="008959A4" w:rsidP="00717A84" w:rsidRDefault="008959A4" w14:paraId="44E1DF23" w14:textId="77777777">
            <w:pPr>
              <w:keepNext/>
              <w:jc w:val="center"/>
              <w:rPr>
                <w:rFonts w:eastAsia="Times New Roman" w:cstheme="minorHAnsi"/>
                <w:color w:val="000000"/>
                <w:sz w:val="24"/>
                <w:szCs w:val="24"/>
              </w:rPr>
            </w:pPr>
            <w:r w:rsidRPr="00262FF5">
              <w:rPr>
                <w:rFonts w:eastAsia="Times New Roman" w:cstheme="minorHAnsi"/>
                <w:color w:val="000000"/>
                <w:sz w:val="24"/>
                <w:szCs w:val="24"/>
              </w:rPr>
              <w:t>2024</w:t>
            </w:r>
          </w:p>
        </w:tc>
        <w:tc>
          <w:tcPr>
            <w:tcW w:w="1054" w:type="dxa"/>
            <w:noWrap/>
            <w:hideMark/>
          </w:tcPr>
          <w:p w:rsidRPr="00262FF5" w:rsidR="008959A4" w:rsidP="00717A84" w:rsidRDefault="008959A4" w14:paraId="283A1C9B" w14:textId="77777777">
            <w:pPr>
              <w:keepNext/>
              <w:jc w:val="center"/>
              <w:rPr>
                <w:rFonts w:eastAsia="Times New Roman" w:cstheme="minorHAnsi"/>
                <w:color w:val="000000"/>
                <w:sz w:val="24"/>
                <w:szCs w:val="24"/>
              </w:rPr>
            </w:pPr>
            <w:r w:rsidRPr="00262FF5">
              <w:rPr>
                <w:rFonts w:eastAsia="Times New Roman" w:cstheme="minorHAnsi"/>
                <w:color w:val="000000"/>
                <w:sz w:val="24"/>
                <w:szCs w:val="24"/>
              </w:rPr>
              <w:t>2025</w:t>
            </w:r>
          </w:p>
        </w:tc>
        <w:tc>
          <w:tcPr>
            <w:tcW w:w="1054" w:type="dxa"/>
            <w:noWrap/>
            <w:hideMark/>
          </w:tcPr>
          <w:p w:rsidRPr="00262FF5" w:rsidR="008959A4" w:rsidP="00717A84" w:rsidRDefault="008959A4" w14:paraId="58682672" w14:textId="77777777">
            <w:pPr>
              <w:keepNext/>
              <w:jc w:val="center"/>
              <w:rPr>
                <w:rFonts w:eastAsia="Times New Roman" w:cstheme="minorHAnsi"/>
                <w:color w:val="000000"/>
                <w:sz w:val="24"/>
                <w:szCs w:val="24"/>
              </w:rPr>
            </w:pPr>
            <w:r w:rsidRPr="00262FF5">
              <w:rPr>
                <w:rFonts w:eastAsia="Times New Roman" w:cstheme="minorHAnsi"/>
                <w:color w:val="000000"/>
                <w:sz w:val="24"/>
                <w:szCs w:val="24"/>
              </w:rPr>
              <w:t>2026</w:t>
            </w:r>
          </w:p>
        </w:tc>
        <w:tc>
          <w:tcPr>
            <w:tcW w:w="1235" w:type="dxa"/>
            <w:noWrap/>
            <w:hideMark/>
          </w:tcPr>
          <w:p w:rsidRPr="00262FF5" w:rsidR="008959A4" w:rsidP="00717A84" w:rsidRDefault="008959A4" w14:paraId="2E97CFD6" w14:textId="77777777">
            <w:pPr>
              <w:keepNext/>
              <w:rPr>
                <w:rFonts w:eastAsia="Times New Roman" w:cstheme="minorHAnsi"/>
                <w:color w:val="000000"/>
                <w:sz w:val="24"/>
                <w:szCs w:val="24"/>
              </w:rPr>
            </w:pPr>
            <w:r w:rsidRPr="00262FF5">
              <w:rPr>
                <w:rFonts w:eastAsia="Times New Roman" w:cstheme="minorHAnsi"/>
                <w:color w:val="000000"/>
                <w:sz w:val="24"/>
                <w:szCs w:val="24"/>
              </w:rPr>
              <w:t>Total</w:t>
            </w:r>
          </w:p>
        </w:tc>
      </w:tr>
      <w:tr w:rsidRPr="00262FF5" w:rsidR="008959A4" w:rsidTr="00717A84" w14:paraId="50DAD705" w14:textId="77777777">
        <w:trPr>
          <w:trHeight w:val="547"/>
          <w:jc w:val="center"/>
        </w:trPr>
        <w:tc>
          <w:tcPr>
            <w:tcW w:w="1440" w:type="dxa"/>
            <w:vMerge w:val="restart"/>
            <w:vAlign w:val="center"/>
            <w:hideMark/>
          </w:tcPr>
          <w:p w:rsidRPr="00262FF5" w:rsidR="008959A4" w:rsidP="00717A84" w:rsidRDefault="008959A4" w14:paraId="3E66B6CB" w14:textId="77777777">
            <w:pPr>
              <w:keepNext/>
              <w:rPr>
                <w:rFonts w:eastAsia="Times New Roman" w:cstheme="minorHAnsi"/>
                <w:color w:val="000000"/>
                <w:sz w:val="24"/>
                <w:szCs w:val="24"/>
              </w:rPr>
            </w:pPr>
            <w:r w:rsidRPr="00262FF5">
              <w:rPr>
                <w:rFonts w:eastAsia="Times New Roman" w:cstheme="minorHAnsi"/>
                <w:color w:val="000000"/>
                <w:sz w:val="24"/>
                <w:szCs w:val="24"/>
              </w:rPr>
              <w:t>Alpine</w:t>
            </w:r>
          </w:p>
        </w:tc>
        <w:tc>
          <w:tcPr>
            <w:tcW w:w="1054" w:type="dxa"/>
          </w:tcPr>
          <w:p w:rsidRPr="00262FF5" w:rsidR="008959A4" w:rsidP="00717A84" w:rsidRDefault="008959A4" w14:paraId="057F6829" w14:textId="77777777">
            <w:pPr>
              <w:keepNext/>
              <w:jc w:val="both"/>
              <w:rPr>
                <w:rFonts w:eastAsia="Times New Roman" w:cstheme="minorHAnsi"/>
                <w:color w:val="000000"/>
                <w:sz w:val="24"/>
                <w:szCs w:val="24"/>
              </w:rPr>
            </w:pPr>
            <w:r w:rsidRPr="00262FF5">
              <w:rPr>
                <w:sz w:val="24"/>
                <w:szCs w:val="24"/>
              </w:rPr>
              <w:t>kWh</w:t>
            </w:r>
          </w:p>
        </w:tc>
        <w:tc>
          <w:tcPr>
            <w:tcW w:w="1054" w:type="dxa"/>
            <w:noWrap/>
          </w:tcPr>
          <w:p w:rsidRPr="00262FF5" w:rsidR="008959A4" w:rsidP="00717A84" w:rsidRDefault="008959A4" w14:paraId="03CB9B47"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3510B6FB"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5" w:type="dxa"/>
            <w:noWrap/>
          </w:tcPr>
          <w:p w:rsidRPr="00262FF5" w:rsidR="008959A4" w:rsidP="00717A84" w:rsidRDefault="008959A4" w14:paraId="5D4879E6"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407947AB"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07BF402B"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235" w:type="dxa"/>
            <w:noWrap/>
          </w:tcPr>
          <w:p w:rsidRPr="00262FF5" w:rsidR="008959A4" w:rsidP="00717A84" w:rsidRDefault="008959A4" w14:paraId="4F0D6B51" w14:textId="77777777">
            <w:pPr>
              <w:keepNext/>
              <w:ind w:left="360"/>
              <w:jc w:val="right"/>
              <w:rPr>
                <w:rFonts w:eastAsia="Times New Roman" w:cstheme="minorHAnsi"/>
                <w:color w:val="000000"/>
                <w:sz w:val="24"/>
                <w:szCs w:val="24"/>
              </w:rPr>
            </w:pPr>
            <w:r w:rsidRPr="00262FF5">
              <w:rPr>
                <w:rFonts w:cs="Calibri"/>
                <w:color w:val="000000"/>
                <w:sz w:val="24"/>
                <w:szCs w:val="24"/>
              </w:rPr>
              <w:t>-</w:t>
            </w:r>
          </w:p>
        </w:tc>
      </w:tr>
      <w:tr w:rsidRPr="00262FF5" w:rsidR="008959A4" w:rsidTr="00717A84" w14:paraId="19F768F6" w14:textId="77777777">
        <w:trPr>
          <w:trHeight w:val="547"/>
          <w:jc w:val="center"/>
        </w:trPr>
        <w:tc>
          <w:tcPr>
            <w:tcW w:w="1440" w:type="dxa"/>
            <w:vMerge/>
            <w:vAlign w:val="center"/>
          </w:tcPr>
          <w:p w:rsidRPr="00262FF5" w:rsidR="008959A4" w:rsidP="00717A84" w:rsidRDefault="008959A4" w14:paraId="7677B76D" w14:textId="77777777">
            <w:pPr>
              <w:keepNext/>
              <w:ind w:left="360"/>
              <w:rPr>
                <w:rFonts w:eastAsia="Times New Roman" w:cstheme="minorHAnsi"/>
                <w:color w:val="000000"/>
                <w:sz w:val="24"/>
                <w:szCs w:val="24"/>
              </w:rPr>
            </w:pPr>
          </w:p>
        </w:tc>
        <w:tc>
          <w:tcPr>
            <w:tcW w:w="1054" w:type="dxa"/>
          </w:tcPr>
          <w:p w:rsidRPr="00262FF5" w:rsidR="008959A4" w:rsidP="00717A84" w:rsidRDefault="008959A4" w14:paraId="69C4BDEA" w14:textId="77777777">
            <w:pPr>
              <w:keepNext/>
              <w:jc w:val="both"/>
              <w:rPr>
                <w:rFonts w:eastAsia="Times New Roman" w:cstheme="minorHAnsi"/>
                <w:color w:val="000000"/>
                <w:sz w:val="24"/>
                <w:szCs w:val="24"/>
              </w:rPr>
            </w:pPr>
            <w:r w:rsidRPr="00262FF5">
              <w:rPr>
                <w:sz w:val="24"/>
                <w:szCs w:val="24"/>
              </w:rPr>
              <w:t>kW</w:t>
            </w:r>
          </w:p>
        </w:tc>
        <w:tc>
          <w:tcPr>
            <w:tcW w:w="1054" w:type="dxa"/>
            <w:noWrap/>
          </w:tcPr>
          <w:p w:rsidRPr="00262FF5" w:rsidR="008959A4" w:rsidP="00717A84" w:rsidRDefault="008959A4" w14:paraId="3BB6BACF"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6C297A41"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5" w:type="dxa"/>
            <w:noWrap/>
          </w:tcPr>
          <w:p w:rsidRPr="00262FF5" w:rsidR="008959A4" w:rsidP="00717A84" w:rsidRDefault="008959A4" w14:paraId="0E43EE67"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5F1D905A"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054" w:type="dxa"/>
            <w:noWrap/>
          </w:tcPr>
          <w:p w:rsidRPr="00262FF5" w:rsidR="008959A4" w:rsidP="00717A84" w:rsidRDefault="008959A4" w14:paraId="0C37A99C" w14:textId="77777777">
            <w:pPr>
              <w:keepNext/>
              <w:ind w:left="360"/>
              <w:jc w:val="right"/>
              <w:rPr>
                <w:rFonts w:eastAsia="Times New Roman" w:cstheme="minorHAnsi"/>
                <w:color w:val="000000"/>
                <w:sz w:val="24"/>
                <w:szCs w:val="24"/>
              </w:rPr>
            </w:pPr>
            <w:r w:rsidRPr="00262FF5">
              <w:rPr>
                <w:rFonts w:cs="Calibri"/>
                <w:color w:val="000000"/>
                <w:sz w:val="24"/>
                <w:szCs w:val="24"/>
              </w:rPr>
              <w:t>-</w:t>
            </w:r>
          </w:p>
        </w:tc>
        <w:tc>
          <w:tcPr>
            <w:tcW w:w="1235" w:type="dxa"/>
            <w:noWrap/>
          </w:tcPr>
          <w:p w:rsidRPr="00262FF5" w:rsidR="008959A4" w:rsidP="00717A84" w:rsidRDefault="008959A4" w14:paraId="4E728223" w14:textId="77777777">
            <w:pPr>
              <w:keepNext/>
              <w:ind w:left="360"/>
              <w:jc w:val="right"/>
              <w:rPr>
                <w:rFonts w:eastAsia="Times New Roman" w:cstheme="minorHAnsi"/>
                <w:color w:val="000000"/>
                <w:sz w:val="24"/>
                <w:szCs w:val="24"/>
              </w:rPr>
            </w:pPr>
            <w:r w:rsidRPr="00262FF5">
              <w:rPr>
                <w:rFonts w:cs="Calibri"/>
                <w:color w:val="000000"/>
                <w:sz w:val="24"/>
                <w:szCs w:val="24"/>
              </w:rPr>
              <w:t>-</w:t>
            </w:r>
          </w:p>
        </w:tc>
      </w:tr>
      <w:tr w:rsidRPr="00262FF5" w:rsidR="008959A4" w:rsidTr="00717A84" w14:paraId="7A36A978" w14:textId="77777777">
        <w:trPr>
          <w:trHeight w:val="547"/>
          <w:jc w:val="center"/>
        </w:trPr>
        <w:tc>
          <w:tcPr>
            <w:tcW w:w="1440" w:type="dxa"/>
            <w:vMerge/>
            <w:vAlign w:val="center"/>
          </w:tcPr>
          <w:p w:rsidRPr="00262FF5" w:rsidR="008959A4" w:rsidP="00717A84" w:rsidRDefault="008959A4" w14:paraId="43825C97" w14:textId="77777777">
            <w:pPr>
              <w:keepNext/>
              <w:ind w:left="360"/>
              <w:rPr>
                <w:rFonts w:eastAsia="Times New Roman" w:cstheme="minorHAnsi"/>
                <w:color w:val="000000"/>
                <w:sz w:val="24"/>
                <w:szCs w:val="24"/>
              </w:rPr>
            </w:pPr>
          </w:p>
        </w:tc>
        <w:tc>
          <w:tcPr>
            <w:tcW w:w="1054" w:type="dxa"/>
          </w:tcPr>
          <w:p w:rsidRPr="00262FF5" w:rsidR="008959A4" w:rsidP="00717A84" w:rsidRDefault="008959A4" w14:paraId="7B26E1AC" w14:textId="77777777">
            <w:pPr>
              <w:keepNext/>
              <w:jc w:val="both"/>
              <w:rPr>
                <w:rFonts w:eastAsia="Times New Roman" w:cstheme="minorHAnsi"/>
                <w:color w:val="000000"/>
                <w:sz w:val="24"/>
                <w:szCs w:val="24"/>
              </w:rPr>
            </w:pPr>
            <w:r w:rsidRPr="00262FF5">
              <w:rPr>
                <w:sz w:val="24"/>
                <w:szCs w:val="24"/>
              </w:rPr>
              <w:t>Therms</w:t>
            </w:r>
          </w:p>
        </w:tc>
        <w:tc>
          <w:tcPr>
            <w:tcW w:w="1054" w:type="dxa"/>
            <w:noWrap/>
          </w:tcPr>
          <w:p w:rsidRPr="00262FF5" w:rsidR="008959A4" w:rsidP="00717A84" w:rsidRDefault="008959A4" w14:paraId="1DAC7501"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68</w:t>
            </w:r>
          </w:p>
        </w:tc>
        <w:tc>
          <w:tcPr>
            <w:tcW w:w="1054" w:type="dxa"/>
            <w:noWrap/>
          </w:tcPr>
          <w:p w:rsidRPr="00262FF5" w:rsidR="008959A4" w:rsidP="00717A84" w:rsidRDefault="008959A4" w14:paraId="7C11620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68</w:t>
            </w:r>
          </w:p>
        </w:tc>
        <w:tc>
          <w:tcPr>
            <w:tcW w:w="1055" w:type="dxa"/>
            <w:noWrap/>
          </w:tcPr>
          <w:p w:rsidRPr="00262FF5" w:rsidR="008959A4" w:rsidP="00717A84" w:rsidRDefault="008959A4" w14:paraId="41EAAF5D"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68</w:t>
            </w:r>
          </w:p>
        </w:tc>
        <w:tc>
          <w:tcPr>
            <w:tcW w:w="1054" w:type="dxa"/>
            <w:noWrap/>
          </w:tcPr>
          <w:p w:rsidRPr="00262FF5" w:rsidR="008959A4" w:rsidP="00717A84" w:rsidRDefault="008959A4" w14:paraId="63565056"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68</w:t>
            </w:r>
          </w:p>
        </w:tc>
        <w:tc>
          <w:tcPr>
            <w:tcW w:w="1054" w:type="dxa"/>
            <w:noWrap/>
          </w:tcPr>
          <w:p w:rsidRPr="00262FF5" w:rsidR="008959A4" w:rsidP="00717A84" w:rsidRDefault="008959A4" w14:paraId="0154CD03"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68</w:t>
            </w:r>
          </w:p>
        </w:tc>
        <w:tc>
          <w:tcPr>
            <w:tcW w:w="1235" w:type="dxa"/>
            <w:noWrap/>
          </w:tcPr>
          <w:p w:rsidRPr="00262FF5" w:rsidR="008959A4" w:rsidP="00717A84" w:rsidRDefault="008959A4" w14:paraId="2D49906E"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338</w:t>
            </w:r>
          </w:p>
        </w:tc>
      </w:tr>
      <w:tr w:rsidRPr="00262FF5" w:rsidR="008959A4" w:rsidTr="00717A84" w14:paraId="1FCE5B6C" w14:textId="77777777">
        <w:trPr>
          <w:trHeight w:val="547"/>
          <w:jc w:val="center"/>
        </w:trPr>
        <w:tc>
          <w:tcPr>
            <w:tcW w:w="1440" w:type="dxa"/>
            <w:vMerge w:val="restart"/>
            <w:vAlign w:val="center"/>
            <w:hideMark/>
          </w:tcPr>
          <w:p w:rsidRPr="00262FF5" w:rsidR="008959A4" w:rsidP="00717A84" w:rsidRDefault="008959A4" w14:paraId="1E106050" w14:textId="77777777">
            <w:pPr>
              <w:keepNext/>
              <w:rPr>
                <w:rFonts w:eastAsia="Times New Roman" w:cstheme="minorHAnsi"/>
                <w:color w:val="000000"/>
                <w:sz w:val="24"/>
                <w:szCs w:val="24"/>
              </w:rPr>
            </w:pPr>
            <w:r w:rsidRPr="00262FF5">
              <w:rPr>
                <w:rFonts w:eastAsia="Times New Roman" w:cstheme="minorHAnsi"/>
                <w:color w:val="000000"/>
                <w:sz w:val="24"/>
                <w:szCs w:val="24"/>
              </w:rPr>
              <w:t>Bear Valley</w:t>
            </w:r>
          </w:p>
          <w:p w:rsidRPr="00262FF5" w:rsidR="008959A4" w:rsidP="00717A84" w:rsidRDefault="008959A4" w14:paraId="754B94BB" w14:textId="77777777">
            <w:pPr>
              <w:keepNext/>
              <w:ind w:left="360"/>
              <w:rPr>
                <w:rFonts w:eastAsia="Times New Roman" w:cstheme="minorHAnsi"/>
                <w:color w:val="000000"/>
                <w:sz w:val="24"/>
                <w:szCs w:val="24"/>
              </w:rPr>
            </w:pPr>
          </w:p>
          <w:p w:rsidRPr="00262FF5" w:rsidR="008959A4" w:rsidP="00717A84" w:rsidRDefault="008959A4" w14:paraId="6F95C88F" w14:textId="77777777">
            <w:pPr>
              <w:keepNext/>
              <w:ind w:left="360"/>
              <w:rPr>
                <w:rFonts w:eastAsia="Times New Roman" w:cstheme="minorHAnsi"/>
                <w:color w:val="000000"/>
                <w:sz w:val="24"/>
                <w:szCs w:val="24"/>
              </w:rPr>
            </w:pPr>
          </w:p>
        </w:tc>
        <w:tc>
          <w:tcPr>
            <w:tcW w:w="1054" w:type="dxa"/>
          </w:tcPr>
          <w:p w:rsidRPr="00262FF5" w:rsidR="008959A4" w:rsidP="00717A84" w:rsidRDefault="008959A4" w14:paraId="603C1540" w14:textId="77777777">
            <w:pPr>
              <w:keepNext/>
              <w:jc w:val="both"/>
              <w:rPr>
                <w:rFonts w:eastAsia="Times New Roman" w:cstheme="minorHAnsi"/>
                <w:color w:val="000000"/>
                <w:sz w:val="24"/>
                <w:szCs w:val="24"/>
              </w:rPr>
            </w:pPr>
            <w:r w:rsidRPr="00262FF5">
              <w:rPr>
                <w:sz w:val="24"/>
                <w:szCs w:val="24"/>
              </w:rPr>
              <w:t>kWh</w:t>
            </w:r>
          </w:p>
        </w:tc>
        <w:tc>
          <w:tcPr>
            <w:tcW w:w="1054" w:type="dxa"/>
            <w:noWrap/>
          </w:tcPr>
          <w:p w:rsidRPr="00262FF5" w:rsidR="008959A4" w:rsidP="00717A84" w:rsidRDefault="008959A4" w14:paraId="7C082977" w14:textId="77777777">
            <w:pPr>
              <w:keepNext/>
              <w:jc w:val="right"/>
              <w:rPr>
                <w:rFonts w:eastAsia="Times New Roman" w:cstheme="minorHAnsi"/>
                <w:color w:val="000000"/>
                <w:sz w:val="24"/>
                <w:szCs w:val="24"/>
              </w:rPr>
            </w:pPr>
            <w:r w:rsidRPr="00262FF5">
              <w:rPr>
                <w:rFonts w:cs="Calibri"/>
                <w:color w:val="000000" w:themeColor="text1"/>
                <w:sz w:val="24"/>
                <w:szCs w:val="24"/>
              </w:rPr>
              <w:t>41,663</w:t>
            </w:r>
          </w:p>
        </w:tc>
        <w:tc>
          <w:tcPr>
            <w:tcW w:w="1054" w:type="dxa"/>
            <w:noWrap/>
          </w:tcPr>
          <w:p w:rsidRPr="00262FF5" w:rsidR="008959A4" w:rsidP="00717A84" w:rsidRDefault="008959A4" w14:paraId="602BA5AD" w14:textId="77777777">
            <w:pPr>
              <w:keepNext/>
              <w:jc w:val="right"/>
              <w:rPr>
                <w:rFonts w:eastAsia="Times New Roman" w:cstheme="minorHAnsi"/>
                <w:color w:val="000000"/>
                <w:sz w:val="24"/>
                <w:szCs w:val="24"/>
              </w:rPr>
            </w:pPr>
            <w:r w:rsidRPr="00262FF5">
              <w:rPr>
                <w:rFonts w:cs="Calibri"/>
                <w:color w:val="000000" w:themeColor="text1"/>
                <w:sz w:val="24"/>
                <w:szCs w:val="24"/>
              </w:rPr>
              <w:t>41,663</w:t>
            </w:r>
          </w:p>
        </w:tc>
        <w:tc>
          <w:tcPr>
            <w:tcW w:w="1055" w:type="dxa"/>
            <w:noWrap/>
          </w:tcPr>
          <w:p w:rsidRPr="00262FF5" w:rsidR="008959A4" w:rsidP="00717A84" w:rsidRDefault="008959A4" w14:paraId="057FC9F9" w14:textId="77777777">
            <w:pPr>
              <w:keepNext/>
              <w:jc w:val="right"/>
              <w:rPr>
                <w:rFonts w:eastAsia="Times New Roman" w:cstheme="minorHAnsi"/>
                <w:color w:val="000000"/>
                <w:sz w:val="24"/>
                <w:szCs w:val="24"/>
              </w:rPr>
            </w:pPr>
            <w:r w:rsidRPr="00262FF5">
              <w:rPr>
                <w:rFonts w:cs="Calibri"/>
                <w:color w:val="000000" w:themeColor="text1"/>
                <w:sz w:val="24"/>
                <w:szCs w:val="24"/>
              </w:rPr>
              <w:t>41,663</w:t>
            </w:r>
          </w:p>
        </w:tc>
        <w:tc>
          <w:tcPr>
            <w:tcW w:w="1054" w:type="dxa"/>
            <w:noWrap/>
          </w:tcPr>
          <w:p w:rsidRPr="00262FF5" w:rsidR="008959A4" w:rsidP="00717A84" w:rsidRDefault="008959A4" w14:paraId="12740D0F" w14:textId="77777777">
            <w:pPr>
              <w:keepNext/>
              <w:jc w:val="right"/>
              <w:rPr>
                <w:rFonts w:eastAsia="Times New Roman" w:cstheme="minorHAnsi"/>
                <w:color w:val="000000"/>
                <w:sz w:val="24"/>
                <w:szCs w:val="24"/>
              </w:rPr>
            </w:pPr>
            <w:r w:rsidRPr="00262FF5">
              <w:rPr>
                <w:rFonts w:cs="Calibri"/>
                <w:color w:val="000000" w:themeColor="text1"/>
                <w:sz w:val="24"/>
                <w:szCs w:val="24"/>
              </w:rPr>
              <w:t>41,663</w:t>
            </w:r>
          </w:p>
        </w:tc>
        <w:tc>
          <w:tcPr>
            <w:tcW w:w="1054" w:type="dxa"/>
            <w:noWrap/>
          </w:tcPr>
          <w:p w:rsidRPr="00262FF5" w:rsidR="008959A4" w:rsidP="00717A84" w:rsidRDefault="008959A4" w14:paraId="0925A363" w14:textId="77777777">
            <w:pPr>
              <w:keepNext/>
              <w:jc w:val="right"/>
              <w:rPr>
                <w:rFonts w:eastAsia="Times New Roman" w:cstheme="minorHAnsi"/>
                <w:color w:val="000000"/>
                <w:sz w:val="24"/>
                <w:szCs w:val="24"/>
              </w:rPr>
            </w:pPr>
            <w:r w:rsidRPr="00262FF5">
              <w:rPr>
                <w:rFonts w:cs="Calibri"/>
                <w:color w:val="000000" w:themeColor="text1"/>
                <w:sz w:val="24"/>
                <w:szCs w:val="24"/>
              </w:rPr>
              <w:t>41,663</w:t>
            </w:r>
          </w:p>
        </w:tc>
        <w:tc>
          <w:tcPr>
            <w:tcW w:w="1235" w:type="dxa"/>
            <w:noWrap/>
          </w:tcPr>
          <w:p w:rsidRPr="00262FF5" w:rsidR="008959A4" w:rsidP="00717A84" w:rsidRDefault="008959A4" w14:paraId="03F9C384" w14:textId="77777777">
            <w:pPr>
              <w:keepNext/>
              <w:jc w:val="right"/>
              <w:rPr>
                <w:rFonts w:eastAsia="Times New Roman" w:cstheme="minorHAnsi"/>
                <w:color w:val="000000"/>
                <w:sz w:val="24"/>
                <w:szCs w:val="24"/>
              </w:rPr>
            </w:pPr>
            <w:r w:rsidRPr="00262FF5">
              <w:rPr>
                <w:rFonts w:cs="Calibri"/>
                <w:color w:val="000000" w:themeColor="text1"/>
                <w:sz w:val="24"/>
                <w:szCs w:val="24"/>
              </w:rPr>
              <w:t>208,314</w:t>
            </w:r>
          </w:p>
        </w:tc>
      </w:tr>
      <w:tr w:rsidRPr="00262FF5" w:rsidR="008959A4" w:rsidTr="00717A84" w14:paraId="610FBD6F" w14:textId="77777777">
        <w:trPr>
          <w:trHeight w:val="547"/>
          <w:jc w:val="center"/>
        </w:trPr>
        <w:tc>
          <w:tcPr>
            <w:tcW w:w="1440" w:type="dxa"/>
            <w:vMerge/>
            <w:vAlign w:val="center"/>
          </w:tcPr>
          <w:p w:rsidRPr="00262FF5" w:rsidR="008959A4" w:rsidP="00717A84" w:rsidRDefault="008959A4" w14:paraId="4A96081D" w14:textId="77777777">
            <w:pPr>
              <w:keepNext/>
              <w:ind w:left="360"/>
              <w:rPr>
                <w:rFonts w:eastAsia="Times New Roman" w:cstheme="minorHAnsi"/>
                <w:color w:val="000000"/>
                <w:sz w:val="24"/>
                <w:szCs w:val="24"/>
              </w:rPr>
            </w:pPr>
          </w:p>
        </w:tc>
        <w:tc>
          <w:tcPr>
            <w:tcW w:w="1054" w:type="dxa"/>
          </w:tcPr>
          <w:p w:rsidRPr="00262FF5" w:rsidR="008959A4" w:rsidP="00717A84" w:rsidRDefault="008959A4" w14:paraId="78C21E1E" w14:textId="77777777">
            <w:pPr>
              <w:keepNext/>
              <w:jc w:val="both"/>
              <w:rPr>
                <w:rFonts w:eastAsia="Times New Roman" w:cstheme="minorHAnsi"/>
                <w:color w:val="000000"/>
                <w:sz w:val="24"/>
                <w:szCs w:val="24"/>
              </w:rPr>
            </w:pPr>
            <w:r w:rsidRPr="00262FF5">
              <w:rPr>
                <w:sz w:val="24"/>
                <w:szCs w:val="24"/>
              </w:rPr>
              <w:t>kW</w:t>
            </w:r>
          </w:p>
        </w:tc>
        <w:tc>
          <w:tcPr>
            <w:tcW w:w="1054" w:type="dxa"/>
            <w:noWrap/>
          </w:tcPr>
          <w:p w:rsidRPr="00262FF5" w:rsidR="008959A4" w:rsidP="00717A84" w:rsidRDefault="008959A4" w14:paraId="4A0A601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10</w:t>
            </w:r>
          </w:p>
        </w:tc>
        <w:tc>
          <w:tcPr>
            <w:tcW w:w="1054" w:type="dxa"/>
            <w:noWrap/>
          </w:tcPr>
          <w:p w:rsidRPr="00262FF5" w:rsidR="008959A4" w:rsidP="00717A84" w:rsidRDefault="008959A4" w14:paraId="0B14D0C9"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10</w:t>
            </w:r>
          </w:p>
        </w:tc>
        <w:tc>
          <w:tcPr>
            <w:tcW w:w="1055" w:type="dxa"/>
            <w:noWrap/>
          </w:tcPr>
          <w:p w:rsidRPr="00262FF5" w:rsidR="008959A4" w:rsidP="00717A84" w:rsidRDefault="008959A4" w14:paraId="389A699D"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10</w:t>
            </w:r>
          </w:p>
        </w:tc>
        <w:tc>
          <w:tcPr>
            <w:tcW w:w="1054" w:type="dxa"/>
            <w:noWrap/>
          </w:tcPr>
          <w:p w:rsidRPr="00262FF5" w:rsidR="008959A4" w:rsidP="00717A84" w:rsidRDefault="008959A4" w14:paraId="16D2878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10</w:t>
            </w:r>
          </w:p>
        </w:tc>
        <w:tc>
          <w:tcPr>
            <w:tcW w:w="1054" w:type="dxa"/>
            <w:noWrap/>
          </w:tcPr>
          <w:p w:rsidRPr="00262FF5" w:rsidR="008959A4" w:rsidP="00717A84" w:rsidRDefault="008959A4" w14:paraId="25A5F134"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10</w:t>
            </w:r>
          </w:p>
        </w:tc>
        <w:tc>
          <w:tcPr>
            <w:tcW w:w="1235" w:type="dxa"/>
            <w:noWrap/>
          </w:tcPr>
          <w:p w:rsidRPr="00262FF5" w:rsidR="008959A4" w:rsidP="00717A84" w:rsidRDefault="008959A4" w14:paraId="6A23235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50</w:t>
            </w:r>
          </w:p>
        </w:tc>
      </w:tr>
      <w:tr w:rsidRPr="00262FF5" w:rsidR="008959A4" w:rsidTr="00717A84" w14:paraId="1E18C090" w14:textId="77777777">
        <w:trPr>
          <w:trHeight w:val="547"/>
          <w:jc w:val="center"/>
        </w:trPr>
        <w:tc>
          <w:tcPr>
            <w:tcW w:w="1440" w:type="dxa"/>
            <w:vMerge/>
            <w:vAlign w:val="center"/>
          </w:tcPr>
          <w:p w:rsidRPr="00262FF5" w:rsidR="008959A4" w:rsidP="00717A84" w:rsidRDefault="008959A4" w14:paraId="33E33CB1" w14:textId="77777777">
            <w:pPr>
              <w:keepNext/>
              <w:ind w:left="360"/>
              <w:rPr>
                <w:rFonts w:eastAsia="Times New Roman" w:cstheme="minorHAnsi"/>
                <w:color w:val="000000"/>
                <w:sz w:val="24"/>
                <w:szCs w:val="24"/>
              </w:rPr>
            </w:pPr>
          </w:p>
        </w:tc>
        <w:tc>
          <w:tcPr>
            <w:tcW w:w="1054" w:type="dxa"/>
          </w:tcPr>
          <w:p w:rsidRPr="00262FF5" w:rsidR="008959A4" w:rsidP="00717A84" w:rsidRDefault="008959A4" w14:paraId="2F9C2553" w14:textId="77777777">
            <w:pPr>
              <w:keepNext/>
              <w:jc w:val="both"/>
              <w:rPr>
                <w:rFonts w:eastAsia="Times New Roman" w:cstheme="minorHAnsi"/>
                <w:color w:val="000000"/>
                <w:sz w:val="24"/>
                <w:szCs w:val="24"/>
              </w:rPr>
            </w:pPr>
            <w:r w:rsidRPr="00262FF5">
              <w:rPr>
                <w:sz w:val="24"/>
                <w:szCs w:val="24"/>
              </w:rPr>
              <w:t>Therms</w:t>
            </w:r>
          </w:p>
        </w:tc>
        <w:tc>
          <w:tcPr>
            <w:tcW w:w="1054" w:type="dxa"/>
            <w:noWrap/>
          </w:tcPr>
          <w:p w:rsidRPr="00262FF5" w:rsidR="008959A4" w:rsidP="00717A84" w:rsidRDefault="008959A4" w14:paraId="14509E86"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8959A4" w:rsidP="00717A84" w:rsidRDefault="008959A4" w14:paraId="73DE2516"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5" w:type="dxa"/>
            <w:noWrap/>
          </w:tcPr>
          <w:p w:rsidRPr="00262FF5" w:rsidR="008959A4" w:rsidP="00717A84" w:rsidRDefault="008959A4" w14:paraId="2C41B5DA"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8959A4" w:rsidP="00717A84" w:rsidRDefault="008959A4" w14:paraId="6FEA459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8959A4" w:rsidP="00717A84" w:rsidRDefault="008959A4" w14:paraId="097C59B9"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235" w:type="dxa"/>
            <w:noWrap/>
          </w:tcPr>
          <w:p w:rsidRPr="00262FF5" w:rsidR="008959A4" w:rsidP="00717A84" w:rsidRDefault="008959A4" w14:paraId="028AB39A"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r>
      <w:tr w:rsidRPr="00262FF5" w:rsidR="004130FA" w:rsidTr="00717A84" w14:paraId="7064DAD9" w14:textId="77777777">
        <w:trPr>
          <w:trHeight w:val="547"/>
          <w:jc w:val="center"/>
        </w:trPr>
        <w:tc>
          <w:tcPr>
            <w:tcW w:w="1440" w:type="dxa"/>
            <w:vMerge w:val="restart"/>
            <w:vAlign w:val="center"/>
            <w:hideMark/>
          </w:tcPr>
          <w:p w:rsidRPr="00262FF5" w:rsidR="004130FA" w:rsidP="004130FA" w:rsidRDefault="004130FA" w14:paraId="36A00ED6" w14:textId="77777777">
            <w:pPr>
              <w:keepNext/>
              <w:rPr>
                <w:rFonts w:eastAsia="Times New Roman" w:cstheme="minorHAnsi"/>
                <w:color w:val="000000"/>
                <w:sz w:val="24"/>
                <w:szCs w:val="24"/>
              </w:rPr>
            </w:pPr>
            <w:r w:rsidRPr="00262FF5">
              <w:rPr>
                <w:rFonts w:eastAsia="Times New Roman" w:cstheme="minorHAnsi"/>
                <w:color w:val="000000"/>
                <w:sz w:val="24"/>
                <w:szCs w:val="24"/>
              </w:rPr>
              <w:t>Liberty</w:t>
            </w:r>
          </w:p>
        </w:tc>
        <w:tc>
          <w:tcPr>
            <w:tcW w:w="1054" w:type="dxa"/>
          </w:tcPr>
          <w:p w:rsidRPr="00262FF5" w:rsidR="004130FA" w:rsidP="004130FA" w:rsidRDefault="004130FA" w14:paraId="3565ECE7" w14:textId="77777777">
            <w:pPr>
              <w:keepNext/>
              <w:rPr>
                <w:rFonts w:eastAsia="Times New Roman" w:cstheme="minorHAnsi"/>
                <w:color w:val="000000"/>
                <w:sz w:val="24"/>
                <w:szCs w:val="24"/>
              </w:rPr>
            </w:pPr>
            <w:r w:rsidRPr="00262FF5">
              <w:rPr>
                <w:sz w:val="24"/>
                <w:szCs w:val="24"/>
              </w:rPr>
              <w:t>kWh</w:t>
            </w:r>
          </w:p>
        </w:tc>
        <w:tc>
          <w:tcPr>
            <w:tcW w:w="1054" w:type="dxa"/>
            <w:noWrap/>
          </w:tcPr>
          <w:p w:rsidRPr="00262FF5" w:rsidR="004130FA" w:rsidP="004130FA" w:rsidRDefault="004130FA" w14:paraId="223E267F" w14:textId="77777777">
            <w:pPr>
              <w:keepNext/>
              <w:jc w:val="right"/>
              <w:rPr>
                <w:rFonts w:eastAsia="Times New Roman" w:cstheme="minorHAnsi"/>
                <w:color w:val="000000"/>
                <w:sz w:val="24"/>
                <w:szCs w:val="24"/>
              </w:rPr>
            </w:pPr>
            <w:r w:rsidRPr="00262FF5">
              <w:rPr>
                <w:rFonts w:cs="Calibri"/>
                <w:color w:val="000000" w:themeColor="text1"/>
                <w:sz w:val="24"/>
                <w:szCs w:val="24"/>
              </w:rPr>
              <w:t>72,197</w:t>
            </w:r>
          </w:p>
        </w:tc>
        <w:tc>
          <w:tcPr>
            <w:tcW w:w="1054" w:type="dxa"/>
            <w:noWrap/>
          </w:tcPr>
          <w:p w:rsidRPr="00262FF5" w:rsidR="004130FA" w:rsidP="004130FA" w:rsidRDefault="004130FA" w14:paraId="4557A20A" w14:textId="3E0ED8C0">
            <w:pPr>
              <w:keepNext/>
              <w:jc w:val="right"/>
              <w:rPr>
                <w:rFonts w:eastAsia="Times New Roman" w:cstheme="minorHAnsi"/>
                <w:color w:val="000000"/>
                <w:sz w:val="24"/>
                <w:szCs w:val="24"/>
              </w:rPr>
            </w:pPr>
            <w:r>
              <w:rPr>
                <w:rFonts w:cs="Calibri"/>
                <w:color w:val="000000" w:themeColor="text1"/>
                <w:sz w:val="24"/>
                <w:szCs w:val="24"/>
              </w:rPr>
              <w:t>72,197</w:t>
            </w:r>
          </w:p>
        </w:tc>
        <w:tc>
          <w:tcPr>
            <w:tcW w:w="1055" w:type="dxa"/>
            <w:noWrap/>
          </w:tcPr>
          <w:p w:rsidRPr="00262FF5" w:rsidR="004130FA" w:rsidP="004130FA" w:rsidRDefault="004130FA" w14:paraId="4DF0338C" w14:textId="77777777">
            <w:pPr>
              <w:keepNext/>
              <w:jc w:val="right"/>
              <w:rPr>
                <w:rFonts w:eastAsia="Times New Roman" w:cstheme="minorHAnsi"/>
                <w:color w:val="000000"/>
                <w:sz w:val="24"/>
                <w:szCs w:val="24"/>
              </w:rPr>
            </w:pPr>
            <w:r w:rsidRPr="00262FF5">
              <w:rPr>
                <w:rFonts w:cs="Calibri"/>
                <w:color w:val="000000" w:themeColor="text1"/>
                <w:sz w:val="24"/>
                <w:szCs w:val="24"/>
              </w:rPr>
              <w:t>62,123</w:t>
            </w:r>
          </w:p>
        </w:tc>
        <w:tc>
          <w:tcPr>
            <w:tcW w:w="1054" w:type="dxa"/>
            <w:noWrap/>
          </w:tcPr>
          <w:p w:rsidRPr="00262FF5" w:rsidR="004130FA" w:rsidP="004130FA" w:rsidRDefault="004130FA" w14:paraId="12F65A81" w14:textId="77777777">
            <w:pPr>
              <w:keepNext/>
              <w:jc w:val="right"/>
              <w:rPr>
                <w:rFonts w:eastAsia="Times New Roman" w:cstheme="minorHAnsi"/>
                <w:color w:val="000000"/>
                <w:sz w:val="24"/>
                <w:szCs w:val="24"/>
              </w:rPr>
            </w:pPr>
            <w:r w:rsidRPr="00262FF5">
              <w:rPr>
                <w:rFonts w:cs="Calibri"/>
                <w:color w:val="000000" w:themeColor="text1"/>
                <w:sz w:val="24"/>
                <w:szCs w:val="24"/>
              </w:rPr>
              <w:t>62,123</w:t>
            </w:r>
          </w:p>
        </w:tc>
        <w:tc>
          <w:tcPr>
            <w:tcW w:w="1054" w:type="dxa"/>
            <w:noWrap/>
          </w:tcPr>
          <w:p w:rsidRPr="00262FF5" w:rsidR="004130FA" w:rsidP="004130FA" w:rsidRDefault="004130FA" w14:paraId="0FFAB5C6" w14:textId="77777777">
            <w:pPr>
              <w:keepNext/>
              <w:jc w:val="right"/>
              <w:rPr>
                <w:rFonts w:eastAsia="Times New Roman" w:cstheme="minorHAnsi"/>
                <w:color w:val="000000"/>
                <w:sz w:val="24"/>
                <w:szCs w:val="24"/>
              </w:rPr>
            </w:pPr>
            <w:r w:rsidRPr="00262FF5">
              <w:rPr>
                <w:rFonts w:cs="Calibri"/>
                <w:color w:val="000000" w:themeColor="text1"/>
                <w:sz w:val="24"/>
                <w:szCs w:val="24"/>
              </w:rPr>
              <w:t>62,123</w:t>
            </w:r>
          </w:p>
        </w:tc>
        <w:tc>
          <w:tcPr>
            <w:tcW w:w="1235" w:type="dxa"/>
            <w:noWrap/>
          </w:tcPr>
          <w:p w:rsidRPr="00262FF5" w:rsidR="004130FA" w:rsidP="004130FA" w:rsidRDefault="004130FA" w14:paraId="201C152B" w14:textId="5A9E1E7B">
            <w:pPr>
              <w:keepNext/>
              <w:jc w:val="right"/>
              <w:rPr>
                <w:rFonts w:eastAsia="Times New Roman" w:cstheme="minorHAnsi"/>
                <w:color w:val="000000"/>
                <w:sz w:val="24"/>
                <w:szCs w:val="24"/>
              </w:rPr>
            </w:pPr>
            <w:r>
              <w:rPr>
                <w:rFonts w:cs="Calibri"/>
                <w:color w:val="000000" w:themeColor="text1"/>
                <w:sz w:val="24"/>
                <w:szCs w:val="24"/>
              </w:rPr>
              <w:t>330,764</w:t>
            </w:r>
          </w:p>
        </w:tc>
      </w:tr>
      <w:tr w:rsidRPr="00262FF5" w:rsidR="00922ACD" w:rsidTr="00717A84" w14:paraId="23A8D37F" w14:textId="77777777">
        <w:trPr>
          <w:trHeight w:val="547"/>
          <w:jc w:val="center"/>
        </w:trPr>
        <w:tc>
          <w:tcPr>
            <w:tcW w:w="1440" w:type="dxa"/>
            <w:vMerge/>
            <w:vAlign w:val="center"/>
          </w:tcPr>
          <w:p w:rsidRPr="00262FF5" w:rsidR="00922ACD" w:rsidP="00922ACD" w:rsidRDefault="00922ACD" w14:paraId="682CBAEE"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170C1F4B" w14:textId="77777777">
            <w:pPr>
              <w:keepNext/>
              <w:rPr>
                <w:rFonts w:eastAsia="Times New Roman" w:cstheme="minorHAnsi"/>
                <w:color w:val="000000"/>
                <w:sz w:val="24"/>
                <w:szCs w:val="24"/>
              </w:rPr>
            </w:pPr>
            <w:r w:rsidRPr="00262FF5">
              <w:rPr>
                <w:sz w:val="24"/>
                <w:szCs w:val="24"/>
              </w:rPr>
              <w:t>kW</w:t>
            </w:r>
          </w:p>
        </w:tc>
        <w:tc>
          <w:tcPr>
            <w:tcW w:w="1054" w:type="dxa"/>
            <w:noWrap/>
          </w:tcPr>
          <w:p w:rsidRPr="00262FF5" w:rsidR="00922ACD" w:rsidP="00922ACD" w:rsidRDefault="00922ACD" w14:paraId="47194A20"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17</w:t>
            </w:r>
          </w:p>
        </w:tc>
        <w:tc>
          <w:tcPr>
            <w:tcW w:w="1054" w:type="dxa"/>
            <w:noWrap/>
          </w:tcPr>
          <w:p w:rsidRPr="00262FF5" w:rsidR="00922ACD" w:rsidP="00922ACD" w:rsidRDefault="00922ACD" w14:paraId="303D8B36"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17</w:t>
            </w:r>
          </w:p>
        </w:tc>
        <w:tc>
          <w:tcPr>
            <w:tcW w:w="1055" w:type="dxa"/>
            <w:noWrap/>
          </w:tcPr>
          <w:p w:rsidRPr="00262FF5" w:rsidR="00922ACD" w:rsidP="00922ACD" w:rsidRDefault="00922ACD" w14:paraId="44126B70"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17</w:t>
            </w:r>
          </w:p>
        </w:tc>
        <w:tc>
          <w:tcPr>
            <w:tcW w:w="1054" w:type="dxa"/>
            <w:noWrap/>
          </w:tcPr>
          <w:p w:rsidRPr="00262FF5" w:rsidR="00922ACD" w:rsidP="00922ACD" w:rsidRDefault="00922ACD" w14:paraId="11B072D8"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17</w:t>
            </w:r>
          </w:p>
        </w:tc>
        <w:tc>
          <w:tcPr>
            <w:tcW w:w="1054" w:type="dxa"/>
            <w:noWrap/>
          </w:tcPr>
          <w:p w:rsidRPr="00262FF5" w:rsidR="00922ACD" w:rsidP="00922ACD" w:rsidRDefault="00922ACD" w14:paraId="39328310"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17</w:t>
            </w:r>
          </w:p>
        </w:tc>
        <w:tc>
          <w:tcPr>
            <w:tcW w:w="1235" w:type="dxa"/>
            <w:noWrap/>
          </w:tcPr>
          <w:p w:rsidRPr="00262FF5" w:rsidR="00922ACD" w:rsidP="00922ACD" w:rsidRDefault="00922ACD" w14:paraId="61DAD84C"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86</w:t>
            </w:r>
          </w:p>
        </w:tc>
      </w:tr>
      <w:tr w:rsidRPr="00262FF5" w:rsidR="00A45B79" w:rsidTr="00717A84" w14:paraId="6BBA6056" w14:textId="77777777">
        <w:trPr>
          <w:trHeight w:val="547"/>
          <w:jc w:val="center"/>
        </w:trPr>
        <w:tc>
          <w:tcPr>
            <w:tcW w:w="1440" w:type="dxa"/>
            <w:vMerge/>
            <w:vAlign w:val="center"/>
          </w:tcPr>
          <w:p w:rsidRPr="00262FF5" w:rsidR="00A45B79" w:rsidP="00A45B79" w:rsidRDefault="00A45B79" w14:paraId="1EC67A98" w14:textId="77777777">
            <w:pPr>
              <w:keepNext/>
              <w:ind w:left="360"/>
              <w:rPr>
                <w:rFonts w:eastAsia="Times New Roman" w:cstheme="minorHAnsi"/>
                <w:color w:val="000000"/>
                <w:sz w:val="24"/>
                <w:szCs w:val="24"/>
              </w:rPr>
            </w:pPr>
          </w:p>
        </w:tc>
        <w:tc>
          <w:tcPr>
            <w:tcW w:w="1054" w:type="dxa"/>
          </w:tcPr>
          <w:p w:rsidRPr="00262FF5" w:rsidR="00A45B79" w:rsidP="00A45B79" w:rsidRDefault="00A45B79" w14:paraId="3F59C953" w14:textId="77777777">
            <w:pPr>
              <w:keepNext/>
              <w:rPr>
                <w:rFonts w:eastAsia="Times New Roman" w:cstheme="minorHAnsi"/>
                <w:color w:val="000000"/>
                <w:sz w:val="24"/>
                <w:szCs w:val="24"/>
              </w:rPr>
            </w:pPr>
            <w:r w:rsidRPr="00262FF5">
              <w:rPr>
                <w:sz w:val="24"/>
                <w:szCs w:val="24"/>
              </w:rPr>
              <w:t>Therms</w:t>
            </w:r>
          </w:p>
        </w:tc>
        <w:tc>
          <w:tcPr>
            <w:tcW w:w="1054" w:type="dxa"/>
            <w:noWrap/>
          </w:tcPr>
          <w:p w:rsidRPr="00262FF5" w:rsidR="00A45B79" w:rsidP="00A45B79" w:rsidRDefault="00A45B79" w14:paraId="728D402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A45B79" w:rsidP="00A45B79" w:rsidRDefault="00A45B79" w14:paraId="2FE3118E" w14:textId="7F0441A0">
            <w:pPr>
              <w:keepNext/>
              <w:ind w:left="360"/>
              <w:jc w:val="right"/>
              <w:rPr>
                <w:rFonts w:eastAsia="Times New Roman" w:cstheme="minorHAnsi"/>
                <w:color w:val="000000"/>
                <w:sz w:val="24"/>
                <w:szCs w:val="24"/>
              </w:rPr>
            </w:pPr>
          </w:p>
        </w:tc>
        <w:tc>
          <w:tcPr>
            <w:tcW w:w="1055" w:type="dxa"/>
            <w:noWrap/>
          </w:tcPr>
          <w:p w:rsidRPr="00262FF5" w:rsidR="00A45B79" w:rsidP="00A45B79" w:rsidRDefault="00A45B79" w14:paraId="352531F4"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999</w:t>
            </w:r>
          </w:p>
        </w:tc>
        <w:tc>
          <w:tcPr>
            <w:tcW w:w="1054" w:type="dxa"/>
            <w:noWrap/>
          </w:tcPr>
          <w:p w:rsidRPr="00262FF5" w:rsidR="00A45B79" w:rsidP="00A45B79" w:rsidRDefault="00A45B79" w14:paraId="6EFA2E69"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999</w:t>
            </w:r>
          </w:p>
        </w:tc>
        <w:tc>
          <w:tcPr>
            <w:tcW w:w="1054" w:type="dxa"/>
            <w:noWrap/>
          </w:tcPr>
          <w:p w:rsidRPr="00262FF5" w:rsidR="00A45B79" w:rsidP="00A45B79" w:rsidRDefault="00A45B79" w14:paraId="0ED36B02"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999</w:t>
            </w:r>
          </w:p>
        </w:tc>
        <w:tc>
          <w:tcPr>
            <w:tcW w:w="1235" w:type="dxa"/>
            <w:noWrap/>
          </w:tcPr>
          <w:p w:rsidRPr="00262FF5" w:rsidR="00A45B79" w:rsidP="00A45B79" w:rsidRDefault="00A45B79" w14:paraId="5FBCDEC0" w14:textId="61569B5F">
            <w:pPr>
              <w:keepNext/>
              <w:jc w:val="right"/>
              <w:rPr>
                <w:rFonts w:eastAsia="Times New Roman" w:cstheme="minorHAnsi"/>
                <w:color w:val="000000"/>
                <w:sz w:val="24"/>
                <w:szCs w:val="24"/>
              </w:rPr>
            </w:pPr>
            <w:r>
              <w:rPr>
                <w:rFonts w:cs="Calibri"/>
                <w:color w:val="000000" w:themeColor="text1"/>
                <w:sz w:val="24"/>
                <w:szCs w:val="24"/>
              </w:rPr>
              <w:t>2,997</w:t>
            </w:r>
          </w:p>
        </w:tc>
      </w:tr>
      <w:tr w:rsidRPr="00262FF5" w:rsidR="00922ACD" w:rsidTr="00717A84" w14:paraId="55AF0B1A" w14:textId="77777777">
        <w:trPr>
          <w:trHeight w:val="547"/>
          <w:jc w:val="center"/>
        </w:trPr>
        <w:tc>
          <w:tcPr>
            <w:tcW w:w="1440" w:type="dxa"/>
            <w:vMerge w:val="restart"/>
            <w:vAlign w:val="center"/>
            <w:hideMark/>
          </w:tcPr>
          <w:p w:rsidRPr="00262FF5" w:rsidR="00922ACD" w:rsidP="00922ACD" w:rsidRDefault="00922ACD" w14:paraId="680EB55B" w14:textId="77777777">
            <w:pPr>
              <w:keepNext/>
              <w:rPr>
                <w:rFonts w:eastAsia="Times New Roman" w:cstheme="minorHAnsi"/>
                <w:color w:val="000000"/>
                <w:sz w:val="24"/>
                <w:szCs w:val="24"/>
              </w:rPr>
            </w:pPr>
            <w:r w:rsidRPr="00262FF5">
              <w:rPr>
                <w:rFonts w:eastAsia="Times New Roman" w:cstheme="minorHAnsi"/>
                <w:color w:val="000000"/>
                <w:sz w:val="24"/>
                <w:szCs w:val="24"/>
              </w:rPr>
              <w:t>PacifiCorp</w:t>
            </w:r>
          </w:p>
        </w:tc>
        <w:tc>
          <w:tcPr>
            <w:tcW w:w="1054" w:type="dxa"/>
          </w:tcPr>
          <w:p w:rsidRPr="00262FF5" w:rsidR="00922ACD" w:rsidP="00922ACD" w:rsidRDefault="00922ACD" w14:paraId="1750567A" w14:textId="77777777">
            <w:pPr>
              <w:keepNext/>
              <w:rPr>
                <w:rFonts w:eastAsia="Times New Roman" w:cstheme="minorHAnsi"/>
                <w:color w:val="000000"/>
                <w:sz w:val="24"/>
                <w:szCs w:val="24"/>
              </w:rPr>
            </w:pPr>
            <w:r w:rsidRPr="00262FF5">
              <w:rPr>
                <w:sz w:val="24"/>
                <w:szCs w:val="24"/>
              </w:rPr>
              <w:t>kWh</w:t>
            </w:r>
          </w:p>
        </w:tc>
        <w:tc>
          <w:tcPr>
            <w:tcW w:w="1054" w:type="dxa"/>
            <w:noWrap/>
          </w:tcPr>
          <w:p w:rsidRPr="00262FF5" w:rsidR="00922ACD" w:rsidP="00922ACD" w:rsidRDefault="00922ACD" w14:paraId="001247D0" w14:textId="77777777">
            <w:pPr>
              <w:keepNext/>
              <w:jc w:val="right"/>
              <w:rPr>
                <w:rFonts w:eastAsia="Times New Roman" w:cstheme="minorHAnsi"/>
                <w:color w:val="000000"/>
                <w:sz w:val="24"/>
                <w:szCs w:val="24"/>
              </w:rPr>
            </w:pPr>
            <w:r w:rsidRPr="00262FF5">
              <w:rPr>
                <w:rFonts w:cs="Calibri"/>
                <w:color w:val="000000" w:themeColor="text1"/>
                <w:sz w:val="24"/>
                <w:szCs w:val="24"/>
              </w:rPr>
              <w:t>121,198</w:t>
            </w:r>
          </w:p>
        </w:tc>
        <w:tc>
          <w:tcPr>
            <w:tcW w:w="1054" w:type="dxa"/>
            <w:noWrap/>
          </w:tcPr>
          <w:p w:rsidRPr="00262FF5" w:rsidR="00922ACD" w:rsidP="00922ACD" w:rsidRDefault="00922ACD" w14:paraId="5859A099" w14:textId="77777777">
            <w:pPr>
              <w:keepNext/>
              <w:jc w:val="right"/>
              <w:rPr>
                <w:rFonts w:eastAsia="Times New Roman" w:cstheme="minorHAnsi"/>
                <w:color w:val="000000"/>
                <w:sz w:val="24"/>
                <w:szCs w:val="24"/>
              </w:rPr>
            </w:pPr>
            <w:r w:rsidRPr="00262FF5">
              <w:rPr>
                <w:rFonts w:cs="Calibri"/>
                <w:color w:val="000000" w:themeColor="text1"/>
                <w:sz w:val="24"/>
                <w:szCs w:val="24"/>
              </w:rPr>
              <w:t>126,979</w:t>
            </w:r>
          </w:p>
        </w:tc>
        <w:tc>
          <w:tcPr>
            <w:tcW w:w="1055" w:type="dxa"/>
            <w:noWrap/>
          </w:tcPr>
          <w:p w:rsidRPr="00262FF5" w:rsidR="00922ACD" w:rsidP="00922ACD" w:rsidRDefault="00922ACD" w14:paraId="0172E39B" w14:textId="77777777">
            <w:pPr>
              <w:keepNext/>
              <w:jc w:val="right"/>
              <w:rPr>
                <w:rFonts w:eastAsia="Times New Roman" w:cstheme="minorHAnsi"/>
                <w:color w:val="000000"/>
                <w:sz w:val="24"/>
                <w:szCs w:val="24"/>
              </w:rPr>
            </w:pPr>
            <w:r w:rsidRPr="00262FF5">
              <w:rPr>
                <w:rFonts w:cs="Calibri"/>
                <w:color w:val="000000" w:themeColor="text1"/>
                <w:sz w:val="24"/>
                <w:szCs w:val="24"/>
              </w:rPr>
              <w:t>132,761</w:t>
            </w:r>
          </w:p>
        </w:tc>
        <w:tc>
          <w:tcPr>
            <w:tcW w:w="1054" w:type="dxa"/>
            <w:noWrap/>
          </w:tcPr>
          <w:p w:rsidRPr="00262FF5" w:rsidR="00922ACD" w:rsidP="00922ACD" w:rsidRDefault="00922ACD" w14:paraId="2F926024" w14:textId="77777777">
            <w:pPr>
              <w:keepNext/>
              <w:jc w:val="right"/>
              <w:rPr>
                <w:rFonts w:eastAsia="Times New Roman" w:cstheme="minorHAnsi"/>
                <w:color w:val="000000"/>
                <w:sz w:val="24"/>
                <w:szCs w:val="24"/>
              </w:rPr>
            </w:pPr>
            <w:r w:rsidRPr="00262FF5">
              <w:rPr>
                <w:rFonts w:cs="Calibri"/>
                <w:color w:val="000000" w:themeColor="text1"/>
                <w:sz w:val="24"/>
                <w:szCs w:val="24"/>
              </w:rPr>
              <w:t>138,527</w:t>
            </w:r>
          </w:p>
        </w:tc>
        <w:tc>
          <w:tcPr>
            <w:tcW w:w="1054" w:type="dxa"/>
            <w:noWrap/>
          </w:tcPr>
          <w:p w:rsidRPr="00262FF5" w:rsidR="00922ACD" w:rsidP="00922ACD" w:rsidRDefault="00922ACD" w14:paraId="1D7F0CB7" w14:textId="77777777">
            <w:pPr>
              <w:keepNext/>
              <w:jc w:val="right"/>
              <w:rPr>
                <w:rFonts w:eastAsia="Times New Roman" w:cstheme="minorHAnsi"/>
                <w:color w:val="000000"/>
                <w:sz w:val="24"/>
                <w:szCs w:val="24"/>
              </w:rPr>
            </w:pPr>
            <w:r w:rsidRPr="00262FF5">
              <w:rPr>
                <w:rFonts w:cs="Calibri"/>
                <w:color w:val="000000" w:themeColor="text1"/>
                <w:sz w:val="24"/>
                <w:szCs w:val="24"/>
              </w:rPr>
              <w:t>144,310</w:t>
            </w:r>
          </w:p>
        </w:tc>
        <w:tc>
          <w:tcPr>
            <w:tcW w:w="1235" w:type="dxa"/>
            <w:noWrap/>
          </w:tcPr>
          <w:p w:rsidRPr="00262FF5" w:rsidR="00922ACD" w:rsidP="00922ACD" w:rsidRDefault="00922ACD" w14:paraId="2E1779F9" w14:textId="77777777">
            <w:pPr>
              <w:keepNext/>
              <w:jc w:val="right"/>
              <w:rPr>
                <w:rFonts w:eastAsia="Times New Roman" w:cstheme="minorHAnsi"/>
                <w:color w:val="000000"/>
                <w:sz w:val="24"/>
                <w:szCs w:val="24"/>
              </w:rPr>
            </w:pPr>
            <w:r w:rsidRPr="00262FF5">
              <w:rPr>
                <w:rFonts w:cs="Calibri"/>
                <w:color w:val="000000" w:themeColor="text1"/>
                <w:sz w:val="24"/>
                <w:szCs w:val="24"/>
              </w:rPr>
              <w:t>663,774</w:t>
            </w:r>
          </w:p>
        </w:tc>
      </w:tr>
      <w:tr w:rsidRPr="00262FF5" w:rsidR="00922ACD" w:rsidTr="00717A84" w14:paraId="32ABD024" w14:textId="77777777">
        <w:trPr>
          <w:trHeight w:val="547"/>
          <w:jc w:val="center"/>
        </w:trPr>
        <w:tc>
          <w:tcPr>
            <w:tcW w:w="1440" w:type="dxa"/>
            <w:vMerge/>
            <w:vAlign w:val="center"/>
          </w:tcPr>
          <w:p w:rsidRPr="00262FF5" w:rsidR="00922ACD" w:rsidP="00922ACD" w:rsidRDefault="00922ACD" w14:paraId="3749CB23"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2502C20D" w14:textId="77777777">
            <w:pPr>
              <w:keepNext/>
              <w:rPr>
                <w:rFonts w:eastAsia="Times New Roman" w:cstheme="minorHAnsi"/>
                <w:color w:val="000000"/>
                <w:sz w:val="24"/>
                <w:szCs w:val="24"/>
              </w:rPr>
            </w:pPr>
            <w:r w:rsidRPr="00262FF5">
              <w:rPr>
                <w:sz w:val="24"/>
                <w:szCs w:val="24"/>
              </w:rPr>
              <w:t>kW</w:t>
            </w:r>
          </w:p>
        </w:tc>
        <w:tc>
          <w:tcPr>
            <w:tcW w:w="1054" w:type="dxa"/>
            <w:noWrap/>
          </w:tcPr>
          <w:p w:rsidRPr="00262FF5" w:rsidR="00922ACD" w:rsidP="00922ACD" w:rsidRDefault="00922ACD" w14:paraId="75DB395F" w14:textId="77777777">
            <w:pPr>
              <w:keepNext/>
              <w:jc w:val="right"/>
              <w:rPr>
                <w:rFonts w:eastAsia="Times New Roman" w:cstheme="minorHAnsi"/>
                <w:color w:val="000000"/>
                <w:sz w:val="24"/>
                <w:szCs w:val="24"/>
              </w:rPr>
            </w:pPr>
            <w:r w:rsidRPr="00262FF5">
              <w:rPr>
                <w:rFonts w:cs="Calibri"/>
                <w:color w:val="000000" w:themeColor="text1"/>
                <w:sz w:val="24"/>
                <w:szCs w:val="24"/>
              </w:rPr>
              <w:t>N/A</w:t>
            </w:r>
          </w:p>
        </w:tc>
        <w:tc>
          <w:tcPr>
            <w:tcW w:w="1054" w:type="dxa"/>
            <w:noWrap/>
          </w:tcPr>
          <w:p w:rsidRPr="00262FF5" w:rsidR="00922ACD" w:rsidP="00922ACD" w:rsidRDefault="00922ACD" w14:paraId="7634EABE" w14:textId="77777777">
            <w:pPr>
              <w:keepNext/>
              <w:jc w:val="right"/>
              <w:rPr>
                <w:rFonts w:eastAsia="Times New Roman" w:cstheme="minorHAnsi"/>
                <w:color w:val="000000"/>
                <w:sz w:val="24"/>
                <w:szCs w:val="24"/>
              </w:rPr>
            </w:pPr>
            <w:r w:rsidRPr="00262FF5">
              <w:rPr>
                <w:rFonts w:cs="Calibri"/>
                <w:color w:val="000000" w:themeColor="text1"/>
                <w:sz w:val="24"/>
                <w:szCs w:val="24"/>
              </w:rPr>
              <w:t>N/A</w:t>
            </w:r>
          </w:p>
        </w:tc>
        <w:tc>
          <w:tcPr>
            <w:tcW w:w="1055" w:type="dxa"/>
            <w:noWrap/>
          </w:tcPr>
          <w:p w:rsidRPr="00262FF5" w:rsidR="00922ACD" w:rsidP="00922ACD" w:rsidRDefault="00922ACD" w14:paraId="671E7754" w14:textId="77777777">
            <w:pPr>
              <w:keepNext/>
              <w:jc w:val="right"/>
              <w:rPr>
                <w:rFonts w:eastAsia="Times New Roman" w:cstheme="minorHAnsi"/>
                <w:color w:val="000000"/>
                <w:sz w:val="24"/>
                <w:szCs w:val="24"/>
              </w:rPr>
            </w:pPr>
            <w:r w:rsidRPr="00262FF5">
              <w:rPr>
                <w:rFonts w:cs="Calibri"/>
                <w:color w:val="000000" w:themeColor="text1"/>
                <w:sz w:val="24"/>
                <w:szCs w:val="24"/>
              </w:rPr>
              <w:t>N/A</w:t>
            </w:r>
          </w:p>
        </w:tc>
        <w:tc>
          <w:tcPr>
            <w:tcW w:w="1054" w:type="dxa"/>
            <w:noWrap/>
          </w:tcPr>
          <w:p w:rsidRPr="00262FF5" w:rsidR="00922ACD" w:rsidP="00922ACD" w:rsidRDefault="00922ACD" w14:paraId="16D4B88B" w14:textId="77777777">
            <w:pPr>
              <w:keepNext/>
              <w:jc w:val="right"/>
              <w:rPr>
                <w:rFonts w:eastAsia="Times New Roman" w:cstheme="minorHAnsi"/>
                <w:color w:val="000000"/>
                <w:sz w:val="24"/>
                <w:szCs w:val="24"/>
              </w:rPr>
            </w:pPr>
            <w:r w:rsidRPr="00262FF5">
              <w:rPr>
                <w:rFonts w:cs="Calibri"/>
                <w:color w:val="000000" w:themeColor="text1"/>
                <w:sz w:val="24"/>
                <w:szCs w:val="24"/>
              </w:rPr>
              <w:t>N/A</w:t>
            </w:r>
          </w:p>
        </w:tc>
        <w:tc>
          <w:tcPr>
            <w:tcW w:w="1054" w:type="dxa"/>
            <w:noWrap/>
          </w:tcPr>
          <w:p w:rsidRPr="00262FF5" w:rsidR="00922ACD" w:rsidP="00922ACD" w:rsidRDefault="00922ACD" w14:paraId="79B87CF7" w14:textId="77777777">
            <w:pPr>
              <w:keepNext/>
              <w:jc w:val="right"/>
              <w:rPr>
                <w:rFonts w:eastAsia="Times New Roman" w:cstheme="minorHAnsi"/>
                <w:color w:val="000000"/>
                <w:sz w:val="24"/>
                <w:szCs w:val="24"/>
              </w:rPr>
            </w:pPr>
            <w:r w:rsidRPr="00262FF5">
              <w:rPr>
                <w:rFonts w:cs="Calibri"/>
                <w:color w:val="000000" w:themeColor="text1"/>
                <w:sz w:val="24"/>
                <w:szCs w:val="24"/>
              </w:rPr>
              <w:t>N/A</w:t>
            </w:r>
          </w:p>
        </w:tc>
        <w:tc>
          <w:tcPr>
            <w:tcW w:w="1235" w:type="dxa"/>
            <w:noWrap/>
          </w:tcPr>
          <w:p w:rsidRPr="00262FF5" w:rsidR="00922ACD" w:rsidP="00922ACD" w:rsidRDefault="00922ACD" w14:paraId="359F131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N/A</w:t>
            </w:r>
          </w:p>
        </w:tc>
      </w:tr>
      <w:tr w:rsidRPr="00262FF5" w:rsidR="00922ACD" w:rsidTr="00717A84" w14:paraId="48FD9D69" w14:textId="77777777">
        <w:trPr>
          <w:trHeight w:val="547"/>
          <w:jc w:val="center"/>
        </w:trPr>
        <w:tc>
          <w:tcPr>
            <w:tcW w:w="1440" w:type="dxa"/>
            <w:vMerge/>
            <w:vAlign w:val="center"/>
          </w:tcPr>
          <w:p w:rsidRPr="00262FF5" w:rsidR="00922ACD" w:rsidP="00922ACD" w:rsidRDefault="00922ACD" w14:paraId="045CC1CF"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7583D5AC" w14:textId="77777777">
            <w:pPr>
              <w:keepNext/>
              <w:rPr>
                <w:rFonts w:eastAsia="Times New Roman" w:cstheme="minorHAnsi"/>
                <w:color w:val="000000"/>
                <w:sz w:val="24"/>
                <w:szCs w:val="24"/>
              </w:rPr>
            </w:pPr>
            <w:r w:rsidRPr="00262FF5">
              <w:rPr>
                <w:sz w:val="24"/>
                <w:szCs w:val="24"/>
              </w:rPr>
              <w:t>Therms</w:t>
            </w:r>
          </w:p>
        </w:tc>
        <w:tc>
          <w:tcPr>
            <w:tcW w:w="1054" w:type="dxa"/>
            <w:noWrap/>
          </w:tcPr>
          <w:p w:rsidRPr="00262FF5" w:rsidR="00922ACD" w:rsidP="00922ACD" w:rsidRDefault="00922ACD" w14:paraId="5DA91F8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3C2B0ADB"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5" w:type="dxa"/>
            <w:noWrap/>
          </w:tcPr>
          <w:p w:rsidRPr="00262FF5" w:rsidR="00922ACD" w:rsidP="00922ACD" w:rsidRDefault="00922ACD" w14:paraId="5A4C4FB8"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3C9B2FB8"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28827292"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235" w:type="dxa"/>
            <w:noWrap/>
          </w:tcPr>
          <w:p w:rsidRPr="00262FF5" w:rsidR="00922ACD" w:rsidP="00922ACD" w:rsidRDefault="00922ACD" w14:paraId="2F7224E1"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r>
      <w:tr w:rsidRPr="00262FF5" w:rsidR="00922ACD" w:rsidTr="00717A84" w14:paraId="770D38D0" w14:textId="77777777">
        <w:trPr>
          <w:trHeight w:val="547"/>
          <w:jc w:val="center"/>
        </w:trPr>
        <w:tc>
          <w:tcPr>
            <w:tcW w:w="1440" w:type="dxa"/>
            <w:vMerge w:val="restart"/>
            <w:vAlign w:val="center"/>
            <w:hideMark/>
          </w:tcPr>
          <w:p w:rsidRPr="00262FF5" w:rsidR="00922ACD" w:rsidP="00922ACD" w:rsidRDefault="00922ACD" w14:paraId="448C9E89" w14:textId="77777777">
            <w:pPr>
              <w:keepNext/>
              <w:rPr>
                <w:rFonts w:eastAsia="Times New Roman" w:cstheme="minorHAnsi"/>
                <w:color w:val="000000"/>
                <w:sz w:val="24"/>
                <w:szCs w:val="24"/>
              </w:rPr>
            </w:pPr>
            <w:r w:rsidRPr="00262FF5">
              <w:rPr>
                <w:rFonts w:eastAsia="Times New Roman" w:cstheme="minorHAnsi"/>
                <w:color w:val="000000"/>
                <w:sz w:val="24"/>
                <w:szCs w:val="24"/>
              </w:rPr>
              <w:t>Southwest Gas</w:t>
            </w:r>
          </w:p>
        </w:tc>
        <w:tc>
          <w:tcPr>
            <w:tcW w:w="1054" w:type="dxa"/>
          </w:tcPr>
          <w:p w:rsidRPr="00262FF5" w:rsidR="00922ACD" w:rsidP="00922ACD" w:rsidRDefault="00922ACD" w14:paraId="61AABBFE" w14:textId="77777777">
            <w:pPr>
              <w:keepNext/>
              <w:rPr>
                <w:rFonts w:eastAsia="Times New Roman" w:cstheme="minorHAnsi"/>
                <w:color w:val="000000"/>
                <w:sz w:val="24"/>
                <w:szCs w:val="24"/>
              </w:rPr>
            </w:pPr>
            <w:r w:rsidRPr="00262FF5">
              <w:rPr>
                <w:sz w:val="24"/>
                <w:szCs w:val="24"/>
              </w:rPr>
              <w:t>kWh</w:t>
            </w:r>
          </w:p>
        </w:tc>
        <w:tc>
          <w:tcPr>
            <w:tcW w:w="1054" w:type="dxa"/>
            <w:noWrap/>
          </w:tcPr>
          <w:p w:rsidRPr="00262FF5" w:rsidR="00922ACD" w:rsidP="00922ACD" w:rsidRDefault="00922ACD" w14:paraId="6DFAF163"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4F0B554E"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5" w:type="dxa"/>
            <w:noWrap/>
          </w:tcPr>
          <w:p w:rsidRPr="00262FF5" w:rsidR="00922ACD" w:rsidP="00922ACD" w:rsidRDefault="00922ACD" w14:paraId="00D4725F"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7134629A"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01B7A1B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235" w:type="dxa"/>
            <w:noWrap/>
          </w:tcPr>
          <w:p w:rsidRPr="00262FF5" w:rsidR="00922ACD" w:rsidP="00922ACD" w:rsidRDefault="00922ACD" w14:paraId="7CC39A8E"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r>
      <w:tr w:rsidRPr="00262FF5" w:rsidR="00922ACD" w:rsidTr="00717A84" w14:paraId="3FBC40DC" w14:textId="77777777">
        <w:trPr>
          <w:trHeight w:val="547"/>
          <w:jc w:val="center"/>
        </w:trPr>
        <w:tc>
          <w:tcPr>
            <w:tcW w:w="1440" w:type="dxa"/>
            <w:vMerge/>
          </w:tcPr>
          <w:p w:rsidRPr="00262FF5" w:rsidR="00922ACD" w:rsidP="00922ACD" w:rsidRDefault="00922ACD" w14:paraId="514984D0"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0C790625" w14:textId="77777777">
            <w:pPr>
              <w:keepNext/>
              <w:rPr>
                <w:rFonts w:eastAsia="Times New Roman" w:cstheme="minorHAnsi"/>
                <w:color w:val="000000"/>
                <w:sz w:val="24"/>
                <w:szCs w:val="24"/>
              </w:rPr>
            </w:pPr>
            <w:r w:rsidRPr="00262FF5">
              <w:rPr>
                <w:sz w:val="24"/>
                <w:szCs w:val="24"/>
              </w:rPr>
              <w:t>kW</w:t>
            </w:r>
          </w:p>
        </w:tc>
        <w:tc>
          <w:tcPr>
            <w:tcW w:w="1054" w:type="dxa"/>
            <w:noWrap/>
          </w:tcPr>
          <w:p w:rsidRPr="00262FF5" w:rsidR="00922ACD" w:rsidP="00922ACD" w:rsidRDefault="00922ACD" w14:paraId="19ED601B"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428CBB28"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5" w:type="dxa"/>
            <w:noWrap/>
          </w:tcPr>
          <w:p w:rsidRPr="00262FF5" w:rsidR="00922ACD" w:rsidP="00922ACD" w:rsidRDefault="00922ACD" w14:paraId="2BF4D51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6A9F6184"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054" w:type="dxa"/>
            <w:noWrap/>
          </w:tcPr>
          <w:p w:rsidRPr="00262FF5" w:rsidR="00922ACD" w:rsidP="00922ACD" w:rsidRDefault="00922ACD" w14:paraId="7F6CEB74"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c>
          <w:tcPr>
            <w:tcW w:w="1235" w:type="dxa"/>
            <w:noWrap/>
          </w:tcPr>
          <w:p w:rsidRPr="00262FF5" w:rsidR="00922ACD" w:rsidP="00922ACD" w:rsidRDefault="00922ACD" w14:paraId="1091AD91"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w:t>
            </w:r>
          </w:p>
        </w:tc>
      </w:tr>
      <w:tr w:rsidRPr="00262FF5" w:rsidR="00922ACD" w:rsidTr="00717A84" w14:paraId="6E1A22C8" w14:textId="77777777">
        <w:trPr>
          <w:trHeight w:val="547"/>
          <w:jc w:val="center"/>
        </w:trPr>
        <w:tc>
          <w:tcPr>
            <w:tcW w:w="1440" w:type="dxa"/>
            <w:vMerge/>
          </w:tcPr>
          <w:p w:rsidRPr="00262FF5" w:rsidR="00922ACD" w:rsidP="00922ACD" w:rsidRDefault="00922ACD" w14:paraId="3410FFB4"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0B2E76AF" w14:textId="77777777">
            <w:pPr>
              <w:keepNext/>
              <w:rPr>
                <w:rFonts w:eastAsia="Times New Roman" w:cstheme="minorHAnsi"/>
                <w:color w:val="000000"/>
                <w:sz w:val="24"/>
                <w:szCs w:val="24"/>
              </w:rPr>
            </w:pPr>
            <w:r w:rsidRPr="00262FF5">
              <w:rPr>
                <w:sz w:val="24"/>
                <w:szCs w:val="24"/>
              </w:rPr>
              <w:t>Therms</w:t>
            </w:r>
          </w:p>
        </w:tc>
        <w:tc>
          <w:tcPr>
            <w:tcW w:w="1054" w:type="dxa"/>
            <w:noWrap/>
          </w:tcPr>
          <w:p w:rsidRPr="00262FF5" w:rsidR="00922ACD" w:rsidP="00922ACD" w:rsidRDefault="00922ACD" w14:paraId="108BC655" w14:textId="77777777">
            <w:pPr>
              <w:keepNext/>
              <w:jc w:val="right"/>
              <w:rPr>
                <w:rFonts w:eastAsia="Times New Roman" w:cstheme="minorHAnsi"/>
                <w:color w:val="000000"/>
                <w:sz w:val="24"/>
                <w:szCs w:val="24"/>
              </w:rPr>
            </w:pPr>
            <w:r w:rsidRPr="00262FF5">
              <w:rPr>
                <w:rFonts w:cs="Calibri"/>
                <w:color w:val="000000" w:themeColor="text1"/>
                <w:sz w:val="24"/>
                <w:szCs w:val="24"/>
              </w:rPr>
              <w:t>47,668</w:t>
            </w:r>
          </w:p>
        </w:tc>
        <w:tc>
          <w:tcPr>
            <w:tcW w:w="1054" w:type="dxa"/>
            <w:noWrap/>
          </w:tcPr>
          <w:p w:rsidRPr="00262FF5" w:rsidR="00922ACD" w:rsidP="00922ACD" w:rsidRDefault="00922ACD" w14:paraId="5D446B8A" w14:textId="77777777">
            <w:pPr>
              <w:keepNext/>
              <w:jc w:val="right"/>
              <w:rPr>
                <w:rFonts w:eastAsia="Times New Roman" w:cstheme="minorHAnsi"/>
                <w:color w:val="000000"/>
                <w:sz w:val="24"/>
                <w:szCs w:val="24"/>
              </w:rPr>
            </w:pPr>
            <w:r w:rsidRPr="00262FF5">
              <w:rPr>
                <w:rFonts w:cs="Calibri"/>
                <w:color w:val="000000" w:themeColor="text1"/>
                <w:sz w:val="24"/>
                <w:szCs w:val="24"/>
              </w:rPr>
              <w:t>46,321</w:t>
            </w:r>
          </w:p>
        </w:tc>
        <w:tc>
          <w:tcPr>
            <w:tcW w:w="1055" w:type="dxa"/>
            <w:noWrap/>
          </w:tcPr>
          <w:p w:rsidRPr="00262FF5" w:rsidR="00922ACD" w:rsidP="00922ACD" w:rsidRDefault="00922ACD" w14:paraId="24DE83F9" w14:textId="77777777">
            <w:pPr>
              <w:keepNext/>
              <w:jc w:val="right"/>
              <w:rPr>
                <w:rFonts w:eastAsia="Times New Roman" w:cstheme="minorHAnsi"/>
                <w:color w:val="000000"/>
                <w:sz w:val="24"/>
                <w:szCs w:val="24"/>
              </w:rPr>
            </w:pPr>
            <w:r w:rsidRPr="00262FF5">
              <w:rPr>
                <w:rFonts w:cs="Calibri"/>
                <w:color w:val="000000" w:themeColor="text1"/>
                <w:sz w:val="24"/>
                <w:szCs w:val="24"/>
              </w:rPr>
              <w:t>48,763</w:t>
            </w:r>
          </w:p>
        </w:tc>
        <w:tc>
          <w:tcPr>
            <w:tcW w:w="1054" w:type="dxa"/>
            <w:noWrap/>
          </w:tcPr>
          <w:p w:rsidRPr="00262FF5" w:rsidR="00922ACD" w:rsidP="00922ACD" w:rsidRDefault="00922ACD" w14:paraId="07799E15" w14:textId="77777777">
            <w:pPr>
              <w:keepNext/>
              <w:jc w:val="right"/>
              <w:rPr>
                <w:rFonts w:eastAsia="Times New Roman" w:cstheme="minorHAnsi"/>
                <w:color w:val="000000"/>
                <w:sz w:val="24"/>
                <w:szCs w:val="24"/>
              </w:rPr>
            </w:pPr>
            <w:r w:rsidRPr="00262FF5">
              <w:rPr>
                <w:rFonts w:cs="Calibri"/>
                <w:color w:val="000000" w:themeColor="text1"/>
                <w:sz w:val="24"/>
                <w:szCs w:val="24"/>
              </w:rPr>
              <w:t>50,175</w:t>
            </w:r>
          </w:p>
        </w:tc>
        <w:tc>
          <w:tcPr>
            <w:tcW w:w="1054" w:type="dxa"/>
            <w:noWrap/>
          </w:tcPr>
          <w:p w:rsidRPr="00262FF5" w:rsidR="00922ACD" w:rsidP="00922ACD" w:rsidRDefault="00922ACD" w14:paraId="5FB24F10" w14:textId="77777777">
            <w:pPr>
              <w:keepNext/>
              <w:jc w:val="right"/>
              <w:rPr>
                <w:rFonts w:eastAsia="Times New Roman" w:cstheme="minorHAnsi"/>
                <w:color w:val="000000"/>
                <w:sz w:val="24"/>
                <w:szCs w:val="24"/>
              </w:rPr>
            </w:pPr>
            <w:r w:rsidRPr="00262FF5">
              <w:rPr>
                <w:rFonts w:cs="Calibri"/>
                <w:color w:val="000000" w:themeColor="text1"/>
                <w:sz w:val="24"/>
                <w:szCs w:val="24"/>
              </w:rPr>
              <w:t>55,002</w:t>
            </w:r>
          </w:p>
        </w:tc>
        <w:tc>
          <w:tcPr>
            <w:tcW w:w="1235" w:type="dxa"/>
            <w:noWrap/>
          </w:tcPr>
          <w:p w:rsidRPr="00262FF5" w:rsidR="00922ACD" w:rsidP="00922ACD" w:rsidRDefault="00922ACD" w14:paraId="569004EF" w14:textId="77777777">
            <w:pPr>
              <w:keepNext/>
              <w:jc w:val="right"/>
              <w:rPr>
                <w:rFonts w:eastAsia="Times New Roman" w:cstheme="minorHAnsi"/>
                <w:color w:val="000000"/>
                <w:sz w:val="24"/>
                <w:szCs w:val="24"/>
              </w:rPr>
            </w:pPr>
            <w:r w:rsidRPr="00262FF5">
              <w:rPr>
                <w:rFonts w:cs="Calibri"/>
                <w:color w:val="000000" w:themeColor="text1"/>
                <w:sz w:val="24"/>
                <w:szCs w:val="24"/>
              </w:rPr>
              <w:t>247,928</w:t>
            </w:r>
          </w:p>
        </w:tc>
      </w:tr>
      <w:tr w:rsidRPr="00262FF5" w:rsidR="00CE4471" w:rsidTr="00717A84" w14:paraId="4EEF25A7" w14:textId="77777777">
        <w:trPr>
          <w:trHeight w:val="547"/>
          <w:jc w:val="center"/>
        </w:trPr>
        <w:tc>
          <w:tcPr>
            <w:tcW w:w="1440" w:type="dxa"/>
            <w:vMerge w:val="restart"/>
            <w:vAlign w:val="center"/>
            <w:hideMark/>
          </w:tcPr>
          <w:p w:rsidRPr="00262FF5" w:rsidR="00CE4471" w:rsidP="00CE4471" w:rsidRDefault="00CE4471" w14:paraId="7BB54A50" w14:textId="77777777">
            <w:pPr>
              <w:keepNext/>
              <w:rPr>
                <w:rFonts w:eastAsia="Times New Roman" w:cstheme="minorHAnsi"/>
                <w:color w:val="000000"/>
                <w:sz w:val="24"/>
                <w:szCs w:val="24"/>
              </w:rPr>
            </w:pPr>
            <w:r w:rsidRPr="00262FF5">
              <w:rPr>
                <w:rFonts w:eastAsia="Times New Roman" w:cstheme="minorHAnsi"/>
                <w:color w:val="000000"/>
                <w:sz w:val="24"/>
                <w:szCs w:val="24"/>
              </w:rPr>
              <w:t>Annual Total</w:t>
            </w:r>
          </w:p>
        </w:tc>
        <w:tc>
          <w:tcPr>
            <w:tcW w:w="1054" w:type="dxa"/>
          </w:tcPr>
          <w:p w:rsidRPr="00262FF5" w:rsidR="00CE4471" w:rsidP="00CE4471" w:rsidRDefault="00CE4471" w14:paraId="74F0E269" w14:textId="77777777">
            <w:pPr>
              <w:keepNext/>
              <w:rPr>
                <w:rFonts w:eastAsia="Times New Roman" w:cstheme="minorHAnsi"/>
                <w:color w:val="000000"/>
                <w:sz w:val="24"/>
                <w:szCs w:val="24"/>
              </w:rPr>
            </w:pPr>
            <w:r w:rsidRPr="00262FF5">
              <w:rPr>
                <w:sz w:val="24"/>
                <w:szCs w:val="24"/>
              </w:rPr>
              <w:t>kWh</w:t>
            </w:r>
          </w:p>
        </w:tc>
        <w:tc>
          <w:tcPr>
            <w:tcW w:w="1054" w:type="dxa"/>
            <w:noWrap/>
          </w:tcPr>
          <w:p w:rsidRPr="00262FF5" w:rsidR="00CE4471" w:rsidP="00CE4471" w:rsidRDefault="00CE4471" w14:paraId="582AC004" w14:textId="77777777">
            <w:pPr>
              <w:keepNext/>
              <w:jc w:val="right"/>
              <w:rPr>
                <w:rFonts w:eastAsia="Times New Roman" w:cstheme="minorHAnsi"/>
                <w:color w:val="000000"/>
                <w:sz w:val="24"/>
                <w:szCs w:val="24"/>
              </w:rPr>
            </w:pPr>
            <w:r w:rsidRPr="00262FF5">
              <w:rPr>
                <w:rFonts w:cs="Calibri"/>
                <w:color w:val="000000" w:themeColor="text1"/>
                <w:sz w:val="24"/>
                <w:szCs w:val="24"/>
              </w:rPr>
              <w:t>235,058</w:t>
            </w:r>
          </w:p>
        </w:tc>
        <w:tc>
          <w:tcPr>
            <w:tcW w:w="1054" w:type="dxa"/>
            <w:noWrap/>
          </w:tcPr>
          <w:p w:rsidRPr="00262FF5" w:rsidR="00CE4471" w:rsidP="00CE4471" w:rsidRDefault="00CE4471" w14:paraId="7B154C9D" w14:textId="52937C47">
            <w:pPr>
              <w:keepNext/>
              <w:jc w:val="right"/>
              <w:rPr>
                <w:rFonts w:eastAsia="Times New Roman" w:cstheme="minorHAnsi"/>
                <w:color w:val="000000"/>
                <w:sz w:val="24"/>
                <w:szCs w:val="24"/>
              </w:rPr>
            </w:pPr>
            <w:r w:rsidRPr="009F4A0B">
              <w:rPr>
                <w:rFonts w:cs="Calibri"/>
                <w:color w:val="000000" w:themeColor="text1"/>
                <w:sz w:val="24"/>
                <w:szCs w:val="24"/>
              </w:rPr>
              <w:t>240,839</w:t>
            </w:r>
          </w:p>
        </w:tc>
        <w:tc>
          <w:tcPr>
            <w:tcW w:w="1055" w:type="dxa"/>
            <w:noWrap/>
          </w:tcPr>
          <w:p w:rsidRPr="00262FF5" w:rsidR="00CE4471" w:rsidP="00CE4471" w:rsidRDefault="00CE4471" w14:paraId="7B292A34" w14:textId="77777777">
            <w:pPr>
              <w:keepNext/>
              <w:jc w:val="right"/>
              <w:rPr>
                <w:rFonts w:eastAsia="Times New Roman" w:cstheme="minorHAnsi"/>
                <w:color w:val="000000"/>
                <w:sz w:val="24"/>
                <w:szCs w:val="24"/>
              </w:rPr>
            </w:pPr>
            <w:r w:rsidRPr="00262FF5">
              <w:rPr>
                <w:rFonts w:cs="Calibri"/>
                <w:color w:val="000000" w:themeColor="text1"/>
                <w:sz w:val="24"/>
                <w:szCs w:val="24"/>
              </w:rPr>
              <w:t>236,547</w:t>
            </w:r>
          </w:p>
        </w:tc>
        <w:tc>
          <w:tcPr>
            <w:tcW w:w="1054" w:type="dxa"/>
            <w:noWrap/>
          </w:tcPr>
          <w:p w:rsidRPr="00262FF5" w:rsidR="00CE4471" w:rsidP="00CE4471" w:rsidRDefault="00CE4471" w14:paraId="754500CD" w14:textId="77777777">
            <w:pPr>
              <w:keepNext/>
              <w:jc w:val="right"/>
              <w:rPr>
                <w:rFonts w:eastAsia="Times New Roman" w:cstheme="minorHAnsi"/>
                <w:color w:val="000000"/>
                <w:sz w:val="24"/>
                <w:szCs w:val="24"/>
              </w:rPr>
            </w:pPr>
            <w:r w:rsidRPr="00262FF5">
              <w:rPr>
                <w:rFonts w:cs="Calibri"/>
                <w:color w:val="000000" w:themeColor="text1"/>
                <w:sz w:val="24"/>
                <w:szCs w:val="24"/>
              </w:rPr>
              <w:t>242,313</w:t>
            </w:r>
          </w:p>
        </w:tc>
        <w:tc>
          <w:tcPr>
            <w:tcW w:w="1054" w:type="dxa"/>
            <w:noWrap/>
          </w:tcPr>
          <w:p w:rsidRPr="00262FF5" w:rsidR="00CE4471" w:rsidP="00CE4471" w:rsidRDefault="00CE4471" w14:paraId="733CB8AC" w14:textId="77777777">
            <w:pPr>
              <w:keepNext/>
              <w:jc w:val="right"/>
              <w:rPr>
                <w:rFonts w:eastAsia="Times New Roman" w:cstheme="minorHAnsi"/>
                <w:color w:val="000000"/>
                <w:sz w:val="24"/>
                <w:szCs w:val="24"/>
              </w:rPr>
            </w:pPr>
            <w:r w:rsidRPr="00262FF5">
              <w:rPr>
                <w:rFonts w:cs="Calibri"/>
                <w:color w:val="000000" w:themeColor="text1"/>
                <w:sz w:val="24"/>
                <w:szCs w:val="24"/>
              </w:rPr>
              <w:t>248,095</w:t>
            </w:r>
          </w:p>
        </w:tc>
        <w:tc>
          <w:tcPr>
            <w:tcW w:w="1235" w:type="dxa"/>
            <w:noWrap/>
          </w:tcPr>
          <w:p w:rsidRPr="00262FF5" w:rsidR="00CE4471" w:rsidP="00CE4471" w:rsidRDefault="00CE4471" w14:paraId="7B859697" w14:textId="7F1397CA">
            <w:pPr>
              <w:keepNext/>
              <w:jc w:val="right"/>
              <w:rPr>
                <w:rFonts w:eastAsia="Times New Roman" w:cstheme="minorHAnsi"/>
                <w:color w:val="000000"/>
                <w:sz w:val="24"/>
                <w:szCs w:val="24"/>
              </w:rPr>
            </w:pPr>
            <w:r w:rsidRPr="00973C52">
              <w:rPr>
                <w:rFonts w:cs="Calibri"/>
                <w:color w:val="000000" w:themeColor="text1"/>
                <w:sz w:val="24"/>
                <w:szCs w:val="24"/>
              </w:rPr>
              <w:t>1,202,851</w:t>
            </w:r>
          </w:p>
        </w:tc>
      </w:tr>
      <w:tr w:rsidRPr="00262FF5" w:rsidR="00922ACD" w:rsidTr="00717A84" w14:paraId="172196A3" w14:textId="77777777">
        <w:trPr>
          <w:trHeight w:val="547"/>
          <w:jc w:val="center"/>
        </w:trPr>
        <w:tc>
          <w:tcPr>
            <w:tcW w:w="1440" w:type="dxa"/>
            <w:vMerge/>
          </w:tcPr>
          <w:p w:rsidRPr="00262FF5" w:rsidR="00922ACD" w:rsidP="00922ACD" w:rsidRDefault="00922ACD" w14:paraId="478448D1" w14:textId="77777777">
            <w:pPr>
              <w:keepNext/>
              <w:ind w:left="360"/>
              <w:rPr>
                <w:rFonts w:eastAsia="Times New Roman" w:cstheme="minorHAnsi"/>
                <w:color w:val="000000"/>
                <w:sz w:val="24"/>
                <w:szCs w:val="24"/>
              </w:rPr>
            </w:pPr>
          </w:p>
        </w:tc>
        <w:tc>
          <w:tcPr>
            <w:tcW w:w="1054" w:type="dxa"/>
          </w:tcPr>
          <w:p w:rsidRPr="00262FF5" w:rsidR="00922ACD" w:rsidP="00922ACD" w:rsidRDefault="00922ACD" w14:paraId="38EA48E7" w14:textId="77777777">
            <w:pPr>
              <w:keepNext/>
              <w:rPr>
                <w:rFonts w:eastAsia="Times New Roman" w:cstheme="minorHAnsi"/>
                <w:color w:val="000000"/>
                <w:sz w:val="24"/>
                <w:szCs w:val="24"/>
              </w:rPr>
            </w:pPr>
            <w:r w:rsidRPr="00262FF5">
              <w:rPr>
                <w:sz w:val="24"/>
                <w:szCs w:val="24"/>
              </w:rPr>
              <w:t>kW</w:t>
            </w:r>
          </w:p>
        </w:tc>
        <w:tc>
          <w:tcPr>
            <w:tcW w:w="1054" w:type="dxa"/>
            <w:noWrap/>
          </w:tcPr>
          <w:p w:rsidRPr="00262FF5" w:rsidR="00922ACD" w:rsidP="00922ACD" w:rsidRDefault="00922ACD" w14:paraId="0EFB8AA1"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28</w:t>
            </w:r>
          </w:p>
        </w:tc>
        <w:tc>
          <w:tcPr>
            <w:tcW w:w="1054" w:type="dxa"/>
            <w:noWrap/>
          </w:tcPr>
          <w:p w:rsidRPr="00262FF5" w:rsidR="00922ACD" w:rsidP="00922ACD" w:rsidRDefault="00922ACD" w14:paraId="63020B9E"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27</w:t>
            </w:r>
          </w:p>
        </w:tc>
        <w:tc>
          <w:tcPr>
            <w:tcW w:w="1055" w:type="dxa"/>
            <w:noWrap/>
          </w:tcPr>
          <w:p w:rsidRPr="00262FF5" w:rsidR="00922ACD" w:rsidP="00922ACD" w:rsidRDefault="00922ACD" w14:paraId="60849107"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27</w:t>
            </w:r>
          </w:p>
        </w:tc>
        <w:tc>
          <w:tcPr>
            <w:tcW w:w="1054" w:type="dxa"/>
            <w:noWrap/>
          </w:tcPr>
          <w:p w:rsidRPr="00262FF5" w:rsidR="00922ACD" w:rsidP="00922ACD" w:rsidRDefault="00922ACD" w14:paraId="58BC9135"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27</w:t>
            </w:r>
          </w:p>
        </w:tc>
        <w:tc>
          <w:tcPr>
            <w:tcW w:w="1054" w:type="dxa"/>
            <w:noWrap/>
          </w:tcPr>
          <w:p w:rsidRPr="00262FF5" w:rsidR="00922ACD" w:rsidP="00922ACD" w:rsidRDefault="00922ACD" w14:paraId="551B8C06" w14:textId="77777777">
            <w:pPr>
              <w:keepNext/>
              <w:ind w:left="360"/>
              <w:jc w:val="right"/>
              <w:rPr>
                <w:rFonts w:eastAsia="Times New Roman" w:cstheme="minorHAnsi"/>
                <w:color w:val="000000"/>
                <w:sz w:val="24"/>
                <w:szCs w:val="24"/>
              </w:rPr>
            </w:pPr>
            <w:r w:rsidRPr="00262FF5">
              <w:rPr>
                <w:rFonts w:cs="Calibri"/>
                <w:color w:val="000000" w:themeColor="text1"/>
                <w:sz w:val="24"/>
                <w:szCs w:val="24"/>
              </w:rPr>
              <w:t>27</w:t>
            </w:r>
          </w:p>
        </w:tc>
        <w:tc>
          <w:tcPr>
            <w:tcW w:w="1235" w:type="dxa"/>
            <w:noWrap/>
          </w:tcPr>
          <w:p w:rsidRPr="001E269A" w:rsidR="00922ACD" w:rsidP="00922ACD" w:rsidRDefault="00922ACD" w14:paraId="1CD79FFE" w14:textId="77777777">
            <w:pPr>
              <w:keepNext/>
              <w:ind w:left="360"/>
              <w:jc w:val="right"/>
              <w:rPr>
                <w:rFonts w:eastAsia="Times New Roman" w:cstheme="minorHAnsi"/>
                <w:color w:val="000000"/>
                <w:sz w:val="24"/>
                <w:szCs w:val="24"/>
              </w:rPr>
            </w:pPr>
            <w:r w:rsidRPr="004D223C">
              <w:rPr>
                <w:rFonts w:cs="Calibri"/>
                <w:color w:val="000000" w:themeColor="text1"/>
                <w:sz w:val="24"/>
                <w:szCs w:val="24"/>
              </w:rPr>
              <w:t>136</w:t>
            </w:r>
          </w:p>
        </w:tc>
      </w:tr>
      <w:tr w:rsidRPr="00262FF5" w:rsidR="007E4578" w:rsidTr="00717A84" w14:paraId="28D9355E" w14:textId="77777777">
        <w:trPr>
          <w:trHeight w:val="547"/>
          <w:jc w:val="center"/>
        </w:trPr>
        <w:tc>
          <w:tcPr>
            <w:tcW w:w="1440" w:type="dxa"/>
            <w:vMerge/>
          </w:tcPr>
          <w:p w:rsidRPr="00262FF5" w:rsidR="007E4578" w:rsidP="007E4578" w:rsidRDefault="007E4578" w14:paraId="7E9CAA00" w14:textId="77777777">
            <w:pPr>
              <w:keepNext/>
              <w:ind w:left="360"/>
              <w:rPr>
                <w:rFonts w:eastAsia="Times New Roman" w:cstheme="minorHAnsi"/>
                <w:color w:val="000000"/>
                <w:sz w:val="24"/>
                <w:szCs w:val="24"/>
              </w:rPr>
            </w:pPr>
          </w:p>
        </w:tc>
        <w:tc>
          <w:tcPr>
            <w:tcW w:w="1054" w:type="dxa"/>
          </w:tcPr>
          <w:p w:rsidRPr="00262FF5" w:rsidR="007E4578" w:rsidP="007E4578" w:rsidRDefault="007E4578" w14:paraId="5B32CA71" w14:textId="77777777">
            <w:pPr>
              <w:keepNext/>
              <w:rPr>
                <w:rFonts w:eastAsia="Times New Roman" w:cstheme="minorHAnsi"/>
                <w:color w:val="000000"/>
                <w:sz w:val="24"/>
                <w:szCs w:val="24"/>
              </w:rPr>
            </w:pPr>
            <w:r w:rsidRPr="00262FF5">
              <w:rPr>
                <w:sz w:val="24"/>
                <w:szCs w:val="24"/>
              </w:rPr>
              <w:t>Therms</w:t>
            </w:r>
          </w:p>
        </w:tc>
        <w:tc>
          <w:tcPr>
            <w:tcW w:w="1054" w:type="dxa"/>
            <w:noWrap/>
          </w:tcPr>
          <w:p w:rsidRPr="00262FF5" w:rsidR="007E4578" w:rsidP="007E4578" w:rsidRDefault="007E4578" w14:paraId="468D4869" w14:textId="77777777">
            <w:pPr>
              <w:keepNext/>
              <w:jc w:val="right"/>
              <w:rPr>
                <w:rFonts w:eastAsia="Times New Roman" w:cstheme="minorHAnsi"/>
                <w:color w:val="000000"/>
                <w:sz w:val="24"/>
                <w:szCs w:val="24"/>
              </w:rPr>
            </w:pPr>
            <w:r w:rsidRPr="00262FF5">
              <w:rPr>
                <w:rFonts w:cs="Calibri"/>
                <w:color w:val="000000" w:themeColor="text1"/>
                <w:sz w:val="24"/>
                <w:szCs w:val="24"/>
              </w:rPr>
              <w:t>47,735</w:t>
            </w:r>
          </w:p>
        </w:tc>
        <w:tc>
          <w:tcPr>
            <w:tcW w:w="1054" w:type="dxa"/>
            <w:noWrap/>
          </w:tcPr>
          <w:p w:rsidRPr="00262FF5" w:rsidR="007E4578" w:rsidP="007E4578" w:rsidRDefault="007E4578" w14:paraId="351FCB8C" w14:textId="2DB32515">
            <w:pPr>
              <w:keepNext/>
              <w:jc w:val="right"/>
              <w:rPr>
                <w:rFonts w:eastAsia="Times New Roman" w:cstheme="minorHAnsi"/>
                <w:color w:val="000000"/>
                <w:sz w:val="24"/>
                <w:szCs w:val="24"/>
              </w:rPr>
            </w:pPr>
            <w:r>
              <w:rPr>
                <w:rFonts w:cs="Calibri"/>
                <w:color w:val="000000" w:themeColor="text1"/>
                <w:sz w:val="24"/>
                <w:szCs w:val="24"/>
              </w:rPr>
              <w:t>46,389</w:t>
            </w:r>
          </w:p>
        </w:tc>
        <w:tc>
          <w:tcPr>
            <w:tcW w:w="1055" w:type="dxa"/>
            <w:noWrap/>
          </w:tcPr>
          <w:p w:rsidRPr="00262FF5" w:rsidR="007E4578" w:rsidP="007E4578" w:rsidRDefault="007E4578" w14:paraId="1FD086D0" w14:textId="77777777">
            <w:pPr>
              <w:keepNext/>
              <w:jc w:val="right"/>
              <w:rPr>
                <w:rFonts w:eastAsia="Times New Roman" w:cstheme="minorHAnsi"/>
                <w:color w:val="000000"/>
                <w:sz w:val="24"/>
                <w:szCs w:val="24"/>
              </w:rPr>
            </w:pPr>
            <w:r w:rsidRPr="00262FF5">
              <w:rPr>
                <w:rFonts w:cs="Calibri"/>
                <w:color w:val="000000" w:themeColor="text1"/>
                <w:sz w:val="24"/>
                <w:szCs w:val="24"/>
              </w:rPr>
              <w:t>49,829</w:t>
            </w:r>
          </w:p>
        </w:tc>
        <w:tc>
          <w:tcPr>
            <w:tcW w:w="1054" w:type="dxa"/>
            <w:noWrap/>
          </w:tcPr>
          <w:p w:rsidRPr="00262FF5" w:rsidR="007E4578" w:rsidP="007E4578" w:rsidRDefault="007E4578" w14:paraId="1DD0A1F2" w14:textId="77777777">
            <w:pPr>
              <w:keepNext/>
              <w:jc w:val="right"/>
              <w:rPr>
                <w:rFonts w:eastAsia="Times New Roman" w:cstheme="minorHAnsi"/>
                <w:color w:val="000000"/>
                <w:sz w:val="24"/>
                <w:szCs w:val="24"/>
              </w:rPr>
            </w:pPr>
            <w:r w:rsidRPr="00262FF5">
              <w:rPr>
                <w:rFonts w:cs="Calibri"/>
                <w:color w:val="000000" w:themeColor="text1"/>
                <w:sz w:val="24"/>
                <w:szCs w:val="24"/>
              </w:rPr>
              <w:t>51,242</w:t>
            </w:r>
          </w:p>
        </w:tc>
        <w:tc>
          <w:tcPr>
            <w:tcW w:w="1054" w:type="dxa"/>
            <w:noWrap/>
          </w:tcPr>
          <w:p w:rsidRPr="00262FF5" w:rsidR="007E4578" w:rsidP="007E4578" w:rsidRDefault="007E4578" w14:paraId="67E18638" w14:textId="77777777">
            <w:pPr>
              <w:keepNext/>
              <w:jc w:val="right"/>
              <w:rPr>
                <w:rFonts w:eastAsia="Times New Roman" w:cstheme="minorHAnsi"/>
                <w:color w:val="000000"/>
                <w:sz w:val="24"/>
                <w:szCs w:val="24"/>
              </w:rPr>
            </w:pPr>
            <w:r w:rsidRPr="00262FF5">
              <w:rPr>
                <w:rFonts w:cs="Calibri"/>
                <w:color w:val="000000" w:themeColor="text1"/>
                <w:sz w:val="24"/>
                <w:szCs w:val="24"/>
              </w:rPr>
              <w:t>56,068</w:t>
            </w:r>
          </w:p>
        </w:tc>
        <w:tc>
          <w:tcPr>
            <w:tcW w:w="1235" w:type="dxa"/>
            <w:noWrap/>
          </w:tcPr>
          <w:p w:rsidRPr="001E269A" w:rsidR="007E4578" w:rsidP="007E4578" w:rsidRDefault="007E4578" w14:paraId="51E71338" w14:textId="4CA2647B">
            <w:pPr>
              <w:keepNext/>
              <w:jc w:val="right"/>
              <w:rPr>
                <w:rFonts w:eastAsia="Times New Roman" w:cstheme="minorHAnsi"/>
                <w:color w:val="000000"/>
                <w:sz w:val="24"/>
                <w:szCs w:val="24"/>
              </w:rPr>
            </w:pPr>
            <w:r w:rsidRPr="00973C52">
              <w:rPr>
                <w:rFonts w:cs="Calibri"/>
                <w:color w:val="000000" w:themeColor="text1"/>
                <w:sz w:val="24"/>
                <w:szCs w:val="24"/>
              </w:rPr>
              <w:t>251,262</w:t>
            </w:r>
          </w:p>
        </w:tc>
      </w:tr>
    </w:tbl>
    <w:p w:rsidRPr="00292155" w:rsidR="008959A4" w:rsidP="00A65969" w:rsidRDefault="008959A4" w14:paraId="2FE131D0" w14:textId="77777777">
      <w:pPr>
        <w:keepNext/>
        <w:ind w:left="547"/>
        <w:rPr>
          <w:rFonts w:cstheme="minorBidi"/>
          <w:szCs w:val="22"/>
        </w:rPr>
      </w:pPr>
    </w:p>
    <w:p w:rsidRPr="00292155" w:rsidR="008959A4" w:rsidP="008959A4" w:rsidRDefault="008959A4" w14:paraId="6D40CA28" w14:textId="77777777">
      <w:pPr>
        <w:numPr>
          <w:ilvl w:val="0"/>
          <w:numId w:val="3"/>
        </w:numPr>
        <w:spacing w:line="360" w:lineRule="auto"/>
        <w:rPr>
          <w:rFonts w:cstheme="minorBidi"/>
          <w:szCs w:val="22"/>
        </w:rPr>
      </w:pPr>
      <w:r w:rsidRPr="00292155">
        <w:rPr>
          <w:rFonts w:cstheme="minorBidi"/>
          <w:szCs w:val="22"/>
        </w:rPr>
        <w:t>Southwest Gas Corporation must file a Tier 1 advice letter by December</w:t>
      </w:r>
      <w:r>
        <w:rPr>
          <w:rFonts w:cstheme="minorBidi"/>
          <w:szCs w:val="22"/>
        </w:rPr>
        <w:t> </w:t>
      </w:r>
      <w:r w:rsidRPr="00292155">
        <w:rPr>
          <w:rFonts w:cstheme="minorBidi"/>
          <w:szCs w:val="22"/>
        </w:rPr>
        <w:t>31,</w:t>
      </w:r>
      <w:r>
        <w:rPr>
          <w:rFonts w:cstheme="minorBidi"/>
          <w:szCs w:val="22"/>
        </w:rPr>
        <w:t> </w:t>
      </w:r>
      <w:r w:rsidRPr="00292155">
        <w:rPr>
          <w:rFonts w:cstheme="minorBidi"/>
          <w:szCs w:val="22"/>
        </w:rPr>
        <w:t xml:space="preserve">2021, with an update on its progress towards achieving the </w:t>
      </w:r>
      <w:r w:rsidRPr="00292155">
        <w:rPr>
          <w:rFonts w:cstheme="minorBidi"/>
          <w:szCs w:val="22"/>
        </w:rPr>
        <w:lastRenderedPageBreak/>
        <w:t>2020</w:t>
      </w:r>
      <w:r>
        <w:rPr>
          <w:rFonts w:cstheme="minorBidi"/>
          <w:szCs w:val="22"/>
        </w:rPr>
        <w:t> </w:t>
      </w:r>
      <w:r w:rsidRPr="00292155">
        <w:rPr>
          <w:rFonts w:cstheme="minorBidi"/>
          <w:szCs w:val="22"/>
        </w:rPr>
        <w:t>statutory goal and describe whether treatments during the 2021 bridge period and recalculation of eligible population using the Annual C</w:t>
      </w:r>
      <w:r>
        <w:rPr>
          <w:rFonts w:cstheme="minorBidi"/>
          <w:szCs w:val="22"/>
        </w:rPr>
        <w:t xml:space="preserve">alifornia </w:t>
      </w:r>
      <w:r w:rsidRPr="00292155">
        <w:rPr>
          <w:rFonts w:cstheme="minorBidi"/>
          <w:szCs w:val="22"/>
        </w:rPr>
        <w:t>A</w:t>
      </w:r>
      <w:r>
        <w:rPr>
          <w:rFonts w:cstheme="minorBidi"/>
          <w:szCs w:val="22"/>
        </w:rPr>
        <w:t xml:space="preserve">lternate </w:t>
      </w:r>
      <w:r w:rsidRPr="00292155">
        <w:rPr>
          <w:rFonts w:cstheme="minorBidi"/>
          <w:szCs w:val="22"/>
        </w:rPr>
        <w:t>R</w:t>
      </w:r>
      <w:r>
        <w:rPr>
          <w:rFonts w:cstheme="minorBidi"/>
          <w:szCs w:val="22"/>
        </w:rPr>
        <w:t xml:space="preserve">ates for </w:t>
      </w:r>
      <w:r w:rsidRPr="00292155">
        <w:rPr>
          <w:rFonts w:cstheme="minorBidi"/>
          <w:szCs w:val="22"/>
        </w:rPr>
        <w:t>E</w:t>
      </w:r>
      <w:r>
        <w:rPr>
          <w:rFonts w:cstheme="minorBidi"/>
          <w:szCs w:val="22"/>
        </w:rPr>
        <w:t>nergy</w:t>
      </w:r>
      <w:r w:rsidRPr="00292155">
        <w:rPr>
          <w:rFonts w:cstheme="minorBidi"/>
          <w:szCs w:val="22"/>
        </w:rPr>
        <w:t xml:space="preserve"> Eligibility Report data from the 2018-2019 study helped it achieve the final treatments necessary to meet this goal.</w:t>
      </w:r>
    </w:p>
    <w:p w:rsidRPr="00292155" w:rsidR="008959A4" w:rsidP="008959A4" w:rsidRDefault="008959A4" w14:paraId="69985950"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 must</w:t>
      </w:r>
      <w:r>
        <w:rPr>
          <w:rFonts w:cstheme="minorBidi"/>
          <w:szCs w:val="22"/>
        </w:rPr>
        <w:t xml:space="preserve"> each</w:t>
      </w:r>
      <w:r w:rsidRPr="00292155">
        <w:rPr>
          <w:rFonts w:cstheme="minorBidi"/>
          <w:szCs w:val="22"/>
        </w:rPr>
        <w:t xml:space="preserve"> use an average 0.7 Energy Savings Assistance Cost Effectiveness Test target for the portfolio level as a guideline when developing </w:t>
      </w:r>
      <w:r>
        <w:rPr>
          <w:rFonts w:cstheme="minorBidi"/>
          <w:szCs w:val="22"/>
        </w:rPr>
        <w:t>its</w:t>
      </w:r>
      <w:r w:rsidRPr="00292155">
        <w:rPr>
          <w:rFonts w:cstheme="minorBidi"/>
          <w:szCs w:val="22"/>
        </w:rPr>
        <w:t xml:space="preserve"> </w:t>
      </w:r>
      <w:r w:rsidRPr="00D75520">
        <w:rPr>
          <w:rFonts w:cstheme="minorBidi"/>
          <w:szCs w:val="22"/>
        </w:rPr>
        <w:t>Energy Savings Assistance</w:t>
      </w:r>
      <w:r w:rsidRPr="00292155">
        <w:rPr>
          <w:rFonts w:cstheme="minorBidi"/>
          <w:szCs w:val="22"/>
        </w:rPr>
        <w:t xml:space="preserve"> portfolio measure mix each program year. </w:t>
      </w:r>
    </w:p>
    <w:p w:rsidRPr="00292155" w:rsidR="008959A4" w:rsidP="008959A4" w:rsidRDefault="008959A4" w14:paraId="14A74AC6"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Corporation’s Energy Savings Assistance program marketing, education, outreach and leveraging strategies are approved, with additional reporting requirements (per the reporting template to be developed and issued by Energy Division staff). </w:t>
      </w:r>
    </w:p>
    <w:p w:rsidRPr="00292155" w:rsidR="008959A4" w:rsidP="008959A4" w:rsidRDefault="008959A4" w14:paraId="70EC594E"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and Southwest Gas Corporation must consider prioritizing the following customer segments for marketing, education, outreach, and treatment. </w:t>
      </w:r>
    </w:p>
    <w:tbl>
      <w:tblPr>
        <w:tblW w:w="100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3"/>
        <w:gridCol w:w="2700"/>
        <w:gridCol w:w="2520"/>
        <w:gridCol w:w="2700"/>
      </w:tblGrid>
      <w:tr w:rsidRPr="002A788C" w:rsidR="008959A4" w:rsidTr="00717A84" w14:paraId="7F8691A4" w14:textId="77777777">
        <w:trPr>
          <w:trHeight w:val="176"/>
        </w:trPr>
        <w:tc>
          <w:tcPr>
            <w:tcW w:w="2083" w:type="dxa"/>
          </w:tcPr>
          <w:p w:rsidRPr="002A788C" w:rsidR="008959A4" w:rsidP="00717A84" w:rsidRDefault="008959A4" w14:paraId="362AFB33" w14:textId="77777777">
            <w:pPr>
              <w:keepNext/>
              <w:keepLines/>
              <w:autoSpaceDE w:val="0"/>
              <w:autoSpaceDN w:val="0"/>
              <w:adjustRightInd w:val="0"/>
              <w:spacing w:line="360" w:lineRule="auto"/>
              <w:rPr>
                <w:b/>
                <w:bCs/>
              </w:rPr>
            </w:pPr>
            <w:r w:rsidRPr="00EC2CBD">
              <w:rPr>
                <w:rFonts w:eastAsia="Times New Roman"/>
                <w:b/>
                <w:bCs/>
                <w:szCs w:val="26"/>
              </w:rPr>
              <w:lastRenderedPageBreak/>
              <w:t>Demographic</w:t>
            </w:r>
          </w:p>
        </w:tc>
        <w:tc>
          <w:tcPr>
            <w:tcW w:w="2700" w:type="dxa"/>
          </w:tcPr>
          <w:p w:rsidRPr="002A788C" w:rsidR="008959A4" w:rsidP="00717A84" w:rsidRDefault="008959A4" w14:paraId="29F3A2BA" w14:textId="77777777">
            <w:pPr>
              <w:keepNext/>
              <w:keepLines/>
              <w:autoSpaceDE w:val="0"/>
              <w:autoSpaceDN w:val="0"/>
              <w:adjustRightInd w:val="0"/>
              <w:spacing w:line="360" w:lineRule="auto"/>
              <w:rPr>
                <w:b/>
                <w:bCs/>
              </w:rPr>
            </w:pPr>
            <w:r w:rsidRPr="002A788C">
              <w:rPr>
                <w:b/>
                <w:bCs/>
              </w:rPr>
              <w:t xml:space="preserve">By Financials </w:t>
            </w:r>
          </w:p>
        </w:tc>
        <w:tc>
          <w:tcPr>
            <w:tcW w:w="2520" w:type="dxa"/>
          </w:tcPr>
          <w:p w:rsidRPr="002A788C" w:rsidR="008959A4" w:rsidP="00717A84" w:rsidRDefault="008959A4" w14:paraId="02B69330" w14:textId="77777777">
            <w:pPr>
              <w:keepNext/>
              <w:keepLines/>
              <w:autoSpaceDE w:val="0"/>
              <w:autoSpaceDN w:val="0"/>
              <w:adjustRightInd w:val="0"/>
              <w:spacing w:line="360" w:lineRule="auto"/>
              <w:rPr>
                <w:b/>
                <w:bCs/>
              </w:rPr>
            </w:pPr>
            <w:r w:rsidRPr="002A788C">
              <w:rPr>
                <w:b/>
                <w:bCs/>
              </w:rPr>
              <w:t xml:space="preserve">By Location </w:t>
            </w:r>
          </w:p>
        </w:tc>
        <w:tc>
          <w:tcPr>
            <w:tcW w:w="2700" w:type="dxa"/>
          </w:tcPr>
          <w:p w:rsidRPr="002A788C" w:rsidR="008959A4" w:rsidP="00717A84" w:rsidRDefault="008959A4" w14:paraId="31395535" w14:textId="77777777">
            <w:pPr>
              <w:keepNext/>
              <w:keepLines/>
              <w:autoSpaceDE w:val="0"/>
              <w:autoSpaceDN w:val="0"/>
              <w:adjustRightInd w:val="0"/>
              <w:spacing w:line="360" w:lineRule="auto"/>
              <w:rPr>
                <w:b/>
                <w:bCs/>
              </w:rPr>
            </w:pPr>
            <w:r w:rsidRPr="002A788C">
              <w:rPr>
                <w:b/>
                <w:bCs/>
              </w:rPr>
              <w:t xml:space="preserve">By Health Condition </w:t>
            </w:r>
          </w:p>
        </w:tc>
      </w:tr>
      <w:tr w:rsidRPr="002A788C" w:rsidR="008959A4" w:rsidTr="00717A84" w14:paraId="019AEB89" w14:textId="77777777">
        <w:trPr>
          <w:trHeight w:val="175"/>
        </w:trPr>
        <w:tc>
          <w:tcPr>
            <w:tcW w:w="2083" w:type="dxa"/>
          </w:tcPr>
          <w:p w:rsidRPr="002A788C" w:rsidR="008959A4" w:rsidP="00717A84" w:rsidRDefault="008959A4" w14:paraId="688E4B0B" w14:textId="77777777">
            <w:pPr>
              <w:keepNext/>
              <w:keepLines/>
              <w:autoSpaceDE w:val="0"/>
              <w:autoSpaceDN w:val="0"/>
              <w:adjustRightInd w:val="0"/>
            </w:pPr>
            <w:r w:rsidRPr="00EC2CBD">
              <w:rPr>
                <w:rFonts w:eastAsia="Times New Roman"/>
                <w:szCs w:val="26"/>
              </w:rPr>
              <w:t>Housing type</w:t>
            </w:r>
          </w:p>
        </w:tc>
        <w:tc>
          <w:tcPr>
            <w:tcW w:w="2700" w:type="dxa"/>
          </w:tcPr>
          <w:p w:rsidRPr="002A788C" w:rsidR="008959A4" w:rsidP="00717A84" w:rsidRDefault="008959A4" w14:paraId="35E1D89D" w14:textId="77777777">
            <w:pPr>
              <w:keepNext/>
              <w:keepLines/>
              <w:autoSpaceDE w:val="0"/>
              <w:autoSpaceDN w:val="0"/>
              <w:adjustRightInd w:val="0"/>
            </w:pPr>
            <w:r w:rsidRPr="002A788C">
              <w:t>C</w:t>
            </w:r>
            <w:r>
              <w:t xml:space="preserve">alifornia </w:t>
            </w:r>
            <w:r w:rsidRPr="002A788C">
              <w:t>A</w:t>
            </w:r>
            <w:r>
              <w:t xml:space="preserve">lternate </w:t>
            </w:r>
            <w:r w:rsidRPr="002A788C">
              <w:t>R</w:t>
            </w:r>
            <w:r>
              <w:t xml:space="preserve">ates for </w:t>
            </w:r>
            <w:r w:rsidRPr="002A788C">
              <w:t>E</w:t>
            </w:r>
            <w:r>
              <w:t>nergy</w:t>
            </w:r>
            <w:r w:rsidRPr="002A788C">
              <w:t xml:space="preserve"> </w:t>
            </w:r>
          </w:p>
        </w:tc>
        <w:tc>
          <w:tcPr>
            <w:tcW w:w="2520" w:type="dxa"/>
          </w:tcPr>
          <w:p w:rsidRPr="002A788C" w:rsidR="008959A4" w:rsidP="00717A84" w:rsidRDefault="008959A4" w14:paraId="343FBCED" w14:textId="77777777">
            <w:pPr>
              <w:keepNext/>
              <w:keepLines/>
              <w:autoSpaceDE w:val="0"/>
              <w:autoSpaceDN w:val="0"/>
              <w:adjustRightInd w:val="0"/>
            </w:pPr>
            <w:r w:rsidRPr="002A788C">
              <w:t>D</w:t>
            </w:r>
            <w:r>
              <w:t xml:space="preserve">isadvantaged </w:t>
            </w:r>
            <w:r w:rsidRPr="002A788C">
              <w:t>C</w:t>
            </w:r>
            <w:r>
              <w:t>ommunities</w:t>
            </w:r>
            <w:r w:rsidRPr="002A788C">
              <w:t xml:space="preserve"> </w:t>
            </w:r>
          </w:p>
        </w:tc>
        <w:tc>
          <w:tcPr>
            <w:tcW w:w="2700" w:type="dxa"/>
          </w:tcPr>
          <w:p w:rsidRPr="002A788C" w:rsidR="008959A4" w:rsidP="00717A84" w:rsidRDefault="008959A4" w14:paraId="0C3FAB4A" w14:textId="77777777">
            <w:pPr>
              <w:keepNext/>
              <w:keepLines/>
              <w:autoSpaceDE w:val="0"/>
              <w:autoSpaceDN w:val="0"/>
              <w:adjustRightInd w:val="0"/>
            </w:pPr>
            <w:r w:rsidRPr="002A788C">
              <w:t xml:space="preserve">Medical Baseline </w:t>
            </w:r>
          </w:p>
        </w:tc>
      </w:tr>
      <w:tr w:rsidRPr="002A788C" w:rsidR="008959A4" w:rsidTr="00717A84" w14:paraId="687D119D" w14:textId="77777777">
        <w:trPr>
          <w:trHeight w:val="175"/>
        </w:trPr>
        <w:tc>
          <w:tcPr>
            <w:tcW w:w="2083" w:type="dxa"/>
          </w:tcPr>
          <w:p w:rsidRPr="002A788C" w:rsidR="008959A4" w:rsidP="00717A84" w:rsidRDefault="008959A4" w14:paraId="2F4A9C58" w14:textId="77777777">
            <w:pPr>
              <w:keepNext/>
              <w:keepLines/>
              <w:autoSpaceDE w:val="0"/>
              <w:autoSpaceDN w:val="0"/>
              <w:adjustRightInd w:val="0"/>
            </w:pPr>
            <w:r w:rsidRPr="00EC2CBD">
              <w:rPr>
                <w:rFonts w:eastAsia="Times New Roman"/>
                <w:szCs w:val="26"/>
              </w:rPr>
              <w:t>Rent vs Own</w:t>
            </w:r>
          </w:p>
        </w:tc>
        <w:tc>
          <w:tcPr>
            <w:tcW w:w="2700" w:type="dxa"/>
          </w:tcPr>
          <w:p w:rsidRPr="002A788C" w:rsidR="008959A4" w:rsidP="00717A84" w:rsidRDefault="008959A4" w14:paraId="5C5CB0F0" w14:textId="77777777">
            <w:pPr>
              <w:keepNext/>
              <w:keepLines/>
              <w:autoSpaceDE w:val="0"/>
              <w:autoSpaceDN w:val="0"/>
              <w:adjustRightInd w:val="0"/>
            </w:pPr>
            <w:r w:rsidRPr="002A788C">
              <w:t xml:space="preserve">Disconnected </w:t>
            </w:r>
          </w:p>
        </w:tc>
        <w:tc>
          <w:tcPr>
            <w:tcW w:w="2520" w:type="dxa"/>
          </w:tcPr>
          <w:p w:rsidRPr="002A788C" w:rsidR="008959A4" w:rsidP="00717A84" w:rsidRDefault="008959A4" w14:paraId="6AFCCBC7" w14:textId="77777777">
            <w:pPr>
              <w:keepNext/>
              <w:keepLines/>
              <w:autoSpaceDE w:val="0"/>
              <w:autoSpaceDN w:val="0"/>
              <w:adjustRightInd w:val="0"/>
            </w:pPr>
            <w:r w:rsidRPr="002A788C">
              <w:t xml:space="preserve">Rural </w:t>
            </w:r>
          </w:p>
        </w:tc>
        <w:tc>
          <w:tcPr>
            <w:tcW w:w="2700" w:type="dxa"/>
          </w:tcPr>
          <w:p w:rsidRPr="002A788C" w:rsidR="008959A4" w:rsidP="00717A84" w:rsidRDefault="008959A4" w14:paraId="7F2278B1" w14:textId="77777777">
            <w:pPr>
              <w:keepNext/>
              <w:keepLines/>
              <w:autoSpaceDE w:val="0"/>
              <w:autoSpaceDN w:val="0"/>
              <w:adjustRightInd w:val="0"/>
            </w:pPr>
            <w:r w:rsidRPr="002A788C">
              <w:t xml:space="preserve">Respiratory </w:t>
            </w:r>
          </w:p>
        </w:tc>
      </w:tr>
      <w:tr w:rsidRPr="002A788C" w:rsidR="008959A4" w:rsidTr="00717A84" w14:paraId="5A34B1C3" w14:textId="77777777">
        <w:trPr>
          <w:trHeight w:val="175"/>
        </w:trPr>
        <w:tc>
          <w:tcPr>
            <w:tcW w:w="2083" w:type="dxa"/>
          </w:tcPr>
          <w:p w:rsidRPr="002A788C" w:rsidR="008959A4" w:rsidP="00717A84" w:rsidRDefault="008959A4" w14:paraId="2119A2DB" w14:textId="77777777">
            <w:pPr>
              <w:keepNext/>
              <w:keepLines/>
              <w:autoSpaceDE w:val="0"/>
              <w:autoSpaceDN w:val="0"/>
              <w:adjustRightInd w:val="0"/>
            </w:pPr>
            <w:r w:rsidRPr="00EC2CBD">
              <w:rPr>
                <w:rFonts w:eastAsia="Times New Roman"/>
                <w:szCs w:val="26"/>
              </w:rPr>
              <w:t>Previous vs new participant</w:t>
            </w:r>
          </w:p>
        </w:tc>
        <w:tc>
          <w:tcPr>
            <w:tcW w:w="2700" w:type="dxa"/>
          </w:tcPr>
          <w:p w:rsidRPr="002A788C" w:rsidR="008959A4" w:rsidP="00717A84" w:rsidRDefault="008959A4" w14:paraId="6F8977D5" w14:textId="77777777">
            <w:pPr>
              <w:keepNext/>
              <w:keepLines/>
              <w:autoSpaceDE w:val="0"/>
              <w:autoSpaceDN w:val="0"/>
              <w:adjustRightInd w:val="0"/>
            </w:pPr>
            <w:r w:rsidRPr="002A788C">
              <w:t xml:space="preserve">Arrearages </w:t>
            </w:r>
          </w:p>
        </w:tc>
        <w:tc>
          <w:tcPr>
            <w:tcW w:w="2520" w:type="dxa"/>
          </w:tcPr>
          <w:p w:rsidRPr="002A788C" w:rsidR="008959A4" w:rsidP="00717A84" w:rsidRDefault="008959A4" w14:paraId="07C72323" w14:textId="77777777">
            <w:pPr>
              <w:keepNext/>
              <w:keepLines/>
              <w:autoSpaceDE w:val="0"/>
              <w:autoSpaceDN w:val="0"/>
              <w:adjustRightInd w:val="0"/>
            </w:pPr>
            <w:r w:rsidRPr="002A788C">
              <w:t xml:space="preserve">Tribal </w:t>
            </w:r>
          </w:p>
        </w:tc>
        <w:tc>
          <w:tcPr>
            <w:tcW w:w="2700" w:type="dxa"/>
          </w:tcPr>
          <w:p w:rsidRPr="002A788C" w:rsidR="008959A4" w:rsidP="00717A84" w:rsidRDefault="008959A4" w14:paraId="7D9BB9D2" w14:textId="77777777">
            <w:pPr>
              <w:keepNext/>
              <w:keepLines/>
              <w:autoSpaceDE w:val="0"/>
              <w:autoSpaceDN w:val="0"/>
              <w:adjustRightInd w:val="0"/>
            </w:pPr>
            <w:r w:rsidRPr="002A788C">
              <w:t xml:space="preserve">Disabled </w:t>
            </w:r>
          </w:p>
        </w:tc>
      </w:tr>
      <w:tr w:rsidRPr="002A788C" w:rsidR="008959A4" w:rsidTr="00717A84" w14:paraId="17F21753" w14:textId="77777777">
        <w:trPr>
          <w:trHeight w:val="175"/>
        </w:trPr>
        <w:tc>
          <w:tcPr>
            <w:tcW w:w="2083" w:type="dxa"/>
          </w:tcPr>
          <w:p w:rsidRPr="002A788C" w:rsidR="008959A4" w:rsidP="00717A84" w:rsidRDefault="008959A4" w14:paraId="32946513" w14:textId="77777777">
            <w:pPr>
              <w:keepNext/>
              <w:keepLines/>
              <w:autoSpaceDE w:val="0"/>
              <w:autoSpaceDN w:val="0"/>
              <w:adjustRightInd w:val="0"/>
            </w:pPr>
            <w:r w:rsidRPr="00EC2CBD">
              <w:rPr>
                <w:rFonts w:eastAsia="Times New Roman"/>
                <w:szCs w:val="26"/>
              </w:rPr>
              <w:t>Seniors</w:t>
            </w:r>
          </w:p>
        </w:tc>
        <w:tc>
          <w:tcPr>
            <w:tcW w:w="2700" w:type="dxa"/>
          </w:tcPr>
          <w:p w:rsidRPr="002A788C" w:rsidR="008959A4" w:rsidP="00717A84" w:rsidRDefault="008959A4" w14:paraId="01F65E93" w14:textId="77777777">
            <w:pPr>
              <w:keepNext/>
              <w:keepLines/>
              <w:autoSpaceDE w:val="0"/>
              <w:autoSpaceDN w:val="0"/>
              <w:adjustRightInd w:val="0"/>
            </w:pPr>
            <w:r w:rsidRPr="002A788C">
              <w:t xml:space="preserve">High usage </w:t>
            </w:r>
          </w:p>
        </w:tc>
        <w:tc>
          <w:tcPr>
            <w:tcW w:w="2520" w:type="dxa"/>
          </w:tcPr>
          <w:p w:rsidRPr="002A788C" w:rsidR="008959A4" w:rsidP="00717A84" w:rsidRDefault="008959A4" w14:paraId="6396EA9E" w14:textId="77777777">
            <w:pPr>
              <w:keepNext/>
              <w:keepLines/>
              <w:autoSpaceDE w:val="0"/>
              <w:autoSpaceDN w:val="0"/>
              <w:adjustRightInd w:val="0"/>
            </w:pPr>
            <w:r w:rsidRPr="00633F97">
              <w:t>Public Safety Power Shutoff</w:t>
            </w:r>
            <w:r w:rsidRPr="00633F97" w:rsidDel="00633F97">
              <w:t xml:space="preserve"> </w:t>
            </w:r>
            <w:r w:rsidRPr="002A788C">
              <w:t xml:space="preserve">Zone </w:t>
            </w:r>
          </w:p>
        </w:tc>
        <w:tc>
          <w:tcPr>
            <w:tcW w:w="2700" w:type="dxa"/>
          </w:tcPr>
          <w:p w:rsidRPr="002A788C" w:rsidR="008959A4" w:rsidP="00717A84" w:rsidRDefault="008959A4" w14:paraId="2FB3989A" w14:textId="77777777">
            <w:pPr>
              <w:keepNext/>
              <w:keepLines/>
              <w:autoSpaceDE w:val="0"/>
              <w:autoSpaceDN w:val="0"/>
              <w:adjustRightInd w:val="0"/>
            </w:pPr>
          </w:p>
        </w:tc>
      </w:tr>
      <w:tr w:rsidRPr="002A788C" w:rsidR="008959A4" w:rsidTr="00717A84" w14:paraId="7ECE1B24" w14:textId="77777777">
        <w:trPr>
          <w:trHeight w:val="175"/>
        </w:trPr>
        <w:tc>
          <w:tcPr>
            <w:tcW w:w="2083" w:type="dxa"/>
          </w:tcPr>
          <w:p w:rsidRPr="002A788C" w:rsidR="008959A4" w:rsidP="00717A84" w:rsidRDefault="008959A4" w14:paraId="3D759AA7" w14:textId="77777777">
            <w:pPr>
              <w:keepNext/>
              <w:keepLines/>
              <w:autoSpaceDE w:val="0"/>
              <w:autoSpaceDN w:val="0"/>
              <w:adjustRightInd w:val="0"/>
            </w:pPr>
            <w:r w:rsidRPr="00EC2CBD">
              <w:rPr>
                <w:rFonts w:eastAsia="Times New Roman"/>
                <w:szCs w:val="26"/>
              </w:rPr>
              <w:t>Veterans</w:t>
            </w:r>
          </w:p>
        </w:tc>
        <w:tc>
          <w:tcPr>
            <w:tcW w:w="2700" w:type="dxa"/>
          </w:tcPr>
          <w:p w:rsidRPr="002A788C" w:rsidR="008959A4" w:rsidP="00717A84" w:rsidRDefault="008959A4" w14:paraId="63BAC7CA" w14:textId="77777777">
            <w:pPr>
              <w:keepNext/>
              <w:keepLines/>
              <w:autoSpaceDE w:val="0"/>
              <w:autoSpaceDN w:val="0"/>
              <w:adjustRightInd w:val="0"/>
            </w:pPr>
            <w:r w:rsidRPr="002A788C">
              <w:t xml:space="preserve">High energy burden </w:t>
            </w:r>
          </w:p>
        </w:tc>
        <w:tc>
          <w:tcPr>
            <w:tcW w:w="2520" w:type="dxa"/>
          </w:tcPr>
          <w:p w:rsidRPr="002A788C" w:rsidR="008959A4" w:rsidP="00717A84" w:rsidRDefault="008959A4" w14:paraId="0F8F8965" w14:textId="77777777">
            <w:pPr>
              <w:keepNext/>
              <w:keepLines/>
              <w:autoSpaceDE w:val="0"/>
              <w:autoSpaceDN w:val="0"/>
              <w:adjustRightInd w:val="0"/>
            </w:pPr>
            <w:r w:rsidRPr="002A788C">
              <w:t xml:space="preserve">Wildfire Zone </w:t>
            </w:r>
          </w:p>
        </w:tc>
        <w:tc>
          <w:tcPr>
            <w:tcW w:w="2700" w:type="dxa"/>
          </w:tcPr>
          <w:p w:rsidRPr="002A788C" w:rsidR="008959A4" w:rsidP="00717A84" w:rsidRDefault="008959A4" w14:paraId="1096A895" w14:textId="77777777">
            <w:pPr>
              <w:keepNext/>
              <w:keepLines/>
              <w:autoSpaceDE w:val="0"/>
              <w:autoSpaceDN w:val="0"/>
              <w:adjustRightInd w:val="0"/>
            </w:pPr>
          </w:p>
        </w:tc>
      </w:tr>
      <w:tr w:rsidRPr="002A788C" w:rsidR="008959A4" w:rsidTr="00717A84" w14:paraId="19747B18" w14:textId="77777777">
        <w:trPr>
          <w:trHeight w:val="175"/>
        </w:trPr>
        <w:tc>
          <w:tcPr>
            <w:tcW w:w="2083" w:type="dxa"/>
          </w:tcPr>
          <w:p w:rsidRPr="002A788C" w:rsidR="008959A4" w:rsidP="00717A84" w:rsidRDefault="008959A4" w14:paraId="43F42B10" w14:textId="77777777">
            <w:pPr>
              <w:keepNext/>
              <w:keepLines/>
              <w:autoSpaceDE w:val="0"/>
              <w:autoSpaceDN w:val="0"/>
              <w:adjustRightInd w:val="0"/>
            </w:pPr>
            <w:r w:rsidRPr="00EC2CBD">
              <w:rPr>
                <w:rFonts w:eastAsia="Times New Roman"/>
                <w:szCs w:val="26"/>
              </w:rPr>
              <w:t>Hard-to-reach</w:t>
            </w:r>
          </w:p>
        </w:tc>
        <w:tc>
          <w:tcPr>
            <w:tcW w:w="2700" w:type="dxa"/>
          </w:tcPr>
          <w:p w:rsidRPr="002A788C" w:rsidR="008959A4" w:rsidP="00717A84" w:rsidRDefault="008959A4" w14:paraId="0924EFBD" w14:textId="77777777">
            <w:pPr>
              <w:keepNext/>
              <w:keepLines/>
              <w:autoSpaceDE w:val="0"/>
              <w:autoSpaceDN w:val="0"/>
              <w:adjustRightInd w:val="0"/>
            </w:pPr>
            <w:r>
              <w:t>Socioeconomic Vulnerability Index Communities</w:t>
            </w:r>
          </w:p>
        </w:tc>
        <w:tc>
          <w:tcPr>
            <w:tcW w:w="2520" w:type="dxa"/>
          </w:tcPr>
          <w:p w:rsidRPr="002A788C" w:rsidR="008959A4" w:rsidP="00717A84" w:rsidRDefault="008959A4" w14:paraId="690DE0DA" w14:textId="77777777">
            <w:pPr>
              <w:keepNext/>
              <w:keepLines/>
              <w:autoSpaceDE w:val="0"/>
              <w:autoSpaceDN w:val="0"/>
              <w:adjustRightInd w:val="0"/>
            </w:pPr>
            <w:r w:rsidRPr="002A788C">
              <w:t xml:space="preserve">Climate Zone </w:t>
            </w:r>
          </w:p>
        </w:tc>
        <w:tc>
          <w:tcPr>
            <w:tcW w:w="2700" w:type="dxa"/>
          </w:tcPr>
          <w:p w:rsidRPr="002A788C" w:rsidR="008959A4" w:rsidP="00717A84" w:rsidRDefault="008959A4" w14:paraId="5477F811" w14:textId="77777777">
            <w:pPr>
              <w:keepNext/>
              <w:keepLines/>
              <w:autoSpaceDE w:val="0"/>
              <w:autoSpaceDN w:val="0"/>
              <w:adjustRightInd w:val="0"/>
            </w:pPr>
          </w:p>
        </w:tc>
      </w:tr>
      <w:tr w:rsidRPr="002A788C" w:rsidR="008959A4" w:rsidTr="00717A84" w14:paraId="1DE35D5C" w14:textId="77777777">
        <w:trPr>
          <w:trHeight w:val="175"/>
        </w:trPr>
        <w:tc>
          <w:tcPr>
            <w:tcW w:w="2083" w:type="dxa"/>
          </w:tcPr>
          <w:p w:rsidRPr="002A788C" w:rsidR="008959A4" w:rsidP="00717A84" w:rsidRDefault="008959A4" w14:paraId="24A3162C" w14:textId="77777777">
            <w:pPr>
              <w:keepNext/>
              <w:keepLines/>
              <w:autoSpaceDE w:val="0"/>
              <w:autoSpaceDN w:val="0"/>
              <w:adjustRightInd w:val="0"/>
            </w:pPr>
            <w:r w:rsidRPr="00EC2CBD">
              <w:rPr>
                <w:rFonts w:eastAsia="Times New Roman"/>
                <w:szCs w:val="26"/>
              </w:rPr>
              <w:t>Vulnerable</w:t>
            </w:r>
          </w:p>
        </w:tc>
        <w:tc>
          <w:tcPr>
            <w:tcW w:w="2700" w:type="dxa"/>
          </w:tcPr>
          <w:p w:rsidRPr="002A788C" w:rsidR="008959A4" w:rsidP="00717A84" w:rsidRDefault="008959A4" w14:paraId="1F965048" w14:textId="77777777">
            <w:pPr>
              <w:keepNext/>
              <w:keepLines/>
              <w:autoSpaceDE w:val="0"/>
              <w:autoSpaceDN w:val="0"/>
              <w:adjustRightInd w:val="0"/>
            </w:pPr>
            <w:r w:rsidRPr="002A788C">
              <w:t xml:space="preserve">Affordability Ratio </w:t>
            </w:r>
          </w:p>
        </w:tc>
        <w:tc>
          <w:tcPr>
            <w:tcW w:w="2520" w:type="dxa"/>
          </w:tcPr>
          <w:p w:rsidRPr="002A788C" w:rsidR="008959A4" w:rsidP="00717A84" w:rsidRDefault="008959A4" w14:paraId="649299C5" w14:textId="77777777">
            <w:pPr>
              <w:keepNext/>
              <w:keepLines/>
              <w:autoSpaceDE w:val="0"/>
              <w:autoSpaceDN w:val="0"/>
              <w:adjustRightInd w:val="0"/>
            </w:pPr>
            <w:r w:rsidRPr="002A788C">
              <w:t>C</w:t>
            </w:r>
            <w:r>
              <w:t xml:space="preserve">alifornia </w:t>
            </w:r>
            <w:r w:rsidRPr="002A788C">
              <w:t>A</w:t>
            </w:r>
            <w:r>
              <w:t xml:space="preserve">ir </w:t>
            </w:r>
            <w:r w:rsidRPr="002A788C">
              <w:t>R</w:t>
            </w:r>
            <w:r>
              <w:t xml:space="preserve">esources </w:t>
            </w:r>
            <w:r w:rsidRPr="002A788C">
              <w:t>B</w:t>
            </w:r>
            <w:r>
              <w:t xml:space="preserve">oard </w:t>
            </w:r>
            <w:r w:rsidRPr="002A788C">
              <w:t xml:space="preserve">communities </w:t>
            </w:r>
          </w:p>
        </w:tc>
        <w:tc>
          <w:tcPr>
            <w:tcW w:w="2700" w:type="dxa"/>
          </w:tcPr>
          <w:p w:rsidRPr="002A788C" w:rsidR="008959A4" w:rsidP="00717A84" w:rsidRDefault="008959A4" w14:paraId="6721FC92" w14:textId="77777777">
            <w:pPr>
              <w:keepNext/>
              <w:keepLines/>
              <w:autoSpaceDE w:val="0"/>
              <w:autoSpaceDN w:val="0"/>
              <w:adjustRightInd w:val="0"/>
            </w:pPr>
          </w:p>
        </w:tc>
      </w:tr>
    </w:tbl>
    <w:p w:rsidRPr="00292155" w:rsidR="008959A4" w:rsidP="008959A4" w:rsidRDefault="008959A4" w14:paraId="3681509D" w14:textId="77777777">
      <w:pPr>
        <w:numPr>
          <w:ilvl w:val="0"/>
          <w:numId w:val="3"/>
        </w:numPr>
        <w:spacing w:before="240" w:line="360" w:lineRule="auto"/>
        <w:ind w:firstLine="547"/>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 xml:space="preserve">LLC, PacifiCorp, Southwest Gas Corporation, and West Coast Gas Company must hold a public workshop, within 120 days after the </w:t>
      </w:r>
      <w:r>
        <w:rPr>
          <w:rFonts w:cstheme="minorBidi"/>
          <w:szCs w:val="22"/>
        </w:rPr>
        <w:t>effective date</w:t>
      </w:r>
      <w:r w:rsidRPr="00292155">
        <w:rPr>
          <w:rFonts w:cstheme="minorBidi"/>
          <w:szCs w:val="22"/>
        </w:rPr>
        <w:t xml:space="preserve"> of </w:t>
      </w:r>
      <w:r>
        <w:rPr>
          <w:rFonts w:cstheme="minorBidi"/>
          <w:szCs w:val="22"/>
        </w:rPr>
        <w:t>this</w:t>
      </w:r>
      <w:r w:rsidRPr="00292155">
        <w:rPr>
          <w:rFonts w:cstheme="minorBidi"/>
          <w:szCs w:val="22"/>
        </w:rPr>
        <w:t xml:space="preserve"> decision, to discuss program leveraging opportunities and best practices for the utilities’ service territories. </w:t>
      </w:r>
      <w:r>
        <w:rPr>
          <w:rFonts w:cstheme="minorBidi"/>
          <w:szCs w:val="22"/>
        </w:rPr>
        <w:t xml:space="preserve"> </w:t>
      </w:r>
      <w:r w:rsidRPr="00292155">
        <w:rPr>
          <w:rFonts w:cstheme="minorBidi"/>
          <w:szCs w:val="22"/>
        </w:rPr>
        <w:t xml:space="preserve">The </w:t>
      </w:r>
      <w:r>
        <w:rPr>
          <w:rFonts w:cstheme="minorBidi"/>
          <w:szCs w:val="22"/>
        </w:rPr>
        <w:t xml:space="preserve">small and multijurisdictional </w:t>
      </w:r>
      <w:r w:rsidRPr="00292155">
        <w:rPr>
          <w:rFonts w:cstheme="minorBidi"/>
          <w:szCs w:val="22"/>
        </w:rPr>
        <w:t>utilities must distribute a written summary of this meeting along with the slides presented to the relevant service list 30 days after this workshop.</w:t>
      </w:r>
    </w:p>
    <w:p w:rsidRPr="00292155" w:rsidR="008959A4" w:rsidP="008959A4" w:rsidRDefault="008959A4" w14:paraId="19FE67BC"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 must modify the policy related to background checks for the Energy Savings Assistance program to be consistent with the current direction for energy efficiency contractors as ordered in Decision (D.) 18-10-008 and corrected in D.19</w:t>
      </w:r>
      <w:r w:rsidRPr="00292155">
        <w:rPr>
          <w:rFonts w:cstheme="minorBidi"/>
          <w:szCs w:val="22"/>
        </w:rPr>
        <w:noBreakHyphen/>
        <w:t xml:space="preserve">07-016.  </w:t>
      </w:r>
    </w:p>
    <w:p w:rsidRPr="00292155" w:rsidR="008959A4" w:rsidP="008959A4" w:rsidRDefault="008959A4" w14:paraId="4FDE62D3" w14:textId="77777777">
      <w:pPr>
        <w:numPr>
          <w:ilvl w:val="0"/>
          <w:numId w:val="3"/>
        </w:numPr>
        <w:spacing w:line="360" w:lineRule="auto"/>
        <w:rPr>
          <w:rFonts w:cstheme="minorBidi"/>
          <w:szCs w:val="22"/>
        </w:rPr>
      </w:pPr>
      <w:r w:rsidRPr="00292155">
        <w:rPr>
          <w:rFonts w:cstheme="minorBidi"/>
          <w:szCs w:val="22"/>
        </w:rPr>
        <w:lastRenderedPageBreak/>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 must</w:t>
      </w:r>
      <w:r>
        <w:rPr>
          <w:rFonts w:cstheme="minorBidi"/>
          <w:szCs w:val="22"/>
        </w:rPr>
        <w:t xml:space="preserve"> each</w:t>
      </w:r>
      <w:r w:rsidRPr="00292155">
        <w:rPr>
          <w:rFonts w:cstheme="minorBidi"/>
          <w:szCs w:val="22"/>
        </w:rPr>
        <w:t xml:space="preserve"> include the following changes in their agreements with Energy Savings Assistance program contractors: requiring standard term background checks of third-party employees or representatives who have direct contact with Utility facilities or assets, and/or </w:t>
      </w:r>
      <w:r>
        <w:rPr>
          <w:rFonts w:cstheme="minorBidi"/>
          <w:szCs w:val="22"/>
        </w:rPr>
        <w:t xml:space="preserve">access </w:t>
      </w:r>
      <w:r w:rsidRPr="00292155">
        <w:rPr>
          <w:rFonts w:cstheme="minorBidi"/>
          <w:szCs w:val="22"/>
        </w:rPr>
        <w:t xml:space="preserve"> to customer premises, where an individual’s court record for the seven-year period immediately preceding the individual’s date of hire would be considered. </w:t>
      </w:r>
    </w:p>
    <w:p w:rsidRPr="00292155" w:rsidR="008959A4" w:rsidP="008959A4" w:rsidRDefault="008959A4" w14:paraId="21821617" w14:textId="77777777">
      <w:pPr>
        <w:numPr>
          <w:ilvl w:val="0"/>
          <w:numId w:val="3"/>
        </w:numPr>
        <w:spacing w:line="360" w:lineRule="auto"/>
        <w:rPr>
          <w:rFonts w:cstheme="minorBidi"/>
          <w:szCs w:val="22"/>
        </w:rPr>
      </w:pPr>
      <w:r w:rsidRPr="00292155">
        <w:rPr>
          <w:rFonts w:cstheme="minorBidi"/>
          <w:szCs w:val="22"/>
        </w:rPr>
        <w:t xml:space="preserve">Alpine Natural Gas Operating Company No. 1, LLC, Golden State Water Company on behalf of Bear Valley Electric Service Division, Liberty </w:t>
      </w:r>
      <w:r w:rsidRPr="00D75520">
        <w:t>Utilities</w:t>
      </w:r>
      <w:r>
        <w:t> </w:t>
      </w:r>
      <w:r w:rsidRPr="00D75520">
        <w:t>LLC</w:t>
      </w:r>
      <w:r w:rsidRPr="00292155">
        <w:rPr>
          <w:rFonts w:cstheme="minorBidi"/>
          <w:szCs w:val="22"/>
        </w:rPr>
        <w:t>, PacifiCorp, Southwest Gas Corporation, and West Coast Gas Company must comply with the following fund shifting rules where relevant:</w:t>
      </w:r>
    </w:p>
    <w:p w:rsidR="008959A4" w:rsidP="008959A4" w:rsidRDefault="008959A4" w14:paraId="1696373E" w14:textId="0CF591F6">
      <w:pPr>
        <w:pStyle w:val="ListBullet"/>
        <w:tabs>
          <w:tab w:val="clear" w:pos="360"/>
        </w:tabs>
        <w:ind w:left="1080" w:right="1440"/>
      </w:pPr>
      <w:r>
        <w:t xml:space="preserve">Fund shifting of any amount between budget categories is allowed within the program year, with reporting of any shifts in the annual reports (no need for quarterly reporting or advice letters unless otherwise noted below). </w:t>
      </w:r>
    </w:p>
    <w:p w:rsidR="008959A4" w:rsidP="008959A4" w:rsidRDefault="008959A4" w14:paraId="1BD1F28F" w14:textId="0D108F12">
      <w:pPr>
        <w:pStyle w:val="ListBullet"/>
        <w:numPr>
          <w:ilvl w:val="0"/>
          <w:numId w:val="18"/>
        </w:numPr>
        <w:ind w:right="1440"/>
      </w:pPr>
      <w:r>
        <w:t>This applies to the California Alternate Rates for Energy administrative budgets (not subsidy budgets), and the total Energy Savings Assistance program budget (including administrative budgets).</w:t>
      </w:r>
    </w:p>
    <w:p w:rsidR="008959A4" w:rsidP="008959A4" w:rsidRDefault="008959A4" w14:paraId="605311CB" w14:textId="77777777">
      <w:pPr>
        <w:pStyle w:val="ListBullet"/>
        <w:tabs>
          <w:tab w:val="clear" w:pos="360"/>
        </w:tabs>
        <w:ind w:left="1080" w:right="1440"/>
      </w:pPr>
      <w:r>
        <w:t xml:space="preserve">Fund shifting in and out of the pilots is to be requested via a Tier 2 advice letter.   </w:t>
      </w:r>
    </w:p>
    <w:p w:rsidR="008959A4" w:rsidP="008959A4" w:rsidRDefault="008959A4" w14:paraId="6DDE7B46" w14:textId="77777777">
      <w:pPr>
        <w:pStyle w:val="ListBullet"/>
        <w:tabs>
          <w:tab w:val="clear" w:pos="360"/>
        </w:tabs>
        <w:ind w:left="1080" w:right="1440"/>
      </w:pPr>
      <w:r>
        <w:t xml:space="preserve">Fund shifting is not allowed between program years; any remaining uncommitted and unspent funds at the end of a program year must be used to offset the next year’s collection. </w:t>
      </w:r>
    </w:p>
    <w:p w:rsidR="008959A4" w:rsidP="008959A4" w:rsidRDefault="008959A4" w14:paraId="0B2C272A" w14:textId="77777777">
      <w:pPr>
        <w:pStyle w:val="ListBullet"/>
        <w:numPr>
          <w:ilvl w:val="0"/>
          <w:numId w:val="18"/>
        </w:numPr>
        <w:ind w:right="1440"/>
      </w:pPr>
      <w:r>
        <w:t>An exception to this rule is granted for pilots and studies (where funds may be rolled over to the next program year</w:t>
      </w:r>
      <w:r w:rsidRPr="00F17F99">
        <w:t xml:space="preserve"> </w:t>
      </w:r>
      <w:r>
        <w:t xml:space="preserve">or borrowed from a future program year </w:t>
      </w:r>
      <w:r>
        <w:lastRenderedPageBreak/>
        <w:t xml:space="preserve">within the cycle, to allow for flexibility in scheduling changes with these efforts).  </w:t>
      </w:r>
    </w:p>
    <w:p w:rsidR="008959A4" w:rsidP="008959A4" w:rsidRDefault="008959A4" w14:paraId="37E73E1D"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 must</w:t>
      </w:r>
      <w:r>
        <w:rPr>
          <w:rFonts w:cstheme="minorBidi"/>
          <w:szCs w:val="22"/>
        </w:rPr>
        <w:t xml:space="preserve"> each</w:t>
      </w:r>
      <w:r w:rsidRPr="00292155">
        <w:rPr>
          <w:rFonts w:cstheme="minorBidi"/>
          <w:szCs w:val="22"/>
        </w:rPr>
        <w:t xml:space="preserve"> use all unspent and uncommitted Energy Savings Assistance program funds remaining at the end of the 2020 program cycle and the 2021 bridge period to offset future collections.  </w:t>
      </w:r>
    </w:p>
    <w:p w:rsidRPr="00292155" w:rsidR="008959A4" w:rsidP="008959A4" w:rsidRDefault="008959A4" w14:paraId="3D46BFCB"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and Southwest Gas Corporation must</w:t>
      </w:r>
      <w:r>
        <w:rPr>
          <w:rFonts w:cstheme="minorBidi"/>
          <w:szCs w:val="22"/>
        </w:rPr>
        <w:t xml:space="preserve"> each</w:t>
      </w:r>
      <w:r w:rsidRPr="00292155">
        <w:rPr>
          <w:rFonts w:cstheme="minorBidi"/>
          <w:szCs w:val="22"/>
        </w:rPr>
        <w:t xml:space="preserve"> use all unspent and uncommitted Energy Savings Assistance program funds remaining</w:t>
      </w:r>
      <w:r>
        <w:rPr>
          <w:rFonts w:cstheme="minorBidi"/>
          <w:szCs w:val="22"/>
        </w:rPr>
        <w:t xml:space="preserve"> at the end of a program year</w:t>
      </w:r>
      <w:r w:rsidRPr="00206086">
        <w:t xml:space="preserve"> to offset </w:t>
      </w:r>
      <w:r>
        <w:t xml:space="preserve">the </w:t>
      </w:r>
      <w:r w:rsidRPr="00206086">
        <w:t xml:space="preserve">next </w:t>
      </w:r>
      <w:r>
        <w:t xml:space="preserve">program </w:t>
      </w:r>
      <w:r w:rsidRPr="00206086">
        <w:t xml:space="preserve">year’s collections, as opposed to waiting until the end of a cycle. </w:t>
      </w:r>
      <w:r>
        <w:t xml:space="preserve"> </w:t>
      </w:r>
    </w:p>
    <w:p w:rsidRPr="00292155" w:rsidR="008959A4" w:rsidP="008959A4" w:rsidRDefault="008959A4" w14:paraId="5E389FBE" w14:textId="77777777">
      <w:pPr>
        <w:numPr>
          <w:ilvl w:val="0"/>
          <w:numId w:val="3"/>
        </w:numPr>
        <w:spacing w:line="360" w:lineRule="auto"/>
        <w:rPr>
          <w:rFonts w:cstheme="minorBidi"/>
          <w:szCs w:val="22"/>
        </w:rPr>
      </w:pPr>
      <w:r w:rsidRPr="00292155">
        <w:rPr>
          <w:rFonts w:cstheme="minorBidi"/>
          <w:szCs w:val="22"/>
        </w:rPr>
        <w:t xml:space="preserve">Liberty Utilities LLC’s (Liberty) electrification pilot is approved for program years 2024-2026 at a budget of $168,752 pending the approval of a Tier 2 advice letter to be submitted within 6 months of the filing of the evaluation of the San Joaquin Valley Disadvantaged Communities (SJV DAC) fuel switching pilots. </w:t>
      </w:r>
      <w:r>
        <w:rPr>
          <w:rFonts w:cstheme="minorBidi"/>
          <w:szCs w:val="22"/>
        </w:rPr>
        <w:t xml:space="preserve"> </w:t>
      </w:r>
      <w:r w:rsidRPr="00292155">
        <w:rPr>
          <w:rFonts w:cstheme="minorBidi"/>
          <w:szCs w:val="22"/>
        </w:rPr>
        <w:t xml:space="preserve">The Tier 2 advice letter must contain the following information: </w:t>
      </w:r>
    </w:p>
    <w:p w:rsidRPr="005C24DB" w:rsidR="008959A4" w:rsidP="00A65969" w:rsidRDefault="008959A4" w14:paraId="3D55236D" w14:textId="77777777">
      <w:pPr>
        <w:pStyle w:val="ListParagraph"/>
        <w:numPr>
          <w:ilvl w:val="0"/>
          <w:numId w:val="20"/>
        </w:numPr>
        <w:spacing w:after="120"/>
        <w:ind w:left="1080" w:right="1440"/>
        <w:rPr>
          <w:rFonts w:eastAsia="Times New Roman"/>
          <w:color w:val="000000"/>
          <w:szCs w:val="26"/>
          <w:shd w:val="clear" w:color="auto" w:fill="FFFFFF"/>
        </w:rPr>
      </w:pPr>
      <w:r w:rsidRPr="005C24DB">
        <w:rPr>
          <w:rFonts w:eastAsia="Times New Roman"/>
          <w:color w:val="000000"/>
          <w:szCs w:val="26"/>
          <w:shd w:val="clear" w:color="auto" w:fill="FFFFFF"/>
        </w:rPr>
        <w:t xml:space="preserve">Description </w:t>
      </w:r>
      <w:r w:rsidRPr="004F6318">
        <w:t>of how the results of the</w:t>
      </w:r>
      <w:r>
        <w:t xml:space="preserve"> </w:t>
      </w:r>
      <w:r w:rsidRPr="004F6318">
        <w:t>SJV</w:t>
      </w:r>
      <w:r>
        <w:t xml:space="preserve"> </w:t>
      </w:r>
      <w:r w:rsidRPr="004F6318">
        <w:t>DAC</w:t>
      </w:r>
      <w:r>
        <w:t xml:space="preserve"> </w:t>
      </w:r>
      <w:r w:rsidRPr="004F6318">
        <w:t>pilot</w:t>
      </w:r>
      <w:r>
        <w:t xml:space="preserve"> </w:t>
      </w:r>
      <w:r w:rsidRPr="004F6318">
        <w:t>evaluation influenced the decision to run this pilot, and how the following information from the SJV DAC evaluation</w:t>
      </w:r>
      <w:r w:rsidRPr="005C24DB">
        <w:rPr>
          <w:rFonts w:eastAsia="Times New Roman"/>
          <w:color w:val="000000"/>
          <w:szCs w:val="26"/>
          <w:shd w:val="clear" w:color="auto" w:fill="FFFFFF"/>
        </w:rPr>
        <w:t xml:space="preserve"> is relevant or even useable for the </w:t>
      </w:r>
      <w:r>
        <w:rPr>
          <w:szCs w:val="26"/>
        </w:rPr>
        <w:t>Liberty’s</w:t>
      </w:r>
      <w:r w:rsidRPr="005C24DB">
        <w:rPr>
          <w:rFonts w:eastAsia="Times New Roman"/>
          <w:color w:val="000000"/>
          <w:szCs w:val="26"/>
          <w:shd w:val="clear" w:color="auto" w:fill="FFFFFF"/>
        </w:rPr>
        <w:t xml:space="preserve"> pilot:</w:t>
      </w:r>
    </w:p>
    <w:p w:rsidRPr="004F6318" w:rsidR="008959A4" w:rsidP="008959A4" w:rsidRDefault="008959A4" w14:paraId="063CD98E" w14:textId="77777777">
      <w:pPr>
        <w:pStyle w:val="Standard"/>
        <w:numPr>
          <w:ilvl w:val="1"/>
          <w:numId w:val="14"/>
        </w:numPr>
        <w:spacing w:after="120" w:line="240" w:lineRule="auto"/>
        <w:ind w:left="1440" w:right="1440"/>
        <w:rPr>
          <w:rFonts w:eastAsia="Times New Roman"/>
          <w:color w:val="000000"/>
          <w:szCs w:val="26"/>
          <w:shd w:val="clear" w:color="auto" w:fill="FFFFFF"/>
        </w:rPr>
      </w:pPr>
      <w:r w:rsidRPr="004F6318">
        <w:rPr>
          <w:rFonts w:eastAsia="Times New Roman"/>
          <w:color w:val="000000"/>
          <w:szCs w:val="26"/>
          <w:shd w:val="clear" w:color="auto" w:fill="FFFFFF"/>
        </w:rPr>
        <w:t>Methodology for calculation to show that installed measures do not increase total source energy or adversely impact environment;</w:t>
      </w:r>
    </w:p>
    <w:p w:rsidRPr="004F6318" w:rsidR="008959A4" w:rsidP="008959A4" w:rsidRDefault="008959A4" w14:paraId="6772BE9A" w14:textId="77777777">
      <w:pPr>
        <w:pStyle w:val="Standard"/>
        <w:numPr>
          <w:ilvl w:val="1"/>
          <w:numId w:val="14"/>
        </w:numPr>
        <w:spacing w:after="120" w:line="240" w:lineRule="auto"/>
        <w:ind w:left="1440" w:right="1440"/>
        <w:rPr>
          <w:rFonts w:eastAsia="Times New Roman"/>
          <w:color w:val="000000"/>
          <w:szCs w:val="26"/>
          <w:shd w:val="clear" w:color="auto" w:fill="FFFFFF"/>
        </w:rPr>
      </w:pPr>
      <w:r w:rsidRPr="004F6318">
        <w:rPr>
          <w:rFonts w:eastAsia="Times New Roman"/>
          <w:color w:val="000000"/>
          <w:szCs w:val="26"/>
          <w:shd w:val="clear" w:color="auto" w:fill="FFFFFF"/>
        </w:rPr>
        <w:t xml:space="preserve">Methodology of how </w:t>
      </w:r>
      <w:r w:rsidRPr="00861716">
        <w:rPr>
          <w:rFonts w:eastAsia="Times New Roman"/>
          <w:color w:val="000000"/>
          <w:szCs w:val="26"/>
          <w:shd w:val="clear" w:color="auto" w:fill="FFFFFF"/>
        </w:rPr>
        <w:t>Liberty</w:t>
      </w:r>
      <w:r w:rsidRPr="004F6318">
        <w:rPr>
          <w:rFonts w:eastAsia="Times New Roman"/>
          <w:color w:val="000000"/>
          <w:szCs w:val="26"/>
          <w:shd w:val="clear" w:color="auto" w:fill="FFFFFF"/>
        </w:rPr>
        <w:t xml:space="preserve"> will calculate energy cost/bill savings for propane and/or wood not used;</w:t>
      </w:r>
    </w:p>
    <w:p w:rsidRPr="004F6318" w:rsidR="008959A4" w:rsidP="008959A4" w:rsidRDefault="008959A4" w14:paraId="3807059E" w14:textId="77777777">
      <w:pPr>
        <w:pStyle w:val="Standard"/>
        <w:numPr>
          <w:ilvl w:val="1"/>
          <w:numId w:val="14"/>
        </w:numPr>
        <w:spacing w:after="120" w:line="240" w:lineRule="auto"/>
        <w:ind w:left="1440" w:right="1440"/>
        <w:rPr>
          <w:rFonts w:eastAsia="Times New Roman"/>
          <w:color w:val="000000"/>
          <w:szCs w:val="26"/>
          <w:shd w:val="clear" w:color="auto" w:fill="FFFFFF"/>
        </w:rPr>
      </w:pPr>
      <w:r w:rsidRPr="004F6318">
        <w:rPr>
          <w:rFonts w:eastAsia="Times New Roman"/>
          <w:color w:val="000000"/>
          <w:szCs w:val="26"/>
          <w:shd w:val="clear" w:color="auto" w:fill="FFFFFF"/>
        </w:rPr>
        <w:lastRenderedPageBreak/>
        <w:t>Details on the regulatory framework, including cost test(s) used to assess performance of measures involving fuel switching (</w:t>
      </w:r>
      <w:r w:rsidRPr="009643C3">
        <w:rPr>
          <w:rFonts w:eastAsia="Times New Roman"/>
          <w:i/>
          <w:iCs/>
          <w:color w:val="000000"/>
          <w:szCs w:val="26"/>
          <w:shd w:val="clear" w:color="auto" w:fill="FFFFFF"/>
        </w:rPr>
        <w:t>e.g.</w:t>
      </w:r>
      <w:r w:rsidRPr="004F6318">
        <w:rPr>
          <w:rFonts w:eastAsia="Times New Roman"/>
          <w:color w:val="000000"/>
          <w:szCs w:val="26"/>
          <w:shd w:val="clear" w:color="auto" w:fill="FFFFFF"/>
        </w:rPr>
        <w:t>, from wood to electric, propane to electric)</w:t>
      </w:r>
      <w:r>
        <w:rPr>
          <w:rFonts w:eastAsia="Times New Roman"/>
          <w:color w:val="000000"/>
          <w:szCs w:val="26"/>
          <w:shd w:val="clear" w:color="auto" w:fill="FFFFFF"/>
        </w:rPr>
        <w:t>;</w:t>
      </w:r>
    </w:p>
    <w:p w:rsidRPr="004F6318" w:rsidR="008959A4" w:rsidP="008959A4" w:rsidRDefault="008959A4" w14:paraId="006F58EB" w14:textId="77777777">
      <w:pPr>
        <w:pStyle w:val="Standard"/>
        <w:numPr>
          <w:ilvl w:val="1"/>
          <w:numId w:val="14"/>
        </w:numPr>
        <w:spacing w:after="120" w:line="240" w:lineRule="auto"/>
        <w:ind w:left="1440" w:right="1440"/>
        <w:rPr>
          <w:rFonts w:eastAsia="Times New Roman"/>
          <w:color w:val="000000"/>
          <w:szCs w:val="26"/>
          <w:shd w:val="clear" w:color="auto" w:fill="FFFFFF"/>
        </w:rPr>
      </w:pPr>
      <w:r w:rsidRPr="004F6318">
        <w:rPr>
          <w:rFonts w:eastAsia="Times New Roman"/>
          <w:color w:val="000000"/>
          <w:szCs w:val="26"/>
          <w:shd w:val="clear" w:color="auto" w:fill="FFFFFF"/>
        </w:rPr>
        <w:t>Public health (or other) adders by existing fuel type that could be included in cost effectiveness calculations</w:t>
      </w:r>
      <w:r>
        <w:rPr>
          <w:rFonts w:eastAsia="Times New Roman"/>
          <w:color w:val="000000"/>
          <w:szCs w:val="26"/>
          <w:shd w:val="clear" w:color="auto" w:fill="FFFFFF"/>
        </w:rPr>
        <w:t>; and</w:t>
      </w:r>
    </w:p>
    <w:p w:rsidRPr="00861716" w:rsidR="008959A4" w:rsidP="008959A4" w:rsidRDefault="008959A4" w14:paraId="4AB2CCAB" w14:textId="77777777">
      <w:pPr>
        <w:pStyle w:val="Standard"/>
        <w:numPr>
          <w:ilvl w:val="1"/>
          <w:numId w:val="14"/>
        </w:numPr>
        <w:spacing w:after="120" w:line="240" w:lineRule="auto"/>
        <w:ind w:left="1440" w:right="1440"/>
        <w:rPr>
          <w:rFonts w:eastAsia="Times New Roman"/>
          <w:color w:val="000000"/>
          <w:szCs w:val="26"/>
          <w:shd w:val="clear" w:color="auto" w:fill="FFFFFF"/>
        </w:rPr>
      </w:pPr>
      <w:r w:rsidRPr="004F6318">
        <w:rPr>
          <w:rFonts w:eastAsia="Times New Roman"/>
          <w:color w:val="000000"/>
          <w:szCs w:val="26"/>
          <w:shd w:val="clear" w:color="auto" w:fill="FFFFFF"/>
        </w:rPr>
        <w:t xml:space="preserve">Calculation tools (if available) for analysis for </w:t>
      </w:r>
      <w:r>
        <w:rPr>
          <w:rFonts w:eastAsia="Times New Roman"/>
          <w:color w:val="000000"/>
          <w:szCs w:val="26"/>
          <w:shd w:val="clear" w:color="auto" w:fill="FFFFFF"/>
        </w:rPr>
        <w:t>f</w:t>
      </w:r>
      <w:r w:rsidRPr="004F6318">
        <w:rPr>
          <w:rFonts w:eastAsia="Times New Roman"/>
          <w:color w:val="000000"/>
          <w:szCs w:val="26"/>
          <w:shd w:val="clear" w:color="auto" w:fill="FFFFFF"/>
        </w:rPr>
        <w:t xml:space="preserve">uel </w:t>
      </w:r>
      <w:r>
        <w:rPr>
          <w:rFonts w:eastAsia="Times New Roman"/>
          <w:color w:val="000000"/>
          <w:szCs w:val="26"/>
          <w:shd w:val="clear" w:color="auto" w:fill="FFFFFF"/>
        </w:rPr>
        <w:t>s</w:t>
      </w:r>
      <w:r w:rsidRPr="004F6318">
        <w:rPr>
          <w:rFonts w:eastAsia="Times New Roman"/>
          <w:color w:val="000000"/>
          <w:szCs w:val="26"/>
          <w:shd w:val="clear" w:color="auto" w:fill="FFFFFF"/>
        </w:rPr>
        <w:t xml:space="preserve">witching measures for individual homes in climate zones </w:t>
      </w:r>
      <w:r>
        <w:rPr>
          <w:rFonts w:eastAsia="Times New Roman"/>
          <w:color w:val="000000"/>
          <w:szCs w:val="26"/>
          <w:shd w:val="clear" w:color="auto" w:fill="FFFFFF"/>
        </w:rPr>
        <w:t>relevant to Liberty’s service territory</w:t>
      </w:r>
      <w:r w:rsidRPr="004F6318">
        <w:rPr>
          <w:rFonts w:eastAsia="Times New Roman"/>
          <w:color w:val="000000"/>
          <w:szCs w:val="26"/>
          <w:shd w:val="clear" w:color="auto" w:fill="FFFFFF"/>
        </w:rPr>
        <w:t>.</w:t>
      </w:r>
    </w:p>
    <w:p w:rsidRPr="00DE5E94" w:rsidR="008959A4" w:rsidP="00A65969" w:rsidRDefault="008959A4" w14:paraId="486296C9" w14:textId="77777777">
      <w:pPr>
        <w:pStyle w:val="ListParagraph"/>
        <w:numPr>
          <w:ilvl w:val="0"/>
          <w:numId w:val="20"/>
        </w:numPr>
        <w:spacing w:after="120"/>
        <w:ind w:left="1080" w:right="1440"/>
        <w:rPr>
          <w:rFonts w:eastAsia="Times New Roman"/>
          <w:color w:val="000000"/>
          <w:szCs w:val="26"/>
          <w:shd w:val="clear" w:color="auto" w:fill="FFFFFF"/>
        </w:rPr>
      </w:pPr>
      <w:r w:rsidRPr="00DE5E94">
        <w:rPr>
          <w:rFonts w:eastAsia="Times New Roman"/>
          <w:color w:val="000000"/>
          <w:szCs w:val="26"/>
          <w:shd w:val="clear" w:color="auto" w:fill="FFFFFF"/>
        </w:rPr>
        <w:t>Description of how pilot homes will be selected, and how costs related to electrical infrastructure upgrades (if needed) at the home will be accounted for.</w:t>
      </w:r>
    </w:p>
    <w:p w:rsidRPr="00DE5E94" w:rsidR="008959A4" w:rsidP="00A65969" w:rsidRDefault="008959A4" w14:paraId="093F7A16" w14:textId="77777777">
      <w:pPr>
        <w:pStyle w:val="ListParagraph"/>
        <w:numPr>
          <w:ilvl w:val="0"/>
          <w:numId w:val="20"/>
        </w:numPr>
        <w:spacing w:after="120"/>
        <w:ind w:left="1080" w:right="1440"/>
        <w:rPr>
          <w:rFonts w:eastAsia="Times New Roman"/>
          <w:color w:val="000000"/>
          <w:szCs w:val="26"/>
          <w:shd w:val="clear" w:color="auto" w:fill="FFFFFF"/>
        </w:rPr>
      </w:pPr>
      <w:r w:rsidRPr="00DE5E94">
        <w:rPr>
          <w:rFonts w:eastAsia="Times New Roman"/>
          <w:color w:val="000000"/>
          <w:szCs w:val="26"/>
          <w:shd w:val="clear" w:color="auto" w:fill="FFFFFF"/>
        </w:rPr>
        <w:t xml:space="preserve">Description of whether target pilot households are expected to be in Southwest Gas </w:t>
      </w:r>
      <w:r>
        <w:rPr>
          <w:rFonts w:eastAsia="Times New Roman"/>
          <w:color w:val="000000"/>
          <w:szCs w:val="26"/>
          <w:shd w:val="clear" w:color="auto" w:fill="FFFFFF"/>
        </w:rPr>
        <w:t xml:space="preserve">Corporation’s </w:t>
      </w:r>
      <w:r w:rsidRPr="00DE5E94">
        <w:rPr>
          <w:rFonts w:eastAsia="Times New Roman"/>
          <w:color w:val="000000"/>
          <w:szCs w:val="26"/>
          <w:shd w:val="clear" w:color="auto" w:fill="FFFFFF"/>
        </w:rPr>
        <w:t>territory, and if so, how other Commission programs will be leveraged.</w:t>
      </w:r>
    </w:p>
    <w:p w:rsidRPr="00DE5E94" w:rsidR="008959A4" w:rsidP="00A65969" w:rsidRDefault="008959A4" w14:paraId="633B4208" w14:textId="77777777">
      <w:pPr>
        <w:pStyle w:val="ListParagraph"/>
        <w:numPr>
          <w:ilvl w:val="0"/>
          <w:numId w:val="20"/>
        </w:numPr>
        <w:spacing w:after="120"/>
        <w:ind w:left="1080" w:right="1440"/>
        <w:rPr>
          <w:rFonts w:eastAsia="Times New Roman"/>
          <w:color w:val="000000"/>
          <w:szCs w:val="26"/>
          <w:shd w:val="clear" w:color="auto" w:fill="FFFFFF"/>
        </w:rPr>
      </w:pPr>
      <w:r w:rsidRPr="00DE5E94">
        <w:rPr>
          <w:rFonts w:eastAsia="Times New Roman"/>
          <w:color w:val="000000"/>
          <w:szCs w:val="26"/>
          <w:shd w:val="clear" w:color="auto" w:fill="FFFFFF"/>
        </w:rPr>
        <w:t>Description of the timeline and budget, not to exceed $168,752, for implementing Liberty’s electrification pilot.</w:t>
      </w:r>
    </w:p>
    <w:p w:rsidRPr="00DE5E94" w:rsidR="008959A4" w:rsidP="008959A4" w:rsidRDefault="008959A4" w14:paraId="736114E7" w14:textId="77777777">
      <w:pPr>
        <w:pStyle w:val="ListParagraph"/>
        <w:numPr>
          <w:ilvl w:val="0"/>
          <w:numId w:val="20"/>
        </w:numPr>
        <w:ind w:left="1080" w:right="1440"/>
        <w:rPr>
          <w:rFonts w:eastAsia="Times New Roman"/>
          <w:color w:val="000000"/>
          <w:szCs w:val="26"/>
          <w:shd w:val="clear" w:color="auto" w:fill="FFFFFF"/>
        </w:rPr>
      </w:pPr>
      <w:r w:rsidRPr="00DE5E94">
        <w:rPr>
          <w:rFonts w:eastAsia="Times New Roman"/>
          <w:color w:val="000000"/>
          <w:szCs w:val="26"/>
          <w:shd w:val="clear" w:color="auto" w:fill="FFFFFF"/>
        </w:rPr>
        <w:t>Description of how the pilot can/will be structured such that four households electrified a year will provide a meaningful indicator of impacts that could be anticipated in future if pilot extended/replicated.</w:t>
      </w:r>
    </w:p>
    <w:p w:rsidR="008959A4" w:rsidP="008959A4" w:rsidRDefault="008959A4" w14:paraId="6E6BE69D" w14:textId="0CAAEB49">
      <w:pPr>
        <w:pStyle w:val="Standard"/>
        <w:ind w:firstLine="0"/>
      </w:pPr>
      <w:r>
        <w:t>In the instance Liberty does not submit the Tier 2 advice letter with the above information to move the electrification pilot forward, Liberty must submit a Tier</w:t>
      </w:r>
      <w:r w:rsidR="00A65969">
        <w:t> </w:t>
      </w:r>
      <w:r>
        <w:t xml:space="preserve">1 advice letter </w:t>
      </w:r>
      <w:r>
        <w:rPr>
          <w:szCs w:val="26"/>
        </w:rPr>
        <w:t>within 6 months of the filing of the evaluation of the SJV DAC fuel switching pilot</w:t>
      </w:r>
      <w:r w:rsidDel="005B224C">
        <w:t xml:space="preserve"> </w:t>
      </w:r>
      <w:r>
        <w:t>explaining w</w:t>
      </w:r>
      <w:r w:rsidRPr="00B42F3A">
        <w:t xml:space="preserve">hy </w:t>
      </w:r>
      <w:r>
        <w:t>Liberty</w:t>
      </w:r>
      <w:r w:rsidRPr="00B42F3A">
        <w:t xml:space="preserve"> decided to not run a fuel</w:t>
      </w:r>
      <w:r>
        <w:noBreakHyphen/>
      </w:r>
      <w:r w:rsidRPr="00B42F3A">
        <w:t>switching pilot and</w:t>
      </w:r>
      <w:r>
        <w:t xml:space="preserve"> describing </w:t>
      </w:r>
      <w:r w:rsidRPr="00B42F3A">
        <w:t>how the SJV </w:t>
      </w:r>
      <w:r>
        <w:t xml:space="preserve">DAC </w:t>
      </w:r>
      <w:r w:rsidRPr="00B42F3A">
        <w:t>pilot evaluation was used to inform this decision</w:t>
      </w:r>
      <w:r>
        <w:t>.</w:t>
      </w:r>
    </w:p>
    <w:p w:rsidRPr="00292155" w:rsidR="008959A4" w:rsidP="008959A4" w:rsidRDefault="008959A4" w14:paraId="3C7B0940" w14:textId="77777777">
      <w:pPr>
        <w:numPr>
          <w:ilvl w:val="0"/>
          <w:numId w:val="3"/>
        </w:numPr>
        <w:spacing w:line="360" w:lineRule="auto"/>
        <w:rPr>
          <w:rFonts w:cstheme="minorBidi"/>
          <w:szCs w:val="22"/>
        </w:rPr>
      </w:pPr>
      <w:r w:rsidRPr="00292155">
        <w:rPr>
          <w:rFonts w:cstheme="minorBidi"/>
          <w:szCs w:val="22"/>
        </w:rPr>
        <w:t xml:space="preserve">Alpine Natural Gas Operating Company No. 1, LLC (Alpine), Golden State Water Company on behalf of Bear Valley Electric Service Division (Bear Valley), Liberty Utilities LLC (Liberty), PacifiCorp, Southwest Gas Corporation </w:t>
      </w:r>
      <w:r w:rsidRPr="00292155">
        <w:rPr>
          <w:rFonts w:cstheme="minorBidi"/>
          <w:szCs w:val="22"/>
        </w:rPr>
        <w:lastRenderedPageBreak/>
        <w:t>(Southwest Gas), and West Coast Gas Company</w:t>
      </w:r>
      <w:r>
        <w:rPr>
          <w:rFonts w:cstheme="minorBidi"/>
          <w:szCs w:val="22"/>
        </w:rPr>
        <w:t>’</w:t>
      </w:r>
      <w:r w:rsidRPr="00292155">
        <w:rPr>
          <w:rFonts w:cstheme="minorBidi"/>
          <w:szCs w:val="22"/>
        </w:rPr>
        <w:t xml:space="preserve">s (West Coast Gas) Annual California Alternate Rates for Energy Eligibility study is approved at a budget of $190,326 for program years 2021-2026 utilizing the following utility funding split: </w:t>
      </w:r>
      <w:r>
        <w:rPr>
          <w:rFonts w:cstheme="minorBidi"/>
          <w:szCs w:val="22"/>
        </w:rPr>
        <w:t xml:space="preserve"> </w:t>
      </w:r>
      <w:r w:rsidRPr="00292155">
        <w:rPr>
          <w:rFonts w:cstheme="minorBidi"/>
          <w:szCs w:val="22"/>
        </w:rPr>
        <w:t>Southwest Gas at 65 percent, Liberty at 15 percent, PacifiCorp at 12 percent, Bear Valley at 4 percent, Alpine at 2 percent and West Coast Gas at 2 percent.</w:t>
      </w:r>
    </w:p>
    <w:p w:rsidRPr="00292155" w:rsidR="008959A4" w:rsidP="008959A4" w:rsidRDefault="008959A4" w14:paraId="571EAB99" w14:textId="77777777">
      <w:pPr>
        <w:numPr>
          <w:ilvl w:val="0"/>
          <w:numId w:val="3"/>
        </w:numPr>
        <w:spacing w:line="360" w:lineRule="auto"/>
        <w:rPr>
          <w:rFonts w:cstheme="minorBidi"/>
          <w:szCs w:val="22"/>
        </w:rPr>
      </w:pPr>
      <w:r w:rsidRPr="00292155">
        <w:rPr>
          <w:rFonts w:cstheme="minorBidi"/>
          <w:szCs w:val="22"/>
        </w:rPr>
        <w:t xml:space="preserve">The Annual California Alternate Rates for Energy Eligibility Report filing date is extended to March 12, 2022, for the 2022 annual report; thereafter the annual eligibility report must be submitted jointly by the </w:t>
      </w:r>
      <w:r>
        <w:rPr>
          <w:rFonts w:cstheme="minorBidi"/>
          <w:szCs w:val="22"/>
        </w:rPr>
        <w:t xml:space="preserve">small and multijurisdictional </w:t>
      </w:r>
      <w:r w:rsidRPr="00292155">
        <w:rPr>
          <w:rFonts w:cstheme="minorBidi"/>
          <w:szCs w:val="22"/>
        </w:rPr>
        <w:t>utilities on the relevant service lists by February 12 of each year for the current year.</w:t>
      </w:r>
    </w:p>
    <w:p w:rsidRPr="00292155" w:rsidR="008959A4" w:rsidP="008959A4" w:rsidRDefault="008959A4" w14:paraId="4EA9F422" w14:textId="77777777">
      <w:pPr>
        <w:numPr>
          <w:ilvl w:val="0"/>
          <w:numId w:val="3"/>
        </w:numPr>
        <w:spacing w:line="360" w:lineRule="auto"/>
        <w:rPr>
          <w:rFonts w:cstheme="minorBidi"/>
          <w:szCs w:val="22"/>
        </w:rPr>
      </w:pPr>
      <w:r w:rsidRPr="00292155">
        <w:rPr>
          <w:rFonts w:cstheme="minorBidi"/>
          <w:szCs w:val="22"/>
        </w:rPr>
        <w:t xml:space="preserve">Southwest Gas Corporation is </w:t>
      </w:r>
      <w:r>
        <w:rPr>
          <w:rFonts w:cstheme="minorBidi"/>
          <w:szCs w:val="22"/>
        </w:rPr>
        <w:t xml:space="preserve">designated as </w:t>
      </w:r>
      <w:r w:rsidRPr="00292155">
        <w:rPr>
          <w:rFonts w:cstheme="minorBidi"/>
          <w:szCs w:val="22"/>
        </w:rPr>
        <w:t xml:space="preserve">the lead utility for contracting with the independent economic consultant to provide annual California Alternate Rates for Energy Eligibility study (conferring with the other </w:t>
      </w:r>
      <w:r>
        <w:rPr>
          <w:rFonts w:cstheme="minorBidi"/>
          <w:szCs w:val="22"/>
        </w:rPr>
        <w:t>small and multijurisdictional</w:t>
      </w:r>
      <w:r w:rsidRPr="00292155">
        <w:rPr>
          <w:rFonts w:cstheme="minorBidi"/>
          <w:szCs w:val="22"/>
        </w:rPr>
        <w:t xml:space="preserve"> utilities as part of the contractor selection process) and must be responsible for setting up any payment mechanisms between the other </w:t>
      </w:r>
      <w:r>
        <w:rPr>
          <w:rFonts w:cstheme="minorBidi"/>
          <w:szCs w:val="22"/>
        </w:rPr>
        <w:t>small and multijurisdictional</w:t>
      </w:r>
      <w:r w:rsidRPr="00292155">
        <w:rPr>
          <w:rFonts w:cstheme="minorBidi"/>
          <w:szCs w:val="22"/>
        </w:rPr>
        <w:t xml:space="preserve"> utilities per the funding splits for this report.</w:t>
      </w:r>
    </w:p>
    <w:p w:rsidRPr="00292155" w:rsidR="008959A4" w:rsidP="008959A4" w:rsidRDefault="008959A4" w14:paraId="6907973D" w14:textId="74CC4F8B">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w:t>
      </w:r>
      <w:r>
        <w:rPr>
          <w:rFonts w:cstheme="minorBidi"/>
          <w:szCs w:val="22"/>
        </w:rPr>
        <w:t xml:space="preserve"> each</w:t>
      </w:r>
      <w:r w:rsidRPr="00292155">
        <w:rPr>
          <w:rFonts w:cstheme="minorBidi"/>
          <w:szCs w:val="22"/>
        </w:rPr>
        <w:t xml:space="preserve"> must make program and measure adjustments through the quarterly and annual reports, in lieu of advice letters.  The </w:t>
      </w:r>
      <w:r>
        <w:rPr>
          <w:rFonts w:cstheme="minorBidi"/>
          <w:szCs w:val="22"/>
        </w:rPr>
        <w:t>small and multijurisdictional</w:t>
      </w:r>
      <w:r w:rsidRPr="00292155">
        <w:rPr>
          <w:rFonts w:cstheme="minorBidi"/>
          <w:szCs w:val="22"/>
        </w:rPr>
        <w:t xml:space="preserve"> utilities must follow a process of first, discussing the revisions with stakeholders, to receive stakeholder feedback, and second, submitting for notification to the proceeding’s service list.  The notification of these changes must be via quarterly reports, as opposed to the annual reports</w:t>
      </w:r>
      <w:r>
        <w:rPr>
          <w:rFonts w:cstheme="minorBidi"/>
          <w:szCs w:val="22"/>
        </w:rPr>
        <w:t>,</w:t>
      </w:r>
      <w:r w:rsidRPr="00292155">
        <w:rPr>
          <w:rFonts w:cstheme="minorBidi"/>
          <w:szCs w:val="22"/>
        </w:rPr>
        <w:t xml:space="preserve"> and must be made available for the public’s reference through the service list, Commission </w:t>
      </w:r>
      <w:r w:rsidRPr="00292155">
        <w:rPr>
          <w:rFonts w:cstheme="minorBidi"/>
          <w:szCs w:val="22"/>
        </w:rPr>
        <w:lastRenderedPageBreak/>
        <w:t>docket, and the Low</w:t>
      </w:r>
      <w:r>
        <w:rPr>
          <w:rFonts w:cstheme="minorBidi"/>
          <w:szCs w:val="22"/>
        </w:rPr>
        <w:t>-</w:t>
      </w:r>
      <w:r w:rsidRPr="00292155">
        <w:rPr>
          <w:rFonts w:cstheme="minorBidi"/>
          <w:szCs w:val="22"/>
        </w:rPr>
        <w:t xml:space="preserve">Income Oversight Board website.  Program revisions may not result in lower program goals, an increase authorized budgets, </w:t>
      </w:r>
      <w:r w:rsidR="006A3AE1">
        <w:rPr>
          <w:rFonts w:cstheme="minorBidi"/>
          <w:szCs w:val="22"/>
        </w:rPr>
        <w:t>with an exception for i</w:t>
      </w:r>
      <w:r w:rsidR="006A3AE1">
        <w:rPr>
          <w:rFonts w:eastAsiaTheme="minorEastAsia"/>
        </w:rPr>
        <w:t xml:space="preserve">ncreases to the </w:t>
      </w:r>
      <w:r w:rsidRPr="00A643C3" w:rsidR="00A643C3">
        <w:rPr>
          <w:rFonts w:eastAsiaTheme="minorEastAsia"/>
        </w:rPr>
        <w:t xml:space="preserve">California Alternate Rates for Energy </w:t>
      </w:r>
      <w:r w:rsidR="00A643C3">
        <w:rPr>
          <w:rFonts w:eastAsiaTheme="minorEastAsia"/>
        </w:rPr>
        <w:t>(</w:t>
      </w:r>
      <w:r w:rsidR="006A3AE1">
        <w:rPr>
          <w:rFonts w:eastAsiaTheme="minorEastAsia"/>
        </w:rPr>
        <w:t>CARE</w:t>
      </w:r>
      <w:r w:rsidR="00A643C3">
        <w:rPr>
          <w:rFonts w:eastAsiaTheme="minorEastAsia"/>
        </w:rPr>
        <w:t>)</w:t>
      </w:r>
      <w:r w:rsidR="006A3AE1">
        <w:rPr>
          <w:rFonts w:eastAsiaTheme="minorEastAsia"/>
        </w:rPr>
        <w:t xml:space="preserve"> program subsidy budgets</w:t>
      </w:r>
      <w:r w:rsidRPr="000A4DC5" w:rsidR="000A4DC5">
        <w:rPr>
          <w:color w:val="FF0000"/>
        </w:rPr>
        <w:t xml:space="preserve"> </w:t>
      </w:r>
      <w:r w:rsidRPr="00B35EAD" w:rsidR="000A4DC5">
        <w:t>which should be handled through the two-way structure of the CARE balancing account</w:t>
      </w:r>
      <w:r w:rsidR="003504BD">
        <w:rPr>
          <w:rFonts w:cstheme="minorBidi"/>
          <w:szCs w:val="22"/>
        </w:rPr>
        <w:t xml:space="preserve">, </w:t>
      </w:r>
      <w:r w:rsidRPr="00292155">
        <w:rPr>
          <w:rFonts w:cstheme="minorBidi"/>
          <w:szCs w:val="22"/>
        </w:rPr>
        <w:t>or modifications to directives related to program design outlined in this decision.</w:t>
      </w:r>
    </w:p>
    <w:p w:rsidRPr="00292155" w:rsidR="008959A4" w:rsidP="008959A4" w:rsidRDefault="008959A4" w14:paraId="6341E5A9"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 must</w:t>
      </w:r>
      <w:r>
        <w:rPr>
          <w:rFonts w:cstheme="minorBidi"/>
          <w:szCs w:val="22"/>
        </w:rPr>
        <w:t xml:space="preserve"> each</w:t>
      </w:r>
      <w:r w:rsidRPr="00292155">
        <w:rPr>
          <w:rFonts w:cstheme="minorBidi"/>
          <w:szCs w:val="22"/>
        </w:rPr>
        <w:t xml:space="preserve"> file quarterly California Alternate Rates for Energy and Energy Savings Assistance program reports beginning with program year 2022 (per the reporting template to be developed and issued by Energy Division staff).</w:t>
      </w:r>
      <w:r>
        <w:rPr>
          <w:rFonts w:cstheme="minorBidi"/>
          <w:szCs w:val="22"/>
        </w:rPr>
        <w:t xml:space="preserve"> </w:t>
      </w:r>
      <w:r w:rsidRPr="00292155">
        <w:rPr>
          <w:rFonts w:cstheme="minorBidi"/>
          <w:szCs w:val="22"/>
        </w:rPr>
        <w:t xml:space="preserve"> These reports will be due on the 21st of the month following the end of a quarter.</w:t>
      </w:r>
    </w:p>
    <w:p w:rsidRPr="00292155" w:rsidR="008959A4" w:rsidP="008959A4" w:rsidRDefault="008959A4" w14:paraId="721470D0"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 must make all good faith and reasonable efforts to comply with the Energy Savings Assistance (ESA) Statewide Policy and Procedure Manual (P&amp;P</w:t>
      </w:r>
      <w:r>
        <w:rPr>
          <w:rFonts w:cstheme="minorBidi"/>
          <w:szCs w:val="22"/>
        </w:rPr>
        <w:t> </w:t>
      </w:r>
      <w:r w:rsidRPr="00292155">
        <w:rPr>
          <w:rFonts w:cstheme="minorBidi"/>
          <w:szCs w:val="22"/>
        </w:rPr>
        <w:t>Manual) and the Installation Standards Manuals. Southwest Gas Corporation must update the appendices of the P&amp;P Manual and Installation Standards Manuals by December 31, 2022, utilizing the ESA budget approved in this decision, at a level not to exceed $20,000.</w:t>
      </w:r>
    </w:p>
    <w:p w:rsidRPr="00292155" w:rsidR="008959A4" w:rsidP="008959A4" w:rsidRDefault="008959A4" w14:paraId="1538D566" w14:textId="6D47CFD0">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sidR="00A65969">
        <w:rPr>
          <w:rFonts w:cstheme="minorBidi"/>
          <w:szCs w:val="22"/>
        </w:rPr>
        <w:t> </w:t>
      </w:r>
      <w:r w:rsidRPr="00292155">
        <w:rPr>
          <w:rFonts w:cstheme="minorBidi"/>
          <w:szCs w:val="22"/>
        </w:rPr>
        <w:t xml:space="preserve">LLC, PacifiCorp, Southwest Gas Corporation, and West Coast Gas Company must continue to address actions that improve local air quality, benefit </w:t>
      </w:r>
      <w:r w:rsidRPr="00292155">
        <w:rPr>
          <w:rFonts w:cstheme="minorBidi"/>
          <w:szCs w:val="22"/>
        </w:rPr>
        <w:lastRenderedPageBreak/>
        <w:t xml:space="preserve">public health, increase climate resiliency and provide economic benefits within Environmental and Social Justice communities. </w:t>
      </w:r>
    </w:p>
    <w:p w:rsidRPr="00292155" w:rsidR="008959A4" w:rsidP="008959A4" w:rsidRDefault="008959A4" w14:paraId="405F6B05" w14:textId="77777777">
      <w:pPr>
        <w:numPr>
          <w:ilvl w:val="0"/>
          <w:numId w:val="3"/>
        </w:numPr>
        <w:spacing w:line="360" w:lineRule="auto"/>
        <w:rPr>
          <w:rFonts w:cstheme="minorBidi"/>
          <w:szCs w:val="22"/>
        </w:rPr>
      </w:pPr>
      <w:r w:rsidRPr="00292155">
        <w:rPr>
          <w:rFonts w:cstheme="minorBidi"/>
          <w:szCs w:val="22"/>
        </w:rPr>
        <w:t>Alpine Natural Gas Operating Company No. 1, LLC, Golden State Water Company on behalf of Bear Valley Electric Service Division, Liberty Utilities</w:t>
      </w:r>
      <w:r>
        <w:rPr>
          <w:rFonts w:cstheme="minorBidi"/>
          <w:szCs w:val="22"/>
        </w:rPr>
        <w:t> </w:t>
      </w:r>
      <w:r w:rsidRPr="00292155">
        <w:rPr>
          <w:rFonts w:cstheme="minorBidi"/>
          <w:szCs w:val="22"/>
        </w:rPr>
        <w:t>LLC, PacifiCorp, Southwest Gas Corporation, and West Coast Gas Company’s must comply with all guidance and directives set forth in Attachment 1.</w:t>
      </w:r>
    </w:p>
    <w:p w:rsidRPr="00292155" w:rsidR="008959A4" w:rsidP="008959A4" w:rsidRDefault="008959A4" w14:paraId="279964CD" w14:textId="77777777">
      <w:pPr>
        <w:numPr>
          <w:ilvl w:val="0"/>
          <w:numId w:val="3"/>
        </w:numPr>
        <w:spacing w:line="360" w:lineRule="auto"/>
        <w:rPr>
          <w:rFonts w:cstheme="minorBidi"/>
          <w:szCs w:val="22"/>
        </w:rPr>
      </w:pPr>
      <w:r w:rsidRPr="00292155">
        <w:rPr>
          <w:rFonts w:cstheme="minorBidi"/>
          <w:szCs w:val="22"/>
        </w:rPr>
        <w:t>All other requests not specifically approved in this decision are hereby denied.</w:t>
      </w:r>
    </w:p>
    <w:p w:rsidRPr="00292155" w:rsidR="008959A4" w:rsidP="008959A4" w:rsidRDefault="008959A4" w14:paraId="42BCD8F9" w14:textId="77777777">
      <w:pPr>
        <w:numPr>
          <w:ilvl w:val="0"/>
          <w:numId w:val="3"/>
        </w:numPr>
        <w:spacing w:line="360" w:lineRule="auto"/>
        <w:rPr>
          <w:rFonts w:cstheme="minorBidi"/>
          <w:szCs w:val="22"/>
        </w:rPr>
      </w:pPr>
      <w:r w:rsidRPr="00292155">
        <w:rPr>
          <w:rFonts w:cstheme="minorBidi"/>
          <w:szCs w:val="22"/>
        </w:rPr>
        <w:t xml:space="preserve">All outstanding motions </w:t>
      </w:r>
      <w:r>
        <w:rPr>
          <w:rFonts w:cstheme="minorBidi"/>
          <w:szCs w:val="22"/>
        </w:rPr>
        <w:t xml:space="preserve">not approved within this decision </w:t>
      </w:r>
      <w:r w:rsidRPr="00292155">
        <w:rPr>
          <w:rFonts w:cstheme="minorBidi"/>
          <w:szCs w:val="22"/>
        </w:rPr>
        <w:t>are hereby denied.</w:t>
      </w:r>
    </w:p>
    <w:p w:rsidRPr="00292155" w:rsidR="008959A4" w:rsidP="008959A4" w:rsidRDefault="008959A4" w14:paraId="61DCB3C1" w14:textId="77777777">
      <w:pPr>
        <w:numPr>
          <w:ilvl w:val="0"/>
          <w:numId w:val="3"/>
        </w:numPr>
        <w:spacing w:line="360" w:lineRule="auto"/>
        <w:rPr>
          <w:rFonts w:cstheme="minorBidi"/>
          <w:szCs w:val="22"/>
        </w:rPr>
      </w:pPr>
      <w:r w:rsidRPr="00292155">
        <w:rPr>
          <w:rFonts w:cstheme="minorBidi"/>
          <w:szCs w:val="22"/>
        </w:rPr>
        <w:t>Applications (A.) 20-03-014, A.20-05-014, A.20-05-015, A.20-05-016, A.20</w:t>
      </w:r>
      <w:r w:rsidRPr="00292155">
        <w:rPr>
          <w:rFonts w:cstheme="minorBidi"/>
          <w:szCs w:val="22"/>
        </w:rPr>
        <w:noBreakHyphen/>
        <w:t xml:space="preserve">05-017 and A.20-06-004 are closed.  </w:t>
      </w:r>
    </w:p>
    <w:p w:rsidRPr="007504FC" w:rsidR="008959A4" w:rsidP="008959A4" w:rsidRDefault="008959A4" w14:paraId="6AE8D125" w14:textId="77777777">
      <w:pPr>
        <w:pStyle w:val="ALJBodyText"/>
        <w:keepNext/>
        <w:keepLines/>
      </w:pPr>
      <w:r w:rsidRPr="007504FC">
        <w:t>This order is effective today.</w:t>
      </w:r>
    </w:p>
    <w:p w:rsidR="008959A4" w:rsidP="008959A4" w:rsidRDefault="008959A4" w14:paraId="00AC7713" w14:textId="77777777">
      <w:pPr>
        <w:pStyle w:val="ALJBodyText"/>
        <w:keepNext/>
        <w:keepLines/>
        <w:sectPr w:rsidR="008959A4" w:rsidSect="007C687F">
          <w:headerReference w:type="default" r:id="rId17"/>
          <w:footerReference w:type="default" r:id="rId18"/>
          <w:pgSz w:w="12240" w:h="15840"/>
          <w:pgMar w:top="1728" w:right="1440" w:bottom="1440" w:left="1440" w:header="720" w:footer="720" w:gutter="0"/>
          <w:pgNumType w:start="2"/>
          <w:cols w:space="720"/>
          <w:docGrid w:linePitch="360"/>
        </w:sectPr>
      </w:pPr>
      <w:r w:rsidRPr="007504FC">
        <w:t xml:space="preserve">Dated </w:t>
      </w:r>
      <w:r>
        <w:t>________________________,</w:t>
      </w:r>
      <w:r w:rsidRPr="007504FC">
        <w:t xml:space="preserve"> at San Francisco, California.</w:t>
      </w:r>
    </w:p>
    <w:p w:rsidRPr="00F25FBE" w:rsidR="008959A4" w:rsidP="008959A4" w:rsidRDefault="008959A4" w14:paraId="7360C67A" w14:textId="77777777">
      <w:pPr>
        <w:widowControl w:val="0"/>
        <w:jc w:val="center"/>
        <w:rPr>
          <w:rFonts w:eastAsia="Calibri"/>
          <w:sz w:val="56"/>
          <w:szCs w:val="56"/>
        </w:rPr>
      </w:pPr>
      <w:bookmarkStart w:name="_Hlk81896409" w:id="363"/>
    </w:p>
    <w:p w:rsidRPr="00F25FBE" w:rsidR="008959A4" w:rsidP="008959A4" w:rsidRDefault="008959A4" w14:paraId="62AB2776" w14:textId="77777777">
      <w:pPr>
        <w:widowControl w:val="0"/>
        <w:jc w:val="center"/>
        <w:rPr>
          <w:rFonts w:eastAsia="Calibri"/>
          <w:sz w:val="56"/>
          <w:szCs w:val="56"/>
        </w:rPr>
      </w:pPr>
    </w:p>
    <w:p w:rsidRPr="00F25FBE" w:rsidR="008959A4" w:rsidP="008959A4" w:rsidRDefault="008959A4" w14:paraId="5B15C9E2" w14:textId="77777777">
      <w:pPr>
        <w:widowControl w:val="0"/>
        <w:jc w:val="center"/>
        <w:rPr>
          <w:rFonts w:eastAsia="Calibri"/>
          <w:sz w:val="56"/>
          <w:szCs w:val="56"/>
        </w:rPr>
      </w:pPr>
    </w:p>
    <w:p w:rsidRPr="00F25FBE" w:rsidR="008959A4" w:rsidP="008959A4" w:rsidRDefault="008959A4" w14:paraId="6DEED225" w14:textId="77777777">
      <w:pPr>
        <w:widowControl w:val="0"/>
        <w:jc w:val="center"/>
        <w:rPr>
          <w:rFonts w:eastAsia="Calibri"/>
          <w:sz w:val="56"/>
          <w:szCs w:val="56"/>
        </w:rPr>
      </w:pPr>
    </w:p>
    <w:p w:rsidRPr="00F25FBE" w:rsidR="008959A4" w:rsidP="008959A4" w:rsidRDefault="008959A4" w14:paraId="7E00B69F" w14:textId="77777777">
      <w:pPr>
        <w:widowControl w:val="0"/>
        <w:jc w:val="center"/>
        <w:rPr>
          <w:rFonts w:eastAsia="Calibri"/>
          <w:sz w:val="56"/>
          <w:szCs w:val="56"/>
        </w:rPr>
      </w:pPr>
    </w:p>
    <w:p w:rsidRPr="00F25FBE" w:rsidR="008959A4" w:rsidP="008959A4" w:rsidRDefault="008959A4" w14:paraId="7C6AE23A" w14:textId="77777777">
      <w:pPr>
        <w:widowControl w:val="0"/>
        <w:jc w:val="center"/>
        <w:rPr>
          <w:rFonts w:eastAsia="Calibri"/>
          <w:sz w:val="56"/>
          <w:szCs w:val="56"/>
        </w:rPr>
      </w:pPr>
      <w:r w:rsidRPr="00F25FBE">
        <w:rPr>
          <w:rFonts w:eastAsia="Calibri"/>
          <w:sz w:val="56"/>
          <w:szCs w:val="56"/>
        </w:rPr>
        <w:t xml:space="preserve">ATTACHMENT 1 </w:t>
      </w:r>
    </w:p>
    <w:p w:rsidRPr="00F25FBE" w:rsidR="008959A4" w:rsidP="008959A4" w:rsidRDefault="008959A4" w14:paraId="2B75BDA3" w14:textId="77777777">
      <w:pPr>
        <w:widowControl w:val="0"/>
        <w:jc w:val="center"/>
        <w:rPr>
          <w:rFonts w:eastAsia="Calibri"/>
          <w:sz w:val="56"/>
          <w:szCs w:val="56"/>
        </w:rPr>
      </w:pPr>
    </w:p>
    <w:bookmarkEnd w:id="363"/>
    <w:p w:rsidRPr="00F25FBE" w:rsidR="008959A4" w:rsidP="008959A4" w:rsidRDefault="008959A4" w14:paraId="5EF8E5B6" w14:textId="77777777">
      <w:pPr>
        <w:widowControl w:val="0"/>
        <w:jc w:val="center"/>
        <w:rPr>
          <w:rFonts w:eastAsia="Book Antiqua" w:cs="Book Antiqua"/>
          <w:b/>
          <w:bCs/>
          <w:szCs w:val="26"/>
          <w:u w:val="single"/>
        </w:rPr>
        <w:sectPr w:rsidRPr="00F25FBE" w:rsidR="008959A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r w:rsidRPr="00F25FBE">
        <w:rPr>
          <w:rFonts w:eastAsia="Calibri"/>
          <w:sz w:val="52"/>
          <w:szCs w:val="52"/>
        </w:rPr>
        <w:t>Energy Savings Assistance Program’s Compliance Filing Requirements, Program Years 2021-2026</w:t>
      </w:r>
    </w:p>
    <w:p w:rsidRPr="00F25FBE" w:rsidR="008959A4" w:rsidP="008959A4" w:rsidRDefault="008959A4" w14:paraId="0D916C9C" w14:textId="006D0D81">
      <w:pPr>
        <w:spacing w:beforeAutospacing="1" w:afterAutospacing="1" w:line="360" w:lineRule="auto"/>
        <w:rPr>
          <w:rFonts w:eastAsia="Times New Roman"/>
          <w:szCs w:val="26"/>
        </w:rPr>
      </w:pPr>
      <w:r w:rsidRPr="00F25FBE">
        <w:rPr>
          <w:rFonts w:eastAsia="Book Antiqua" w:cs="Book Antiqua"/>
          <w:b/>
          <w:bCs/>
          <w:szCs w:val="26"/>
          <w:u w:val="single"/>
        </w:rPr>
        <w:lastRenderedPageBreak/>
        <w:t>Summary</w:t>
      </w:r>
      <w:r w:rsidRPr="00F25FBE">
        <w:rPr>
          <w:rFonts w:eastAsia="Book Antiqua" w:cs="Book Antiqua"/>
          <w:szCs w:val="26"/>
        </w:rPr>
        <w:t>: Alpine Natural Gas Operating Company No. 1, LLC, Golden State Water Company on behalf of Bear Valley Electric Service Division, Liberty Utilities LLC, PacifiCorp, and Southwest Gas Corporation (SMJUs) are to meet and confer, and jointly submit a</w:t>
      </w:r>
      <w:r w:rsidRPr="00F25FBE">
        <w:rPr>
          <w:rFonts w:eastAsia="Times New Roman"/>
          <w:szCs w:val="26"/>
        </w:rPr>
        <w:t xml:space="preserve"> </w:t>
      </w:r>
      <w:r w:rsidRPr="00F25FBE">
        <w:rPr>
          <w:rFonts w:eastAsia="Book Antiqua" w:cs="Book Antiqua"/>
          <w:szCs w:val="26"/>
        </w:rPr>
        <w:t>compliance filing</w:t>
      </w:r>
      <w:r w:rsidRPr="00F25FBE">
        <w:rPr>
          <w:rFonts w:eastAsia="Times New Roman"/>
          <w:szCs w:val="26"/>
        </w:rPr>
        <w:t xml:space="preserve"> </w:t>
      </w:r>
      <w:r w:rsidRPr="00F25FBE">
        <w:rPr>
          <w:rFonts w:eastAsia="Book Antiqua" w:cs="Book Antiqua"/>
          <w:szCs w:val="26"/>
        </w:rPr>
        <w:t xml:space="preserve">via a Tier 2 advice letter </w:t>
      </w:r>
      <w:r w:rsidR="001E6AEE">
        <w:rPr>
          <w:rFonts w:eastAsia="Book Antiqua" w:cs="Book Antiqua"/>
          <w:szCs w:val="26"/>
        </w:rPr>
        <w:t>120 </w:t>
      </w:r>
      <w:r w:rsidRPr="00F25FBE">
        <w:rPr>
          <w:rFonts w:eastAsia="Book Antiqua" w:cs="Book Antiqua"/>
          <w:szCs w:val="26"/>
        </w:rPr>
        <w:t xml:space="preserve">days after the </w:t>
      </w:r>
      <w:r>
        <w:rPr>
          <w:rFonts w:cstheme="minorBidi"/>
          <w:szCs w:val="22"/>
        </w:rPr>
        <w:t>effective date</w:t>
      </w:r>
      <w:r w:rsidRPr="00292155">
        <w:rPr>
          <w:rFonts w:cstheme="minorBidi"/>
          <w:szCs w:val="22"/>
        </w:rPr>
        <w:t xml:space="preserve"> </w:t>
      </w:r>
      <w:r w:rsidRPr="00F25FBE">
        <w:rPr>
          <w:rFonts w:eastAsia="Book Antiqua" w:cs="Book Antiqua"/>
          <w:szCs w:val="26"/>
        </w:rPr>
        <w:t>of this decision to categorize the measures approved in their applications into two basic categories of Energy Savings Assistance (ESA) treatment levels: Basic and Plus. The purpose of this is to provide greater statewide consistency in how the ESA program is designed and delivered. The SMJUs shall strive for alignment/conformity in how treatment levels are delivered, and should minimize where there are differences/deviations, and provide rationale for where there is not statewide consistency.</w:t>
      </w:r>
      <w:r w:rsidRPr="00F25FBE">
        <w:rPr>
          <w:rFonts w:eastAsia="Times New Roman"/>
          <w:szCs w:val="26"/>
        </w:rPr>
        <w:t>   </w:t>
      </w:r>
    </w:p>
    <w:p w:rsidRPr="00F25FBE" w:rsidR="008959A4" w:rsidP="008959A4" w:rsidRDefault="008959A4" w14:paraId="1F0048F5" w14:textId="78CA5213">
      <w:pPr>
        <w:numPr>
          <w:ilvl w:val="0"/>
          <w:numId w:val="23"/>
        </w:numPr>
        <w:spacing w:beforeAutospacing="1" w:after="160" w:afterAutospacing="1" w:line="360" w:lineRule="auto"/>
        <w:contextualSpacing/>
        <w:rPr>
          <w:rFonts w:eastAsia="Times New Roman"/>
          <w:szCs w:val="26"/>
        </w:rPr>
      </w:pPr>
      <w:r w:rsidRPr="00F25FBE">
        <w:rPr>
          <w:rFonts w:eastAsia="Book Antiqua" w:cs="Book Antiqua"/>
          <w:b/>
          <w:bCs/>
          <w:szCs w:val="26"/>
          <w:u w:val="single"/>
        </w:rPr>
        <w:t>Treatment Level Names</w:t>
      </w:r>
      <w:r w:rsidRPr="00F25FBE">
        <w:rPr>
          <w:rFonts w:eastAsia="Book Antiqua" w:cs="Book Antiqua"/>
          <w:szCs w:val="26"/>
        </w:rPr>
        <w:t xml:space="preserve">: </w:t>
      </w:r>
      <w:r w:rsidR="00F41EB2">
        <w:rPr>
          <w:rFonts w:eastAsia="Book Antiqua" w:cs="Book Antiqua"/>
          <w:szCs w:val="26"/>
        </w:rPr>
        <w:t xml:space="preserve"> </w:t>
      </w:r>
      <w:r w:rsidRPr="00F25FBE">
        <w:rPr>
          <w:rFonts w:eastAsia="Book Antiqua" w:cs="Book Antiqua"/>
          <w:szCs w:val="26"/>
        </w:rPr>
        <w:t>Table A1 below defines the new treatment level names to be used in the compliance filing.</w:t>
      </w:r>
      <w:r w:rsidRPr="00F25FBE">
        <w:rPr>
          <w:rFonts w:eastAsia="Times New Roman"/>
          <w:szCs w:val="26"/>
        </w:rPr>
        <w:t>   </w:t>
      </w:r>
    </w:p>
    <w:p w:rsidR="008959A4" w:rsidP="008959A4" w:rsidRDefault="008959A4" w14:paraId="68FB9FE4" w14:textId="1A34DB35">
      <w:pPr>
        <w:jc w:val="center"/>
        <w:rPr>
          <w:rFonts w:eastAsia="Book Antiqua" w:cs="Book Antiqua"/>
          <w:b/>
          <w:bCs/>
          <w:szCs w:val="26"/>
        </w:rPr>
      </w:pPr>
      <w:r w:rsidRPr="00F25FBE">
        <w:rPr>
          <w:rFonts w:eastAsia="Book Antiqua" w:cs="Book Antiqua"/>
          <w:b/>
          <w:bCs/>
          <w:szCs w:val="26"/>
        </w:rPr>
        <w:t xml:space="preserve">Table A1: </w:t>
      </w:r>
      <w:r w:rsidR="00F41EB2">
        <w:rPr>
          <w:rFonts w:eastAsia="Book Antiqua" w:cs="Book Antiqua"/>
          <w:b/>
          <w:bCs/>
          <w:szCs w:val="26"/>
        </w:rPr>
        <w:t xml:space="preserve"> </w:t>
      </w:r>
      <w:r w:rsidRPr="00F25FBE">
        <w:rPr>
          <w:rFonts w:eastAsia="Book Antiqua" w:cs="Book Antiqua"/>
          <w:b/>
          <w:bCs/>
          <w:szCs w:val="26"/>
        </w:rPr>
        <w:t xml:space="preserve">Mapping of new Treatment Level Names </w:t>
      </w:r>
    </w:p>
    <w:p w:rsidRPr="00F25FBE" w:rsidR="00F41EB2" w:rsidP="008959A4" w:rsidRDefault="00F41EB2" w14:paraId="2E6956D4" w14:textId="77777777">
      <w:pPr>
        <w:jc w:val="center"/>
        <w:rPr>
          <w:rFonts w:eastAsia="Book Antiqua" w:cs="Book Antiqua"/>
          <w:b/>
          <w:bCs/>
          <w:szCs w:val="26"/>
        </w:rPr>
      </w:pPr>
    </w:p>
    <w:tbl>
      <w:tblPr>
        <w:tblStyle w:val="TableGrid7"/>
        <w:tblW w:w="10522" w:type="dxa"/>
        <w:tblInd w:w="-455" w:type="dxa"/>
        <w:tblLayout w:type="fixed"/>
        <w:tblLook w:val="06A0" w:firstRow="1" w:lastRow="0" w:firstColumn="1" w:lastColumn="0" w:noHBand="1" w:noVBand="1"/>
      </w:tblPr>
      <w:tblGrid>
        <w:gridCol w:w="2177"/>
        <w:gridCol w:w="1521"/>
        <w:gridCol w:w="1522"/>
        <w:gridCol w:w="5302"/>
      </w:tblGrid>
      <w:tr w:rsidRPr="00F25FBE" w:rsidR="008959A4" w:rsidTr="00717A84" w14:paraId="44FCF92B" w14:textId="77777777">
        <w:trPr>
          <w:trHeight w:val="902"/>
        </w:trPr>
        <w:tc>
          <w:tcPr>
            <w:tcW w:w="2177" w:type="dxa"/>
          </w:tcPr>
          <w:p w:rsidRPr="00F25FBE" w:rsidR="008959A4" w:rsidP="00717A84" w:rsidRDefault="008959A4" w14:paraId="1831D335" w14:textId="77777777">
            <w:pPr>
              <w:rPr>
                <w:rFonts w:eastAsia="Calibri"/>
                <w:b/>
                <w:bCs/>
                <w:szCs w:val="26"/>
              </w:rPr>
            </w:pPr>
            <w:r w:rsidRPr="00F25FBE">
              <w:rPr>
                <w:rFonts w:eastAsia="Calibri"/>
                <w:b/>
                <w:bCs/>
                <w:szCs w:val="26"/>
              </w:rPr>
              <w:t>Treatment levels (new naming convention)</w:t>
            </w:r>
          </w:p>
        </w:tc>
        <w:tc>
          <w:tcPr>
            <w:tcW w:w="3043" w:type="dxa"/>
            <w:gridSpan w:val="2"/>
          </w:tcPr>
          <w:p w:rsidRPr="00F25FBE" w:rsidR="008959A4" w:rsidP="00717A84" w:rsidRDefault="008959A4" w14:paraId="4A8068E0" w14:textId="77777777">
            <w:pPr>
              <w:rPr>
                <w:rFonts w:eastAsia="Calibri"/>
                <w:szCs w:val="26"/>
              </w:rPr>
            </w:pPr>
            <w:r w:rsidRPr="00F25FBE">
              <w:rPr>
                <w:rFonts w:eastAsia="Calibri"/>
                <w:szCs w:val="26"/>
              </w:rPr>
              <w:t>Basic level (estimated savings up to 5%)</w:t>
            </w:r>
          </w:p>
        </w:tc>
        <w:tc>
          <w:tcPr>
            <w:tcW w:w="5302" w:type="dxa"/>
          </w:tcPr>
          <w:p w:rsidRPr="00F25FBE" w:rsidR="008959A4" w:rsidP="00717A84" w:rsidRDefault="008959A4" w14:paraId="3B44444C" w14:textId="77777777">
            <w:pPr>
              <w:rPr>
                <w:rFonts w:eastAsia="Calibri"/>
                <w:szCs w:val="26"/>
              </w:rPr>
            </w:pPr>
            <w:r w:rsidRPr="00F25FBE">
              <w:rPr>
                <w:rFonts w:eastAsia="Calibri"/>
                <w:szCs w:val="26"/>
              </w:rPr>
              <w:t>Plus level (estimated savings up to 15%)</w:t>
            </w:r>
          </w:p>
        </w:tc>
      </w:tr>
      <w:tr w:rsidRPr="00F25FBE" w:rsidR="008959A4" w:rsidTr="00717A84" w14:paraId="41286B7E" w14:textId="77777777">
        <w:trPr>
          <w:trHeight w:val="1794"/>
        </w:trPr>
        <w:tc>
          <w:tcPr>
            <w:tcW w:w="2177" w:type="dxa"/>
          </w:tcPr>
          <w:p w:rsidRPr="00F25FBE" w:rsidR="008959A4" w:rsidP="00717A84" w:rsidRDefault="008959A4" w14:paraId="37EFAD21" w14:textId="77777777">
            <w:pPr>
              <w:rPr>
                <w:rFonts w:eastAsia="Calibri"/>
                <w:b/>
                <w:bCs/>
                <w:szCs w:val="26"/>
              </w:rPr>
            </w:pPr>
            <w:r w:rsidRPr="00F25FBE">
              <w:rPr>
                <w:rFonts w:eastAsia="Calibri"/>
                <w:b/>
                <w:bCs/>
                <w:szCs w:val="26"/>
              </w:rPr>
              <w:t>Proposed measure set</w:t>
            </w:r>
          </w:p>
        </w:tc>
        <w:tc>
          <w:tcPr>
            <w:tcW w:w="1521" w:type="dxa"/>
          </w:tcPr>
          <w:p w:rsidRPr="00F25FBE" w:rsidR="008959A4" w:rsidP="00717A84" w:rsidRDefault="008959A4" w14:paraId="00D1A1E9" w14:textId="77777777">
            <w:pPr>
              <w:rPr>
                <w:rFonts w:eastAsia="Calibri"/>
                <w:szCs w:val="26"/>
              </w:rPr>
            </w:pPr>
            <w:r w:rsidRPr="00F25FBE">
              <w:rPr>
                <w:rFonts w:eastAsia="Times New Roman"/>
                <w:szCs w:val="26"/>
              </w:rPr>
              <w:t>Basic- “Self-Certified Income” measure list</w:t>
            </w:r>
          </w:p>
        </w:tc>
        <w:tc>
          <w:tcPr>
            <w:tcW w:w="1522" w:type="dxa"/>
          </w:tcPr>
          <w:p w:rsidRPr="00F25FBE" w:rsidR="008959A4" w:rsidP="00717A84" w:rsidRDefault="008959A4" w14:paraId="053D0FBC" w14:textId="77777777">
            <w:pPr>
              <w:rPr>
                <w:rFonts w:eastAsia="Calibri"/>
                <w:szCs w:val="26"/>
              </w:rPr>
            </w:pPr>
            <w:r w:rsidRPr="00F25FBE">
              <w:rPr>
                <w:rFonts w:eastAsia="Times New Roman"/>
                <w:szCs w:val="26"/>
              </w:rPr>
              <w:t>Basic- “Income Verified” measure list</w:t>
            </w:r>
          </w:p>
        </w:tc>
        <w:tc>
          <w:tcPr>
            <w:tcW w:w="5302" w:type="dxa"/>
          </w:tcPr>
          <w:p w:rsidRPr="00F25FBE" w:rsidR="008959A4" w:rsidP="00717A84" w:rsidRDefault="008959A4" w14:paraId="12915998" w14:textId="77777777">
            <w:pPr>
              <w:rPr>
                <w:rFonts w:eastAsia="Calibri"/>
                <w:szCs w:val="26"/>
              </w:rPr>
            </w:pPr>
            <w:r w:rsidRPr="00F25FBE">
              <w:rPr>
                <w:rFonts w:eastAsia="Calibri"/>
                <w:szCs w:val="26"/>
              </w:rPr>
              <w:t>Additional weatherization and equipment measures beyond Basic treatment, or;</w:t>
            </w:r>
          </w:p>
          <w:p w:rsidRPr="00F25FBE" w:rsidR="008959A4" w:rsidP="00717A84" w:rsidRDefault="008959A4" w14:paraId="6D26E754" w14:textId="77777777">
            <w:pPr>
              <w:rPr>
                <w:rFonts w:eastAsia="Calibri"/>
                <w:szCs w:val="26"/>
              </w:rPr>
            </w:pPr>
          </w:p>
          <w:p w:rsidRPr="00F25FBE" w:rsidR="008959A4" w:rsidP="00717A84" w:rsidRDefault="008959A4" w14:paraId="08856A8D" w14:textId="77777777">
            <w:pPr>
              <w:rPr>
                <w:rFonts w:eastAsia="Calibri"/>
                <w:szCs w:val="26"/>
              </w:rPr>
            </w:pPr>
            <w:r w:rsidRPr="00F25FBE">
              <w:rPr>
                <w:rFonts w:eastAsia="Calibri"/>
                <w:szCs w:val="26"/>
              </w:rPr>
              <w:t>Additional weatherization and equipment measures beyond Basic treatments offered to specific customer segments (e.g. high-usage customers)</w:t>
            </w:r>
          </w:p>
          <w:p w:rsidRPr="00F25FBE" w:rsidR="008959A4" w:rsidP="00717A84" w:rsidRDefault="008959A4" w14:paraId="0155519C" w14:textId="77777777">
            <w:pPr>
              <w:rPr>
                <w:rFonts w:eastAsia="Calibri"/>
                <w:szCs w:val="26"/>
              </w:rPr>
            </w:pPr>
          </w:p>
        </w:tc>
      </w:tr>
    </w:tbl>
    <w:p w:rsidRPr="00F25FBE" w:rsidR="008959A4" w:rsidP="00A65969" w:rsidRDefault="008959A4" w14:paraId="46B0A5DA" w14:textId="77777777">
      <w:pPr>
        <w:rPr>
          <w:rFonts w:eastAsia="Calibri"/>
          <w:szCs w:val="26"/>
        </w:rPr>
      </w:pPr>
    </w:p>
    <w:p w:rsidRPr="00F25FBE" w:rsidR="008959A4" w:rsidP="008959A4" w:rsidRDefault="008959A4" w14:paraId="01D782C7" w14:textId="72ABCDA0">
      <w:pPr>
        <w:numPr>
          <w:ilvl w:val="0"/>
          <w:numId w:val="23"/>
        </w:numPr>
        <w:spacing w:beforeAutospacing="1" w:after="160" w:afterAutospacing="1" w:line="360" w:lineRule="auto"/>
        <w:contextualSpacing/>
        <w:rPr>
          <w:rFonts w:eastAsia="Book Antiqua" w:cs="Book Antiqua"/>
          <w:szCs w:val="26"/>
        </w:rPr>
      </w:pPr>
      <w:r w:rsidRPr="00F25FBE">
        <w:rPr>
          <w:rFonts w:eastAsia="Book Antiqua" w:cs="Book Antiqua"/>
          <w:b/>
          <w:bCs/>
          <w:szCs w:val="26"/>
          <w:u w:val="single"/>
        </w:rPr>
        <w:lastRenderedPageBreak/>
        <w:t>Instructions</w:t>
      </w:r>
      <w:r w:rsidRPr="00F25FBE">
        <w:rPr>
          <w:rFonts w:eastAsia="Book Antiqua" w:cs="Book Antiqua"/>
          <w:szCs w:val="26"/>
        </w:rPr>
        <w:t>:  The SMJUs shall fill out Table A2 with its proposed list of measures, and where applicable, different segments of the ESA population that will be prioritized for those treatments.</w:t>
      </w:r>
      <w:r w:rsidR="006C4778">
        <w:rPr>
          <w:rFonts w:eastAsia="Book Antiqua" w:cs="Book Antiqua"/>
          <w:szCs w:val="26"/>
        </w:rPr>
        <w:t xml:space="preserve"> </w:t>
      </w:r>
      <w:r w:rsidRPr="00F25FBE">
        <w:rPr>
          <w:rFonts w:eastAsia="Book Antiqua" w:cs="Book Antiqua"/>
          <w:szCs w:val="26"/>
        </w:rPr>
        <w:t xml:space="preserve"> The SMJUs shall also list where the measures and treatment segments across treatment levels are consistent or different across the SMJUs. The treatment level is defined in Table A1, and the segments are listed in Table A3. </w:t>
      </w:r>
    </w:p>
    <w:p w:rsidR="008959A4" w:rsidP="008959A4" w:rsidRDefault="008959A4" w14:paraId="43C0B2F5" w14:textId="6300E2C1">
      <w:pPr>
        <w:jc w:val="center"/>
        <w:rPr>
          <w:rFonts w:eastAsia="Book Antiqua" w:cs="Book Antiqua"/>
          <w:b/>
          <w:bCs/>
          <w:szCs w:val="26"/>
        </w:rPr>
      </w:pPr>
      <w:r w:rsidRPr="00F25FBE">
        <w:rPr>
          <w:rFonts w:eastAsia="Book Antiqua" w:cs="Book Antiqua"/>
          <w:b/>
          <w:bCs/>
          <w:szCs w:val="26"/>
        </w:rPr>
        <w:t xml:space="preserve">Table A2: </w:t>
      </w:r>
      <w:r w:rsidR="00F41EB2">
        <w:rPr>
          <w:rFonts w:eastAsia="Book Antiqua" w:cs="Book Antiqua"/>
          <w:b/>
          <w:bCs/>
          <w:szCs w:val="26"/>
        </w:rPr>
        <w:t xml:space="preserve"> </w:t>
      </w:r>
      <w:r w:rsidRPr="00F25FBE">
        <w:rPr>
          <w:rFonts w:eastAsia="Book Antiqua" w:cs="Book Antiqua"/>
          <w:b/>
          <w:bCs/>
          <w:szCs w:val="26"/>
        </w:rPr>
        <w:t xml:space="preserve">SMJU proposed Treatment levels with </w:t>
      </w:r>
      <w:r w:rsidR="00F41EB2">
        <w:rPr>
          <w:rFonts w:eastAsia="Book Antiqua" w:cs="Book Antiqua"/>
          <w:b/>
          <w:bCs/>
          <w:szCs w:val="26"/>
        </w:rPr>
        <w:br/>
      </w:r>
      <w:r w:rsidRPr="00F25FBE">
        <w:rPr>
          <w:rFonts w:eastAsia="Book Antiqua" w:cs="Book Antiqua"/>
          <w:b/>
          <w:bCs/>
          <w:szCs w:val="26"/>
        </w:rPr>
        <w:t>targeted Segments and Measures  </w:t>
      </w:r>
    </w:p>
    <w:p w:rsidRPr="00F25FBE" w:rsidR="00F41EB2" w:rsidP="008959A4" w:rsidRDefault="00F41EB2" w14:paraId="6D410F44" w14:textId="77777777">
      <w:pPr>
        <w:jc w:val="center"/>
        <w:rPr>
          <w:rFonts w:eastAsia="Book Antiqua" w:cs="Book Antiqua"/>
          <w:b/>
          <w:bCs/>
          <w:szCs w:val="26"/>
        </w:rPr>
      </w:pPr>
    </w:p>
    <w:tbl>
      <w:tblPr>
        <w:tblStyle w:val="TableGrid7"/>
        <w:tblW w:w="9985" w:type="dxa"/>
        <w:tblLayout w:type="fixed"/>
        <w:tblLook w:val="06A0" w:firstRow="1" w:lastRow="0" w:firstColumn="1" w:lastColumn="0" w:noHBand="1" w:noVBand="1"/>
      </w:tblPr>
      <w:tblGrid>
        <w:gridCol w:w="1680"/>
        <w:gridCol w:w="2905"/>
        <w:gridCol w:w="2700"/>
        <w:gridCol w:w="2700"/>
      </w:tblGrid>
      <w:tr w:rsidRPr="00F25FBE" w:rsidR="008959A4" w:rsidTr="00717A84" w14:paraId="18BDA7A2" w14:textId="77777777">
        <w:tc>
          <w:tcPr>
            <w:tcW w:w="1680" w:type="dxa"/>
          </w:tcPr>
          <w:p w:rsidRPr="00F25FBE" w:rsidR="008959A4" w:rsidP="00717A84" w:rsidRDefault="008959A4" w14:paraId="529E305B" w14:textId="77777777">
            <w:pPr>
              <w:rPr>
                <w:rFonts w:eastAsia="Times New Roman"/>
                <w:b/>
                <w:bCs/>
                <w:szCs w:val="26"/>
              </w:rPr>
            </w:pPr>
            <w:r w:rsidRPr="00F25FBE">
              <w:rPr>
                <w:rFonts w:eastAsia="Times New Roman"/>
                <w:b/>
                <w:bCs/>
                <w:szCs w:val="26"/>
              </w:rPr>
              <w:t>Treatment level</w:t>
            </w:r>
          </w:p>
        </w:tc>
        <w:tc>
          <w:tcPr>
            <w:tcW w:w="2905" w:type="dxa"/>
          </w:tcPr>
          <w:p w:rsidRPr="00F25FBE" w:rsidR="008959A4" w:rsidP="00717A84" w:rsidRDefault="008959A4" w14:paraId="19B1EB40" w14:textId="77777777">
            <w:pPr>
              <w:jc w:val="center"/>
              <w:rPr>
                <w:rFonts w:eastAsia="Times New Roman"/>
                <w:b/>
                <w:bCs/>
                <w:szCs w:val="26"/>
              </w:rPr>
            </w:pPr>
            <w:r w:rsidRPr="00F25FBE">
              <w:rPr>
                <w:rFonts w:eastAsia="Times New Roman"/>
                <w:b/>
                <w:bCs/>
                <w:szCs w:val="26"/>
              </w:rPr>
              <w:t>Basic Level- Self-Certified Income</w:t>
            </w:r>
          </w:p>
        </w:tc>
        <w:tc>
          <w:tcPr>
            <w:tcW w:w="2700" w:type="dxa"/>
          </w:tcPr>
          <w:p w:rsidRPr="00F25FBE" w:rsidR="008959A4" w:rsidP="00717A84" w:rsidRDefault="008959A4" w14:paraId="599AC812" w14:textId="77777777">
            <w:pPr>
              <w:jc w:val="center"/>
              <w:rPr>
                <w:rFonts w:eastAsia="Times New Roman"/>
                <w:b/>
                <w:bCs/>
                <w:szCs w:val="26"/>
              </w:rPr>
            </w:pPr>
            <w:r w:rsidRPr="00F25FBE">
              <w:rPr>
                <w:rFonts w:eastAsia="Times New Roman"/>
                <w:b/>
                <w:bCs/>
                <w:szCs w:val="26"/>
              </w:rPr>
              <w:t>Basic Level- Income Verified</w:t>
            </w:r>
          </w:p>
        </w:tc>
        <w:tc>
          <w:tcPr>
            <w:tcW w:w="2700" w:type="dxa"/>
          </w:tcPr>
          <w:p w:rsidRPr="00F25FBE" w:rsidR="008959A4" w:rsidP="00717A84" w:rsidRDefault="008959A4" w14:paraId="21FA41DE" w14:textId="77777777">
            <w:pPr>
              <w:jc w:val="center"/>
              <w:rPr>
                <w:rFonts w:eastAsia="Times New Roman"/>
                <w:b/>
                <w:bCs/>
                <w:szCs w:val="26"/>
              </w:rPr>
            </w:pPr>
            <w:r w:rsidRPr="00F25FBE">
              <w:rPr>
                <w:rFonts w:eastAsia="Calibri"/>
                <w:b/>
                <w:bCs/>
                <w:szCs w:val="26"/>
              </w:rPr>
              <w:t>Plus Level- Income Verified</w:t>
            </w:r>
          </w:p>
        </w:tc>
      </w:tr>
      <w:tr w:rsidRPr="00F25FBE" w:rsidR="008959A4" w:rsidTr="00717A84" w14:paraId="5A39240E" w14:textId="77777777">
        <w:tc>
          <w:tcPr>
            <w:tcW w:w="1680" w:type="dxa"/>
          </w:tcPr>
          <w:p w:rsidRPr="00F25FBE" w:rsidR="008959A4" w:rsidP="00717A84" w:rsidRDefault="008959A4" w14:paraId="3ED4BE5B" w14:textId="77777777">
            <w:pPr>
              <w:rPr>
                <w:rFonts w:eastAsia="Times New Roman"/>
                <w:b/>
                <w:bCs/>
                <w:szCs w:val="26"/>
              </w:rPr>
            </w:pPr>
            <w:r w:rsidRPr="00F25FBE">
              <w:rPr>
                <w:rFonts w:eastAsia="Times New Roman"/>
                <w:b/>
                <w:bCs/>
                <w:szCs w:val="26"/>
              </w:rPr>
              <w:t>Consistent across SMJUs</w:t>
            </w:r>
          </w:p>
        </w:tc>
        <w:tc>
          <w:tcPr>
            <w:tcW w:w="2905" w:type="dxa"/>
          </w:tcPr>
          <w:p w:rsidRPr="00F25FBE" w:rsidR="008959A4" w:rsidP="00717A84" w:rsidRDefault="008959A4" w14:paraId="02976DFF" w14:textId="77777777">
            <w:pPr>
              <w:rPr>
                <w:rFonts w:eastAsia="Times New Roman"/>
                <w:szCs w:val="26"/>
              </w:rPr>
            </w:pPr>
            <w:r w:rsidRPr="00F25FBE">
              <w:rPr>
                <w:rFonts w:eastAsia="Times New Roman"/>
                <w:szCs w:val="26"/>
              </w:rPr>
              <w:t>Measure(s) list</w:t>
            </w:r>
          </w:p>
          <w:p w:rsidRPr="00F25FBE" w:rsidR="008959A4" w:rsidP="00717A84" w:rsidRDefault="008959A4" w14:paraId="06638750" w14:textId="77777777">
            <w:pPr>
              <w:rPr>
                <w:rFonts w:eastAsia="Times New Roman"/>
                <w:szCs w:val="26"/>
              </w:rPr>
            </w:pPr>
          </w:p>
          <w:p w:rsidRPr="00F25FBE" w:rsidR="008959A4" w:rsidP="00717A84" w:rsidRDefault="008959A4" w14:paraId="334AB9F8" w14:textId="77777777">
            <w:pPr>
              <w:rPr>
                <w:rFonts w:eastAsia="Times New Roman"/>
                <w:szCs w:val="26"/>
              </w:rPr>
            </w:pPr>
            <w:r w:rsidRPr="00F25FBE">
              <w:rPr>
                <w:rFonts w:eastAsia="Times New Roman"/>
                <w:szCs w:val="26"/>
              </w:rPr>
              <w:t>Target Segment (if any)</w:t>
            </w:r>
          </w:p>
          <w:p w:rsidRPr="00F25FBE" w:rsidR="008959A4" w:rsidP="00717A84" w:rsidRDefault="008959A4" w14:paraId="54CD2883" w14:textId="77777777">
            <w:pPr>
              <w:rPr>
                <w:rFonts w:eastAsia="Times New Roman"/>
                <w:szCs w:val="26"/>
              </w:rPr>
            </w:pPr>
          </w:p>
        </w:tc>
        <w:tc>
          <w:tcPr>
            <w:tcW w:w="2700" w:type="dxa"/>
          </w:tcPr>
          <w:p w:rsidRPr="00F25FBE" w:rsidR="008959A4" w:rsidP="00717A84" w:rsidRDefault="008959A4" w14:paraId="5D981AD8" w14:textId="77777777">
            <w:pPr>
              <w:rPr>
                <w:rFonts w:eastAsia="Times New Roman"/>
                <w:szCs w:val="26"/>
              </w:rPr>
            </w:pPr>
            <w:r w:rsidRPr="00F25FBE">
              <w:rPr>
                <w:rFonts w:eastAsia="Times New Roman"/>
                <w:szCs w:val="26"/>
              </w:rPr>
              <w:t>Measure(s) list</w:t>
            </w:r>
          </w:p>
          <w:p w:rsidRPr="00F25FBE" w:rsidR="008959A4" w:rsidP="00717A84" w:rsidRDefault="008959A4" w14:paraId="2F4AAC2F" w14:textId="77777777">
            <w:pPr>
              <w:rPr>
                <w:rFonts w:eastAsia="Times New Roman"/>
                <w:szCs w:val="26"/>
              </w:rPr>
            </w:pPr>
          </w:p>
          <w:p w:rsidRPr="00F25FBE" w:rsidR="008959A4" w:rsidP="00717A84" w:rsidRDefault="008959A4" w14:paraId="5EBC4723" w14:textId="77777777">
            <w:pPr>
              <w:rPr>
                <w:rFonts w:eastAsia="Times New Roman"/>
                <w:szCs w:val="26"/>
              </w:rPr>
            </w:pPr>
            <w:r w:rsidRPr="00F25FBE">
              <w:rPr>
                <w:rFonts w:eastAsia="Times New Roman"/>
                <w:szCs w:val="26"/>
              </w:rPr>
              <w:t>Target Segment (if any)</w:t>
            </w:r>
          </w:p>
          <w:p w:rsidRPr="00F25FBE" w:rsidR="008959A4" w:rsidP="00717A84" w:rsidRDefault="008959A4" w14:paraId="7801EF2A" w14:textId="77777777">
            <w:pPr>
              <w:rPr>
                <w:rFonts w:eastAsia="Times New Roman"/>
                <w:szCs w:val="26"/>
              </w:rPr>
            </w:pPr>
          </w:p>
        </w:tc>
        <w:tc>
          <w:tcPr>
            <w:tcW w:w="2700" w:type="dxa"/>
          </w:tcPr>
          <w:p w:rsidRPr="00F25FBE" w:rsidR="008959A4" w:rsidP="00717A84" w:rsidRDefault="008959A4" w14:paraId="7D411C35" w14:textId="77777777">
            <w:pPr>
              <w:rPr>
                <w:rFonts w:eastAsia="Times New Roman"/>
                <w:szCs w:val="26"/>
              </w:rPr>
            </w:pPr>
            <w:r w:rsidRPr="00F25FBE">
              <w:rPr>
                <w:rFonts w:eastAsia="Times New Roman"/>
                <w:szCs w:val="26"/>
              </w:rPr>
              <w:t>Measure(s) list</w:t>
            </w:r>
          </w:p>
          <w:p w:rsidRPr="00F25FBE" w:rsidR="008959A4" w:rsidP="00717A84" w:rsidRDefault="008959A4" w14:paraId="45E42A7E" w14:textId="77777777">
            <w:pPr>
              <w:rPr>
                <w:rFonts w:eastAsia="Times New Roman"/>
                <w:szCs w:val="26"/>
              </w:rPr>
            </w:pPr>
          </w:p>
          <w:p w:rsidRPr="00F25FBE" w:rsidR="008959A4" w:rsidP="00717A84" w:rsidRDefault="008959A4" w14:paraId="5D3F0CBF" w14:textId="77777777">
            <w:pPr>
              <w:rPr>
                <w:rFonts w:eastAsia="Times New Roman"/>
                <w:szCs w:val="26"/>
              </w:rPr>
            </w:pPr>
            <w:r w:rsidRPr="00F25FBE">
              <w:rPr>
                <w:rFonts w:eastAsia="Times New Roman"/>
                <w:szCs w:val="26"/>
              </w:rPr>
              <w:t>Target Segment (if any)</w:t>
            </w:r>
          </w:p>
          <w:p w:rsidRPr="00F25FBE" w:rsidR="008959A4" w:rsidP="00717A84" w:rsidRDefault="008959A4" w14:paraId="56D8E795" w14:textId="77777777">
            <w:pPr>
              <w:rPr>
                <w:rFonts w:eastAsia="Times New Roman"/>
                <w:szCs w:val="26"/>
              </w:rPr>
            </w:pPr>
          </w:p>
        </w:tc>
      </w:tr>
      <w:tr w:rsidRPr="00F25FBE" w:rsidR="008959A4" w:rsidTr="00717A84" w14:paraId="10A15552" w14:textId="77777777">
        <w:tc>
          <w:tcPr>
            <w:tcW w:w="1680" w:type="dxa"/>
          </w:tcPr>
          <w:p w:rsidRPr="00F25FBE" w:rsidR="008959A4" w:rsidP="00717A84" w:rsidRDefault="008959A4" w14:paraId="5D2920A0" w14:textId="77777777">
            <w:pPr>
              <w:rPr>
                <w:rFonts w:eastAsia="Times New Roman"/>
                <w:b/>
                <w:bCs/>
                <w:szCs w:val="26"/>
              </w:rPr>
            </w:pPr>
            <w:r w:rsidRPr="00F25FBE">
              <w:rPr>
                <w:rFonts w:eastAsia="Times New Roman"/>
                <w:b/>
                <w:bCs/>
                <w:szCs w:val="26"/>
              </w:rPr>
              <w:t>Different across SMJUs</w:t>
            </w:r>
          </w:p>
        </w:tc>
        <w:tc>
          <w:tcPr>
            <w:tcW w:w="2905" w:type="dxa"/>
          </w:tcPr>
          <w:p w:rsidRPr="00F25FBE" w:rsidR="008959A4" w:rsidP="00717A84" w:rsidRDefault="008959A4" w14:paraId="0DD5776A" w14:textId="77777777">
            <w:pPr>
              <w:rPr>
                <w:rFonts w:eastAsia="Times New Roman"/>
                <w:szCs w:val="26"/>
              </w:rPr>
            </w:pPr>
            <w:r w:rsidRPr="00F25FBE">
              <w:rPr>
                <w:rFonts w:eastAsia="Times New Roman"/>
                <w:szCs w:val="26"/>
              </w:rPr>
              <w:t>Measure(s) list</w:t>
            </w:r>
          </w:p>
          <w:p w:rsidRPr="00F25FBE" w:rsidR="008959A4" w:rsidP="00717A84" w:rsidRDefault="008959A4" w14:paraId="5152D674" w14:textId="77777777">
            <w:pPr>
              <w:rPr>
                <w:rFonts w:eastAsia="Times New Roman"/>
                <w:szCs w:val="26"/>
              </w:rPr>
            </w:pPr>
          </w:p>
          <w:p w:rsidRPr="00F25FBE" w:rsidR="008959A4" w:rsidP="00717A84" w:rsidRDefault="008959A4" w14:paraId="71F9FBC6" w14:textId="77777777">
            <w:pPr>
              <w:rPr>
                <w:rFonts w:eastAsia="Times New Roman"/>
                <w:szCs w:val="26"/>
              </w:rPr>
            </w:pPr>
            <w:r w:rsidRPr="00F25FBE">
              <w:rPr>
                <w:rFonts w:eastAsia="Times New Roman"/>
                <w:szCs w:val="26"/>
              </w:rPr>
              <w:t>Target Segment (if any)</w:t>
            </w:r>
          </w:p>
        </w:tc>
        <w:tc>
          <w:tcPr>
            <w:tcW w:w="2700" w:type="dxa"/>
          </w:tcPr>
          <w:p w:rsidRPr="00F25FBE" w:rsidR="008959A4" w:rsidP="00717A84" w:rsidRDefault="008959A4" w14:paraId="1E3CE0C1" w14:textId="77777777">
            <w:pPr>
              <w:rPr>
                <w:rFonts w:eastAsia="Times New Roman"/>
                <w:szCs w:val="26"/>
              </w:rPr>
            </w:pPr>
            <w:r w:rsidRPr="00F25FBE">
              <w:rPr>
                <w:rFonts w:eastAsia="Times New Roman"/>
                <w:szCs w:val="26"/>
              </w:rPr>
              <w:t>Measure(s) list</w:t>
            </w:r>
          </w:p>
          <w:p w:rsidRPr="00F25FBE" w:rsidR="008959A4" w:rsidP="00717A84" w:rsidRDefault="008959A4" w14:paraId="20870F7A" w14:textId="77777777">
            <w:pPr>
              <w:rPr>
                <w:rFonts w:eastAsia="Times New Roman"/>
                <w:szCs w:val="26"/>
              </w:rPr>
            </w:pPr>
          </w:p>
          <w:p w:rsidRPr="00F25FBE" w:rsidR="008959A4" w:rsidP="00717A84" w:rsidRDefault="008959A4" w14:paraId="78697A1B" w14:textId="77777777">
            <w:pPr>
              <w:rPr>
                <w:rFonts w:eastAsia="Times New Roman"/>
                <w:szCs w:val="26"/>
              </w:rPr>
            </w:pPr>
            <w:r w:rsidRPr="00F25FBE">
              <w:rPr>
                <w:rFonts w:eastAsia="Times New Roman"/>
                <w:szCs w:val="26"/>
              </w:rPr>
              <w:t>Target Segment (if any)</w:t>
            </w:r>
          </w:p>
        </w:tc>
        <w:tc>
          <w:tcPr>
            <w:tcW w:w="2700" w:type="dxa"/>
          </w:tcPr>
          <w:p w:rsidRPr="00F25FBE" w:rsidR="008959A4" w:rsidP="00717A84" w:rsidRDefault="008959A4" w14:paraId="017E6642" w14:textId="77777777">
            <w:pPr>
              <w:rPr>
                <w:rFonts w:eastAsia="Times New Roman"/>
                <w:szCs w:val="26"/>
              </w:rPr>
            </w:pPr>
            <w:r w:rsidRPr="00F25FBE">
              <w:rPr>
                <w:rFonts w:eastAsia="Times New Roman"/>
                <w:szCs w:val="26"/>
              </w:rPr>
              <w:t>Measure(s) list</w:t>
            </w:r>
          </w:p>
          <w:p w:rsidRPr="00F25FBE" w:rsidR="008959A4" w:rsidP="00717A84" w:rsidRDefault="008959A4" w14:paraId="69259C9C" w14:textId="77777777">
            <w:pPr>
              <w:rPr>
                <w:rFonts w:eastAsia="Times New Roman"/>
                <w:szCs w:val="26"/>
              </w:rPr>
            </w:pPr>
          </w:p>
          <w:p w:rsidRPr="00F25FBE" w:rsidR="008959A4" w:rsidP="00717A84" w:rsidRDefault="008959A4" w14:paraId="62F5F413" w14:textId="77777777">
            <w:pPr>
              <w:rPr>
                <w:rFonts w:eastAsia="Times New Roman"/>
                <w:szCs w:val="26"/>
              </w:rPr>
            </w:pPr>
            <w:r w:rsidRPr="00F25FBE">
              <w:rPr>
                <w:rFonts w:eastAsia="Times New Roman"/>
                <w:szCs w:val="26"/>
              </w:rPr>
              <w:t>Target Segment (if any)</w:t>
            </w:r>
          </w:p>
        </w:tc>
      </w:tr>
    </w:tbl>
    <w:p w:rsidRPr="00F25FBE" w:rsidR="008959A4" w:rsidP="00A65969" w:rsidRDefault="008959A4" w14:paraId="1852EB28" w14:textId="44FE49D5">
      <w:pPr>
        <w:numPr>
          <w:ilvl w:val="0"/>
          <w:numId w:val="23"/>
        </w:numPr>
        <w:spacing w:before="240" w:after="120"/>
        <w:rPr>
          <w:rFonts w:eastAsia="Book Antiqua" w:cs="Book Antiqua"/>
          <w:szCs w:val="26"/>
        </w:rPr>
      </w:pPr>
      <w:r w:rsidRPr="00F25FBE">
        <w:rPr>
          <w:rFonts w:eastAsia="Book Antiqua" w:cs="Book Antiqua"/>
          <w:b/>
          <w:bCs/>
          <w:szCs w:val="26"/>
          <w:u w:val="single"/>
        </w:rPr>
        <w:t>Advice Letter Criteria:</w:t>
      </w:r>
      <w:r w:rsidRPr="00F25FBE">
        <w:rPr>
          <w:rFonts w:eastAsia="Book Antiqua" w:cs="Book Antiqua"/>
          <w:szCs w:val="26"/>
        </w:rPr>
        <w:t xml:space="preserve"> </w:t>
      </w:r>
      <w:r w:rsidR="00A65969">
        <w:rPr>
          <w:rFonts w:eastAsia="Book Antiqua" w:cs="Book Antiqua"/>
          <w:szCs w:val="26"/>
        </w:rPr>
        <w:t xml:space="preserve"> </w:t>
      </w:r>
      <w:r w:rsidRPr="00F25FBE">
        <w:rPr>
          <w:rFonts w:eastAsia="Book Antiqua" w:cs="Book Antiqua"/>
          <w:szCs w:val="26"/>
        </w:rPr>
        <w:t>The SMJUs will submit a joint advice letter using information from their applications and related directives from the decision. Energy Division will review and dispose of the advice letter if it meets the following criteria:</w:t>
      </w:r>
    </w:p>
    <w:p w:rsidRPr="00F25FBE" w:rsidR="008959A4" w:rsidP="00A65969" w:rsidRDefault="008959A4" w14:paraId="40141222" w14:textId="77777777">
      <w:pPr>
        <w:numPr>
          <w:ilvl w:val="0"/>
          <w:numId w:val="22"/>
        </w:numPr>
        <w:spacing w:after="120"/>
        <w:ind w:right="720"/>
        <w:rPr>
          <w:rFonts w:eastAsia="Calibri"/>
          <w:szCs w:val="26"/>
        </w:rPr>
      </w:pPr>
      <w:r w:rsidRPr="00F25FBE">
        <w:rPr>
          <w:rFonts w:eastAsia="Book Antiqua" w:cs="Book Antiqua"/>
          <w:szCs w:val="26"/>
        </w:rPr>
        <w:t>The SMJUs list each treatment level, customer segment to be treated, and measure(s) to be installed.</w:t>
      </w:r>
    </w:p>
    <w:p w:rsidRPr="00F25FBE" w:rsidR="008959A4" w:rsidP="00A65969" w:rsidRDefault="008959A4" w14:paraId="5D086975" w14:textId="77777777">
      <w:pPr>
        <w:numPr>
          <w:ilvl w:val="0"/>
          <w:numId w:val="22"/>
        </w:numPr>
        <w:spacing w:after="120"/>
        <w:ind w:right="720"/>
        <w:rPr>
          <w:rFonts w:eastAsia="Calibri"/>
          <w:szCs w:val="26"/>
        </w:rPr>
      </w:pPr>
      <w:r w:rsidRPr="00F25FBE">
        <w:rPr>
          <w:rFonts w:eastAsia="Book Antiqua" w:cs="Book Antiqua"/>
          <w:szCs w:val="26"/>
        </w:rPr>
        <w:t>The SMJUs list whether these treatment, segment, and measure combinations are consistent or different across the SMJUs</w:t>
      </w:r>
    </w:p>
    <w:p w:rsidRPr="00F25FBE" w:rsidR="008959A4" w:rsidP="00F41EB2" w:rsidRDefault="008959A4" w14:paraId="26C295CE" w14:textId="77777777">
      <w:pPr>
        <w:numPr>
          <w:ilvl w:val="0"/>
          <w:numId w:val="23"/>
        </w:numPr>
        <w:spacing w:after="120"/>
        <w:rPr>
          <w:rFonts w:eastAsia="Times New Roman"/>
          <w:szCs w:val="26"/>
        </w:rPr>
      </w:pPr>
      <w:r w:rsidRPr="00F25FBE">
        <w:rPr>
          <w:rFonts w:eastAsia="Book Antiqua" w:cs="Book Antiqua"/>
          <w:b/>
          <w:bCs/>
          <w:szCs w:val="26"/>
          <w:u w:val="single"/>
        </w:rPr>
        <w:t>Reporting</w:t>
      </w:r>
      <w:r w:rsidRPr="00F25FBE">
        <w:rPr>
          <w:rFonts w:eastAsia="Book Antiqua" w:cs="Book Antiqua"/>
          <w:szCs w:val="26"/>
        </w:rPr>
        <w:t>:</w:t>
      </w:r>
      <w:r w:rsidRPr="00F25FBE">
        <w:rPr>
          <w:rFonts w:eastAsia="Times New Roman"/>
          <w:szCs w:val="26"/>
        </w:rPr>
        <w:t>  </w:t>
      </w:r>
      <w:r w:rsidRPr="00F25FBE">
        <w:rPr>
          <w:rFonts w:eastAsia="Book Antiqua" w:cs="Book Antiqua"/>
          <w:szCs w:val="26"/>
        </w:rPr>
        <w:t xml:space="preserve">The current list of segment categories (Demographic, Financial, Location, Health Condition) is below. The SMJUs should use this list of ESA customer segments for consistency in naming which segments will be prioritized for which treatment level, and jointly defining each of these customer segments, including the source of the definition, and to use updated </w:t>
      </w:r>
      <w:r w:rsidRPr="00F25FBE">
        <w:rPr>
          <w:rFonts w:eastAsia="Book Antiqua" w:cs="Book Antiqua"/>
          <w:szCs w:val="26"/>
        </w:rPr>
        <w:lastRenderedPageBreak/>
        <w:t xml:space="preserve">definitions from the Commission, ESA, or main energy efficiency proceedings, where available.     </w:t>
      </w:r>
    </w:p>
    <w:p w:rsidR="008959A4" w:rsidP="00A65969" w:rsidRDefault="008959A4" w14:paraId="11F9D3AF" w14:textId="038E857B">
      <w:pPr>
        <w:keepNext/>
        <w:keepLines/>
        <w:jc w:val="center"/>
        <w:rPr>
          <w:rFonts w:eastAsia="Book Antiqua" w:cs="Book Antiqua"/>
          <w:b/>
          <w:bCs/>
          <w:szCs w:val="26"/>
        </w:rPr>
      </w:pPr>
      <w:r w:rsidRPr="00F25FBE">
        <w:rPr>
          <w:rFonts w:eastAsia="Book Antiqua" w:cs="Book Antiqua"/>
          <w:b/>
          <w:bCs/>
          <w:szCs w:val="26"/>
        </w:rPr>
        <w:t>Table A3: ESA Customer Segments</w:t>
      </w:r>
    </w:p>
    <w:p w:rsidRPr="00F25FBE" w:rsidR="00A65969" w:rsidP="00A65969" w:rsidRDefault="00A65969" w14:paraId="0DA35EEF" w14:textId="77777777">
      <w:pPr>
        <w:keepNext/>
        <w:keepLines/>
        <w:jc w:val="center"/>
        <w:rPr>
          <w:rFonts w:eastAsia="Times New Roman"/>
          <w:b/>
          <w:bCs/>
          <w:szCs w:val="26"/>
        </w:rPr>
      </w:pPr>
    </w:p>
    <w:tbl>
      <w:tblPr>
        <w:tblStyle w:val="TableGrid7"/>
        <w:tblW w:w="0" w:type="auto"/>
        <w:tblLayout w:type="fixed"/>
        <w:tblLook w:val="06A0" w:firstRow="1" w:lastRow="0" w:firstColumn="1" w:lastColumn="0" w:noHBand="1" w:noVBand="1"/>
      </w:tblPr>
      <w:tblGrid>
        <w:gridCol w:w="2340"/>
        <w:gridCol w:w="2340"/>
        <w:gridCol w:w="2340"/>
        <w:gridCol w:w="2340"/>
      </w:tblGrid>
      <w:tr w:rsidRPr="00F25FBE" w:rsidR="008959A4" w:rsidTr="00717A84" w14:paraId="3E269DA6" w14:textId="77777777">
        <w:tc>
          <w:tcPr>
            <w:tcW w:w="2340" w:type="dxa"/>
          </w:tcPr>
          <w:p w:rsidRPr="00F25FBE" w:rsidR="008959A4" w:rsidP="00A65969" w:rsidRDefault="008959A4" w14:paraId="383A9DDE" w14:textId="77777777">
            <w:pPr>
              <w:keepNext/>
              <w:keepLines/>
              <w:rPr>
                <w:rFonts w:eastAsia="Times New Roman"/>
                <w:b/>
                <w:bCs/>
                <w:szCs w:val="26"/>
              </w:rPr>
            </w:pPr>
            <w:r w:rsidRPr="00F25FBE">
              <w:rPr>
                <w:rFonts w:eastAsia="Times New Roman"/>
                <w:b/>
                <w:bCs/>
                <w:szCs w:val="26"/>
              </w:rPr>
              <w:t>Demographic</w:t>
            </w:r>
          </w:p>
        </w:tc>
        <w:tc>
          <w:tcPr>
            <w:tcW w:w="2340" w:type="dxa"/>
          </w:tcPr>
          <w:p w:rsidRPr="00F25FBE" w:rsidR="008959A4" w:rsidP="00A65969" w:rsidRDefault="008959A4" w14:paraId="3BC71774" w14:textId="77777777">
            <w:pPr>
              <w:keepNext/>
              <w:keepLines/>
              <w:rPr>
                <w:rFonts w:eastAsia="Times New Roman"/>
                <w:b/>
                <w:bCs/>
                <w:szCs w:val="26"/>
              </w:rPr>
            </w:pPr>
            <w:r w:rsidRPr="00F25FBE">
              <w:rPr>
                <w:rFonts w:eastAsia="Times New Roman"/>
                <w:b/>
                <w:bCs/>
                <w:szCs w:val="26"/>
              </w:rPr>
              <w:t>Financial</w:t>
            </w:r>
          </w:p>
        </w:tc>
        <w:tc>
          <w:tcPr>
            <w:tcW w:w="2340" w:type="dxa"/>
          </w:tcPr>
          <w:p w:rsidRPr="00F25FBE" w:rsidR="008959A4" w:rsidP="00A65969" w:rsidRDefault="008959A4" w14:paraId="5FDB93C2" w14:textId="77777777">
            <w:pPr>
              <w:keepNext/>
              <w:keepLines/>
              <w:rPr>
                <w:rFonts w:eastAsia="Times New Roman"/>
                <w:b/>
                <w:bCs/>
                <w:szCs w:val="26"/>
              </w:rPr>
            </w:pPr>
            <w:r w:rsidRPr="00F25FBE">
              <w:rPr>
                <w:rFonts w:eastAsia="Times New Roman"/>
                <w:b/>
                <w:bCs/>
                <w:szCs w:val="26"/>
              </w:rPr>
              <w:t>Location</w:t>
            </w:r>
          </w:p>
        </w:tc>
        <w:tc>
          <w:tcPr>
            <w:tcW w:w="2340" w:type="dxa"/>
          </w:tcPr>
          <w:p w:rsidRPr="00F25FBE" w:rsidR="008959A4" w:rsidP="00A65969" w:rsidRDefault="008959A4" w14:paraId="05C0526C" w14:textId="77777777">
            <w:pPr>
              <w:keepNext/>
              <w:keepLines/>
              <w:rPr>
                <w:rFonts w:eastAsia="Times New Roman"/>
                <w:b/>
                <w:bCs/>
                <w:szCs w:val="26"/>
              </w:rPr>
            </w:pPr>
            <w:r w:rsidRPr="00F25FBE">
              <w:rPr>
                <w:rFonts w:eastAsia="Times New Roman"/>
                <w:b/>
                <w:bCs/>
                <w:szCs w:val="26"/>
              </w:rPr>
              <w:t>Health Condition</w:t>
            </w:r>
          </w:p>
        </w:tc>
      </w:tr>
      <w:tr w:rsidRPr="00F25FBE" w:rsidR="008959A4" w:rsidTr="00717A84" w14:paraId="0F68F94E" w14:textId="77777777">
        <w:tc>
          <w:tcPr>
            <w:tcW w:w="2340" w:type="dxa"/>
          </w:tcPr>
          <w:p w:rsidRPr="00F25FBE" w:rsidR="008959A4" w:rsidP="00A65969" w:rsidRDefault="008959A4" w14:paraId="6A7ACDC8" w14:textId="77777777">
            <w:pPr>
              <w:keepNext/>
              <w:keepLines/>
              <w:rPr>
                <w:rFonts w:eastAsia="Times New Roman"/>
                <w:szCs w:val="26"/>
              </w:rPr>
            </w:pPr>
            <w:r w:rsidRPr="00F25FBE">
              <w:rPr>
                <w:rFonts w:eastAsia="Times New Roman"/>
                <w:szCs w:val="26"/>
              </w:rPr>
              <w:t>Housing type</w:t>
            </w:r>
          </w:p>
        </w:tc>
        <w:tc>
          <w:tcPr>
            <w:tcW w:w="2340" w:type="dxa"/>
          </w:tcPr>
          <w:p w:rsidRPr="00F25FBE" w:rsidR="008959A4" w:rsidP="00A65969" w:rsidRDefault="008959A4" w14:paraId="043561C1" w14:textId="77777777">
            <w:pPr>
              <w:keepNext/>
              <w:keepLines/>
              <w:rPr>
                <w:rFonts w:eastAsia="Times New Roman"/>
                <w:szCs w:val="26"/>
              </w:rPr>
            </w:pPr>
            <w:r w:rsidRPr="00F25FBE">
              <w:rPr>
                <w:rFonts w:eastAsia="Times New Roman"/>
                <w:szCs w:val="26"/>
              </w:rPr>
              <w:t>CARE</w:t>
            </w:r>
          </w:p>
        </w:tc>
        <w:tc>
          <w:tcPr>
            <w:tcW w:w="2340" w:type="dxa"/>
          </w:tcPr>
          <w:p w:rsidRPr="00F25FBE" w:rsidR="008959A4" w:rsidP="00A65969" w:rsidRDefault="008959A4" w14:paraId="0EF3D267" w14:textId="77777777">
            <w:pPr>
              <w:keepNext/>
              <w:keepLines/>
              <w:rPr>
                <w:rFonts w:eastAsia="Times New Roman"/>
                <w:szCs w:val="26"/>
              </w:rPr>
            </w:pPr>
            <w:r w:rsidRPr="00F25FBE">
              <w:rPr>
                <w:rFonts w:eastAsia="Times New Roman"/>
                <w:szCs w:val="26"/>
              </w:rPr>
              <w:t>DAC</w:t>
            </w:r>
          </w:p>
        </w:tc>
        <w:tc>
          <w:tcPr>
            <w:tcW w:w="2340" w:type="dxa"/>
          </w:tcPr>
          <w:p w:rsidRPr="00F25FBE" w:rsidR="008959A4" w:rsidP="00A65969" w:rsidRDefault="008959A4" w14:paraId="3ADB701E" w14:textId="77777777">
            <w:pPr>
              <w:keepNext/>
              <w:keepLines/>
              <w:rPr>
                <w:rFonts w:eastAsia="Times New Roman"/>
                <w:szCs w:val="26"/>
              </w:rPr>
            </w:pPr>
            <w:r w:rsidRPr="00F25FBE">
              <w:rPr>
                <w:rFonts w:eastAsia="Times New Roman"/>
                <w:szCs w:val="26"/>
              </w:rPr>
              <w:t>Medical Baseline</w:t>
            </w:r>
          </w:p>
        </w:tc>
      </w:tr>
      <w:tr w:rsidRPr="00F25FBE" w:rsidR="008959A4" w:rsidTr="00717A84" w14:paraId="6F35C0FD" w14:textId="77777777">
        <w:tc>
          <w:tcPr>
            <w:tcW w:w="2340" w:type="dxa"/>
          </w:tcPr>
          <w:p w:rsidRPr="00F25FBE" w:rsidR="008959A4" w:rsidP="00A65969" w:rsidRDefault="008959A4" w14:paraId="4930E6F9" w14:textId="77777777">
            <w:pPr>
              <w:keepNext/>
              <w:keepLines/>
              <w:rPr>
                <w:rFonts w:eastAsia="Times New Roman"/>
                <w:szCs w:val="26"/>
              </w:rPr>
            </w:pPr>
            <w:r w:rsidRPr="00F25FBE">
              <w:rPr>
                <w:rFonts w:eastAsia="Times New Roman"/>
                <w:szCs w:val="26"/>
              </w:rPr>
              <w:t>Rent vs Own</w:t>
            </w:r>
          </w:p>
        </w:tc>
        <w:tc>
          <w:tcPr>
            <w:tcW w:w="2340" w:type="dxa"/>
          </w:tcPr>
          <w:p w:rsidRPr="00F25FBE" w:rsidR="008959A4" w:rsidP="00A65969" w:rsidRDefault="008959A4" w14:paraId="7419BCCA" w14:textId="77777777">
            <w:pPr>
              <w:keepNext/>
              <w:keepLines/>
              <w:rPr>
                <w:rFonts w:eastAsia="Times New Roman"/>
                <w:szCs w:val="26"/>
              </w:rPr>
            </w:pPr>
            <w:r w:rsidRPr="00F25FBE">
              <w:rPr>
                <w:rFonts w:eastAsia="Times New Roman"/>
                <w:szCs w:val="26"/>
              </w:rPr>
              <w:t>Disconnected</w:t>
            </w:r>
          </w:p>
        </w:tc>
        <w:tc>
          <w:tcPr>
            <w:tcW w:w="2340" w:type="dxa"/>
          </w:tcPr>
          <w:p w:rsidRPr="00F25FBE" w:rsidR="008959A4" w:rsidP="00A65969" w:rsidRDefault="008959A4" w14:paraId="1A6C8586" w14:textId="77777777">
            <w:pPr>
              <w:keepNext/>
              <w:keepLines/>
              <w:rPr>
                <w:rFonts w:eastAsia="Times New Roman"/>
                <w:szCs w:val="26"/>
              </w:rPr>
            </w:pPr>
            <w:r w:rsidRPr="00F25FBE">
              <w:rPr>
                <w:rFonts w:eastAsia="Times New Roman"/>
                <w:szCs w:val="26"/>
              </w:rPr>
              <w:t>Rural</w:t>
            </w:r>
          </w:p>
        </w:tc>
        <w:tc>
          <w:tcPr>
            <w:tcW w:w="2340" w:type="dxa"/>
          </w:tcPr>
          <w:p w:rsidRPr="00F25FBE" w:rsidR="008959A4" w:rsidP="00A65969" w:rsidRDefault="008959A4" w14:paraId="504B2E22" w14:textId="77777777">
            <w:pPr>
              <w:keepNext/>
              <w:keepLines/>
              <w:rPr>
                <w:rFonts w:eastAsia="Times New Roman"/>
                <w:szCs w:val="26"/>
              </w:rPr>
            </w:pPr>
            <w:r w:rsidRPr="00F25FBE">
              <w:rPr>
                <w:rFonts w:eastAsia="Times New Roman"/>
                <w:szCs w:val="26"/>
              </w:rPr>
              <w:t>Respiratory</w:t>
            </w:r>
          </w:p>
        </w:tc>
      </w:tr>
      <w:tr w:rsidRPr="00F25FBE" w:rsidR="008959A4" w:rsidTr="00717A84" w14:paraId="09A5E27F" w14:textId="77777777">
        <w:tc>
          <w:tcPr>
            <w:tcW w:w="2340" w:type="dxa"/>
          </w:tcPr>
          <w:p w:rsidRPr="00F25FBE" w:rsidR="008959A4" w:rsidP="00A65969" w:rsidRDefault="008959A4" w14:paraId="7C39A6AA" w14:textId="77777777">
            <w:pPr>
              <w:keepNext/>
              <w:keepLines/>
              <w:rPr>
                <w:rFonts w:eastAsia="Times New Roman"/>
                <w:szCs w:val="26"/>
              </w:rPr>
            </w:pPr>
            <w:r w:rsidRPr="00F25FBE">
              <w:rPr>
                <w:rFonts w:eastAsia="Times New Roman"/>
                <w:szCs w:val="26"/>
              </w:rPr>
              <w:t>Previous vs new participant</w:t>
            </w:r>
          </w:p>
        </w:tc>
        <w:tc>
          <w:tcPr>
            <w:tcW w:w="2340" w:type="dxa"/>
          </w:tcPr>
          <w:p w:rsidRPr="00F25FBE" w:rsidR="008959A4" w:rsidP="00A65969" w:rsidRDefault="008959A4" w14:paraId="4ABBB23B" w14:textId="77777777">
            <w:pPr>
              <w:keepNext/>
              <w:keepLines/>
              <w:rPr>
                <w:rFonts w:eastAsia="Times New Roman"/>
                <w:szCs w:val="26"/>
              </w:rPr>
            </w:pPr>
            <w:r w:rsidRPr="00F25FBE">
              <w:rPr>
                <w:rFonts w:eastAsia="Times New Roman"/>
                <w:szCs w:val="26"/>
              </w:rPr>
              <w:t>Arrearages</w:t>
            </w:r>
          </w:p>
        </w:tc>
        <w:tc>
          <w:tcPr>
            <w:tcW w:w="2340" w:type="dxa"/>
          </w:tcPr>
          <w:p w:rsidRPr="00F25FBE" w:rsidR="008959A4" w:rsidP="00A65969" w:rsidRDefault="008959A4" w14:paraId="1DB15F9F" w14:textId="77777777">
            <w:pPr>
              <w:keepNext/>
              <w:keepLines/>
              <w:rPr>
                <w:rFonts w:eastAsia="Times New Roman"/>
                <w:szCs w:val="26"/>
              </w:rPr>
            </w:pPr>
            <w:r w:rsidRPr="00F25FBE">
              <w:rPr>
                <w:rFonts w:eastAsia="Times New Roman"/>
                <w:szCs w:val="26"/>
              </w:rPr>
              <w:t>Tribal</w:t>
            </w:r>
          </w:p>
        </w:tc>
        <w:tc>
          <w:tcPr>
            <w:tcW w:w="2340" w:type="dxa"/>
          </w:tcPr>
          <w:p w:rsidRPr="00F25FBE" w:rsidR="008959A4" w:rsidP="00A65969" w:rsidRDefault="008959A4" w14:paraId="38AE169A" w14:textId="77777777">
            <w:pPr>
              <w:keepNext/>
              <w:keepLines/>
              <w:rPr>
                <w:rFonts w:eastAsia="Times New Roman"/>
                <w:szCs w:val="26"/>
              </w:rPr>
            </w:pPr>
            <w:r w:rsidRPr="00F25FBE">
              <w:rPr>
                <w:rFonts w:eastAsia="Times New Roman"/>
                <w:szCs w:val="26"/>
              </w:rPr>
              <w:t>Disabled</w:t>
            </w:r>
          </w:p>
        </w:tc>
      </w:tr>
      <w:tr w:rsidRPr="00F25FBE" w:rsidR="008959A4" w:rsidTr="00717A84" w14:paraId="5F3471B0" w14:textId="77777777">
        <w:tc>
          <w:tcPr>
            <w:tcW w:w="2340" w:type="dxa"/>
          </w:tcPr>
          <w:p w:rsidRPr="00F25FBE" w:rsidR="008959A4" w:rsidP="00A65969" w:rsidRDefault="008959A4" w14:paraId="3BEEDFBA" w14:textId="77777777">
            <w:pPr>
              <w:keepNext/>
              <w:keepLines/>
              <w:rPr>
                <w:rFonts w:eastAsia="Times New Roman"/>
                <w:szCs w:val="26"/>
              </w:rPr>
            </w:pPr>
            <w:r w:rsidRPr="00F25FBE">
              <w:rPr>
                <w:rFonts w:eastAsia="Times New Roman"/>
                <w:szCs w:val="26"/>
              </w:rPr>
              <w:t>Seniors</w:t>
            </w:r>
          </w:p>
        </w:tc>
        <w:tc>
          <w:tcPr>
            <w:tcW w:w="2340" w:type="dxa"/>
          </w:tcPr>
          <w:p w:rsidRPr="00F25FBE" w:rsidR="008959A4" w:rsidP="00A65969" w:rsidRDefault="008959A4" w14:paraId="5609C83F" w14:textId="77777777">
            <w:pPr>
              <w:keepNext/>
              <w:keepLines/>
              <w:rPr>
                <w:rFonts w:eastAsia="Times New Roman"/>
                <w:szCs w:val="26"/>
              </w:rPr>
            </w:pPr>
            <w:r w:rsidRPr="00F25FBE">
              <w:rPr>
                <w:rFonts w:eastAsia="Times New Roman"/>
                <w:szCs w:val="26"/>
              </w:rPr>
              <w:t>High usage</w:t>
            </w:r>
          </w:p>
        </w:tc>
        <w:tc>
          <w:tcPr>
            <w:tcW w:w="2340" w:type="dxa"/>
          </w:tcPr>
          <w:p w:rsidRPr="00F25FBE" w:rsidR="008959A4" w:rsidP="00A65969" w:rsidRDefault="008959A4" w14:paraId="50540562" w14:textId="77777777">
            <w:pPr>
              <w:keepNext/>
              <w:keepLines/>
              <w:rPr>
                <w:rFonts w:eastAsia="Times New Roman"/>
                <w:szCs w:val="26"/>
              </w:rPr>
            </w:pPr>
            <w:r w:rsidRPr="00F25FBE">
              <w:rPr>
                <w:rFonts w:eastAsia="Times New Roman"/>
                <w:szCs w:val="26"/>
              </w:rPr>
              <w:t>PSPS Zone</w:t>
            </w:r>
          </w:p>
        </w:tc>
        <w:tc>
          <w:tcPr>
            <w:tcW w:w="2340" w:type="dxa"/>
          </w:tcPr>
          <w:p w:rsidRPr="00F25FBE" w:rsidR="008959A4" w:rsidP="00A65969" w:rsidRDefault="008959A4" w14:paraId="425F5B0A" w14:textId="77777777">
            <w:pPr>
              <w:keepNext/>
              <w:keepLines/>
              <w:rPr>
                <w:rFonts w:eastAsia="Times New Roman"/>
                <w:szCs w:val="26"/>
              </w:rPr>
            </w:pPr>
          </w:p>
        </w:tc>
      </w:tr>
      <w:tr w:rsidRPr="00F25FBE" w:rsidR="008959A4" w:rsidTr="00717A84" w14:paraId="01F9AE86" w14:textId="77777777">
        <w:tc>
          <w:tcPr>
            <w:tcW w:w="2340" w:type="dxa"/>
          </w:tcPr>
          <w:p w:rsidRPr="00F25FBE" w:rsidR="008959A4" w:rsidP="00A65969" w:rsidRDefault="008959A4" w14:paraId="79FA4BB8" w14:textId="77777777">
            <w:pPr>
              <w:keepNext/>
              <w:keepLines/>
              <w:rPr>
                <w:rFonts w:eastAsia="Times New Roman"/>
                <w:szCs w:val="26"/>
              </w:rPr>
            </w:pPr>
            <w:r w:rsidRPr="00F25FBE">
              <w:rPr>
                <w:rFonts w:eastAsia="Times New Roman"/>
                <w:szCs w:val="26"/>
              </w:rPr>
              <w:t>Veterans</w:t>
            </w:r>
          </w:p>
        </w:tc>
        <w:tc>
          <w:tcPr>
            <w:tcW w:w="2340" w:type="dxa"/>
          </w:tcPr>
          <w:p w:rsidRPr="00F25FBE" w:rsidR="008959A4" w:rsidP="00A65969" w:rsidRDefault="008959A4" w14:paraId="1237C96F" w14:textId="77777777">
            <w:pPr>
              <w:keepNext/>
              <w:keepLines/>
              <w:rPr>
                <w:rFonts w:eastAsia="Times New Roman"/>
                <w:szCs w:val="26"/>
              </w:rPr>
            </w:pPr>
            <w:r w:rsidRPr="00F25FBE">
              <w:rPr>
                <w:rFonts w:eastAsia="Times New Roman"/>
                <w:szCs w:val="26"/>
              </w:rPr>
              <w:t>High energy burden</w:t>
            </w:r>
          </w:p>
        </w:tc>
        <w:tc>
          <w:tcPr>
            <w:tcW w:w="2340" w:type="dxa"/>
          </w:tcPr>
          <w:p w:rsidRPr="00F25FBE" w:rsidR="008959A4" w:rsidP="00A65969" w:rsidRDefault="008959A4" w14:paraId="013756E8" w14:textId="77777777">
            <w:pPr>
              <w:keepNext/>
              <w:keepLines/>
              <w:rPr>
                <w:rFonts w:eastAsia="Times New Roman"/>
                <w:szCs w:val="26"/>
              </w:rPr>
            </w:pPr>
            <w:r w:rsidRPr="00F25FBE">
              <w:rPr>
                <w:rFonts w:eastAsia="Times New Roman"/>
                <w:szCs w:val="26"/>
              </w:rPr>
              <w:t>Wildfire Zone</w:t>
            </w:r>
          </w:p>
        </w:tc>
        <w:tc>
          <w:tcPr>
            <w:tcW w:w="2340" w:type="dxa"/>
          </w:tcPr>
          <w:p w:rsidRPr="00F25FBE" w:rsidR="008959A4" w:rsidP="00A65969" w:rsidRDefault="008959A4" w14:paraId="430DC2DF" w14:textId="77777777">
            <w:pPr>
              <w:keepNext/>
              <w:keepLines/>
              <w:rPr>
                <w:rFonts w:eastAsia="Times New Roman"/>
                <w:szCs w:val="26"/>
              </w:rPr>
            </w:pPr>
          </w:p>
        </w:tc>
      </w:tr>
      <w:tr w:rsidRPr="00F25FBE" w:rsidR="008959A4" w:rsidTr="00717A84" w14:paraId="3962771D" w14:textId="77777777">
        <w:tc>
          <w:tcPr>
            <w:tcW w:w="2340" w:type="dxa"/>
          </w:tcPr>
          <w:p w:rsidRPr="00F25FBE" w:rsidR="008959A4" w:rsidP="00A65969" w:rsidRDefault="008959A4" w14:paraId="62A8EA86" w14:textId="77777777">
            <w:pPr>
              <w:keepNext/>
              <w:keepLines/>
              <w:rPr>
                <w:rFonts w:eastAsia="Times New Roman"/>
                <w:szCs w:val="26"/>
              </w:rPr>
            </w:pPr>
            <w:r w:rsidRPr="00F25FBE">
              <w:rPr>
                <w:rFonts w:eastAsia="Times New Roman"/>
                <w:szCs w:val="26"/>
              </w:rPr>
              <w:t>Hard-to-reach</w:t>
            </w:r>
          </w:p>
        </w:tc>
        <w:tc>
          <w:tcPr>
            <w:tcW w:w="2340" w:type="dxa"/>
          </w:tcPr>
          <w:p w:rsidRPr="00F25FBE" w:rsidR="008959A4" w:rsidP="00A65969" w:rsidRDefault="008959A4" w14:paraId="0539F818" w14:textId="77777777">
            <w:pPr>
              <w:keepNext/>
              <w:keepLines/>
              <w:rPr>
                <w:rFonts w:eastAsia="Times New Roman"/>
                <w:szCs w:val="26"/>
              </w:rPr>
            </w:pPr>
            <w:r w:rsidRPr="00F25FBE">
              <w:rPr>
                <w:rFonts w:eastAsia="Times New Roman"/>
                <w:szCs w:val="26"/>
              </w:rPr>
              <w:t>SEVI</w:t>
            </w:r>
          </w:p>
        </w:tc>
        <w:tc>
          <w:tcPr>
            <w:tcW w:w="2340" w:type="dxa"/>
          </w:tcPr>
          <w:p w:rsidRPr="00F25FBE" w:rsidR="008959A4" w:rsidP="00A65969" w:rsidRDefault="008959A4" w14:paraId="1BEF59EF" w14:textId="77777777">
            <w:pPr>
              <w:keepNext/>
              <w:keepLines/>
              <w:rPr>
                <w:rFonts w:eastAsia="Times New Roman"/>
                <w:szCs w:val="26"/>
              </w:rPr>
            </w:pPr>
            <w:r w:rsidRPr="00F25FBE">
              <w:rPr>
                <w:rFonts w:eastAsia="Times New Roman"/>
                <w:szCs w:val="26"/>
              </w:rPr>
              <w:t>Climate Zone</w:t>
            </w:r>
          </w:p>
        </w:tc>
        <w:tc>
          <w:tcPr>
            <w:tcW w:w="2340" w:type="dxa"/>
          </w:tcPr>
          <w:p w:rsidRPr="00F25FBE" w:rsidR="008959A4" w:rsidP="00A65969" w:rsidRDefault="008959A4" w14:paraId="4859D58E" w14:textId="77777777">
            <w:pPr>
              <w:keepNext/>
              <w:keepLines/>
              <w:rPr>
                <w:rFonts w:eastAsia="Times New Roman"/>
                <w:szCs w:val="26"/>
              </w:rPr>
            </w:pPr>
          </w:p>
        </w:tc>
      </w:tr>
      <w:tr w:rsidRPr="00F25FBE" w:rsidR="008959A4" w:rsidTr="00717A84" w14:paraId="741B600B" w14:textId="77777777">
        <w:tc>
          <w:tcPr>
            <w:tcW w:w="2340" w:type="dxa"/>
          </w:tcPr>
          <w:p w:rsidRPr="00F25FBE" w:rsidR="008959A4" w:rsidP="00A65969" w:rsidRDefault="008959A4" w14:paraId="118054CD" w14:textId="77777777">
            <w:pPr>
              <w:keepNext/>
              <w:keepLines/>
              <w:rPr>
                <w:rFonts w:eastAsia="Times New Roman"/>
                <w:szCs w:val="26"/>
              </w:rPr>
            </w:pPr>
            <w:r w:rsidRPr="00F25FBE">
              <w:rPr>
                <w:rFonts w:eastAsia="Times New Roman"/>
                <w:szCs w:val="26"/>
              </w:rPr>
              <w:t>Vulnerable</w:t>
            </w:r>
          </w:p>
        </w:tc>
        <w:tc>
          <w:tcPr>
            <w:tcW w:w="2340" w:type="dxa"/>
          </w:tcPr>
          <w:p w:rsidRPr="00F25FBE" w:rsidR="008959A4" w:rsidP="00A65969" w:rsidRDefault="008959A4" w14:paraId="0341F7F8" w14:textId="77777777">
            <w:pPr>
              <w:keepNext/>
              <w:keepLines/>
              <w:rPr>
                <w:rFonts w:eastAsia="Times New Roman"/>
                <w:szCs w:val="26"/>
              </w:rPr>
            </w:pPr>
            <w:r w:rsidRPr="00F25FBE">
              <w:rPr>
                <w:rFonts w:eastAsia="Times New Roman"/>
                <w:szCs w:val="26"/>
              </w:rPr>
              <w:t>Affordability Ratio</w:t>
            </w:r>
          </w:p>
        </w:tc>
        <w:tc>
          <w:tcPr>
            <w:tcW w:w="2340" w:type="dxa"/>
          </w:tcPr>
          <w:p w:rsidRPr="00F25FBE" w:rsidR="008959A4" w:rsidP="00A65969" w:rsidRDefault="008959A4" w14:paraId="14D2A11D" w14:textId="77777777">
            <w:pPr>
              <w:keepNext/>
              <w:keepLines/>
              <w:rPr>
                <w:rFonts w:eastAsia="Times New Roman"/>
                <w:szCs w:val="26"/>
              </w:rPr>
            </w:pPr>
            <w:r w:rsidRPr="00F25FBE">
              <w:rPr>
                <w:rFonts w:eastAsia="Times New Roman"/>
                <w:szCs w:val="26"/>
              </w:rPr>
              <w:t>CARB Communities</w:t>
            </w:r>
          </w:p>
        </w:tc>
        <w:tc>
          <w:tcPr>
            <w:tcW w:w="2340" w:type="dxa"/>
          </w:tcPr>
          <w:p w:rsidRPr="00F25FBE" w:rsidR="008959A4" w:rsidP="00A65969" w:rsidRDefault="008959A4" w14:paraId="6F7B9BF8" w14:textId="77777777">
            <w:pPr>
              <w:keepNext/>
              <w:keepLines/>
              <w:rPr>
                <w:rFonts w:eastAsia="Times New Roman"/>
                <w:szCs w:val="26"/>
              </w:rPr>
            </w:pPr>
          </w:p>
        </w:tc>
      </w:tr>
    </w:tbl>
    <w:p w:rsidRPr="00F25FBE" w:rsidR="008959A4" w:rsidP="008959A4" w:rsidRDefault="008959A4" w14:paraId="59407603" w14:textId="77777777">
      <w:pPr>
        <w:spacing w:beforeAutospacing="1" w:afterAutospacing="1" w:line="360" w:lineRule="auto"/>
        <w:ind w:left="720"/>
        <w:rPr>
          <w:rFonts w:eastAsia="Calibri"/>
          <w:szCs w:val="26"/>
        </w:rPr>
      </w:pPr>
      <w:r w:rsidRPr="00F25FBE">
        <w:rPr>
          <w:rFonts w:eastAsia="Book Antiqua" w:cs="Book Antiqua"/>
          <w:szCs w:val="26"/>
        </w:rPr>
        <w:t xml:space="preserve"> </w:t>
      </w:r>
    </w:p>
    <w:p w:rsidRPr="00F25FBE" w:rsidR="008959A4" w:rsidP="008959A4" w:rsidRDefault="008959A4" w14:paraId="18FC4036" w14:textId="77777777">
      <w:pPr>
        <w:spacing w:beforeAutospacing="1" w:afterAutospacing="1" w:line="360" w:lineRule="auto"/>
        <w:jc w:val="center"/>
        <w:rPr>
          <w:rFonts w:eastAsia="Book Antiqua" w:cs="Book Antiqua"/>
          <w:szCs w:val="26"/>
        </w:rPr>
      </w:pPr>
      <w:r w:rsidRPr="00F25FBE">
        <w:rPr>
          <w:rFonts w:eastAsia="Book Antiqua" w:cs="Book Antiqua"/>
          <w:szCs w:val="26"/>
        </w:rPr>
        <w:t>(END OF ATTACHMENT 1)</w:t>
      </w:r>
    </w:p>
    <w:p w:rsidR="008959A4" w:rsidP="008959A4" w:rsidRDefault="008959A4" w14:paraId="20381968" w14:textId="77777777">
      <w:pPr>
        <w:pStyle w:val="ALJBodyText"/>
        <w:keepNext/>
        <w:keepLines/>
        <w:rPr>
          <w:rFonts w:cs="Palatino"/>
          <w:szCs w:val="26"/>
        </w:rPr>
        <w:sectPr w:rsidR="008959A4" w:rsidSect="00A644AF">
          <w:footerReference w:type="default" r:id="rId25"/>
          <w:pgSz w:w="12240" w:h="15840"/>
          <w:pgMar w:top="1440" w:right="1440" w:bottom="1440" w:left="1440" w:header="720" w:footer="720" w:gutter="0"/>
          <w:pgNumType w:start="1"/>
          <w:cols w:space="720"/>
          <w:docGrid w:linePitch="360"/>
        </w:sectPr>
      </w:pPr>
    </w:p>
    <w:p w:rsidRPr="00F25FBE" w:rsidR="008959A4" w:rsidP="008959A4" w:rsidRDefault="008959A4" w14:paraId="233370B1" w14:textId="77777777">
      <w:pPr>
        <w:widowControl w:val="0"/>
        <w:jc w:val="center"/>
        <w:rPr>
          <w:rFonts w:eastAsia="Calibri"/>
          <w:sz w:val="56"/>
          <w:szCs w:val="56"/>
        </w:rPr>
      </w:pPr>
    </w:p>
    <w:p w:rsidRPr="00F25FBE" w:rsidR="008959A4" w:rsidP="008959A4" w:rsidRDefault="008959A4" w14:paraId="0776FBD7" w14:textId="77777777">
      <w:pPr>
        <w:widowControl w:val="0"/>
        <w:jc w:val="center"/>
        <w:rPr>
          <w:rFonts w:eastAsia="Calibri"/>
          <w:sz w:val="56"/>
          <w:szCs w:val="56"/>
        </w:rPr>
      </w:pPr>
    </w:p>
    <w:p w:rsidRPr="00F25FBE" w:rsidR="008959A4" w:rsidP="008959A4" w:rsidRDefault="008959A4" w14:paraId="7AA809CB" w14:textId="77777777">
      <w:pPr>
        <w:widowControl w:val="0"/>
        <w:jc w:val="center"/>
        <w:rPr>
          <w:rFonts w:eastAsia="Calibri"/>
          <w:sz w:val="56"/>
          <w:szCs w:val="56"/>
        </w:rPr>
      </w:pPr>
    </w:p>
    <w:p w:rsidRPr="00F25FBE" w:rsidR="008959A4" w:rsidP="008959A4" w:rsidRDefault="008959A4" w14:paraId="1B8CB4C6" w14:textId="77777777">
      <w:pPr>
        <w:widowControl w:val="0"/>
        <w:jc w:val="center"/>
        <w:rPr>
          <w:rFonts w:eastAsia="Calibri"/>
          <w:sz w:val="56"/>
          <w:szCs w:val="56"/>
        </w:rPr>
      </w:pPr>
    </w:p>
    <w:p w:rsidRPr="00F25FBE" w:rsidR="008959A4" w:rsidP="008959A4" w:rsidRDefault="008959A4" w14:paraId="7FFFC580" w14:textId="77777777">
      <w:pPr>
        <w:widowControl w:val="0"/>
        <w:jc w:val="center"/>
        <w:rPr>
          <w:rFonts w:eastAsia="Calibri"/>
          <w:sz w:val="56"/>
          <w:szCs w:val="56"/>
        </w:rPr>
      </w:pPr>
    </w:p>
    <w:p w:rsidRPr="00F25FBE" w:rsidR="008959A4" w:rsidP="008959A4" w:rsidRDefault="008959A4" w14:paraId="1248BAD6" w14:textId="77777777">
      <w:pPr>
        <w:widowControl w:val="0"/>
        <w:jc w:val="center"/>
        <w:rPr>
          <w:rFonts w:eastAsia="Calibri"/>
          <w:sz w:val="56"/>
          <w:szCs w:val="56"/>
        </w:rPr>
      </w:pPr>
      <w:r w:rsidRPr="00F25FBE">
        <w:rPr>
          <w:rFonts w:eastAsia="Calibri"/>
          <w:sz w:val="56"/>
          <w:szCs w:val="56"/>
        </w:rPr>
        <w:t xml:space="preserve">ATTACHMENT 2 </w:t>
      </w:r>
    </w:p>
    <w:p w:rsidRPr="00F25FBE" w:rsidR="008959A4" w:rsidP="008959A4" w:rsidRDefault="008959A4" w14:paraId="0B34569F" w14:textId="77777777">
      <w:pPr>
        <w:widowControl w:val="0"/>
        <w:jc w:val="center"/>
        <w:rPr>
          <w:rFonts w:eastAsia="Calibri"/>
          <w:sz w:val="56"/>
          <w:szCs w:val="56"/>
        </w:rPr>
      </w:pPr>
    </w:p>
    <w:p w:rsidRPr="00F25FBE" w:rsidR="008959A4" w:rsidP="008959A4" w:rsidRDefault="008959A4" w14:paraId="71EBD20C" w14:textId="77777777">
      <w:pPr>
        <w:widowControl w:val="0"/>
        <w:jc w:val="center"/>
        <w:rPr>
          <w:rFonts w:eastAsia="Calibri"/>
          <w:sz w:val="52"/>
          <w:szCs w:val="52"/>
        </w:rPr>
      </w:pPr>
      <w:r w:rsidRPr="00F25FBE">
        <w:rPr>
          <w:rFonts w:eastAsia="Calibri"/>
          <w:sz w:val="52"/>
          <w:szCs w:val="52"/>
        </w:rPr>
        <w:t>EXHIBIT LIST</w:t>
      </w:r>
    </w:p>
    <w:p w:rsidRPr="00F25FBE" w:rsidR="008959A4" w:rsidP="008959A4" w:rsidRDefault="008959A4" w14:paraId="7EE610B7" w14:textId="77777777">
      <w:pPr>
        <w:spacing w:before="100" w:beforeAutospacing="1" w:after="100" w:afterAutospacing="1" w:line="360" w:lineRule="auto"/>
        <w:rPr>
          <w:rFonts w:eastAsia="Book Antiqua" w:cs="Book Antiqua"/>
          <w:b/>
          <w:bCs/>
          <w:szCs w:val="26"/>
          <w:u w:val="single"/>
        </w:rPr>
        <w:sectPr w:rsidRPr="00F25FBE" w:rsidR="008959A4">
          <w:headerReference w:type="default" r:id="rId26"/>
          <w:footerReference w:type="default" r:id="rId2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747"/>
        <w:gridCol w:w="1815"/>
        <w:gridCol w:w="2913"/>
        <w:gridCol w:w="1440"/>
        <w:gridCol w:w="1435"/>
      </w:tblGrid>
      <w:tr w:rsidRPr="00F25FBE" w:rsidR="008959A4" w:rsidTr="00717A84" w14:paraId="007ACA48" w14:textId="77777777">
        <w:trPr>
          <w:tblHeader/>
        </w:trPr>
        <w:tc>
          <w:tcPr>
            <w:tcW w:w="1747" w:type="dxa"/>
            <w:shd w:val="clear" w:color="auto" w:fill="E7E6E6" w:themeFill="background2"/>
          </w:tcPr>
          <w:p w:rsidRPr="00F25FBE" w:rsidR="008959A4" w:rsidP="00717A84" w:rsidRDefault="008959A4" w14:paraId="5B1C2E25" w14:textId="77777777">
            <w:pPr>
              <w:jc w:val="center"/>
              <w:rPr>
                <w:rFonts w:cstheme="minorBidi"/>
                <w:b/>
                <w:bCs/>
                <w:szCs w:val="26"/>
              </w:rPr>
            </w:pPr>
            <w:r w:rsidRPr="00F25FBE">
              <w:rPr>
                <w:rFonts w:cstheme="minorBidi"/>
                <w:b/>
                <w:bCs/>
                <w:szCs w:val="26"/>
              </w:rPr>
              <w:lastRenderedPageBreak/>
              <w:t xml:space="preserve">Exhibit # </w:t>
            </w:r>
          </w:p>
        </w:tc>
        <w:tc>
          <w:tcPr>
            <w:tcW w:w="1815" w:type="dxa"/>
            <w:shd w:val="clear" w:color="auto" w:fill="E7E6E6" w:themeFill="background2"/>
          </w:tcPr>
          <w:p w:rsidRPr="00F25FBE" w:rsidR="008959A4" w:rsidP="00717A84" w:rsidRDefault="008959A4" w14:paraId="63233069" w14:textId="77777777">
            <w:pPr>
              <w:jc w:val="center"/>
              <w:rPr>
                <w:rFonts w:cstheme="minorBidi"/>
                <w:b/>
                <w:bCs/>
                <w:szCs w:val="26"/>
              </w:rPr>
            </w:pPr>
            <w:r w:rsidRPr="00F25FBE">
              <w:rPr>
                <w:rFonts w:cstheme="minorBidi"/>
                <w:b/>
                <w:bCs/>
                <w:szCs w:val="26"/>
              </w:rPr>
              <w:t>Sponsoring Party</w:t>
            </w:r>
          </w:p>
        </w:tc>
        <w:tc>
          <w:tcPr>
            <w:tcW w:w="2913" w:type="dxa"/>
            <w:shd w:val="clear" w:color="auto" w:fill="E7E6E6" w:themeFill="background2"/>
          </w:tcPr>
          <w:p w:rsidRPr="00F25FBE" w:rsidR="008959A4" w:rsidP="00717A84" w:rsidRDefault="008959A4" w14:paraId="5805065B" w14:textId="77777777">
            <w:pPr>
              <w:jc w:val="center"/>
              <w:rPr>
                <w:rFonts w:cstheme="minorBidi"/>
                <w:b/>
                <w:bCs/>
                <w:szCs w:val="26"/>
              </w:rPr>
            </w:pPr>
            <w:r w:rsidRPr="00F25FBE">
              <w:rPr>
                <w:rFonts w:cstheme="minorBidi"/>
                <w:b/>
                <w:bCs/>
                <w:szCs w:val="26"/>
              </w:rPr>
              <w:t>Description</w:t>
            </w:r>
          </w:p>
        </w:tc>
        <w:tc>
          <w:tcPr>
            <w:tcW w:w="1440" w:type="dxa"/>
            <w:shd w:val="clear" w:color="auto" w:fill="E7E6E6" w:themeFill="background2"/>
          </w:tcPr>
          <w:p w:rsidRPr="00F25FBE" w:rsidR="008959A4" w:rsidP="00717A84" w:rsidRDefault="008959A4" w14:paraId="53D1C592" w14:textId="77777777">
            <w:pPr>
              <w:jc w:val="center"/>
              <w:rPr>
                <w:rFonts w:cstheme="minorBidi"/>
                <w:b/>
                <w:bCs/>
                <w:szCs w:val="26"/>
              </w:rPr>
            </w:pPr>
            <w:r w:rsidRPr="00F25FBE">
              <w:rPr>
                <w:rFonts w:cstheme="minorBidi"/>
                <w:b/>
                <w:bCs/>
                <w:szCs w:val="26"/>
              </w:rPr>
              <w:t>Witnesses</w:t>
            </w:r>
          </w:p>
        </w:tc>
        <w:tc>
          <w:tcPr>
            <w:tcW w:w="1435" w:type="dxa"/>
            <w:shd w:val="clear" w:color="auto" w:fill="E7E6E6" w:themeFill="background2"/>
          </w:tcPr>
          <w:p w:rsidRPr="00F25FBE" w:rsidR="008959A4" w:rsidP="00717A84" w:rsidRDefault="008959A4" w14:paraId="31955D30" w14:textId="77777777">
            <w:pPr>
              <w:rPr>
                <w:rFonts w:cstheme="minorBidi"/>
                <w:b/>
                <w:bCs/>
                <w:szCs w:val="26"/>
              </w:rPr>
            </w:pPr>
            <w:r w:rsidRPr="00F25FBE">
              <w:rPr>
                <w:rFonts w:cstheme="minorBidi"/>
                <w:b/>
                <w:bCs/>
                <w:szCs w:val="26"/>
              </w:rPr>
              <w:t>Marked/ Identified</w:t>
            </w:r>
          </w:p>
          <w:p w:rsidRPr="00F25FBE" w:rsidR="008959A4" w:rsidP="00717A84" w:rsidRDefault="008959A4" w14:paraId="4A24CA89" w14:textId="77777777">
            <w:pPr>
              <w:rPr>
                <w:rFonts w:cstheme="minorBidi"/>
                <w:b/>
                <w:bCs/>
                <w:szCs w:val="26"/>
              </w:rPr>
            </w:pPr>
            <w:r w:rsidRPr="00F25FBE">
              <w:rPr>
                <w:rFonts w:cstheme="minorBidi"/>
                <w:b/>
                <w:bCs/>
                <w:szCs w:val="26"/>
              </w:rPr>
              <w:t>Date</w:t>
            </w:r>
          </w:p>
        </w:tc>
      </w:tr>
      <w:tr w:rsidRPr="00F25FBE" w:rsidR="008959A4" w:rsidTr="00717A84" w14:paraId="2CD71ABA" w14:textId="77777777">
        <w:tc>
          <w:tcPr>
            <w:tcW w:w="1747" w:type="dxa"/>
          </w:tcPr>
          <w:p w:rsidRPr="00F25FBE" w:rsidR="008959A4" w:rsidP="00717A84" w:rsidRDefault="008959A4" w14:paraId="01AEDDD6" w14:textId="77777777">
            <w:pPr>
              <w:jc w:val="center"/>
              <w:rPr>
                <w:rFonts w:cstheme="minorBidi"/>
                <w:szCs w:val="26"/>
              </w:rPr>
            </w:pPr>
            <w:r w:rsidRPr="00F25FBE">
              <w:rPr>
                <w:rFonts w:cstheme="minorBidi"/>
                <w:szCs w:val="26"/>
              </w:rPr>
              <w:t>Cal Advocates - 1</w:t>
            </w:r>
          </w:p>
        </w:tc>
        <w:tc>
          <w:tcPr>
            <w:tcW w:w="1815" w:type="dxa"/>
          </w:tcPr>
          <w:p w:rsidRPr="00F25FBE" w:rsidR="008959A4" w:rsidP="00717A84" w:rsidRDefault="008959A4" w14:paraId="2C811EA1" w14:textId="77777777">
            <w:pPr>
              <w:jc w:val="center"/>
              <w:rPr>
                <w:rFonts w:cstheme="minorBidi"/>
                <w:szCs w:val="26"/>
              </w:rPr>
            </w:pPr>
            <w:r w:rsidRPr="00F25FBE">
              <w:rPr>
                <w:rFonts w:cstheme="minorBidi"/>
                <w:szCs w:val="26"/>
              </w:rPr>
              <w:t xml:space="preserve">The Public Advocates Office </w:t>
            </w:r>
          </w:p>
        </w:tc>
        <w:tc>
          <w:tcPr>
            <w:tcW w:w="2913" w:type="dxa"/>
          </w:tcPr>
          <w:p w:rsidRPr="00F25FBE" w:rsidR="008959A4" w:rsidP="00717A84" w:rsidRDefault="008959A4" w14:paraId="7080DB31" w14:textId="77777777">
            <w:pPr>
              <w:jc w:val="center"/>
              <w:rPr>
                <w:rFonts w:cstheme="minorBidi"/>
                <w:szCs w:val="26"/>
              </w:rPr>
            </w:pPr>
            <w:r w:rsidRPr="00F25FBE">
              <w:rPr>
                <w:rFonts w:cstheme="minorBidi"/>
                <w:szCs w:val="26"/>
              </w:rPr>
              <w:t>Prepared Testimony on Energy Savings Assistance (ESA) and California Alternate Rates for Energy (CARE) Programs and Budgets of SMJUs for Program Years 2021-2026, and Appendices.</w:t>
            </w:r>
          </w:p>
        </w:tc>
        <w:tc>
          <w:tcPr>
            <w:tcW w:w="1440" w:type="dxa"/>
          </w:tcPr>
          <w:p w:rsidRPr="00F25FBE" w:rsidR="008959A4" w:rsidP="00717A84" w:rsidRDefault="008959A4" w14:paraId="1A65CA0C" w14:textId="77777777">
            <w:pPr>
              <w:jc w:val="center"/>
              <w:rPr>
                <w:rFonts w:cstheme="minorBidi"/>
                <w:szCs w:val="26"/>
              </w:rPr>
            </w:pPr>
            <w:r w:rsidRPr="00F25FBE">
              <w:rPr>
                <w:rFonts w:cstheme="minorBidi"/>
                <w:szCs w:val="26"/>
              </w:rPr>
              <w:t>Jenneille Hsu and Augustus Clements</w:t>
            </w:r>
          </w:p>
        </w:tc>
        <w:tc>
          <w:tcPr>
            <w:tcW w:w="1435" w:type="dxa"/>
          </w:tcPr>
          <w:p w:rsidRPr="00F25FBE" w:rsidR="008959A4" w:rsidP="00717A84" w:rsidRDefault="008959A4" w14:paraId="4E04E522" w14:textId="77777777">
            <w:pPr>
              <w:jc w:val="center"/>
              <w:rPr>
                <w:rFonts w:cstheme="minorBidi"/>
                <w:szCs w:val="26"/>
              </w:rPr>
            </w:pPr>
            <w:r w:rsidRPr="00F25FBE">
              <w:rPr>
                <w:rFonts w:cstheme="minorBidi"/>
                <w:szCs w:val="26"/>
              </w:rPr>
              <w:t>3/26/21</w:t>
            </w:r>
          </w:p>
        </w:tc>
      </w:tr>
      <w:tr w:rsidRPr="00F25FBE" w:rsidR="008959A4" w:rsidTr="00717A84" w14:paraId="59B976A7" w14:textId="77777777">
        <w:tc>
          <w:tcPr>
            <w:tcW w:w="1747" w:type="dxa"/>
          </w:tcPr>
          <w:p w:rsidRPr="00F25FBE" w:rsidR="008959A4" w:rsidP="00717A84" w:rsidRDefault="008959A4" w14:paraId="53290F16" w14:textId="77777777">
            <w:pPr>
              <w:jc w:val="center"/>
              <w:rPr>
                <w:rFonts w:cstheme="minorBidi"/>
                <w:szCs w:val="26"/>
              </w:rPr>
            </w:pPr>
            <w:r w:rsidRPr="00F25FBE">
              <w:rPr>
                <w:rFonts w:cstheme="minorBidi"/>
                <w:szCs w:val="26"/>
              </w:rPr>
              <w:t>Cal Advocates - 2</w:t>
            </w:r>
          </w:p>
        </w:tc>
        <w:tc>
          <w:tcPr>
            <w:tcW w:w="1815" w:type="dxa"/>
          </w:tcPr>
          <w:p w:rsidRPr="00F25FBE" w:rsidR="008959A4" w:rsidP="00717A84" w:rsidRDefault="008959A4" w14:paraId="69349DB3" w14:textId="77777777">
            <w:pPr>
              <w:jc w:val="center"/>
              <w:rPr>
                <w:rFonts w:cstheme="minorBidi"/>
                <w:szCs w:val="26"/>
              </w:rPr>
            </w:pPr>
            <w:r w:rsidRPr="00F25FBE">
              <w:rPr>
                <w:rFonts w:cstheme="minorBidi"/>
                <w:szCs w:val="26"/>
              </w:rPr>
              <w:t>The Public Advocates Office</w:t>
            </w:r>
          </w:p>
        </w:tc>
        <w:tc>
          <w:tcPr>
            <w:tcW w:w="2913" w:type="dxa"/>
          </w:tcPr>
          <w:p w:rsidRPr="00F25FBE" w:rsidR="008959A4" w:rsidP="00717A84" w:rsidRDefault="008959A4" w14:paraId="2292CCA6" w14:textId="77777777">
            <w:pPr>
              <w:jc w:val="center"/>
              <w:rPr>
                <w:rFonts w:cstheme="minorBidi"/>
                <w:szCs w:val="26"/>
              </w:rPr>
            </w:pPr>
            <w:r w:rsidRPr="00F25FBE">
              <w:rPr>
                <w:rFonts w:cstheme="minorBidi"/>
                <w:szCs w:val="26"/>
              </w:rPr>
              <w:t>Excerpts from Liberty’s Low</w:t>
            </w:r>
            <w:r>
              <w:rPr>
                <w:rFonts w:cstheme="minorBidi"/>
                <w:szCs w:val="26"/>
              </w:rPr>
              <w:t xml:space="preserve"> </w:t>
            </w:r>
            <w:r w:rsidRPr="00F25FBE">
              <w:rPr>
                <w:rFonts w:cstheme="minorBidi"/>
                <w:szCs w:val="26"/>
              </w:rPr>
              <w:t>Income Assistance Programs 2018 Annual Report</w:t>
            </w:r>
          </w:p>
        </w:tc>
        <w:tc>
          <w:tcPr>
            <w:tcW w:w="1440" w:type="dxa"/>
          </w:tcPr>
          <w:p w:rsidRPr="00F25FBE" w:rsidR="008959A4" w:rsidP="00717A84" w:rsidRDefault="008959A4" w14:paraId="74C1B001" w14:textId="77777777">
            <w:pPr>
              <w:jc w:val="center"/>
              <w:rPr>
                <w:rFonts w:cstheme="minorBidi"/>
                <w:szCs w:val="26"/>
              </w:rPr>
            </w:pPr>
          </w:p>
        </w:tc>
        <w:tc>
          <w:tcPr>
            <w:tcW w:w="1435" w:type="dxa"/>
          </w:tcPr>
          <w:p w:rsidRPr="00F25FBE" w:rsidR="008959A4" w:rsidP="00717A84" w:rsidRDefault="008959A4" w14:paraId="4589FCF1" w14:textId="77777777">
            <w:pPr>
              <w:jc w:val="center"/>
              <w:rPr>
                <w:rFonts w:cstheme="minorBidi"/>
                <w:szCs w:val="26"/>
              </w:rPr>
            </w:pPr>
            <w:r w:rsidRPr="00F25FBE">
              <w:rPr>
                <w:rFonts w:cstheme="minorBidi"/>
                <w:szCs w:val="26"/>
              </w:rPr>
              <w:t>3/26/21</w:t>
            </w:r>
          </w:p>
        </w:tc>
      </w:tr>
      <w:tr w:rsidRPr="00F25FBE" w:rsidR="008959A4" w:rsidTr="00717A84" w14:paraId="3D6B5689" w14:textId="77777777">
        <w:tc>
          <w:tcPr>
            <w:tcW w:w="1747" w:type="dxa"/>
          </w:tcPr>
          <w:p w:rsidRPr="00F25FBE" w:rsidR="008959A4" w:rsidP="00717A84" w:rsidRDefault="008959A4" w14:paraId="3B09BAFC" w14:textId="77777777">
            <w:pPr>
              <w:jc w:val="center"/>
              <w:rPr>
                <w:rFonts w:cstheme="minorBidi"/>
                <w:szCs w:val="26"/>
              </w:rPr>
            </w:pPr>
            <w:r w:rsidRPr="00F25FBE">
              <w:rPr>
                <w:rFonts w:cstheme="minorBidi"/>
                <w:szCs w:val="26"/>
              </w:rPr>
              <w:t>Cal Advocates - 3</w:t>
            </w:r>
          </w:p>
        </w:tc>
        <w:tc>
          <w:tcPr>
            <w:tcW w:w="1815" w:type="dxa"/>
          </w:tcPr>
          <w:p w:rsidRPr="00F25FBE" w:rsidR="008959A4" w:rsidP="00717A84" w:rsidRDefault="008959A4" w14:paraId="7F5738F9" w14:textId="77777777">
            <w:pPr>
              <w:jc w:val="center"/>
              <w:rPr>
                <w:rFonts w:cstheme="minorBidi"/>
                <w:szCs w:val="26"/>
              </w:rPr>
            </w:pPr>
            <w:r w:rsidRPr="00F25FBE">
              <w:rPr>
                <w:rFonts w:cstheme="minorBidi"/>
                <w:szCs w:val="26"/>
              </w:rPr>
              <w:t>The Public Advocates Office</w:t>
            </w:r>
          </w:p>
        </w:tc>
        <w:tc>
          <w:tcPr>
            <w:tcW w:w="2913" w:type="dxa"/>
          </w:tcPr>
          <w:p w:rsidRPr="00F25FBE" w:rsidR="008959A4" w:rsidP="00717A84" w:rsidRDefault="008959A4" w14:paraId="5031AA15" w14:textId="77777777">
            <w:pPr>
              <w:jc w:val="center"/>
              <w:rPr>
                <w:rFonts w:cstheme="minorBidi"/>
                <w:szCs w:val="26"/>
              </w:rPr>
            </w:pPr>
            <w:r w:rsidRPr="00F25FBE">
              <w:rPr>
                <w:rFonts w:cstheme="minorBidi"/>
                <w:szCs w:val="26"/>
              </w:rPr>
              <w:t>Excerpts from Liberty’s Low</w:t>
            </w:r>
            <w:r>
              <w:rPr>
                <w:rFonts w:cstheme="minorBidi"/>
                <w:szCs w:val="26"/>
              </w:rPr>
              <w:t xml:space="preserve"> </w:t>
            </w:r>
            <w:r w:rsidRPr="00F25FBE">
              <w:rPr>
                <w:rFonts w:cstheme="minorBidi"/>
                <w:szCs w:val="26"/>
              </w:rPr>
              <w:t>Income Assistance Programs 2019 Annual Report</w:t>
            </w:r>
          </w:p>
        </w:tc>
        <w:tc>
          <w:tcPr>
            <w:tcW w:w="1440" w:type="dxa"/>
          </w:tcPr>
          <w:p w:rsidRPr="00F25FBE" w:rsidR="008959A4" w:rsidP="00717A84" w:rsidRDefault="008959A4" w14:paraId="1C56CAC3" w14:textId="77777777">
            <w:pPr>
              <w:jc w:val="center"/>
              <w:rPr>
                <w:rFonts w:cstheme="minorBidi"/>
                <w:szCs w:val="26"/>
              </w:rPr>
            </w:pPr>
          </w:p>
        </w:tc>
        <w:tc>
          <w:tcPr>
            <w:tcW w:w="1435" w:type="dxa"/>
          </w:tcPr>
          <w:p w:rsidRPr="00F25FBE" w:rsidR="008959A4" w:rsidP="00717A84" w:rsidRDefault="008959A4" w14:paraId="48AD5A3B" w14:textId="77777777">
            <w:pPr>
              <w:jc w:val="center"/>
              <w:rPr>
                <w:rFonts w:cstheme="minorBidi"/>
                <w:szCs w:val="26"/>
              </w:rPr>
            </w:pPr>
            <w:r w:rsidRPr="00F25FBE">
              <w:rPr>
                <w:rFonts w:cstheme="minorBidi"/>
                <w:szCs w:val="26"/>
              </w:rPr>
              <w:t>3/26/21</w:t>
            </w:r>
          </w:p>
        </w:tc>
      </w:tr>
      <w:tr w:rsidRPr="00F25FBE" w:rsidR="008959A4" w:rsidTr="00717A84" w14:paraId="0B8EFFD4" w14:textId="77777777">
        <w:trPr>
          <w:trHeight w:val="116"/>
        </w:trPr>
        <w:tc>
          <w:tcPr>
            <w:tcW w:w="1747" w:type="dxa"/>
          </w:tcPr>
          <w:p w:rsidRPr="00F25FBE" w:rsidR="008959A4" w:rsidP="00717A84" w:rsidRDefault="008959A4" w14:paraId="59E39C16" w14:textId="77777777">
            <w:pPr>
              <w:jc w:val="center"/>
              <w:rPr>
                <w:rFonts w:cstheme="minorBidi"/>
                <w:szCs w:val="26"/>
              </w:rPr>
            </w:pPr>
            <w:r w:rsidRPr="00F25FBE">
              <w:rPr>
                <w:rFonts w:cstheme="minorBidi"/>
                <w:szCs w:val="26"/>
              </w:rPr>
              <w:t>EEC- 1</w:t>
            </w:r>
          </w:p>
        </w:tc>
        <w:tc>
          <w:tcPr>
            <w:tcW w:w="1815" w:type="dxa"/>
          </w:tcPr>
          <w:p w:rsidRPr="00F25FBE" w:rsidR="008959A4" w:rsidP="00717A84" w:rsidRDefault="008959A4" w14:paraId="0BE7DB6D"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58D9997F" w14:textId="77777777">
            <w:pPr>
              <w:jc w:val="center"/>
              <w:rPr>
                <w:rFonts w:cstheme="minorBidi"/>
                <w:szCs w:val="26"/>
              </w:rPr>
            </w:pPr>
            <w:r w:rsidRPr="00F25FBE">
              <w:rPr>
                <w:rFonts w:cstheme="minorBidi"/>
                <w:szCs w:val="26"/>
              </w:rPr>
              <w:t>Excerpts from FES’s Contract to Perform ESA Services for SMJUs Limiting Hiring of Ex-Offenders</w:t>
            </w:r>
          </w:p>
        </w:tc>
        <w:tc>
          <w:tcPr>
            <w:tcW w:w="1440" w:type="dxa"/>
          </w:tcPr>
          <w:p w:rsidRPr="00F25FBE" w:rsidR="008959A4" w:rsidP="00717A84" w:rsidRDefault="008959A4" w14:paraId="2EE2801E" w14:textId="77777777">
            <w:pPr>
              <w:jc w:val="center"/>
              <w:rPr>
                <w:rFonts w:cstheme="minorBidi"/>
                <w:szCs w:val="26"/>
              </w:rPr>
            </w:pPr>
          </w:p>
        </w:tc>
        <w:tc>
          <w:tcPr>
            <w:tcW w:w="1435" w:type="dxa"/>
          </w:tcPr>
          <w:p w:rsidRPr="00F25FBE" w:rsidR="008959A4" w:rsidP="00717A84" w:rsidRDefault="008959A4" w14:paraId="4259D6B7" w14:textId="77777777">
            <w:pPr>
              <w:jc w:val="center"/>
              <w:rPr>
                <w:rFonts w:cstheme="minorBidi"/>
                <w:szCs w:val="26"/>
              </w:rPr>
            </w:pPr>
            <w:r w:rsidRPr="00F25FBE">
              <w:rPr>
                <w:rFonts w:cstheme="minorBidi"/>
                <w:szCs w:val="26"/>
              </w:rPr>
              <w:t>3/26/21</w:t>
            </w:r>
          </w:p>
        </w:tc>
      </w:tr>
      <w:tr w:rsidRPr="00F25FBE" w:rsidR="008959A4" w:rsidTr="00717A84" w14:paraId="3E0CEAEF" w14:textId="77777777">
        <w:tc>
          <w:tcPr>
            <w:tcW w:w="1747" w:type="dxa"/>
          </w:tcPr>
          <w:p w:rsidRPr="00F25FBE" w:rsidR="008959A4" w:rsidP="00717A84" w:rsidRDefault="008959A4" w14:paraId="07F91739" w14:textId="77777777">
            <w:pPr>
              <w:jc w:val="center"/>
              <w:rPr>
                <w:rFonts w:cstheme="minorBidi"/>
                <w:szCs w:val="26"/>
              </w:rPr>
            </w:pPr>
            <w:r w:rsidRPr="00F25FBE">
              <w:rPr>
                <w:rFonts w:cstheme="minorBidi"/>
                <w:szCs w:val="26"/>
              </w:rPr>
              <w:t>EEC- 2</w:t>
            </w:r>
          </w:p>
        </w:tc>
        <w:tc>
          <w:tcPr>
            <w:tcW w:w="1815" w:type="dxa"/>
          </w:tcPr>
          <w:p w:rsidRPr="00F25FBE" w:rsidR="008959A4" w:rsidP="00717A84" w:rsidRDefault="008959A4" w14:paraId="79FCA9D0"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6D0B9509" w14:textId="77777777">
            <w:pPr>
              <w:jc w:val="center"/>
              <w:rPr>
                <w:rFonts w:cstheme="minorBidi"/>
                <w:szCs w:val="26"/>
              </w:rPr>
            </w:pPr>
            <w:r w:rsidRPr="00F25FBE">
              <w:rPr>
                <w:rFonts w:cstheme="minorBidi"/>
                <w:szCs w:val="26"/>
              </w:rPr>
              <w:t>Joint IOU ESA/CARE Report Presentation to Low Income Oversight Board of the Commission, March 11, 2021</w:t>
            </w:r>
          </w:p>
        </w:tc>
        <w:tc>
          <w:tcPr>
            <w:tcW w:w="1440" w:type="dxa"/>
          </w:tcPr>
          <w:p w:rsidRPr="00F25FBE" w:rsidR="008959A4" w:rsidP="00717A84" w:rsidRDefault="008959A4" w14:paraId="70615980" w14:textId="77777777">
            <w:pPr>
              <w:jc w:val="center"/>
              <w:rPr>
                <w:rFonts w:cstheme="minorBidi"/>
                <w:szCs w:val="26"/>
              </w:rPr>
            </w:pPr>
          </w:p>
        </w:tc>
        <w:tc>
          <w:tcPr>
            <w:tcW w:w="1435" w:type="dxa"/>
          </w:tcPr>
          <w:p w:rsidRPr="00F25FBE" w:rsidR="008959A4" w:rsidP="00717A84" w:rsidRDefault="008959A4" w14:paraId="61B37E9B" w14:textId="77777777">
            <w:pPr>
              <w:jc w:val="center"/>
              <w:rPr>
                <w:rFonts w:cstheme="minorBidi"/>
                <w:szCs w:val="26"/>
              </w:rPr>
            </w:pPr>
            <w:r w:rsidRPr="00F25FBE">
              <w:rPr>
                <w:rFonts w:cstheme="minorBidi"/>
                <w:szCs w:val="26"/>
              </w:rPr>
              <w:t>3/26/21</w:t>
            </w:r>
          </w:p>
        </w:tc>
      </w:tr>
      <w:tr w:rsidRPr="00F25FBE" w:rsidR="008959A4" w:rsidTr="00717A84" w14:paraId="7C39588D" w14:textId="77777777">
        <w:tc>
          <w:tcPr>
            <w:tcW w:w="1747" w:type="dxa"/>
          </w:tcPr>
          <w:p w:rsidRPr="00F25FBE" w:rsidR="008959A4" w:rsidP="00717A84" w:rsidRDefault="008959A4" w14:paraId="109D9883" w14:textId="77777777">
            <w:pPr>
              <w:jc w:val="center"/>
              <w:rPr>
                <w:rFonts w:cstheme="minorBidi"/>
                <w:szCs w:val="26"/>
              </w:rPr>
            </w:pPr>
            <w:r w:rsidRPr="00F25FBE">
              <w:rPr>
                <w:rFonts w:cstheme="minorBidi"/>
                <w:szCs w:val="26"/>
              </w:rPr>
              <w:t>EEC- 3</w:t>
            </w:r>
          </w:p>
        </w:tc>
        <w:tc>
          <w:tcPr>
            <w:tcW w:w="1815" w:type="dxa"/>
          </w:tcPr>
          <w:p w:rsidRPr="00F25FBE" w:rsidR="008959A4" w:rsidP="00717A84" w:rsidRDefault="008959A4" w14:paraId="08F08A39"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0EF35BC4" w14:textId="77777777">
            <w:pPr>
              <w:jc w:val="center"/>
              <w:rPr>
                <w:rFonts w:cstheme="minorBidi"/>
                <w:szCs w:val="26"/>
              </w:rPr>
            </w:pPr>
            <w:r w:rsidRPr="00F25FBE">
              <w:rPr>
                <w:rFonts w:cstheme="minorBidi"/>
                <w:szCs w:val="26"/>
              </w:rPr>
              <w:t>Rebuttal Testimony of Allan Rago on the 2021-2026 ESA and CARE Applications of SMJUs 020 SMJUs ESA/CARE Public Workshop Presentation</w:t>
            </w:r>
          </w:p>
        </w:tc>
        <w:tc>
          <w:tcPr>
            <w:tcW w:w="1440" w:type="dxa"/>
          </w:tcPr>
          <w:p w:rsidRPr="00F25FBE" w:rsidR="008959A4" w:rsidP="00717A84" w:rsidRDefault="008959A4" w14:paraId="29142461" w14:textId="77777777">
            <w:pPr>
              <w:jc w:val="center"/>
              <w:rPr>
                <w:rFonts w:cstheme="minorBidi"/>
                <w:szCs w:val="26"/>
              </w:rPr>
            </w:pPr>
            <w:r w:rsidRPr="00F25FBE">
              <w:rPr>
                <w:rFonts w:cstheme="minorBidi"/>
                <w:szCs w:val="26"/>
              </w:rPr>
              <w:t>Allan Rago</w:t>
            </w:r>
          </w:p>
        </w:tc>
        <w:tc>
          <w:tcPr>
            <w:tcW w:w="1435" w:type="dxa"/>
          </w:tcPr>
          <w:p w:rsidRPr="00F25FBE" w:rsidR="008959A4" w:rsidP="00717A84" w:rsidRDefault="008959A4" w14:paraId="04C45D3B" w14:textId="77777777">
            <w:pPr>
              <w:jc w:val="center"/>
              <w:rPr>
                <w:rFonts w:cstheme="minorBidi"/>
                <w:szCs w:val="26"/>
              </w:rPr>
            </w:pPr>
            <w:r w:rsidRPr="00F25FBE">
              <w:rPr>
                <w:rFonts w:cstheme="minorBidi"/>
                <w:szCs w:val="26"/>
              </w:rPr>
              <w:t>3/26/21</w:t>
            </w:r>
          </w:p>
        </w:tc>
      </w:tr>
      <w:tr w:rsidRPr="00F25FBE" w:rsidR="008959A4" w:rsidTr="00717A84" w14:paraId="74AFF372" w14:textId="77777777">
        <w:tc>
          <w:tcPr>
            <w:tcW w:w="1747" w:type="dxa"/>
          </w:tcPr>
          <w:p w:rsidRPr="00F25FBE" w:rsidR="008959A4" w:rsidP="00717A84" w:rsidRDefault="008959A4" w14:paraId="3F071B4C" w14:textId="77777777">
            <w:pPr>
              <w:jc w:val="center"/>
              <w:rPr>
                <w:rFonts w:cstheme="minorBidi"/>
                <w:szCs w:val="26"/>
              </w:rPr>
            </w:pPr>
            <w:r w:rsidRPr="00F25FBE">
              <w:rPr>
                <w:rFonts w:cstheme="minorBidi"/>
                <w:szCs w:val="26"/>
              </w:rPr>
              <w:lastRenderedPageBreak/>
              <w:t>EEC- 4</w:t>
            </w:r>
          </w:p>
        </w:tc>
        <w:tc>
          <w:tcPr>
            <w:tcW w:w="1815" w:type="dxa"/>
          </w:tcPr>
          <w:p w:rsidRPr="00F25FBE" w:rsidR="008959A4" w:rsidP="00717A84" w:rsidRDefault="008959A4" w14:paraId="0EAF190A"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6E6053B8" w14:textId="77777777">
            <w:pPr>
              <w:jc w:val="center"/>
              <w:rPr>
                <w:rFonts w:cstheme="minorBidi"/>
                <w:szCs w:val="26"/>
              </w:rPr>
            </w:pPr>
            <w:r w:rsidRPr="00F25FBE">
              <w:rPr>
                <w:rFonts w:cstheme="minorBidi"/>
                <w:szCs w:val="26"/>
              </w:rPr>
              <w:t>2020 SMJUs ESA/CARE Public Workshop Presentation</w:t>
            </w:r>
          </w:p>
        </w:tc>
        <w:tc>
          <w:tcPr>
            <w:tcW w:w="1440" w:type="dxa"/>
          </w:tcPr>
          <w:p w:rsidRPr="00F25FBE" w:rsidR="008959A4" w:rsidP="00717A84" w:rsidRDefault="008959A4" w14:paraId="0078B7CD" w14:textId="77777777">
            <w:pPr>
              <w:jc w:val="center"/>
              <w:rPr>
                <w:rFonts w:cstheme="minorBidi"/>
                <w:szCs w:val="26"/>
              </w:rPr>
            </w:pPr>
          </w:p>
        </w:tc>
        <w:tc>
          <w:tcPr>
            <w:tcW w:w="1435" w:type="dxa"/>
          </w:tcPr>
          <w:p w:rsidRPr="00F25FBE" w:rsidR="008959A4" w:rsidP="00717A84" w:rsidRDefault="008959A4" w14:paraId="322FF3FD" w14:textId="77777777">
            <w:pPr>
              <w:jc w:val="center"/>
              <w:rPr>
                <w:rFonts w:cstheme="minorBidi"/>
                <w:szCs w:val="26"/>
              </w:rPr>
            </w:pPr>
            <w:r w:rsidRPr="00F25FBE">
              <w:rPr>
                <w:rFonts w:cstheme="minorBidi"/>
                <w:szCs w:val="26"/>
              </w:rPr>
              <w:t>3/26/21</w:t>
            </w:r>
          </w:p>
        </w:tc>
      </w:tr>
      <w:tr w:rsidRPr="00F25FBE" w:rsidR="008959A4" w:rsidTr="00717A84" w14:paraId="1C8D0627" w14:textId="77777777">
        <w:tc>
          <w:tcPr>
            <w:tcW w:w="1747" w:type="dxa"/>
          </w:tcPr>
          <w:p w:rsidRPr="00F25FBE" w:rsidR="008959A4" w:rsidP="00717A84" w:rsidRDefault="008959A4" w14:paraId="1D1B4D25" w14:textId="77777777">
            <w:pPr>
              <w:jc w:val="center"/>
              <w:rPr>
                <w:rFonts w:cstheme="minorBidi"/>
                <w:szCs w:val="26"/>
              </w:rPr>
            </w:pPr>
            <w:r w:rsidRPr="00F25FBE">
              <w:rPr>
                <w:rFonts w:cstheme="minorBidi"/>
                <w:szCs w:val="26"/>
              </w:rPr>
              <w:t>EEC- 5</w:t>
            </w:r>
          </w:p>
        </w:tc>
        <w:tc>
          <w:tcPr>
            <w:tcW w:w="1815" w:type="dxa"/>
          </w:tcPr>
          <w:p w:rsidRPr="00F25FBE" w:rsidR="008959A4" w:rsidP="00717A84" w:rsidRDefault="008959A4" w14:paraId="3B6B55E4"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1FCAD051" w14:textId="77777777">
            <w:pPr>
              <w:jc w:val="center"/>
              <w:rPr>
                <w:rFonts w:cstheme="minorBidi"/>
                <w:szCs w:val="26"/>
              </w:rPr>
            </w:pPr>
            <w:r w:rsidRPr="00F25FBE">
              <w:rPr>
                <w:rFonts w:cstheme="minorBidi"/>
                <w:szCs w:val="26"/>
              </w:rPr>
              <w:t>FES Contract to Provide ESA Services for SWG Customers</w:t>
            </w:r>
          </w:p>
        </w:tc>
        <w:tc>
          <w:tcPr>
            <w:tcW w:w="1440" w:type="dxa"/>
          </w:tcPr>
          <w:p w:rsidRPr="00F25FBE" w:rsidR="008959A4" w:rsidP="00717A84" w:rsidRDefault="008959A4" w14:paraId="42A667A7" w14:textId="77777777">
            <w:pPr>
              <w:jc w:val="center"/>
              <w:rPr>
                <w:rFonts w:cstheme="minorBidi"/>
                <w:szCs w:val="26"/>
              </w:rPr>
            </w:pPr>
          </w:p>
        </w:tc>
        <w:tc>
          <w:tcPr>
            <w:tcW w:w="1435" w:type="dxa"/>
          </w:tcPr>
          <w:p w:rsidRPr="00F25FBE" w:rsidR="008959A4" w:rsidP="00717A84" w:rsidRDefault="008959A4" w14:paraId="04E33C4D" w14:textId="77777777">
            <w:pPr>
              <w:jc w:val="center"/>
              <w:rPr>
                <w:rFonts w:cstheme="minorBidi"/>
                <w:szCs w:val="26"/>
              </w:rPr>
            </w:pPr>
            <w:r w:rsidRPr="00F25FBE">
              <w:rPr>
                <w:rFonts w:cstheme="minorBidi"/>
                <w:szCs w:val="26"/>
              </w:rPr>
              <w:t>3/26/21</w:t>
            </w:r>
          </w:p>
        </w:tc>
      </w:tr>
      <w:tr w:rsidRPr="00F25FBE" w:rsidR="008959A4" w:rsidTr="00717A84" w14:paraId="72745DAD" w14:textId="77777777">
        <w:tc>
          <w:tcPr>
            <w:tcW w:w="1747" w:type="dxa"/>
          </w:tcPr>
          <w:p w:rsidRPr="00F25FBE" w:rsidR="008959A4" w:rsidP="00717A84" w:rsidRDefault="008959A4" w14:paraId="6931D823" w14:textId="77777777">
            <w:pPr>
              <w:jc w:val="center"/>
              <w:rPr>
                <w:rFonts w:cstheme="minorBidi"/>
                <w:szCs w:val="26"/>
              </w:rPr>
            </w:pPr>
            <w:r w:rsidRPr="00F25FBE">
              <w:rPr>
                <w:rFonts w:cstheme="minorBidi"/>
                <w:szCs w:val="26"/>
              </w:rPr>
              <w:t>EEC- 6</w:t>
            </w:r>
          </w:p>
        </w:tc>
        <w:tc>
          <w:tcPr>
            <w:tcW w:w="1815" w:type="dxa"/>
          </w:tcPr>
          <w:p w:rsidRPr="00F25FBE" w:rsidR="008959A4" w:rsidP="00717A84" w:rsidRDefault="008959A4" w14:paraId="383DABFA"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30FB79ED" w14:textId="77777777">
            <w:pPr>
              <w:jc w:val="center"/>
              <w:rPr>
                <w:rFonts w:cstheme="minorBidi"/>
                <w:szCs w:val="26"/>
              </w:rPr>
            </w:pPr>
            <w:r w:rsidRPr="00F25FBE">
              <w:rPr>
                <w:rFonts w:cstheme="minorBidi"/>
                <w:szCs w:val="26"/>
              </w:rPr>
              <w:t>PG&amp;E Monthly ESA/CARE Report for December 2020</w:t>
            </w:r>
          </w:p>
        </w:tc>
        <w:tc>
          <w:tcPr>
            <w:tcW w:w="1440" w:type="dxa"/>
          </w:tcPr>
          <w:p w:rsidRPr="00F25FBE" w:rsidR="008959A4" w:rsidP="00717A84" w:rsidRDefault="008959A4" w14:paraId="3A814659" w14:textId="77777777">
            <w:pPr>
              <w:jc w:val="center"/>
              <w:rPr>
                <w:rFonts w:cstheme="minorBidi"/>
                <w:szCs w:val="26"/>
              </w:rPr>
            </w:pPr>
          </w:p>
        </w:tc>
        <w:tc>
          <w:tcPr>
            <w:tcW w:w="1435" w:type="dxa"/>
          </w:tcPr>
          <w:p w:rsidRPr="00F25FBE" w:rsidR="008959A4" w:rsidP="00717A84" w:rsidRDefault="008959A4" w14:paraId="0C74A897" w14:textId="77777777">
            <w:pPr>
              <w:jc w:val="center"/>
              <w:rPr>
                <w:rFonts w:cstheme="minorBidi"/>
                <w:szCs w:val="26"/>
              </w:rPr>
            </w:pPr>
            <w:r w:rsidRPr="00F25FBE">
              <w:rPr>
                <w:rFonts w:cstheme="minorBidi"/>
                <w:szCs w:val="26"/>
              </w:rPr>
              <w:t>3/26/21</w:t>
            </w:r>
          </w:p>
        </w:tc>
      </w:tr>
      <w:tr w:rsidRPr="00F25FBE" w:rsidR="008959A4" w:rsidTr="00717A84" w14:paraId="431FEF88" w14:textId="77777777">
        <w:tc>
          <w:tcPr>
            <w:tcW w:w="1747" w:type="dxa"/>
          </w:tcPr>
          <w:p w:rsidRPr="00F25FBE" w:rsidR="008959A4" w:rsidP="00717A84" w:rsidRDefault="008959A4" w14:paraId="753AB838" w14:textId="77777777">
            <w:pPr>
              <w:jc w:val="center"/>
              <w:rPr>
                <w:rFonts w:cstheme="minorBidi"/>
                <w:szCs w:val="26"/>
              </w:rPr>
            </w:pPr>
            <w:r w:rsidRPr="00F25FBE">
              <w:rPr>
                <w:rFonts w:cstheme="minorBidi"/>
                <w:szCs w:val="26"/>
              </w:rPr>
              <w:t>EEC- 7</w:t>
            </w:r>
          </w:p>
        </w:tc>
        <w:tc>
          <w:tcPr>
            <w:tcW w:w="1815" w:type="dxa"/>
          </w:tcPr>
          <w:p w:rsidRPr="00F25FBE" w:rsidR="008959A4" w:rsidP="00717A84" w:rsidRDefault="008959A4" w14:paraId="68BA3EA4"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4C0214FC" w14:textId="77777777">
            <w:pPr>
              <w:jc w:val="center"/>
              <w:rPr>
                <w:rFonts w:cstheme="minorBidi"/>
                <w:szCs w:val="26"/>
              </w:rPr>
            </w:pPr>
            <w:r w:rsidRPr="00F25FBE">
              <w:rPr>
                <w:rFonts w:cstheme="minorBidi"/>
                <w:szCs w:val="26"/>
              </w:rPr>
              <w:t>Testimony of Allan Rago on the SMJUs’ 2021-2026 ESA/CARE Applications</w:t>
            </w:r>
          </w:p>
        </w:tc>
        <w:tc>
          <w:tcPr>
            <w:tcW w:w="1440" w:type="dxa"/>
          </w:tcPr>
          <w:p w:rsidRPr="00F25FBE" w:rsidR="008959A4" w:rsidP="00717A84" w:rsidRDefault="008959A4" w14:paraId="06EBE79C" w14:textId="77777777">
            <w:pPr>
              <w:jc w:val="center"/>
              <w:rPr>
                <w:rFonts w:cstheme="minorBidi"/>
                <w:szCs w:val="26"/>
              </w:rPr>
            </w:pPr>
            <w:r w:rsidRPr="00F25FBE">
              <w:rPr>
                <w:rFonts w:cstheme="minorBidi"/>
                <w:szCs w:val="26"/>
              </w:rPr>
              <w:t>Allan Rago</w:t>
            </w:r>
          </w:p>
        </w:tc>
        <w:tc>
          <w:tcPr>
            <w:tcW w:w="1435" w:type="dxa"/>
          </w:tcPr>
          <w:p w:rsidRPr="00F25FBE" w:rsidR="008959A4" w:rsidP="00717A84" w:rsidRDefault="008959A4" w14:paraId="2320F9E8" w14:textId="77777777">
            <w:pPr>
              <w:jc w:val="center"/>
              <w:rPr>
                <w:rFonts w:cstheme="minorBidi"/>
                <w:szCs w:val="26"/>
              </w:rPr>
            </w:pPr>
            <w:r w:rsidRPr="00F25FBE">
              <w:rPr>
                <w:rFonts w:cstheme="minorBidi"/>
                <w:szCs w:val="26"/>
              </w:rPr>
              <w:t>3/26/21</w:t>
            </w:r>
          </w:p>
        </w:tc>
      </w:tr>
      <w:tr w:rsidRPr="00F25FBE" w:rsidR="008959A4" w:rsidTr="00717A84" w14:paraId="7B5EF6CB" w14:textId="77777777">
        <w:tc>
          <w:tcPr>
            <w:tcW w:w="1747" w:type="dxa"/>
          </w:tcPr>
          <w:p w:rsidRPr="00F25FBE" w:rsidR="008959A4" w:rsidP="00717A84" w:rsidRDefault="008959A4" w14:paraId="3B34FB5D" w14:textId="77777777">
            <w:pPr>
              <w:jc w:val="center"/>
              <w:rPr>
                <w:rFonts w:cstheme="minorBidi"/>
                <w:szCs w:val="26"/>
              </w:rPr>
            </w:pPr>
            <w:r w:rsidRPr="00F25FBE">
              <w:rPr>
                <w:rFonts w:cstheme="minorBidi"/>
                <w:szCs w:val="26"/>
              </w:rPr>
              <w:t>EEC- 8</w:t>
            </w:r>
          </w:p>
        </w:tc>
        <w:tc>
          <w:tcPr>
            <w:tcW w:w="1815" w:type="dxa"/>
          </w:tcPr>
          <w:p w:rsidRPr="00F25FBE" w:rsidR="008959A4" w:rsidP="00717A84" w:rsidRDefault="008959A4" w14:paraId="7A9BF925"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4CB202E4" w14:textId="77777777">
            <w:pPr>
              <w:jc w:val="center"/>
              <w:rPr>
                <w:rFonts w:cstheme="minorBidi"/>
                <w:szCs w:val="26"/>
              </w:rPr>
            </w:pPr>
            <w:r w:rsidRPr="00F25FBE">
              <w:rPr>
                <w:rFonts w:cstheme="minorBidi"/>
                <w:szCs w:val="26"/>
              </w:rPr>
              <w:t>Excerpts from Alpine’s Responses of EEC’s Data Request 1-8</w:t>
            </w:r>
          </w:p>
        </w:tc>
        <w:tc>
          <w:tcPr>
            <w:tcW w:w="1440" w:type="dxa"/>
          </w:tcPr>
          <w:p w:rsidRPr="00F25FBE" w:rsidR="008959A4" w:rsidP="00717A84" w:rsidRDefault="008959A4" w14:paraId="6425C7CE" w14:textId="77777777">
            <w:pPr>
              <w:jc w:val="center"/>
              <w:rPr>
                <w:rFonts w:cstheme="minorBidi"/>
                <w:szCs w:val="26"/>
              </w:rPr>
            </w:pPr>
          </w:p>
        </w:tc>
        <w:tc>
          <w:tcPr>
            <w:tcW w:w="1435" w:type="dxa"/>
          </w:tcPr>
          <w:p w:rsidRPr="00F25FBE" w:rsidR="008959A4" w:rsidP="00717A84" w:rsidRDefault="008959A4" w14:paraId="186F2805" w14:textId="77777777">
            <w:pPr>
              <w:jc w:val="center"/>
              <w:rPr>
                <w:rFonts w:cstheme="minorBidi"/>
                <w:szCs w:val="26"/>
              </w:rPr>
            </w:pPr>
            <w:r w:rsidRPr="00F25FBE">
              <w:rPr>
                <w:rFonts w:cstheme="minorBidi"/>
                <w:szCs w:val="26"/>
              </w:rPr>
              <w:t>3/26/21</w:t>
            </w:r>
          </w:p>
        </w:tc>
      </w:tr>
      <w:tr w:rsidRPr="00F25FBE" w:rsidR="008959A4" w:rsidTr="00717A84" w14:paraId="472EFBF9" w14:textId="77777777">
        <w:tc>
          <w:tcPr>
            <w:tcW w:w="1747" w:type="dxa"/>
          </w:tcPr>
          <w:p w:rsidRPr="00F25FBE" w:rsidR="008959A4" w:rsidP="00717A84" w:rsidRDefault="008959A4" w14:paraId="052EC5AE" w14:textId="77777777">
            <w:pPr>
              <w:jc w:val="center"/>
              <w:rPr>
                <w:rFonts w:cstheme="minorBidi"/>
                <w:szCs w:val="26"/>
              </w:rPr>
            </w:pPr>
            <w:r w:rsidRPr="00F25FBE">
              <w:rPr>
                <w:rFonts w:cstheme="minorBidi"/>
                <w:szCs w:val="26"/>
              </w:rPr>
              <w:t>EEC- 9</w:t>
            </w:r>
          </w:p>
        </w:tc>
        <w:tc>
          <w:tcPr>
            <w:tcW w:w="1815" w:type="dxa"/>
          </w:tcPr>
          <w:p w:rsidRPr="00F25FBE" w:rsidR="008959A4" w:rsidP="00717A84" w:rsidRDefault="008959A4" w14:paraId="6E626878"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504EAFA4" w14:textId="77777777">
            <w:pPr>
              <w:jc w:val="center"/>
              <w:rPr>
                <w:rFonts w:cstheme="minorBidi"/>
                <w:szCs w:val="26"/>
              </w:rPr>
            </w:pPr>
            <w:r w:rsidRPr="00F25FBE">
              <w:rPr>
                <w:rFonts w:cstheme="minorBidi"/>
                <w:szCs w:val="26"/>
              </w:rPr>
              <w:t>Email Between EEC and Alpine Summarizing Customer Data Attached by Alpine Response</w:t>
            </w:r>
          </w:p>
        </w:tc>
        <w:tc>
          <w:tcPr>
            <w:tcW w:w="1440" w:type="dxa"/>
          </w:tcPr>
          <w:p w:rsidRPr="00F25FBE" w:rsidR="008959A4" w:rsidP="00717A84" w:rsidRDefault="008959A4" w14:paraId="75B4FDB7" w14:textId="77777777">
            <w:pPr>
              <w:jc w:val="center"/>
              <w:rPr>
                <w:rFonts w:cstheme="minorBidi"/>
                <w:szCs w:val="26"/>
              </w:rPr>
            </w:pPr>
          </w:p>
        </w:tc>
        <w:tc>
          <w:tcPr>
            <w:tcW w:w="1435" w:type="dxa"/>
          </w:tcPr>
          <w:p w:rsidRPr="00F25FBE" w:rsidR="008959A4" w:rsidP="00717A84" w:rsidRDefault="008959A4" w14:paraId="3B765F33" w14:textId="77777777">
            <w:pPr>
              <w:jc w:val="center"/>
              <w:rPr>
                <w:rFonts w:cstheme="minorBidi"/>
                <w:szCs w:val="26"/>
              </w:rPr>
            </w:pPr>
            <w:r w:rsidRPr="00F25FBE">
              <w:rPr>
                <w:rFonts w:cstheme="minorBidi"/>
                <w:szCs w:val="26"/>
              </w:rPr>
              <w:t>3/26/21</w:t>
            </w:r>
          </w:p>
        </w:tc>
      </w:tr>
      <w:tr w:rsidRPr="00F25FBE" w:rsidR="008959A4" w:rsidTr="00717A84" w14:paraId="53D2CF95" w14:textId="77777777">
        <w:tc>
          <w:tcPr>
            <w:tcW w:w="1747" w:type="dxa"/>
          </w:tcPr>
          <w:p w:rsidRPr="00F25FBE" w:rsidR="008959A4" w:rsidP="00717A84" w:rsidRDefault="008959A4" w14:paraId="70854E21" w14:textId="77777777">
            <w:pPr>
              <w:jc w:val="center"/>
              <w:rPr>
                <w:rFonts w:cstheme="minorBidi"/>
                <w:szCs w:val="26"/>
              </w:rPr>
            </w:pPr>
            <w:r w:rsidRPr="00F25FBE">
              <w:rPr>
                <w:rFonts w:cstheme="minorBidi"/>
                <w:szCs w:val="26"/>
              </w:rPr>
              <w:t>EEC- 10</w:t>
            </w:r>
          </w:p>
        </w:tc>
        <w:tc>
          <w:tcPr>
            <w:tcW w:w="1815" w:type="dxa"/>
          </w:tcPr>
          <w:p w:rsidRPr="00F25FBE" w:rsidR="008959A4" w:rsidP="00717A84" w:rsidRDefault="008959A4" w14:paraId="45133D8D"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0E2D23EA" w14:textId="77777777">
            <w:pPr>
              <w:jc w:val="center"/>
              <w:rPr>
                <w:rFonts w:cstheme="minorBidi"/>
                <w:szCs w:val="26"/>
              </w:rPr>
            </w:pPr>
            <w:r w:rsidRPr="00F25FBE">
              <w:rPr>
                <w:rFonts w:cstheme="minorBidi"/>
                <w:szCs w:val="26"/>
              </w:rPr>
              <w:t>Excerpts from Bear Valley’s Responses to EEC’s Data Requests 1-8</w:t>
            </w:r>
          </w:p>
        </w:tc>
        <w:tc>
          <w:tcPr>
            <w:tcW w:w="1440" w:type="dxa"/>
          </w:tcPr>
          <w:p w:rsidRPr="00F25FBE" w:rsidR="008959A4" w:rsidP="00717A84" w:rsidRDefault="008959A4" w14:paraId="74C78BBD" w14:textId="77777777">
            <w:pPr>
              <w:jc w:val="center"/>
              <w:rPr>
                <w:rFonts w:cstheme="minorBidi"/>
                <w:szCs w:val="26"/>
              </w:rPr>
            </w:pPr>
          </w:p>
        </w:tc>
        <w:tc>
          <w:tcPr>
            <w:tcW w:w="1435" w:type="dxa"/>
          </w:tcPr>
          <w:p w:rsidRPr="00F25FBE" w:rsidR="008959A4" w:rsidP="00717A84" w:rsidRDefault="008959A4" w14:paraId="2648D9A8" w14:textId="77777777">
            <w:pPr>
              <w:jc w:val="center"/>
              <w:rPr>
                <w:rFonts w:cstheme="minorBidi"/>
                <w:szCs w:val="26"/>
              </w:rPr>
            </w:pPr>
            <w:r w:rsidRPr="00F25FBE">
              <w:rPr>
                <w:rFonts w:cstheme="minorBidi"/>
                <w:szCs w:val="26"/>
              </w:rPr>
              <w:t>3/26/21</w:t>
            </w:r>
          </w:p>
        </w:tc>
      </w:tr>
      <w:tr w:rsidRPr="00F25FBE" w:rsidR="008959A4" w:rsidTr="00717A84" w14:paraId="439F97D8" w14:textId="77777777">
        <w:tc>
          <w:tcPr>
            <w:tcW w:w="1747" w:type="dxa"/>
          </w:tcPr>
          <w:p w:rsidRPr="00F25FBE" w:rsidR="008959A4" w:rsidP="00717A84" w:rsidRDefault="008959A4" w14:paraId="597260E4" w14:textId="77777777">
            <w:pPr>
              <w:jc w:val="center"/>
              <w:rPr>
                <w:rFonts w:cstheme="minorBidi"/>
                <w:szCs w:val="26"/>
              </w:rPr>
            </w:pPr>
            <w:r w:rsidRPr="00F25FBE">
              <w:rPr>
                <w:rFonts w:cstheme="minorBidi"/>
                <w:szCs w:val="26"/>
              </w:rPr>
              <w:t>EEC- 11</w:t>
            </w:r>
          </w:p>
        </w:tc>
        <w:tc>
          <w:tcPr>
            <w:tcW w:w="1815" w:type="dxa"/>
          </w:tcPr>
          <w:p w:rsidRPr="00F25FBE" w:rsidR="008959A4" w:rsidP="00717A84" w:rsidRDefault="008959A4" w14:paraId="13FBFBE6"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44FB5DB4" w14:textId="77777777">
            <w:pPr>
              <w:jc w:val="center"/>
              <w:rPr>
                <w:rFonts w:cstheme="minorBidi"/>
                <w:szCs w:val="26"/>
              </w:rPr>
            </w:pPr>
            <w:r w:rsidRPr="00F25FBE">
              <w:rPr>
                <w:rFonts w:cstheme="minorBidi"/>
                <w:szCs w:val="26"/>
              </w:rPr>
              <w:t>Excerpts from Liberty’s Responses to EEC’s Data Requests 1-8</w:t>
            </w:r>
          </w:p>
        </w:tc>
        <w:tc>
          <w:tcPr>
            <w:tcW w:w="1440" w:type="dxa"/>
          </w:tcPr>
          <w:p w:rsidRPr="00F25FBE" w:rsidR="008959A4" w:rsidP="00717A84" w:rsidRDefault="008959A4" w14:paraId="7A46903D" w14:textId="77777777">
            <w:pPr>
              <w:jc w:val="center"/>
              <w:rPr>
                <w:rFonts w:cstheme="minorBidi"/>
                <w:szCs w:val="26"/>
              </w:rPr>
            </w:pPr>
          </w:p>
        </w:tc>
        <w:tc>
          <w:tcPr>
            <w:tcW w:w="1435" w:type="dxa"/>
          </w:tcPr>
          <w:p w:rsidRPr="00F25FBE" w:rsidR="008959A4" w:rsidP="00717A84" w:rsidRDefault="008959A4" w14:paraId="001869CD" w14:textId="77777777">
            <w:pPr>
              <w:jc w:val="center"/>
              <w:rPr>
                <w:rFonts w:cstheme="minorBidi"/>
                <w:szCs w:val="26"/>
              </w:rPr>
            </w:pPr>
            <w:r w:rsidRPr="00F25FBE">
              <w:rPr>
                <w:rFonts w:cstheme="minorBidi"/>
                <w:szCs w:val="26"/>
              </w:rPr>
              <w:t>3/26/21</w:t>
            </w:r>
          </w:p>
        </w:tc>
      </w:tr>
      <w:tr w:rsidRPr="00F25FBE" w:rsidR="008959A4" w:rsidTr="00717A84" w14:paraId="503ACB58" w14:textId="77777777">
        <w:tc>
          <w:tcPr>
            <w:tcW w:w="1747" w:type="dxa"/>
          </w:tcPr>
          <w:p w:rsidRPr="00F25FBE" w:rsidR="008959A4" w:rsidP="00717A84" w:rsidRDefault="008959A4" w14:paraId="5C91000D" w14:textId="77777777">
            <w:pPr>
              <w:jc w:val="center"/>
              <w:rPr>
                <w:rFonts w:cstheme="minorBidi"/>
                <w:szCs w:val="26"/>
              </w:rPr>
            </w:pPr>
            <w:r w:rsidRPr="00F25FBE">
              <w:rPr>
                <w:rFonts w:cstheme="minorBidi"/>
                <w:szCs w:val="26"/>
              </w:rPr>
              <w:t>EEC- 12</w:t>
            </w:r>
          </w:p>
        </w:tc>
        <w:tc>
          <w:tcPr>
            <w:tcW w:w="1815" w:type="dxa"/>
          </w:tcPr>
          <w:p w:rsidRPr="00F25FBE" w:rsidR="008959A4" w:rsidP="00717A84" w:rsidRDefault="008959A4" w14:paraId="41BBDE3F"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5F49E376" w14:textId="77777777">
            <w:pPr>
              <w:jc w:val="center"/>
              <w:rPr>
                <w:rFonts w:cstheme="minorBidi"/>
                <w:szCs w:val="26"/>
              </w:rPr>
            </w:pPr>
            <w:r w:rsidRPr="00F25FBE">
              <w:rPr>
                <w:rFonts w:cstheme="minorBidi"/>
                <w:szCs w:val="26"/>
              </w:rPr>
              <w:t>Excerpts from PacifiCorp’s Responses to EEC’s Data Requests 1-8</w:t>
            </w:r>
          </w:p>
        </w:tc>
        <w:tc>
          <w:tcPr>
            <w:tcW w:w="1440" w:type="dxa"/>
          </w:tcPr>
          <w:p w:rsidRPr="00F25FBE" w:rsidR="008959A4" w:rsidP="00717A84" w:rsidRDefault="008959A4" w14:paraId="30A81822" w14:textId="77777777">
            <w:pPr>
              <w:jc w:val="center"/>
              <w:rPr>
                <w:rFonts w:cstheme="minorBidi"/>
                <w:szCs w:val="26"/>
              </w:rPr>
            </w:pPr>
          </w:p>
        </w:tc>
        <w:tc>
          <w:tcPr>
            <w:tcW w:w="1435" w:type="dxa"/>
          </w:tcPr>
          <w:p w:rsidRPr="00F25FBE" w:rsidR="008959A4" w:rsidP="00717A84" w:rsidRDefault="008959A4" w14:paraId="3BB2AA44" w14:textId="77777777">
            <w:pPr>
              <w:jc w:val="center"/>
              <w:rPr>
                <w:rFonts w:cstheme="minorBidi"/>
                <w:szCs w:val="26"/>
              </w:rPr>
            </w:pPr>
            <w:r w:rsidRPr="00F25FBE">
              <w:rPr>
                <w:rFonts w:cstheme="minorBidi"/>
                <w:szCs w:val="26"/>
              </w:rPr>
              <w:t>3/26/21</w:t>
            </w:r>
          </w:p>
        </w:tc>
      </w:tr>
      <w:tr w:rsidRPr="00F25FBE" w:rsidR="008959A4" w:rsidTr="00717A84" w14:paraId="21F93F8E" w14:textId="77777777">
        <w:tc>
          <w:tcPr>
            <w:tcW w:w="1747" w:type="dxa"/>
          </w:tcPr>
          <w:p w:rsidRPr="00F25FBE" w:rsidR="008959A4" w:rsidP="00717A84" w:rsidRDefault="008959A4" w14:paraId="7A97C43C" w14:textId="77777777">
            <w:pPr>
              <w:jc w:val="center"/>
              <w:rPr>
                <w:rFonts w:cstheme="minorBidi"/>
                <w:szCs w:val="26"/>
              </w:rPr>
            </w:pPr>
            <w:r w:rsidRPr="00F25FBE">
              <w:rPr>
                <w:rFonts w:cstheme="minorBidi"/>
                <w:szCs w:val="26"/>
              </w:rPr>
              <w:lastRenderedPageBreak/>
              <w:t>EEC- 13</w:t>
            </w:r>
          </w:p>
        </w:tc>
        <w:tc>
          <w:tcPr>
            <w:tcW w:w="1815" w:type="dxa"/>
          </w:tcPr>
          <w:p w:rsidRPr="00F25FBE" w:rsidR="008959A4" w:rsidP="00717A84" w:rsidRDefault="008959A4" w14:paraId="2B5026C3"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3CEBCF25" w14:textId="77777777">
            <w:pPr>
              <w:jc w:val="center"/>
              <w:rPr>
                <w:rFonts w:cstheme="minorBidi"/>
                <w:szCs w:val="26"/>
              </w:rPr>
            </w:pPr>
            <w:r w:rsidRPr="00F25FBE">
              <w:rPr>
                <w:rFonts w:cstheme="minorBidi"/>
                <w:szCs w:val="26"/>
              </w:rPr>
              <w:t>Excerpts from SWG’s Responses to EEC’s Data Requests 1-8</w:t>
            </w:r>
          </w:p>
        </w:tc>
        <w:tc>
          <w:tcPr>
            <w:tcW w:w="1440" w:type="dxa"/>
          </w:tcPr>
          <w:p w:rsidRPr="00F25FBE" w:rsidR="008959A4" w:rsidP="00717A84" w:rsidRDefault="008959A4" w14:paraId="3D76A325" w14:textId="77777777">
            <w:pPr>
              <w:jc w:val="center"/>
              <w:rPr>
                <w:rFonts w:cstheme="minorBidi"/>
                <w:szCs w:val="26"/>
              </w:rPr>
            </w:pPr>
          </w:p>
        </w:tc>
        <w:tc>
          <w:tcPr>
            <w:tcW w:w="1435" w:type="dxa"/>
          </w:tcPr>
          <w:p w:rsidRPr="00F25FBE" w:rsidR="008959A4" w:rsidP="00717A84" w:rsidRDefault="008959A4" w14:paraId="0B5DA114" w14:textId="77777777">
            <w:pPr>
              <w:jc w:val="center"/>
              <w:rPr>
                <w:rFonts w:cstheme="minorBidi"/>
                <w:szCs w:val="26"/>
              </w:rPr>
            </w:pPr>
            <w:r w:rsidRPr="00F25FBE">
              <w:rPr>
                <w:rFonts w:cstheme="minorBidi"/>
                <w:szCs w:val="26"/>
              </w:rPr>
              <w:t>3/26/21</w:t>
            </w:r>
          </w:p>
        </w:tc>
      </w:tr>
      <w:tr w:rsidRPr="00F25FBE" w:rsidR="008959A4" w:rsidTr="00717A84" w14:paraId="1BC37265" w14:textId="77777777">
        <w:tc>
          <w:tcPr>
            <w:tcW w:w="1747" w:type="dxa"/>
          </w:tcPr>
          <w:p w:rsidRPr="00F25FBE" w:rsidR="008959A4" w:rsidP="00717A84" w:rsidRDefault="008959A4" w14:paraId="7207E268" w14:textId="77777777">
            <w:pPr>
              <w:jc w:val="center"/>
              <w:rPr>
                <w:rFonts w:cstheme="minorBidi"/>
                <w:szCs w:val="26"/>
              </w:rPr>
            </w:pPr>
            <w:r w:rsidRPr="00F25FBE">
              <w:rPr>
                <w:rFonts w:cstheme="minorBidi"/>
                <w:szCs w:val="26"/>
              </w:rPr>
              <w:t>EEC- 14</w:t>
            </w:r>
          </w:p>
        </w:tc>
        <w:tc>
          <w:tcPr>
            <w:tcW w:w="1815" w:type="dxa"/>
          </w:tcPr>
          <w:p w:rsidRPr="00F25FBE" w:rsidR="008959A4" w:rsidP="00717A84" w:rsidRDefault="008959A4" w14:paraId="338595FC" w14:textId="77777777">
            <w:pPr>
              <w:jc w:val="center"/>
              <w:rPr>
                <w:rFonts w:cstheme="minorBidi"/>
                <w:szCs w:val="26"/>
              </w:rPr>
            </w:pPr>
            <w:r w:rsidRPr="00F25FBE">
              <w:rPr>
                <w:rFonts w:cstheme="minorBidi"/>
                <w:szCs w:val="26"/>
              </w:rPr>
              <w:t>Energy Efficiency Council</w:t>
            </w:r>
          </w:p>
        </w:tc>
        <w:tc>
          <w:tcPr>
            <w:tcW w:w="2913" w:type="dxa"/>
          </w:tcPr>
          <w:p w:rsidRPr="00F25FBE" w:rsidR="008959A4" w:rsidP="00717A84" w:rsidRDefault="008959A4" w14:paraId="26D7B519" w14:textId="77777777">
            <w:pPr>
              <w:jc w:val="center"/>
              <w:rPr>
                <w:rFonts w:cstheme="minorBidi"/>
                <w:szCs w:val="26"/>
              </w:rPr>
            </w:pPr>
            <w:r w:rsidRPr="00F25FBE">
              <w:rPr>
                <w:rFonts w:cstheme="minorBidi"/>
                <w:szCs w:val="26"/>
              </w:rPr>
              <w:t>Excerpts from SWG’s Supplemental Responses to EEC’s Data Requests 1-8</w:t>
            </w:r>
          </w:p>
        </w:tc>
        <w:tc>
          <w:tcPr>
            <w:tcW w:w="1440" w:type="dxa"/>
          </w:tcPr>
          <w:p w:rsidRPr="00F25FBE" w:rsidR="008959A4" w:rsidP="00717A84" w:rsidRDefault="008959A4" w14:paraId="3C4B3DAC" w14:textId="77777777">
            <w:pPr>
              <w:jc w:val="center"/>
              <w:rPr>
                <w:rFonts w:cstheme="minorBidi"/>
                <w:szCs w:val="26"/>
              </w:rPr>
            </w:pPr>
          </w:p>
        </w:tc>
        <w:tc>
          <w:tcPr>
            <w:tcW w:w="1435" w:type="dxa"/>
          </w:tcPr>
          <w:p w:rsidRPr="00F25FBE" w:rsidR="008959A4" w:rsidP="00717A84" w:rsidRDefault="008959A4" w14:paraId="2D89D52A" w14:textId="77777777">
            <w:pPr>
              <w:jc w:val="center"/>
              <w:rPr>
                <w:rFonts w:cstheme="minorBidi"/>
                <w:szCs w:val="26"/>
              </w:rPr>
            </w:pPr>
            <w:r w:rsidRPr="00F25FBE">
              <w:rPr>
                <w:rFonts w:cstheme="minorBidi"/>
                <w:szCs w:val="26"/>
              </w:rPr>
              <w:t>3/26/21</w:t>
            </w:r>
          </w:p>
        </w:tc>
      </w:tr>
      <w:tr w:rsidRPr="00F25FBE" w:rsidR="008959A4" w:rsidTr="00717A84" w14:paraId="638B0810" w14:textId="77777777">
        <w:tc>
          <w:tcPr>
            <w:tcW w:w="1747" w:type="dxa"/>
          </w:tcPr>
          <w:p w:rsidRPr="00F25FBE" w:rsidR="008959A4" w:rsidP="00717A84" w:rsidRDefault="008959A4" w14:paraId="340840C5" w14:textId="77777777">
            <w:pPr>
              <w:jc w:val="center"/>
              <w:rPr>
                <w:rFonts w:cstheme="minorBidi"/>
                <w:szCs w:val="26"/>
              </w:rPr>
            </w:pPr>
            <w:r w:rsidRPr="00F25FBE">
              <w:rPr>
                <w:rFonts w:cstheme="minorBidi"/>
                <w:szCs w:val="26"/>
              </w:rPr>
              <w:t>SWG-1</w:t>
            </w:r>
          </w:p>
        </w:tc>
        <w:tc>
          <w:tcPr>
            <w:tcW w:w="1815" w:type="dxa"/>
          </w:tcPr>
          <w:p w:rsidRPr="00F25FBE" w:rsidR="008959A4" w:rsidP="00717A84" w:rsidRDefault="008959A4" w14:paraId="3BA98242" w14:textId="77777777">
            <w:pPr>
              <w:jc w:val="center"/>
              <w:rPr>
                <w:rFonts w:cstheme="minorBidi"/>
                <w:szCs w:val="26"/>
              </w:rPr>
            </w:pPr>
            <w:r w:rsidRPr="00F25FBE">
              <w:rPr>
                <w:rFonts w:cstheme="minorBidi"/>
                <w:szCs w:val="26"/>
              </w:rPr>
              <w:t>Southwest Gas Corporation</w:t>
            </w:r>
          </w:p>
        </w:tc>
        <w:tc>
          <w:tcPr>
            <w:tcW w:w="2913" w:type="dxa"/>
          </w:tcPr>
          <w:p w:rsidRPr="00F25FBE" w:rsidR="008959A4" w:rsidP="00717A84" w:rsidRDefault="008959A4" w14:paraId="70F6FCC2" w14:textId="77777777">
            <w:pPr>
              <w:jc w:val="center"/>
              <w:rPr>
                <w:rFonts w:cstheme="minorBidi"/>
                <w:szCs w:val="26"/>
              </w:rPr>
            </w:pPr>
            <w:r w:rsidRPr="00F25FBE">
              <w:rPr>
                <w:rFonts w:cstheme="minorBidi"/>
                <w:szCs w:val="26"/>
              </w:rPr>
              <w:t>Prepared Direct Testimony of Melissa M. Porch.</w:t>
            </w:r>
          </w:p>
        </w:tc>
        <w:tc>
          <w:tcPr>
            <w:tcW w:w="1440" w:type="dxa"/>
          </w:tcPr>
          <w:p w:rsidRPr="00F25FBE" w:rsidR="008959A4" w:rsidP="00717A84" w:rsidRDefault="008959A4" w14:paraId="4E4B9610" w14:textId="77777777">
            <w:pPr>
              <w:jc w:val="center"/>
              <w:rPr>
                <w:rFonts w:cstheme="minorBidi"/>
                <w:szCs w:val="26"/>
              </w:rPr>
            </w:pPr>
            <w:r w:rsidRPr="00F25FBE">
              <w:rPr>
                <w:rFonts w:cstheme="minorBidi"/>
                <w:szCs w:val="26"/>
              </w:rPr>
              <w:t>Melissa M. Porch</w:t>
            </w:r>
          </w:p>
        </w:tc>
        <w:tc>
          <w:tcPr>
            <w:tcW w:w="1435" w:type="dxa"/>
          </w:tcPr>
          <w:p w:rsidRPr="00F25FBE" w:rsidR="008959A4" w:rsidP="00717A84" w:rsidRDefault="008959A4" w14:paraId="44C8B9C1" w14:textId="77777777">
            <w:pPr>
              <w:jc w:val="center"/>
              <w:rPr>
                <w:rFonts w:cstheme="minorBidi"/>
                <w:szCs w:val="26"/>
              </w:rPr>
            </w:pPr>
            <w:r w:rsidRPr="00F25FBE">
              <w:rPr>
                <w:rFonts w:cstheme="minorBidi"/>
                <w:szCs w:val="26"/>
              </w:rPr>
              <w:t>3/26/21</w:t>
            </w:r>
          </w:p>
        </w:tc>
      </w:tr>
      <w:tr w:rsidRPr="00F25FBE" w:rsidR="008959A4" w:rsidTr="00717A84" w14:paraId="32858EFF" w14:textId="77777777">
        <w:tc>
          <w:tcPr>
            <w:tcW w:w="1747" w:type="dxa"/>
          </w:tcPr>
          <w:p w:rsidRPr="00F25FBE" w:rsidR="008959A4" w:rsidP="00717A84" w:rsidRDefault="008959A4" w14:paraId="67C13DAE" w14:textId="77777777">
            <w:pPr>
              <w:jc w:val="center"/>
              <w:rPr>
                <w:rFonts w:cstheme="minorBidi"/>
                <w:szCs w:val="26"/>
              </w:rPr>
            </w:pPr>
            <w:r w:rsidRPr="00F25FBE">
              <w:rPr>
                <w:rFonts w:cstheme="minorBidi"/>
                <w:szCs w:val="26"/>
              </w:rPr>
              <w:t>SWG-2</w:t>
            </w:r>
          </w:p>
        </w:tc>
        <w:tc>
          <w:tcPr>
            <w:tcW w:w="1815" w:type="dxa"/>
          </w:tcPr>
          <w:p w:rsidRPr="00F25FBE" w:rsidR="008959A4" w:rsidP="00717A84" w:rsidRDefault="008959A4" w14:paraId="7B681D51" w14:textId="77777777">
            <w:pPr>
              <w:jc w:val="center"/>
              <w:rPr>
                <w:rFonts w:cstheme="minorBidi"/>
                <w:szCs w:val="26"/>
              </w:rPr>
            </w:pPr>
            <w:r w:rsidRPr="00F25FBE">
              <w:rPr>
                <w:rFonts w:cstheme="minorBidi"/>
                <w:szCs w:val="26"/>
              </w:rPr>
              <w:t>Southwest Gas Corporation</w:t>
            </w:r>
          </w:p>
        </w:tc>
        <w:tc>
          <w:tcPr>
            <w:tcW w:w="2913" w:type="dxa"/>
          </w:tcPr>
          <w:p w:rsidRPr="00F25FBE" w:rsidR="008959A4" w:rsidP="00717A84" w:rsidRDefault="008959A4" w14:paraId="643995D9" w14:textId="77777777">
            <w:pPr>
              <w:jc w:val="center"/>
              <w:rPr>
                <w:rFonts w:cstheme="minorBidi"/>
                <w:szCs w:val="26"/>
              </w:rPr>
            </w:pPr>
            <w:r w:rsidRPr="00F25FBE">
              <w:rPr>
                <w:rFonts w:cstheme="minorBidi"/>
                <w:szCs w:val="26"/>
              </w:rPr>
              <w:t>Joint Rebuttal Testimony of PacifiCorp, SWG, Liberty, Bear Valley, and Alpine, and Appendices</w:t>
            </w:r>
          </w:p>
        </w:tc>
        <w:tc>
          <w:tcPr>
            <w:tcW w:w="1440" w:type="dxa"/>
          </w:tcPr>
          <w:p w:rsidRPr="00F25FBE" w:rsidR="008959A4" w:rsidP="00717A84" w:rsidRDefault="008959A4" w14:paraId="1036958E" w14:textId="77777777">
            <w:pPr>
              <w:jc w:val="center"/>
              <w:rPr>
                <w:rFonts w:cstheme="minorBidi"/>
                <w:szCs w:val="26"/>
              </w:rPr>
            </w:pPr>
          </w:p>
        </w:tc>
        <w:tc>
          <w:tcPr>
            <w:tcW w:w="1435" w:type="dxa"/>
          </w:tcPr>
          <w:p w:rsidRPr="00F25FBE" w:rsidR="008959A4" w:rsidP="00717A84" w:rsidRDefault="008959A4" w14:paraId="19141565" w14:textId="77777777">
            <w:pPr>
              <w:jc w:val="center"/>
              <w:rPr>
                <w:rFonts w:cstheme="minorBidi"/>
                <w:szCs w:val="26"/>
              </w:rPr>
            </w:pPr>
            <w:r w:rsidRPr="00F25FBE">
              <w:rPr>
                <w:rFonts w:cstheme="minorBidi"/>
                <w:szCs w:val="26"/>
              </w:rPr>
              <w:t>3/26/21</w:t>
            </w:r>
          </w:p>
        </w:tc>
      </w:tr>
      <w:tr w:rsidRPr="00F25FBE" w:rsidR="008959A4" w:rsidTr="00717A84" w14:paraId="1CCF2C6F" w14:textId="77777777">
        <w:tc>
          <w:tcPr>
            <w:tcW w:w="1747" w:type="dxa"/>
          </w:tcPr>
          <w:p w:rsidRPr="00F25FBE" w:rsidR="008959A4" w:rsidP="00717A84" w:rsidRDefault="008959A4" w14:paraId="48CB952B" w14:textId="77777777">
            <w:pPr>
              <w:jc w:val="center"/>
              <w:rPr>
                <w:rFonts w:cstheme="minorBidi"/>
                <w:szCs w:val="26"/>
              </w:rPr>
            </w:pPr>
            <w:r w:rsidRPr="00F25FBE">
              <w:rPr>
                <w:rFonts w:cstheme="minorBidi"/>
                <w:szCs w:val="26"/>
              </w:rPr>
              <w:t>SWG-3</w:t>
            </w:r>
          </w:p>
        </w:tc>
        <w:tc>
          <w:tcPr>
            <w:tcW w:w="1815" w:type="dxa"/>
          </w:tcPr>
          <w:p w:rsidRPr="00F25FBE" w:rsidR="008959A4" w:rsidP="00717A84" w:rsidRDefault="008959A4" w14:paraId="452665DE" w14:textId="77777777">
            <w:pPr>
              <w:jc w:val="center"/>
              <w:rPr>
                <w:rFonts w:cstheme="minorBidi"/>
                <w:szCs w:val="26"/>
              </w:rPr>
            </w:pPr>
            <w:r w:rsidRPr="00F25FBE">
              <w:rPr>
                <w:rFonts w:cstheme="minorBidi"/>
                <w:szCs w:val="26"/>
              </w:rPr>
              <w:t>Southwest Gas Corporation</w:t>
            </w:r>
          </w:p>
        </w:tc>
        <w:tc>
          <w:tcPr>
            <w:tcW w:w="2913" w:type="dxa"/>
          </w:tcPr>
          <w:p w:rsidRPr="00F25FBE" w:rsidR="008959A4" w:rsidP="00717A84" w:rsidRDefault="008959A4" w14:paraId="6D1EC7EB" w14:textId="77777777">
            <w:pPr>
              <w:jc w:val="center"/>
              <w:rPr>
                <w:rFonts w:cstheme="minorBidi"/>
                <w:szCs w:val="26"/>
              </w:rPr>
            </w:pPr>
            <w:r w:rsidRPr="00F25FBE">
              <w:rPr>
                <w:rFonts w:cstheme="minorBidi"/>
                <w:szCs w:val="26"/>
              </w:rPr>
              <w:t>WG’s Response to CPUC Energy Division’s Data Request 05, Question 2</w:t>
            </w:r>
          </w:p>
        </w:tc>
        <w:tc>
          <w:tcPr>
            <w:tcW w:w="1440" w:type="dxa"/>
          </w:tcPr>
          <w:p w:rsidRPr="00F25FBE" w:rsidR="008959A4" w:rsidP="00717A84" w:rsidRDefault="008959A4" w14:paraId="50E86D25" w14:textId="77777777">
            <w:pPr>
              <w:jc w:val="center"/>
              <w:rPr>
                <w:rFonts w:cstheme="minorBidi"/>
                <w:szCs w:val="26"/>
              </w:rPr>
            </w:pPr>
          </w:p>
        </w:tc>
        <w:tc>
          <w:tcPr>
            <w:tcW w:w="1435" w:type="dxa"/>
          </w:tcPr>
          <w:p w:rsidRPr="00F25FBE" w:rsidR="008959A4" w:rsidP="00717A84" w:rsidRDefault="008959A4" w14:paraId="7FAFF822" w14:textId="77777777">
            <w:pPr>
              <w:jc w:val="center"/>
              <w:rPr>
                <w:rFonts w:cstheme="minorBidi"/>
                <w:szCs w:val="26"/>
              </w:rPr>
            </w:pPr>
            <w:r w:rsidRPr="00F25FBE">
              <w:rPr>
                <w:rFonts w:cstheme="minorBidi"/>
                <w:szCs w:val="26"/>
              </w:rPr>
              <w:t>3/26/21</w:t>
            </w:r>
          </w:p>
        </w:tc>
      </w:tr>
      <w:tr w:rsidRPr="00F25FBE" w:rsidR="008959A4" w:rsidTr="00717A84" w14:paraId="43D2DD9E" w14:textId="77777777">
        <w:tc>
          <w:tcPr>
            <w:tcW w:w="1747" w:type="dxa"/>
          </w:tcPr>
          <w:p w:rsidRPr="00F25FBE" w:rsidR="008959A4" w:rsidP="00717A84" w:rsidRDefault="008959A4" w14:paraId="52E8705F" w14:textId="77777777">
            <w:pPr>
              <w:jc w:val="center"/>
              <w:rPr>
                <w:rFonts w:cstheme="minorBidi"/>
                <w:szCs w:val="26"/>
              </w:rPr>
            </w:pPr>
            <w:r w:rsidRPr="00F25FBE">
              <w:rPr>
                <w:rFonts w:cstheme="minorBidi"/>
                <w:szCs w:val="26"/>
              </w:rPr>
              <w:t>Alpine-1</w:t>
            </w:r>
          </w:p>
        </w:tc>
        <w:tc>
          <w:tcPr>
            <w:tcW w:w="1815" w:type="dxa"/>
          </w:tcPr>
          <w:p w:rsidRPr="00F25FBE" w:rsidR="008959A4" w:rsidP="00717A84" w:rsidRDefault="008959A4" w14:paraId="3A2BC261" w14:textId="77777777">
            <w:pPr>
              <w:jc w:val="center"/>
              <w:rPr>
                <w:rFonts w:cstheme="minorBidi"/>
                <w:szCs w:val="26"/>
              </w:rPr>
            </w:pPr>
            <w:r w:rsidRPr="00F25FBE">
              <w:rPr>
                <w:rFonts w:cstheme="minorBidi"/>
                <w:szCs w:val="26"/>
              </w:rPr>
              <w:t>Alpine Natural Gas Operating Company No. 1</w:t>
            </w:r>
          </w:p>
        </w:tc>
        <w:tc>
          <w:tcPr>
            <w:tcW w:w="2913" w:type="dxa"/>
          </w:tcPr>
          <w:p w:rsidRPr="00F25FBE" w:rsidR="008959A4" w:rsidP="00717A84" w:rsidRDefault="008959A4" w14:paraId="3BCCE339" w14:textId="77777777">
            <w:pPr>
              <w:jc w:val="center"/>
              <w:rPr>
                <w:rFonts w:cstheme="minorBidi"/>
                <w:szCs w:val="26"/>
              </w:rPr>
            </w:pPr>
            <w:r w:rsidRPr="00F25FBE">
              <w:rPr>
                <w:rFonts w:cstheme="minorBidi"/>
                <w:szCs w:val="26"/>
              </w:rPr>
              <w:t>RHA’s Memo to Alpine re Alpine ESACET, dated March 10, 2021.</w:t>
            </w:r>
          </w:p>
        </w:tc>
        <w:tc>
          <w:tcPr>
            <w:tcW w:w="1440" w:type="dxa"/>
          </w:tcPr>
          <w:p w:rsidRPr="00F25FBE" w:rsidR="008959A4" w:rsidP="00717A84" w:rsidRDefault="008959A4" w14:paraId="3E35CF55" w14:textId="77777777">
            <w:pPr>
              <w:jc w:val="center"/>
              <w:rPr>
                <w:rFonts w:cstheme="minorBidi"/>
                <w:szCs w:val="26"/>
              </w:rPr>
            </w:pPr>
          </w:p>
        </w:tc>
        <w:tc>
          <w:tcPr>
            <w:tcW w:w="1435" w:type="dxa"/>
          </w:tcPr>
          <w:p w:rsidRPr="00F25FBE" w:rsidR="008959A4" w:rsidP="00717A84" w:rsidRDefault="008959A4" w14:paraId="315FD09D" w14:textId="77777777">
            <w:pPr>
              <w:jc w:val="center"/>
              <w:rPr>
                <w:rFonts w:cstheme="minorBidi"/>
                <w:szCs w:val="26"/>
              </w:rPr>
            </w:pPr>
            <w:r w:rsidRPr="00F25FBE">
              <w:rPr>
                <w:rFonts w:cstheme="minorBidi"/>
                <w:szCs w:val="26"/>
              </w:rPr>
              <w:t>3/26/21</w:t>
            </w:r>
          </w:p>
        </w:tc>
      </w:tr>
    </w:tbl>
    <w:p w:rsidRPr="00F25FBE" w:rsidR="008959A4" w:rsidP="008959A4" w:rsidRDefault="008959A4" w14:paraId="0B8CD44A" w14:textId="77777777">
      <w:pPr>
        <w:spacing w:after="160" w:line="259" w:lineRule="auto"/>
        <w:jc w:val="center"/>
        <w:rPr>
          <w:rFonts w:cstheme="minorBidi"/>
          <w:szCs w:val="26"/>
        </w:rPr>
      </w:pPr>
    </w:p>
    <w:p w:rsidRPr="008959A4" w:rsidR="00714CF2" w:rsidP="008959A4" w:rsidRDefault="008959A4" w14:paraId="70AA510D" w14:textId="3B0CC95C">
      <w:pPr>
        <w:spacing w:beforeAutospacing="1" w:afterAutospacing="1" w:line="360" w:lineRule="auto"/>
        <w:jc w:val="center"/>
        <w:rPr>
          <w:rFonts w:eastAsia="Book Antiqua" w:cs="Book Antiqua"/>
          <w:szCs w:val="26"/>
        </w:rPr>
      </w:pPr>
      <w:r w:rsidRPr="00F25FBE">
        <w:rPr>
          <w:rFonts w:eastAsia="Book Antiqua" w:cs="Book Antiqua"/>
          <w:szCs w:val="26"/>
        </w:rPr>
        <w:t>(END OF ATTACHMENT 2)</w:t>
      </w:r>
    </w:p>
    <w:sectPr w:rsidRPr="008959A4" w:rsidR="00714CF2" w:rsidSect="00A644AF">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7835" w14:textId="77777777" w:rsidR="00ED6D61" w:rsidRDefault="00ED6D61" w:rsidP="0098138E">
      <w:r>
        <w:separator/>
      </w:r>
    </w:p>
  </w:endnote>
  <w:endnote w:type="continuationSeparator" w:id="0">
    <w:p w14:paraId="50F42748" w14:textId="77777777" w:rsidR="00ED6D61" w:rsidRDefault="00ED6D61" w:rsidP="0098138E">
      <w:r>
        <w:continuationSeparator/>
      </w:r>
    </w:p>
  </w:endnote>
  <w:endnote w:type="continuationNotice" w:id="1">
    <w:p w14:paraId="6124FF87" w14:textId="77777777" w:rsidR="00ED6D61" w:rsidRDefault="00ED6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MT">
    <w:altName w:val="Arial"/>
    <w:charset w:val="00"/>
    <w:family w:val="auto"/>
    <w:pitch w:val="variable"/>
    <w:sig w:usb0="00000000"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CALS_InvisibleTTFont">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76553"/>
      <w:docPartObj>
        <w:docPartGallery w:val="Page Numbers (Bottom of Page)"/>
        <w:docPartUnique/>
      </w:docPartObj>
    </w:sdtPr>
    <w:sdtEndPr>
      <w:rPr>
        <w:noProof/>
      </w:rPr>
    </w:sdtEndPr>
    <w:sdtContent>
      <w:p w14:paraId="2384499F" w14:textId="22EBE5F7" w:rsidR="008959A4" w:rsidRDefault="00BC48EE" w:rsidP="000C1980">
        <w:pPr>
          <w:pStyle w:val="Footer"/>
        </w:pPr>
        <w:r w:rsidRPr="00BC48EE">
          <w:rPr>
            <w:sz w:val="16"/>
            <w:szCs w:val="16"/>
          </w:rPr>
          <w:t>416528292</w:t>
        </w:r>
        <w:r w:rsidR="008959A4">
          <w:tab/>
          <w:t xml:space="preserve">- </w:t>
        </w:r>
        <w:r w:rsidR="008959A4">
          <w:rPr>
            <w:noProof/>
          </w:rPr>
          <w:t>1 -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5067" w14:textId="77777777" w:rsidR="00A644AF" w:rsidRDefault="00ED6D61" w:rsidP="00A644AF">
    <w:pPr>
      <w:pStyle w:val="Footer"/>
      <w:jc w:val="center"/>
    </w:pPr>
    <w:sdt>
      <w:sdtPr>
        <w:id w:val="-140586922"/>
        <w:docPartObj>
          <w:docPartGallery w:val="Page Numbers (Bottom of Page)"/>
          <w:docPartUnique/>
        </w:docPartObj>
      </w:sdtPr>
      <w:sdtEndPr>
        <w:rPr>
          <w:noProof/>
        </w:rPr>
      </w:sdtEndPr>
      <w:sdtContent>
        <w:r w:rsidR="004313D4">
          <w:t xml:space="preserve">- </w:t>
        </w:r>
        <w:r w:rsidR="004313D4">
          <w:fldChar w:fldCharType="begin"/>
        </w:r>
        <w:r w:rsidR="004313D4">
          <w:instrText xml:space="preserve"> PAGE   \* MERGEFORMAT </w:instrText>
        </w:r>
        <w:r w:rsidR="004313D4">
          <w:fldChar w:fldCharType="separate"/>
        </w:r>
        <w:r w:rsidR="004313D4">
          <w:rPr>
            <w:noProof/>
          </w:rPr>
          <w:t>2</w:t>
        </w:r>
        <w:r w:rsidR="004313D4">
          <w:rPr>
            <w:noProof/>
          </w:rPr>
          <w:fldChar w:fldCharType="end"/>
        </w:r>
      </w:sdtContent>
    </w:sdt>
    <w:r w:rsidR="004313D4">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339762"/>
      <w:docPartObj>
        <w:docPartGallery w:val="Page Numbers (Bottom of Page)"/>
        <w:docPartUnique/>
      </w:docPartObj>
    </w:sdtPr>
    <w:sdtEndPr>
      <w:rPr>
        <w:noProof/>
      </w:rPr>
    </w:sdtEndPr>
    <w:sdtContent>
      <w:p w14:paraId="6FE208DD" w14:textId="77777777" w:rsidR="008959A4" w:rsidRDefault="008959A4" w:rsidP="000C1980">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66680"/>
      <w:docPartObj>
        <w:docPartGallery w:val="Page Numbers (Bottom of Page)"/>
        <w:docPartUnique/>
      </w:docPartObj>
    </w:sdtPr>
    <w:sdtEndPr>
      <w:rPr>
        <w:noProof/>
      </w:rPr>
    </w:sdtEndPr>
    <w:sdtContent>
      <w:p w14:paraId="1E2FF6E7" w14:textId="77777777" w:rsidR="008959A4" w:rsidRDefault="008959A4" w:rsidP="000C1980">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DA2A" w14:textId="77777777" w:rsidR="008959A4" w:rsidRDefault="00ED6D61" w:rsidP="006C569D">
    <w:pPr>
      <w:tabs>
        <w:tab w:val="center" w:pos="4680"/>
      </w:tabs>
      <w:jc w:val="center"/>
    </w:pPr>
    <w:sdt>
      <w:sdtPr>
        <w:id w:val="1935164809"/>
        <w:docPartObj>
          <w:docPartGallery w:val="Page Numbers (Bottom of Page)"/>
          <w:docPartUnique/>
        </w:docPartObj>
      </w:sdtPr>
      <w:sdtEndPr>
        <w:rPr>
          <w:noProof/>
        </w:rPr>
      </w:sdtEndPr>
      <w:sdtContent>
        <w:r w:rsidR="008959A4">
          <w:t xml:space="preserve">- </w:t>
        </w:r>
        <w:r w:rsidR="008959A4">
          <w:fldChar w:fldCharType="begin"/>
        </w:r>
        <w:r w:rsidR="008959A4">
          <w:instrText xml:space="preserve"> PAGE   \* MERGEFORMAT </w:instrText>
        </w:r>
        <w:r w:rsidR="008959A4">
          <w:fldChar w:fldCharType="separate"/>
        </w:r>
        <w:r w:rsidR="008959A4">
          <w:rPr>
            <w:noProof/>
          </w:rPr>
          <w:t>2</w:t>
        </w:r>
        <w:r w:rsidR="008959A4">
          <w:rPr>
            <w:noProof/>
          </w:rPr>
          <w:fldChar w:fldCharType="end"/>
        </w:r>
      </w:sdtContent>
    </w:sdt>
    <w:r w:rsidR="008959A4">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BF9B" w14:textId="77777777" w:rsidR="008959A4" w:rsidRDefault="008959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BC68" w14:textId="77777777" w:rsidR="008959A4" w:rsidRPr="00517377" w:rsidRDefault="008959A4" w:rsidP="00517377">
    <w:pPr>
      <w:pStyle w:val="Footer"/>
      <w:rPr>
        <w:sz w:val="16"/>
        <w:szCs w:val="16"/>
      </w:rPr>
    </w:pPr>
    <w:r w:rsidRPr="00517377">
      <w:rPr>
        <w:sz w:val="16"/>
        <w:szCs w:val="16"/>
      </w:rPr>
      <w:t>405064877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59B1" w14:textId="77777777" w:rsidR="008959A4" w:rsidRDefault="008959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7C4B" w14:textId="77777777" w:rsidR="008959A4" w:rsidRDefault="00ED6D61" w:rsidP="00A644AF">
    <w:pPr>
      <w:pStyle w:val="Footer"/>
      <w:jc w:val="center"/>
    </w:pPr>
    <w:sdt>
      <w:sdtPr>
        <w:id w:val="381840987"/>
        <w:docPartObj>
          <w:docPartGallery w:val="Page Numbers (Bottom of Page)"/>
          <w:docPartUnique/>
        </w:docPartObj>
      </w:sdtPr>
      <w:sdtEndPr>
        <w:rPr>
          <w:noProof/>
        </w:rPr>
      </w:sdtEndPr>
      <w:sdtContent>
        <w:r w:rsidR="008959A4">
          <w:t xml:space="preserve">- </w:t>
        </w:r>
        <w:r w:rsidR="008959A4">
          <w:fldChar w:fldCharType="begin"/>
        </w:r>
        <w:r w:rsidR="008959A4">
          <w:instrText xml:space="preserve"> PAGE   \* MERGEFORMAT </w:instrText>
        </w:r>
        <w:r w:rsidR="008959A4">
          <w:fldChar w:fldCharType="separate"/>
        </w:r>
        <w:r w:rsidR="008959A4">
          <w:rPr>
            <w:noProof/>
          </w:rPr>
          <w:t>2</w:t>
        </w:r>
        <w:r w:rsidR="008959A4">
          <w:rPr>
            <w:noProof/>
          </w:rPr>
          <w:fldChar w:fldCharType="end"/>
        </w:r>
      </w:sdtContent>
    </w:sdt>
    <w:r w:rsidR="008959A4">
      <w:rPr>
        <w:noProof/>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241C" w14:textId="77777777" w:rsidR="008959A4" w:rsidRPr="004D35D6" w:rsidRDefault="008959A4" w:rsidP="004D35D6">
    <w:pPr>
      <w:pStyle w:val="Footer"/>
      <w:rPr>
        <w:sz w:val="16"/>
        <w:szCs w:val="16"/>
      </w:rPr>
    </w:pPr>
    <w:r w:rsidRPr="004D35D6">
      <w:rPr>
        <w:sz w:val="16"/>
        <w:szCs w:val="16"/>
      </w:rPr>
      <w:t>405992112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BCBD" w14:textId="77777777" w:rsidR="00ED6D61" w:rsidRDefault="00ED6D61" w:rsidP="00DF58E7">
      <w:r>
        <w:separator/>
      </w:r>
    </w:p>
  </w:footnote>
  <w:footnote w:type="continuationSeparator" w:id="0">
    <w:p w14:paraId="77036FD2" w14:textId="77777777" w:rsidR="00ED6D61" w:rsidRDefault="00ED6D61" w:rsidP="00DF58E7">
      <w:r>
        <w:continuationSeparator/>
      </w:r>
    </w:p>
  </w:footnote>
  <w:footnote w:type="continuationNotice" w:id="1">
    <w:p w14:paraId="5CB45570" w14:textId="77777777" w:rsidR="00ED6D61" w:rsidRPr="00DF58E7" w:rsidRDefault="00ED6D61" w:rsidP="00DF58E7">
      <w:pPr>
        <w:jc w:val="right"/>
        <w:rPr>
          <w:i/>
          <w:sz w:val="22"/>
        </w:rPr>
      </w:pPr>
      <w:r w:rsidRPr="00DF58E7">
        <w:rPr>
          <w:i/>
          <w:sz w:val="22"/>
        </w:rPr>
        <w:t>Footnote continued on next page.</w:t>
      </w:r>
    </w:p>
  </w:footnote>
  <w:footnote w:id="2">
    <w:p w14:paraId="1324D82C" w14:textId="3E15DB2F" w:rsidR="009B067F" w:rsidRPr="00B1326D" w:rsidRDefault="009B067F" w:rsidP="009B067F">
      <w:pPr>
        <w:pStyle w:val="FootnoteText"/>
        <w:rPr>
          <w:lang w:val="es-ES"/>
        </w:rPr>
      </w:pPr>
      <w:r>
        <w:rPr>
          <w:rStyle w:val="FootnoteReference"/>
        </w:rPr>
        <w:footnoteRef/>
      </w:r>
      <w:r w:rsidR="00D178A4">
        <w:rPr>
          <w:lang w:val="es-ES"/>
        </w:rPr>
        <w:t xml:space="preserve"> </w:t>
      </w:r>
      <w:r w:rsidR="00D178A4" w:rsidRPr="00D178A4">
        <w:t>On September 23, 2021, Senate Bill 756 was signed into law modifying the income eligibility requirements for the ESA program from 200 percent FPG to 250 percent FPG beginning July</w:t>
      </w:r>
      <w:r w:rsidR="00DB56C5">
        <w:t> </w:t>
      </w:r>
      <w:r w:rsidR="00D178A4" w:rsidRPr="00D178A4">
        <w:t>1,</w:t>
      </w:r>
      <w:r w:rsidR="00DB56C5">
        <w:t> </w:t>
      </w:r>
      <w:r w:rsidR="00D178A4" w:rsidRPr="00D178A4">
        <w:t>2022. Additionally, Senate Bill 756 prohibits the Commission from increasing the authorized budgets for the program based on the expansion of income eligibility.</w:t>
      </w:r>
    </w:p>
  </w:footnote>
  <w:footnote w:id="3">
    <w:p w14:paraId="2E7E6BDE" w14:textId="77777777" w:rsidR="008959A4" w:rsidRPr="00B1326D" w:rsidRDefault="008959A4" w:rsidP="008959A4">
      <w:pPr>
        <w:pStyle w:val="FootnoteText"/>
        <w:rPr>
          <w:lang w:val="es-ES"/>
        </w:rPr>
      </w:pPr>
      <w:r>
        <w:rPr>
          <w:rStyle w:val="FootnoteReference"/>
        </w:rPr>
        <w:footnoteRef/>
      </w:r>
      <w:r>
        <w:rPr>
          <w:lang w:val="es-ES"/>
        </w:rPr>
        <w:t xml:space="preserve"> </w:t>
      </w:r>
      <w:r w:rsidRPr="00F32F78">
        <w:rPr>
          <w:lang w:val="es-ES"/>
        </w:rPr>
        <w:t>Pub. Util. Code § 739.1(a).</w:t>
      </w:r>
    </w:p>
  </w:footnote>
  <w:footnote w:id="4">
    <w:p w14:paraId="42FCDFBE" w14:textId="77777777" w:rsidR="008959A4" w:rsidRDefault="008959A4" w:rsidP="008959A4">
      <w:pPr>
        <w:pStyle w:val="FootnoteText"/>
      </w:pPr>
      <w:r>
        <w:rPr>
          <w:rStyle w:val="FootnoteReference"/>
        </w:rPr>
        <w:footnoteRef/>
      </w:r>
      <w:r>
        <w:t xml:space="preserve"> </w:t>
      </w:r>
      <w:r w:rsidRPr="008F1EE5">
        <w:t>Pub. Util. Code §</w:t>
      </w:r>
      <w:r>
        <w:t xml:space="preserve"> </w:t>
      </w:r>
      <w:r w:rsidRPr="00FD5424">
        <w:t>739.1.</w:t>
      </w:r>
    </w:p>
  </w:footnote>
  <w:footnote w:id="5">
    <w:p w14:paraId="7A20496C" w14:textId="77777777" w:rsidR="008959A4" w:rsidRDefault="008959A4" w:rsidP="008959A4">
      <w:pPr>
        <w:pStyle w:val="FootnoteText"/>
      </w:pPr>
      <w:r>
        <w:rPr>
          <w:rStyle w:val="FootnoteReference"/>
        </w:rPr>
        <w:footnoteRef/>
      </w:r>
      <w:r>
        <w:t xml:space="preserve"> </w:t>
      </w:r>
      <w:r w:rsidRPr="008F1EE5">
        <w:t>Pub. Util. Code §</w:t>
      </w:r>
      <w:r>
        <w:t xml:space="preserve"> </w:t>
      </w:r>
      <w:r w:rsidRPr="00DE4E1A">
        <w:t>739.1(c)(3).</w:t>
      </w:r>
    </w:p>
  </w:footnote>
  <w:footnote w:id="6">
    <w:p w14:paraId="43ADA66D" w14:textId="77777777" w:rsidR="008959A4" w:rsidRDefault="008959A4" w:rsidP="008959A4">
      <w:pPr>
        <w:pStyle w:val="FootnoteText"/>
      </w:pPr>
      <w:r>
        <w:rPr>
          <w:rStyle w:val="FootnoteReference"/>
        </w:rPr>
        <w:footnoteRef/>
      </w:r>
      <w:r>
        <w:t xml:space="preserve"> </w:t>
      </w:r>
      <w:r w:rsidRPr="009E23C1">
        <w:t>Currently, electrical corporations serving 100,000 customers or more must provide a discount of 30 to 35</w:t>
      </w:r>
      <w:r>
        <w:t xml:space="preserve"> percent</w:t>
      </w:r>
      <w:r w:rsidRPr="009E23C1">
        <w:t xml:space="preserve"> on average to eligible CARE Program participants, relative to the equivalent non</w:t>
      </w:r>
      <w:r w:rsidRPr="009E23C1">
        <w:noBreakHyphen/>
        <w:t>CARE customer bill</w:t>
      </w:r>
      <w:r>
        <w:t xml:space="preserve"> pursuant to </w:t>
      </w:r>
      <w:r w:rsidRPr="00F32F78">
        <w:rPr>
          <w:lang w:val="es-ES"/>
        </w:rPr>
        <w:t>Pub. Util. Code § 739.1(c)(1).</w:t>
      </w:r>
    </w:p>
  </w:footnote>
  <w:footnote w:id="7">
    <w:p w14:paraId="77D6768A" w14:textId="77777777" w:rsidR="008959A4" w:rsidRPr="00C90800" w:rsidRDefault="008959A4" w:rsidP="008959A4">
      <w:pPr>
        <w:pStyle w:val="FootnoteText"/>
        <w:rPr>
          <w:lang w:val="es-ES"/>
        </w:rPr>
      </w:pPr>
      <w:r>
        <w:rPr>
          <w:rStyle w:val="FootnoteReference"/>
        </w:rPr>
        <w:footnoteRef/>
      </w:r>
      <w:r>
        <w:rPr>
          <w:lang w:val="es-ES"/>
        </w:rPr>
        <w:t xml:space="preserve"> </w:t>
      </w:r>
      <w:r w:rsidRPr="00F32F78">
        <w:rPr>
          <w:lang w:val="es-ES"/>
        </w:rPr>
        <w:t>Pub. Util. Code § 739.2(a)(1)-(3).</w:t>
      </w:r>
    </w:p>
  </w:footnote>
  <w:footnote w:id="8">
    <w:p w14:paraId="798E8F41" w14:textId="77777777" w:rsidR="008959A4" w:rsidRPr="00196FA2" w:rsidRDefault="008959A4" w:rsidP="008959A4">
      <w:pPr>
        <w:pStyle w:val="FootnoteText"/>
        <w:rPr>
          <w:szCs w:val="22"/>
        </w:rPr>
      </w:pPr>
      <w:r w:rsidRPr="00196FA2">
        <w:rPr>
          <w:rStyle w:val="FootnoteReference"/>
          <w:szCs w:val="22"/>
        </w:rPr>
        <w:footnoteRef/>
      </w:r>
      <w:r w:rsidRPr="00196FA2">
        <w:rPr>
          <w:szCs w:val="22"/>
        </w:rPr>
        <w:t xml:space="preserve"> </w:t>
      </w:r>
      <w:r>
        <w:rPr>
          <w:szCs w:val="22"/>
        </w:rPr>
        <w:t>P</w:t>
      </w:r>
      <w:r w:rsidRPr="008F1EE5">
        <w:t>ub. Util. Code §</w:t>
      </w:r>
      <w:r>
        <w:t xml:space="preserve"> </w:t>
      </w:r>
      <w:r w:rsidRPr="00196FA2">
        <w:rPr>
          <w:szCs w:val="22"/>
        </w:rPr>
        <w:t xml:space="preserve">382.  </w:t>
      </w:r>
    </w:p>
  </w:footnote>
  <w:footnote w:id="9">
    <w:p w14:paraId="6D1AAC05" w14:textId="77777777" w:rsidR="008959A4" w:rsidRDefault="008959A4" w:rsidP="008959A4">
      <w:pPr>
        <w:pStyle w:val="FootnoteText"/>
      </w:pPr>
      <w:r>
        <w:rPr>
          <w:rStyle w:val="FootnoteReference"/>
        </w:rPr>
        <w:footnoteRef/>
      </w:r>
      <w:r>
        <w:t xml:space="preserve"> </w:t>
      </w:r>
      <w:r w:rsidRPr="00187B77">
        <w:t>Pub. Util. Code § 2790(a).</w:t>
      </w:r>
    </w:p>
  </w:footnote>
  <w:footnote w:id="10">
    <w:p w14:paraId="33461BF3" w14:textId="77777777" w:rsidR="008959A4" w:rsidRDefault="008959A4" w:rsidP="008959A4">
      <w:pPr>
        <w:pStyle w:val="FootnoteText"/>
      </w:pPr>
      <w:r>
        <w:rPr>
          <w:rStyle w:val="FootnoteReference"/>
        </w:rPr>
        <w:footnoteRef/>
      </w:r>
      <w:r>
        <w:t xml:space="preserve"> </w:t>
      </w:r>
      <w:r w:rsidRPr="00187B77">
        <w:t>Pub. Util. Code § 739.1(a).</w:t>
      </w:r>
    </w:p>
  </w:footnote>
  <w:footnote w:id="11">
    <w:p w14:paraId="23AB14EB" w14:textId="77777777" w:rsidR="008959A4" w:rsidRDefault="008959A4" w:rsidP="008959A4">
      <w:pPr>
        <w:pStyle w:val="FootnoteText"/>
      </w:pPr>
      <w:r>
        <w:rPr>
          <w:rStyle w:val="FootnoteReference"/>
        </w:rPr>
        <w:footnoteRef/>
      </w:r>
      <w:r>
        <w:t xml:space="preserve"> </w:t>
      </w:r>
      <w:r w:rsidRPr="00B964C1">
        <w:t>D</w:t>
      </w:r>
      <w:r>
        <w:t>.</w:t>
      </w:r>
      <w:r w:rsidRPr="00B964C1">
        <w:t>19-</w:t>
      </w:r>
      <w:r>
        <w:t>11</w:t>
      </w:r>
      <w:r w:rsidRPr="00B964C1">
        <w:t>-</w:t>
      </w:r>
      <w:r>
        <w:t xml:space="preserve">005, at 4-8. </w:t>
      </w:r>
    </w:p>
  </w:footnote>
  <w:footnote w:id="12">
    <w:p w14:paraId="754E3477" w14:textId="77777777" w:rsidR="008959A4" w:rsidRDefault="008959A4" w:rsidP="008959A4">
      <w:pPr>
        <w:pStyle w:val="FootnoteText"/>
      </w:pPr>
      <w:r>
        <w:rPr>
          <w:rStyle w:val="FootnoteReference"/>
        </w:rPr>
        <w:footnoteRef/>
      </w:r>
      <w:r>
        <w:t xml:space="preserve"> D.</w:t>
      </w:r>
      <w:r w:rsidRPr="00B964C1">
        <w:t>19-</w:t>
      </w:r>
      <w:r>
        <w:t>11</w:t>
      </w:r>
      <w:r w:rsidRPr="00B964C1">
        <w:t>-</w:t>
      </w:r>
      <w:r>
        <w:t xml:space="preserve">005, at Ordering Paragraphs 2, 4. </w:t>
      </w:r>
    </w:p>
  </w:footnote>
  <w:footnote w:id="13">
    <w:p w14:paraId="543FA2CE" w14:textId="77777777" w:rsidR="008959A4" w:rsidRPr="00196FA2" w:rsidRDefault="008959A4" w:rsidP="008959A4">
      <w:pPr>
        <w:pStyle w:val="FootnoteText"/>
        <w:rPr>
          <w:szCs w:val="22"/>
        </w:rPr>
      </w:pPr>
      <w:r w:rsidRPr="00196FA2">
        <w:rPr>
          <w:rStyle w:val="FootnoteReference"/>
          <w:szCs w:val="22"/>
        </w:rPr>
        <w:footnoteRef/>
      </w:r>
      <w:r w:rsidRPr="00196FA2">
        <w:rPr>
          <w:szCs w:val="22"/>
        </w:rPr>
        <w:t xml:space="preserve"> </w:t>
      </w:r>
      <w:r>
        <w:rPr>
          <w:szCs w:val="22"/>
        </w:rPr>
        <w:t>July 7, 2020, Administrative Law Judge’s Ruling Consolidating Related Proceedings and Setting a Joint Prehearing Conference.</w:t>
      </w:r>
    </w:p>
  </w:footnote>
  <w:footnote w:id="14">
    <w:p w14:paraId="28559021" w14:textId="77777777" w:rsidR="008959A4" w:rsidRPr="00CE6453" w:rsidRDefault="008959A4" w:rsidP="008959A4">
      <w:pPr>
        <w:pStyle w:val="FootnoteText"/>
      </w:pPr>
      <w:r>
        <w:rPr>
          <w:rStyle w:val="FootnoteReference"/>
        </w:rPr>
        <w:footnoteRef/>
      </w:r>
      <w:bookmarkStart w:id="36" w:name="_Hlk51664929"/>
      <w:r>
        <w:t xml:space="preserve"> A.20-03-014 et </w:t>
      </w:r>
      <w:r w:rsidRPr="00CE6453">
        <w:t xml:space="preserve">al. </w:t>
      </w:r>
      <w:r>
        <w:t>Assigned Commissioner’s Scoping Memo and Ruling,</w:t>
      </w:r>
      <w:r w:rsidRPr="00CE6453">
        <w:t xml:space="preserve"> </w:t>
      </w:r>
      <w:r>
        <w:t>August</w:t>
      </w:r>
      <w:r w:rsidRPr="00CE6453">
        <w:t xml:space="preserve"> 1</w:t>
      </w:r>
      <w:r>
        <w:t>3</w:t>
      </w:r>
      <w:r w:rsidRPr="00CE6453">
        <w:t>, 2020.</w:t>
      </w:r>
      <w:bookmarkEnd w:id="36"/>
    </w:p>
  </w:footnote>
  <w:footnote w:id="15">
    <w:p w14:paraId="75870CEA" w14:textId="77777777" w:rsidR="008959A4" w:rsidRDefault="008959A4" w:rsidP="008959A4">
      <w:pPr>
        <w:pStyle w:val="FootnoteText"/>
      </w:pPr>
      <w:r>
        <w:rPr>
          <w:rStyle w:val="FootnoteReference"/>
        </w:rPr>
        <w:footnoteRef/>
      </w:r>
      <w:r>
        <w:t xml:space="preserve"> A.20-03-014 et </w:t>
      </w:r>
      <w:r w:rsidRPr="00CE6453">
        <w:t xml:space="preserve">al. </w:t>
      </w:r>
      <w:r>
        <w:t>Assigned Commissioner’s Scoping Memo and Ruling,</w:t>
      </w:r>
      <w:r w:rsidRPr="00CE6453">
        <w:t xml:space="preserve"> </w:t>
      </w:r>
      <w:r>
        <w:t>August</w:t>
      </w:r>
      <w:r w:rsidRPr="00CE6453">
        <w:t xml:space="preserve"> 1</w:t>
      </w:r>
      <w:r>
        <w:t>3</w:t>
      </w:r>
      <w:r w:rsidRPr="00CE6453">
        <w:t>, 2020</w:t>
      </w:r>
      <w:r>
        <w:t>, at 3</w:t>
      </w:r>
      <w:r>
        <w:noBreakHyphen/>
        <w:t>4</w:t>
      </w:r>
      <w:r w:rsidRPr="00B71721">
        <w:t>.</w:t>
      </w:r>
    </w:p>
  </w:footnote>
  <w:footnote w:id="16">
    <w:p w14:paraId="59075F6C" w14:textId="77777777" w:rsidR="008959A4" w:rsidRDefault="008959A4" w:rsidP="008959A4">
      <w:pPr>
        <w:pStyle w:val="FootnoteText"/>
      </w:pPr>
      <w:r>
        <w:rPr>
          <w:rStyle w:val="FootnoteReference"/>
        </w:rPr>
        <w:footnoteRef/>
      </w:r>
      <w:r>
        <w:t xml:space="preserve"> KEMA Consulting, “</w:t>
      </w:r>
      <w:r w:rsidRPr="00392D63">
        <w:t>Final Report on Phase 2 Low Income Needs Assessment</w:t>
      </w:r>
      <w:r>
        <w:t xml:space="preserve">”, September 7, 2007, 7-19, </w:t>
      </w:r>
      <w:hyperlink r:id="rId1" w:history="1">
        <w:r w:rsidRPr="008355CA">
          <w:rPr>
            <w:rStyle w:val="Hyperlink"/>
          </w:rPr>
          <w:t>http://www.calmac.org/publications/Needs_Assessment-Final_Report-Sept-2007.pdf</w:t>
        </w:r>
      </w:hyperlink>
      <w:r>
        <w:t>.</w:t>
      </w:r>
    </w:p>
  </w:footnote>
  <w:footnote w:id="17">
    <w:p w14:paraId="0AE49A2A" w14:textId="77777777" w:rsidR="008959A4" w:rsidRDefault="008959A4" w:rsidP="008959A4">
      <w:pPr>
        <w:pStyle w:val="FootnoteText"/>
      </w:pPr>
      <w:r>
        <w:rPr>
          <w:rStyle w:val="FootnoteReference"/>
        </w:rPr>
        <w:footnoteRef/>
      </w:r>
      <w:r>
        <w:t xml:space="preserve"> </w:t>
      </w:r>
      <w:r w:rsidRPr="004B6664">
        <w:t>In D.</w:t>
      </w:r>
      <w:r>
        <w:t>21-06-015</w:t>
      </w:r>
      <w:r w:rsidRPr="004B6664">
        <w:t xml:space="preserve">, the Commission granted the Joint Utilities’ request to file the annual CARE eligibility estimates on </w:t>
      </w:r>
      <w:r>
        <w:t>February 12</w:t>
      </w:r>
      <w:r w:rsidRPr="004B6664">
        <w:t xml:space="preserve"> of each year. </w:t>
      </w:r>
    </w:p>
  </w:footnote>
  <w:footnote w:id="18">
    <w:p w14:paraId="7EFAEE42" w14:textId="77777777" w:rsidR="008959A4" w:rsidRDefault="008959A4" w:rsidP="008959A4">
      <w:pPr>
        <w:pStyle w:val="FootnoteText"/>
      </w:pPr>
      <w:r>
        <w:rPr>
          <w:rStyle w:val="FootnoteReference"/>
        </w:rPr>
        <w:footnoteRef/>
      </w:r>
      <w:r>
        <w:t xml:space="preserve"> Alpine Application, at 25. </w:t>
      </w:r>
    </w:p>
  </w:footnote>
  <w:footnote w:id="19">
    <w:p w14:paraId="7B93523C" w14:textId="77777777" w:rsidR="008959A4" w:rsidRDefault="008959A4" w:rsidP="008959A4">
      <w:pPr>
        <w:pStyle w:val="FootnoteText"/>
      </w:pPr>
      <w:r>
        <w:rPr>
          <w:rStyle w:val="FootnoteReference"/>
        </w:rPr>
        <w:footnoteRef/>
      </w:r>
      <w:r>
        <w:t xml:space="preserve"> Bear Valley Application, at 12-13.</w:t>
      </w:r>
    </w:p>
  </w:footnote>
  <w:footnote w:id="20">
    <w:p w14:paraId="5DC6B62A" w14:textId="77777777" w:rsidR="008959A4" w:rsidRDefault="008959A4" w:rsidP="008959A4">
      <w:pPr>
        <w:pStyle w:val="FootnoteText"/>
      </w:pPr>
      <w:r>
        <w:rPr>
          <w:rStyle w:val="FootnoteReference"/>
        </w:rPr>
        <w:footnoteRef/>
      </w:r>
      <w:r>
        <w:t xml:space="preserve"> Liberty Application, at 22.</w:t>
      </w:r>
    </w:p>
  </w:footnote>
  <w:footnote w:id="21">
    <w:p w14:paraId="2B475887" w14:textId="77777777" w:rsidR="008959A4" w:rsidRDefault="008959A4" w:rsidP="008959A4">
      <w:pPr>
        <w:pStyle w:val="FootnoteText"/>
      </w:pPr>
      <w:r>
        <w:rPr>
          <w:rStyle w:val="FootnoteReference"/>
        </w:rPr>
        <w:footnoteRef/>
      </w:r>
      <w:r>
        <w:t xml:space="preserve"> PacifiCorp Application, at </w:t>
      </w:r>
      <w:r w:rsidRPr="0037668B">
        <w:t xml:space="preserve">36-37, </w:t>
      </w:r>
      <w:r>
        <w:t xml:space="preserve">and </w:t>
      </w:r>
      <w:r w:rsidRPr="0037668B">
        <w:t>39-43.</w:t>
      </w:r>
    </w:p>
  </w:footnote>
  <w:footnote w:id="22">
    <w:p w14:paraId="6B1C02C4" w14:textId="77777777" w:rsidR="008959A4" w:rsidRDefault="008959A4" w:rsidP="008959A4">
      <w:pPr>
        <w:pStyle w:val="FootnoteText"/>
      </w:pPr>
      <w:r>
        <w:rPr>
          <w:rStyle w:val="FootnoteReference"/>
        </w:rPr>
        <w:footnoteRef/>
      </w:r>
      <w:r>
        <w:t xml:space="preserve"> Southwest Gas Application, at 33. </w:t>
      </w:r>
    </w:p>
  </w:footnote>
  <w:footnote w:id="23">
    <w:p w14:paraId="2CA2FD3C" w14:textId="77777777" w:rsidR="008959A4" w:rsidRDefault="008959A4" w:rsidP="008959A4">
      <w:pPr>
        <w:pStyle w:val="FootnoteText"/>
      </w:pPr>
      <w:r>
        <w:rPr>
          <w:rStyle w:val="FootnoteReference"/>
        </w:rPr>
        <w:footnoteRef/>
      </w:r>
      <w:r>
        <w:t xml:space="preserve"> West Coast Gas Application, Attachment A, at 0-5.</w:t>
      </w:r>
    </w:p>
  </w:footnote>
  <w:footnote w:id="24">
    <w:p w14:paraId="03D9AD29" w14:textId="77777777" w:rsidR="008959A4" w:rsidRDefault="008959A4" w:rsidP="008959A4">
      <w:pPr>
        <w:pStyle w:val="FootnoteText"/>
      </w:pPr>
      <w:r>
        <w:rPr>
          <w:rStyle w:val="FootnoteReference"/>
        </w:rPr>
        <w:footnoteRef/>
      </w:r>
      <w:r>
        <w:t xml:space="preserve"> Cal Advocates Opening Brief, at 10.</w:t>
      </w:r>
    </w:p>
  </w:footnote>
  <w:footnote w:id="25">
    <w:p w14:paraId="50D4A083" w14:textId="77777777" w:rsidR="008959A4" w:rsidRDefault="008959A4" w:rsidP="008959A4">
      <w:pPr>
        <w:pStyle w:val="FootnoteText"/>
      </w:pPr>
      <w:r>
        <w:rPr>
          <w:rStyle w:val="FootnoteReference"/>
        </w:rPr>
        <w:footnoteRef/>
      </w:r>
      <w:r>
        <w:t xml:space="preserve"> </w:t>
      </w:r>
      <w:r w:rsidRPr="001436F0">
        <w:rPr>
          <w:i/>
          <w:iCs/>
        </w:rPr>
        <w:t>Ibid</w:t>
      </w:r>
      <w:r>
        <w:t>., at 10-13.</w:t>
      </w:r>
    </w:p>
  </w:footnote>
  <w:footnote w:id="26">
    <w:p w14:paraId="081E9849" w14:textId="77777777" w:rsidR="008959A4" w:rsidRDefault="008959A4" w:rsidP="008959A4">
      <w:pPr>
        <w:pStyle w:val="FootnoteText"/>
      </w:pPr>
      <w:r>
        <w:rPr>
          <w:rStyle w:val="FootnoteReference"/>
        </w:rPr>
        <w:footnoteRef/>
      </w:r>
      <w:r>
        <w:t xml:space="preserve"> EEC and Free Energy Savings Company Opening Brief, at 4-9.</w:t>
      </w:r>
    </w:p>
  </w:footnote>
  <w:footnote w:id="27">
    <w:p w14:paraId="18C4E211" w14:textId="77777777" w:rsidR="008959A4" w:rsidRDefault="008959A4" w:rsidP="008959A4">
      <w:pPr>
        <w:pStyle w:val="FootnoteText"/>
      </w:pPr>
      <w:r>
        <w:rPr>
          <w:rStyle w:val="FootnoteReference"/>
        </w:rPr>
        <w:footnoteRef/>
      </w:r>
      <w:r>
        <w:t xml:space="preserve"> Joint SMJU Rebuttal Testimony, at 8-9.</w:t>
      </w:r>
    </w:p>
  </w:footnote>
  <w:footnote w:id="28">
    <w:p w14:paraId="54216CD5" w14:textId="77777777" w:rsidR="008959A4" w:rsidRDefault="008959A4" w:rsidP="008959A4">
      <w:pPr>
        <w:pStyle w:val="FootnoteText"/>
      </w:pPr>
      <w:r>
        <w:rPr>
          <w:rStyle w:val="FootnoteReference"/>
        </w:rPr>
        <w:footnoteRef/>
      </w:r>
      <w:r>
        <w:t xml:space="preserve"> Joint SMJU Opening Brief, at 21-22.</w:t>
      </w:r>
    </w:p>
  </w:footnote>
  <w:footnote w:id="29">
    <w:p w14:paraId="21590C3C" w14:textId="77777777" w:rsidR="008959A4" w:rsidRDefault="008959A4" w:rsidP="008959A4">
      <w:pPr>
        <w:pStyle w:val="FootnoteText"/>
      </w:pPr>
      <w:r>
        <w:rPr>
          <w:rStyle w:val="FootnoteReference"/>
        </w:rPr>
        <w:footnoteRef/>
      </w:r>
      <w:r>
        <w:t xml:space="preserve"> PacifiCorp Reply Brief, at 5-6.</w:t>
      </w:r>
    </w:p>
  </w:footnote>
  <w:footnote w:id="30">
    <w:p w14:paraId="70372001" w14:textId="77777777" w:rsidR="008959A4" w:rsidRDefault="008959A4" w:rsidP="008959A4">
      <w:pPr>
        <w:pStyle w:val="FootnoteText"/>
      </w:pPr>
      <w:r>
        <w:rPr>
          <w:rStyle w:val="FootnoteReference"/>
        </w:rPr>
        <w:footnoteRef/>
      </w:r>
      <w:r>
        <w:t xml:space="preserve"> Southwest Gas Reply Brief, at 10-11.</w:t>
      </w:r>
    </w:p>
  </w:footnote>
  <w:footnote w:id="31">
    <w:p w14:paraId="0DD3A7C6" w14:textId="77777777" w:rsidR="008959A4" w:rsidRDefault="008959A4" w:rsidP="008959A4">
      <w:pPr>
        <w:pStyle w:val="FootnoteText"/>
      </w:pPr>
      <w:r>
        <w:rPr>
          <w:rStyle w:val="FootnoteReference"/>
        </w:rPr>
        <w:footnoteRef/>
      </w:r>
      <w:r>
        <w:t xml:space="preserve"> </w:t>
      </w:r>
      <w:r w:rsidRPr="001641FD">
        <w:t>D.17-12-009</w:t>
      </w:r>
      <w:r>
        <w:t xml:space="preserve"> m</w:t>
      </w:r>
      <w:r w:rsidRPr="001641FD">
        <w:t>odifying 16-11-022</w:t>
      </w:r>
      <w:r>
        <w:t>, 280.</w:t>
      </w:r>
    </w:p>
  </w:footnote>
  <w:footnote w:id="32">
    <w:p w14:paraId="0BD80F81" w14:textId="77777777" w:rsidR="008959A4" w:rsidRDefault="008959A4" w:rsidP="008959A4">
      <w:pPr>
        <w:pStyle w:val="FootnoteText"/>
      </w:pPr>
      <w:r>
        <w:rPr>
          <w:rStyle w:val="FootnoteReference"/>
        </w:rPr>
        <w:footnoteRef/>
      </w:r>
      <w:r>
        <w:t xml:space="preserve"> </w:t>
      </w:r>
      <w:r w:rsidRPr="00E9450D">
        <w:t>D.</w:t>
      </w:r>
      <w:r>
        <w:t>18-08-020, Ordering Paragraph 39 and 87.</w:t>
      </w:r>
    </w:p>
  </w:footnote>
  <w:footnote w:id="33">
    <w:p w14:paraId="7AD780A8" w14:textId="77777777" w:rsidR="008959A4" w:rsidRDefault="008959A4" w:rsidP="008959A4">
      <w:pPr>
        <w:pStyle w:val="FootnoteText"/>
      </w:pPr>
      <w:r>
        <w:rPr>
          <w:rStyle w:val="FootnoteReference"/>
        </w:rPr>
        <w:footnoteRef/>
      </w:r>
      <w:r>
        <w:t xml:space="preserve"> </w:t>
      </w:r>
      <w:r w:rsidRPr="000A560F">
        <w:t>The categorical eligibility process automatically considers low-income customers to be qualified for the CARE program if the customer is already enrolled in one of the Commission-approved means-tested low-income public assistance programs.</w:t>
      </w:r>
      <w:r>
        <w:t xml:space="preserve"> </w:t>
      </w:r>
      <w:r w:rsidRPr="000A560F">
        <w:rPr>
          <w:sz w:val="26"/>
        </w:rPr>
        <w:t xml:space="preserve"> </w:t>
      </w:r>
      <w:r w:rsidRPr="000A560F">
        <w:t>Means-tested programs are low-income assistance programs in which the customer’s income is verified by the appropriate state and federal agencies</w:t>
      </w:r>
      <w:r>
        <w:t>.</w:t>
      </w:r>
    </w:p>
  </w:footnote>
  <w:footnote w:id="34">
    <w:p w14:paraId="386FA119" w14:textId="77777777" w:rsidR="008959A4" w:rsidRDefault="008959A4" w:rsidP="008959A4">
      <w:pPr>
        <w:pStyle w:val="FootnoteText"/>
      </w:pPr>
      <w:r>
        <w:rPr>
          <w:rStyle w:val="FootnoteReference"/>
        </w:rPr>
        <w:footnoteRef/>
      </w:r>
      <w:r>
        <w:t xml:space="preserve"> </w:t>
      </w:r>
      <w:r w:rsidRPr="00200C76">
        <w:t xml:space="preserve">D.14-05-004, </w:t>
      </w:r>
      <w:r>
        <w:t xml:space="preserve">at </w:t>
      </w:r>
      <w:r w:rsidRPr="00200C76">
        <w:t>40.</w:t>
      </w:r>
    </w:p>
  </w:footnote>
  <w:footnote w:id="35">
    <w:p w14:paraId="2D83FD7F" w14:textId="77777777" w:rsidR="008959A4" w:rsidRDefault="008959A4" w:rsidP="008959A4">
      <w:pPr>
        <w:pStyle w:val="FootnoteText"/>
      </w:pPr>
      <w:r>
        <w:rPr>
          <w:rStyle w:val="FootnoteReference"/>
        </w:rPr>
        <w:footnoteRef/>
      </w:r>
      <w:r>
        <w:t xml:space="preserve"> D.14-05-004, Ordering Paragraph 87.</w:t>
      </w:r>
    </w:p>
  </w:footnote>
  <w:footnote w:id="36">
    <w:p w14:paraId="3BA0BA91" w14:textId="77777777" w:rsidR="008959A4" w:rsidRDefault="008959A4" w:rsidP="008959A4">
      <w:pPr>
        <w:pStyle w:val="FootnoteText"/>
      </w:pPr>
      <w:r>
        <w:rPr>
          <w:rStyle w:val="FootnoteReference"/>
        </w:rPr>
        <w:footnoteRef/>
      </w:r>
      <w:r>
        <w:t xml:space="preserve"> Bear Valley Application, at 16.</w:t>
      </w:r>
    </w:p>
  </w:footnote>
  <w:footnote w:id="37">
    <w:p w14:paraId="202226D1" w14:textId="77777777" w:rsidR="008959A4" w:rsidRDefault="008959A4" w:rsidP="008959A4">
      <w:pPr>
        <w:pStyle w:val="FootnoteText"/>
      </w:pPr>
      <w:r>
        <w:rPr>
          <w:rStyle w:val="FootnoteReference"/>
        </w:rPr>
        <w:footnoteRef/>
      </w:r>
      <w:r>
        <w:t xml:space="preserve"> Liberty Application, at 25.</w:t>
      </w:r>
    </w:p>
  </w:footnote>
  <w:footnote w:id="38">
    <w:p w14:paraId="5937E71B" w14:textId="77777777" w:rsidR="008959A4" w:rsidRDefault="008959A4" w:rsidP="008959A4">
      <w:pPr>
        <w:pStyle w:val="FootnoteText"/>
      </w:pPr>
      <w:r>
        <w:rPr>
          <w:rStyle w:val="FootnoteReference"/>
        </w:rPr>
        <w:footnoteRef/>
      </w:r>
      <w:r>
        <w:t xml:space="preserve"> Liberty Application, at 26.</w:t>
      </w:r>
    </w:p>
  </w:footnote>
  <w:footnote w:id="39">
    <w:p w14:paraId="50A9E614" w14:textId="77777777" w:rsidR="008959A4" w:rsidRDefault="008959A4" w:rsidP="008959A4">
      <w:pPr>
        <w:pStyle w:val="FootnoteText"/>
      </w:pPr>
      <w:r>
        <w:rPr>
          <w:rStyle w:val="FootnoteReference"/>
        </w:rPr>
        <w:footnoteRef/>
      </w:r>
      <w:r>
        <w:t xml:space="preserve"> PacifiCorp Application, at 33.</w:t>
      </w:r>
    </w:p>
  </w:footnote>
  <w:footnote w:id="40">
    <w:p w14:paraId="20EC5CFE" w14:textId="77777777" w:rsidR="008959A4" w:rsidRDefault="008959A4" w:rsidP="008959A4">
      <w:pPr>
        <w:pStyle w:val="FootnoteText"/>
      </w:pPr>
      <w:r>
        <w:rPr>
          <w:rStyle w:val="FootnoteReference"/>
        </w:rPr>
        <w:footnoteRef/>
      </w:r>
      <w:r>
        <w:t xml:space="preserve"> </w:t>
      </w:r>
      <w:r w:rsidRPr="001436F0">
        <w:rPr>
          <w:i/>
          <w:iCs/>
        </w:rPr>
        <w:t>Ibid</w:t>
      </w:r>
      <w:r>
        <w:t>., at 36.</w:t>
      </w:r>
    </w:p>
  </w:footnote>
  <w:footnote w:id="41">
    <w:p w14:paraId="26B839F1" w14:textId="77777777" w:rsidR="008959A4" w:rsidRDefault="008959A4" w:rsidP="008959A4">
      <w:pPr>
        <w:pStyle w:val="FootnoteText"/>
      </w:pPr>
      <w:r>
        <w:rPr>
          <w:rStyle w:val="FootnoteReference"/>
        </w:rPr>
        <w:footnoteRef/>
      </w:r>
      <w:r>
        <w:t xml:space="preserve"> Southwest Gas Application, at 37.</w:t>
      </w:r>
    </w:p>
  </w:footnote>
  <w:footnote w:id="42">
    <w:p w14:paraId="049398D6" w14:textId="77777777" w:rsidR="008959A4" w:rsidRDefault="008959A4" w:rsidP="008959A4">
      <w:pPr>
        <w:pStyle w:val="FootnoteText"/>
      </w:pPr>
      <w:r>
        <w:rPr>
          <w:rStyle w:val="FootnoteReference"/>
        </w:rPr>
        <w:footnoteRef/>
      </w:r>
      <w:r>
        <w:t xml:space="preserve"> </w:t>
      </w:r>
      <w:r w:rsidRPr="001436F0">
        <w:rPr>
          <w:i/>
          <w:iCs/>
        </w:rPr>
        <w:t>Ibid.</w:t>
      </w:r>
    </w:p>
  </w:footnote>
  <w:footnote w:id="43">
    <w:p w14:paraId="2D5B0BC1" w14:textId="77777777" w:rsidR="008959A4" w:rsidRDefault="008959A4" w:rsidP="008959A4">
      <w:pPr>
        <w:pStyle w:val="FootnoteText"/>
      </w:pPr>
      <w:r>
        <w:rPr>
          <w:rStyle w:val="FootnoteReference"/>
        </w:rPr>
        <w:footnoteRef/>
      </w:r>
      <w:r>
        <w:t xml:space="preserve"> </w:t>
      </w:r>
      <w:r w:rsidRPr="001436F0">
        <w:rPr>
          <w:i/>
          <w:iCs/>
        </w:rPr>
        <w:t>Ibid.</w:t>
      </w:r>
      <w:r>
        <w:t>, at 36.</w:t>
      </w:r>
    </w:p>
  </w:footnote>
  <w:footnote w:id="44">
    <w:p w14:paraId="18DEC5EE" w14:textId="77777777" w:rsidR="008959A4" w:rsidRDefault="008959A4" w:rsidP="008959A4">
      <w:pPr>
        <w:pStyle w:val="FootnoteText"/>
      </w:pPr>
      <w:r>
        <w:rPr>
          <w:rStyle w:val="FootnoteReference"/>
        </w:rPr>
        <w:footnoteRef/>
      </w:r>
      <w:r>
        <w:t xml:space="preserve"> </w:t>
      </w:r>
      <w:r w:rsidRPr="007A5D8E">
        <w:t>2016 Low Income Needs Assessment Final Report</w:t>
      </w:r>
      <w:r>
        <w:t>, V</w:t>
      </w:r>
      <w:r w:rsidRPr="007A5D8E">
        <w:t>olume 1 Volume 2</w:t>
      </w:r>
      <w:r>
        <w:t xml:space="preserve">, </w:t>
      </w:r>
      <w:r w:rsidRPr="007A5D8E">
        <w:t>Banner Tables from</w:t>
      </w:r>
      <w:r>
        <w:t xml:space="preserve"> </w:t>
      </w:r>
      <w:r w:rsidRPr="007A5D8E">
        <w:t xml:space="preserve">Telephone survey, December 15, 2016, </w:t>
      </w:r>
      <w:r>
        <w:t xml:space="preserve">at </w:t>
      </w:r>
      <w:r w:rsidRPr="007A5D8E">
        <w:t>11.</w:t>
      </w:r>
    </w:p>
  </w:footnote>
  <w:footnote w:id="45">
    <w:p w14:paraId="355BF4A2" w14:textId="77777777" w:rsidR="008959A4" w:rsidRDefault="008959A4" w:rsidP="008959A4">
      <w:pPr>
        <w:pStyle w:val="FootnoteText"/>
      </w:pPr>
      <w:r>
        <w:rPr>
          <w:rStyle w:val="FootnoteReference"/>
        </w:rPr>
        <w:footnoteRef/>
      </w:r>
      <w:r>
        <w:t xml:space="preserve"> EEC and Free Energy Opening Brief, 10-11.</w:t>
      </w:r>
    </w:p>
  </w:footnote>
  <w:footnote w:id="46">
    <w:p w14:paraId="23C4B508" w14:textId="77777777" w:rsidR="008959A4" w:rsidRDefault="008959A4" w:rsidP="008959A4">
      <w:pPr>
        <w:pStyle w:val="FootnoteText"/>
      </w:pPr>
      <w:r>
        <w:rPr>
          <w:rStyle w:val="FootnoteReference"/>
        </w:rPr>
        <w:footnoteRef/>
      </w:r>
      <w:r>
        <w:t xml:space="preserve"> </w:t>
      </w:r>
      <w:r w:rsidRPr="001436F0">
        <w:rPr>
          <w:i/>
          <w:iCs/>
        </w:rPr>
        <w:t>Ibid</w:t>
      </w:r>
      <w:r>
        <w:t>., at 19-20.</w:t>
      </w:r>
    </w:p>
  </w:footnote>
  <w:footnote w:id="47">
    <w:p w14:paraId="4C61C700" w14:textId="77777777" w:rsidR="008959A4" w:rsidRDefault="008959A4" w:rsidP="008959A4">
      <w:pPr>
        <w:pStyle w:val="FootnoteText"/>
      </w:pPr>
      <w:r>
        <w:rPr>
          <w:rStyle w:val="FootnoteReference"/>
        </w:rPr>
        <w:footnoteRef/>
      </w:r>
      <w:r>
        <w:t xml:space="preserve"> </w:t>
      </w:r>
      <w:r w:rsidRPr="001436F0">
        <w:rPr>
          <w:i/>
          <w:iCs/>
        </w:rPr>
        <w:t>Ibid</w:t>
      </w:r>
      <w:r>
        <w:t>., at 11.</w:t>
      </w:r>
    </w:p>
  </w:footnote>
  <w:footnote w:id="48">
    <w:p w14:paraId="5E1C35B2" w14:textId="77777777" w:rsidR="008959A4" w:rsidRDefault="008959A4" w:rsidP="008959A4">
      <w:pPr>
        <w:pStyle w:val="FootnoteText"/>
      </w:pPr>
      <w:r>
        <w:rPr>
          <w:rStyle w:val="FootnoteReference"/>
        </w:rPr>
        <w:footnoteRef/>
      </w:r>
      <w:r>
        <w:t xml:space="preserve"> Joint SMJU Opening Brief, at 20. </w:t>
      </w:r>
    </w:p>
  </w:footnote>
  <w:footnote w:id="49">
    <w:p w14:paraId="7B44E0AD" w14:textId="77777777" w:rsidR="008959A4" w:rsidRDefault="008959A4" w:rsidP="008959A4">
      <w:pPr>
        <w:pStyle w:val="FootnoteText"/>
      </w:pPr>
      <w:r>
        <w:rPr>
          <w:rStyle w:val="FootnoteReference"/>
        </w:rPr>
        <w:footnoteRef/>
      </w:r>
      <w:r>
        <w:t xml:space="preserve"> PacifiCorp Reply Brief, at 7.</w:t>
      </w:r>
    </w:p>
  </w:footnote>
  <w:footnote w:id="50">
    <w:p w14:paraId="1C6C4616" w14:textId="77777777" w:rsidR="008959A4" w:rsidRDefault="008959A4" w:rsidP="008959A4">
      <w:pPr>
        <w:pStyle w:val="FootnoteText"/>
      </w:pPr>
      <w:r>
        <w:rPr>
          <w:rStyle w:val="FootnoteReference"/>
        </w:rPr>
        <w:footnoteRef/>
      </w:r>
      <w:r>
        <w:t xml:space="preserve"> Southwest gas Reply Brief, at 18-19.</w:t>
      </w:r>
    </w:p>
  </w:footnote>
  <w:footnote w:id="51">
    <w:p w14:paraId="00C96993" w14:textId="77777777" w:rsidR="008959A4" w:rsidRPr="00E41ECE" w:rsidRDefault="008959A4" w:rsidP="008959A4">
      <w:pPr>
        <w:spacing w:after="120"/>
        <w:rPr>
          <w:sz w:val="22"/>
          <w:szCs w:val="22"/>
        </w:rPr>
      </w:pPr>
      <w:r w:rsidRPr="00E41ECE">
        <w:rPr>
          <w:rStyle w:val="FootnoteReference"/>
          <w:sz w:val="22"/>
          <w:szCs w:val="22"/>
        </w:rPr>
        <w:footnoteRef/>
      </w:r>
      <w:r w:rsidRPr="00E41ECE">
        <w:rPr>
          <w:sz w:val="22"/>
          <w:szCs w:val="22"/>
        </w:rPr>
        <w:t xml:space="preserve"> D.08-12-019 F</w:t>
      </w:r>
      <w:r>
        <w:rPr>
          <w:sz w:val="22"/>
          <w:szCs w:val="22"/>
        </w:rPr>
        <w:t xml:space="preserve">indings of </w:t>
      </w:r>
      <w:r w:rsidRPr="00E41ECE">
        <w:rPr>
          <w:sz w:val="22"/>
          <w:szCs w:val="22"/>
        </w:rPr>
        <w:t>F</w:t>
      </w:r>
      <w:r>
        <w:rPr>
          <w:sz w:val="22"/>
          <w:szCs w:val="22"/>
        </w:rPr>
        <w:t>act</w:t>
      </w:r>
      <w:r w:rsidRPr="00E41ECE">
        <w:rPr>
          <w:sz w:val="22"/>
          <w:szCs w:val="22"/>
        </w:rPr>
        <w:t xml:space="preserve"> 38, </w:t>
      </w:r>
      <w:r>
        <w:rPr>
          <w:sz w:val="22"/>
          <w:szCs w:val="22"/>
        </w:rPr>
        <w:t xml:space="preserve">and </w:t>
      </w:r>
      <w:r w:rsidRPr="00E41ECE">
        <w:rPr>
          <w:sz w:val="22"/>
          <w:szCs w:val="22"/>
        </w:rPr>
        <w:t>42.</w:t>
      </w:r>
    </w:p>
  </w:footnote>
  <w:footnote w:id="52">
    <w:p w14:paraId="49E3ECFE" w14:textId="77777777" w:rsidR="008959A4" w:rsidRDefault="008959A4" w:rsidP="008959A4">
      <w:pPr>
        <w:pStyle w:val="FootnoteText"/>
      </w:pPr>
      <w:r>
        <w:rPr>
          <w:rStyle w:val="FootnoteReference"/>
        </w:rPr>
        <w:footnoteRef/>
      </w:r>
      <w:r>
        <w:t xml:space="preserve"> D.</w:t>
      </w:r>
      <w:r w:rsidRPr="00414748">
        <w:t>14-05-004</w:t>
      </w:r>
      <w:r>
        <w:t>, Ordering Paragraph 18, and 87.</w:t>
      </w:r>
    </w:p>
  </w:footnote>
  <w:footnote w:id="53">
    <w:p w14:paraId="480795C7" w14:textId="77777777" w:rsidR="008959A4" w:rsidRDefault="008959A4" w:rsidP="008959A4">
      <w:pPr>
        <w:pStyle w:val="FootnoteText"/>
      </w:pPr>
      <w:r>
        <w:rPr>
          <w:rStyle w:val="FootnoteReference"/>
        </w:rPr>
        <w:footnoteRef/>
      </w:r>
      <w:r>
        <w:t xml:space="preserve"> D.21-06-015, at 42-43.</w:t>
      </w:r>
    </w:p>
  </w:footnote>
  <w:footnote w:id="54">
    <w:p w14:paraId="6609DFDD" w14:textId="77777777" w:rsidR="008959A4" w:rsidRDefault="008959A4" w:rsidP="008959A4">
      <w:pPr>
        <w:pStyle w:val="FootnoteText"/>
      </w:pPr>
      <w:r>
        <w:rPr>
          <w:rStyle w:val="FootnoteReference"/>
        </w:rPr>
        <w:footnoteRef/>
      </w:r>
      <w:r>
        <w:t xml:space="preserve"> </w:t>
      </w:r>
      <w:r w:rsidRPr="001436F0">
        <w:rPr>
          <w:i/>
          <w:iCs/>
        </w:rPr>
        <w:t>Ibid</w:t>
      </w:r>
      <w:r>
        <w:t>. at 37-38.</w:t>
      </w:r>
    </w:p>
  </w:footnote>
  <w:footnote w:id="55">
    <w:p w14:paraId="23DE02B2" w14:textId="77777777" w:rsidR="008959A4" w:rsidRDefault="008959A4" w:rsidP="008959A4">
      <w:pPr>
        <w:pStyle w:val="FootnoteText"/>
      </w:pPr>
      <w:r>
        <w:rPr>
          <w:rStyle w:val="FootnoteReference"/>
        </w:rPr>
        <w:footnoteRef/>
      </w:r>
      <w:r>
        <w:t xml:space="preserve"> 2019 LINA, at 59.</w:t>
      </w:r>
    </w:p>
  </w:footnote>
  <w:footnote w:id="56">
    <w:p w14:paraId="171A1F3D" w14:textId="77777777" w:rsidR="008959A4" w:rsidRDefault="008959A4" w:rsidP="008959A4">
      <w:pPr>
        <w:pStyle w:val="FootnoteText"/>
      </w:pPr>
      <w:r>
        <w:rPr>
          <w:rStyle w:val="FootnoteReference"/>
        </w:rPr>
        <w:footnoteRef/>
      </w:r>
      <w:r>
        <w:t xml:space="preserve"> Alpine Application, at 25-26.</w:t>
      </w:r>
    </w:p>
  </w:footnote>
  <w:footnote w:id="57">
    <w:p w14:paraId="602D1FF4" w14:textId="77777777" w:rsidR="008959A4" w:rsidRDefault="008959A4" w:rsidP="008959A4">
      <w:pPr>
        <w:pStyle w:val="FootnoteText"/>
      </w:pPr>
      <w:r>
        <w:rPr>
          <w:rStyle w:val="FootnoteReference"/>
        </w:rPr>
        <w:footnoteRef/>
      </w:r>
      <w:r>
        <w:t xml:space="preserve"> </w:t>
      </w:r>
      <w:r w:rsidRPr="001436F0">
        <w:rPr>
          <w:i/>
          <w:iCs/>
        </w:rPr>
        <w:t>Ibid</w:t>
      </w:r>
      <w:r>
        <w:t>., at 26-27.</w:t>
      </w:r>
    </w:p>
  </w:footnote>
  <w:footnote w:id="58">
    <w:p w14:paraId="3E2FC7B4" w14:textId="77777777" w:rsidR="008959A4" w:rsidRDefault="008959A4" w:rsidP="008959A4">
      <w:pPr>
        <w:pStyle w:val="FootnoteText"/>
      </w:pPr>
      <w:r>
        <w:rPr>
          <w:rStyle w:val="FootnoteReference"/>
        </w:rPr>
        <w:footnoteRef/>
      </w:r>
      <w:r>
        <w:t xml:space="preserve"> </w:t>
      </w:r>
      <w:r w:rsidRPr="001436F0">
        <w:rPr>
          <w:i/>
          <w:iCs/>
        </w:rPr>
        <w:t>Ibid</w:t>
      </w:r>
      <w:r>
        <w:t>., at 16.</w:t>
      </w:r>
    </w:p>
  </w:footnote>
  <w:footnote w:id="59">
    <w:p w14:paraId="4A0D2C17" w14:textId="77777777" w:rsidR="008959A4" w:rsidRDefault="008959A4" w:rsidP="008959A4">
      <w:pPr>
        <w:pStyle w:val="FootnoteText"/>
      </w:pPr>
      <w:r>
        <w:rPr>
          <w:rStyle w:val="FootnoteReference"/>
        </w:rPr>
        <w:footnoteRef/>
      </w:r>
      <w:r>
        <w:t xml:space="preserve"> Bear Valley Application, at 16-17.</w:t>
      </w:r>
    </w:p>
  </w:footnote>
  <w:footnote w:id="60">
    <w:p w14:paraId="7661572D" w14:textId="77777777" w:rsidR="008959A4" w:rsidRDefault="008959A4" w:rsidP="008959A4">
      <w:pPr>
        <w:pStyle w:val="FootnoteText"/>
      </w:pPr>
      <w:r>
        <w:rPr>
          <w:rStyle w:val="FootnoteReference"/>
        </w:rPr>
        <w:footnoteRef/>
      </w:r>
      <w:r>
        <w:t xml:space="preserve"> </w:t>
      </w:r>
      <w:r w:rsidRPr="001436F0">
        <w:rPr>
          <w:i/>
          <w:iCs/>
        </w:rPr>
        <w:t>Ibid</w:t>
      </w:r>
      <w:r>
        <w:t>., at 14.</w:t>
      </w:r>
    </w:p>
  </w:footnote>
  <w:footnote w:id="61">
    <w:p w14:paraId="0F5A5DF9" w14:textId="77777777" w:rsidR="008959A4" w:rsidRDefault="008959A4" w:rsidP="008959A4">
      <w:pPr>
        <w:pStyle w:val="FootnoteText"/>
      </w:pPr>
      <w:r>
        <w:rPr>
          <w:rStyle w:val="FootnoteReference"/>
        </w:rPr>
        <w:footnoteRef/>
      </w:r>
      <w:r>
        <w:t xml:space="preserve"> </w:t>
      </w:r>
      <w:r w:rsidRPr="001436F0">
        <w:rPr>
          <w:i/>
          <w:iCs/>
        </w:rPr>
        <w:t>Ibid</w:t>
      </w:r>
      <w:r>
        <w:t>., at 16.</w:t>
      </w:r>
    </w:p>
  </w:footnote>
  <w:footnote w:id="62">
    <w:p w14:paraId="18D3E06B" w14:textId="77777777" w:rsidR="008959A4" w:rsidRDefault="008959A4" w:rsidP="008959A4">
      <w:pPr>
        <w:pStyle w:val="FootnoteText"/>
      </w:pPr>
      <w:r>
        <w:rPr>
          <w:rStyle w:val="FootnoteReference"/>
        </w:rPr>
        <w:footnoteRef/>
      </w:r>
      <w:r>
        <w:t xml:space="preserve"> Liberty Application, at 22.</w:t>
      </w:r>
    </w:p>
  </w:footnote>
  <w:footnote w:id="63">
    <w:p w14:paraId="13551CE0" w14:textId="77777777" w:rsidR="008959A4" w:rsidRDefault="008959A4" w:rsidP="008959A4">
      <w:pPr>
        <w:pStyle w:val="FootnoteText"/>
      </w:pPr>
      <w:r>
        <w:rPr>
          <w:rStyle w:val="FootnoteReference"/>
        </w:rPr>
        <w:footnoteRef/>
      </w:r>
      <w:r>
        <w:t xml:space="preserve"> </w:t>
      </w:r>
      <w:r w:rsidRPr="001436F0">
        <w:rPr>
          <w:i/>
          <w:iCs/>
        </w:rPr>
        <w:t>Ibid</w:t>
      </w:r>
      <w:r>
        <w:t>., at 23.</w:t>
      </w:r>
    </w:p>
  </w:footnote>
  <w:footnote w:id="64">
    <w:p w14:paraId="43417319" w14:textId="77777777" w:rsidR="008959A4" w:rsidRDefault="008959A4" w:rsidP="008959A4">
      <w:pPr>
        <w:pStyle w:val="FootnoteText"/>
      </w:pPr>
      <w:r>
        <w:rPr>
          <w:rStyle w:val="FootnoteReference"/>
        </w:rPr>
        <w:footnoteRef/>
      </w:r>
      <w:r>
        <w:t xml:space="preserve"> </w:t>
      </w:r>
      <w:r w:rsidRPr="001436F0">
        <w:rPr>
          <w:i/>
          <w:iCs/>
        </w:rPr>
        <w:t>Ibid</w:t>
      </w:r>
      <w:r>
        <w:t>., at 27.</w:t>
      </w:r>
    </w:p>
  </w:footnote>
  <w:footnote w:id="65">
    <w:p w14:paraId="40E968FD" w14:textId="77777777" w:rsidR="008959A4" w:rsidRDefault="008959A4" w:rsidP="008959A4">
      <w:pPr>
        <w:pStyle w:val="FootnoteText"/>
      </w:pPr>
      <w:r>
        <w:rPr>
          <w:rStyle w:val="FootnoteReference"/>
        </w:rPr>
        <w:footnoteRef/>
      </w:r>
      <w:r>
        <w:t xml:space="preserve"> PacifiCorp Application, at 41-43.</w:t>
      </w:r>
    </w:p>
  </w:footnote>
  <w:footnote w:id="66">
    <w:p w14:paraId="556D82C2" w14:textId="77777777" w:rsidR="008959A4" w:rsidRDefault="008959A4" w:rsidP="008959A4">
      <w:pPr>
        <w:pStyle w:val="FootnoteText"/>
      </w:pPr>
      <w:r>
        <w:rPr>
          <w:rStyle w:val="FootnoteReference"/>
        </w:rPr>
        <w:footnoteRef/>
      </w:r>
      <w:r>
        <w:t xml:space="preserve"> Southwest Gas Application, at 33-35.</w:t>
      </w:r>
    </w:p>
  </w:footnote>
  <w:footnote w:id="67">
    <w:p w14:paraId="653E25F0" w14:textId="77777777" w:rsidR="008959A4" w:rsidRDefault="008959A4" w:rsidP="008959A4">
      <w:pPr>
        <w:pStyle w:val="FootnoteText"/>
      </w:pPr>
      <w:r>
        <w:rPr>
          <w:rStyle w:val="FootnoteReference"/>
        </w:rPr>
        <w:footnoteRef/>
      </w:r>
      <w:r>
        <w:t xml:space="preserve"> </w:t>
      </w:r>
      <w:r w:rsidRPr="001436F0">
        <w:rPr>
          <w:i/>
          <w:iCs/>
        </w:rPr>
        <w:t>Ibid</w:t>
      </w:r>
      <w:r>
        <w:t>., at 37.</w:t>
      </w:r>
    </w:p>
  </w:footnote>
  <w:footnote w:id="68">
    <w:p w14:paraId="1C4263BF" w14:textId="77777777" w:rsidR="008959A4" w:rsidRDefault="008959A4" w:rsidP="008959A4">
      <w:pPr>
        <w:pStyle w:val="FootnoteText"/>
      </w:pPr>
      <w:r>
        <w:rPr>
          <w:rStyle w:val="FootnoteReference"/>
        </w:rPr>
        <w:footnoteRef/>
      </w:r>
      <w:r>
        <w:t xml:space="preserve"> West Coast Gas Application, at 3-4.</w:t>
      </w:r>
    </w:p>
  </w:footnote>
  <w:footnote w:id="69">
    <w:p w14:paraId="39F95E05" w14:textId="67867975" w:rsidR="008959A4" w:rsidRDefault="008959A4" w:rsidP="008959A4">
      <w:pPr>
        <w:pStyle w:val="FootnoteText"/>
      </w:pPr>
      <w:r>
        <w:rPr>
          <w:rStyle w:val="FootnoteReference"/>
        </w:rPr>
        <w:footnoteRef/>
      </w:r>
      <w:r>
        <w:t xml:space="preserve"> </w:t>
      </w:r>
      <w:r w:rsidRPr="001436F0">
        <w:rPr>
          <w:i/>
          <w:iCs/>
        </w:rPr>
        <w:t>Ibid</w:t>
      </w:r>
      <w:r>
        <w:t>.</w:t>
      </w:r>
    </w:p>
  </w:footnote>
  <w:footnote w:id="70">
    <w:p w14:paraId="2E98B22B" w14:textId="77777777" w:rsidR="008959A4" w:rsidRDefault="008959A4" w:rsidP="008959A4">
      <w:pPr>
        <w:pStyle w:val="FootnoteText"/>
      </w:pPr>
      <w:r>
        <w:rPr>
          <w:rStyle w:val="FootnoteReference"/>
        </w:rPr>
        <w:footnoteRef/>
      </w:r>
      <w:r>
        <w:t xml:space="preserve"> Cal Advocates Opening Brief, at 10-13.</w:t>
      </w:r>
    </w:p>
  </w:footnote>
  <w:footnote w:id="71">
    <w:p w14:paraId="32F7F8FC"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72">
    <w:p w14:paraId="6E179B75" w14:textId="77777777" w:rsidR="008959A4" w:rsidRDefault="008959A4" w:rsidP="008959A4">
      <w:pPr>
        <w:pStyle w:val="FootnoteText"/>
      </w:pPr>
      <w:r>
        <w:rPr>
          <w:rStyle w:val="FootnoteReference"/>
        </w:rPr>
        <w:footnoteRef/>
      </w:r>
      <w:r>
        <w:t xml:space="preserve"> EEC &amp; Free Energy Savings Company Opening Brief, at 11-12.</w:t>
      </w:r>
    </w:p>
  </w:footnote>
  <w:footnote w:id="73">
    <w:p w14:paraId="1AB3D563" w14:textId="77777777" w:rsidR="008959A4" w:rsidRDefault="008959A4" w:rsidP="008959A4">
      <w:pPr>
        <w:pStyle w:val="FootnoteText"/>
      </w:pPr>
      <w:r>
        <w:rPr>
          <w:rStyle w:val="FootnoteReference"/>
        </w:rPr>
        <w:footnoteRef/>
      </w:r>
      <w:r>
        <w:t xml:space="preserve"> PacifiCorp Reply Brief, at 7-8.</w:t>
      </w:r>
    </w:p>
  </w:footnote>
  <w:footnote w:id="74">
    <w:p w14:paraId="000DF070" w14:textId="77777777" w:rsidR="008959A4" w:rsidRDefault="008959A4" w:rsidP="008959A4">
      <w:pPr>
        <w:pStyle w:val="FootnoteText"/>
      </w:pPr>
      <w:r>
        <w:rPr>
          <w:rStyle w:val="FootnoteReference"/>
        </w:rPr>
        <w:footnoteRef/>
      </w:r>
      <w:r>
        <w:t xml:space="preserve"> Alpine Application, at 25.</w:t>
      </w:r>
    </w:p>
  </w:footnote>
  <w:footnote w:id="75">
    <w:p w14:paraId="31CDB861" w14:textId="77777777" w:rsidR="008959A4" w:rsidRDefault="008959A4" w:rsidP="008959A4">
      <w:pPr>
        <w:pStyle w:val="FootnoteText"/>
      </w:pPr>
      <w:r>
        <w:rPr>
          <w:rStyle w:val="FootnoteReference"/>
        </w:rPr>
        <w:footnoteRef/>
      </w:r>
      <w:r>
        <w:t xml:space="preserve"> </w:t>
      </w:r>
      <w:r w:rsidRPr="001436F0">
        <w:rPr>
          <w:i/>
          <w:iCs/>
        </w:rPr>
        <w:t>Ibid</w:t>
      </w:r>
      <w:r>
        <w:t>., at 27.</w:t>
      </w:r>
    </w:p>
  </w:footnote>
  <w:footnote w:id="76">
    <w:p w14:paraId="3C2723DA" w14:textId="77777777" w:rsidR="008959A4" w:rsidRDefault="008959A4" w:rsidP="008959A4">
      <w:pPr>
        <w:pStyle w:val="FootnoteText"/>
      </w:pPr>
      <w:r>
        <w:rPr>
          <w:rStyle w:val="FootnoteReference"/>
        </w:rPr>
        <w:footnoteRef/>
      </w:r>
      <w:r>
        <w:t xml:space="preserve"> Bear Valley Application, at 15.</w:t>
      </w:r>
    </w:p>
  </w:footnote>
  <w:footnote w:id="77">
    <w:p w14:paraId="449735AA" w14:textId="77777777" w:rsidR="008959A4" w:rsidRDefault="008959A4" w:rsidP="008959A4">
      <w:pPr>
        <w:pStyle w:val="FootnoteText"/>
      </w:pPr>
      <w:r>
        <w:rPr>
          <w:rStyle w:val="FootnoteReference"/>
        </w:rPr>
        <w:footnoteRef/>
      </w:r>
      <w:r>
        <w:t xml:space="preserve"> </w:t>
      </w:r>
      <w:r w:rsidRPr="001436F0">
        <w:rPr>
          <w:i/>
          <w:iCs/>
        </w:rPr>
        <w:t>Ibid</w:t>
      </w:r>
      <w:r>
        <w:t>., at Appendix B-1.</w:t>
      </w:r>
    </w:p>
  </w:footnote>
  <w:footnote w:id="78">
    <w:p w14:paraId="77F2A1EE" w14:textId="77777777" w:rsidR="008959A4" w:rsidRDefault="008959A4" w:rsidP="008959A4">
      <w:pPr>
        <w:pStyle w:val="FootnoteText"/>
      </w:pPr>
      <w:r>
        <w:rPr>
          <w:rStyle w:val="FootnoteReference"/>
        </w:rPr>
        <w:footnoteRef/>
      </w:r>
      <w:r>
        <w:t xml:space="preserve"> </w:t>
      </w:r>
      <w:r w:rsidRPr="001436F0">
        <w:rPr>
          <w:i/>
          <w:iCs/>
        </w:rPr>
        <w:t>Ibid</w:t>
      </w:r>
      <w:r>
        <w:t>., at 16.</w:t>
      </w:r>
    </w:p>
  </w:footnote>
  <w:footnote w:id="79">
    <w:p w14:paraId="323B2C3C" w14:textId="77777777" w:rsidR="008959A4" w:rsidRDefault="008959A4" w:rsidP="008959A4">
      <w:pPr>
        <w:pStyle w:val="FootnoteText"/>
      </w:pPr>
      <w:r>
        <w:rPr>
          <w:rStyle w:val="FootnoteReference"/>
        </w:rPr>
        <w:footnoteRef/>
      </w:r>
      <w:r>
        <w:t xml:space="preserve"> </w:t>
      </w:r>
      <w:r w:rsidRPr="001436F0">
        <w:rPr>
          <w:i/>
          <w:iCs/>
        </w:rPr>
        <w:t>Ibid</w:t>
      </w:r>
      <w:r>
        <w:t>., at 14.</w:t>
      </w:r>
    </w:p>
  </w:footnote>
  <w:footnote w:id="80">
    <w:p w14:paraId="231CCE8B" w14:textId="77777777" w:rsidR="008959A4" w:rsidRDefault="008959A4" w:rsidP="008959A4">
      <w:pPr>
        <w:pStyle w:val="FootnoteText"/>
      </w:pPr>
      <w:r>
        <w:rPr>
          <w:rStyle w:val="FootnoteReference"/>
        </w:rPr>
        <w:footnoteRef/>
      </w:r>
      <w:r>
        <w:t xml:space="preserve"> Liberty Application, at Appendix </w:t>
      </w:r>
      <w:r w:rsidRPr="00ED1626">
        <w:t>B-1 CARE Budget</w:t>
      </w:r>
      <w:r>
        <w:t>.</w:t>
      </w:r>
    </w:p>
  </w:footnote>
  <w:footnote w:id="81">
    <w:p w14:paraId="232C6EAF" w14:textId="77777777" w:rsidR="008959A4" w:rsidRDefault="008959A4" w:rsidP="008959A4">
      <w:pPr>
        <w:pStyle w:val="FootnoteText"/>
      </w:pPr>
      <w:r>
        <w:rPr>
          <w:rStyle w:val="FootnoteReference"/>
        </w:rPr>
        <w:footnoteRef/>
      </w:r>
      <w:r>
        <w:t xml:space="preserve"> Joint SMJU Opening Brief, at 21-22.</w:t>
      </w:r>
    </w:p>
  </w:footnote>
  <w:footnote w:id="82">
    <w:p w14:paraId="7A9EEE49" w14:textId="77777777" w:rsidR="008959A4" w:rsidRDefault="008959A4" w:rsidP="008959A4">
      <w:pPr>
        <w:pStyle w:val="FootnoteText"/>
      </w:pPr>
      <w:r>
        <w:rPr>
          <w:rStyle w:val="FootnoteReference"/>
        </w:rPr>
        <w:footnoteRef/>
      </w:r>
      <w:r>
        <w:t xml:space="preserve"> PacifiCorp Application, at 34-35.</w:t>
      </w:r>
    </w:p>
  </w:footnote>
  <w:footnote w:id="83">
    <w:p w14:paraId="3E2867FF" w14:textId="77777777" w:rsidR="008959A4" w:rsidRDefault="008959A4" w:rsidP="008959A4">
      <w:pPr>
        <w:pStyle w:val="FootnoteText"/>
      </w:pPr>
      <w:r>
        <w:rPr>
          <w:rStyle w:val="FootnoteReference"/>
        </w:rPr>
        <w:footnoteRef/>
      </w:r>
      <w:r>
        <w:t xml:space="preserve"> </w:t>
      </w:r>
      <w:r w:rsidRPr="001436F0">
        <w:rPr>
          <w:i/>
          <w:iCs/>
        </w:rPr>
        <w:t>Ibid</w:t>
      </w:r>
      <w:r>
        <w:t xml:space="preserve">., at Attachment B-1. </w:t>
      </w:r>
    </w:p>
  </w:footnote>
  <w:footnote w:id="84">
    <w:p w14:paraId="2F2A76AF" w14:textId="77777777" w:rsidR="008959A4" w:rsidRDefault="008959A4" w:rsidP="008959A4">
      <w:pPr>
        <w:pStyle w:val="FootnoteText"/>
      </w:pPr>
      <w:r>
        <w:rPr>
          <w:rStyle w:val="FootnoteReference"/>
        </w:rPr>
        <w:footnoteRef/>
      </w:r>
      <w:r>
        <w:t xml:space="preserve"> </w:t>
      </w:r>
      <w:r w:rsidRPr="001436F0">
        <w:rPr>
          <w:i/>
          <w:iCs/>
        </w:rPr>
        <w:t>Ibid</w:t>
      </w:r>
      <w:r>
        <w:t>., at 35.</w:t>
      </w:r>
    </w:p>
  </w:footnote>
  <w:footnote w:id="85">
    <w:p w14:paraId="0B17D146" w14:textId="77777777" w:rsidR="008959A4" w:rsidRDefault="008959A4" w:rsidP="008959A4">
      <w:pPr>
        <w:pStyle w:val="FootnoteText"/>
      </w:pPr>
      <w:r>
        <w:rPr>
          <w:rStyle w:val="FootnoteReference"/>
        </w:rPr>
        <w:footnoteRef/>
      </w:r>
      <w:r>
        <w:t xml:space="preserve"> Alpine Application, at 25.</w:t>
      </w:r>
    </w:p>
  </w:footnote>
  <w:footnote w:id="86">
    <w:p w14:paraId="2BC418A9" w14:textId="77777777" w:rsidR="008959A4" w:rsidRDefault="008959A4" w:rsidP="008959A4">
      <w:pPr>
        <w:pStyle w:val="FootnoteText"/>
      </w:pPr>
      <w:r>
        <w:rPr>
          <w:rStyle w:val="FootnoteReference"/>
        </w:rPr>
        <w:footnoteRef/>
      </w:r>
      <w:r>
        <w:t xml:space="preserve"> Southwest Gas Application, at Attachment B-1.</w:t>
      </w:r>
    </w:p>
  </w:footnote>
  <w:footnote w:id="87">
    <w:p w14:paraId="1CF2E802" w14:textId="77777777" w:rsidR="008959A4" w:rsidRDefault="008959A4" w:rsidP="008959A4">
      <w:pPr>
        <w:pStyle w:val="FootnoteText"/>
      </w:pPr>
      <w:r>
        <w:rPr>
          <w:rStyle w:val="FootnoteReference"/>
        </w:rPr>
        <w:footnoteRef/>
      </w:r>
      <w:r>
        <w:t xml:space="preserve"> </w:t>
      </w:r>
      <w:r w:rsidRPr="001436F0">
        <w:rPr>
          <w:i/>
          <w:iCs/>
        </w:rPr>
        <w:t>Ibid</w:t>
      </w:r>
      <w:r>
        <w:t>., at 34-35.</w:t>
      </w:r>
    </w:p>
  </w:footnote>
  <w:footnote w:id="88">
    <w:p w14:paraId="2DBB5BAF" w14:textId="77777777" w:rsidR="008959A4" w:rsidRDefault="008959A4" w:rsidP="008959A4">
      <w:pPr>
        <w:pStyle w:val="FootnoteText"/>
      </w:pPr>
      <w:r>
        <w:rPr>
          <w:rStyle w:val="FootnoteReference"/>
        </w:rPr>
        <w:footnoteRef/>
      </w:r>
      <w:r>
        <w:t xml:space="preserve"> West Coast Gas Application, at 4.</w:t>
      </w:r>
    </w:p>
  </w:footnote>
  <w:footnote w:id="89">
    <w:p w14:paraId="07B922F1" w14:textId="77777777" w:rsidR="008959A4" w:rsidRDefault="008959A4" w:rsidP="008959A4">
      <w:pPr>
        <w:pStyle w:val="FootnoteText"/>
      </w:pPr>
      <w:r>
        <w:rPr>
          <w:rStyle w:val="FootnoteReference"/>
        </w:rPr>
        <w:footnoteRef/>
      </w:r>
      <w:r>
        <w:t xml:space="preserve"> </w:t>
      </w:r>
      <w:r w:rsidRPr="001436F0">
        <w:rPr>
          <w:i/>
          <w:iCs/>
        </w:rPr>
        <w:t>Ibid</w:t>
      </w:r>
      <w:r>
        <w:t>., at 4-5.</w:t>
      </w:r>
    </w:p>
  </w:footnote>
  <w:footnote w:id="90">
    <w:p w14:paraId="647E2D46" w14:textId="77777777" w:rsidR="008959A4" w:rsidRDefault="008959A4" w:rsidP="008959A4">
      <w:pPr>
        <w:pStyle w:val="FootnoteText"/>
      </w:pPr>
      <w:r>
        <w:rPr>
          <w:rStyle w:val="FootnoteReference"/>
        </w:rPr>
        <w:footnoteRef/>
      </w:r>
      <w:r>
        <w:t xml:space="preserve"> Cal Advocates Testimony, at 2-2-2-4.</w:t>
      </w:r>
    </w:p>
  </w:footnote>
  <w:footnote w:id="91">
    <w:p w14:paraId="579BB955" w14:textId="77777777" w:rsidR="008959A4" w:rsidRDefault="008959A4" w:rsidP="008959A4">
      <w:pPr>
        <w:pStyle w:val="FootnoteText"/>
      </w:pPr>
      <w:r>
        <w:rPr>
          <w:rStyle w:val="FootnoteReference"/>
        </w:rPr>
        <w:footnoteRef/>
      </w:r>
      <w:r>
        <w:t xml:space="preserve"> Cal Advocates Reply Brief, at 4-5.</w:t>
      </w:r>
    </w:p>
  </w:footnote>
  <w:footnote w:id="92">
    <w:p w14:paraId="0C21E918" w14:textId="77777777" w:rsidR="008959A4" w:rsidRDefault="008959A4" w:rsidP="008959A4">
      <w:pPr>
        <w:pStyle w:val="FootnoteText"/>
      </w:pPr>
      <w:r>
        <w:rPr>
          <w:rStyle w:val="FootnoteReference"/>
        </w:rPr>
        <w:footnoteRef/>
      </w:r>
      <w:r>
        <w:t xml:space="preserve"> Cal Advocates Opening Brief, at 10-13.</w:t>
      </w:r>
    </w:p>
  </w:footnote>
  <w:footnote w:id="93">
    <w:p w14:paraId="0BF7F0D3" w14:textId="77777777" w:rsidR="008959A4" w:rsidRDefault="008959A4" w:rsidP="008959A4">
      <w:pPr>
        <w:pStyle w:val="FootnoteText"/>
      </w:pPr>
      <w:r>
        <w:rPr>
          <w:rStyle w:val="FootnoteReference"/>
        </w:rPr>
        <w:footnoteRef/>
      </w:r>
      <w:r>
        <w:t xml:space="preserve"> EEC and Free Energy Savings Company Opening Brief, at 4-9.</w:t>
      </w:r>
    </w:p>
  </w:footnote>
  <w:footnote w:id="94">
    <w:p w14:paraId="41DE7D7C" w14:textId="77777777" w:rsidR="008959A4" w:rsidRDefault="008959A4" w:rsidP="008959A4">
      <w:pPr>
        <w:pStyle w:val="FootnoteText"/>
      </w:pPr>
      <w:r>
        <w:rPr>
          <w:rStyle w:val="FootnoteReference"/>
        </w:rPr>
        <w:footnoteRef/>
      </w:r>
      <w:r>
        <w:t xml:space="preserve"> Joint SMJU Opening Brief, at 22-23.</w:t>
      </w:r>
    </w:p>
  </w:footnote>
  <w:footnote w:id="95">
    <w:p w14:paraId="0F80C5AE" w14:textId="77777777" w:rsidR="008959A4" w:rsidRDefault="008959A4" w:rsidP="008959A4">
      <w:pPr>
        <w:pStyle w:val="FootnoteText"/>
      </w:pPr>
      <w:r>
        <w:rPr>
          <w:rStyle w:val="FootnoteReference"/>
        </w:rPr>
        <w:footnoteRef/>
      </w:r>
      <w:r>
        <w:t xml:space="preserve"> Joint SMJU Rebuttal Testimony, at 6-7.</w:t>
      </w:r>
    </w:p>
  </w:footnote>
  <w:footnote w:id="96">
    <w:p w14:paraId="5A2C7090" w14:textId="77777777" w:rsidR="008959A4" w:rsidRDefault="008959A4" w:rsidP="008959A4">
      <w:pPr>
        <w:pStyle w:val="FootnoteText"/>
      </w:pPr>
      <w:r>
        <w:rPr>
          <w:rStyle w:val="FootnoteReference"/>
        </w:rPr>
        <w:footnoteRef/>
      </w:r>
      <w:r>
        <w:t xml:space="preserve"> Joint SMJU Opening Brief, at 21-22.</w:t>
      </w:r>
    </w:p>
  </w:footnote>
  <w:footnote w:id="97">
    <w:p w14:paraId="75E721AC" w14:textId="77777777" w:rsidR="008959A4" w:rsidRDefault="008959A4" w:rsidP="008959A4">
      <w:pPr>
        <w:pStyle w:val="FootnoteText"/>
      </w:pPr>
      <w:r>
        <w:rPr>
          <w:rStyle w:val="FootnoteReference"/>
        </w:rPr>
        <w:footnoteRef/>
      </w:r>
      <w:r>
        <w:t xml:space="preserve"> Southwest Gas Reply Brief, at 10-11.</w:t>
      </w:r>
    </w:p>
  </w:footnote>
  <w:footnote w:id="98">
    <w:p w14:paraId="3F03A9C3" w14:textId="77777777" w:rsidR="008959A4" w:rsidRDefault="008959A4" w:rsidP="008959A4">
      <w:pPr>
        <w:pStyle w:val="FootnoteText"/>
      </w:pPr>
      <w:r>
        <w:rPr>
          <w:rStyle w:val="FootnoteReference"/>
        </w:rPr>
        <w:footnoteRef/>
      </w:r>
      <w:r>
        <w:t xml:space="preserve"> PacifiCorp Reply Brief, at 5-6.</w:t>
      </w:r>
    </w:p>
  </w:footnote>
  <w:footnote w:id="99">
    <w:p w14:paraId="0A94756F" w14:textId="77777777" w:rsidR="008959A4" w:rsidRDefault="008959A4" w:rsidP="008959A4">
      <w:pPr>
        <w:pStyle w:val="FootnoteText"/>
      </w:pPr>
      <w:r>
        <w:rPr>
          <w:rStyle w:val="FootnoteReference"/>
        </w:rPr>
        <w:footnoteRef/>
      </w:r>
      <w:r>
        <w:t xml:space="preserve"> The ESA program was previously named the Low-Income Energy Efficiency (LIEE) program.  </w:t>
      </w:r>
    </w:p>
  </w:footnote>
  <w:footnote w:id="100">
    <w:p w14:paraId="7C69E3C2" w14:textId="77777777" w:rsidR="008959A4" w:rsidRPr="00C264ED" w:rsidRDefault="008959A4" w:rsidP="008959A4">
      <w:pPr>
        <w:pStyle w:val="FootnoteText"/>
        <w:rPr>
          <w:szCs w:val="26"/>
        </w:rPr>
      </w:pPr>
      <w:r w:rsidRPr="00C264ED">
        <w:rPr>
          <w:szCs w:val="26"/>
          <w:vertAlign w:val="superscript"/>
        </w:rPr>
        <w:footnoteRef/>
      </w:r>
      <w:r w:rsidRPr="00C264ED">
        <w:rPr>
          <w:szCs w:val="26"/>
        </w:rPr>
        <w:t xml:space="preserve"> D.07-12-051</w:t>
      </w:r>
      <w:r>
        <w:rPr>
          <w:szCs w:val="26"/>
        </w:rPr>
        <w:t>,</w:t>
      </w:r>
      <w:r w:rsidRPr="00C264ED">
        <w:rPr>
          <w:szCs w:val="26"/>
        </w:rPr>
        <w:t xml:space="preserve"> </w:t>
      </w:r>
      <w:r>
        <w:rPr>
          <w:szCs w:val="26"/>
        </w:rPr>
        <w:t xml:space="preserve">at </w:t>
      </w:r>
      <w:r w:rsidRPr="00C264ED">
        <w:rPr>
          <w:szCs w:val="26"/>
        </w:rPr>
        <w:t>28</w:t>
      </w:r>
      <w:r>
        <w:rPr>
          <w:szCs w:val="26"/>
        </w:rPr>
        <w:t>-</w:t>
      </w:r>
      <w:r w:rsidRPr="00C264ED">
        <w:rPr>
          <w:szCs w:val="26"/>
        </w:rPr>
        <w:t>29.</w:t>
      </w:r>
    </w:p>
  </w:footnote>
  <w:footnote w:id="101">
    <w:p w14:paraId="055391C6" w14:textId="77777777" w:rsidR="008959A4" w:rsidRPr="00C264ED" w:rsidRDefault="008959A4" w:rsidP="008959A4">
      <w:pPr>
        <w:pStyle w:val="FootnoteText"/>
        <w:rPr>
          <w:szCs w:val="26"/>
        </w:rPr>
      </w:pPr>
      <w:r w:rsidRPr="00C264ED">
        <w:rPr>
          <w:szCs w:val="26"/>
          <w:vertAlign w:val="superscript"/>
        </w:rPr>
        <w:footnoteRef/>
      </w:r>
      <w:r w:rsidRPr="00C264ED">
        <w:rPr>
          <w:szCs w:val="26"/>
        </w:rPr>
        <w:t xml:space="preserve"> D.12-08-044</w:t>
      </w:r>
      <w:r>
        <w:rPr>
          <w:szCs w:val="26"/>
        </w:rPr>
        <w:t xml:space="preserve">, at </w:t>
      </w:r>
      <w:r w:rsidRPr="00C264ED">
        <w:rPr>
          <w:szCs w:val="26"/>
        </w:rPr>
        <w:t>18-20.</w:t>
      </w:r>
    </w:p>
  </w:footnote>
  <w:footnote w:id="102">
    <w:p w14:paraId="720C1BFD" w14:textId="77777777" w:rsidR="008959A4" w:rsidRDefault="008959A4" w:rsidP="008959A4">
      <w:r w:rsidRPr="009D13CA">
        <w:rPr>
          <w:vertAlign w:val="superscript"/>
        </w:rPr>
        <w:footnoteRef/>
      </w:r>
      <w:r>
        <w:t xml:space="preserve"> </w:t>
      </w:r>
      <w:r w:rsidRPr="003D69FA">
        <w:rPr>
          <w:sz w:val="22"/>
        </w:rPr>
        <w:t xml:space="preserve">Based on the </w:t>
      </w:r>
      <w:r>
        <w:rPr>
          <w:sz w:val="22"/>
        </w:rPr>
        <w:t>SMJUs’</w:t>
      </w:r>
      <w:r w:rsidRPr="003D69FA">
        <w:rPr>
          <w:sz w:val="22"/>
        </w:rPr>
        <w:t xml:space="preserve"> 20</w:t>
      </w:r>
      <w:r>
        <w:rPr>
          <w:sz w:val="22"/>
        </w:rPr>
        <w:t>20 A</w:t>
      </w:r>
      <w:r w:rsidRPr="003D69FA">
        <w:rPr>
          <w:sz w:val="22"/>
        </w:rPr>
        <w:t>nnual Reports.</w:t>
      </w:r>
    </w:p>
  </w:footnote>
  <w:footnote w:id="103">
    <w:p w14:paraId="559AA88D" w14:textId="77777777" w:rsidR="008959A4" w:rsidRDefault="008959A4" w:rsidP="008959A4">
      <w:pPr>
        <w:pStyle w:val="FootnoteText"/>
      </w:pPr>
      <w:r w:rsidRPr="002D11AC">
        <w:rPr>
          <w:rStyle w:val="FootnoteReference"/>
        </w:rPr>
        <w:footnoteRef/>
      </w:r>
      <w:r w:rsidRPr="04774BFE">
        <w:rPr>
          <w:sz w:val="26"/>
          <w:szCs w:val="26"/>
        </w:rPr>
        <w:t xml:space="preserve"> </w:t>
      </w:r>
      <w:r w:rsidRPr="00F1082B">
        <w:rPr>
          <w:sz w:val="24"/>
          <w:szCs w:val="24"/>
        </w:rPr>
        <w:t>The</w:t>
      </w:r>
      <w:r w:rsidRPr="04774BFE">
        <w:rPr>
          <w:sz w:val="26"/>
          <w:szCs w:val="26"/>
        </w:rPr>
        <w:t xml:space="preserve"> </w:t>
      </w:r>
      <w:r w:rsidRPr="001B29A8">
        <w:t xml:space="preserve">denominator used to calculate whether the </w:t>
      </w:r>
      <w:r>
        <w:t>SMJUs</w:t>
      </w:r>
      <w:r w:rsidRPr="001B29A8">
        <w:t xml:space="preserve"> achieve</w:t>
      </w:r>
      <w:r>
        <w:t>d</w:t>
      </w:r>
      <w:r w:rsidRPr="001B29A8">
        <w:t xml:space="preserve"> their </w:t>
      </w:r>
      <w:r>
        <w:t xml:space="preserve">2020 </w:t>
      </w:r>
      <w:r w:rsidRPr="001B29A8">
        <w:t xml:space="preserve">ESA household treatment </w:t>
      </w:r>
      <w:r>
        <w:t>was calculated in D.18-08-020.  It was based on 60% Willingness to Participate factor applied to the SMJUs estimated ESA-eligible population (non-Athens estimate, but rather estimated by each SMJU), and then subtracting the number of previous ESA treated homes from 2002 to calculate the remaining households to be treated by 2020.</w:t>
      </w:r>
    </w:p>
  </w:footnote>
  <w:footnote w:id="104">
    <w:p w14:paraId="29411BF1" w14:textId="77777777" w:rsidR="008959A4" w:rsidRDefault="008959A4" w:rsidP="008959A4">
      <w:pPr>
        <w:pStyle w:val="FootnoteText"/>
      </w:pPr>
      <w:r>
        <w:rPr>
          <w:rStyle w:val="FootnoteReference"/>
        </w:rPr>
        <w:footnoteRef/>
      </w:r>
      <w:r>
        <w:t xml:space="preserve"> Southwest Gas PY 2018 and 2019 ESA Annual Reports.</w:t>
      </w:r>
    </w:p>
  </w:footnote>
  <w:footnote w:id="105">
    <w:p w14:paraId="41D9A38C" w14:textId="77777777" w:rsidR="008959A4" w:rsidRDefault="008959A4" w:rsidP="008959A4">
      <w:pPr>
        <w:pStyle w:val="FootnoteText"/>
      </w:pPr>
      <w:r>
        <w:rPr>
          <w:rStyle w:val="FootnoteReference"/>
        </w:rPr>
        <w:footnoteRef/>
      </w:r>
      <w:r>
        <w:t xml:space="preserve"> </w:t>
      </w:r>
      <w:r w:rsidRPr="00200C76">
        <w:t xml:space="preserve">D.14-05-004, </w:t>
      </w:r>
      <w:r>
        <w:t xml:space="preserve">at </w:t>
      </w:r>
      <w:r w:rsidRPr="00200C76">
        <w:t>40.</w:t>
      </w:r>
    </w:p>
  </w:footnote>
  <w:footnote w:id="106">
    <w:p w14:paraId="55641823" w14:textId="77777777" w:rsidR="008959A4" w:rsidRDefault="008959A4" w:rsidP="008959A4">
      <w:pPr>
        <w:pStyle w:val="FootnoteText"/>
      </w:pPr>
      <w:r>
        <w:rPr>
          <w:rStyle w:val="FootnoteReference"/>
        </w:rPr>
        <w:footnoteRef/>
      </w:r>
      <w:r>
        <w:t xml:space="preserve"> Cal Advocates Opening Brief, at 13-14.</w:t>
      </w:r>
    </w:p>
  </w:footnote>
  <w:footnote w:id="107">
    <w:p w14:paraId="7BFECE3A" w14:textId="77777777" w:rsidR="008959A4" w:rsidRDefault="008959A4" w:rsidP="008959A4">
      <w:pPr>
        <w:pStyle w:val="FootnoteText"/>
      </w:pPr>
      <w:r>
        <w:rPr>
          <w:rStyle w:val="FootnoteReference"/>
        </w:rPr>
        <w:footnoteRef/>
      </w:r>
      <w:r>
        <w:t xml:space="preserve"> EEC &amp; Free Energy Opening Brief, at 19-20.</w:t>
      </w:r>
    </w:p>
  </w:footnote>
  <w:footnote w:id="108">
    <w:p w14:paraId="793A8D44"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09">
    <w:p w14:paraId="564A4FD4" w14:textId="77777777" w:rsidR="008959A4" w:rsidRDefault="008959A4" w:rsidP="008959A4">
      <w:pPr>
        <w:pStyle w:val="FootnoteText"/>
      </w:pPr>
      <w:r>
        <w:rPr>
          <w:rStyle w:val="FootnoteReference"/>
        </w:rPr>
        <w:footnoteRef/>
      </w:r>
      <w:r>
        <w:t xml:space="preserve"> Joint SMJU Rebuttal Testimony, at 14.</w:t>
      </w:r>
    </w:p>
  </w:footnote>
  <w:footnote w:id="110">
    <w:p w14:paraId="7BE56808" w14:textId="77777777" w:rsidR="008959A4" w:rsidRDefault="008959A4" w:rsidP="008959A4">
      <w:pPr>
        <w:pStyle w:val="FootnoteText"/>
      </w:pPr>
      <w:r>
        <w:rPr>
          <w:rStyle w:val="FootnoteReference"/>
        </w:rPr>
        <w:footnoteRef/>
      </w:r>
      <w:r>
        <w:t xml:space="preserve"> </w:t>
      </w:r>
      <w:r w:rsidRPr="001436F0">
        <w:rPr>
          <w:i/>
          <w:iCs/>
        </w:rPr>
        <w:t>Ibid</w:t>
      </w:r>
      <w:r>
        <w:t>., at 7-8.</w:t>
      </w:r>
    </w:p>
  </w:footnote>
  <w:footnote w:id="111">
    <w:p w14:paraId="2AD4E9F4" w14:textId="77777777" w:rsidR="008959A4" w:rsidRDefault="008959A4" w:rsidP="008959A4">
      <w:pPr>
        <w:pStyle w:val="FootnoteText"/>
      </w:pPr>
      <w:r>
        <w:rPr>
          <w:rStyle w:val="FootnoteReference"/>
        </w:rPr>
        <w:footnoteRef/>
      </w:r>
      <w:r>
        <w:t xml:space="preserve"> Joint SMJU Opening Brief, at 27-28.</w:t>
      </w:r>
    </w:p>
  </w:footnote>
  <w:footnote w:id="112">
    <w:p w14:paraId="451FF09C" w14:textId="77777777" w:rsidR="008959A4" w:rsidRDefault="008959A4" w:rsidP="008959A4">
      <w:pPr>
        <w:pStyle w:val="FootnoteText"/>
      </w:pPr>
      <w:r>
        <w:rPr>
          <w:rStyle w:val="FootnoteReference"/>
        </w:rPr>
        <w:footnoteRef/>
      </w:r>
      <w:r>
        <w:t xml:space="preserve"> Southwest Gas Reply Brief, at 14-15.</w:t>
      </w:r>
    </w:p>
  </w:footnote>
  <w:footnote w:id="113">
    <w:p w14:paraId="755E68A2" w14:textId="77777777" w:rsidR="008959A4" w:rsidRDefault="008959A4" w:rsidP="008959A4">
      <w:pPr>
        <w:pStyle w:val="FootnoteText"/>
      </w:pPr>
      <w:r>
        <w:rPr>
          <w:rStyle w:val="FootnoteReference"/>
        </w:rPr>
        <w:footnoteRef/>
      </w:r>
      <w:r>
        <w:t xml:space="preserve"> PacifiCorp Reply Brief, at 8.</w:t>
      </w:r>
    </w:p>
  </w:footnote>
  <w:footnote w:id="114">
    <w:p w14:paraId="41E1187F" w14:textId="77777777" w:rsidR="008959A4" w:rsidRDefault="008959A4" w:rsidP="008959A4">
      <w:pPr>
        <w:pStyle w:val="FootnoteText"/>
      </w:pPr>
      <w:r>
        <w:rPr>
          <w:rStyle w:val="FootnoteReference"/>
        </w:rPr>
        <w:footnoteRef/>
      </w:r>
      <w:r>
        <w:t xml:space="preserve"> D.19-11-005.</w:t>
      </w:r>
    </w:p>
  </w:footnote>
  <w:footnote w:id="115">
    <w:p w14:paraId="73758D89" w14:textId="77777777" w:rsidR="008959A4" w:rsidRDefault="008959A4" w:rsidP="008959A4">
      <w:pPr>
        <w:pStyle w:val="FootnoteText"/>
      </w:pPr>
      <w:r>
        <w:rPr>
          <w:rStyle w:val="FootnoteReference"/>
        </w:rPr>
        <w:footnoteRef/>
      </w:r>
      <w:r>
        <w:t xml:space="preserve"> Alpine Application, at 22.</w:t>
      </w:r>
    </w:p>
  </w:footnote>
  <w:footnote w:id="116">
    <w:p w14:paraId="7FC3B2F5" w14:textId="77777777" w:rsidR="008959A4" w:rsidRDefault="008959A4" w:rsidP="008959A4">
      <w:pPr>
        <w:pStyle w:val="FootnoteText"/>
      </w:pPr>
      <w:r>
        <w:rPr>
          <w:rStyle w:val="FootnoteReference"/>
        </w:rPr>
        <w:footnoteRef/>
      </w:r>
      <w:r>
        <w:t xml:space="preserve"> Joint SMJU Opening Brief, at 8.</w:t>
      </w:r>
    </w:p>
  </w:footnote>
  <w:footnote w:id="117">
    <w:p w14:paraId="11B55A51" w14:textId="77777777" w:rsidR="008959A4" w:rsidRDefault="008959A4" w:rsidP="008959A4">
      <w:pPr>
        <w:pStyle w:val="FootnoteText"/>
      </w:pPr>
      <w:r>
        <w:rPr>
          <w:rStyle w:val="FootnoteReference"/>
        </w:rPr>
        <w:footnoteRef/>
      </w:r>
      <w:r>
        <w:t xml:space="preserve"> PacifiCorp Application, at 8-10.</w:t>
      </w:r>
    </w:p>
  </w:footnote>
  <w:footnote w:id="118">
    <w:p w14:paraId="75568BE5" w14:textId="77777777" w:rsidR="008959A4" w:rsidRDefault="008959A4" w:rsidP="008959A4">
      <w:pPr>
        <w:pStyle w:val="FootnoteText"/>
      </w:pPr>
      <w:r>
        <w:rPr>
          <w:rStyle w:val="FootnoteReference"/>
        </w:rPr>
        <w:footnoteRef/>
      </w:r>
      <w:r>
        <w:t xml:space="preserve"> </w:t>
      </w:r>
      <w:r w:rsidRPr="001436F0">
        <w:rPr>
          <w:i/>
          <w:iCs/>
        </w:rPr>
        <w:t>Ibid</w:t>
      </w:r>
      <w:r>
        <w:t>., at 18-19.</w:t>
      </w:r>
    </w:p>
  </w:footnote>
  <w:footnote w:id="119">
    <w:p w14:paraId="1441D26B" w14:textId="77777777" w:rsidR="008959A4" w:rsidRDefault="008959A4" w:rsidP="008959A4">
      <w:pPr>
        <w:pStyle w:val="FootnoteText"/>
      </w:pPr>
      <w:r>
        <w:rPr>
          <w:rStyle w:val="FootnoteReference"/>
        </w:rPr>
        <w:footnoteRef/>
      </w:r>
      <w:r>
        <w:t xml:space="preserve"> </w:t>
      </w:r>
      <w:r w:rsidRPr="001436F0">
        <w:rPr>
          <w:i/>
          <w:iCs/>
        </w:rPr>
        <w:t>Ibid</w:t>
      </w:r>
      <w:r>
        <w:t>., at 19.</w:t>
      </w:r>
    </w:p>
  </w:footnote>
  <w:footnote w:id="120">
    <w:p w14:paraId="3C322106" w14:textId="77777777" w:rsidR="008959A4" w:rsidRDefault="008959A4" w:rsidP="008959A4">
      <w:pPr>
        <w:pStyle w:val="FootnoteText"/>
      </w:pPr>
      <w:r>
        <w:rPr>
          <w:rStyle w:val="FootnoteReference"/>
        </w:rPr>
        <w:footnoteRef/>
      </w:r>
      <w:r>
        <w:t xml:space="preserve"> Southwest Gas Application, at 17.</w:t>
      </w:r>
    </w:p>
  </w:footnote>
  <w:footnote w:id="121">
    <w:p w14:paraId="6A29A7F6" w14:textId="77777777" w:rsidR="008959A4" w:rsidRDefault="008959A4" w:rsidP="008959A4">
      <w:pPr>
        <w:pStyle w:val="FootnoteText"/>
      </w:pPr>
      <w:r>
        <w:rPr>
          <w:rStyle w:val="FootnoteReference"/>
        </w:rPr>
        <w:footnoteRef/>
      </w:r>
      <w:r>
        <w:t xml:space="preserve"> According to Southwest Gas’ Application (pg.19) t</w:t>
      </w:r>
      <w:r w:rsidRPr="002E7886">
        <w:t>he PRIZM Premier system classifies U.S. households based on lifestyle types by integrating demographics, consumer behavior and geographic data.  With use of the analytic data, Southwest Gas is better able to identify customer segments that are eligible for enrollment in both the CARE and ESA Programs.</w:t>
      </w:r>
      <w:r>
        <w:t xml:space="preserve"> </w:t>
      </w:r>
    </w:p>
  </w:footnote>
  <w:footnote w:id="122">
    <w:p w14:paraId="5B1D7ED4" w14:textId="77777777" w:rsidR="008959A4" w:rsidRDefault="008959A4" w:rsidP="008959A4">
      <w:pPr>
        <w:pStyle w:val="FootnoteText"/>
      </w:pPr>
      <w:r>
        <w:rPr>
          <w:rStyle w:val="FootnoteReference"/>
        </w:rPr>
        <w:footnoteRef/>
      </w:r>
      <w:r>
        <w:t xml:space="preserve"> Southwest Gas Application, at 29.</w:t>
      </w:r>
    </w:p>
  </w:footnote>
  <w:footnote w:id="123">
    <w:p w14:paraId="15976B87" w14:textId="77777777" w:rsidR="008959A4" w:rsidRDefault="008959A4" w:rsidP="008959A4">
      <w:pPr>
        <w:pStyle w:val="FootnoteText"/>
      </w:pPr>
      <w:r>
        <w:rPr>
          <w:rStyle w:val="FootnoteReference"/>
        </w:rPr>
        <w:footnoteRef/>
      </w:r>
      <w:r>
        <w:t xml:space="preserve"> EEC and Free Energy Savings Company Rebuttal Testimony, at 3-4.</w:t>
      </w:r>
    </w:p>
  </w:footnote>
  <w:footnote w:id="124">
    <w:p w14:paraId="6D04CBB8" w14:textId="77777777" w:rsidR="008959A4" w:rsidRDefault="008959A4" w:rsidP="008959A4">
      <w:pPr>
        <w:pStyle w:val="FootnoteText"/>
      </w:pPr>
      <w:r>
        <w:rPr>
          <w:rStyle w:val="FootnoteReference"/>
        </w:rPr>
        <w:footnoteRef/>
      </w:r>
      <w:r>
        <w:t xml:space="preserve"> EEC and Free Energy Testimony, at 27-31.</w:t>
      </w:r>
    </w:p>
  </w:footnote>
  <w:footnote w:id="125">
    <w:p w14:paraId="6C083C17" w14:textId="77777777" w:rsidR="008959A4" w:rsidRDefault="008959A4" w:rsidP="008959A4">
      <w:pPr>
        <w:pStyle w:val="FootnoteText"/>
      </w:pPr>
      <w:r>
        <w:rPr>
          <w:rStyle w:val="FootnoteReference"/>
        </w:rPr>
        <w:footnoteRef/>
      </w:r>
      <w:r>
        <w:t xml:space="preserve"> </w:t>
      </w:r>
      <w:r w:rsidRPr="001436F0">
        <w:rPr>
          <w:i/>
          <w:iCs/>
        </w:rPr>
        <w:t>Ibid</w:t>
      </w:r>
      <w:r>
        <w:t>., at 27-31.</w:t>
      </w:r>
    </w:p>
  </w:footnote>
  <w:footnote w:id="126">
    <w:p w14:paraId="12F62E14" w14:textId="77777777" w:rsidR="008959A4" w:rsidRDefault="008959A4" w:rsidP="008959A4">
      <w:pPr>
        <w:pStyle w:val="FootnoteText"/>
      </w:pPr>
      <w:r>
        <w:rPr>
          <w:rStyle w:val="FootnoteReference"/>
        </w:rPr>
        <w:footnoteRef/>
      </w:r>
      <w:r>
        <w:t xml:space="preserve"> EEC and Free Energy Savings Company Rebuttal Testimony, at 8-9.</w:t>
      </w:r>
    </w:p>
  </w:footnote>
  <w:footnote w:id="127">
    <w:p w14:paraId="09526227" w14:textId="77777777" w:rsidR="008959A4" w:rsidRDefault="008959A4" w:rsidP="008959A4">
      <w:pPr>
        <w:pStyle w:val="FootnoteText"/>
      </w:pPr>
      <w:r>
        <w:rPr>
          <w:rStyle w:val="FootnoteReference"/>
        </w:rPr>
        <w:footnoteRef/>
      </w:r>
      <w:r>
        <w:t xml:space="preserve"> EEC and Free Energy Testimony, at 16-17.</w:t>
      </w:r>
    </w:p>
  </w:footnote>
  <w:footnote w:id="128">
    <w:p w14:paraId="388C1E14" w14:textId="77777777" w:rsidR="008959A4" w:rsidRDefault="008959A4" w:rsidP="008959A4">
      <w:pPr>
        <w:pStyle w:val="FootnoteText"/>
      </w:pPr>
      <w:r>
        <w:rPr>
          <w:rStyle w:val="FootnoteReference"/>
        </w:rPr>
        <w:footnoteRef/>
      </w:r>
      <w:r>
        <w:t xml:space="preserve"> Joint SMJU Rebuttal Testimony, at 16-17.</w:t>
      </w:r>
    </w:p>
  </w:footnote>
  <w:footnote w:id="129">
    <w:p w14:paraId="726AA9AC"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30">
    <w:p w14:paraId="00FC2579" w14:textId="77777777" w:rsidR="008959A4" w:rsidRDefault="008959A4" w:rsidP="008959A4">
      <w:pPr>
        <w:pStyle w:val="FootnoteText"/>
      </w:pPr>
      <w:r>
        <w:rPr>
          <w:rStyle w:val="FootnoteReference"/>
        </w:rPr>
        <w:footnoteRef/>
      </w:r>
      <w:r>
        <w:t xml:space="preserve"> Joint SMJU Opening Brief, at 24-26.</w:t>
      </w:r>
    </w:p>
  </w:footnote>
  <w:footnote w:id="131">
    <w:p w14:paraId="64363B57" w14:textId="77777777" w:rsidR="008959A4" w:rsidRDefault="008959A4" w:rsidP="008959A4">
      <w:pPr>
        <w:pStyle w:val="FootnoteText"/>
      </w:pPr>
      <w:r>
        <w:rPr>
          <w:rStyle w:val="FootnoteReference"/>
        </w:rPr>
        <w:footnoteRef/>
      </w:r>
      <w:r>
        <w:t xml:space="preserve"> Southwest Gas Reply Brief, at 17-18.</w:t>
      </w:r>
    </w:p>
  </w:footnote>
  <w:footnote w:id="132">
    <w:p w14:paraId="0F8F7524" w14:textId="77777777" w:rsidR="008959A4" w:rsidRDefault="008959A4" w:rsidP="008959A4">
      <w:pPr>
        <w:pStyle w:val="FootnoteText"/>
      </w:pPr>
      <w:r>
        <w:rPr>
          <w:rStyle w:val="FootnoteReference"/>
        </w:rPr>
        <w:footnoteRef/>
      </w:r>
      <w:r>
        <w:t xml:space="preserve"> D.21-06-015 at 128, and 164-166.</w:t>
      </w:r>
    </w:p>
  </w:footnote>
  <w:footnote w:id="133">
    <w:p w14:paraId="0D8DA0AD" w14:textId="77777777" w:rsidR="008959A4" w:rsidRDefault="008959A4" w:rsidP="008959A4">
      <w:pPr>
        <w:pStyle w:val="FootnoteText"/>
      </w:pPr>
      <w:r>
        <w:rPr>
          <w:rStyle w:val="FootnoteReference"/>
        </w:rPr>
        <w:footnoteRef/>
      </w:r>
      <w:r>
        <w:t xml:space="preserve"> D.21-06-015, at 142.</w:t>
      </w:r>
    </w:p>
  </w:footnote>
  <w:footnote w:id="134">
    <w:p w14:paraId="0D59C1FA" w14:textId="77777777" w:rsidR="008959A4" w:rsidRDefault="008959A4" w:rsidP="008959A4">
      <w:pPr>
        <w:pStyle w:val="FootnoteText"/>
      </w:pPr>
      <w:r>
        <w:rPr>
          <w:rStyle w:val="FootnoteReference"/>
        </w:rPr>
        <w:footnoteRef/>
      </w:r>
      <w:r>
        <w:t xml:space="preserve"> D.18-08-020, at 22.</w:t>
      </w:r>
    </w:p>
  </w:footnote>
  <w:footnote w:id="135">
    <w:p w14:paraId="47733EFB" w14:textId="77777777" w:rsidR="008959A4" w:rsidRDefault="008959A4" w:rsidP="008959A4">
      <w:pPr>
        <w:pStyle w:val="FootnoteText"/>
      </w:pPr>
      <w:r>
        <w:rPr>
          <w:rStyle w:val="FootnoteReference"/>
        </w:rPr>
        <w:footnoteRef/>
      </w:r>
      <w:r>
        <w:t xml:space="preserve"> D.19-11-005.</w:t>
      </w:r>
    </w:p>
  </w:footnote>
  <w:footnote w:id="136">
    <w:p w14:paraId="2B43EEA3" w14:textId="77777777" w:rsidR="008959A4" w:rsidRDefault="008959A4" w:rsidP="008959A4">
      <w:pPr>
        <w:pStyle w:val="FootnoteText"/>
      </w:pPr>
      <w:r>
        <w:rPr>
          <w:rStyle w:val="FootnoteReference"/>
        </w:rPr>
        <w:footnoteRef/>
      </w:r>
      <w:r>
        <w:t xml:space="preserve"> Alpine Application, at 17-19.</w:t>
      </w:r>
    </w:p>
  </w:footnote>
  <w:footnote w:id="137">
    <w:p w14:paraId="6826B9AE" w14:textId="77777777" w:rsidR="008959A4" w:rsidRDefault="008959A4" w:rsidP="008959A4">
      <w:pPr>
        <w:pStyle w:val="FootnoteText"/>
      </w:pPr>
      <w:r>
        <w:rPr>
          <w:rStyle w:val="FootnoteReference"/>
        </w:rPr>
        <w:footnoteRef/>
      </w:r>
      <w:r>
        <w:t xml:space="preserve"> </w:t>
      </w:r>
      <w:r w:rsidRPr="001436F0">
        <w:rPr>
          <w:i/>
          <w:iCs/>
        </w:rPr>
        <w:t>Ibid</w:t>
      </w:r>
      <w:r>
        <w:t>., at 16.</w:t>
      </w:r>
    </w:p>
  </w:footnote>
  <w:footnote w:id="138">
    <w:p w14:paraId="30AE3994" w14:textId="77777777" w:rsidR="008959A4" w:rsidRDefault="008959A4" w:rsidP="008959A4">
      <w:pPr>
        <w:pStyle w:val="FootnoteText"/>
      </w:pPr>
      <w:r>
        <w:rPr>
          <w:rStyle w:val="FootnoteReference"/>
        </w:rPr>
        <w:footnoteRef/>
      </w:r>
      <w:r>
        <w:t xml:space="preserve"> Bear Valley Application, at 8-9.</w:t>
      </w:r>
    </w:p>
  </w:footnote>
  <w:footnote w:id="139">
    <w:p w14:paraId="26E3B5CA" w14:textId="77777777" w:rsidR="008959A4" w:rsidRDefault="008959A4" w:rsidP="008959A4">
      <w:pPr>
        <w:pStyle w:val="FootnoteText"/>
      </w:pPr>
      <w:r>
        <w:rPr>
          <w:rStyle w:val="FootnoteReference"/>
        </w:rPr>
        <w:footnoteRef/>
      </w:r>
      <w:r>
        <w:t xml:space="preserve"> </w:t>
      </w:r>
      <w:r w:rsidRPr="001436F0">
        <w:rPr>
          <w:i/>
          <w:iCs/>
        </w:rPr>
        <w:t>Ibid</w:t>
      </w:r>
      <w:r>
        <w:t>., at 9.</w:t>
      </w:r>
    </w:p>
  </w:footnote>
  <w:footnote w:id="140">
    <w:p w14:paraId="08C1C3C1" w14:textId="77777777" w:rsidR="008959A4" w:rsidRDefault="008959A4" w:rsidP="008959A4">
      <w:pPr>
        <w:pStyle w:val="FootnoteText"/>
      </w:pPr>
      <w:r>
        <w:rPr>
          <w:rStyle w:val="FootnoteReference"/>
        </w:rPr>
        <w:footnoteRef/>
      </w:r>
      <w:r>
        <w:t xml:space="preserve"> Liberty Application, at 2, and 7.</w:t>
      </w:r>
    </w:p>
  </w:footnote>
  <w:footnote w:id="141">
    <w:p w14:paraId="0C7F6D87" w14:textId="6C1804AF" w:rsidR="008959A4" w:rsidRDefault="008959A4" w:rsidP="008959A4">
      <w:pPr>
        <w:pStyle w:val="FootnoteText"/>
      </w:pPr>
      <w:r>
        <w:rPr>
          <w:rStyle w:val="FootnoteReference"/>
        </w:rPr>
        <w:footnoteRef/>
      </w:r>
      <w:r>
        <w:t xml:space="preserve"> </w:t>
      </w:r>
      <w:r w:rsidRPr="005644E1">
        <w:t>Currently, PacifiCorp works with the CBOs to deliver energy efficiency services to income</w:t>
      </w:r>
      <w:r>
        <w:noBreakHyphen/>
      </w:r>
      <w:r w:rsidRPr="005644E1">
        <w:t>qualifying customers and plans to continue these partnerships</w:t>
      </w:r>
      <w:r>
        <w:t xml:space="preserve">. </w:t>
      </w:r>
      <w:r w:rsidR="00264851">
        <w:t xml:space="preserve"> </w:t>
      </w:r>
      <w:r w:rsidRPr="00264851">
        <w:rPr>
          <w:i/>
          <w:iCs/>
        </w:rPr>
        <w:t>See</w:t>
      </w:r>
      <w:r>
        <w:t xml:space="preserve"> PacifiCorp Application, at 15.</w:t>
      </w:r>
    </w:p>
  </w:footnote>
  <w:footnote w:id="142">
    <w:p w14:paraId="0F99802E" w14:textId="77777777" w:rsidR="008959A4" w:rsidRDefault="008959A4" w:rsidP="008959A4">
      <w:pPr>
        <w:pStyle w:val="FootnoteText"/>
      </w:pPr>
      <w:r>
        <w:rPr>
          <w:rStyle w:val="FootnoteReference"/>
        </w:rPr>
        <w:footnoteRef/>
      </w:r>
      <w:r>
        <w:t xml:space="preserve"> PacifiCorp Application, at 25-26.</w:t>
      </w:r>
    </w:p>
  </w:footnote>
  <w:footnote w:id="143">
    <w:p w14:paraId="0ED717AA" w14:textId="77777777" w:rsidR="008959A4" w:rsidRDefault="008959A4" w:rsidP="008959A4">
      <w:pPr>
        <w:pStyle w:val="FootnoteText"/>
      </w:pPr>
      <w:r>
        <w:rPr>
          <w:rStyle w:val="FootnoteReference"/>
        </w:rPr>
        <w:footnoteRef/>
      </w:r>
      <w:r>
        <w:t xml:space="preserve"> </w:t>
      </w:r>
      <w:r w:rsidRPr="001436F0">
        <w:rPr>
          <w:i/>
          <w:iCs/>
        </w:rPr>
        <w:t>Ibid</w:t>
      </w:r>
      <w:r>
        <w:t>., at 19.</w:t>
      </w:r>
    </w:p>
  </w:footnote>
  <w:footnote w:id="144">
    <w:p w14:paraId="6CB39C03" w14:textId="77777777" w:rsidR="008959A4" w:rsidRDefault="008959A4" w:rsidP="008959A4">
      <w:pPr>
        <w:pStyle w:val="FootnoteText"/>
      </w:pPr>
      <w:r>
        <w:rPr>
          <w:rStyle w:val="FootnoteReference"/>
        </w:rPr>
        <w:footnoteRef/>
      </w:r>
      <w:r>
        <w:t xml:space="preserve"> Southwest Gas Application, at 13.</w:t>
      </w:r>
    </w:p>
  </w:footnote>
  <w:footnote w:id="145">
    <w:p w14:paraId="41751554"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46">
    <w:p w14:paraId="43C00345" w14:textId="77777777" w:rsidR="008959A4" w:rsidRDefault="008959A4" w:rsidP="008959A4">
      <w:pPr>
        <w:pStyle w:val="FootnoteText"/>
      </w:pPr>
      <w:r>
        <w:rPr>
          <w:rStyle w:val="FootnoteReference"/>
        </w:rPr>
        <w:footnoteRef/>
      </w:r>
      <w:r>
        <w:t xml:space="preserve"> </w:t>
      </w:r>
      <w:r w:rsidRPr="001436F0">
        <w:rPr>
          <w:i/>
          <w:iCs/>
        </w:rPr>
        <w:t>Ibid</w:t>
      </w:r>
      <w:r>
        <w:t>., at 28.</w:t>
      </w:r>
    </w:p>
  </w:footnote>
  <w:footnote w:id="147">
    <w:p w14:paraId="384A3A0B" w14:textId="77777777" w:rsidR="008959A4" w:rsidRDefault="008959A4" w:rsidP="008959A4">
      <w:pPr>
        <w:pStyle w:val="FootnoteText"/>
      </w:pPr>
      <w:r>
        <w:rPr>
          <w:rStyle w:val="FootnoteReference"/>
        </w:rPr>
        <w:footnoteRef/>
      </w:r>
      <w:r>
        <w:t xml:space="preserve"> EEC and Free Energy Savings Company Rebuttal Testimony, at 3-4.</w:t>
      </w:r>
    </w:p>
  </w:footnote>
  <w:footnote w:id="148">
    <w:p w14:paraId="12A198E2" w14:textId="77777777" w:rsidR="008959A4" w:rsidRDefault="008959A4" w:rsidP="008959A4">
      <w:pPr>
        <w:pStyle w:val="FootnoteText"/>
      </w:pPr>
      <w:r>
        <w:rPr>
          <w:rStyle w:val="FootnoteReference"/>
        </w:rPr>
        <w:footnoteRef/>
      </w:r>
      <w:r>
        <w:t xml:space="preserve"> EEC and Free Energy Savings Company Testimony, at 15.</w:t>
      </w:r>
    </w:p>
  </w:footnote>
  <w:footnote w:id="149">
    <w:p w14:paraId="5C72C442" w14:textId="77777777" w:rsidR="008959A4" w:rsidRDefault="008959A4" w:rsidP="008959A4">
      <w:pPr>
        <w:pStyle w:val="FootnoteText"/>
      </w:pPr>
      <w:r>
        <w:rPr>
          <w:rStyle w:val="FootnoteReference"/>
        </w:rPr>
        <w:footnoteRef/>
      </w:r>
      <w:r>
        <w:t xml:space="preserve"> Southwest Gas Reply Brief, at 15-16.</w:t>
      </w:r>
    </w:p>
  </w:footnote>
  <w:footnote w:id="150">
    <w:p w14:paraId="39DFED9F" w14:textId="77777777" w:rsidR="008959A4" w:rsidRDefault="008959A4" w:rsidP="008959A4">
      <w:pPr>
        <w:pStyle w:val="FootnoteText"/>
      </w:pPr>
      <w:r>
        <w:rPr>
          <w:rStyle w:val="FootnoteReference"/>
        </w:rPr>
        <w:footnoteRef/>
      </w:r>
      <w:r>
        <w:t xml:space="preserve"> </w:t>
      </w:r>
      <w:r w:rsidRPr="00BE5C2A">
        <w:rPr>
          <w:i/>
          <w:iCs/>
        </w:rPr>
        <w:t>See</w:t>
      </w:r>
      <w:r>
        <w:t xml:space="preserve"> D.20-03-027 approving two decarbonization pilot programs “designed to develop valuable market experience for the purpose of decarbonizing California’s residential buildings in order to achieve California’s zero-emission goals.”</w:t>
      </w:r>
    </w:p>
  </w:footnote>
  <w:footnote w:id="151">
    <w:p w14:paraId="5EABB7D7" w14:textId="77777777" w:rsidR="008959A4" w:rsidRDefault="008959A4" w:rsidP="008959A4">
      <w:pPr>
        <w:pStyle w:val="FootnoteText"/>
      </w:pPr>
      <w:r>
        <w:rPr>
          <w:rStyle w:val="FootnoteReference"/>
        </w:rPr>
        <w:footnoteRef/>
      </w:r>
      <w:r>
        <w:t xml:space="preserve"> </w:t>
      </w:r>
      <w:r w:rsidRPr="00C45048">
        <w:rPr>
          <w:i/>
          <w:iCs/>
        </w:rPr>
        <w:t>See</w:t>
      </w:r>
      <w:r>
        <w:t xml:space="preserve"> </w:t>
      </w:r>
      <w:r w:rsidRPr="008B4B6B">
        <w:t>D.18-12-015</w:t>
      </w:r>
      <w:r>
        <w:t xml:space="preserve"> for </w:t>
      </w:r>
      <w:r w:rsidRPr="00C44C93">
        <w:t>San Joaquin Valley Disadvantaged Communities Pilot Projects</w:t>
      </w:r>
      <w:r>
        <w:t xml:space="preserve">; </w:t>
      </w:r>
      <w:r w:rsidRPr="00BE5C2A">
        <w:rPr>
          <w:i/>
          <w:iCs/>
        </w:rPr>
        <w:t xml:space="preserve">See </w:t>
      </w:r>
      <w:r>
        <w:t>D.21</w:t>
      </w:r>
      <w:r>
        <w:noBreakHyphen/>
        <w:t>06-015 approving SCE’s electrification pilots.</w:t>
      </w:r>
    </w:p>
  </w:footnote>
  <w:footnote w:id="152">
    <w:p w14:paraId="7CB88D17" w14:textId="77777777" w:rsidR="008959A4" w:rsidRDefault="008959A4" w:rsidP="008959A4">
      <w:pPr>
        <w:pStyle w:val="FootnoteText"/>
      </w:pPr>
      <w:r>
        <w:rPr>
          <w:rStyle w:val="FootnoteReference"/>
        </w:rPr>
        <w:footnoteRef/>
      </w:r>
      <w:r>
        <w:t xml:space="preserve"> D.16-11-022 adopted a 60 percent “willingness and feasible to participate” or </w:t>
      </w:r>
      <w:r w:rsidRPr="00AC2B87">
        <w:t xml:space="preserve">WFTP factor </w:t>
      </w:r>
      <w:r>
        <w:t xml:space="preserve">in calculating </w:t>
      </w:r>
      <w:r w:rsidRPr="00AC2B87">
        <w:t>the remaining willing and eligible population</w:t>
      </w:r>
      <w:r>
        <w:t>.</w:t>
      </w:r>
    </w:p>
  </w:footnote>
  <w:footnote w:id="153">
    <w:p w14:paraId="4F09B154" w14:textId="77777777" w:rsidR="008959A4" w:rsidRDefault="008959A4" w:rsidP="008959A4">
      <w:pPr>
        <w:pStyle w:val="FootnoteText"/>
      </w:pPr>
      <w:r>
        <w:rPr>
          <w:rStyle w:val="FootnoteReference"/>
        </w:rPr>
        <w:footnoteRef/>
      </w:r>
      <w:r>
        <w:t xml:space="preserve"> Alpine Application, at 12.</w:t>
      </w:r>
    </w:p>
  </w:footnote>
  <w:footnote w:id="154">
    <w:p w14:paraId="41E4B4AA"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55">
    <w:p w14:paraId="7DF3ACBB"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56">
    <w:p w14:paraId="08366D03" w14:textId="77777777" w:rsidR="008959A4" w:rsidRDefault="008959A4" w:rsidP="008959A4">
      <w:pPr>
        <w:pStyle w:val="FootnoteText"/>
      </w:pPr>
      <w:r>
        <w:rPr>
          <w:rStyle w:val="FootnoteReference"/>
        </w:rPr>
        <w:footnoteRef/>
      </w:r>
      <w:r>
        <w:t xml:space="preserve"> </w:t>
      </w:r>
      <w:r w:rsidRPr="001436F0">
        <w:rPr>
          <w:i/>
          <w:iCs/>
        </w:rPr>
        <w:t>Ibid</w:t>
      </w:r>
      <w:r>
        <w:t>., at 12-13.</w:t>
      </w:r>
    </w:p>
  </w:footnote>
  <w:footnote w:id="157">
    <w:p w14:paraId="2B00AEEF" w14:textId="77777777" w:rsidR="008959A4" w:rsidRDefault="008959A4" w:rsidP="008959A4">
      <w:pPr>
        <w:pStyle w:val="FootnoteText"/>
      </w:pPr>
      <w:r>
        <w:rPr>
          <w:rStyle w:val="FootnoteReference"/>
        </w:rPr>
        <w:footnoteRef/>
      </w:r>
      <w:r>
        <w:t xml:space="preserve"> Bear Valley Application, at 6.</w:t>
      </w:r>
    </w:p>
  </w:footnote>
  <w:footnote w:id="158">
    <w:p w14:paraId="5443CC0F" w14:textId="77777777" w:rsidR="008959A4" w:rsidRDefault="008959A4" w:rsidP="008959A4">
      <w:pPr>
        <w:pStyle w:val="FootnoteText"/>
      </w:pPr>
      <w:r>
        <w:rPr>
          <w:rStyle w:val="FootnoteReference"/>
        </w:rPr>
        <w:footnoteRef/>
      </w:r>
      <w:r>
        <w:t xml:space="preserve"> </w:t>
      </w:r>
      <w:r w:rsidRPr="001436F0">
        <w:rPr>
          <w:i/>
          <w:iCs/>
        </w:rPr>
        <w:t>Ibid</w:t>
      </w:r>
      <w:r>
        <w:t>., at Attachment</w:t>
      </w:r>
      <w:r w:rsidRPr="00E046FE">
        <w:t xml:space="preserve"> Table A-2</w:t>
      </w:r>
      <w:r>
        <w:t>.</w:t>
      </w:r>
    </w:p>
  </w:footnote>
  <w:footnote w:id="159">
    <w:p w14:paraId="47F82EFE" w14:textId="77777777" w:rsidR="008959A4" w:rsidRDefault="008959A4" w:rsidP="008959A4">
      <w:pPr>
        <w:pStyle w:val="FootnoteText"/>
      </w:pPr>
      <w:r>
        <w:rPr>
          <w:rStyle w:val="FootnoteReference"/>
        </w:rPr>
        <w:footnoteRef/>
      </w:r>
      <w:r>
        <w:t xml:space="preserve"> Liberty Application, at 4.</w:t>
      </w:r>
    </w:p>
  </w:footnote>
  <w:footnote w:id="160">
    <w:p w14:paraId="172FB46C" w14:textId="77777777" w:rsidR="008959A4" w:rsidRDefault="008959A4" w:rsidP="008959A4">
      <w:pPr>
        <w:pStyle w:val="FootnoteText"/>
      </w:pPr>
      <w:r>
        <w:rPr>
          <w:rStyle w:val="FootnoteReference"/>
        </w:rPr>
        <w:footnoteRef/>
      </w:r>
      <w:r>
        <w:t xml:space="preserve"> </w:t>
      </w:r>
      <w:r w:rsidRPr="001436F0">
        <w:rPr>
          <w:i/>
          <w:iCs/>
        </w:rPr>
        <w:t>Ibid</w:t>
      </w:r>
      <w:r>
        <w:t>., at 5.</w:t>
      </w:r>
    </w:p>
  </w:footnote>
  <w:footnote w:id="161">
    <w:p w14:paraId="1C29472A" w14:textId="77777777" w:rsidR="008959A4" w:rsidRDefault="008959A4" w:rsidP="008959A4">
      <w:pPr>
        <w:pStyle w:val="FootnoteText"/>
      </w:pPr>
      <w:r>
        <w:rPr>
          <w:rStyle w:val="FootnoteReference"/>
        </w:rPr>
        <w:footnoteRef/>
      </w:r>
      <w:r>
        <w:t xml:space="preserve"> </w:t>
      </w:r>
      <w:r w:rsidRPr="001436F0">
        <w:rPr>
          <w:i/>
          <w:iCs/>
        </w:rPr>
        <w:t>Ibid</w:t>
      </w:r>
      <w:r>
        <w:t>., at 5-6.</w:t>
      </w:r>
    </w:p>
  </w:footnote>
  <w:footnote w:id="162">
    <w:p w14:paraId="769BC503" w14:textId="77777777" w:rsidR="008959A4" w:rsidRDefault="008959A4" w:rsidP="008959A4">
      <w:pPr>
        <w:pStyle w:val="FootnoteText"/>
      </w:pPr>
      <w:r>
        <w:rPr>
          <w:rStyle w:val="FootnoteReference"/>
        </w:rPr>
        <w:footnoteRef/>
      </w:r>
      <w:r>
        <w:t xml:space="preserve"> PacifiCorp Application, at Attachment A-1.</w:t>
      </w:r>
    </w:p>
  </w:footnote>
  <w:footnote w:id="163">
    <w:p w14:paraId="50E1EB1E" w14:textId="77777777" w:rsidR="008959A4" w:rsidRDefault="008959A4" w:rsidP="008959A4">
      <w:pPr>
        <w:pStyle w:val="FootnoteText"/>
      </w:pPr>
      <w:r>
        <w:rPr>
          <w:rStyle w:val="FootnoteReference"/>
        </w:rPr>
        <w:footnoteRef/>
      </w:r>
      <w:r>
        <w:t xml:space="preserve"> </w:t>
      </w:r>
      <w:r w:rsidRPr="001436F0">
        <w:rPr>
          <w:i/>
          <w:iCs/>
        </w:rPr>
        <w:t>Ibid</w:t>
      </w:r>
      <w:r>
        <w:t>., at 12-13.</w:t>
      </w:r>
    </w:p>
  </w:footnote>
  <w:footnote w:id="164">
    <w:p w14:paraId="0605AE73" w14:textId="77777777" w:rsidR="008959A4" w:rsidRDefault="008959A4" w:rsidP="008959A4">
      <w:pPr>
        <w:pStyle w:val="FootnoteText"/>
      </w:pPr>
      <w:r>
        <w:rPr>
          <w:rStyle w:val="FootnoteReference"/>
        </w:rPr>
        <w:footnoteRef/>
      </w:r>
      <w:r>
        <w:t xml:space="preserve"> Southwest Gas Application, at 15.</w:t>
      </w:r>
    </w:p>
  </w:footnote>
  <w:footnote w:id="165">
    <w:p w14:paraId="23022F5F"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66">
    <w:p w14:paraId="25E00ED4" w14:textId="77777777" w:rsidR="008959A4" w:rsidRDefault="008959A4" w:rsidP="008959A4">
      <w:pPr>
        <w:pStyle w:val="FootnoteText"/>
      </w:pPr>
      <w:r>
        <w:rPr>
          <w:rStyle w:val="FootnoteReference"/>
        </w:rPr>
        <w:footnoteRef/>
      </w:r>
      <w:r>
        <w:t xml:space="preserve"> </w:t>
      </w:r>
      <w:r w:rsidRPr="001436F0">
        <w:rPr>
          <w:i/>
          <w:iCs/>
        </w:rPr>
        <w:t>Ibid</w:t>
      </w:r>
      <w:r>
        <w:t>., at 14.</w:t>
      </w:r>
    </w:p>
  </w:footnote>
  <w:footnote w:id="167">
    <w:p w14:paraId="1FA5A127"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68">
    <w:p w14:paraId="3024093F" w14:textId="77777777" w:rsidR="008959A4" w:rsidRDefault="008959A4" w:rsidP="008959A4">
      <w:pPr>
        <w:pStyle w:val="FootnoteText"/>
      </w:pPr>
      <w:r>
        <w:rPr>
          <w:rStyle w:val="FootnoteReference"/>
        </w:rPr>
        <w:footnoteRef/>
      </w:r>
      <w:r>
        <w:t xml:space="preserve"> EEC &amp; Free Energy Testimony, at 8-9.</w:t>
      </w:r>
    </w:p>
  </w:footnote>
  <w:footnote w:id="169">
    <w:p w14:paraId="71837293" w14:textId="77777777" w:rsidR="008959A4" w:rsidRDefault="008959A4" w:rsidP="008959A4">
      <w:pPr>
        <w:pStyle w:val="FootnoteText"/>
      </w:pPr>
      <w:r>
        <w:rPr>
          <w:rStyle w:val="FootnoteReference"/>
        </w:rPr>
        <w:footnoteRef/>
      </w:r>
      <w:r>
        <w:t xml:space="preserve"> EEC &amp; Free Energy Opening Brief, at 15-16.</w:t>
      </w:r>
    </w:p>
  </w:footnote>
  <w:footnote w:id="170">
    <w:p w14:paraId="5ACF768C" w14:textId="77777777" w:rsidR="008959A4" w:rsidRDefault="008959A4" w:rsidP="008959A4">
      <w:pPr>
        <w:pStyle w:val="FootnoteText"/>
      </w:pPr>
      <w:r>
        <w:rPr>
          <w:rStyle w:val="FootnoteReference"/>
        </w:rPr>
        <w:footnoteRef/>
      </w:r>
      <w:r>
        <w:t xml:space="preserve"> </w:t>
      </w:r>
      <w:r w:rsidRPr="001436F0">
        <w:rPr>
          <w:i/>
          <w:iCs/>
        </w:rPr>
        <w:t>Ibid</w:t>
      </w:r>
      <w:r>
        <w:t>., at 17-18.</w:t>
      </w:r>
    </w:p>
  </w:footnote>
  <w:footnote w:id="171">
    <w:p w14:paraId="6403D085" w14:textId="77777777" w:rsidR="008959A4" w:rsidRDefault="008959A4" w:rsidP="008959A4">
      <w:pPr>
        <w:pStyle w:val="FootnoteText"/>
      </w:pPr>
      <w:r>
        <w:rPr>
          <w:rStyle w:val="FootnoteReference"/>
        </w:rPr>
        <w:footnoteRef/>
      </w:r>
      <w:r>
        <w:t xml:space="preserve"> D.19-11-005.</w:t>
      </w:r>
    </w:p>
  </w:footnote>
  <w:footnote w:id="172">
    <w:p w14:paraId="01635B3B" w14:textId="77777777" w:rsidR="008959A4" w:rsidRDefault="008959A4" w:rsidP="008959A4">
      <w:pPr>
        <w:pStyle w:val="FootnoteText"/>
      </w:pPr>
      <w:r>
        <w:rPr>
          <w:rStyle w:val="FootnoteReference"/>
        </w:rPr>
        <w:footnoteRef/>
      </w:r>
      <w:r>
        <w:t xml:space="preserve"> Joint SMJU Rebuttal Testimony, at 10-11.</w:t>
      </w:r>
    </w:p>
  </w:footnote>
  <w:footnote w:id="173">
    <w:p w14:paraId="5BAFA2E6" w14:textId="77777777" w:rsidR="008959A4" w:rsidRDefault="008959A4" w:rsidP="008959A4">
      <w:pPr>
        <w:pStyle w:val="FootnoteText"/>
      </w:pPr>
      <w:r>
        <w:rPr>
          <w:rStyle w:val="FootnoteReference"/>
        </w:rPr>
        <w:footnoteRef/>
      </w:r>
      <w:r>
        <w:t xml:space="preserve"> </w:t>
      </w:r>
      <w:r w:rsidRPr="001436F0">
        <w:rPr>
          <w:i/>
          <w:iCs/>
        </w:rPr>
        <w:t>Ibid</w:t>
      </w:r>
      <w:r>
        <w:t>.</w:t>
      </w:r>
    </w:p>
  </w:footnote>
  <w:footnote w:id="174">
    <w:p w14:paraId="7C0941CC" w14:textId="77777777" w:rsidR="008959A4" w:rsidRDefault="008959A4" w:rsidP="008959A4">
      <w:pPr>
        <w:pStyle w:val="FootnoteText"/>
      </w:pPr>
      <w:r>
        <w:rPr>
          <w:rStyle w:val="FootnoteReference"/>
        </w:rPr>
        <w:footnoteRef/>
      </w:r>
      <w:r>
        <w:t xml:space="preserve"> Joint SMJU Opening Brief, at 27.</w:t>
      </w:r>
    </w:p>
  </w:footnote>
  <w:footnote w:id="175">
    <w:p w14:paraId="0A2E182A" w14:textId="77777777" w:rsidR="008959A4" w:rsidRDefault="008959A4" w:rsidP="008959A4">
      <w:pPr>
        <w:pStyle w:val="FootnoteText"/>
      </w:pPr>
      <w:r>
        <w:rPr>
          <w:rStyle w:val="FootnoteReference"/>
        </w:rPr>
        <w:footnoteRef/>
      </w:r>
      <w:r>
        <w:t xml:space="preserve"> PacifiCorp Reply Brief, at 10-11.</w:t>
      </w:r>
    </w:p>
  </w:footnote>
  <w:footnote w:id="176">
    <w:p w14:paraId="2561A9D9" w14:textId="77777777" w:rsidR="008959A4" w:rsidRDefault="008959A4" w:rsidP="008959A4">
      <w:pPr>
        <w:pStyle w:val="FootnoteText"/>
      </w:pPr>
      <w:r>
        <w:rPr>
          <w:rStyle w:val="FootnoteReference"/>
        </w:rPr>
        <w:footnoteRef/>
      </w:r>
      <w:r>
        <w:t xml:space="preserve"> PacifiCorp Reply Brief, at 9-10.</w:t>
      </w:r>
    </w:p>
  </w:footnote>
  <w:footnote w:id="177">
    <w:p w14:paraId="2EBDB237" w14:textId="77777777" w:rsidR="008959A4" w:rsidRDefault="008959A4" w:rsidP="008959A4">
      <w:pPr>
        <w:pStyle w:val="FootnoteText"/>
      </w:pPr>
      <w:r>
        <w:rPr>
          <w:rStyle w:val="FootnoteReference"/>
        </w:rPr>
        <w:footnoteRef/>
      </w:r>
      <w:r>
        <w:t xml:space="preserve"> Joint SMJU Opening Brief, at 23.</w:t>
      </w:r>
    </w:p>
  </w:footnote>
  <w:footnote w:id="178">
    <w:p w14:paraId="3E6AAD4A" w14:textId="77777777" w:rsidR="008959A4" w:rsidRDefault="008959A4" w:rsidP="008959A4">
      <w:pPr>
        <w:pStyle w:val="FootnoteText"/>
      </w:pPr>
      <w:r>
        <w:rPr>
          <w:rStyle w:val="FootnoteReference"/>
        </w:rPr>
        <w:footnoteRef/>
      </w:r>
      <w:r>
        <w:t xml:space="preserve"> </w:t>
      </w:r>
      <w:r w:rsidRPr="001436F0">
        <w:rPr>
          <w:i/>
          <w:iCs/>
        </w:rPr>
        <w:t>Ibid</w:t>
      </w:r>
      <w:r>
        <w:t>., at 23-24.</w:t>
      </w:r>
    </w:p>
  </w:footnote>
  <w:footnote w:id="179">
    <w:p w14:paraId="1D86CA66" w14:textId="77777777" w:rsidR="008959A4" w:rsidRDefault="008959A4" w:rsidP="008959A4">
      <w:pPr>
        <w:pStyle w:val="FootnoteText"/>
      </w:pPr>
      <w:r>
        <w:rPr>
          <w:rStyle w:val="FootnoteReference"/>
        </w:rPr>
        <w:footnoteRef/>
      </w:r>
      <w:r>
        <w:t xml:space="preserve"> Southwest Gas Reply Brief, at 7-8.</w:t>
      </w:r>
    </w:p>
  </w:footnote>
  <w:footnote w:id="180">
    <w:p w14:paraId="570F6EB7" w14:textId="77777777" w:rsidR="008959A4" w:rsidRDefault="008959A4" w:rsidP="008959A4">
      <w:pPr>
        <w:pStyle w:val="FootnoteText"/>
      </w:pPr>
      <w:r>
        <w:rPr>
          <w:rStyle w:val="FootnoteReference"/>
        </w:rPr>
        <w:footnoteRef/>
      </w:r>
      <w:r>
        <w:t xml:space="preserve"> Bridge funding treatment goals from January 1 to June 30, 2021 were approved by the following advice letters.  The total 2021 goals represented in the table above are calculated by doubling those values:  Alpine 53-G; BVES 401-E; Liberty 134-E-A; PacifiCorp 598-E; SWG 1160</w:t>
      </w:r>
      <w:r>
        <w:noBreakHyphen/>
        <w:t>G-A.</w:t>
      </w:r>
    </w:p>
  </w:footnote>
  <w:footnote w:id="181">
    <w:p w14:paraId="06173D26" w14:textId="77777777" w:rsidR="008959A4" w:rsidRDefault="008959A4" w:rsidP="008959A4">
      <w:pPr>
        <w:pStyle w:val="FootnoteText"/>
      </w:pPr>
      <w:r>
        <w:rPr>
          <w:rStyle w:val="FootnoteReference"/>
        </w:rPr>
        <w:footnoteRef/>
      </w:r>
      <w:r>
        <w:t xml:space="preserve"> D.16-11-022 as modified by D.17-12-009, at Conclusions of Law 99. </w:t>
      </w:r>
    </w:p>
  </w:footnote>
  <w:footnote w:id="182">
    <w:p w14:paraId="4491860A" w14:textId="77777777" w:rsidR="008959A4" w:rsidRDefault="008959A4" w:rsidP="008959A4">
      <w:pPr>
        <w:pStyle w:val="FootnoteText"/>
      </w:pPr>
      <w:r w:rsidRPr="008E169B">
        <w:rPr>
          <w:rStyle w:val="FootnoteReference"/>
        </w:rPr>
        <w:footnoteRef/>
      </w:r>
      <w:r w:rsidRPr="008E169B">
        <w:t xml:space="preserve"> </w:t>
      </w:r>
      <w:r w:rsidRPr="00210F16">
        <w:rPr>
          <w:i/>
          <w:iCs/>
        </w:rPr>
        <w:t>See</w:t>
      </w:r>
      <w:r w:rsidRPr="008E169B">
        <w:t xml:space="preserve"> Section </w:t>
      </w:r>
      <w:r>
        <w:t>5.</w:t>
      </w:r>
      <w:r w:rsidRPr="008E169B">
        <w:t>6</w:t>
      </w:r>
      <w:r>
        <w:t>.1</w:t>
      </w:r>
      <w:r w:rsidRPr="006B2A3F">
        <w:t xml:space="preserve"> for discussion</w:t>
      </w:r>
      <w:r>
        <w:t xml:space="preserve"> on the renaming of resource and non-resource measures to energy saving and HCS measures. </w:t>
      </w:r>
    </w:p>
  </w:footnote>
  <w:footnote w:id="183">
    <w:p w14:paraId="1DD0000E" w14:textId="77777777" w:rsidR="008959A4" w:rsidRDefault="008959A4" w:rsidP="008959A4">
      <w:pPr>
        <w:pStyle w:val="FootnoteText"/>
      </w:pPr>
      <w:r>
        <w:rPr>
          <w:rStyle w:val="FootnoteReference"/>
        </w:rPr>
        <w:footnoteRef/>
      </w:r>
      <w:r>
        <w:t xml:space="preserve"> Alpine Application, at 16.</w:t>
      </w:r>
    </w:p>
  </w:footnote>
  <w:footnote w:id="184">
    <w:p w14:paraId="4F9EEB6E" w14:textId="77777777" w:rsidR="008959A4" w:rsidRDefault="008959A4" w:rsidP="008959A4">
      <w:pPr>
        <w:pStyle w:val="FootnoteText"/>
      </w:pPr>
      <w:r>
        <w:rPr>
          <w:rStyle w:val="FootnoteReference"/>
        </w:rPr>
        <w:footnoteRef/>
      </w:r>
      <w:r>
        <w:t xml:space="preserve"> </w:t>
      </w:r>
      <w:r w:rsidRPr="001436F0">
        <w:rPr>
          <w:i/>
          <w:iCs/>
        </w:rPr>
        <w:t>Ibid</w:t>
      </w:r>
      <w:r>
        <w:t>., at 19.</w:t>
      </w:r>
    </w:p>
  </w:footnote>
  <w:footnote w:id="185">
    <w:p w14:paraId="1EBACCB4" w14:textId="77777777" w:rsidR="008959A4" w:rsidRDefault="008959A4" w:rsidP="008959A4">
      <w:pPr>
        <w:pStyle w:val="FootnoteText"/>
      </w:pPr>
      <w:r>
        <w:rPr>
          <w:rStyle w:val="FootnoteReference"/>
        </w:rPr>
        <w:footnoteRef/>
      </w:r>
      <w:r>
        <w:t xml:space="preserve"> Liberty Application, at 16-18.</w:t>
      </w:r>
    </w:p>
  </w:footnote>
  <w:footnote w:id="186">
    <w:p w14:paraId="7F4BE4E3" w14:textId="77777777" w:rsidR="008959A4" w:rsidRDefault="008959A4" w:rsidP="008959A4">
      <w:pPr>
        <w:pStyle w:val="FootnoteText"/>
      </w:pPr>
      <w:r>
        <w:rPr>
          <w:rStyle w:val="FootnoteReference"/>
        </w:rPr>
        <w:footnoteRef/>
      </w:r>
      <w:r>
        <w:t xml:space="preserve"> PacifiCorp Application, at 25.</w:t>
      </w:r>
    </w:p>
  </w:footnote>
  <w:footnote w:id="187">
    <w:p w14:paraId="1D98CDF4" w14:textId="77777777" w:rsidR="008959A4" w:rsidRDefault="008959A4" w:rsidP="008959A4">
      <w:pPr>
        <w:pStyle w:val="FootnoteText"/>
      </w:pPr>
      <w:r>
        <w:rPr>
          <w:rStyle w:val="FootnoteReference"/>
        </w:rPr>
        <w:footnoteRef/>
      </w:r>
      <w:r>
        <w:t xml:space="preserve"> Southwest Gas Application, at 25-26.</w:t>
      </w:r>
    </w:p>
  </w:footnote>
  <w:footnote w:id="188">
    <w:p w14:paraId="0A21DC4A" w14:textId="77777777" w:rsidR="008959A4" w:rsidRDefault="008959A4" w:rsidP="008959A4">
      <w:pPr>
        <w:pStyle w:val="FootnoteText"/>
      </w:pPr>
      <w:r>
        <w:rPr>
          <w:rStyle w:val="FootnoteReference"/>
        </w:rPr>
        <w:footnoteRef/>
      </w:r>
      <w:r>
        <w:t xml:space="preserve"> EEC and Free Energy Savings Company Rebuttal Testimony, at 3-4.</w:t>
      </w:r>
    </w:p>
  </w:footnote>
  <w:footnote w:id="189">
    <w:p w14:paraId="500CC3C5" w14:textId="77777777" w:rsidR="008959A4" w:rsidRDefault="008959A4" w:rsidP="008959A4">
      <w:pPr>
        <w:pStyle w:val="FootnoteText"/>
      </w:pPr>
      <w:r>
        <w:rPr>
          <w:rStyle w:val="FootnoteReference"/>
        </w:rPr>
        <w:footnoteRef/>
      </w:r>
      <w:r>
        <w:t xml:space="preserve"> EEC and Free Energy Rebuttal Testimony, at 4-5.</w:t>
      </w:r>
    </w:p>
  </w:footnote>
  <w:footnote w:id="190">
    <w:p w14:paraId="14BF41F3" w14:textId="77777777" w:rsidR="008959A4" w:rsidRDefault="008959A4" w:rsidP="008959A4">
      <w:pPr>
        <w:pStyle w:val="FootnoteText"/>
      </w:pPr>
      <w:r>
        <w:rPr>
          <w:rStyle w:val="FootnoteReference"/>
        </w:rPr>
        <w:footnoteRef/>
      </w:r>
      <w:r>
        <w:t xml:space="preserve"> Joint SMJU Opening Brief, at 16.</w:t>
      </w:r>
    </w:p>
  </w:footnote>
  <w:footnote w:id="191">
    <w:p w14:paraId="0851B18A" w14:textId="77777777" w:rsidR="008959A4" w:rsidRDefault="008959A4" w:rsidP="008959A4">
      <w:pPr>
        <w:pStyle w:val="FootnoteText"/>
      </w:pPr>
      <w:r>
        <w:rPr>
          <w:rStyle w:val="FootnoteReference"/>
        </w:rPr>
        <w:footnoteRef/>
      </w:r>
      <w:r>
        <w:t xml:space="preserve"> </w:t>
      </w:r>
      <w:r w:rsidRPr="001436F0">
        <w:rPr>
          <w:i/>
          <w:iCs/>
        </w:rPr>
        <w:t>Ibid</w:t>
      </w:r>
      <w:r>
        <w:t>., at 16-17.</w:t>
      </w:r>
    </w:p>
  </w:footnote>
  <w:footnote w:id="192">
    <w:p w14:paraId="4114BFB1" w14:textId="77777777" w:rsidR="008959A4" w:rsidRDefault="008959A4" w:rsidP="008959A4">
      <w:pPr>
        <w:pStyle w:val="FootnoteText"/>
      </w:pPr>
      <w:r>
        <w:rPr>
          <w:rStyle w:val="FootnoteReference"/>
        </w:rPr>
        <w:footnoteRef/>
      </w:r>
      <w:r>
        <w:t xml:space="preserve"> Joint SMJU Rebuttal Testimony, at 5-6.</w:t>
      </w:r>
    </w:p>
  </w:footnote>
  <w:footnote w:id="193">
    <w:p w14:paraId="540ACADB" w14:textId="77777777" w:rsidR="008959A4" w:rsidRDefault="008959A4" w:rsidP="008959A4">
      <w:pPr>
        <w:pStyle w:val="FootnoteText"/>
      </w:pPr>
      <w:r>
        <w:rPr>
          <w:rStyle w:val="FootnoteReference"/>
        </w:rPr>
        <w:footnoteRef/>
      </w:r>
      <w:r>
        <w:t xml:space="preserve"> Joint SMJU Opening Brief, at 16-17.</w:t>
      </w:r>
    </w:p>
  </w:footnote>
  <w:footnote w:id="194">
    <w:p w14:paraId="3D15206E" w14:textId="77777777" w:rsidR="008959A4" w:rsidRDefault="008959A4" w:rsidP="008959A4">
      <w:pPr>
        <w:pStyle w:val="FootnoteText"/>
      </w:pPr>
      <w:r>
        <w:rPr>
          <w:rStyle w:val="FootnoteReference"/>
        </w:rPr>
        <w:footnoteRef/>
      </w:r>
      <w:r>
        <w:t xml:space="preserve"> D.21-06-021, at 248.</w:t>
      </w:r>
    </w:p>
  </w:footnote>
  <w:footnote w:id="195">
    <w:p w14:paraId="6E89F2E0" w14:textId="77777777" w:rsidR="008959A4" w:rsidRDefault="008959A4" w:rsidP="008959A4">
      <w:pPr>
        <w:pStyle w:val="FootnoteText"/>
      </w:pPr>
      <w:r>
        <w:rPr>
          <w:rStyle w:val="FootnoteReference"/>
        </w:rPr>
        <w:footnoteRef/>
      </w:r>
      <w:r>
        <w:t xml:space="preserve"> Alpine Application, at 14.</w:t>
      </w:r>
    </w:p>
  </w:footnote>
  <w:footnote w:id="196">
    <w:p w14:paraId="3D377030" w14:textId="77777777" w:rsidR="008959A4" w:rsidRDefault="008959A4" w:rsidP="008959A4">
      <w:pPr>
        <w:pStyle w:val="FootnoteText"/>
      </w:pPr>
      <w:r>
        <w:rPr>
          <w:rStyle w:val="FootnoteReference"/>
        </w:rPr>
        <w:footnoteRef/>
      </w:r>
      <w:r>
        <w:t xml:space="preserve"> </w:t>
      </w:r>
      <w:r w:rsidRPr="001436F0">
        <w:rPr>
          <w:i/>
          <w:iCs/>
        </w:rPr>
        <w:t>Ibid</w:t>
      </w:r>
      <w:r>
        <w:t>., at 14-15.</w:t>
      </w:r>
    </w:p>
  </w:footnote>
  <w:footnote w:id="197">
    <w:p w14:paraId="12D7C22C" w14:textId="77777777" w:rsidR="008959A4" w:rsidRDefault="008959A4" w:rsidP="008959A4">
      <w:pPr>
        <w:pStyle w:val="FootnoteText"/>
      </w:pPr>
      <w:r>
        <w:rPr>
          <w:rStyle w:val="FootnoteReference"/>
        </w:rPr>
        <w:footnoteRef/>
      </w:r>
      <w:r>
        <w:t xml:space="preserve"> </w:t>
      </w:r>
      <w:r w:rsidRPr="001436F0">
        <w:rPr>
          <w:i/>
          <w:iCs/>
        </w:rPr>
        <w:t>Ibid</w:t>
      </w:r>
      <w:r>
        <w:t>., at 16.</w:t>
      </w:r>
    </w:p>
  </w:footnote>
  <w:footnote w:id="198">
    <w:p w14:paraId="7A40D890" w14:textId="77777777" w:rsidR="008959A4" w:rsidRDefault="008959A4" w:rsidP="008959A4">
      <w:pPr>
        <w:pStyle w:val="FootnoteText"/>
      </w:pPr>
      <w:r>
        <w:rPr>
          <w:rStyle w:val="FootnoteReference"/>
        </w:rPr>
        <w:footnoteRef/>
      </w:r>
      <w:r>
        <w:t xml:space="preserve"> Bear Valley Application, at 9.</w:t>
      </w:r>
    </w:p>
  </w:footnote>
  <w:footnote w:id="199">
    <w:p w14:paraId="24C11090" w14:textId="77777777" w:rsidR="008959A4" w:rsidRDefault="008959A4" w:rsidP="008959A4">
      <w:pPr>
        <w:pStyle w:val="FootnoteText"/>
      </w:pPr>
      <w:r>
        <w:rPr>
          <w:rStyle w:val="FootnoteReference"/>
        </w:rPr>
        <w:footnoteRef/>
      </w:r>
      <w:r>
        <w:t xml:space="preserve"> Liberty Application, at 11-12.</w:t>
      </w:r>
    </w:p>
  </w:footnote>
  <w:footnote w:id="200">
    <w:p w14:paraId="1DA52EB8" w14:textId="77777777" w:rsidR="008959A4" w:rsidRDefault="008959A4" w:rsidP="008959A4">
      <w:pPr>
        <w:pStyle w:val="FootnoteText"/>
      </w:pPr>
      <w:r>
        <w:rPr>
          <w:rStyle w:val="FootnoteReference"/>
        </w:rPr>
        <w:footnoteRef/>
      </w:r>
      <w:r>
        <w:t xml:space="preserve"> </w:t>
      </w:r>
      <w:r w:rsidRPr="001436F0">
        <w:rPr>
          <w:i/>
          <w:iCs/>
        </w:rPr>
        <w:t>Ibid</w:t>
      </w:r>
      <w:r>
        <w:t>., at 5.</w:t>
      </w:r>
    </w:p>
  </w:footnote>
  <w:footnote w:id="201">
    <w:p w14:paraId="64FE0A7B" w14:textId="77777777" w:rsidR="008959A4" w:rsidRDefault="008959A4" w:rsidP="008959A4">
      <w:pPr>
        <w:pStyle w:val="FootnoteText"/>
      </w:pPr>
      <w:r>
        <w:rPr>
          <w:rStyle w:val="FootnoteReference"/>
        </w:rPr>
        <w:footnoteRef/>
      </w:r>
      <w:r>
        <w:t xml:space="preserve"> PacifiCorp Application, at 19-21.</w:t>
      </w:r>
    </w:p>
  </w:footnote>
  <w:footnote w:id="202">
    <w:p w14:paraId="00E4EF06" w14:textId="77777777" w:rsidR="008959A4" w:rsidRDefault="008959A4" w:rsidP="008959A4">
      <w:pPr>
        <w:pStyle w:val="FootnoteText"/>
      </w:pPr>
      <w:r>
        <w:rPr>
          <w:rStyle w:val="FootnoteReference"/>
        </w:rPr>
        <w:footnoteRef/>
      </w:r>
      <w:r>
        <w:t xml:space="preserve"> </w:t>
      </w:r>
      <w:r w:rsidRPr="001436F0">
        <w:rPr>
          <w:i/>
          <w:iCs/>
        </w:rPr>
        <w:t>Ibid</w:t>
      </w:r>
      <w:r>
        <w:t>., at 8-10.</w:t>
      </w:r>
    </w:p>
  </w:footnote>
  <w:footnote w:id="203">
    <w:p w14:paraId="69B26097" w14:textId="77777777" w:rsidR="008959A4" w:rsidRDefault="008959A4" w:rsidP="008959A4">
      <w:pPr>
        <w:pStyle w:val="FootnoteText"/>
      </w:pPr>
      <w:r>
        <w:rPr>
          <w:rStyle w:val="FootnoteReference"/>
        </w:rPr>
        <w:footnoteRef/>
      </w:r>
      <w:r>
        <w:t xml:space="preserve"> </w:t>
      </w:r>
      <w:r w:rsidRPr="001436F0">
        <w:rPr>
          <w:i/>
          <w:iCs/>
        </w:rPr>
        <w:t>Ibid</w:t>
      </w:r>
      <w:r>
        <w:t>., at 12.</w:t>
      </w:r>
    </w:p>
  </w:footnote>
  <w:footnote w:id="204">
    <w:p w14:paraId="7B306F86" w14:textId="77777777" w:rsidR="008959A4" w:rsidRDefault="008959A4" w:rsidP="008959A4">
      <w:pPr>
        <w:pStyle w:val="FootnoteText"/>
      </w:pPr>
      <w:r>
        <w:rPr>
          <w:rStyle w:val="FootnoteReference"/>
        </w:rPr>
        <w:footnoteRef/>
      </w:r>
      <w:r>
        <w:t xml:space="preserve"> </w:t>
      </w:r>
      <w:r w:rsidRPr="001436F0">
        <w:rPr>
          <w:i/>
          <w:iCs/>
        </w:rPr>
        <w:t>Ibid</w:t>
      </w:r>
      <w:r>
        <w:t>., at 21-23.</w:t>
      </w:r>
    </w:p>
  </w:footnote>
  <w:footnote w:id="205">
    <w:p w14:paraId="0C3357DA" w14:textId="77777777" w:rsidR="008959A4" w:rsidRDefault="008959A4" w:rsidP="008959A4">
      <w:pPr>
        <w:pStyle w:val="FootnoteText"/>
      </w:pPr>
      <w:r>
        <w:rPr>
          <w:rStyle w:val="FootnoteReference"/>
        </w:rPr>
        <w:footnoteRef/>
      </w:r>
      <w:r>
        <w:t xml:space="preserve"> </w:t>
      </w:r>
      <w:r w:rsidRPr="001436F0">
        <w:rPr>
          <w:i/>
          <w:iCs/>
        </w:rPr>
        <w:t>Ibid</w:t>
      </w:r>
      <w:r>
        <w:t>., at 24.</w:t>
      </w:r>
    </w:p>
  </w:footnote>
  <w:footnote w:id="206">
    <w:p w14:paraId="28BDF687" w14:textId="77777777" w:rsidR="008959A4" w:rsidRDefault="008959A4" w:rsidP="008959A4">
      <w:pPr>
        <w:pStyle w:val="FootnoteText"/>
      </w:pPr>
      <w:r>
        <w:rPr>
          <w:rStyle w:val="FootnoteReference"/>
        </w:rPr>
        <w:footnoteRef/>
      </w:r>
      <w:r>
        <w:t xml:space="preserve"> Southwest Gas Application, at 18. </w:t>
      </w:r>
    </w:p>
  </w:footnote>
  <w:footnote w:id="207">
    <w:p w14:paraId="1AA75297" w14:textId="77777777" w:rsidR="008959A4" w:rsidRDefault="008959A4" w:rsidP="008959A4">
      <w:pPr>
        <w:pStyle w:val="FootnoteText"/>
      </w:pPr>
      <w:r>
        <w:rPr>
          <w:rStyle w:val="FootnoteReference"/>
        </w:rPr>
        <w:footnoteRef/>
      </w:r>
      <w:r>
        <w:t xml:space="preserve"> </w:t>
      </w:r>
      <w:r w:rsidRPr="001436F0">
        <w:rPr>
          <w:i/>
          <w:iCs/>
        </w:rPr>
        <w:t>Ibid</w:t>
      </w:r>
      <w:r>
        <w:t>., at 21.</w:t>
      </w:r>
    </w:p>
  </w:footnote>
  <w:footnote w:id="208">
    <w:p w14:paraId="20183184" w14:textId="77777777" w:rsidR="008959A4" w:rsidRDefault="008959A4" w:rsidP="008959A4">
      <w:pPr>
        <w:pStyle w:val="FootnoteText"/>
      </w:pPr>
      <w:r>
        <w:rPr>
          <w:rStyle w:val="FootnoteReference"/>
        </w:rPr>
        <w:footnoteRef/>
      </w:r>
      <w:r>
        <w:t xml:space="preserve"> </w:t>
      </w:r>
      <w:r w:rsidRPr="00813134">
        <w:t>The PRIZM Premier system classifies U.S. households based on lifestyle types by integrating demographics, consumer behavior and geographic data.</w:t>
      </w:r>
    </w:p>
  </w:footnote>
  <w:footnote w:id="209">
    <w:p w14:paraId="5B305371" w14:textId="77777777" w:rsidR="008959A4" w:rsidRDefault="008959A4" w:rsidP="008959A4">
      <w:pPr>
        <w:pStyle w:val="FootnoteText"/>
      </w:pPr>
      <w:r>
        <w:rPr>
          <w:rStyle w:val="FootnoteReference"/>
        </w:rPr>
        <w:footnoteRef/>
      </w:r>
      <w:r>
        <w:t xml:space="preserve"> Southwest Gas Application, at 18-20.</w:t>
      </w:r>
    </w:p>
  </w:footnote>
  <w:footnote w:id="210">
    <w:p w14:paraId="67FE029F" w14:textId="77777777" w:rsidR="008959A4" w:rsidRDefault="008959A4" w:rsidP="008959A4">
      <w:pPr>
        <w:pStyle w:val="FootnoteText"/>
      </w:pPr>
      <w:r>
        <w:rPr>
          <w:rStyle w:val="FootnoteReference"/>
        </w:rPr>
        <w:footnoteRef/>
      </w:r>
      <w:r>
        <w:t xml:space="preserve"> </w:t>
      </w:r>
      <w:r w:rsidRPr="00601C93">
        <w:t>Southwest Gas</w:t>
      </w:r>
      <w:r>
        <w:t xml:space="preserve">’ </w:t>
      </w:r>
      <w:r w:rsidRPr="00601C93">
        <w:t>Energy Share Program offers direct utility assistance to qualified customers with</w:t>
      </w:r>
      <w:r>
        <w:t xml:space="preserve"> </w:t>
      </w:r>
      <w:r w:rsidRPr="00601C93">
        <w:t>unexpected financial difficulties. The Energy Share Program is funded by Southwest Gas customers who</w:t>
      </w:r>
      <w:r>
        <w:t xml:space="preserve"> </w:t>
      </w:r>
      <w:r w:rsidRPr="00601C93">
        <w:t>designate a donation amount via their monthly gas bill</w:t>
      </w:r>
      <w:r>
        <w:t>.</w:t>
      </w:r>
    </w:p>
  </w:footnote>
  <w:footnote w:id="211">
    <w:p w14:paraId="16B76F2C" w14:textId="77777777" w:rsidR="008959A4" w:rsidRDefault="008959A4" w:rsidP="008959A4">
      <w:pPr>
        <w:pStyle w:val="FootnoteText"/>
      </w:pPr>
      <w:r>
        <w:rPr>
          <w:rStyle w:val="FootnoteReference"/>
        </w:rPr>
        <w:footnoteRef/>
      </w:r>
      <w:r>
        <w:t xml:space="preserve"> Southwest Gas Application, at 21.</w:t>
      </w:r>
    </w:p>
  </w:footnote>
  <w:footnote w:id="212">
    <w:p w14:paraId="1630A38F" w14:textId="77777777" w:rsidR="008959A4" w:rsidRDefault="008959A4" w:rsidP="008959A4">
      <w:pPr>
        <w:pStyle w:val="FootnoteText"/>
      </w:pPr>
      <w:r>
        <w:rPr>
          <w:rStyle w:val="FootnoteReference"/>
        </w:rPr>
        <w:footnoteRef/>
      </w:r>
      <w:r>
        <w:t xml:space="preserve"> PacifiCorp Application, at 21.</w:t>
      </w:r>
    </w:p>
  </w:footnote>
  <w:footnote w:id="213">
    <w:p w14:paraId="62FF5DBE" w14:textId="77777777" w:rsidR="008959A4" w:rsidRDefault="008959A4" w:rsidP="008959A4">
      <w:pPr>
        <w:pStyle w:val="FootnoteText"/>
      </w:pPr>
      <w:r>
        <w:rPr>
          <w:rStyle w:val="FootnoteReference"/>
        </w:rPr>
        <w:footnoteRef/>
      </w:r>
      <w:r>
        <w:t xml:space="preserve"> D.19-11-005.</w:t>
      </w:r>
    </w:p>
  </w:footnote>
  <w:footnote w:id="214">
    <w:p w14:paraId="79BC3616" w14:textId="77777777" w:rsidR="008959A4" w:rsidRDefault="008959A4" w:rsidP="008959A4">
      <w:pPr>
        <w:pStyle w:val="FootnoteText"/>
      </w:pPr>
      <w:r>
        <w:rPr>
          <w:rStyle w:val="FootnoteReference"/>
        </w:rPr>
        <w:footnoteRef/>
      </w:r>
      <w:r>
        <w:t xml:space="preserve"> EEC and Free Energy Testimony, at 33-34.</w:t>
      </w:r>
    </w:p>
  </w:footnote>
  <w:footnote w:id="215">
    <w:p w14:paraId="4473D1B1" w14:textId="77777777" w:rsidR="008959A4" w:rsidRDefault="008959A4" w:rsidP="008959A4">
      <w:pPr>
        <w:pStyle w:val="FootnoteText"/>
      </w:pPr>
      <w:r>
        <w:rPr>
          <w:rStyle w:val="FootnoteReference"/>
        </w:rPr>
        <w:footnoteRef/>
      </w:r>
      <w:r>
        <w:t xml:space="preserve"> </w:t>
      </w:r>
      <w:r w:rsidRPr="001436F0">
        <w:rPr>
          <w:i/>
          <w:iCs/>
        </w:rPr>
        <w:t>Ibid</w:t>
      </w:r>
      <w:r>
        <w:t>., at 22-23.</w:t>
      </w:r>
    </w:p>
  </w:footnote>
  <w:footnote w:id="216">
    <w:p w14:paraId="2A405C21" w14:textId="77777777" w:rsidR="008959A4" w:rsidRDefault="008959A4" w:rsidP="008959A4">
      <w:pPr>
        <w:pStyle w:val="FootnoteText"/>
      </w:pPr>
      <w:r>
        <w:rPr>
          <w:rStyle w:val="FootnoteReference"/>
        </w:rPr>
        <w:footnoteRef/>
      </w:r>
      <w:r>
        <w:t xml:space="preserve"> </w:t>
      </w:r>
      <w:r w:rsidRPr="00417A83">
        <w:t xml:space="preserve">The SMJUs’ </w:t>
      </w:r>
      <w:r>
        <w:t xml:space="preserve">PY 2017 </w:t>
      </w:r>
      <w:r w:rsidRPr="00417A83">
        <w:t xml:space="preserve">ESA and CARE program </w:t>
      </w:r>
      <w:r>
        <w:t>budgets were based on</w:t>
      </w:r>
      <w:r w:rsidRPr="00417A83">
        <w:t xml:space="preserve"> month-to-month bridge funding </w:t>
      </w:r>
      <w:r>
        <w:t>as</w:t>
      </w:r>
      <w:r w:rsidRPr="00417A83">
        <w:t xml:space="preserve"> approved in</w:t>
      </w:r>
      <w:r>
        <w:t xml:space="preserve"> </w:t>
      </w:r>
      <w:r w:rsidRPr="00417A83">
        <w:t>D.14-11-005</w:t>
      </w:r>
      <w:r>
        <w:t xml:space="preserve">. </w:t>
      </w:r>
    </w:p>
  </w:footnote>
  <w:footnote w:id="217">
    <w:p w14:paraId="021B15E4" w14:textId="77777777" w:rsidR="008959A4" w:rsidRDefault="008959A4" w:rsidP="008959A4">
      <w:pPr>
        <w:pStyle w:val="FootnoteText"/>
      </w:pPr>
      <w:r>
        <w:rPr>
          <w:rStyle w:val="FootnoteReference"/>
        </w:rPr>
        <w:footnoteRef/>
      </w:r>
      <w:r>
        <w:t xml:space="preserve"> Alpine Application, at 13.</w:t>
      </w:r>
    </w:p>
  </w:footnote>
  <w:footnote w:id="218">
    <w:p w14:paraId="64236C45" w14:textId="77777777" w:rsidR="008959A4" w:rsidRDefault="008959A4" w:rsidP="008959A4">
      <w:pPr>
        <w:pStyle w:val="FootnoteText"/>
      </w:pPr>
      <w:r>
        <w:rPr>
          <w:rStyle w:val="FootnoteReference"/>
        </w:rPr>
        <w:footnoteRef/>
      </w:r>
      <w:r>
        <w:t xml:space="preserve"> Alpine Application, at 13-14.</w:t>
      </w:r>
    </w:p>
  </w:footnote>
  <w:footnote w:id="219">
    <w:p w14:paraId="3DFD85DC" w14:textId="77777777" w:rsidR="008959A4" w:rsidRDefault="008959A4" w:rsidP="008959A4">
      <w:pPr>
        <w:pStyle w:val="FootnoteText"/>
      </w:pPr>
      <w:r>
        <w:rPr>
          <w:rStyle w:val="FootnoteReference"/>
        </w:rPr>
        <w:footnoteRef/>
      </w:r>
      <w:r>
        <w:t xml:space="preserve"> Bear Valley Application, at Appendix A-1.</w:t>
      </w:r>
    </w:p>
  </w:footnote>
  <w:footnote w:id="220">
    <w:p w14:paraId="42051DE4" w14:textId="77777777" w:rsidR="008959A4" w:rsidRDefault="008959A4" w:rsidP="008959A4">
      <w:pPr>
        <w:pStyle w:val="FootnoteText"/>
      </w:pPr>
      <w:r>
        <w:rPr>
          <w:rStyle w:val="FootnoteReference"/>
        </w:rPr>
        <w:footnoteRef/>
      </w:r>
      <w:r>
        <w:t xml:space="preserve"> Liberty Application, at 8-9.</w:t>
      </w:r>
    </w:p>
  </w:footnote>
  <w:footnote w:id="221">
    <w:p w14:paraId="59588CEB" w14:textId="77777777" w:rsidR="008959A4" w:rsidRDefault="008959A4" w:rsidP="008959A4">
      <w:pPr>
        <w:pStyle w:val="FootnoteText"/>
      </w:pPr>
      <w:r>
        <w:rPr>
          <w:rStyle w:val="FootnoteReference"/>
        </w:rPr>
        <w:footnoteRef/>
      </w:r>
      <w:r>
        <w:t xml:space="preserve"> </w:t>
      </w:r>
      <w:r w:rsidRPr="001436F0">
        <w:rPr>
          <w:i/>
          <w:iCs/>
        </w:rPr>
        <w:t>Ibid</w:t>
      </w:r>
      <w:r>
        <w:t>., at 4.</w:t>
      </w:r>
    </w:p>
  </w:footnote>
  <w:footnote w:id="222">
    <w:p w14:paraId="3522EC16" w14:textId="77777777" w:rsidR="008959A4" w:rsidRDefault="008959A4" w:rsidP="008959A4">
      <w:pPr>
        <w:pStyle w:val="FootnoteText"/>
      </w:pPr>
      <w:r>
        <w:rPr>
          <w:rStyle w:val="FootnoteReference"/>
        </w:rPr>
        <w:footnoteRef/>
      </w:r>
      <w:r>
        <w:t xml:space="preserve"> PacifiCorp Application, at Attachment A-1, and Table A-1.</w:t>
      </w:r>
    </w:p>
  </w:footnote>
  <w:footnote w:id="223">
    <w:p w14:paraId="17C7E43B" w14:textId="77777777" w:rsidR="008959A4" w:rsidRDefault="008959A4" w:rsidP="008959A4">
      <w:pPr>
        <w:pStyle w:val="FootnoteText"/>
      </w:pPr>
      <w:r>
        <w:rPr>
          <w:rStyle w:val="FootnoteReference"/>
        </w:rPr>
        <w:footnoteRef/>
      </w:r>
      <w:r>
        <w:t xml:space="preserve"> Southwest Gas Application, at 16.</w:t>
      </w:r>
    </w:p>
  </w:footnote>
  <w:footnote w:id="224">
    <w:p w14:paraId="6A8B75E9" w14:textId="77777777" w:rsidR="008959A4" w:rsidRDefault="008959A4" w:rsidP="008959A4">
      <w:pPr>
        <w:pStyle w:val="FootnoteText"/>
      </w:pPr>
      <w:r>
        <w:rPr>
          <w:rStyle w:val="FootnoteReference"/>
        </w:rPr>
        <w:footnoteRef/>
      </w:r>
      <w:r>
        <w:t xml:space="preserve"> Cal Advocates Testimony, at I-6-I-8.</w:t>
      </w:r>
    </w:p>
  </w:footnote>
  <w:footnote w:id="225">
    <w:p w14:paraId="03375A9E" w14:textId="77777777" w:rsidR="008959A4" w:rsidRDefault="008959A4" w:rsidP="008959A4">
      <w:pPr>
        <w:pStyle w:val="FootnoteText"/>
      </w:pPr>
      <w:r>
        <w:rPr>
          <w:rStyle w:val="FootnoteReference"/>
        </w:rPr>
        <w:footnoteRef/>
      </w:r>
      <w:r>
        <w:t xml:space="preserve"> EEC and Free Energy Testimony, at 9.</w:t>
      </w:r>
    </w:p>
  </w:footnote>
  <w:footnote w:id="226">
    <w:p w14:paraId="7D9C133F" w14:textId="77777777" w:rsidR="008959A4" w:rsidRDefault="008959A4" w:rsidP="008959A4">
      <w:pPr>
        <w:pStyle w:val="FootnoteText"/>
      </w:pPr>
      <w:r>
        <w:rPr>
          <w:rStyle w:val="FootnoteReference"/>
        </w:rPr>
        <w:footnoteRef/>
      </w:r>
      <w:r>
        <w:t xml:space="preserve"> EEC and Free Energy Opening Brief, at 13-17.</w:t>
      </w:r>
    </w:p>
  </w:footnote>
  <w:footnote w:id="227">
    <w:p w14:paraId="679B4C67" w14:textId="77777777" w:rsidR="008959A4" w:rsidRDefault="008959A4" w:rsidP="008959A4">
      <w:pPr>
        <w:pStyle w:val="FootnoteText"/>
      </w:pPr>
      <w:r>
        <w:rPr>
          <w:rStyle w:val="FootnoteReference"/>
        </w:rPr>
        <w:footnoteRef/>
      </w:r>
      <w:r>
        <w:t xml:space="preserve"> EEC and Free Energy Testimony, at 23.</w:t>
      </w:r>
    </w:p>
  </w:footnote>
  <w:footnote w:id="228">
    <w:p w14:paraId="4BCEE734" w14:textId="77777777" w:rsidR="008959A4" w:rsidRDefault="008959A4" w:rsidP="008959A4">
      <w:pPr>
        <w:pStyle w:val="FootnoteText"/>
      </w:pPr>
      <w:r>
        <w:rPr>
          <w:rStyle w:val="FootnoteReference"/>
        </w:rPr>
        <w:footnoteRef/>
      </w:r>
      <w:r>
        <w:t xml:space="preserve"> </w:t>
      </w:r>
      <w:r w:rsidRPr="001436F0">
        <w:rPr>
          <w:i/>
          <w:iCs/>
        </w:rPr>
        <w:t>Ibid</w:t>
      </w:r>
      <w:r>
        <w:t>., at 26-27.</w:t>
      </w:r>
    </w:p>
  </w:footnote>
  <w:footnote w:id="229">
    <w:p w14:paraId="5B88A349" w14:textId="77777777" w:rsidR="008959A4" w:rsidRDefault="008959A4" w:rsidP="008959A4">
      <w:pPr>
        <w:pStyle w:val="FootnoteText"/>
      </w:pPr>
      <w:r>
        <w:rPr>
          <w:rStyle w:val="FootnoteReference"/>
        </w:rPr>
        <w:footnoteRef/>
      </w:r>
      <w:r>
        <w:t xml:space="preserve"> Joint SMJU Rebuttal Testimony, at 10-11.</w:t>
      </w:r>
    </w:p>
  </w:footnote>
  <w:footnote w:id="230">
    <w:p w14:paraId="23ED08DA" w14:textId="77777777" w:rsidR="008959A4" w:rsidRDefault="008959A4" w:rsidP="008959A4">
      <w:pPr>
        <w:pStyle w:val="FootnoteText"/>
      </w:pPr>
      <w:r>
        <w:rPr>
          <w:rStyle w:val="FootnoteReference"/>
        </w:rPr>
        <w:footnoteRef/>
      </w:r>
      <w:r>
        <w:t xml:space="preserve"> </w:t>
      </w:r>
      <w:r w:rsidRPr="001436F0">
        <w:rPr>
          <w:i/>
          <w:iCs/>
        </w:rPr>
        <w:t>Ibid</w:t>
      </w:r>
      <w:r>
        <w:t>., at 15-16.</w:t>
      </w:r>
    </w:p>
  </w:footnote>
  <w:footnote w:id="231">
    <w:p w14:paraId="57796B29" w14:textId="77777777" w:rsidR="008959A4" w:rsidRDefault="008959A4" w:rsidP="008959A4">
      <w:pPr>
        <w:pStyle w:val="FootnoteText"/>
      </w:pPr>
      <w:r>
        <w:rPr>
          <w:rStyle w:val="FootnoteReference"/>
        </w:rPr>
        <w:footnoteRef/>
      </w:r>
      <w:r>
        <w:t xml:space="preserve"> </w:t>
      </w:r>
      <w:r w:rsidRPr="001436F0">
        <w:rPr>
          <w:i/>
          <w:iCs/>
        </w:rPr>
        <w:t>Ibid</w:t>
      </w:r>
      <w:r>
        <w:t>., at 6-7.</w:t>
      </w:r>
    </w:p>
  </w:footnote>
  <w:footnote w:id="232">
    <w:p w14:paraId="6810E72C" w14:textId="77777777" w:rsidR="008959A4" w:rsidRDefault="008959A4" w:rsidP="008959A4">
      <w:pPr>
        <w:pStyle w:val="FootnoteText"/>
      </w:pPr>
      <w:r>
        <w:rPr>
          <w:rStyle w:val="FootnoteReference"/>
        </w:rPr>
        <w:footnoteRef/>
      </w:r>
      <w:r>
        <w:t xml:space="preserve"> PacifiCorp Reply Brief, at 9-10.</w:t>
      </w:r>
    </w:p>
  </w:footnote>
  <w:footnote w:id="233">
    <w:p w14:paraId="6B8176AC" w14:textId="77777777" w:rsidR="008959A4" w:rsidRDefault="008959A4" w:rsidP="008959A4">
      <w:pPr>
        <w:pStyle w:val="FootnoteText"/>
      </w:pPr>
      <w:r>
        <w:rPr>
          <w:rStyle w:val="FootnoteReference"/>
        </w:rPr>
        <w:footnoteRef/>
      </w:r>
      <w:r>
        <w:t xml:space="preserve"> Joint SMJU Rebuttal Testimony, at 11-13.</w:t>
      </w:r>
    </w:p>
  </w:footnote>
  <w:footnote w:id="234">
    <w:p w14:paraId="60B28FB5" w14:textId="77777777" w:rsidR="008959A4" w:rsidRDefault="008959A4" w:rsidP="008959A4">
      <w:pPr>
        <w:pStyle w:val="FootnoteText"/>
      </w:pPr>
      <w:r>
        <w:rPr>
          <w:rStyle w:val="FootnoteReference"/>
        </w:rPr>
        <w:footnoteRef/>
      </w:r>
      <w:r>
        <w:t xml:space="preserve"> Bridge funding budgets for January 1 to June 30, 2021 were approved by the following advice letters:  Alpine 53-G; Bear Valley 401-E; Liberty 134-E-A; PacifiCorp 598-E; SWG 1160-G-A.</w:t>
      </w:r>
      <w:r w:rsidRPr="008D7358">
        <w:t xml:space="preserve"> </w:t>
      </w:r>
    </w:p>
  </w:footnote>
  <w:footnote w:id="235">
    <w:p w14:paraId="3D3FE9E5" w14:textId="77777777" w:rsidR="008959A4" w:rsidRDefault="008959A4" w:rsidP="008959A4">
      <w:pPr>
        <w:pStyle w:val="FootnoteText"/>
      </w:pPr>
      <w:r>
        <w:rPr>
          <w:rStyle w:val="FootnoteReference"/>
        </w:rPr>
        <w:footnoteRef/>
      </w:r>
      <w:r>
        <w:t xml:space="preserve"> D.19-11-005, at 9.</w:t>
      </w:r>
    </w:p>
  </w:footnote>
  <w:footnote w:id="236">
    <w:p w14:paraId="57FCD98C" w14:textId="77777777" w:rsidR="008959A4" w:rsidRDefault="008959A4" w:rsidP="008959A4">
      <w:pPr>
        <w:pStyle w:val="FootnoteText"/>
      </w:pPr>
      <w:r>
        <w:rPr>
          <w:rStyle w:val="FootnoteReference"/>
        </w:rPr>
        <w:footnoteRef/>
      </w:r>
      <w:r>
        <w:t xml:space="preserve"> D.18-08-020, at 57.</w:t>
      </w:r>
    </w:p>
  </w:footnote>
  <w:footnote w:id="237">
    <w:p w14:paraId="1A32A428" w14:textId="77777777" w:rsidR="008959A4" w:rsidRDefault="008959A4" w:rsidP="008959A4">
      <w:pPr>
        <w:pStyle w:val="FootnoteText"/>
      </w:pPr>
      <w:r>
        <w:rPr>
          <w:rStyle w:val="FootnoteReference"/>
        </w:rPr>
        <w:footnoteRef/>
      </w:r>
      <w:r>
        <w:t xml:space="preserve"> </w:t>
      </w:r>
      <w:r w:rsidRPr="001436F0">
        <w:rPr>
          <w:i/>
          <w:iCs/>
        </w:rPr>
        <w:t>Ibid</w:t>
      </w:r>
      <w:r>
        <w:t>., at 55.</w:t>
      </w:r>
    </w:p>
  </w:footnote>
  <w:footnote w:id="238">
    <w:p w14:paraId="23D05345" w14:textId="77777777" w:rsidR="008959A4" w:rsidRDefault="008959A4" w:rsidP="008959A4">
      <w:pPr>
        <w:pStyle w:val="FootnoteText"/>
      </w:pPr>
      <w:r>
        <w:rPr>
          <w:rStyle w:val="FootnoteReference"/>
        </w:rPr>
        <w:footnoteRef/>
      </w:r>
      <w:r>
        <w:t xml:space="preserve"> Bear Valley Application, at 17.</w:t>
      </w:r>
    </w:p>
  </w:footnote>
  <w:footnote w:id="239">
    <w:p w14:paraId="0A175583" w14:textId="77777777" w:rsidR="008959A4" w:rsidRDefault="008959A4" w:rsidP="008959A4">
      <w:pPr>
        <w:pStyle w:val="FootnoteText"/>
      </w:pPr>
      <w:r>
        <w:rPr>
          <w:rStyle w:val="FootnoteReference"/>
        </w:rPr>
        <w:footnoteRef/>
      </w:r>
      <w:r>
        <w:t xml:space="preserve"> Bear Valley response to Energy Division data request, March 30, 2021.</w:t>
      </w:r>
    </w:p>
  </w:footnote>
  <w:footnote w:id="240">
    <w:p w14:paraId="3C383518" w14:textId="77777777" w:rsidR="008959A4" w:rsidRDefault="008959A4" w:rsidP="008959A4">
      <w:pPr>
        <w:pStyle w:val="FootnoteText"/>
      </w:pPr>
      <w:r>
        <w:rPr>
          <w:rStyle w:val="FootnoteReference"/>
        </w:rPr>
        <w:footnoteRef/>
      </w:r>
      <w:r>
        <w:t xml:space="preserve"> Joint SMJU Opening Brief, at 6-7.</w:t>
      </w:r>
    </w:p>
  </w:footnote>
  <w:footnote w:id="241">
    <w:p w14:paraId="53599D87" w14:textId="77777777" w:rsidR="008959A4" w:rsidRDefault="008959A4" w:rsidP="008959A4">
      <w:pPr>
        <w:pStyle w:val="FootnoteText"/>
      </w:pPr>
      <w:r>
        <w:rPr>
          <w:rStyle w:val="FootnoteReference"/>
        </w:rPr>
        <w:footnoteRef/>
      </w:r>
      <w:r>
        <w:t xml:space="preserve"> Liberty Application, at 4.</w:t>
      </w:r>
    </w:p>
  </w:footnote>
  <w:footnote w:id="242">
    <w:p w14:paraId="2FFD2CA5" w14:textId="77777777" w:rsidR="008959A4" w:rsidRDefault="008959A4" w:rsidP="008959A4">
      <w:pPr>
        <w:pStyle w:val="FootnoteText"/>
      </w:pPr>
      <w:r>
        <w:rPr>
          <w:rStyle w:val="FootnoteReference"/>
        </w:rPr>
        <w:footnoteRef/>
      </w:r>
      <w:r>
        <w:t xml:space="preserve"> EEC and Free Energy Testimony, at 24-26.</w:t>
      </w:r>
    </w:p>
  </w:footnote>
  <w:footnote w:id="243">
    <w:p w14:paraId="1EA67F4C" w14:textId="77777777" w:rsidR="008959A4" w:rsidRDefault="008959A4" w:rsidP="008959A4">
      <w:pPr>
        <w:pStyle w:val="FootnoteText"/>
      </w:pPr>
      <w:r>
        <w:rPr>
          <w:rStyle w:val="FootnoteReference"/>
        </w:rPr>
        <w:footnoteRef/>
      </w:r>
      <w:r>
        <w:t xml:space="preserve"> </w:t>
      </w:r>
      <w:r w:rsidRPr="001436F0">
        <w:rPr>
          <w:i/>
          <w:iCs/>
        </w:rPr>
        <w:t>Ibid</w:t>
      </w:r>
      <w:r>
        <w:t>., at 24-26.</w:t>
      </w:r>
    </w:p>
  </w:footnote>
  <w:footnote w:id="244">
    <w:p w14:paraId="746E59C7" w14:textId="77777777" w:rsidR="008959A4" w:rsidRDefault="008959A4" w:rsidP="008959A4">
      <w:pPr>
        <w:pStyle w:val="FootnoteText"/>
      </w:pPr>
      <w:r>
        <w:rPr>
          <w:rStyle w:val="FootnoteReference"/>
        </w:rPr>
        <w:footnoteRef/>
      </w:r>
      <w:r>
        <w:t xml:space="preserve"> Joint SMJU Rebuttal Testimony, at 15-16.</w:t>
      </w:r>
    </w:p>
  </w:footnote>
  <w:footnote w:id="245">
    <w:p w14:paraId="487718F6" w14:textId="77777777" w:rsidR="008959A4" w:rsidRDefault="008959A4" w:rsidP="008959A4">
      <w:pPr>
        <w:pStyle w:val="FootnoteText"/>
      </w:pPr>
      <w:r>
        <w:rPr>
          <w:rStyle w:val="FootnoteReference"/>
        </w:rPr>
        <w:footnoteRef/>
      </w:r>
      <w:r>
        <w:t xml:space="preserve"> PacifiCorp Reply Brief, at 12-13.</w:t>
      </w:r>
    </w:p>
  </w:footnote>
  <w:footnote w:id="246">
    <w:p w14:paraId="1C055DFA" w14:textId="77777777" w:rsidR="008959A4" w:rsidRDefault="008959A4" w:rsidP="008959A4">
      <w:pPr>
        <w:pStyle w:val="FootnoteText"/>
      </w:pPr>
      <w:r>
        <w:rPr>
          <w:rStyle w:val="FootnoteReference"/>
        </w:rPr>
        <w:footnoteRef/>
      </w:r>
      <w:r>
        <w:t xml:space="preserve"> Liberty Application, at 7.</w:t>
      </w:r>
    </w:p>
  </w:footnote>
  <w:footnote w:id="247">
    <w:p w14:paraId="14F2F3AC" w14:textId="77777777" w:rsidR="008959A4" w:rsidRDefault="008959A4" w:rsidP="008959A4">
      <w:pPr>
        <w:pStyle w:val="FootnoteText"/>
      </w:pPr>
      <w:r>
        <w:rPr>
          <w:rStyle w:val="FootnoteReference"/>
        </w:rPr>
        <w:footnoteRef/>
      </w:r>
      <w:r>
        <w:t xml:space="preserve"> Cal Advocates Opening Brief, at 9-10.</w:t>
      </w:r>
    </w:p>
  </w:footnote>
  <w:footnote w:id="248">
    <w:p w14:paraId="477ADBA2" w14:textId="77777777" w:rsidR="008959A4" w:rsidRDefault="008959A4" w:rsidP="008959A4">
      <w:pPr>
        <w:pStyle w:val="FootnoteText"/>
      </w:pPr>
      <w:r>
        <w:rPr>
          <w:rStyle w:val="FootnoteReference"/>
        </w:rPr>
        <w:footnoteRef/>
      </w:r>
      <w:r>
        <w:t xml:space="preserve"> Cal Advocates Reply Brief, at 5-6.</w:t>
      </w:r>
    </w:p>
  </w:footnote>
  <w:footnote w:id="249">
    <w:p w14:paraId="4F48C100" w14:textId="77777777" w:rsidR="008959A4" w:rsidRDefault="008959A4" w:rsidP="008959A4">
      <w:pPr>
        <w:pStyle w:val="FootnoteText"/>
      </w:pPr>
      <w:r>
        <w:rPr>
          <w:rStyle w:val="FootnoteReference"/>
        </w:rPr>
        <w:footnoteRef/>
      </w:r>
      <w:r>
        <w:t xml:space="preserve"> EEC &amp; Free Energy Opening Brief, at 22-23.</w:t>
      </w:r>
    </w:p>
  </w:footnote>
  <w:footnote w:id="250">
    <w:p w14:paraId="3520ED19" w14:textId="77777777" w:rsidR="008959A4" w:rsidRDefault="008959A4" w:rsidP="008959A4">
      <w:pPr>
        <w:pStyle w:val="FootnoteText"/>
      </w:pPr>
      <w:r>
        <w:rPr>
          <w:rStyle w:val="FootnoteReference"/>
        </w:rPr>
        <w:footnoteRef/>
      </w:r>
      <w:r>
        <w:t xml:space="preserve"> Joint SMJU Opening Brief, at 17-18.</w:t>
      </w:r>
    </w:p>
  </w:footnote>
  <w:footnote w:id="251">
    <w:p w14:paraId="4B34B897" w14:textId="77777777" w:rsidR="008959A4" w:rsidRDefault="008959A4" w:rsidP="008959A4">
      <w:pPr>
        <w:pStyle w:val="FootnoteText"/>
      </w:pPr>
      <w:r>
        <w:rPr>
          <w:rStyle w:val="FootnoteReference"/>
        </w:rPr>
        <w:footnoteRef/>
      </w:r>
      <w:r>
        <w:t xml:space="preserve"> D.21-06-015, at 382.</w:t>
      </w:r>
    </w:p>
  </w:footnote>
  <w:footnote w:id="252">
    <w:p w14:paraId="409A50E6" w14:textId="77777777" w:rsidR="008959A4" w:rsidRDefault="008959A4" w:rsidP="008959A4">
      <w:pPr>
        <w:pStyle w:val="FootnoteText"/>
      </w:pPr>
      <w:r>
        <w:rPr>
          <w:rStyle w:val="FootnoteReference"/>
        </w:rPr>
        <w:footnoteRef/>
      </w:r>
      <w:r>
        <w:t xml:space="preserve"> Liberty Application, at 3.</w:t>
      </w:r>
    </w:p>
  </w:footnote>
  <w:footnote w:id="253">
    <w:p w14:paraId="7B1E4B70" w14:textId="77777777" w:rsidR="008959A4" w:rsidRDefault="008959A4" w:rsidP="008959A4">
      <w:pPr>
        <w:pStyle w:val="FootnoteText"/>
      </w:pPr>
      <w:r>
        <w:rPr>
          <w:rStyle w:val="FootnoteReference"/>
        </w:rPr>
        <w:footnoteRef/>
      </w:r>
      <w:r>
        <w:t xml:space="preserve"> </w:t>
      </w:r>
      <w:hyperlink r:id="rId2" w:history="1">
        <w:r w:rsidRPr="0094647D">
          <w:rPr>
            <w:rStyle w:val="Hyperlink"/>
          </w:rPr>
          <w:t>https://www.cpuc.ca.gov/about-cpuc/divisions/energy-division/building-decarbonization/fuel-substitution-in-energy-efficiency</w:t>
        </w:r>
      </w:hyperlink>
      <w:r>
        <w:t>.</w:t>
      </w:r>
    </w:p>
  </w:footnote>
  <w:footnote w:id="254">
    <w:p w14:paraId="5440F741" w14:textId="77777777" w:rsidR="008959A4" w:rsidRDefault="008959A4" w:rsidP="008959A4">
      <w:pPr>
        <w:pStyle w:val="FootnoteText"/>
      </w:pPr>
      <w:r>
        <w:rPr>
          <w:rStyle w:val="FootnoteReference"/>
        </w:rPr>
        <w:footnoteRef/>
      </w:r>
      <w:r>
        <w:t xml:space="preserve"> </w:t>
      </w:r>
      <w:r w:rsidRPr="00FA5D29">
        <w:t>D</w:t>
      </w:r>
      <w:r>
        <w:t>.</w:t>
      </w:r>
      <w:r w:rsidRPr="00FA5D29">
        <w:t xml:space="preserve">19-08-009 directed </w:t>
      </w:r>
      <w:r>
        <w:t xml:space="preserve">the Commission’s </w:t>
      </w:r>
      <w:r w:rsidRPr="00FA5D29">
        <w:t xml:space="preserve">Energy Division to produce a technical guidance document for fuel substitution measures. </w:t>
      </w:r>
      <w:r>
        <w:t xml:space="preserve"> </w:t>
      </w:r>
      <w:r w:rsidRPr="00FA5D29">
        <w:t>The technical guidance document includes a step</w:t>
      </w:r>
      <w:r>
        <w:noBreakHyphen/>
      </w:r>
      <w:r w:rsidRPr="00FA5D29">
        <w:t>by</w:t>
      </w:r>
      <w:r>
        <w:noBreakHyphen/>
      </w:r>
      <w:r w:rsidRPr="00FA5D29">
        <w:t xml:space="preserve">step guide for calculating source energy savings and CO2 offsets for fuel substitution measures. </w:t>
      </w:r>
      <w:r>
        <w:t xml:space="preserve"> </w:t>
      </w:r>
      <w:r w:rsidRPr="00FA5D29">
        <w:t>The guidance document instructs users on how to demonstrate that measures pass the Fuel Substitution Test and outlines the calculation methodology.</w:t>
      </w:r>
      <w:r>
        <w:t xml:space="preserve"> </w:t>
      </w:r>
      <w:r w:rsidRPr="00FA5D29">
        <w:t xml:space="preserve"> Additionally, the guide provides information on cost effectiveness analyses and reporting requirements.</w:t>
      </w:r>
    </w:p>
  </w:footnote>
  <w:footnote w:id="255">
    <w:p w14:paraId="5B5A6449" w14:textId="77777777" w:rsidR="008959A4" w:rsidRDefault="008959A4" w:rsidP="008959A4">
      <w:pPr>
        <w:pStyle w:val="FootnoteText"/>
      </w:pPr>
      <w:r>
        <w:rPr>
          <w:rStyle w:val="FootnoteReference"/>
        </w:rPr>
        <w:footnoteRef/>
      </w:r>
      <w:r>
        <w:t xml:space="preserve"> </w:t>
      </w:r>
      <w:r w:rsidRPr="000A729E">
        <w:rPr>
          <w:i/>
          <w:iCs/>
        </w:rPr>
        <w:t>See</w:t>
      </w:r>
      <w:r w:rsidRPr="00D853F7">
        <w:t xml:space="preserve"> D.18-12-015</w:t>
      </w:r>
      <w:r>
        <w:t>.</w:t>
      </w:r>
    </w:p>
  </w:footnote>
  <w:footnote w:id="256">
    <w:p w14:paraId="35C61F09" w14:textId="77777777" w:rsidR="008959A4" w:rsidRDefault="008959A4" w:rsidP="008959A4">
      <w:pPr>
        <w:pStyle w:val="FootnoteText"/>
      </w:pPr>
      <w:r>
        <w:rPr>
          <w:rStyle w:val="FootnoteReference"/>
        </w:rPr>
        <w:footnoteRef/>
      </w:r>
      <w:r>
        <w:t xml:space="preserve"> Southwest Gas Application Attached C-1; PacifiCorp Application Attachment C-1; Liberty Application Attachment C-1.</w:t>
      </w:r>
    </w:p>
  </w:footnote>
  <w:footnote w:id="257">
    <w:p w14:paraId="0CA15FEF" w14:textId="77777777" w:rsidR="008959A4" w:rsidRDefault="008959A4" w:rsidP="008959A4">
      <w:pPr>
        <w:pStyle w:val="FootnoteText"/>
      </w:pPr>
      <w:r>
        <w:rPr>
          <w:rStyle w:val="FootnoteReference"/>
        </w:rPr>
        <w:footnoteRef/>
      </w:r>
      <w:r>
        <w:t xml:space="preserve"> D.21-06-015, 439.</w:t>
      </w:r>
    </w:p>
  </w:footnote>
  <w:footnote w:id="258">
    <w:p w14:paraId="25EA0820" w14:textId="77777777" w:rsidR="008959A4" w:rsidRDefault="008959A4" w:rsidP="008959A4">
      <w:pPr>
        <w:pStyle w:val="FootnoteText"/>
      </w:pPr>
      <w:r>
        <w:rPr>
          <w:rStyle w:val="FootnoteReference"/>
        </w:rPr>
        <w:footnoteRef/>
      </w:r>
      <w:r>
        <w:t xml:space="preserve"> CPUC Environmental and Social Justice Action Plan (February 21, 2019) Retrievable at </w:t>
      </w:r>
      <w:hyperlink r:id="rId3" w:history="1">
        <w:r w:rsidRPr="002C39FD">
          <w:rPr>
            <w:rStyle w:val="Hyperlink"/>
          </w:rPr>
          <w:t>https://docs.cpuc.ca.gov/PublishedDocs/Published/G000/M263/K673/263673090.PDF</w:t>
        </w:r>
      </w:hyperlink>
      <w:r w:rsidRPr="002C155D">
        <w:rPr>
          <w:rStyle w:val="Hyperlink"/>
          <w:u w:val="none"/>
        </w:rPr>
        <w:t>.</w:t>
      </w:r>
      <w:r>
        <w:t xml:space="preserve"> </w:t>
      </w:r>
    </w:p>
  </w:footnote>
  <w:footnote w:id="259">
    <w:p w14:paraId="1E468539" w14:textId="77777777" w:rsidR="008959A4" w:rsidRDefault="008959A4" w:rsidP="008959A4">
      <w:pPr>
        <w:pStyle w:val="FootnoteText"/>
      </w:pPr>
      <w:r>
        <w:rPr>
          <w:rStyle w:val="FootnoteReference"/>
        </w:rPr>
        <w:footnoteRef/>
      </w:r>
      <w:r>
        <w:t xml:space="preserve"> D</w:t>
      </w:r>
      <w:r w:rsidRPr="00ED1248">
        <w:t>efined as the top 25</w:t>
      </w:r>
      <w:r>
        <w:t xml:space="preserve"> percent</w:t>
      </w:r>
      <w:r w:rsidRPr="00ED1248">
        <w:t xml:space="preserve"> scoring areas from CalEnviroScreen</w:t>
      </w:r>
      <w:r>
        <w:t>.</w:t>
      </w:r>
    </w:p>
  </w:footnote>
  <w:footnote w:id="260">
    <w:p w14:paraId="1271AE22" w14:textId="77777777" w:rsidR="008959A4" w:rsidRDefault="008959A4" w:rsidP="008959A4">
      <w:pPr>
        <w:pStyle w:val="FootnoteText"/>
      </w:pPr>
      <w:r>
        <w:rPr>
          <w:rStyle w:val="FootnoteReference"/>
        </w:rPr>
        <w:footnoteRef/>
      </w:r>
      <w:r>
        <w:t xml:space="preserve"> D</w:t>
      </w:r>
      <w:r w:rsidRPr="000E2C5D">
        <w:t xml:space="preserve">efined in the </w:t>
      </w:r>
      <w:r>
        <w:t>ESJ Action P</w:t>
      </w:r>
      <w:r w:rsidRPr="000E2C5D">
        <w:t>lan as 80% or less of area or state median income</w:t>
      </w:r>
      <w:r>
        <w:t>.</w:t>
      </w:r>
    </w:p>
  </w:footnote>
  <w:footnote w:id="261">
    <w:p w14:paraId="2E31FA56" w14:textId="77777777" w:rsidR="008959A4" w:rsidRDefault="008959A4" w:rsidP="008959A4">
      <w:pPr>
        <w:pStyle w:val="FootnoteText"/>
      </w:pPr>
      <w:r>
        <w:rPr>
          <w:rStyle w:val="FootnoteReference"/>
        </w:rPr>
        <w:footnoteRef/>
      </w:r>
      <w:r>
        <w:t xml:space="preserve"> D.14-05-004, at Ordering Paragraph 25.</w:t>
      </w:r>
    </w:p>
  </w:footnote>
  <w:footnote w:id="262">
    <w:p w14:paraId="4E5D809F" w14:textId="77777777" w:rsidR="008959A4" w:rsidRDefault="008959A4" w:rsidP="008959A4">
      <w:pPr>
        <w:pStyle w:val="FootnoteText"/>
      </w:pPr>
      <w:r>
        <w:rPr>
          <w:rStyle w:val="FootnoteReference"/>
        </w:rPr>
        <w:footnoteRef/>
      </w:r>
      <w:r>
        <w:t xml:space="preserve"> Alpine Application, at 21.</w:t>
      </w:r>
    </w:p>
  </w:footnote>
  <w:footnote w:id="263">
    <w:p w14:paraId="741C2342" w14:textId="77777777" w:rsidR="008959A4" w:rsidRDefault="008959A4" w:rsidP="008959A4">
      <w:pPr>
        <w:pStyle w:val="FootnoteText"/>
      </w:pPr>
      <w:r>
        <w:rPr>
          <w:rStyle w:val="FootnoteReference"/>
        </w:rPr>
        <w:footnoteRef/>
      </w:r>
      <w:r>
        <w:t xml:space="preserve"> Southwest Gas Application, at 28.</w:t>
      </w:r>
    </w:p>
  </w:footnote>
  <w:footnote w:id="264">
    <w:p w14:paraId="76819076" w14:textId="77777777" w:rsidR="008959A4" w:rsidRDefault="008959A4" w:rsidP="008959A4">
      <w:pPr>
        <w:pStyle w:val="FootnoteText"/>
      </w:pPr>
      <w:r>
        <w:rPr>
          <w:rStyle w:val="FootnoteReference"/>
        </w:rPr>
        <w:footnoteRef/>
      </w:r>
      <w:r>
        <w:t xml:space="preserve"> EEC and Free Energy Opening Brief, at 24-25.</w:t>
      </w:r>
    </w:p>
  </w:footnote>
  <w:footnote w:id="265">
    <w:p w14:paraId="638FF7E0" w14:textId="77777777" w:rsidR="008959A4" w:rsidRDefault="008959A4" w:rsidP="008959A4">
      <w:pPr>
        <w:pStyle w:val="FootnoteText"/>
      </w:pPr>
      <w:r>
        <w:rPr>
          <w:rStyle w:val="FootnoteReference"/>
        </w:rPr>
        <w:footnoteRef/>
      </w:r>
      <w:r>
        <w:t xml:space="preserve"> Joint SMJU Opening Brief, at 18-19.</w:t>
      </w:r>
    </w:p>
  </w:footnote>
  <w:footnote w:id="266">
    <w:p w14:paraId="252533B4" w14:textId="77777777" w:rsidR="008959A4" w:rsidRDefault="008959A4" w:rsidP="008959A4">
      <w:pPr>
        <w:pStyle w:val="FootnoteText"/>
      </w:pPr>
      <w:r>
        <w:rPr>
          <w:rStyle w:val="FootnoteReference"/>
        </w:rPr>
        <w:footnoteRef/>
      </w:r>
      <w:r>
        <w:t xml:space="preserve"> D.18-08-020,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0325" w14:textId="77777777" w:rsidR="008959A4" w:rsidRDefault="008959A4">
    <w:pPr>
      <w:pStyle w:val="Header"/>
    </w:pPr>
    <w:r>
      <w:rPr>
        <w:noProof/>
      </w:rPr>
      <mc:AlternateContent>
        <mc:Choice Requires="wps">
          <w:drawing>
            <wp:anchor distT="0" distB="0" distL="114300" distR="114300" simplePos="0" relativeHeight="251668480" behindDoc="1" locked="0" layoutInCell="0" allowOverlap="1" wp14:anchorId="29A3D35D" wp14:editId="0CF05D4C">
              <wp:simplePos x="0" y="0"/>
              <wp:positionH relativeFrom="margin">
                <wp:align>center</wp:align>
              </wp:positionH>
              <wp:positionV relativeFrom="margin">
                <wp:align>center</wp:align>
              </wp:positionV>
              <wp:extent cx="7698740" cy="678815"/>
              <wp:effectExtent l="0" t="2381250" r="0" b="24453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3D4660"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A3D35D" id="_x0000_t202" coordsize="21600,21600" o:spt="202" path="m,l,21600r21600,l21600,xe">
              <v:stroke joinstyle="miter"/>
              <v:path gradientshapeok="t" o:connecttype="rect"/>
            </v:shapetype>
            <v:shape id="Text Box 20" o:spid="_x0000_s1026" type="#_x0000_t202" style="position:absolute;margin-left:0;margin-top:0;width:606.2pt;height:53.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" o:allowincell="f" filled="f" stroked="f">
              <v:stroke joinstyle="round"/>
              <o:lock v:ext="edit" shapetype="t"/>
              <v:textbox style="mso-fit-shape-to-text:t">
                <w:txbxContent>
                  <w:p w14:paraId="1F3D4660"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7C37DD29" wp14:editId="062C62B6">
              <wp:simplePos x="0" y="0"/>
              <wp:positionH relativeFrom="margin">
                <wp:align>center</wp:align>
              </wp:positionH>
              <wp:positionV relativeFrom="margin">
                <wp:align>center</wp:align>
              </wp:positionV>
              <wp:extent cx="7698740" cy="678815"/>
              <wp:effectExtent l="0" t="2381250" r="0" b="24453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C19D61"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37DD29" id="Text Box 19" o:spid="_x0000_s1027" type="#_x0000_t202" style="position:absolute;margin-left:0;margin-top:0;width:606.2pt;height:53.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" o:allowincell="f" filled="f" stroked="f">
              <v:stroke joinstyle="round"/>
              <o:lock v:ext="edit" shapetype="t"/>
              <v:textbox style="mso-fit-shape-to-text:t">
                <w:txbxContent>
                  <w:p w14:paraId="0CC19D61"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14:anchorId="6FD39A7C" wp14:editId="23DA73FF">
              <wp:simplePos x="0" y="0"/>
              <wp:positionH relativeFrom="margin">
                <wp:align>center</wp:align>
              </wp:positionH>
              <wp:positionV relativeFrom="margin">
                <wp:align>center</wp:align>
              </wp:positionV>
              <wp:extent cx="7698740" cy="678815"/>
              <wp:effectExtent l="0" t="2381250" r="0" b="24453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BF572B"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D39A7C" id="Text Box 18" o:spid="_x0000_s1028" type="#_x0000_t202" style="position:absolute;margin-left:0;margin-top:0;width:606.2pt;height:53.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" o:allowincell="f" filled="f" stroked="f">
              <v:stroke joinstyle="round"/>
              <o:lock v:ext="edit" shapetype="t"/>
              <v:textbox style="mso-fit-shape-to-text:t">
                <w:txbxContent>
                  <w:p w14:paraId="7ABF572B"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5408" behindDoc="1" locked="0" layoutInCell="0" allowOverlap="1" wp14:anchorId="0EA0B550" wp14:editId="46586FF7">
              <wp:simplePos x="0" y="0"/>
              <wp:positionH relativeFrom="margin">
                <wp:align>center</wp:align>
              </wp:positionH>
              <wp:positionV relativeFrom="margin">
                <wp:align>center</wp:align>
              </wp:positionV>
              <wp:extent cx="7698740" cy="678815"/>
              <wp:effectExtent l="0" t="2381250" r="0" b="2445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01106"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A0B550" id="Text Box 17" o:spid="_x0000_s1029" type="#_x0000_t202" style="position:absolute;margin-left:0;margin-top:0;width:606.2pt;height:53.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" o:allowincell="f" filled="f" stroked="f">
              <v:stroke joinstyle="round"/>
              <o:lock v:ext="edit" shapetype="t"/>
              <v:textbox style="mso-fit-shape-to-text:t">
                <w:txbxContent>
                  <w:p w14:paraId="19801106"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14:anchorId="49CC2F85" wp14:editId="3947E486">
              <wp:simplePos x="0" y="0"/>
              <wp:positionH relativeFrom="margin">
                <wp:align>center</wp:align>
              </wp:positionH>
              <wp:positionV relativeFrom="margin">
                <wp:align>center</wp:align>
              </wp:positionV>
              <wp:extent cx="7698740" cy="678815"/>
              <wp:effectExtent l="0" t="2381250" r="0" b="24453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19C528"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CC2F85" id="Text Box 16" o:spid="_x0000_s1030" type="#_x0000_t202" style="position:absolute;margin-left:0;margin-top:0;width:606.2pt;height:53.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" o:allowincell="f" filled="f" stroked="f">
              <v:stroke joinstyle="round"/>
              <o:lock v:ext="edit" shapetype="t"/>
              <v:textbox style="mso-fit-shape-to-text:t">
                <w:txbxContent>
                  <w:p w14:paraId="6119C528"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3360" behindDoc="1" locked="0" layoutInCell="0" allowOverlap="1" wp14:anchorId="1616AF0A" wp14:editId="7F45DB9C">
              <wp:simplePos x="0" y="0"/>
              <wp:positionH relativeFrom="margin">
                <wp:align>center</wp:align>
              </wp:positionH>
              <wp:positionV relativeFrom="margin">
                <wp:align>center</wp:align>
              </wp:positionV>
              <wp:extent cx="7698740" cy="678815"/>
              <wp:effectExtent l="0" t="2381250" r="0" b="24453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D6F4A"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16AF0A" id="Text Box 15" o:spid="_x0000_s1031" type="#_x0000_t202" style="position:absolute;margin-left:0;margin-top:0;width:606.2pt;height:53.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" o:allowincell="f" filled="f" stroked="f">
              <v:stroke joinstyle="round"/>
              <o:lock v:ext="edit" shapetype="t"/>
              <v:textbox style="mso-fit-shape-to-text:t">
                <w:txbxContent>
                  <w:p w14:paraId="34AD6F4A" w14:textId="77777777" w:rsidR="008959A4" w:rsidRDefault="008959A4" w:rsidP="000C198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14:anchorId="3606ECBA" wp14:editId="42B47B8E">
              <wp:simplePos x="0" y="0"/>
              <wp:positionH relativeFrom="margin">
                <wp:align>center</wp:align>
              </wp:positionH>
              <wp:positionV relativeFrom="margin">
                <wp:align>center</wp:align>
              </wp:positionV>
              <wp:extent cx="7698740" cy="678815"/>
              <wp:effectExtent l="0" t="0" r="0" b="0"/>
              <wp:wrapNone/>
              <wp:docPr id="78" name="WordArt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9348F7" w14:textId="77777777" w:rsidR="008959A4" w:rsidRDefault="008959A4" w:rsidP="000C1980">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606ECBA" id="WordArt 136" o:spid="_x0000_s1032" type="#_x0000_t202" style="position:absolute;margin-left:0;margin-top:0;width:606.2pt;height:53.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" o:allowincell="f" filled="f" stroked="f">
              <v:stroke joinstyle="round"/>
              <o:lock v:ext="edit" aspectratio="t" verticies="t" shapetype="t"/>
              <v:textbox>
                <w:txbxContent>
                  <w:p w14:paraId="7C9348F7" w14:textId="77777777" w:rsidR="008959A4" w:rsidRDefault="008959A4" w:rsidP="000C1980">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20F4C437" wp14:editId="69182C59">
              <wp:simplePos x="0" y="0"/>
              <wp:positionH relativeFrom="margin">
                <wp:align>center</wp:align>
              </wp:positionH>
              <wp:positionV relativeFrom="margin">
                <wp:align>center</wp:align>
              </wp:positionV>
              <wp:extent cx="7698740" cy="678815"/>
              <wp:effectExtent l="0" t="0" r="0" b="0"/>
              <wp:wrapNone/>
              <wp:docPr id="77" name="WordArt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6318D4" w14:textId="77777777" w:rsidR="008959A4" w:rsidRDefault="008959A4" w:rsidP="000C1980">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0F4C437" id="WordArt 135" o:spid="_x0000_s1033" type="#_x0000_t202" style="position:absolute;margin-left:0;margin-top:0;width:606.2pt;height:53.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" o:allowincell="f" filled="f" stroked="f">
              <v:stroke joinstyle="round"/>
              <o:lock v:ext="edit" aspectratio="t" verticies="t" shapetype="t"/>
              <v:textbox>
                <w:txbxContent>
                  <w:p w14:paraId="396318D4" w14:textId="77777777" w:rsidR="008959A4" w:rsidRDefault="008959A4" w:rsidP="000C1980">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5F6A3F47" wp14:editId="0A0A64AF">
              <wp:simplePos x="0" y="0"/>
              <wp:positionH relativeFrom="margin">
                <wp:align>center</wp:align>
              </wp:positionH>
              <wp:positionV relativeFrom="margin">
                <wp:align>center</wp:align>
              </wp:positionV>
              <wp:extent cx="7698740" cy="678815"/>
              <wp:effectExtent l="0" t="0" r="0" b="0"/>
              <wp:wrapNone/>
              <wp:docPr id="179" name="WordArt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C427A" w14:textId="77777777" w:rsidR="008959A4" w:rsidRDefault="008959A4" w:rsidP="000C1980">
                          <w:pPr>
                            <w:jc w:val="center"/>
                            <w:rPr>
                              <w:sz w:val="24"/>
                              <w:szCs w:val="24"/>
                            </w:rPr>
                          </w:pPr>
                          <w:r>
                            <w:rPr>
                              <w:color w:val="C0C0C0"/>
                              <w:sz w:val="16"/>
                              <w:szCs w:val="16"/>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F6A3F47" id="WordArt 231" o:spid="_x0000_s1034" type="#_x0000_t202" style="position:absolute;margin-left:0;margin-top:0;width:606.2pt;height:53.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" o:allowincell="f" filled="f" stroked="f">
              <v:stroke joinstyle="round"/>
              <o:lock v:ext="edit" aspectratio="t" verticies="t" shapetype="t"/>
              <v:textbox>
                <w:txbxContent>
                  <w:p w14:paraId="29BC427A" w14:textId="77777777" w:rsidR="008959A4" w:rsidRDefault="008959A4" w:rsidP="000C1980">
                    <w:pPr>
                      <w:jc w:val="center"/>
                      <w:rPr>
                        <w:sz w:val="24"/>
                        <w:szCs w:val="24"/>
                      </w:rPr>
                    </w:pPr>
                    <w:r>
                      <w:rPr>
                        <w:color w:val="C0C0C0"/>
                        <w:sz w:val="16"/>
                        <w:szCs w:val="16"/>
                        <w14:textFill>
                          <w14:solidFill>
                            <w14:srgbClr w14:val="C0C0C0">
                              <w14:alpha w14:val="50000"/>
                            </w14:srgbClr>
                          </w14:solidFill>
                        </w14:textFill>
                      </w:rPr>
                      <w:t xml:space="preserve">confidential/deliberative process </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4BC5318A" wp14:editId="670A5C2A">
              <wp:simplePos x="0" y="0"/>
              <wp:positionH relativeFrom="margin">
                <wp:align>center</wp:align>
              </wp:positionH>
              <wp:positionV relativeFrom="margin">
                <wp:align>center</wp:align>
              </wp:positionV>
              <wp:extent cx="7698740" cy="678815"/>
              <wp:effectExtent l="0" t="0" r="0" b="0"/>
              <wp:wrapNone/>
              <wp:docPr id="178" name="WordArt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7698740" cy="678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F0468" w14:textId="77777777" w:rsidR="008959A4" w:rsidRDefault="008959A4" w:rsidP="000C1980">
                          <w:pPr>
                            <w:jc w:val="center"/>
                            <w:rPr>
                              <w:sz w:val="24"/>
                              <w:szCs w:val="24"/>
                            </w:rPr>
                          </w:pPr>
                          <w:r>
                            <w:rPr>
                              <w:color w:val="C0C0C0"/>
                              <w:sz w:val="16"/>
                              <w:szCs w:val="16"/>
                              <w14:textFill>
                                <w14:solidFill>
                                  <w14:srgbClr w14:val="C0C0C0">
                                    <w14:alpha w14:val="50000"/>
                                  </w14:srgbClr>
                                </w14:solidFill>
                              </w14:textFill>
                            </w:rPr>
                            <w:t xml:space="preserve">confidential/deliberative process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BC5318A" id="WordArt 230" o:spid="_x0000_s1035" type="#_x0000_t202" style="position:absolute;margin-left:0;margin-top:0;width:606.2pt;height:53.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" o:allowincell="f" filled="f" stroked="f">
              <v:stroke joinstyle="round"/>
              <o:lock v:ext="edit" aspectratio="t" verticies="t" shapetype="t"/>
              <v:textbox>
                <w:txbxContent>
                  <w:p w14:paraId="364F0468" w14:textId="77777777" w:rsidR="008959A4" w:rsidRDefault="008959A4" w:rsidP="000C1980">
                    <w:pPr>
                      <w:jc w:val="center"/>
                      <w:rPr>
                        <w:sz w:val="24"/>
                        <w:szCs w:val="24"/>
                      </w:rPr>
                    </w:pPr>
                    <w:r>
                      <w:rPr>
                        <w:color w:val="C0C0C0"/>
                        <w:sz w:val="16"/>
                        <w:szCs w:val="16"/>
                        <w14:textFill>
                          <w14:solidFill>
                            <w14:srgbClr w14:val="C0C0C0">
                              <w14:alpha w14:val="50000"/>
                            </w14:srgbClr>
                          </w14:solidFill>
                        </w14:textFill>
                      </w:rPr>
                      <w:t xml:space="preserve">confidential/deliberative process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3A24" w14:textId="4C87C78C" w:rsidR="008959A4" w:rsidRDefault="008959A4" w:rsidP="000C1980">
    <w:pPr>
      <w:pStyle w:val="Header"/>
      <w:tabs>
        <w:tab w:val="clear" w:pos="4680"/>
      </w:tabs>
      <w:rPr>
        <w:b/>
      </w:rPr>
    </w:pPr>
    <w:r>
      <w:t xml:space="preserve">A.20-03-014 </w:t>
    </w:r>
    <w:r>
      <w:rPr>
        <w:i/>
        <w:iCs/>
      </w:rPr>
      <w:t>et al.</w:t>
    </w:r>
    <w:r>
      <w:t xml:space="preserve">  ALJ/ATR/lil</w:t>
    </w:r>
    <w:r>
      <w:tab/>
    </w:r>
    <w:r>
      <w:rPr>
        <w:b/>
      </w:rPr>
      <w:t>PROPOSED DECISION</w:t>
    </w:r>
    <w:r w:rsidR="00FD202C">
      <w:rPr>
        <w:b/>
      </w:rPr>
      <w:t xml:space="preserve">  (Rev. 1)</w:t>
    </w:r>
  </w:p>
  <w:p w14:paraId="01299CED" w14:textId="77777777" w:rsidR="00617D2A" w:rsidRDefault="00617D2A" w:rsidP="00617D2A">
    <w:pPr>
      <w:suppressAutoHyphens/>
      <w:rPr>
        <w:b/>
      </w:rPr>
    </w:pPr>
  </w:p>
  <w:p w14:paraId="2732CC66" w14:textId="77777777" w:rsidR="00617D2A" w:rsidRDefault="00617D2A" w:rsidP="00617D2A">
    <w:pPr>
      <w:suppressAutoHyphens/>
      <w:rPr>
        <w:b/>
      </w:rPr>
    </w:pPr>
  </w:p>
  <w:p w14:paraId="7B9DD996" w14:textId="3475D32A" w:rsidR="008959A4" w:rsidRPr="00DD6709" w:rsidRDefault="008959A4" w:rsidP="00A95859">
    <w:pPr>
      <w:suppressAutoHyphens/>
      <w:ind w:left="720"/>
      <w:jc w:val="center"/>
      <w:rPr>
        <w:b/>
      </w:rPr>
    </w:pPr>
    <w:r w:rsidRPr="00C80002">
      <w:rPr>
        <w:b/>
      </w:rPr>
      <w:t>TABLE OF CONTENTS</w:t>
    </w:r>
  </w:p>
  <w:p w14:paraId="71B158FC" w14:textId="77777777" w:rsidR="008959A4" w:rsidRDefault="008959A4" w:rsidP="00A95859">
    <w:pPr>
      <w:suppressAutoHyphens/>
      <w:rPr>
        <w:b/>
      </w:rPr>
    </w:pPr>
    <w:r w:rsidRPr="00A95859">
      <w:rPr>
        <w:b/>
        <w:u w:val="single"/>
      </w:rPr>
      <w:t>Title</w:t>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sidRPr="008828EA">
      <w:rPr>
        <w:b/>
      </w:rPr>
      <w:tab/>
    </w:r>
    <w:r>
      <w:rPr>
        <w:b/>
      </w:rPr>
      <w:t xml:space="preserve"> </w:t>
    </w:r>
    <w:r>
      <w:rPr>
        <w:b/>
      </w:rPr>
      <w:tab/>
      <w:t xml:space="preserve"> </w:t>
    </w:r>
    <w:r w:rsidRPr="00A95859">
      <w:rPr>
        <w:b/>
        <w:u w:val="single"/>
      </w:rPr>
      <w:t>Page</w:t>
    </w:r>
  </w:p>
  <w:p w14:paraId="3BAFA160" w14:textId="77777777" w:rsidR="008959A4" w:rsidRPr="003209E9" w:rsidRDefault="008959A4" w:rsidP="00A95859">
    <w:pPr>
      <w:suppressAutoHyphens/>
      <w:rPr>
        <w:b/>
      </w:rPr>
    </w:pPr>
  </w:p>
  <w:p w14:paraId="5BCEB405" w14:textId="77777777" w:rsidR="008959A4" w:rsidRPr="003E306A" w:rsidRDefault="008959A4" w:rsidP="000C1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9E0F" w14:textId="3F1DC81C" w:rsidR="008959A4" w:rsidRDefault="008959A4" w:rsidP="000C1980">
    <w:pPr>
      <w:pStyle w:val="Header"/>
      <w:tabs>
        <w:tab w:val="clear" w:pos="4680"/>
      </w:tabs>
      <w:rPr>
        <w:b/>
      </w:rPr>
    </w:pPr>
    <w:r>
      <w:t>A.</w:t>
    </w:r>
    <w:r w:rsidRPr="009F03AB">
      <w:t>20-03-014</w:t>
    </w:r>
    <w:r>
      <w:t xml:space="preserve"> </w:t>
    </w:r>
    <w:r>
      <w:rPr>
        <w:i/>
        <w:iCs/>
      </w:rPr>
      <w:t>et al.</w:t>
    </w:r>
    <w:r>
      <w:t xml:space="preserve"> ALJ/ATR/lil</w:t>
    </w:r>
    <w:r>
      <w:tab/>
    </w:r>
    <w:r>
      <w:rPr>
        <w:b/>
      </w:rPr>
      <w:t>PROPOSED DECISION</w:t>
    </w:r>
    <w:r w:rsidR="00FD202C">
      <w:rPr>
        <w:b/>
      </w:rPr>
      <w:t xml:space="preserve">  (Rev. 1)</w:t>
    </w:r>
  </w:p>
  <w:p w14:paraId="01CB24BB" w14:textId="694CCCA8" w:rsidR="00617D2A" w:rsidRDefault="00617D2A" w:rsidP="000C1980">
    <w:pPr>
      <w:pStyle w:val="Header"/>
      <w:tabs>
        <w:tab w:val="clear" w:pos="4680"/>
      </w:tabs>
      <w:rPr>
        <w:b/>
      </w:rPr>
    </w:pPr>
  </w:p>
  <w:p w14:paraId="4254481D" w14:textId="77777777" w:rsidR="00617D2A" w:rsidRDefault="00617D2A" w:rsidP="000C1980">
    <w:pPr>
      <w:pStyle w:val="Header"/>
      <w:tabs>
        <w:tab w:val="clear" w:pos="468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ABB0" w14:textId="4E11D9D1" w:rsidR="008959A4" w:rsidRDefault="008959A4" w:rsidP="000C1980">
    <w:pPr>
      <w:pStyle w:val="Header"/>
      <w:tabs>
        <w:tab w:val="clear" w:pos="4680"/>
      </w:tabs>
      <w:rPr>
        <w:b/>
      </w:rPr>
    </w:pPr>
    <w:r>
      <w:t xml:space="preserve">A.20-03-014 </w:t>
    </w:r>
    <w:r>
      <w:rPr>
        <w:i/>
        <w:iCs/>
      </w:rPr>
      <w:t>et al.</w:t>
    </w:r>
    <w:r>
      <w:t xml:space="preserve">  ALJ/ATR/lil</w:t>
    </w:r>
    <w:r>
      <w:tab/>
    </w:r>
    <w:r>
      <w:rPr>
        <w:b/>
      </w:rPr>
      <w:t>PROPOSED DECISION</w:t>
    </w:r>
    <w:r w:rsidR="00FD202C">
      <w:rPr>
        <w:b/>
      </w:rPr>
      <w:t xml:space="preserve">  (Rev. 1)</w:t>
    </w:r>
  </w:p>
  <w:p w14:paraId="0E5C1F9E" w14:textId="7F35A1C6" w:rsidR="00BE6E5B" w:rsidRDefault="00BE6E5B" w:rsidP="000C1980">
    <w:pPr>
      <w:pStyle w:val="Header"/>
      <w:tabs>
        <w:tab w:val="clear" w:pos="4680"/>
      </w:tabs>
      <w:rPr>
        <w:b/>
      </w:rPr>
    </w:pPr>
  </w:p>
  <w:p w14:paraId="478C1DAB" w14:textId="77777777" w:rsidR="00BE6E5B" w:rsidRDefault="00BE6E5B" w:rsidP="000C1980">
    <w:pPr>
      <w:pStyle w:val="Header"/>
      <w:tabs>
        <w:tab w:val="clear" w:pos="468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438D" w14:textId="77777777" w:rsidR="008959A4" w:rsidRDefault="008959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D1C8" w14:textId="25137A5E" w:rsidR="008959A4" w:rsidRPr="00A644AF" w:rsidRDefault="008959A4" w:rsidP="00A644AF">
    <w:pPr>
      <w:tabs>
        <w:tab w:val="right" w:pos="9360"/>
      </w:tabs>
      <w:rPr>
        <w:b/>
      </w:rPr>
    </w:pPr>
    <w:r w:rsidRPr="00A644AF">
      <w:t xml:space="preserve">A.20-03-014 </w:t>
    </w:r>
    <w:r w:rsidRPr="00A644AF">
      <w:rPr>
        <w:i/>
        <w:iCs/>
      </w:rPr>
      <w:t>et al.</w:t>
    </w:r>
    <w:r w:rsidRPr="00A644AF">
      <w:t xml:space="preserve">  ALJ/ATR/lil</w:t>
    </w:r>
    <w:r w:rsidRPr="00A644AF">
      <w:tab/>
    </w:r>
    <w:r w:rsidRPr="00A644AF">
      <w:rPr>
        <w:b/>
      </w:rPr>
      <w:t>PROPOSED DECISION</w:t>
    </w:r>
    <w:r w:rsidR="00FD202C">
      <w:rPr>
        <w:b/>
      </w:rPr>
      <w:t xml:space="preserve">  (Rev. 1)</w:t>
    </w:r>
  </w:p>
  <w:p w14:paraId="522FAD36" w14:textId="77777777" w:rsidR="008959A4" w:rsidRDefault="008959A4" w:rsidP="00A644AF">
    <w:pPr>
      <w:pStyle w:val="Header"/>
    </w:pPr>
  </w:p>
  <w:p w14:paraId="0A14DC5E" w14:textId="77777777" w:rsidR="008959A4" w:rsidRDefault="008959A4" w:rsidP="00A644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4296" w14:textId="77777777" w:rsidR="008959A4" w:rsidRDefault="008959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92EB" w14:textId="1D8BD9A6" w:rsidR="008959A4" w:rsidRDefault="008959A4" w:rsidP="00FD202C">
    <w:pPr>
      <w:tabs>
        <w:tab w:val="right" w:pos="9360"/>
      </w:tabs>
    </w:pPr>
    <w:r w:rsidRPr="00A644AF">
      <w:t xml:space="preserve">A.20-03-014 </w:t>
    </w:r>
    <w:r w:rsidRPr="00A644AF">
      <w:rPr>
        <w:i/>
        <w:iCs/>
      </w:rPr>
      <w:t>et al.</w:t>
    </w:r>
    <w:r w:rsidRPr="00A644AF">
      <w:t xml:space="preserve">  ALJ/ATR/lil</w:t>
    </w:r>
    <w:r w:rsidRPr="00A644AF">
      <w:tab/>
    </w:r>
    <w:r w:rsidRPr="00A644AF">
      <w:rPr>
        <w:b/>
      </w:rPr>
      <w:t>PROPOSED DECISION</w:t>
    </w:r>
    <w:r w:rsidR="00FD202C">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E2B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4647B"/>
    <w:multiLevelType w:val="hybridMultilevel"/>
    <w:tmpl w:val="1B981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75A97"/>
    <w:multiLevelType w:val="hybridMultilevel"/>
    <w:tmpl w:val="2F6A4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6243E"/>
    <w:multiLevelType w:val="hybridMultilevel"/>
    <w:tmpl w:val="3AA06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CBA339C"/>
    <w:multiLevelType w:val="hybridMultilevel"/>
    <w:tmpl w:val="2696A9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010D01"/>
    <w:multiLevelType w:val="hybridMultilevel"/>
    <w:tmpl w:val="2BDAB852"/>
    <w:lvl w:ilvl="0" w:tplc="93F80C28">
      <w:start w:val="1"/>
      <w:numFmt w:val="decimal"/>
      <w:pStyle w:val="conclusionoflaw"/>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604A56"/>
    <w:multiLevelType w:val="hybridMultilevel"/>
    <w:tmpl w:val="5FE082EE"/>
    <w:lvl w:ilvl="0" w:tplc="4628B9D4">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1F6D42"/>
    <w:multiLevelType w:val="multilevel"/>
    <w:tmpl w:val="DF962E9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36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230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324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4176" w:hanging="1296"/>
      </w:pPr>
      <w:rPr>
        <w:rFonts w:ascii="Arial" w:hAnsi="Arial" w:hint="default"/>
        <w:b/>
        <w:i w:val="0"/>
        <w:sz w:val="26"/>
      </w:rPr>
    </w:lvl>
    <w:lvl w:ilvl="5">
      <w:start w:val="1"/>
      <w:numFmt w:val="decimal"/>
      <w:pStyle w:val="Heading6"/>
      <w:lvlText w:val="%1.%2.%3.%4.%5.%6."/>
      <w:lvlJc w:val="left"/>
      <w:pPr>
        <w:tabs>
          <w:tab w:val="num" w:pos="3600"/>
        </w:tabs>
        <w:ind w:left="51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3640612A"/>
    <w:multiLevelType w:val="hybridMultilevel"/>
    <w:tmpl w:val="1F9E418C"/>
    <w:lvl w:ilvl="0" w:tplc="5DE0CA64">
      <w:start w:val="1"/>
      <w:numFmt w:val="decimal"/>
      <w:pStyle w:val="ALJOP"/>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42EFE"/>
    <w:multiLevelType w:val="hybridMultilevel"/>
    <w:tmpl w:val="18D64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1713CD"/>
    <w:multiLevelType w:val="hybridMultilevel"/>
    <w:tmpl w:val="2B34E19A"/>
    <w:lvl w:ilvl="0" w:tplc="8BA0F02E">
      <w:start w:val="1"/>
      <w:numFmt w:val="decimal"/>
      <w:pStyle w:val="ALJHeading4"/>
      <w:lvlText w:val="%1.1.1.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EE182D"/>
    <w:multiLevelType w:val="hybridMultilevel"/>
    <w:tmpl w:val="580E6C20"/>
    <w:lvl w:ilvl="0" w:tplc="7ADA7EA0">
      <w:start w:val="1"/>
      <w:numFmt w:val="bullet"/>
      <w:lvlText w:val=""/>
      <w:lvlJc w:val="left"/>
      <w:pPr>
        <w:ind w:left="720" w:hanging="360"/>
      </w:pPr>
      <w:rPr>
        <w:rFonts w:ascii="Symbol" w:hAnsi="Symbol" w:hint="default"/>
      </w:rPr>
    </w:lvl>
    <w:lvl w:ilvl="1" w:tplc="24B6B820">
      <w:start w:val="1"/>
      <w:numFmt w:val="bullet"/>
      <w:lvlText w:val="o"/>
      <w:lvlJc w:val="left"/>
      <w:pPr>
        <w:ind w:left="1440" w:hanging="360"/>
      </w:pPr>
      <w:rPr>
        <w:rFonts w:ascii="Courier New" w:hAnsi="Courier New" w:hint="default"/>
      </w:rPr>
    </w:lvl>
    <w:lvl w:ilvl="2" w:tplc="59AEF2B8">
      <w:start w:val="1"/>
      <w:numFmt w:val="bullet"/>
      <w:lvlText w:val=""/>
      <w:lvlJc w:val="left"/>
      <w:pPr>
        <w:ind w:left="2160" w:hanging="360"/>
      </w:pPr>
      <w:rPr>
        <w:rFonts w:ascii="Wingdings" w:hAnsi="Wingdings" w:hint="default"/>
      </w:rPr>
    </w:lvl>
    <w:lvl w:ilvl="3" w:tplc="38429566">
      <w:start w:val="1"/>
      <w:numFmt w:val="bullet"/>
      <w:lvlText w:val=""/>
      <w:lvlJc w:val="left"/>
      <w:pPr>
        <w:ind w:left="2880" w:hanging="360"/>
      </w:pPr>
      <w:rPr>
        <w:rFonts w:ascii="Symbol" w:hAnsi="Symbol" w:hint="default"/>
      </w:rPr>
    </w:lvl>
    <w:lvl w:ilvl="4" w:tplc="17D0F212">
      <w:start w:val="1"/>
      <w:numFmt w:val="bullet"/>
      <w:lvlText w:val="o"/>
      <w:lvlJc w:val="left"/>
      <w:pPr>
        <w:ind w:left="3600" w:hanging="360"/>
      </w:pPr>
      <w:rPr>
        <w:rFonts w:ascii="Courier New" w:hAnsi="Courier New" w:hint="default"/>
      </w:rPr>
    </w:lvl>
    <w:lvl w:ilvl="5" w:tplc="54744590">
      <w:start w:val="1"/>
      <w:numFmt w:val="bullet"/>
      <w:lvlText w:val=""/>
      <w:lvlJc w:val="left"/>
      <w:pPr>
        <w:ind w:left="4320" w:hanging="360"/>
      </w:pPr>
      <w:rPr>
        <w:rFonts w:ascii="Wingdings" w:hAnsi="Wingdings" w:hint="default"/>
      </w:rPr>
    </w:lvl>
    <w:lvl w:ilvl="6" w:tplc="2200C88A">
      <w:start w:val="1"/>
      <w:numFmt w:val="bullet"/>
      <w:lvlText w:val=""/>
      <w:lvlJc w:val="left"/>
      <w:pPr>
        <w:ind w:left="5040" w:hanging="360"/>
      </w:pPr>
      <w:rPr>
        <w:rFonts w:ascii="Symbol" w:hAnsi="Symbol" w:hint="default"/>
      </w:rPr>
    </w:lvl>
    <w:lvl w:ilvl="7" w:tplc="E0A82C80">
      <w:start w:val="1"/>
      <w:numFmt w:val="bullet"/>
      <w:lvlText w:val="o"/>
      <w:lvlJc w:val="left"/>
      <w:pPr>
        <w:ind w:left="5760" w:hanging="360"/>
      </w:pPr>
      <w:rPr>
        <w:rFonts w:ascii="Courier New" w:hAnsi="Courier New" w:hint="default"/>
      </w:rPr>
    </w:lvl>
    <w:lvl w:ilvl="8" w:tplc="AE3E1F8C">
      <w:start w:val="1"/>
      <w:numFmt w:val="bullet"/>
      <w:lvlText w:val=""/>
      <w:lvlJc w:val="left"/>
      <w:pPr>
        <w:ind w:left="6480" w:hanging="360"/>
      </w:pPr>
      <w:rPr>
        <w:rFonts w:ascii="Wingdings" w:hAnsi="Wingdings" w:hint="default"/>
      </w:rPr>
    </w:lvl>
  </w:abstractNum>
  <w:abstractNum w:abstractNumId="14" w15:restartNumberingAfterBreak="0">
    <w:nsid w:val="59B658AA"/>
    <w:multiLevelType w:val="hybridMultilevel"/>
    <w:tmpl w:val="729C2E84"/>
    <w:lvl w:ilvl="0" w:tplc="9FDAF50C">
      <w:start w:val="1"/>
      <w:numFmt w:val="decimal"/>
      <w:lvlText w:val="%1."/>
      <w:lvlJc w:val="left"/>
      <w:pPr>
        <w:ind w:left="7470" w:hanging="360"/>
      </w:p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 w15:restartNumberingAfterBreak="0">
    <w:nsid w:val="59D042D7"/>
    <w:multiLevelType w:val="multilevel"/>
    <w:tmpl w:val="18F4A5AC"/>
    <w:styleLink w:val="FoFCoLOP2"/>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6" w15:restartNumberingAfterBreak="0">
    <w:nsid w:val="5D9C6871"/>
    <w:multiLevelType w:val="hybridMultilevel"/>
    <w:tmpl w:val="FB881E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abstractNum w:abstractNumId="18" w15:restartNumberingAfterBreak="0">
    <w:nsid w:val="7D0A355B"/>
    <w:multiLevelType w:val="hybridMultilevel"/>
    <w:tmpl w:val="02166100"/>
    <w:lvl w:ilvl="0" w:tplc="CC48861C">
      <w:start w:val="1"/>
      <w:numFmt w:val="decimal"/>
      <w:pStyle w:val="FindingofFAct"/>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2C4947"/>
    <w:multiLevelType w:val="hybridMultilevel"/>
    <w:tmpl w:val="59FC8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BC686F"/>
    <w:multiLevelType w:val="hybridMultilevel"/>
    <w:tmpl w:val="65EA4C36"/>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4"/>
  </w:num>
  <w:num w:numId="2">
    <w:abstractNumId w:val="15"/>
  </w:num>
  <w:num w:numId="3">
    <w:abstractNumId w:val="5"/>
  </w:num>
  <w:num w:numId="4">
    <w:abstractNumId w:val="17"/>
  </w:num>
  <w:num w:numId="5">
    <w:abstractNumId w:val="9"/>
  </w:num>
  <w:num w:numId="6">
    <w:abstractNumId w:val="0"/>
  </w:num>
  <w:num w:numId="7">
    <w:abstractNumId w:val="18"/>
  </w:num>
  <w:num w:numId="8">
    <w:abstractNumId w:val="7"/>
  </w:num>
  <w:num w:numId="9">
    <w:abstractNumId w:val="10"/>
  </w:num>
  <w:num w:numId="10">
    <w:abstractNumId w:val="12"/>
  </w:num>
  <w:num w:numId="11">
    <w:abstractNumId w:val="8"/>
  </w:num>
  <w:num w:numId="12">
    <w:abstractNumId w:val="15"/>
    <w:lvlOverride w:ilvl="0">
      <w:lvl w:ilvl="0">
        <w:start w:val="1"/>
        <w:numFmt w:val="decimal"/>
        <w:pStyle w:val="FoF"/>
        <w:lvlText w:val="%1."/>
        <w:lvlJc w:val="right"/>
        <w:pPr>
          <w:ind w:left="0" w:firstLine="5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6"/>
  </w:num>
  <w:num w:numId="14">
    <w:abstractNumId w:val="14"/>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20"/>
  </w:num>
  <w:num w:numId="20">
    <w:abstractNumId w:val="1"/>
  </w:num>
  <w:num w:numId="21">
    <w:abstractNumId w:val="4"/>
  </w:num>
  <w:num w:numId="22">
    <w:abstractNumId w:val="13"/>
  </w:num>
  <w:num w:numId="23">
    <w:abstractNumId w:val="19"/>
  </w:num>
  <w:num w:numId="24">
    <w:abstractNumId w:val="9"/>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9"/>
  </w:num>
  <w:num w:numId="30">
    <w:abstractNumId w:val="8"/>
  </w:num>
  <w:num w:numId="31">
    <w:abstractNumId w:val="8"/>
  </w:num>
  <w:num w:numId="32">
    <w:abstractNumId w:val="8"/>
  </w:num>
  <w:num w:numId="33">
    <w:abstractNumId w:val="3"/>
  </w:num>
  <w:num w:numId="3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80"/>
    <w:rsid w:val="00000590"/>
    <w:rsid w:val="00000868"/>
    <w:rsid w:val="00000F6A"/>
    <w:rsid w:val="00001618"/>
    <w:rsid w:val="00001B6C"/>
    <w:rsid w:val="00001C89"/>
    <w:rsid w:val="00001D2D"/>
    <w:rsid w:val="00001DE1"/>
    <w:rsid w:val="0000218D"/>
    <w:rsid w:val="000027AE"/>
    <w:rsid w:val="0000288A"/>
    <w:rsid w:val="000037F0"/>
    <w:rsid w:val="00003E2C"/>
    <w:rsid w:val="00004456"/>
    <w:rsid w:val="000044B1"/>
    <w:rsid w:val="000052C7"/>
    <w:rsid w:val="00006EE8"/>
    <w:rsid w:val="00007CEC"/>
    <w:rsid w:val="00007D21"/>
    <w:rsid w:val="00007DD2"/>
    <w:rsid w:val="00007F1A"/>
    <w:rsid w:val="00007F9F"/>
    <w:rsid w:val="00011734"/>
    <w:rsid w:val="00011FB7"/>
    <w:rsid w:val="000143F1"/>
    <w:rsid w:val="00014AA7"/>
    <w:rsid w:val="00014FB6"/>
    <w:rsid w:val="00015061"/>
    <w:rsid w:val="0001511E"/>
    <w:rsid w:val="00015555"/>
    <w:rsid w:val="000155B7"/>
    <w:rsid w:val="00015BDD"/>
    <w:rsid w:val="00016523"/>
    <w:rsid w:val="00016A06"/>
    <w:rsid w:val="00016C91"/>
    <w:rsid w:val="000170D5"/>
    <w:rsid w:val="0001737A"/>
    <w:rsid w:val="00017631"/>
    <w:rsid w:val="00017903"/>
    <w:rsid w:val="0001795E"/>
    <w:rsid w:val="00017B61"/>
    <w:rsid w:val="0002039F"/>
    <w:rsid w:val="0002065E"/>
    <w:rsid w:val="00020CD9"/>
    <w:rsid w:val="00021456"/>
    <w:rsid w:val="00021CD5"/>
    <w:rsid w:val="00022A20"/>
    <w:rsid w:val="00022E1A"/>
    <w:rsid w:val="00022EC5"/>
    <w:rsid w:val="00023C6D"/>
    <w:rsid w:val="00023D74"/>
    <w:rsid w:val="00024948"/>
    <w:rsid w:val="00024CCF"/>
    <w:rsid w:val="00025219"/>
    <w:rsid w:val="000253BC"/>
    <w:rsid w:val="0002590C"/>
    <w:rsid w:val="0002592F"/>
    <w:rsid w:val="00025C92"/>
    <w:rsid w:val="00025FC8"/>
    <w:rsid w:val="0002610F"/>
    <w:rsid w:val="00026395"/>
    <w:rsid w:val="000267A3"/>
    <w:rsid w:val="000273C2"/>
    <w:rsid w:val="00027AD2"/>
    <w:rsid w:val="00027CAD"/>
    <w:rsid w:val="00027DFF"/>
    <w:rsid w:val="000305DE"/>
    <w:rsid w:val="0003062E"/>
    <w:rsid w:val="00030F42"/>
    <w:rsid w:val="0003119A"/>
    <w:rsid w:val="000317FF"/>
    <w:rsid w:val="000318D4"/>
    <w:rsid w:val="00031F65"/>
    <w:rsid w:val="00032191"/>
    <w:rsid w:val="000321D3"/>
    <w:rsid w:val="0003262F"/>
    <w:rsid w:val="00032A96"/>
    <w:rsid w:val="0003305E"/>
    <w:rsid w:val="00034798"/>
    <w:rsid w:val="0003503C"/>
    <w:rsid w:val="0003541C"/>
    <w:rsid w:val="00035550"/>
    <w:rsid w:val="000359E1"/>
    <w:rsid w:val="00035DA9"/>
    <w:rsid w:val="00036D21"/>
    <w:rsid w:val="00036FE3"/>
    <w:rsid w:val="00037FCF"/>
    <w:rsid w:val="000407D2"/>
    <w:rsid w:val="000412EE"/>
    <w:rsid w:val="0004193F"/>
    <w:rsid w:val="00041940"/>
    <w:rsid w:val="00041E02"/>
    <w:rsid w:val="000420AC"/>
    <w:rsid w:val="00042BF8"/>
    <w:rsid w:val="00042DFC"/>
    <w:rsid w:val="00043367"/>
    <w:rsid w:val="00043C36"/>
    <w:rsid w:val="000441C9"/>
    <w:rsid w:val="00044214"/>
    <w:rsid w:val="000442B7"/>
    <w:rsid w:val="0004475F"/>
    <w:rsid w:val="00044C27"/>
    <w:rsid w:val="00045FF4"/>
    <w:rsid w:val="00046314"/>
    <w:rsid w:val="00046385"/>
    <w:rsid w:val="000465BF"/>
    <w:rsid w:val="00046733"/>
    <w:rsid w:val="00046CBD"/>
    <w:rsid w:val="00046CE2"/>
    <w:rsid w:val="00046EDE"/>
    <w:rsid w:val="00047520"/>
    <w:rsid w:val="0004763B"/>
    <w:rsid w:val="000476CE"/>
    <w:rsid w:val="0005002D"/>
    <w:rsid w:val="000503CA"/>
    <w:rsid w:val="00050A39"/>
    <w:rsid w:val="00050A6B"/>
    <w:rsid w:val="00050F69"/>
    <w:rsid w:val="000511DC"/>
    <w:rsid w:val="00051208"/>
    <w:rsid w:val="00051535"/>
    <w:rsid w:val="00051EAE"/>
    <w:rsid w:val="00052930"/>
    <w:rsid w:val="00052F37"/>
    <w:rsid w:val="00053480"/>
    <w:rsid w:val="00053E84"/>
    <w:rsid w:val="0005419D"/>
    <w:rsid w:val="000545EF"/>
    <w:rsid w:val="000548F6"/>
    <w:rsid w:val="00054B32"/>
    <w:rsid w:val="00055853"/>
    <w:rsid w:val="000558B5"/>
    <w:rsid w:val="00055D7D"/>
    <w:rsid w:val="00055DF6"/>
    <w:rsid w:val="000563D3"/>
    <w:rsid w:val="00056BF5"/>
    <w:rsid w:val="000570A1"/>
    <w:rsid w:val="00057255"/>
    <w:rsid w:val="000572E5"/>
    <w:rsid w:val="00060E82"/>
    <w:rsid w:val="00060EA6"/>
    <w:rsid w:val="00061D24"/>
    <w:rsid w:val="00061E99"/>
    <w:rsid w:val="0006225C"/>
    <w:rsid w:val="0006273A"/>
    <w:rsid w:val="00062912"/>
    <w:rsid w:val="00062CC5"/>
    <w:rsid w:val="000631B3"/>
    <w:rsid w:val="00063C50"/>
    <w:rsid w:val="00064536"/>
    <w:rsid w:val="00064EAE"/>
    <w:rsid w:val="00065C6F"/>
    <w:rsid w:val="0006610B"/>
    <w:rsid w:val="000673E7"/>
    <w:rsid w:val="0006752C"/>
    <w:rsid w:val="00067A5A"/>
    <w:rsid w:val="00067AFC"/>
    <w:rsid w:val="00067D3C"/>
    <w:rsid w:val="0007077D"/>
    <w:rsid w:val="0007091E"/>
    <w:rsid w:val="000709CA"/>
    <w:rsid w:val="00070D5E"/>
    <w:rsid w:val="0007115A"/>
    <w:rsid w:val="00071202"/>
    <w:rsid w:val="00071D7F"/>
    <w:rsid w:val="00072F56"/>
    <w:rsid w:val="00073000"/>
    <w:rsid w:val="00073194"/>
    <w:rsid w:val="0007349D"/>
    <w:rsid w:val="000741AE"/>
    <w:rsid w:val="00074641"/>
    <w:rsid w:val="000746EB"/>
    <w:rsid w:val="0007514B"/>
    <w:rsid w:val="000751E0"/>
    <w:rsid w:val="00075A5E"/>
    <w:rsid w:val="00075B67"/>
    <w:rsid w:val="00075EF2"/>
    <w:rsid w:val="0007611D"/>
    <w:rsid w:val="00076668"/>
    <w:rsid w:val="000770F4"/>
    <w:rsid w:val="000778E8"/>
    <w:rsid w:val="00077B13"/>
    <w:rsid w:val="00080115"/>
    <w:rsid w:val="0008073B"/>
    <w:rsid w:val="00080A74"/>
    <w:rsid w:val="00080B35"/>
    <w:rsid w:val="0008167F"/>
    <w:rsid w:val="0008179A"/>
    <w:rsid w:val="000820CD"/>
    <w:rsid w:val="00082530"/>
    <w:rsid w:val="00082EAF"/>
    <w:rsid w:val="0008353B"/>
    <w:rsid w:val="00083573"/>
    <w:rsid w:val="00083F9C"/>
    <w:rsid w:val="00084915"/>
    <w:rsid w:val="00086D50"/>
    <w:rsid w:val="00086F02"/>
    <w:rsid w:val="00086F72"/>
    <w:rsid w:val="000870DE"/>
    <w:rsid w:val="000904A2"/>
    <w:rsid w:val="00090605"/>
    <w:rsid w:val="000908D5"/>
    <w:rsid w:val="000909DD"/>
    <w:rsid w:val="00090AAF"/>
    <w:rsid w:val="00090F53"/>
    <w:rsid w:val="00093542"/>
    <w:rsid w:val="000941A3"/>
    <w:rsid w:val="000949BA"/>
    <w:rsid w:val="00094E58"/>
    <w:rsid w:val="00094FBE"/>
    <w:rsid w:val="0009543D"/>
    <w:rsid w:val="00095847"/>
    <w:rsid w:val="00095A6D"/>
    <w:rsid w:val="00095E9D"/>
    <w:rsid w:val="000967C5"/>
    <w:rsid w:val="00096E8E"/>
    <w:rsid w:val="000973C8"/>
    <w:rsid w:val="00097887"/>
    <w:rsid w:val="00097BDA"/>
    <w:rsid w:val="000A0275"/>
    <w:rsid w:val="000A02FF"/>
    <w:rsid w:val="000A05E6"/>
    <w:rsid w:val="000A0D40"/>
    <w:rsid w:val="000A134E"/>
    <w:rsid w:val="000A161E"/>
    <w:rsid w:val="000A17AE"/>
    <w:rsid w:val="000A2865"/>
    <w:rsid w:val="000A2AA9"/>
    <w:rsid w:val="000A307A"/>
    <w:rsid w:val="000A380B"/>
    <w:rsid w:val="000A38F7"/>
    <w:rsid w:val="000A3B7E"/>
    <w:rsid w:val="000A4DC5"/>
    <w:rsid w:val="000A54B8"/>
    <w:rsid w:val="000A56F2"/>
    <w:rsid w:val="000A57AB"/>
    <w:rsid w:val="000A5C30"/>
    <w:rsid w:val="000A5DED"/>
    <w:rsid w:val="000A5F28"/>
    <w:rsid w:val="000A5F8A"/>
    <w:rsid w:val="000A6879"/>
    <w:rsid w:val="000A6D13"/>
    <w:rsid w:val="000A6E05"/>
    <w:rsid w:val="000A6E99"/>
    <w:rsid w:val="000A6FDB"/>
    <w:rsid w:val="000A6FE0"/>
    <w:rsid w:val="000A729E"/>
    <w:rsid w:val="000A783F"/>
    <w:rsid w:val="000A7D55"/>
    <w:rsid w:val="000B02A6"/>
    <w:rsid w:val="000B12FA"/>
    <w:rsid w:val="000B1FFA"/>
    <w:rsid w:val="000B2617"/>
    <w:rsid w:val="000B2BE9"/>
    <w:rsid w:val="000B37DE"/>
    <w:rsid w:val="000B3997"/>
    <w:rsid w:val="000B3AE4"/>
    <w:rsid w:val="000B419B"/>
    <w:rsid w:val="000B484D"/>
    <w:rsid w:val="000B51C6"/>
    <w:rsid w:val="000B567A"/>
    <w:rsid w:val="000B60BA"/>
    <w:rsid w:val="000B61AA"/>
    <w:rsid w:val="000B636C"/>
    <w:rsid w:val="000B66AA"/>
    <w:rsid w:val="000B68A5"/>
    <w:rsid w:val="000B6927"/>
    <w:rsid w:val="000B6AFD"/>
    <w:rsid w:val="000B77DE"/>
    <w:rsid w:val="000B7B22"/>
    <w:rsid w:val="000C023C"/>
    <w:rsid w:val="000C08BC"/>
    <w:rsid w:val="000C08BF"/>
    <w:rsid w:val="000C0B9E"/>
    <w:rsid w:val="000C0D0F"/>
    <w:rsid w:val="000C11B5"/>
    <w:rsid w:val="000C1259"/>
    <w:rsid w:val="000C17AE"/>
    <w:rsid w:val="000C1980"/>
    <w:rsid w:val="000C2B41"/>
    <w:rsid w:val="000C3256"/>
    <w:rsid w:val="000C3B9A"/>
    <w:rsid w:val="000C3E83"/>
    <w:rsid w:val="000C453A"/>
    <w:rsid w:val="000C4853"/>
    <w:rsid w:val="000C4F34"/>
    <w:rsid w:val="000C5601"/>
    <w:rsid w:val="000C5968"/>
    <w:rsid w:val="000C5A8A"/>
    <w:rsid w:val="000C6626"/>
    <w:rsid w:val="000C6BDB"/>
    <w:rsid w:val="000C71AA"/>
    <w:rsid w:val="000C72C0"/>
    <w:rsid w:val="000C769E"/>
    <w:rsid w:val="000D027F"/>
    <w:rsid w:val="000D07A3"/>
    <w:rsid w:val="000D0943"/>
    <w:rsid w:val="000D17F4"/>
    <w:rsid w:val="000D2060"/>
    <w:rsid w:val="000D259D"/>
    <w:rsid w:val="000D25A8"/>
    <w:rsid w:val="000D2621"/>
    <w:rsid w:val="000D2C13"/>
    <w:rsid w:val="000D3266"/>
    <w:rsid w:val="000D45F1"/>
    <w:rsid w:val="000D4733"/>
    <w:rsid w:val="000D4796"/>
    <w:rsid w:val="000D4D4A"/>
    <w:rsid w:val="000D5540"/>
    <w:rsid w:val="000D5756"/>
    <w:rsid w:val="000D5765"/>
    <w:rsid w:val="000D5851"/>
    <w:rsid w:val="000D5BBE"/>
    <w:rsid w:val="000D5E17"/>
    <w:rsid w:val="000D693E"/>
    <w:rsid w:val="000D6B39"/>
    <w:rsid w:val="000D6D65"/>
    <w:rsid w:val="000E00C6"/>
    <w:rsid w:val="000E02BF"/>
    <w:rsid w:val="000E0324"/>
    <w:rsid w:val="000E0A8A"/>
    <w:rsid w:val="000E0AC2"/>
    <w:rsid w:val="000E1860"/>
    <w:rsid w:val="000E1ACB"/>
    <w:rsid w:val="000E1C24"/>
    <w:rsid w:val="000E1D91"/>
    <w:rsid w:val="000E1F28"/>
    <w:rsid w:val="000E1FEC"/>
    <w:rsid w:val="000E2065"/>
    <w:rsid w:val="000E2381"/>
    <w:rsid w:val="000E2AE1"/>
    <w:rsid w:val="000E3BC0"/>
    <w:rsid w:val="000E3D5F"/>
    <w:rsid w:val="000E4288"/>
    <w:rsid w:val="000E46CC"/>
    <w:rsid w:val="000E485A"/>
    <w:rsid w:val="000E4BDA"/>
    <w:rsid w:val="000E4C53"/>
    <w:rsid w:val="000E50E7"/>
    <w:rsid w:val="000E56A9"/>
    <w:rsid w:val="000E6518"/>
    <w:rsid w:val="000E6CD3"/>
    <w:rsid w:val="000E6F45"/>
    <w:rsid w:val="000E704D"/>
    <w:rsid w:val="000E7529"/>
    <w:rsid w:val="000E78BD"/>
    <w:rsid w:val="000E7B44"/>
    <w:rsid w:val="000E7DB5"/>
    <w:rsid w:val="000F00E6"/>
    <w:rsid w:val="000F0AEF"/>
    <w:rsid w:val="000F0EB3"/>
    <w:rsid w:val="000F0F65"/>
    <w:rsid w:val="000F1026"/>
    <w:rsid w:val="000F1306"/>
    <w:rsid w:val="000F133C"/>
    <w:rsid w:val="000F16FD"/>
    <w:rsid w:val="000F1DA4"/>
    <w:rsid w:val="000F2406"/>
    <w:rsid w:val="000F24FC"/>
    <w:rsid w:val="000F2523"/>
    <w:rsid w:val="000F25ED"/>
    <w:rsid w:val="000F26E5"/>
    <w:rsid w:val="000F27FB"/>
    <w:rsid w:val="000F2AD9"/>
    <w:rsid w:val="000F2C9F"/>
    <w:rsid w:val="000F3A20"/>
    <w:rsid w:val="000F4226"/>
    <w:rsid w:val="000F4910"/>
    <w:rsid w:val="000F524F"/>
    <w:rsid w:val="000F5EA8"/>
    <w:rsid w:val="000F627A"/>
    <w:rsid w:val="000F64B5"/>
    <w:rsid w:val="000F6CEF"/>
    <w:rsid w:val="000F7902"/>
    <w:rsid w:val="000F7A9A"/>
    <w:rsid w:val="0010227D"/>
    <w:rsid w:val="00102407"/>
    <w:rsid w:val="0010242E"/>
    <w:rsid w:val="00102CA9"/>
    <w:rsid w:val="00103778"/>
    <w:rsid w:val="00104C62"/>
    <w:rsid w:val="00105823"/>
    <w:rsid w:val="00105828"/>
    <w:rsid w:val="0010639C"/>
    <w:rsid w:val="00106461"/>
    <w:rsid w:val="001065B2"/>
    <w:rsid w:val="00106BCA"/>
    <w:rsid w:val="00106CC3"/>
    <w:rsid w:val="001076FC"/>
    <w:rsid w:val="0010782F"/>
    <w:rsid w:val="0010795D"/>
    <w:rsid w:val="00107EC7"/>
    <w:rsid w:val="001100F5"/>
    <w:rsid w:val="00110307"/>
    <w:rsid w:val="0011031E"/>
    <w:rsid w:val="00110369"/>
    <w:rsid w:val="00110741"/>
    <w:rsid w:val="001111C2"/>
    <w:rsid w:val="001111CB"/>
    <w:rsid w:val="00111491"/>
    <w:rsid w:val="001118B6"/>
    <w:rsid w:val="00111AAA"/>
    <w:rsid w:val="00111C66"/>
    <w:rsid w:val="00112352"/>
    <w:rsid w:val="00112959"/>
    <w:rsid w:val="00112F16"/>
    <w:rsid w:val="00113225"/>
    <w:rsid w:val="00113319"/>
    <w:rsid w:val="001133AA"/>
    <w:rsid w:val="00113464"/>
    <w:rsid w:val="001134B0"/>
    <w:rsid w:val="001134DE"/>
    <w:rsid w:val="001136BB"/>
    <w:rsid w:val="00113EB9"/>
    <w:rsid w:val="00114176"/>
    <w:rsid w:val="00114959"/>
    <w:rsid w:val="00115308"/>
    <w:rsid w:val="00115583"/>
    <w:rsid w:val="001155BB"/>
    <w:rsid w:val="00115967"/>
    <w:rsid w:val="00115E14"/>
    <w:rsid w:val="00116065"/>
    <w:rsid w:val="001162EC"/>
    <w:rsid w:val="00116345"/>
    <w:rsid w:val="001163C3"/>
    <w:rsid w:val="00116BC5"/>
    <w:rsid w:val="00116ED7"/>
    <w:rsid w:val="001171B3"/>
    <w:rsid w:val="00117384"/>
    <w:rsid w:val="00117669"/>
    <w:rsid w:val="0011768B"/>
    <w:rsid w:val="001179E4"/>
    <w:rsid w:val="00120860"/>
    <w:rsid w:val="00120A5A"/>
    <w:rsid w:val="00120A9A"/>
    <w:rsid w:val="00120B53"/>
    <w:rsid w:val="00121089"/>
    <w:rsid w:val="00121D33"/>
    <w:rsid w:val="00121EA8"/>
    <w:rsid w:val="00122849"/>
    <w:rsid w:val="001237D4"/>
    <w:rsid w:val="00123E17"/>
    <w:rsid w:val="00124144"/>
    <w:rsid w:val="0012458B"/>
    <w:rsid w:val="001246A5"/>
    <w:rsid w:val="00124D1E"/>
    <w:rsid w:val="00124DCD"/>
    <w:rsid w:val="00124FD7"/>
    <w:rsid w:val="00125E2E"/>
    <w:rsid w:val="00126AB2"/>
    <w:rsid w:val="00126F54"/>
    <w:rsid w:val="00127113"/>
    <w:rsid w:val="00127517"/>
    <w:rsid w:val="001275CD"/>
    <w:rsid w:val="00127854"/>
    <w:rsid w:val="0013063E"/>
    <w:rsid w:val="001306A7"/>
    <w:rsid w:val="001306D3"/>
    <w:rsid w:val="00131494"/>
    <w:rsid w:val="00131593"/>
    <w:rsid w:val="00131C84"/>
    <w:rsid w:val="0013238C"/>
    <w:rsid w:val="00132B2C"/>
    <w:rsid w:val="00132F02"/>
    <w:rsid w:val="00133461"/>
    <w:rsid w:val="00133BF8"/>
    <w:rsid w:val="00134107"/>
    <w:rsid w:val="00135514"/>
    <w:rsid w:val="00135987"/>
    <w:rsid w:val="00135BAB"/>
    <w:rsid w:val="00136117"/>
    <w:rsid w:val="0013634B"/>
    <w:rsid w:val="00136510"/>
    <w:rsid w:val="0013694D"/>
    <w:rsid w:val="00136EF8"/>
    <w:rsid w:val="00136FDE"/>
    <w:rsid w:val="0013753A"/>
    <w:rsid w:val="00137AE2"/>
    <w:rsid w:val="00137D17"/>
    <w:rsid w:val="00137D1F"/>
    <w:rsid w:val="0014023C"/>
    <w:rsid w:val="001405B8"/>
    <w:rsid w:val="001407D5"/>
    <w:rsid w:val="00140831"/>
    <w:rsid w:val="001409A8"/>
    <w:rsid w:val="00141274"/>
    <w:rsid w:val="001415C5"/>
    <w:rsid w:val="001415CC"/>
    <w:rsid w:val="001418F9"/>
    <w:rsid w:val="00141913"/>
    <w:rsid w:val="00142551"/>
    <w:rsid w:val="001426ED"/>
    <w:rsid w:val="00142892"/>
    <w:rsid w:val="00143A0F"/>
    <w:rsid w:val="00144135"/>
    <w:rsid w:val="00144204"/>
    <w:rsid w:val="001449B5"/>
    <w:rsid w:val="00144C52"/>
    <w:rsid w:val="00144F34"/>
    <w:rsid w:val="001450CC"/>
    <w:rsid w:val="00145A01"/>
    <w:rsid w:val="001460A8"/>
    <w:rsid w:val="0014746C"/>
    <w:rsid w:val="0014767E"/>
    <w:rsid w:val="00147CB2"/>
    <w:rsid w:val="001506A3"/>
    <w:rsid w:val="001506D8"/>
    <w:rsid w:val="00150863"/>
    <w:rsid w:val="0015090D"/>
    <w:rsid w:val="00150922"/>
    <w:rsid w:val="001510F2"/>
    <w:rsid w:val="001514A6"/>
    <w:rsid w:val="00152600"/>
    <w:rsid w:val="00152968"/>
    <w:rsid w:val="0015299A"/>
    <w:rsid w:val="00152C76"/>
    <w:rsid w:val="001538FF"/>
    <w:rsid w:val="00153B2D"/>
    <w:rsid w:val="00153F4A"/>
    <w:rsid w:val="0015462B"/>
    <w:rsid w:val="00154934"/>
    <w:rsid w:val="00154F39"/>
    <w:rsid w:val="001551A7"/>
    <w:rsid w:val="00155237"/>
    <w:rsid w:val="00155A17"/>
    <w:rsid w:val="00155C32"/>
    <w:rsid w:val="00155DB6"/>
    <w:rsid w:val="00155E35"/>
    <w:rsid w:val="00155F51"/>
    <w:rsid w:val="001564AB"/>
    <w:rsid w:val="00156653"/>
    <w:rsid w:val="00156938"/>
    <w:rsid w:val="001569E1"/>
    <w:rsid w:val="00156F86"/>
    <w:rsid w:val="0015773E"/>
    <w:rsid w:val="00157FB1"/>
    <w:rsid w:val="00160A78"/>
    <w:rsid w:val="0016232C"/>
    <w:rsid w:val="00162F1D"/>
    <w:rsid w:val="00163011"/>
    <w:rsid w:val="001632E3"/>
    <w:rsid w:val="001637FC"/>
    <w:rsid w:val="00163E66"/>
    <w:rsid w:val="00164053"/>
    <w:rsid w:val="00164B3F"/>
    <w:rsid w:val="00164C9D"/>
    <w:rsid w:val="00164E8F"/>
    <w:rsid w:val="00164EDE"/>
    <w:rsid w:val="0016521E"/>
    <w:rsid w:val="0016562C"/>
    <w:rsid w:val="00165708"/>
    <w:rsid w:val="001657AE"/>
    <w:rsid w:val="00165C8B"/>
    <w:rsid w:val="00165FAC"/>
    <w:rsid w:val="0016655E"/>
    <w:rsid w:val="001669E7"/>
    <w:rsid w:val="00166D3D"/>
    <w:rsid w:val="00167477"/>
    <w:rsid w:val="001678B8"/>
    <w:rsid w:val="00167983"/>
    <w:rsid w:val="00167DCD"/>
    <w:rsid w:val="00167E72"/>
    <w:rsid w:val="0017060F"/>
    <w:rsid w:val="00170645"/>
    <w:rsid w:val="00170FC0"/>
    <w:rsid w:val="00171118"/>
    <w:rsid w:val="001713B2"/>
    <w:rsid w:val="00171419"/>
    <w:rsid w:val="00171F75"/>
    <w:rsid w:val="00172395"/>
    <w:rsid w:val="00173596"/>
    <w:rsid w:val="0017435B"/>
    <w:rsid w:val="00174614"/>
    <w:rsid w:val="00174DA1"/>
    <w:rsid w:val="00175479"/>
    <w:rsid w:val="00175E98"/>
    <w:rsid w:val="00175EC6"/>
    <w:rsid w:val="00176043"/>
    <w:rsid w:val="001762BA"/>
    <w:rsid w:val="00176FB3"/>
    <w:rsid w:val="0017709A"/>
    <w:rsid w:val="00177431"/>
    <w:rsid w:val="00177674"/>
    <w:rsid w:val="001777F6"/>
    <w:rsid w:val="00177B63"/>
    <w:rsid w:val="00177D42"/>
    <w:rsid w:val="00180310"/>
    <w:rsid w:val="001805FD"/>
    <w:rsid w:val="00181A09"/>
    <w:rsid w:val="00182286"/>
    <w:rsid w:val="0018287B"/>
    <w:rsid w:val="00182990"/>
    <w:rsid w:val="00183361"/>
    <w:rsid w:val="00184198"/>
    <w:rsid w:val="00184624"/>
    <w:rsid w:val="001848E9"/>
    <w:rsid w:val="00184A3E"/>
    <w:rsid w:val="00184C13"/>
    <w:rsid w:val="00184DF0"/>
    <w:rsid w:val="0018551A"/>
    <w:rsid w:val="0018612B"/>
    <w:rsid w:val="00186520"/>
    <w:rsid w:val="001866C2"/>
    <w:rsid w:val="00187031"/>
    <w:rsid w:val="0018747D"/>
    <w:rsid w:val="00187666"/>
    <w:rsid w:val="00187689"/>
    <w:rsid w:val="0018785E"/>
    <w:rsid w:val="00187930"/>
    <w:rsid w:val="00190417"/>
    <w:rsid w:val="00191035"/>
    <w:rsid w:val="0019115B"/>
    <w:rsid w:val="0019123B"/>
    <w:rsid w:val="00191B09"/>
    <w:rsid w:val="00191B64"/>
    <w:rsid w:val="0019280B"/>
    <w:rsid w:val="00192D4D"/>
    <w:rsid w:val="00192DCE"/>
    <w:rsid w:val="00192FBD"/>
    <w:rsid w:val="00193332"/>
    <w:rsid w:val="00193A19"/>
    <w:rsid w:val="00193E71"/>
    <w:rsid w:val="001940C8"/>
    <w:rsid w:val="00194401"/>
    <w:rsid w:val="0019497E"/>
    <w:rsid w:val="00194F05"/>
    <w:rsid w:val="00195126"/>
    <w:rsid w:val="00195762"/>
    <w:rsid w:val="00195CA7"/>
    <w:rsid w:val="001961D2"/>
    <w:rsid w:val="00196756"/>
    <w:rsid w:val="0019677B"/>
    <w:rsid w:val="001968DC"/>
    <w:rsid w:val="001A10C4"/>
    <w:rsid w:val="001A1220"/>
    <w:rsid w:val="001A12A7"/>
    <w:rsid w:val="001A16AF"/>
    <w:rsid w:val="001A1E32"/>
    <w:rsid w:val="001A2AC0"/>
    <w:rsid w:val="001A2B34"/>
    <w:rsid w:val="001A3468"/>
    <w:rsid w:val="001A3907"/>
    <w:rsid w:val="001A46AE"/>
    <w:rsid w:val="001A4BF8"/>
    <w:rsid w:val="001A6E00"/>
    <w:rsid w:val="001A72C1"/>
    <w:rsid w:val="001A740E"/>
    <w:rsid w:val="001B0714"/>
    <w:rsid w:val="001B0C84"/>
    <w:rsid w:val="001B1AA0"/>
    <w:rsid w:val="001B1CB7"/>
    <w:rsid w:val="001B2E24"/>
    <w:rsid w:val="001B307D"/>
    <w:rsid w:val="001B3690"/>
    <w:rsid w:val="001B3B41"/>
    <w:rsid w:val="001B3E9E"/>
    <w:rsid w:val="001B3EC2"/>
    <w:rsid w:val="001B4367"/>
    <w:rsid w:val="001B4913"/>
    <w:rsid w:val="001B611E"/>
    <w:rsid w:val="001B68D0"/>
    <w:rsid w:val="001B6B96"/>
    <w:rsid w:val="001B6BC5"/>
    <w:rsid w:val="001B762E"/>
    <w:rsid w:val="001B7A3B"/>
    <w:rsid w:val="001B7B91"/>
    <w:rsid w:val="001B7DAF"/>
    <w:rsid w:val="001C06B9"/>
    <w:rsid w:val="001C0A3D"/>
    <w:rsid w:val="001C0A5E"/>
    <w:rsid w:val="001C1339"/>
    <w:rsid w:val="001C1527"/>
    <w:rsid w:val="001C165F"/>
    <w:rsid w:val="001C17C5"/>
    <w:rsid w:val="001C1811"/>
    <w:rsid w:val="001C27C1"/>
    <w:rsid w:val="001C28BD"/>
    <w:rsid w:val="001C295D"/>
    <w:rsid w:val="001C363F"/>
    <w:rsid w:val="001C36FA"/>
    <w:rsid w:val="001C37D5"/>
    <w:rsid w:val="001C3E52"/>
    <w:rsid w:val="001C4165"/>
    <w:rsid w:val="001C418B"/>
    <w:rsid w:val="001C457B"/>
    <w:rsid w:val="001C46EA"/>
    <w:rsid w:val="001C4708"/>
    <w:rsid w:val="001C47EE"/>
    <w:rsid w:val="001C50F1"/>
    <w:rsid w:val="001C5837"/>
    <w:rsid w:val="001C5C6D"/>
    <w:rsid w:val="001C5EE7"/>
    <w:rsid w:val="001C6078"/>
    <w:rsid w:val="001C6D65"/>
    <w:rsid w:val="001C6FA3"/>
    <w:rsid w:val="001C7419"/>
    <w:rsid w:val="001C7A80"/>
    <w:rsid w:val="001C7AB9"/>
    <w:rsid w:val="001D027A"/>
    <w:rsid w:val="001D0ACA"/>
    <w:rsid w:val="001D0E52"/>
    <w:rsid w:val="001D0EF8"/>
    <w:rsid w:val="001D12F5"/>
    <w:rsid w:val="001D1CBC"/>
    <w:rsid w:val="001D22E1"/>
    <w:rsid w:val="001D2578"/>
    <w:rsid w:val="001D276D"/>
    <w:rsid w:val="001D2BD2"/>
    <w:rsid w:val="001D325E"/>
    <w:rsid w:val="001D3349"/>
    <w:rsid w:val="001D3BD9"/>
    <w:rsid w:val="001D3DE4"/>
    <w:rsid w:val="001D42FF"/>
    <w:rsid w:val="001D4DAA"/>
    <w:rsid w:val="001D51B7"/>
    <w:rsid w:val="001D5470"/>
    <w:rsid w:val="001D5588"/>
    <w:rsid w:val="001D5C6C"/>
    <w:rsid w:val="001D61D9"/>
    <w:rsid w:val="001D67BF"/>
    <w:rsid w:val="001D67CB"/>
    <w:rsid w:val="001D6B10"/>
    <w:rsid w:val="001D6CD2"/>
    <w:rsid w:val="001D6EA7"/>
    <w:rsid w:val="001D6ED1"/>
    <w:rsid w:val="001D7273"/>
    <w:rsid w:val="001D73B7"/>
    <w:rsid w:val="001E03FE"/>
    <w:rsid w:val="001E0492"/>
    <w:rsid w:val="001E067F"/>
    <w:rsid w:val="001E0F86"/>
    <w:rsid w:val="001E116E"/>
    <w:rsid w:val="001E2047"/>
    <w:rsid w:val="001E235C"/>
    <w:rsid w:val="001E269A"/>
    <w:rsid w:val="001E2A62"/>
    <w:rsid w:val="001E3372"/>
    <w:rsid w:val="001E3405"/>
    <w:rsid w:val="001E3D66"/>
    <w:rsid w:val="001E4407"/>
    <w:rsid w:val="001E45EA"/>
    <w:rsid w:val="001E4E90"/>
    <w:rsid w:val="001E562D"/>
    <w:rsid w:val="001E5900"/>
    <w:rsid w:val="001E5FE9"/>
    <w:rsid w:val="001E647B"/>
    <w:rsid w:val="001E67BA"/>
    <w:rsid w:val="001E6AD6"/>
    <w:rsid w:val="001E6AEE"/>
    <w:rsid w:val="001E7838"/>
    <w:rsid w:val="001E7CAB"/>
    <w:rsid w:val="001F0159"/>
    <w:rsid w:val="001F028C"/>
    <w:rsid w:val="001F0AB5"/>
    <w:rsid w:val="001F0FD3"/>
    <w:rsid w:val="001F2247"/>
    <w:rsid w:val="001F2317"/>
    <w:rsid w:val="001F24D3"/>
    <w:rsid w:val="001F2819"/>
    <w:rsid w:val="001F2961"/>
    <w:rsid w:val="001F3BD4"/>
    <w:rsid w:val="001F4E7D"/>
    <w:rsid w:val="001F4FB5"/>
    <w:rsid w:val="001F5D59"/>
    <w:rsid w:val="001F602E"/>
    <w:rsid w:val="001F6B88"/>
    <w:rsid w:val="001F6EE4"/>
    <w:rsid w:val="001F79D0"/>
    <w:rsid w:val="001F7AF1"/>
    <w:rsid w:val="001F7E21"/>
    <w:rsid w:val="001F7F7A"/>
    <w:rsid w:val="0020043F"/>
    <w:rsid w:val="00200764"/>
    <w:rsid w:val="00200AAA"/>
    <w:rsid w:val="00200C76"/>
    <w:rsid w:val="00200C83"/>
    <w:rsid w:val="00201104"/>
    <w:rsid w:val="00201E13"/>
    <w:rsid w:val="00201EDB"/>
    <w:rsid w:val="00201F84"/>
    <w:rsid w:val="00202228"/>
    <w:rsid w:val="00202F46"/>
    <w:rsid w:val="0020306F"/>
    <w:rsid w:val="002030CF"/>
    <w:rsid w:val="002036BB"/>
    <w:rsid w:val="00203864"/>
    <w:rsid w:val="00203F37"/>
    <w:rsid w:val="0020438B"/>
    <w:rsid w:val="002043EC"/>
    <w:rsid w:val="00204681"/>
    <w:rsid w:val="00204922"/>
    <w:rsid w:val="00204FF8"/>
    <w:rsid w:val="0020559D"/>
    <w:rsid w:val="00205612"/>
    <w:rsid w:val="00205A03"/>
    <w:rsid w:val="0020625A"/>
    <w:rsid w:val="002062E3"/>
    <w:rsid w:val="00206EC7"/>
    <w:rsid w:val="002072D7"/>
    <w:rsid w:val="00210002"/>
    <w:rsid w:val="002101D9"/>
    <w:rsid w:val="00210590"/>
    <w:rsid w:val="002105AA"/>
    <w:rsid w:val="00210A21"/>
    <w:rsid w:val="00210B93"/>
    <w:rsid w:val="00210F8E"/>
    <w:rsid w:val="002116B8"/>
    <w:rsid w:val="00211794"/>
    <w:rsid w:val="00211BAE"/>
    <w:rsid w:val="00211CDD"/>
    <w:rsid w:val="00212007"/>
    <w:rsid w:val="00212583"/>
    <w:rsid w:val="002126E8"/>
    <w:rsid w:val="00212EEA"/>
    <w:rsid w:val="00213077"/>
    <w:rsid w:val="0021346F"/>
    <w:rsid w:val="00213704"/>
    <w:rsid w:val="00213C81"/>
    <w:rsid w:val="00213F87"/>
    <w:rsid w:val="002142FA"/>
    <w:rsid w:val="00214DE8"/>
    <w:rsid w:val="002158F5"/>
    <w:rsid w:val="00216217"/>
    <w:rsid w:val="002166A8"/>
    <w:rsid w:val="002167A8"/>
    <w:rsid w:val="00217039"/>
    <w:rsid w:val="00217972"/>
    <w:rsid w:val="002179C5"/>
    <w:rsid w:val="00217A56"/>
    <w:rsid w:val="00217DB8"/>
    <w:rsid w:val="002203B0"/>
    <w:rsid w:val="0022043A"/>
    <w:rsid w:val="002205BD"/>
    <w:rsid w:val="002219CD"/>
    <w:rsid w:val="00222437"/>
    <w:rsid w:val="002226C7"/>
    <w:rsid w:val="00222A42"/>
    <w:rsid w:val="002231E5"/>
    <w:rsid w:val="0022340D"/>
    <w:rsid w:val="00223439"/>
    <w:rsid w:val="00223663"/>
    <w:rsid w:val="002242DD"/>
    <w:rsid w:val="0022449A"/>
    <w:rsid w:val="0022471E"/>
    <w:rsid w:val="00224D72"/>
    <w:rsid w:val="00225250"/>
    <w:rsid w:val="00225348"/>
    <w:rsid w:val="002258BB"/>
    <w:rsid w:val="00225BFE"/>
    <w:rsid w:val="00225C44"/>
    <w:rsid w:val="002260B5"/>
    <w:rsid w:val="00226186"/>
    <w:rsid w:val="00226390"/>
    <w:rsid w:val="00226DB2"/>
    <w:rsid w:val="002271ED"/>
    <w:rsid w:val="00227221"/>
    <w:rsid w:val="0022733D"/>
    <w:rsid w:val="002279C4"/>
    <w:rsid w:val="00227F44"/>
    <w:rsid w:val="00230178"/>
    <w:rsid w:val="002302D6"/>
    <w:rsid w:val="0023095D"/>
    <w:rsid w:val="00230E3E"/>
    <w:rsid w:val="00230EDA"/>
    <w:rsid w:val="0023131C"/>
    <w:rsid w:val="002313E0"/>
    <w:rsid w:val="00231813"/>
    <w:rsid w:val="00231825"/>
    <w:rsid w:val="00231A6B"/>
    <w:rsid w:val="00231DA7"/>
    <w:rsid w:val="0023216C"/>
    <w:rsid w:val="00232663"/>
    <w:rsid w:val="00233A2C"/>
    <w:rsid w:val="00234361"/>
    <w:rsid w:val="00234445"/>
    <w:rsid w:val="0023484F"/>
    <w:rsid w:val="002348D1"/>
    <w:rsid w:val="00234B48"/>
    <w:rsid w:val="002351C1"/>
    <w:rsid w:val="002356AC"/>
    <w:rsid w:val="00235A94"/>
    <w:rsid w:val="00235B6C"/>
    <w:rsid w:val="002361B9"/>
    <w:rsid w:val="00236536"/>
    <w:rsid w:val="00236602"/>
    <w:rsid w:val="00236E03"/>
    <w:rsid w:val="00237D57"/>
    <w:rsid w:val="00237F4D"/>
    <w:rsid w:val="0024025D"/>
    <w:rsid w:val="00240A3F"/>
    <w:rsid w:val="00240D4D"/>
    <w:rsid w:val="00241585"/>
    <w:rsid w:val="002416AE"/>
    <w:rsid w:val="002416E9"/>
    <w:rsid w:val="0024282F"/>
    <w:rsid w:val="00242865"/>
    <w:rsid w:val="00242F93"/>
    <w:rsid w:val="0024344B"/>
    <w:rsid w:val="00243460"/>
    <w:rsid w:val="0024361D"/>
    <w:rsid w:val="00243DC0"/>
    <w:rsid w:val="00244954"/>
    <w:rsid w:val="0024515F"/>
    <w:rsid w:val="0024608A"/>
    <w:rsid w:val="0024615D"/>
    <w:rsid w:val="00246D17"/>
    <w:rsid w:val="00247102"/>
    <w:rsid w:val="00247477"/>
    <w:rsid w:val="0024760F"/>
    <w:rsid w:val="00247941"/>
    <w:rsid w:val="00247BD0"/>
    <w:rsid w:val="00247BF3"/>
    <w:rsid w:val="00247CD3"/>
    <w:rsid w:val="002502A7"/>
    <w:rsid w:val="002505E5"/>
    <w:rsid w:val="00250682"/>
    <w:rsid w:val="002506E1"/>
    <w:rsid w:val="002507A1"/>
    <w:rsid w:val="00250A2B"/>
    <w:rsid w:val="00250B60"/>
    <w:rsid w:val="00250F75"/>
    <w:rsid w:val="00252581"/>
    <w:rsid w:val="00253169"/>
    <w:rsid w:val="00253318"/>
    <w:rsid w:val="00253D3B"/>
    <w:rsid w:val="00254719"/>
    <w:rsid w:val="002549E2"/>
    <w:rsid w:val="0025540F"/>
    <w:rsid w:val="002557F1"/>
    <w:rsid w:val="00255834"/>
    <w:rsid w:val="00256973"/>
    <w:rsid w:val="002569D2"/>
    <w:rsid w:val="00256AF2"/>
    <w:rsid w:val="00256B5B"/>
    <w:rsid w:val="0025707C"/>
    <w:rsid w:val="0025793A"/>
    <w:rsid w:val="00257E90"/>
    <w:rsid w:val="00260009"/>
    <w:rsid w:val="002602AB"/>
    <w:rsid w:val="0026140A"/>
    <w:rsid w:val="002615E0"/>
    <w:rsid w:val="00261716"/>
    <w:rsid w:val="00261BB8"/>
    <w:rsid w:val="00261F51"/>
    <w:rsid w:val="002622BF"/>
    <w:rsid w:val="00262A15"/>
    <w:rsid w:val="00262D58"/>
    <w:rsid w:val="00262FF5"/>
    <w:rsid w:val="002631E1"/>
    <w:rsid w:val="002638A5"/>
    <w:rsid w:val="00263B38"/>
    <w:rsid w:val="00263BBB"/>
    <w:rsid w:val="00263D41"/>
    <w:rsid w:val="00264420"/>
    <w:rsid w:val="0026448F"/>
    <w:rsid w:val="002645CF"/>
    <w:rsid w:val="002647B3"/>
    <w:rsid w:val="00264851"/>
    <w:rsid w:val="0026488D"/>
    <w:rsid w:val="00264FFF"/>
    <w:rsid w:val="00265182"/>
    <w:rsid w:val="00265ECD"/>
    <w:rsid w:val="00267083"/>
    <w:rsid w:val="002671B9"/>
    <w:rsid w:val="002678D5"/>
    <w:rsid w:val="00267A98"/>
    <w:rsid w:val="00267BD8"/>
    <w:rsid w:val="00267E76"/>
    <w:rsid w:val="00270003"/>
    <w:rsid w:val="002700CA"/>
    <w:rsid w:val="00270414"/>
    <w:rsid w:val="00270440"/>
    <w:rsid w:val="0027088E"/>
    <w:rsid w:val="00270C6A"/>
    <w:rsid w:val="002714DA"/>
    <w:rsid w:val="00271B2A"/>
    <w:rsid w:val="00272044"/>
    <w:rsid w:val="002723AA"/>
    <w:rsid w:val="002725CA"/>
    <w:rsid w:val="002739F7"/>
    <w:rsid w:val="00273B9E"/>
    <w:rsid w:val="0027400B"/>
    <w:rsid w:val="0027536C"/>
    <w:rsid w:val="0027585E"/>
    <w:rsid w:val="00275BE9"/>
    <w:rsid w:val="00275C55"/>
    <w:rsid w:val="00276805"/>
    <w:rsid w:val="00276A6F"/>
    <w:rsid w:val="00276D02"/>
    <w:rsid w:val="00276D53"/>
    <w:rsid w:val="00276E2B"/>
    <w:rsid w:val="0027748B"/>
    <w:rsid w:val="00277B32"/>
    <w:rsid w:val="00277B79"/>
    <w:rsid w:val="00277BEC"/>
    <w:rsid w:val="002800D5"/>
    <w:rsid w:val="00281352"/>
    <w:rsid w:val="00281E18"/>
    <w:rsid w:val="002824D3"/>
    <w:rsid w:val="0028274B"/>
    <w:rsid w:val="002827D0"/>
    <w:rsid w:val="002836C5"/>
    <w:rsid w:val="0028381D"/>
    <w:rsid w:val="00283EF8"/>
    <w:rsid w:val="00284147"/>
    <w:rsid w:val="00284475"/>
    <w:rsid w:val="00285042"/>
    <w:rsid w:val="00285420"/>
    <w:rsid w:val="002854D4"/>
    <w:rsid w:val="00285619"/>
    <w:rsid w:val="0028686C"/>
    <w:rsid w:val="00286970"/>
    <w:rsid w:val="0028761B"/>
    <w:rsid w:val="00287B5E"/>
    <w:rsid w:val="00287CAB"/>
    <w:rsid w:val="0029007F"/>
    <w:rsid w:val="002902C0"/>
    <w:rsid w:val="00291B04"/>
    <w:rsid w:val="00292155"/>
    <w:rsid w:val="002921AB"/>
    <w:rsid w:val="002926AF"/>
    <w:rsid w:val="0029292A"/>
    <w:rsid w:val="00293189"/>
    <w:rsid w:val="002931A1"/>
    <w:rsid w:val="0029336C"/>
    <w:rsid w:val="00293571"/>
    <w:rsid w:val="0029369F"/>
    <w:rsid w:val="00293B8F"/>
    <w:rsid w:val="00293DEE"/>
    <w:rsid w:val="00294149"/>
    <w:rsid w:val="00294164"/>
    <w:rsid w:val="00294897"/>
    <w:rsid w:val="002948BF"/>
    <w:rsid w:val="00294BF7"/>
    <w:rsid w:val="00294BFA"/>
    <w:rsid w:val="00294F1A"/>
    <w:rsid w:val="002954BB"/>
    <w:rsid w:val="00295CA9"/>
    <w:rsid w:val="0029658A"/>
    <w:rsid w:val="00296713"/>
    <w:rsid w:val="0029677F"/>
    <w:rsid w:val="00296CB2"/>
    <w:rsid w:val="00297161"/>
    <w:rsid w:val="002972E1"/>
    <w:rsid w:val="00297549"/>
    <w:rsid w:val="00297B2D"/>
    <w:rsid w:val="00297B32"/>
    <w:rsid w:val="00297C1D"/>
    <w:rsid w:val="002A06E1"/>
    <w:rsid w:val="002A0B5D"/>
    <w:rsid w:val="002A0F90"/>
    <w:rsid w:val="002A12BF"/>
    <w:rsid w:val="002A17D0"/>
    <w:rsid w:val="002A1B59"/>
    <w:rsid w:val="002A21EA"/>
    <w:rsid w:val="002A24D0"/>
    <w:rsid w:val="002A27D3"/>
    <w:rsid w:val="002A2BD5"/>
    <w:rsid w:val="002A31F1"/>
    <w:rsid w:val="002A3248"/>
    <w:rsid w:val="002A33B7"/>
    <w:rsid w:val="002A38D0"/>
    <w:rsid w:val="002A3B98"/>
    <w:rsid w:val="002A3C90"/>
    <w:rsid w:val="002A413A"/>
    <w:rsid w:val="002A4363"/>
    <w:rsid w:val="002A537D"/>
    <w:rsid w:val="002A54A4"/>
    <w:rsid w:val="002A57D5"/>
    <w:rsid w:val="002A5AD1"/>
    <w:rsid w:val="002A7141"/>
    <w:rsid w:val="002A788C"/>
    <w:rsid w:val="002A7BD2"/>
    <w:rsid w:val="002B0513"/>
    <w:rsid w:val="002B0D3C"/>
    <w:rsid w:val="002B0DD8"/>
    <w:rsid w:val="002B110D"/>
    <w:rsid w:val="002B1199"/>
    <w:rsid w:val="002B150D"/>
    <w:rsid w:val="002B1586"/>
    <w:rsid w:val="002B1705"/>
    <w:rsid w:val="002B1C8E"/>
    <w:rsid w:val="002B1DF9"/>
    <w:rsid w:val="002B251F"/>
    <w:rsid w:val="002B290E"/>
    <w:rsid w:val="002B2B4A"/>
    <w:rsid w:val="002B2B7C"/>
    <w:rsid w:val="002B30B9"/>
    <w:rsid w:val="002B3A04"/>
    <w:rsid w:val="002B3E91"/>
    <w:rsid w:val="002B481A"/>
    <w:rsid w:val="002B4E3B"/>
    <w:rsid w:val="002B53CC"/>
    <w:rsid w:val="002B617D"/>
    <w:rsid w:val="002B61F0"/>
    <w:rsid w:val="002B625C"/>
    <w:rsid w:val="002B62BC"/>
    <w:rsid w:val="002B667C"/>
    <w:rsid w:val="002B68F1"/>
    <w:rsid w:val="002B6B4E"/>
    <w:rsid w:val="002B6BAA"/>
    <w:rsid w:val="002B6FB0"/>
    <w:rsid w:val="002B7341"/>
    <w:rsid w:val="002B750D"/>
    <w:rsid w:val="002B76AB"/>
    <w:rsid w:val="002B7EE1"/>
    <w:rsid w:val="002C0454"/>
    <w:rsid w:val="002C155D"/>
    <w:rsid w:val="002C33DA"/>
    <w:rsid w:val="002C3401"/>
    <w:rsid w:val="002C35D9"/>
    <w:rsid w:val="002C3C51"/>
    <w:rsid w:val="002C4038"/>
    <w:rsid w:val="002C413E"/>
    <w:rsid w:val="002C43AF"/>
    <w:rsid w:val="002C47B3"/>
    <w:rsid w:val="002C4A31"/>
    <w:rsid w:val="002C4A50"/>
    <w:rsid w:val="002C4A76"/>
    <w:rsid w:val="002C4EC8"/>
    <w:rsid w:val="002C5AFC"/>
    <w:rsid w:val="002C6515"/>
    <w:rsid w:val="002C65D1"/>
    <w:rsid w:val="002C6EB0"/>
    <w:rsid w:val="002C7563"/>
    <w:rsid w:val="002C783B"/>
    <w:rsid w:val="002C7FE9"/>
    <w:rsid w:val="002D01BB"/>
    <w:rsid w:val="002D0563"/>
    <w:rsid w:val="002D06AD"/>
    <w:rsid w:val="002D07A7"/>
    <w:rsid w:val="002D0A3D"/>
    <w:rsid w:val="002D153D"/>
    <w:rsid w:val="002D1561"/>
    <w:rsid w:val="002D19E0"/>
    <w:rsid w:val="002D1CA5"/>
    <w:rsid w:val="002D2078"/>
    <w:rsid w:val="002D21C5"/>
    <w:rsid w:val="002D22CA"/>
    <w:rsid w:val="002D247C"/>
    <w:rsid w:val="002D2B91"/>
    <w:rsid w:val="002D3121"/>
    <w:rsid w:val="002D313E"/>
    <w:rsid w:val="002D32B2"/>
    <w:rsid w:val="002D3478"/>
    <w:rsid w:val="002D369F"/>
    <w:rsid w:val="002D37D0"/>
    <w:rsid w:val="002D3EF3"/>
    <w:rsid w:val="002D483F"/>
    <w:rsid w:val="002D4AEA"/>
    <w:rsid w:val="002D4B2D"/>
    <w:rsid w:val="002D4D93"/>
    <w:rsid w:val="002D4DDB"/>
    <w:rsid w:val="002D4EFD"/>
    <w:rsid w:val="002D52E9"/>
    <w:rsid w:val="002D5914"/>
    <w:rsid w:val="002D5B33"/>
    <w:rsid w:val="002D5DFA"/>
    <w:rsid w:val="002D64AB"/>
    <w:rsid w:val="002D657F"/>
    <w:rsid w:val="002D66C4"/>
    <w:rsid w:val="002D6974"/>
    <w:rsid w:val="002D70B8"/>
    <w:rsid w:val="002D774D"/>
    <w:rsid w:val="002D785D"/>
    <w:rsid w:val="002E0641"/>
    <w:rsid w:val="002E07DD"/>
    <w:rsid w:val="002E0ABF"/>
    <w:rsid w:val="002E0CE6"/>
    <w:rsid w:val="002E10B6"/>
    <w:rsid w:val="002E16B7"/>
    <w:rsid w:val="002E1D1C"/>
    <w:rsid w:val="002E22D2"/>
    <w:rsid w:val="002E2472"/>
    <w:rsid w:val="002E2FE6"/>
    <w:rsid w:val="002E3612"/>
    <w:rsid w:val="002E39E7"/>
    <w:rsid w:val="002E3D50"/>
    <w:rsid w:val="002E4384"/>
    <w:rsid w:val="002E4735"/>
    <w:rsid w:val="002E5015"/>
    <w:rsid w:val="002E523A"/>
    <w:rsid w:val="002E584B"/>
    <w:rsid w:val="002E5EB9"/>
    <w:rsid w:val="002E60B7"/>
    <w:rsid w:val="002E6DB3"/>
    <w:rsid w:val="002E7BAA"/>
    <w:rsid w:val="002E7D96"/>
    <w:rsid w:val="002F06E4"/>
    <w:rsid w:val="002F15FA"/>
    <w:rsid w:val="002F1B39"/>
    <w:rsid w:val="002F1DE7"/>
    <w:rsid w:val="002F1E58"/>
    <w:rsid w:val="002F2133"/>
    <w:rsid w:val="002F263C"/>
    <w:rsid w:val="002F3514"/>
    <w:rsid w:val="002F3A58"/>
    <w:rsid w:val="002F3DC0"/>
    <w:rsid w:val="002F445F"/>
    <w:rsid w:val="002F4495"/>
    <w:rsid w:val="002F457E"/>
    <w:rsid w:val="002F476E"/>
    <w:rsid w:val="002F4A51"/>
    <w:rsid w:val="002F4F29"/>
    <w:rsid w:val="002F51C9"/>
    <w:rsid w:val="002F6364"/>
    <w:rsid w:val="002F7C0E"/>
    <w:rsid w:val="003000C9"/>
    <w:rsid w:val="00300254"/>
    <w:rsid w:val="00300337"/>
    <w:rsid w:val="00300408"/>
    <w:rsid w:val="00300532"/>
    <w:rsid w:val="00300946"/>
    <w:rsid w:val="00301AA4"/>
    <w:rsid w:val="00301C50"/>
    <w:rsid w:val="00301F84"/>
    <w:rsid w:val="003020B7"/>
    <w:rsid w:val="003023B8"/>
    <w:rsid w:val="0030329B"/>
    <w:rsid w:val="00303432"/>
    <w:rsid w:val="00303A03"/>
    <w:rsid w:val="00303A8F"/>
    <w:rsid w:val="00303B15"/>
    <w:rsid w:val="00303BB4"/>
    <w:rsid w:val="00303D51"/>
    <w:rsid w:val="00304186"/>
    <w:rsid w:val="00304918"/>
    <w:rsid w:val="00304ADA"/>
    <w:rsid w:val="00304F75"/>
    <w:rsid w:val="003051CA"/>
    <w:rsid w:val="00306858"/>
    <w:rsid w:val="00307943"/>
    <w:rsid w:val="00307C71"/>
    <w:rsid w:val="00307F19"/>
    <w:rsid w:val="00307F69"/>
    <w:rsid w:val="003102B1"/>
    <w:rsid w:val="0031040E"/>
    <w:rsid w:val="0031044E"/>
    <w:rsid w:val="003106EA"/>
    <w:rsid w:val="003109A9"/>
    <w:rsid w:val="00310ACE"/>
    <w:rsid w:val="00310DD1"/>
    <w:rsid w:val="00310E42"/>
    <w:rsid w:val="003119E5"/>
    <w:rsid w:val="00312923"/>
    <w:rsid w:val="00312B78"/>
    <w:rsid w:val="00312D16"/>
    <w:rsid w:val="00312D64"/>
    <w:rsid w:val="003138DA"/>
    <w:rsid w:val="00313CAA"/>
    <w:rsid w:val="00315181"/>
    <w:rsid w:val="00316071"/>
    <w:rsid w:val="003162C0"/>
    <w:rsid w:val="00316A08"/>
    <w:rsid w:val="00316B0F"/>
    <w:rsid w:val="00316D11"/>
    <w:rsid w:val="00316F72"/>
    <w:rsid w:val="003177C1"/>
    <w:rsid w:val="00317AC7"/>
    <w:rsid w:val="003200F7"/>
    <w:rsid w:val="003202F4"/>
    <w:rsid w:val="003209B0"/>
    <w:rsid w:val="00320DC8"/>
    <w:rsid w:val="00321556"/>
    <w:rsid w:val="00321779"/>
    <w:rsid w:val="0032204D"/>
    <w:rsid w:val="00322B15"/>
    <w:rsid w:val="00322F11"/>
    <w:rsid w:val="00322FE9"/>
    <w:rsid w:val="003235C5"/>
    <w:rsid w:val="00323A1C"/>
    <w:rsid w:val="00323CB2"/>
    <w:rsid w:val="00323F4C"/>
    <w:rsid w:val="003247E5"/>
    <w:rsid w:val="00324C10"/>
    <w:rsid w:val="00324E62"/>
    <w:rsid w:val="00324EF0"/>
    <w:rsid w:val="00325C8E"/>
    <w:rsid w:val="00326015"/>
    <w:rsid w:val="0032606E"/>
    <w:rsid w:val="00326094"/>
    <w:rsid w:val="003261F8"/>
    <w:rsid w:val="003269F4"/>
    <w:rsid w:val="003269FF"/>
    <w:rsid w:val="00326B90"/>
    <w:rsid w:val="00327209"/>
    <w:rsid w:val="00327679"/>
    <w:rsid w:val="00327DBA"/>
    <w:rsid w:val="0033049D"/>
    <w:rsid w:val="00330D5C"/>
    <w:rsid w:val="00330E99"/>
    <w:rsid w:val="003315E9"/>
    <w:rsid w:val="003316F2"/>
    <w:rsid w:val="0033184B"/>
    <w:rsid w:val="00331969"/>
    <w:rsid w:val="00331F44"/>
    <w:rsid w:val="00332107"/>
    <w:rsid w:val="00332349"/>
    <w:rsid w:val="00332C43"/>
    <w:rsid w:val="00332CE9"/>
    <w:rsid w:val="00332DEF"/>
    <w:rsid w:val="00333885"/>
    <w:rsid w:val="00333B02"/>
    <w:rsid w:val="003340AB"/>
    <w:rsid w:val="003342C2"/>
    <w:rsid w:val="0033431A"/>
    <w:rsid w:val="003343E0"/>
    <w:rsid w:val="00334834"/>
    <w:rsid w:val="003356E4"/>
    <w:rsid w:val="003358AB"/>
    <w:rsid w:val="00335A8F"/>
    <w:rsid w:val="00335FAC"/>
    <w:rsid w:val="00336D7F"/>
    <w:rsid w:val="00336E34"/>
    <w:rsid w:val="00337652"/>
    <w:rsid w:val="003379DF"/>
    <w:rsid w:val="00337ADB"/>
    <w:rsid w:val="00337F59"/>
    <w:rsid w:val="003400B4"/>
    <w:rsid w:val="00340644"/>
    <w:rsid w:val="00341579"/>
    <w:rsid w:val="00341704"/>
    <w:rsid w:val="0034180E"/>
    <w:rsid w:val="00341D19"/>
    <w:rsid w:val="00342114"/>
    <w:rsid w:val="003428AA"/>
    <w:rsid w:val="00342CD2"/>
    <w:rsid w:val="00342DC2"/>
    <w:rsid w:val="00343767"/>
    <w:rsid w:val="00343C18"/>
    <w:rsid w:val="00343E5C"/>
    <w:rsid w:val="00343ECD"/>
    <w:rsid w:val="00344639"/>
    <w:rsid w:val="003447A9"/>
    <w:rsid w:val="00344882"/>
    <w:rsid w:val="00344DDF"/>
    <w:rsid w:val="00346978"/>
    <w:rsid w:val="003473AC"/>
    <w:rsid w:val="003504BD"/>
    <w:rsid w:val="00351A1D"/>
    <w:rsid w:val="00351AC1"/>
    <w:rsid w:val="00351ADB"/>
    <w:rsid w:val="003521C7"/>
    <w:rsid w:val="003524D4"/>
    <w:rsid w:val="003524DE"/>
    <w:rsid w:val="003525CE"/>
    <w:rsid w:val="00352AA3"/>
    <w:rsid w:val="00352D97"/>
    <w:rsid w:val="00353582"/>
    <w:rsid w:val="00353849"/>
    <w:rsid w:val="00354574"/>
    <w:rsid w:val="003550F7"/>
    <w:rsid w:val="0035571F"/>
    <w:rsid w:val="00355BA9"/>
    <w:rsid w:val="003568AF"/>
    <w:rsid w:val="00356B7D"/>
    <w:rsid w:val="00356DA9"/>
    <w:rsid w:val="00356E6D"/>
    <w:rsid w:val="00357531"/>
    <w:rsid w:val="003576C3"/>
    <w:rsid w:val="00357C6C"/>
    <w:rsid w:val="00357F27"/>
    <w:rsid w:val="0036017B"/>
    <w:rsid w:val="003601FF"/>
    <w:rsid w:val="00360832"/>
    <w:rsid w:val="0036085F"/>
    <w:rsid w:val="00361082"/>
    <w:rsid w:val="0036111D"/>
    <w:rsid w:val="003615F8"/>
    <w:rsid w:val="003617DE"/>
    <w:rsid w:val="003618B7"/>
    <w:rsid w:val="003619EE"/>
    <w:rsid w:val="00361EE6"/>
    <w:rsid w:val="003621B5"/>
    <w:rsid w:val="00362201"/>
    <w:rsid w:val="00362309"/>
    <w:rsid w:val="00362461"/>
    <w:rsid w:val="00362755"/>
    <w:rsid w:val="00362967"/>
    <w:rsid w:val="0036392A"/>
    <w:rsid w:val="00363C60"/>
    <w:rsid w:val="003643D5"/>
    <w:rsid w:val="003649B6"/>
    <w:rsid w:val="00364C20"/>
    <w:rsid w:val="00365097"/>
    <w:rsid w:val="003658B9"/>
    <w:rsid w:val="00365B4C"/>
    <w:rsid w:val="00365C81"/>
    <w:rsid w:val="00365FDA"/>
    <w:rsid w:val="0036656E"/>
    <w:rsid w:val="00366C27"/>
    <w:rsid w:val="00366CA3"/>
    <w:rsid w:val="00366DE8"/>
    <w:rsid w:val="00367378"/>
    <w:rsid w:val="0036753F"/>
    <w:rsid w:val="00367AA4"/>
    <w:rsid w:val="003700B7"/>
    <w:rsid w:val="00370193"/>
    <w:rsid w:val="003707DB"/>
    <w:rsid w:val="003707FD"/>
    <w:rsid w:val="00370953"/>
    <w:rsid w:val="00370955"/>
    <w:rsid w:val="003713D0"/>
    <w:rsid w:val="0037193B"/>
    <w:rsid w:val="003723F1"/>
    <w:rsid w:val="00373256"/>
    <w:rsid w:val="00373AE5"/>
    <w:rsid w:val="00373B93"/>
    <w:rsid w:val="00373DB7"/>
    <w:rsid w:val="003742BF"/>
    <w:rsid w:val="0037463D"/>
    <w:rsid w:val="00374758"/>
    <w:rsid w:val="00374840"/>
    <w:rsid w:val="003749FE"/>
    <w:rsid w:val="00374A14"/>
    <w:rsid w:val="00374F0D"/>
    <w:rsid w:val="00374FE2"/>
    <w:rsid w:val="00375029"/>
    <w:rsid w:val="0037511B"/>
    <w:rsid w:val="00375C2C"/>
    <w:rsid w:val="00375CF1"/>
    <w:rsid w:val="0037603C"/>
    <w:rsid w:val="003762D4"/>
    <w:rsid w:val="0037634F"/>
    <w:rsid w:val="0037668B"/>
    <w:rsid w:val="00377191"/>
    <w:rsid w:val="0037733C"/>
    <w:rsid w:val="0037771E"/>
    <w:rsid w:val="00377E4D"/>
    <w:rsid w:val="00380304"/>
    <w:rsid w:val="0038056D"/>
    <w:rsid w:val="00380CAD"/>
    <w:rsid w:val="00381B95"/>
    <w:rsid w:val="003820B2"/>
    <w:rsid w:val="003821BA"/>
    <w:rsid w:val="003821CC"/>
    <w:rsid w:val="0038298E"/>
    <w:rsid w:val="0038357F"/>
    <w:rsid w:val="0038374B"/>
    <w:rsid w:val="00383D08"/>
    <w:rsid w:val="00383E2E"/>
    <w:rsid w:val="003843CD"/>
    <w:rsid w:val="003850A3"/>
    <w:rsid w:val="00385D77"/>
    <w:rsid w:val="00385DCE"/>
    <w:rsid w:val="00385DE0"/>
    <w:rsid w:val="00386400"/>
    <w:rsid w:val="00387379"/>
    <w:rsid w:val="00387FCA"/>
    <w:rsid w:val="003911AC"/>
    <w:rsid w:val="003912C5"/>
    <w:rsid w:val="00391615"/>
    <w:rsid w:val="00392527"/>
    <w:rsid w:val="00392538"/>
    <w:rsid w:val="00392657"/>
    <w:rsid w:val="00392671"/>
    <w:rsid w:val="00392E01"/>
    <w:rsid w:val="00393197"/>
    <w:rsid w:val="003936F3"/>
    <w:rsid w:val="00393815"/>
    <w:rsid w:val="00393B08"/>
    <w:rsid w:val="00393B82"/>
    <w:rsid w:val="00393D66"/>
    <w:rsid w:val="003940EF"/>
    <w:rsid w:val="00394146"/>
    <w:rsid w:val="0039436F"/>
    <w:rsid w:val="0039454B"/>
    <w:rsid w:val="0039458C"/>
    <w:rsid w:val="0039470D"/>
    <w:rsid w:val="003947C4"/>
    <w:rsid w:val="00394F66"/>
    <w:rsid w:val="00395124"/>
    <w:rsid w:val="0039521C"/>
    <w:rsid w:val="00395A33"/>
    <w:rsid w:val="00395A63"/>
    <w:rsid w:val="00395AD9"/>
    <w:rsid w:val="00395CED"/>
    <w:rsid w:val="00395E64"/>
    <w:rsid w:val="00396334"/>
    <w:rsid w:val="003966A8"/>
    <w:rsid w:val="00396DB3"/>
    <w:rsid w:val="003A006B"/>
    <w:rsid w:val="003A10D5"/>
    <w:rsid w:val="003A137A"/>
    <w:rsid w:val="003A178B"/>
    <w:rsid w:val="003A2A07"/>
    <w:rsid w:val="003A2C5C"/>
    <w:rsid w:val="003A2DB0"/>
    <w:rsid w:val="003A38F0"/>
    <w:rsid w:val="003A3D04"/>
    <w:rsid w:val="003A4022"/>
    <w:rsid w:val="003A4399"/>
    <w:rsid w:val="003A49AB"/>
    <w:rsid w:val="003A4C6E"/>
    <w:rsid w:val="003A4E76"/>
    <w:rsid w:val="003A55D2"/>
    <w:rsid w:val="003A57A4"/>
    <w:rsid w:val="003A5962"/>
    <w:rsid w:val="003A6B2B"/>
    <w:rsid w:val="003A6D6B"/>
    <w:rsid w:val="003A6ED2"/>
    <w:rsid w:val="003A6FB7"/>
    <w:rsid w:val="003A7701"/>
    <w:rsid w:val="003A7756"/>
    <w:rsid w:val="003B085F"/>
    <w:rsid w:val="003B0B59"/>
    <w:rsid w:val="003B106E"/>
    <w:rsid w:val="003B1132"/>
    <w:rsid w:val="003B1A6B"/>
    <w:rsid w:val="003B1DBB"/>
    <w:rsid w:val="003B2FB9"/>
    <w:rsid w:val="003B3975"/>
    <w:rsid w:val="003B3E45"/>
    <w:rsid w:val="003B3F0E"/>
    <w:rsid w:val="003B46EB"/>
    <w:rsid w:val="003B4AA6"/>
    <w:rsid w:val="003B58C8"/>
    <w:rsid w:val="003B5FEE"/>
    <w:rsid w:val="003B6FBD"/>
    <w:rsid w:val="003B7010"/>
    <w:rsid w:val="003B750A"/>
    <w:rsid w:val="003B7B12"/>
    <w:rsid w:val="003B7B5D"/>
    <w:rsid w:val="003B7C9A"/>
    <w:rsid w:val="003B7EA6"/>
    <w:rsid w:val="003C093E"/>
    <w:rsid w:val="003C0E83"/>
    <w:rsid w:val="003C12FD"/>
    <w:rsid w:val="003C1479"/>
    <w:rsid w:val="003C15AC"/>
    <w:rsid w:val="003C1720"/>
    <w:rsid w:val="003C1854"/>
    <w:rsid w:val="003C1FDC"/>
    <w:rsid w:val="003C2C12"/>
    <w:rsid w:val="003C2C9D"/>
    <w:rsid w:val="003C3076"/>
    <w:rsid w:val="003C3A3D"/>
    <w:rsid w:val="003C49B3"/>
    <w:rsid w:val="003C4B8F"/>
    <w:rsid w:val="003C4CB3"/>
    <w:rsid w:val="003C4CFA"/>
    <w:rsid w:val="003C502F"/>
    <w:rsid w:val="003C51B6"/>
    <w:rsid w:val="003C51D8"/>
    <w:rsid w:val="003C5458"/>
    <w:rsid w:val="003C5BF7"/>
    <w:rsid w:val="003C6085"/>
    <w:rsid w:val="003C6613"/>
    <w:rsid w:val="003C6695"/>
    <w:rsid w:val="003C6763"/>
    <w:rsid w:val="003C6CBA"/>
    <w:rsid w:val="003C713E"/>
    <w:rsid w:val="003C71F3"/>
    <w:rsid w:val="003C77BE"/>
    <w:rsid w:val="003C7916"/>
    <w:rsid w:val="003D06A8"/>
    <w:rsid w:val="003D08CF"/>
    <w:rsid w:val="003D0E50"/>
    <w:rsid w:val="003D0E58"/>
    <w:rsid w:val="003D15AD"/>
    <w:rsid w:val="003D1B6B"/>
    <w:rsid w:val="003D1F2C"/>
    <w:rsid w:val="003D26AE"/>
    <w:rsid w:val="003D26D7"/>
    <w:rsid w:val="003D2925"/>
    <w:rsid w:val="003D2D78"/>
    <w:rsid w:val="003D300B"/>
    <w:rsid w:val="003D40A0"/>
    <w:rsid w:val="003D5286"/>
    <w:rsid w:val="003D5518"/>
    <w:rsid w:val="003D592A"/>
    <w:rsid w:val="003D59BB"/>
    <w:rsid w:val="003D59BD"/>
    <w:rsid w:val="003D6214"/>
    <w:rsid w:val="003D63B8"/>
    <w:rsid w:val="003D64E8"/>
    <w:rsid w:val="003D6722"/>
    <w:rsid w:val="003D6EAF"/>
    <w:rsid w:val="003D783B"/>
    <w:rsid w:val="003D792C"/>
    <w:rsid w:val="003D7E30"/>
    <w:rsid w:val="003D7F85"/>
    <w:rsid w:val="003E017B"/>
    <w:rsid w:val="003E01F2"/>
    <w:rsid w:val="003E06EF"/>
    <w:rsid w:val="003E1122"/>
    <w:rsid w:val="003E12ED"/>
    <w:rsid w:val="003E1457"/>
    <w:rsid w:val="003E1967"/>
    <w:rsid w:val="003E1DD9"/>
    <w:rsid w:val="003E1FD9"/>
    <w:rsid w:val="003E26CE"/>
    <w:rsid w:val="003E2B4A"/>
    <w:rsid w:val="003E321D"/>
    <w:rsid w:val="003E4270"/>
    <w:rsid w:val="003E4453"/>
    <w:rsid w:val="003E4714"/>
    <w:rsid w:val="003E4E68"/>
    <w:rsid w:val="003E4E7C"/>
    <w:rsid w:val="003E5549"/>
    <w:rsid w:val="003E5A58"/>
    <w:rsid w:val="003E61AD"/>
    <w:rsid w:val="003E6A0A"/>
    <w:rsid w:val="003E6A60"/>
    <w:rsid w:val="003E6F0B"/>
    <w:rsid w:val="003E727B"/>
    <w:rsid w:val="003E79BA"/>
    <w:rsid w:val="003E7A52"/>
    <w:rsid w:val="003F1E5C"/>
    <w:rsid w:val="003F2122"/>
    <w:rsid w:val="003F2555"/>
    <w:rsid w:val="003F2A07"/>
    <w:rsid w:val="003F2C48"/>
    <w:rsid w:val="003F3B3B"/>
    <w:rsid w:val="003F3E5B"/>
    <w:rsid w:val="003F405D"/>
    <w:rsid w:val="003F4329"/>
    <w:rsid w:val="003F5859"/>
    <w:rsid w:val="003F6E2F"/>
    <w:rsid w:val="003F7009"/>
    <w:rsid w:val="003F709D"/>
    <w:rsid w:val="003F71E5"/>
    <w:rsid w:val="004003A0"/>
    <w:rsid w:val="0040052A"/>
    <w:rsid w:val="00400D8E"/>
    <w:rsid w:val="00400E80"/>
    <w:rsid w:val="00401386"/>
    <w:rsid w:val="004014F5"/>
    <w:rsid w:val="004016CA"/>
    <w:rsid w:val="00401B8A"/>
    <w:rsid w:val="00402FB4"/>
    <w:rsid w:val="00403191"/>
    <w:rsid w:val="0040367D"/>
    <w:rsid w:val="00403A79"/>
    <w:rsid w:val="004041AB"/>
    <w:rsid w:val="00404DE6"/>
    <w:rsid w:val="00405021"/>
    <w:rsid w:val="004053F1"/>
    <w:rsid w:val="004057BD"/>
    <w:rsid w:val="00405D24"/>
    <w:rsid w:val="00405E64"/>
    <w:rsid w:val="00406105"/>
    <w:rsid w:val="00406507"/>
    <w:rsid w:val="00406888"/>
    <w:rsid w:val="00407587"/>
    <w:rsid w:val="004076DA"/>
    <w:rsid w:val="00407B58"/>
    <w:rsid w:val="0041011C"/>
    <w:rsid w:val="004116FC"/>
    <w:rsid w:val="00411C0A"/>
    <w:rsid w:val="00412534"/>
    <w:rsid w:val="00412C3A"/>
    <w:rsid w:val="00412C83"/>
    <w:rsid w:val="00413054"/>
    <w:rsid w:val="004130FA"/>
    <w:rsid w:val="0041346F"/>
    <w:rsid w:val="0041432C"/>
    <w:rsid w:val="0041433D"/>
    <w:rsid w:val="004143EA"/>
    <w:rsid w:val="00414435"/>
    <w:rsid w:val="004153B6"/>
    <w:rsid w:val="004160CA"/>
    <w:rsid w:val="00416809"/>
    <w:rsid w:val="0041698A"/>
    <w:rsid w:val="00416C31"/>
    <w:rsid w:val="00416E7F"/>
    <w:rsid w:val="00417885"/>
    <w:rsid w:val="00417A86"/>
    <w:rsid w:val="00417D8D"/>
    <w:rsid w:val="004205CF"/>
    <w:rsid w:val="00420B55"/>
    <w:rsid w:val="00420DA1"/>
    <w:rsid w:val="00420F85"/>
    <w:rsid w:val="00421024"/>
    <w:rsid w:val="004217F4"/>
    <w:rsid w:val="00421D54"/>
    <w:rsid w:val="0042261C"/>
    <w:rsid w:val="00423056"/>
    <w:rsid w:val="004230B5"/>
    <w:rsid w:val="00423B00"/>
    <w:rsid w:val="00423C07"/>
    <w:rsid w:val="0042468B"/>
    <w:rsid w:val="00424AA5"/>
    <w:rsid w:val="00424DD7"/>
    <w:rsid w:val="00425525"/>
    <w:rsid w:val="00425B58"/>
    <w:rsid w:val="00425E35"/>
    <w:rsid w:val="00426014"/>
    <w:rsid w:val="0042698C"/>
    <w:rsid w:val="00426ABE"/>
    <w:rsid w:val="00426E17"/>
    <w:rsid w:val="00426E8D"/>
    <w:rsid w:val="00426FB3"/>
    <w:rsid w:val="004271A5"/>
    <w:rsid w:val="004274E3"/>
    <w:rsid w:val="004300AB"/>
    <w:rsid w:val="00430725"/>
    <w:rsid w:val="0043076A"/>
    <w:rsid w:val="004307A8"/>
    <w:rsid w:val="0043102E"/>
    <w:rsid w:val="004313D4"/>
    <w:rsid w:val="00431408"/>
    <w:rsid w:val="00431605"/>
    <w:rsid w:val="00431D70"/>
    <w:rsid w:val="00432116"/>
    <w:rsid w:val="004324CF"/>
    <w:rsid w:val="0043263B"/>
    <w:rsid w:val="00432DF4"/>
    <w:rsid w:val="0043346B"/>
    <w:rsid w:val="00433A2A"/>
    <w:rsid w:val="00433D5C"/>
    <w:rsid w:val="004348CE"/>
    <w:rsid w:val="004349B5"/>
    <w:rsid w:val="00434AC4"/>
    <w:rsid w:val="00434FFD"/>
    <w:rsid w:val="00435658"/>
    <w:rsid w:val="004359E8"/>
    <w:rsid w:val="00435F9E"/>
    <w:rsid w:val="0043617F"/>
    <w:rsid w:val="0043658A"/>
    <w:rsid w:val="00436CDA"/>
    <w:rsid w:val="0043701C"/>
    <w:rsid w:val="00437899"/>
    <w:rsid w:val="00437BBD"/>
    <w:rsid w:val="00440016"/>
    <w:rsid w:val="00440128"/>
    <w:rsid w:val="00440719"/>
    <w:rsid w:val="00440E9D"/>
    <w:rsid w:val="00440F81"/>
    <w:rsid w:val="0044113A"/>
    <w:rsid w:val="0044132E"/>
    <w:rsid w:val="00442365"/>
    <w:rsid w:val="004423E7"/>
    <w:rsid w:val="00442485"/>
    <w:rsid w:val="004425FC"/>
    <w:rsid w:val="00442A58"/>
    <w:rsid w:val="00443431"/>
    <w:rsid w:val="004439FA"/>
    <w:rsid w:val="00443A0E"/>
    <w:rsid w:val="00443C00"/>
    <w:rsid w:val="00443C67"/>
    <w:rsid w:val="00443D33"/>
    <w:rsid w:val="00444355"/>
    <w:rsid w:val="0044501E"/>
    <w:rsid w:val="004452F7"/>
    <w:rsid w:val="00445923"/>
    <w:rsid w:val="00445F30"/>
    <w:rsid w:val="00446045"/>
    <w:rsid w:val="00446118"/>
    <w:rsid w:val="00446320"/>
    <w:rsid w:val="0044670F"/>
    <w:rsid w:val="00446D71"/>
    <w:rsid w:val="00446DC7"/>
    <w:rsid w:val="004471C7"/>
    <w:rsid w:val="00447F7D"/>
    <w:rsid w:val="0045033F"/>
    <w:rsid w:val="00450A69"/>
    <w:rsid w:val="004513B2"/>
    <w:rsid w:val="00452EA2"/>
    <w:rsid w:val="00453554"/>
    <w:rsid w:val="00453928"/>
    <w:rsid w:val="00453FD2"/>
    <w:rsid w:val="004545E2"/>
    <w:rsid w:val="00455281"/>
    <w:rsid w:val="0045595E"/>
    <w:rsid w:val="00455978"/>
    <w:rsid w:val="00455E34"/>
    <w:rsid w:val="0045641C"/>
    <w:rsid w:val="0045641E"/>
    <w:rsid w:val="004565AF"/>
    <w:rsid w:val="00456770"/>
    <w:rsid w:val="00456C3A"/>
    <w:rsid w:val="0045769B"/>
    <w:rsid w:val="00457A57"/>
    <w:rsid w:val="00457CDE"/>
    <w:rsid w:val="00460842"/>
    <w:rsid w:val="00460B7D"/>
    <w:rsid w:val="00461071"/>
    <w:rsid w:val="00461705"/>
    <w:rsid w:val="00461C9E"/>
    <w:rsid w:val="00462128"/>
    <w:rsid w:val="0046229F"/>
    <w:rsid w:val="00462B8F"/>
    <w:rsid w:val="00463276"/>
    <w:rsid w:val="0046380A"/>
    <w:rsid w:val="00463D0D"/>
    <w:rsid w:val="00463E73"/>
    <w:rsid w:val="00464646"/>
    <w:rsid w:val="0046483C"/>
    <w:rsid w:val="00464D0B"/>
    <w:rsid w:val="00465293"/>
    <w:rsid w:val="00466202"/>
    <w:rsid w:val="004663D3"/>
    <w:rsid w:val="00466A21"/>
    <w:rsid w:val="00466B83"/>
    <w:rsid w:val="00466D23"/>
    <w:rsid w:val="004675BA"/>
    <w:rsid w:val="00467E7A"/>
    <w:rsid w:val="004703AB"/>
    <w:rsid w:val="00470409"/>
    <w:rsid w:val="0047055A"/>
    <w:rsid w:val="00470563"/>
    <w:rsid w:val="004705CC"/>
    <w:rsid w:val="004706D2"/>
    <w:rsid w:val="00470983"/>
    <w:rsid w:val="00470E5D"/>
    <w:rsid w:val="0047129B"/>
    <w:rsid w:val="0047167C"/>
    <w:rsid w:val="00471DC4"/>
    <w:rsid w:val="0047233A"/>
    <w:rsid w:val="00473010"/>
    <w:rsid w:val="004733E5"/>
    <w:rsid w:val="00473624"/>
    <w:rsid w:val="0047384B"/>
    <w:rsid w:val="00473C05"/>
    <w:rsid w:val="00473ED0"/>
    <w:rsid w:val="0047564F"/>
    <w:rsid w:val="004759C4"/>
    <w:rsid w:val="004764F0"/>
    <w:rsid w:val="00476983"/>
    <w:rsid w:val="00480225"/>
    <w:rsid w:val="0048026D"/>
    <w:rsid w:val="00480AE7"/>
    <w:rsid w:val="00480C4A"/>
    <w:rsid w:val="00480C66"/>
    <w:rsid w:val="00480CB0"/>
    <w:rsid w:val="00481039"/>
    <w:rsid w:val="00481091"/>
    <w:rsid w:val="00481CD1"/>
    <w:rsid w:val="00482192"/>
    <w:rsid w:val="004827AA"/>
    <w:rsid w:val="00482AC7"/>
    <w:rsid w:val="00482FA2"/>
    <w:rsid w:val="00483092"/>
    <w:rsid w:val="0048363D"/>
    <w:rsid w:val="0048383F"/>
    <w:rsid w:val="00483DC1"/>
    <w:rsid w:val="00483E23"/>
    <w:rsid w:val="004840C4"/>
    <w:rsid w:val="00484144"/>
    <w:rsid w:val="00484284"/>
    <w:rsid w:val="004849C0"/>
    <w:rsid w:val="00484D9D"/>
    <w:rsid w:val="00484E34"/>
    <w:rsid w:val="00485C03"/>
    <w:rsid w:val="00486972"/>
    <w:rsid w:val="0048730C"/>
    <w:rsid w:val="00487317"/>
    <w:rsid w:val="00487809"/>
    <w:rsid w:val="00487FDE"/>
    <w:rsid w:val="004901CD"/>
    <w:rsid w:val="0049031B"/>
    <w:rsid w:val="0049074B"/>
    <w:rsid w:val="00490886"/>
    <w:rsid w:val="0049092E"/>
    <w:rsid w:val="00490B79"/>
    <w:rsid w:val="00490E6A"/>
    <w:rsid w:val="004910A2"/>
    <w:rsid w:val="0049121B"/>
    <w:rsid w:val="004912B5"/>
    <w:rsid w:val="00492B35"/>
    <w:rsid w:val="00492D1C"/>
    <w:rsid w:val="0049351F"/>
    <w:rsid w:val="00493EF4"/>
    <w:rsid w:val="00494044"/>
    <w:rsid w:val="004941B8"/>
    <w:rsid w:val="004945F5"/>
    <w:rsid w:val="0049487B"/>
    <w:rsid w:val="0049530F"/>
    <w:rsid w:val="00495327"/>
    <w:rsid w:val="0049556D"/>
    <w:rsid w:val="0049574B"/>
    <w:rsid w:val="004958E0"/>
    <w:rsid w:val="004958F9"/>
    <w:rsid w:val="00495976"/>
    <w:rsid w:val="0049597F"/>
    <w:rsid w:val="0049607E"/>
    <w:rsid w:val="0049670B"/>
    <w:rsid w:val="004968BC"/>
    <w:rsid w:val="00496AC5"/>
    <w:rsid w:val="0049790E"/>
    <w:rsid w:val="004A03DA"/>
    <w:rsid w:val="004A13C2"/>
    <w:rsid w:val="004A19B6"/>
    <w:rsid w:val="004A1C7B"/>
    <w:rsid w:val="004A22EA"/>
    <w:rsid w:val="004A3351"/>
    <w:rsid w:val="004A3A46"/>
    <w:rsid w:val="004A3AAA"/>
    <w:rsid w:val="004A3C95"/>
    <w:rsid w:val="004A404B"/>
    <w:rsid w:val="004A4B9C"/>
    <w:rsid w:val="004A4C82"/>
    <w:rsid w:val="004A4F6C"/>
    <w:rsid w:val="004A5179"/>
    <w:rsid w:val="004A5A15"/>
    <w:rsid w:val="004A5B5A"/>
    <w:rsid w:val="004A652C"/>
    <w:rsid w:val="004A656C"/>
    <w:rsid w:val="004A6E78"/>
    <w:rsid w:val="004A6EB7"/>
    <w:rsid w:val="004A6F30"/>
    <w:rsid w:val="004A789A"/>
    <w:rsid w:val="004A7AEA"/>
    <w:rsid w:val="004B01A7"/>
    <w:rsid w:val="004B0C92"/>
    <w:rsid w:val="004B0F36"/>
    <w:rsid w:val="004B0F5F"/>
    <w:rsid w:val="004B117D"/>
    <w:rsid w:val="004B1498"/>
    <w:rsid w:val="004B19B6"/>
    <w:rsid w:val="004B237F"/>
    <w:rsid w:val="004B2A96"/>
    <w:rsid w:val="004B31C7"/>
    <w:rsid w:val="004B32B1"/>
    <w:rsid w:val="004B3317"/>
    <w:rsid w:val="004B34EA"/>
    <w:rsid w:val="004B3533"/>
    <w:rsid w:val="004B35D8"/>
    <w:rsid w:val="004B47EF"/>
    <w:rsid w:val="004B5494"/>
    <w:rsid w:val="004B61E9"/>
    <w:rsid w:val="004B6522"/>
    <w:rsid w:val="004B699A"/>
    <w:rsid w:val="004B7A34"/>
    <w:rsid w:val="004C0F58"/>
    <w:rsid w:val="004C1461"/>
    <w:rsid w:val="004C1696"/>
    <w:rsid w:val="004C194D"/>
    <w:rsid w:val="004C200F"/>
    <w:rsid w:val="004C2762"/>
    <w:rsid w:val="004C2D3F"/>
    <w:rsid w:val="004C2D93"/>
    <w:rsid w:val="004C34A2"/>
    <w:rsid w:val="004C3EA8"/>
    <w:rsid w:val="004C521C"/>
    <w:rsid w:val="004C5869"/>
    <w:rsid w:val="004C5AE4"/>
    <w:rsid w:val="004C600A"/>
    <w:rsid w:val="004C6215"/>
    <w:rsid w:val="004C65AA"/>
    <w:rsid w:val="004C69F9"/>
    <w:rsid w:val="004C6E28"/>
    <w:rsid w:val="004C7B9D"/>
    <w:rsid w:val="004C7D3A"/>
    <w:rsid w:val="004D107B"/>
    <w:rsid w:val="004D13CB"/>
    <w:rsid w:val="004D190B"/>
    <w:rsid w:val="004D1C91"/>
    <w:rsid w:val="004D1E01"/>
    <w:rsid w:val="004D223C"/>
    <w:rsid w:val="004D2411"/>
    <w:rsid w:val="004D2513"/>
    <w:rsid w:val="004D2D39"/>
    <w:rsid w:val="004D377D"/>
    <w:rsid w:val="004D3CC4"/>
    <w:rsid w:val="004D3CF0"/>
    <w:rsid w:val="004D3EDC"/>
    <w:rsid w:val="004D4A4E"/>
    <w:rsid w:val="004D4AAD"/>
    <w:rsid w:val="004D4C7F"/>
    <w:rsid w:val="004D4DCD"/>
    <w:rsid w:val="004D53F0"/>
    <w:rsid w:val="004D662B"/>
    <w:rsid w:val="004D6BDB"/>
    <w:rsid w:val="004D70DE"/>
    <w:rsid w:val="004D73EF"/>
    <w:rsid w:val="004D7616"/>
    <w:rsid w:val="004D7AFF"/>
    <w:rsid w:val="004D7E3C"/>
    <w:rsid w:val="004D7E73"/>
    <w:rsid w:val="004E13FC"/>
    <w:rsid w:val="004E206B"/>
    <w:rsid w:val="004E3439"/>
    <w:rsid w:val="004E36A6"/>
    <w:rsid w:val="004E37D2"/>
    <w:rsid w:val="004E3930"/>
    <w:rsid w:val="004E3979"/>
    <w:rsid w:val="004E3BA7"/>
    <w:rsid w:val="004E410F"/>
    <w:rsid w:val="004E468E"/>
    <w:rsid w:val="004E537F"/>
    <w:rsid w:val="004E53CB"/>
    <w:rsid w:val="004E5A8C"/>
    <w:rsid w:val="004E5D1F"/>
    <w:rsid w:val="004E5F3A"/>
    <w:rsid w:val="004E66F8"/>
    <w:rsid w:val="004E6A9B"/>
    <w:rsid w:val="004E6B49"/>
    <w:rsid w:val="004E6E76"/>
    <w:rsid w:val="004E77AA"/>
    <w:rsid w:val="004E77C7"/>
    <w:rsid w:val="004E783A"/>
    <w:rsid w:val="004E7A6F"/>
    <w:rsid w:val="004E7D8A"/>
    <w:rsid w:val="004F01AE"/>
    <w:rsid w:val="004F0398"/>
    <w:rsid w:val="004F08F4"/>
    <w:rsid w:val="004F177A"/>
    <w:rsid w:val="004F18BE"/>
    <w:rsid w:val="004F1937"/>
    <w:rsid w:val="004F20AA"/>
    <w:rsid w:val="004F2313"/>
    <w:rsid w:val="004F26FA"/>
    <w:rsid w:val="004F2755"/>
    <w:rsid w:val="004F2F49"/>
    <w:rsid w:val="004F3930"/>
    <w:rsid w:val="004F3A14"/>
    <w:rsid w:val="004F3A73"/>
    <w:rsid w:val="004F3AA7"/>
    <w:rsid w:val="004F41AB"/>
    <w:rsid w:val="004F4AD6"/>
    <w:rsid w:val="004F4BCE"/>
    <w:rsid w:val="004F4EDC"/>
    <w:rsid w:val="004F4EF2"/>
    <w:rsid w:val="004F4FA9"/>
    <w:rsid w:val="004F5A41"/>
    <w:rsid w:val="004F5EA1"/>
    <w:rsid w:val="004F61D6"/>
    <w:rsid w:val="004F63B4"/>
    <w:rsid w:val="004F68C1"/>
    <w:rsid w:val="004F6AC2"/>
    <w:rsid w:val="004F6B25"/>
    <w:rsid w:val="004F70AB"/>
    <w:rsid w:val="004F799E"/>
    <w:rsid w:val="00500206"/>
    <w:rsid w:val="00500599"/>
    <w:rsid w:val="0050086B"/>
    <w:rsid w:val="00500873"/>
    <w:rsid w:val="00500DA4"/>
    <w:rsid w:val="00500FCB"/>
    <w:rsid w:val="0050136C"/>
    <w:rsid w:val="0050161E"/>
    <w:rsid w:val="005018A8"/>
    <w:rsid w:val="00501962"/>
    <w:rsid w:val="00501B28"/>
    <w:rsid w:val="00502A0A"/>
    <w:rsid w:val="00502C90"/>
    <w:rsid w:val="00503EC0"/>
    <w:rsid w:val="0050478C"/>
    <w:rsid w:val="0050491E"/>
    <w:rsid w:val="00504E7C"/>
    <w:rsid w:val="00505045"/>
    <w:rsid w:val="0050513E"/>
    <w:rsid w:val="00505796"/>
    <w:rsid w:val="00505A39"/>
    <w:rsid w:val="00505AAF"/>
    <w:rsid w:val="00505F5C"/>
    <w:rsid w:val="00506785"/>
    <w:rsid w:val="005067AE"/>
    <w:rsid w:val="00506B03"/>
    <w:rsid w:val="00506BC1"/>
    <w:rsid w:val="00506F28"/>
    <w:rsid w:val="00507494"/>
    <w:rsid w:val="00507605"/>
    <w:rsid w:val="005078B4"/>
    <w:rsid w:val="005078BD"/>
    <w:rsid w:val="00507FE9"/>
    <w:rsid w:val="005101FF"/>
    <w:rsid w:val="0051041C"/>
    <w:rsid w:val="005107BE"/>
    <w:rsid w:val="00510BC6"/>
    <w:rsid w:val="00510C05"/>
    <w:rsid w:val="00510C2A"/>
    <w:rsid w:val="005116AC"/>
    <w:rsid w:val="0051182E"/>
    <w:rsid w:val="00511DA6"/>
    <w:rsid w:val="005124A6"/>
    <w:rsid w:val="005126B8"/>
    <w:rsid w:val="005128B8"/>
    <w:rsid w:val="00512EEE"/>
    <w:rsid w:val="00513698"/>
    <w:rsid w:val="005136B3"/>
    <w:rsid w:val="00513843"/>
    <w:rsid w:val="005139E9"/>
    <w:rsid w:val="00513B94"/>
    <w:rsid w:val="00513F5C"/>
    <w:rsid w:val="005140FD"/>
    <w:rsid w:val="0051479B"/>
    <w:rsid w:val="00514A4E"/>
    <w:rsid w:val="00514FA0"/>
    <w:rsid w:val="005161CE"/>
    <w:rsid w:val="005163C8"/>
    <w:rsid w:val="005167F4"/>
    <w:rsid w:val="00517668"/>
    <w:rsid w:val="00520EB4"/>
    <w:rsid w:val="00521A78"/>
    <w:rsid w:val="00521F0A"/>
    <w:rsid w:val="00521F76"/>
    <w:rsid w:val="005222CB"/>
    <w:rsid w:val="005222DF"/>
    <w:rsid w:val="00522C5A"/>
    <w:rsid w:val="00522D84"/>
    <w:rsid w:val="005240A2"/>
    <w:rsid w:val="005240BF"/>
    <w:rsid w:val="00524AF2"/>
    <w:rsid w:val="00524B8E"/>
    <w:rsid w:val="00524EE1"/>
    <w:rsid w:val="00525310"/>
    <w:rsid w:val="00525AFA"/>
    <w:rsid w:val="00526DCF"/>
    <w:rsid w:val="00527727"/>
    <w:rsid w:val="00527C39"/>
    <w:rsid w:val="00530435"/>
    <w:rsid w:val="0053069A"/>
    <w:rsid w:val="00530A67"/>
    <w:rsid w:val="00530F62"/>
    <w:rsid w:val="00531435"/>
    <w:rsid w:val="0053180E"/>
    <w:rsid w:val="00531864"/>
    <w:rsid w:val="00531963"/>
    <w:rsid w:val="005322FA"/>
    <w:rsid w:val="0053250C"/>
    <w:rsid w:val="00532C2C"/>
    <w:rsid w:val="005330A3"/>
    <w:rsid w:val="005334A8"/>
    <w:rsid w:val="0053457C"/>
    <w:rsid w:val="00534AD6"/>
    <w:rsid w:val="00535E48"/>
    <w:rsid w:val="00536E89"/>
    <w:rsid w:val="00537838"/>
    <w:rsid w:val="00537FF5"/>
    <w:rsid w:val="00540166"/>
    <w:rsid w:val="0054048B"/>
    <w:rsid w:val="005407E3"/>
    <w:rsid w:val="005412F2"/>
    <w:rsid w:val="00541930"/>
    <w:rsid w:val="00541A32"/>
    <w:rsid w:val="005425E4"/>
    <w:rsid w:val="00542601"/>
    <w:rsid w:val="00542BC0"/>
    <w:rsid w:val="00542F63"/>
    <w:rsid w:val="00543563"/>
    <w:rsid w:val="00543CB3"/>
    <w:rsid w:val="00544717"/>
    <w:rsid w:val="00544EC6"/>
    <w:rsid w:val="005451DA"/>
    <w:rsid w:val="005463B6"/>
    <w:rsid w:val="00546A6D"/>
    <w:rsid w:val="00546FB9"/>
    <w:rsid w:val="00547886"/>
    <w:rsid w:val="00547AD5"/>
    <w:rsid w:val="005501F5"/>
    <w:rsid w:val="00550312"/>
    <w:rsid w:val="0055031B"/>
    <w:rsid w:val="00550B01"/>
    <w:rsid w:val="00550DF9"/>
    <w:rsid w:val="0055145A"/>
    <w:rsid w:val="00551503"/>
    <w:rsid w:val="00551B5E"/>
    <w:rsid w:val="00551CFB"/>
    <w:rsid w:val="00551D69"/>
    <w:rsid w:val="00552A78"/>
    <w:rsid w:val="00552B1D"/>
    <w:rsid w:val="00552B9E"/>
    <w:rsid w:val="00552BEA"/>
    <w:rsid w:val="0055385A"/>
    <w:rsid w:val="005548DB"/>
    <w:rsid w:val="00555247"/>
    <w:rsid w:val="0055527A"/>
    <w:rsid w:val="005552EB"/>
    <w:rsid w:val="00556235"/>
    <w:rsid w:val="00556756"/>
    <w:rsid w:val="00557426"/>
    <w:rsid w:val="00560070"/>
    <w:rsid w:val="0056021F"/>
    <w:rsid w:val="00560506"/>
    <w:rsid w:val="00561A91"/>
    <w:rsid w:val="00561D78"/>
    <w:rsid w:val="00561F0D"/>
    <w:rsid w:val="005627C3"/>
    <w:rsid w:val="005637D0"/>
    <w:rsid w:val="00564E05"/>
    <w:rsid w:val="0056626A"/>
    <w:rsid w:val="00566608"/>
    <w:rsid w:val="0056668F"/>
    <w:rsid w:val="00566879"/>
    <w:rsid w:val="00566BE9"/>
    <w:rsid w:val="005670E0"/>
    <w:rsid w:val="00567287"/>
    <w:rsid w:val="005706D0"/>
    <w:rsid w:val="00570C17"/>
    <w:rsid w:val="005719EE"/>
    <w:rsid w:val="005720D3"/>
    <w:rsid w:val="00572876"/>
    <w:rsid w:val="00572C8D"/>
    <w:rsid w:val="00572CE3"/>
    <w:rsid w:val="00572E5D"/>
    <w:rsid w:val="00573247"/>
    <w:rsid w:val="005733A6"/>
    <w:rsid w:val="00574058"/>
    <w:rsid w:val="0057492A"/>
    <w:rsid w:val="005749C6"/>
    <w:rsid w:val="0057514E"/>
    <w:rsid w:val="00575C72"/>
    <w:rsid w:val="00575FA2"/>
    <w:rsid w:val="00575FF3"/>
    <w:rsid w:val="00576AF7"/>
    <w:rsid w:val="00576B35"/>
    <w:rsid w:val="00576F03"/>
    <w:rsid w:val="00577DCF"/>
    <w:rsid w:val="0058043B"/>
    <w:rsid w:val="005805E2"/>
    <w:rsid w:val="00580F34"/>
    <w:rsid w:val="00581292"/>
    <w:rsid w:val="00581F69"/>
    <w:rsid w:val="005820FF"/>
    <w:rsid w:val="005822C7"/>
    <w:rsid w:val="005822EC"/>
    <w:rsid w:val="00582991"/>
    <w:rsid w:val="00584580"/>
    <w:rsid w:val="00584A03"/>
    <w:rsid w:val="0058532A"/>
    <w:rsid w:val="00585390"/>
    <w:rsid w:val="00585B33"/>
    <w:rsid w:val="0058617D"/>
    <w:rsid w:val="00586410"/>
    <w:rsid w:val="00586669"/>
    <w:rsid w:val="005869C5"/>
    <w:rsid w:val="005870E7"/>
    <w:rsid w:val="00587471"/>
    <w:rsid w:val="0058752B"/>
    <w:rsid w:val="005877F5"/>
    <w:rsid w:val="005879BA"/>
    <w:rsid w:val="00587A49"/>
    <w:rsid w:val="00587B81"/>
    <w:rsid w:val="00587D1F"/>
    <w:rsid w:val="00587EDE"/>
    <w:rsid w:val="00590B68"/>
    <w:rsid w:val="00590E15"/>
    <w:rsid w:val="005912FA"/>
    <w:rsid w:val="005917A3"/>
    <w:rsid w:val="00591B98"/>
    <w:rsid w:val="00591CAB"/>
    <w:rsid w:val="005920BF"/>
    <w:rsid w:val="00592368"/>
    <w:rsid w:val="005928AF"/>
    <w:rsid w:val="00592998"/>
    <w:rsid w:val="00592C51"/>
    <w:rsid w:val="00593307"/>
    <w:rsid w:val="00593375"/>
    <w:rsid w:val="005939A5"/>
    <w:rsid w:val="00593A8D"/>
    <w:rsid w:val="00593AC4"/>
    <w:rsid w:val="00593D93"/>
    <w:rsid w:val="005945B2"/>
    <w:rsid w:val="00594AE0"/>
    <w:rsid w:val="00595283"/>
    <w:rsid w:val="005952CC"/>
    <w:rsid w:val="005958BB"/>
    <w:rsid w:val="00595CAA"/>
    <w:rsid w:val="00595EF9"/>
    <w:rsid w:val="005971D6"/>
    <w:rsid w:val="00597E26"/>
    <w:rsid w:val="00597F20"/>
    <w:rsid w:val="00597F32"/>
    <w:rsid w:val="005A0812"/>
    <w:rsid w:val="005A0854"/>
    <w:rsid w:val="005A093D"/>
    <w:rsid w:val="005A0A87"/>
    <w:rsid w:val="005A0B31"/>
    <w:rsid w:val="005A0DFD"/>
    <w:rsid w:val="005A148C"/>
    <w:rsid w:val="005A15C9"/>
    <w:rsid w:val="005A2258"/>
    <w:rsid w:val="005A2CF6"/>
    <w:rsid w:val="005A3C80"/>
    <w:rsid w:val="005A3E16"/>
    <w:rsid w:val="005A42C5"/>
    <w:rsid w:val="005A50B4"/>
    <w:rsid w:val="005A515E"/>
    <w:rsid w:val="005A5A5E"/>
    <w:rsid w:val="005A5D26"/>
    <w:rsid w:val="005A6144"/>
    <w:rsid w:val="005A635F"/>
    <w:rsid w:val="005A64E9"/>
    <w:rsid w:val="005A74A4"/>
    <w:rsid w:val="005A7AA5"/>
    <w:rsid w:val="005B012D"/>
    <w:rsid w:val="005B09A3"/>
    <w:rsid w:val="005B0EA4"/>
    <w:rsid w:val="005B1414"/>
    <w:rsid w:val="005B1ED9"/>
    <w:rsid w:val="005B25E8"/>
    <w:rsid w:val="005B3BA4"/>
    <w:rsid w:val="005B3BEB"/>
    <w:rsid w:val="005B3C4D"/>
    <w:rsid w:val="005B4253"/>
    <w:rsid w:val="005B44B2"/>
    <w:rsid w:val="005B462B"/>
    <w:rsid w:val="005B4A18"/>
    <w:rsid w:val="005B4BAF"/>
    <w:rsid w:val="005B4EEA"/>
    <w:rsid w:val="005B5623"/>
    <w:rsid w:val="005B5DA9"/>
    <w:rsid w:val="005B6011"/>
    <w:rsid w:val="005B6061"/>
    <w:rsid w:val="005B6182"/>
    <w:rsid w:val="005B62C3"/>
    <w:rsid w:val="005B6737"/>
    <w:rsid w:val="005B6A41"/>
    <w:rsid w:val="005B70D0"/>
    <w:rsid w:val="005B72EA"/>
    <w:rsid w:val="005B7621"/>
    <w:rsid w:val="005B7850"/>
    <w:rsid w:val="005B7AC0"/>
    <w:rsid w:val="005C00C0"/>
    <w:rsid w:val="005C0271"/>
    <w:rsid w:val="005C096A"/>
    <w:rsid w:val="005C1571"/>
    <w:rsid w:val="005C1660"/>
    <w:rsid w:val="005C18B6"/>
    <w:rsid w:val="005C1C7F"/>
    <w:rsid w:val="005C1E85"/>
    <w:rsid w:val="005C2078"/>
    <w:rsid w:val="005C22CE"/>
    <w:rsid w:val="005C24DB"/>
    <w:rsid w:val="005C26AE"/>
    <w:rsid w:val="005C26ED"/>
    <w:rsid w:val="005C35AD"/>
    <w:rsid w:val="005C35C4"/>
    <w:rsid w:val="005C3AD3"/>
    <w:rsid w:val="005C41F9"/>
    <w:rsid w:val="005C4299"/>
    <w:rsid w:val="005C42FB"/>
    <w:rsid w:val="005C4B19"/>
    <w:rsid w:val="005C4D67"/>
    <w:rsid w:val="005C4E02"/>
    <w:rsid w:val="005C4FE7"/>
    <w:rsid w:val="005C545F"/>
    <w:rsid w:val="005C5DCC"/>
    <w:rsid w:val="005C6177"/>
    <w:rsid w:val="005C63C8"/>
    <w:rsid w:val="005C68C7"/>
    <w:rsid w:val="005C6970"/>
    <w:rsid w:val="005C6D94"/>
    <w:rsid w:val="005C7239"/>
    <w:rsid w:val="005C75B4"/>
    <w:rsid w:val="005C7B25"/>
    <w:rsid w:val="005C7F20"/>
    <w:rsid w:val="005D0C23"/>
    <w:rsid w:val="005D0ED8"/>
    <w:rsid w:val="005D1188"/>
    <w:rsid w:val="005D12B5"/>
    <w:rsid w:val="005D1442"/>
    <w:rsid w:val="005D152E"/>
    <w:rsid w:val="005D21B3"/>
    <w:rsid w:val="005D237D"/>
    <w:rsid w:val="005D2411"/>
    <w:rsid w:val="005D297F"/>
    <w:rsid w:val="005D2A1E"/>
    <w:rsid w:val="005D311E"/>
    <w:rsid w:val="005D3724"/>
    <w:rsid w:val="005D38A0"/>
    <w:rsid w:val="005D3DC6"/>
    <w:rsid w:val="005D3EC3"/>
    <w:rsid w:val="005D4F47"/>
    <w:rsid w:val="005D518D"/>
    <w:rsid w:val="005D5201"/>
    <w:rsid w:val="005D52CE"/>
    <w:rsid w:val="005D52E9"/>
    <w:rsid w:val="005D5846"/>
    <w:rsid w:val="005D6A52"/>
    <w:rsid w:val="005D6BA5"/>
    <w:rsid w:val="005D6C8D"/>
    <w:rsid w:val="005D773E"/>
    <w:rsid w:val="005D7E1D"/>
    <w:rsid w:val="005E0405"/>
    <w:rsid w:val="005E0658"/>
    <w:rsid w:val="005E08C9"/>
    <w:rsid w:val="005E0BB8"/>
    <w:rsid w:val="005E0E6F"/>
    <w:rsid w:val="005E1AEE"/>
    <w:rsid w:val="005E225A"/>
    <w:rsid w:val="005E22CB"/>
    <w:rsid w:val="005E23CC"/>
    <w:rsid w:val="005E255A"/>
    <w:rsid w:val="005E261B"/>
    <w:rsid w:val="005E2BAB"/>
    <w:rsid w:val="005E3759"/>
    <w:rsid w:val="005E3804"/>
    <w:rsid w:val="005E3A7D"/>
    <w:rsid w:val="005E3B20"/>
    <w:rsid w:val="005E3B9A"/>
    <w:rsid w:val="005E4061"/>
    <w:rsid w:val="005E4765"/>
    <w:rsid w:val="005E50CD"/>
    <w:rsid w:val="005E5BD9"/>
    <w:rsid w:val="005E60B4"/>
    <w:rsid w:val="005E6B78"/>
    <w:rsid w:val="005E6E2F"/>
    <w:rsid w:val="005E6F55"/>
    <w:rsid w:val="005E7B17"/>
    <w:rsid w:val="005E7F8E"/>
    <w:rsid w:val="005F0558"/>
    <w:rsid w:val="005F081C"/>
    <w:rsid w:val="005F0ADF"/>
    <w:rsid w:val="005F0FCB"/>
    <w:rsid w:val="005F1706"/>
    <w:rsid w:val="005F1763"/>
    <w:rsid w:val="005F19C8"/>
    <w:rsid w:val="005F1DC8"/>
    <w:rsid w:val="005F2028"/>
    <w:rsid w:val="005F25DD"/>
    <w:rsid w:val="005F2958"/>
    <w:rsid w:val="005F29A6"/>
    <w:rsid w:val="005F2DC8"/>
    <w:rsid w:val="005F315C"/>
    <w:rsid w:val="005F33FA"/>
    <w:rsid w:val="005F3670"/>
    <w:rsid w:val="005F3D8D"/>
    <w:rsid w:val="005F4BFC"/>
    <w:rsid w:val="005F4FF9"/>
    <w:rsid w:val="005F553D"/>
    <w:rsid w:val="005F5C6A"/>
    <w:rsid w:val="005F6A0B"/>
    <w:rsid w:val="005F6FE9"/>
    <w:rsid w:val="005F7402"/>
    <w:rsid w:val="005F7832"/>
    <w:rsid w:val="005F7F17"/>
    <w:rsid w:val="006003D9"/>
    <w:rsid w:val="00600F5C"/>
    <w:rsid w:val="00601419"/>
    <w:rsid w:val="00601812"/>
    <w:rsid w:val="00601C93"/>
    <w:rsid w:val="00601DBD"/>
    <w:rsid w:val="00602B1B"/>
    <w:rsid w:val="00603F55"/>
    <w:rsid w:val="00604885"/>
    <w:rsid w:val="00604E48"/>
    <w:rsid w:val="00604E54"/>
    <w:rsid w:val="006058EE"/>
    <w:rsid w:val="00605D0F"/>
    <w:rsid w:val="0060662E"/>
    <w:rsid w:val="00606F71"/>
    <w:rsid w:val="00607A0E"/>
    <w:rsid w:val="00607BA8"/>
    <w:rsid w:val="006103E1"/>
    <w:rsid w:val="00611A93"/>
    <w:rsid w:val="00611AD7"/>
    <w:rsid w:val="00611CBE"/>
    <w:rsid w:val="00611EBE"/>
    <w:rsid w:val="00611F68"/>
    <w:rsid w:val="006125ED"/>
    <w:rsid w:val="0061271F"/>
    <w:rsid w:val="0061272F"/>
    <w:rsid w:val="00612777"/>
    <w:rsid w:val="00612A26"/>
    <w:rsid w:val="00612BE6"/>
    <w:rsid w:val="00612DB2"/>
    <w:rsid w:val="00613AA5"/>
    <w:rsid w:val="00613F34"/>
    <w:rsid w:val="006141CF"/>
    <w:rsid w:val="0061428B"/>
    <w:rsid w:val="00614355"/>
    <w:rsid w:val="00614523"/>
    <w:rsid w:val="00614740"/>
    <w:rsid w:val="006148DB"/>
    <w:rsid w:val="0061490E"/>
    <w:rsid w:val="00614C68"/>
    <w:rsid w:val="0061500C"/>
    <w:rsid w:val="006154CC"/>
    <w:rsid w:val="0061570A"/>
    <w:rsid w:val="00615E58"/>
    <w:rsid w:val="006160EA"/>
    <w:rsid w:val="00616538"/>
    <w:rsid w:val="00616A69"/>
    <w:rsid w:val="006173E6"/>
    <w:rsid w:val="00617946"/>
    <w:rsid w:val="00617D2A"/>
    <w:rsid w:val="006205C2"/>
    <w:rsid w:val="00620E78"/>
    <w:rsid w:val="00621236"/>
    <w:rsid w:val="00621AE7"/>
    <w:rsid w:val="00621DF5"/>
    <w:rsid w:val="006223EF"/>
    <w:rsid w:val="00622C56"/>
    <w:rsid w:val="006235BC"/>
    <w:rsid w:val="00623E90"/>
    <w:rsid w:val="006240E1"/>
    <w:rsid w:val="006242A6"/>
    <w:rsid w:val="006244B7"/>
    <w:rsid w:val="006247E4"/>
    <w:rsid w:val="00624BBC"/>
    <w:rsid w:val="00624E4C"/>
    <w:rsid w:val="00624EB5"/>
    <w:rsid w:val="006258C3"/>
    <w:rsid w:val="00625B75"/>
    <w:rsid w:val="00625FA5"/>
    <w:rsid w:val="0062632D"/>
    <w:rsid w:val="00626865"/>
    <w:rsid w:val="00626BDD"/>
    <w:rsid w:val="00626E04"/>
    <w:rsid w:val="00627061"/>
    <w:rsid w:val="00627094"/>
    <w:rsid w:val="006279F7"/>
    <w:rsid w:val="00627EE7"/>
    <w:rsid w:val="006304CF"/>
    <w:rsid w:val="00630DB9"/>
    <w:rsid w:val="006315BA"/>
    <w:rsid w:val="006318AA"/>
    <w:rsid w:val="006318B3"/>
    <w:rsid w:val="00631989"/>
    <w:rsid w:val="00631B2B"/>
    <w:rsid w:val="00631E8E"/>
    <w:rsid w:val="00632207"/>
    <w:rsid w:val="00632A6D"/>
    <w:rsid w:val="00632B71"/>
    <w:rsid w:val="00632C45"/>
    <w:rsid w:val="00632DBC"/>
    <w:rsid w:val="00633198"/>
    <w:rsid w:val="006331FF"/>
    <w:rsid w:val="00633372"/>
    <w:rsid w:val="0063363A"/>
    <w:rsid w:val="006339C9"/>
    <w:rsid w:val="00633F94"/>
    <w:rsid w:val="00633F97"/>
    <w:rsid w:val="006341B7"/>
    <w:rsid w:val="00634293"/>
    <w:rsid w:val="006343EB"/>
    <w:rsid w:val="006347F4"/>
    <w:rsid w:val="0063491C"/>
    <w:rsid w:val="00634EA4"/>
    <w:rsid w:val="00635112"/>
    <w:rsid w:val="00636536"/>
    <w:rsid w:val="006368AD"/>
    <w:rsid w:val="00636A2B"/>
    <w:rsid w:val="006377F9"/>
    <w:rsid w:val="00637F72"/>
    <w:rsid w:val="00640653"/>
    <w:rsid w:val="006408BF"/>
    <w:rsid w:val="00640A19"/>
    <w:rsid w:val="00641006"/>
    <w:rsid w:val="006417D3"/>
    <w:rsid w:val="00641C48"/>
    <w:rsid w:val="00641C5D"/>
    <w:rsid w:val="006420D2"/>
    <w:rsid w:val="00642491"/>
    <w:rsid w:val="0064271A"/>
    <w:rsid w:val="006428BB"/>
    <w:rsid w:val="00642B10"/>
    <w:rsid w:val="00642C00"/>
    <w:rsid w:val="00642CFC"/>
    <w:rsid w:val="00643027"/>
    <w:rsid w:val="0064395A"/>
    <w:rsid w:val="00643A5A"/>
    <w:rsid w:val="00643A8F"/>
    <w:rsid w:val="0064402B"/>
    <w:rsid w:val="006447FB"/>
    <w:rsid w:val="00644A49"/>
    <w:rsid w:val="00644C16"/>
    <w:rsid w:val="00645118"/>
    <w:rsid w:val="006456FA"/>
    <w:rsid w:val="006456FD"/>
    <w:rsid w:val="006462FF"/>
    <w:rsid w:val="00646315"/>
    <w:rsid w:val="00646FAB"/>
    <w:rsid w:val="00646FFB"/>
    <w:rsid w:val="00647194"/>
    <w:rsid w:val="00647787"/>
    <w:rsid w:val="00647BF2"/>
    <w:rsid w:val="00647DAC"/>
    <w:rsid w:val="0065065B"/>
    <w:rsid w:val="006508D3"/>
    <w:rsid w:val="006510D1"/>
    <w:rsid w:val="00651184"/>
    <w:rsid w:val="00651B32"/>
    <w:rsid w:val="00651FF1"/>
    <w:rsid w:val="00652697"/>
    <w:rsid w:val="00652A32"/>
    <w:rsid w:val="00652C7E"/>
    <w:rsid w:val="00653124"/>
    <w:rsid w:val="00653749"/>
    <w:rsid w:val="00653CA9"/>
    <w:rsid w:val="00654F1C"/>
    <w:rsid w:val="006557CD"/>
    <w:rsid w:val="00655890"/>
    <w:rsid w:val="00655C15"/>
    <w:rsid w:val="00655C8B"/>
    <w:rsid w:val="00656F7B"/>
    <w:rsid w:val="0065702B"/>
    <w:rsid w:val="006571B0"/>
    <w:rsid w:val="0065754E"/>
    <w:rsid w:val="0065755B"/>
    <w:rsid w:val="00660115"/>
    <w:rsid w:val="00660485"/>
    <w:rsid w:val="00660C5A"/>
    <w:rsid w:val="006611B2"/>
    <w:rsid w:val="00661DF6"/>
    <w:rsid w:val="006620F3"/>
    <w:rsid w:val="006620FB"/>
    <w:rsid w:val="006627E3"/>
    <w:rsid w:val="00662B4F"/>
    <w:rsid w:val="00662CC4"/>
    <w:rsid w:val="00662CDE"/>
    <w:rsid w:val="00662CEE"/>
    <w:rsid w:val="00662EBB"/>
    <w:rsid w:val="00663AEF"/>
    <w:rsid w:val="00663D42"/>
    <w:rsid w:val="0066462F"/>
    <w:rsid w:val="006647A1"/>
    <w:rsid w:val="00664B11"/>
    <w:rsid w:val="00665439"/>
    <w:rsid w:val="0066564E"/>
    <w:rsid w:val="00665BD7"/>
    <w:rsid w:val="00665F83"/>
    <w:rsid w:val="00665F94"/>
    <w:rsid w:val="00666740"/>
    <w:rsid w:val="00666C5D"/>
    <w:rsid w:val="0066726F"/>
    <w:rsid w:val="006672B3"/>
    <w:rsid w:val="006676F9"/>
    <w:rsid w:val="006707B6"/>
    <w:rsid w:val="00671979"/>
    <w:rsid w:val="00671AF3"/>
    <w:rsid w:val="00671B7A"/>
    <w:rsid w:val="00671F29"/>
    <w:rsid w:val="00673931"/>
    <w:rsid w:val="006746A6"/>
    <w:rsid w:val="00675476"/>
    <w:rsid w:val="00675612"/>
    <w:rsid w:val="00675716"/>
    <w:rsid w:val="006759A7"/>
    <w:rsid w:val="0067616A"/>
    <w:rsid w:val="00676881"/>
    <w:rsid w:val="00676CFB"/>
    <w:rsid w:val="00677BB1"/>
    <w:rsid w:val="006818E0"/>
    <w:rsid w:val="00682154"/>
    <w:rsid w:val="00682805"/>
    <w:rsid w:val="006834D6"/>
    <w:rsid w:val="006834FA"/>
    <w:rsid w:val="00683843"/>
    <w:rsid w:val="00683FA3"/>
    <w:rsid w:val="00684605"/>
    <w:rsid w:val="00684671"/>
    <w:rsid w:val="00685593"/>
    <w:rsid w:val="006859D2"/>
    <w:rsid w:val="00685E69"/>
    <w:rsid w:val="00686202"/>
    <w:rsid w:val="00686236"/>
    <w:rsid w:val="00686ED4"/>
    <w:rsid w:val="00686F3F"/>
    <w:rsid w:val="00687106"/>
    <w:rsid w:val="00687201"/>
    <w:rsid w:val="00687611"/>
    <w:rsid w:val="00687781"/>
    <w:rsid w:val="00687987"/>
    <w:rsid w:val="006902D2"/>
    <w:rsid w:val="006903F7"/>
    <w:rsid w:val="00690B26"/>
    <w:rsid w:val="0069172A"/>
    <w:rsid w:val="006920F8"/>
    <w:rsid w:val="006922CF"/>
    <w:rsid w:val="006927C9"/>
    <w:rsid w:val="00692830"/>
    <w:rsid w:val="00692886"/>
    <w:rsid w:val="00692971"/>
    <w:rsid w:val="006930F7"/>
    <w:rsid w:val="0069351E"/>
    <w:rsid w:val="006942FD"/>
    <w:rsid w:val="006944E3"/>
    <w:rsid w:val="006947BE"/>
    <w:rsid w:val="00694965"/>
    <w:rsid w:val="006949A2"/>
    <w:rsid w:val="00694C4A"/>
    <w:rsid w:val="00694D2E"/>
    <w:rsid w:val="00694D70"/>
    <w:rsid w:val="006958F3"/>
    <w:rsid w:val="00695B74"/>
    <w:rsid w:val="00696301"/>
    <w:rsid w:val="0069645D"/>
    <w:rsid w:val="006968AB"/>
    <w:rsid w:val="00696CD8"/>
    <w:rsid w:val="00696D88"/>
    <w:rsid w:val="006971C7"/>
    <w:rsid w:val="006972D6"/>
    <w:rsid w:val="006A00A7"/>
    <w:rsid w:val="006A028E"/>
    <w:rsid w:val="006A02BA"/>
    <w:rsid w:val="006A0629"/>
    <w:rsid w:val="006A08D6"/>
    <w:rsid w:val="006A0E33"/>
    <w:rsid w:val="006A1090"/>
    <w:rsid w:val="006A1172"/>
    <w:rsid w:val="006A12ED"/>
    <w:rsid w:val="006A156A"/>
    <w:rsid w:val="006A16B6"/>
    <w:rsid w:val="006A1DC6"/>
    <w:rsid w:val="006A2545"/>
    <w:rsid w:val="006A25BD"/>
    <w:rsid w:val="006A2645"/>
    <w:rsid w:val="006A2D01"/>
    <w:rsid w:val="006A2F7F"/>
    <w:rsid w:val="006A345D"/>
    <w:rsid w:val="006A3562"/>
    <w:rsid w:val="006A366B"/>
    <w:rsid w:val="006A380D"/>
    <w:rsid w:val="006A3AE1"/>
    <w:rsid w:val="006A3CD2"/>
    <w:rsid w:val="006A41B9"/>
    <w:rsid w:val="006A458F"/>
    <w:rsid w:val="006A49E0"/>
    <w:rsid w:val="006A59EA"/>
    <w:rsid w:val="006A5EB9"/>
    <w:rsid w:val="006A63D3"/>
    <w:rsid w:val="006A6513"/>
    <w:rsid w:val="006A656F"/>
    <w:rsid w:val="006A6C37"/>
    <w:rsid w:val="006A6CC4"/>
    <w:rsid w:val="006A6F11"/>
    <w:rsid w:val="006A6FCA"/>
    <w:rsid w:val="006A7329"/>
    <w:rsid w:val="006A79AF"/>
    <w:rsid w:val="006A7A4E"/>
    <w:rsid w:val="006B0481"/>
    <w:rsid w:val="006B1981"/>
    <w:rsid w:val="006B236C"/>
    <w:rsid w:val="006B2480"/>
    <w:rsid w:val="006B3312"/>
    <w:rsid w:val="006B39A2"/>
    <w:rsid w:val="006B3A11"/>
    <w:rsid w:val="006B3D39"/>
    <w:rsid w:val="006B486B"/>
    <w:rsid w:val="006B4A40"/>
    <w:rsid w:val="006B4F3E"/>
    <w:rsid w:val="006B55B7"/>
    <w:rsid w:val="006B5D27"/>
    <w:rsid w:val="006B5EE6"/>
    <w:rsid w:val="006B6083"/>
    <w:rsid w:val="006B64DB"/>
    <w:rsid w:val="006B68BC"/>
    <w:rsid w:val="006B6ED6"/>
    <w:rsid w:val="006B7751"/>
    <w:rsid w:val="006C0112"/>
    <w:rsid w:val="006C0309"/>
    <w:rsid w:val="006C0C8B"/>
    <w:rsid w:val="006C2257"/>
    <w:rsid w:val="006C2A34"/>
    <w:rsid w:val="006C2B1A"/>
    <w:rsid w:val="006C2D0A"/>
    <w:rsid w:val="006C2F41"/>
    <w:rsid w:val="006C3573"/>
    <w:rsid w:val="006C370E"/>
    <w:rsid w:val="006C3DF9"/>
    <w:rsid w:val="006C3FA8"/>
    <w:rsid w:val="006C41CA"/>
    <w:rsid w:val="006C43EF"/>
    <w:rsid w:val="006C4778"/>
    <w:rsid w:val="006C54A7"/>
    <w:rsid w:val="006C55B0"/>
    <w:rsid w:val="006C569D"/>
    <w:rsid w:val="006C5868"/>
    <w:rsid w:val="006C5956"/>
    <w:rsid w:val="006C616B"/>
    <w:rsid w:val="006C6A73"/>
    <w:rsid w:val="006D03BD"/>
    <w:rsid w:val="006D06F2"/>
    <w:rsid w:val="006D0CCE"/>
    <w:rsid w:val="006D1834"/>
    <w:rsid w:val="006D1D7B"/>
    <w:rsid w:val="006D1E9E"/>
    <w:rsid w:val="006D204C"/>
    <w:rsid w:val="006D2239"/>
    <w:rsid w:val="006D2959"/>
    <w:rsid w:val="006D398B"/>
    <w:rsid w:val="006D419B"/>
    <w:rsid w:val="006D4777"/>
    <w:rsid w:val="006D4779"/>
    <w:rsid w:val="006D4AE2"/>
    <w:rsid w:val="006D4E16"/>
    <w:rsid w:val="006D561C"/>
    <w:rsid w:val="006D5885"/>
    <w:rsid w:val="006D5963"/>
    <w:rsid w:val="006D61BD"/>
    <w:rsid w:val="006D6385"/>
    <w:rsid w:val="006D6DA2"/>
    <w:rsid w:val="006D6DFC"/>
    <w:rsid w:val="006D7352"/>
    <w:rsid w:val="006D79DA"/>
    <w:rsid w:val="006D7A86"/>
    <w:rsid w:val="006D7D0F"/>
    <w:rsid w:val="006E019D"/>
    <w:rsid w:val="006E0440"/>
    <w:rsid w:val="006E04CE"/>
    <w:rsid w:val="006E08B9"/>
    <w:rsid w:val="006E0939"/>
    <w:rsid w:val="006E0ACF"/>
    <w:rsid w:val="006E13A4"/>
    <w:rsid w:val="006E145C"/>
    <w:rsid w:val="006E31B1"/>
    <w:rsid w:val="006E34E4"/>
    <w:rsid w:val="006E3C93"/>
    <w:rsid w:val="006E3E87"/>
    <w:rsid w:val="006E421A"/>
    <w:rsid w:val="006E445A"/>
    <w:rsid w:val="006E44D4"/>
    <w:rsid w:val="006E49D4"/>
    <w:rsid w:val="006E4D86"/>
    <w:rsid w:val="006E4E07"/>
    <w:rsid w:val="006E54B7"/>
    <w:rsid w:val="006E58AE"/>
    <w:rsid w:val="006E58ED"/>
    <w:rsid w:val="006E5C17"/>
    <w:rsid w:val="006E5C7F"/>
    <w:rsid w:val="006E5E28"/>
    <w:rsid w:val="006E6574"/>
    <w:rsid w:val="006E65FF"/>
    <w:rsid w:val="006E6629"/>
    <w:rsid w:val="006E6C47"/>
    <w:rsid w:val="006E708A"/>
    <w:rsid w:val="006E72CC"/>
    <w:rsid w:val="006E7993"/>
    <w:rsid w:val="006E7A4D"/>
    <w:rsid w:val="006F0671"/>
    <w:rsid w:val="006F0736"/>
    <w:rsid w:val="006F0CBB"/>
    <w:rsid w:val="006F1263"/>
    <w:rsid w:val="006F14F0"/>
    <w:rsid w:val="006F1CE8"/>
    <w:rsid w:val="006F1E6A"/>
    <w:rsid w:val="006F292E"/>
    <w:rsid w:val="006F2D7B"/>
    <w:rsid w:val="006F3FCB"/>
    <w:rsid w:val="006F439C"/>
    <w:rsid w:val="006F444B"/>
    <w:rsid w:val="006F465C"/>
    <w:rsid w:val="006F491D"/>
    <w:rsid w:val="006F4A19"/>
    <w:rsid w:val="006F4B4A"/>
    <w:rsid w:val="006F4ED0"/>
    <w:rsid w:val="006F4FFD"/>
    <w:rsid w:val="006F6304"/>
    <w:rsid w:val="006F6AAD"/>
    <w:rsid w:val="006F6CD2"/>
    <w:rsid w:val="006F7307"/>
    <w:rsid w:val="006F75E2"/>
    <w:rsid w:val="006F7733"/>
    <w:rsid w:val="006F79C2"/>
    <w:rsid w:val="007002B6"/>
    <w:rsid w:val="00700378"/>
    <w:rsid w:val="007008C3"/>
    <w:rsid w:val="007009C9"/>
    <w:rsid w:val="0070158A"/>
    <w:rsid w:val="00701D68"/>
    <w:rsid w:val="00701E64"/>
    <w:rsid w:val="00701F7F"/>
    <w:rsid w:val="00702420"/>
    <w:rsid w:val="007027C8"/>
    <w:rsid w:val="00702812"/>
    <w:rsid w:val="00702BBC"/>
    <w:rsid w:val="00703726"/>
    <w:rsid w:val="00703C07"/>
    <w:rsid w:val="00704081"/>
    <w:rsid w:val="007048E0"/>
    <w:rsid w:val="00705049"/>
    <w:rsid w:val="0070552C"/>
    <w:rsid w:val="0070593D"/>
    <w:rsid w:val="0070600D"/>
    <w:rsid w:val="007060CB"/>
    <w:rsid w:val="0070639C"/>
    <w:rsid w:val="00706444"/>
    <w:rsid w:val="00706C52"/>
    <w:rsid w:val="00706D81"/>
    <w:rsid w:val="00707520"/>
    <w:rsid w:val="0070772D"/>
    <w:rsid w:val="007077B7"/>
    <w:rsid w:val="00707902"/>
    <w:rsid w:val="00707A4B"/>
    <w:rsid w:val="00707EA7"/>
    <w:rsid w:val="007100D9"/>
    <w:rsid w:val="0071042F"/>
    <w:rsid w:val="007104F6"/>
    <w:rsid w:val="0071085B"/>
    <w:rsid w:val="00710BBD"/>
    <w:rsid w:val="00710F17"/>
    <w:rsid w:val="007113D1"/>
    <w:rsid w:val="00711545"/>
    <w:rsid w:val="00711A9F"/>
    <w:rsid w:val="00711FAC"/>
    <w:rsid w:val="0071225A"/>
    <w:rsid w:val="0071246E"/>
    <w:rsid w:val="00712A4D"/>
    <w:rsid w:val="00712A63"/>
    <w:rsid w:val="0071312F"/>
    <w:rsid w:val="007131A3"/>
    <w:rsid w:val="00713619"/>
    <w:rsid w:val="00713816"/>
    <w:rsid w:val="007140F7"/>
    <w:rsid w:val="00714220"/>
    <w:rsid w:val="00714843"/>
    <w:rsid w:val="00714CF2"/>
    <w:rsid w:val="00714E20"/>
    <w:rsid w:val="007153C2"/>
    <w:rsid w:val="007155BB"/>
    <w:rsid w:val="007155F5"/>
    <w:rsid w:val="00715610"/>
    <w:rsid w:val="007156B9"/>
    <w:rsid w:val="00715AE2"/>
    <w:rsid w:val="00715F66"/>
    <w:rsid w:val="007161F9"/>
    <w:rsid w:val="00716A67"/>
    <w:rsid w:val="00716BC8"/>
    <w:rsid w:val="0071728B"/>
    <w:rsid w:val="00717304"/>
    <w:rsid w:val="00717A16"/>
    <w:rsid w:val="00717AF1"/>
    <w:rsid w:val="00717BBA"/>
    <w:rsid w:val="00717E49"/>
    <w:rsid w:val="00717F60"/>
    <w:rsid w:val="00720817"/>
    <w:rsid w:val="0072107D"/>
    <w:rsid w:val="007213FB"/>
    <w:rsid w:val="00721730"/>
    <w:rsid w:val="00721844"/>
    <w:rsid w:val="007218A4"/>
    <w:rsid w:val="00721B7D"/>
    <w:rsid w:val="0072230F"/>
    <w:rsid w:val="007225FF"/>
    <w:rsid w:val="00722850"/>
    <w:rsid w:val="00722A8B"/>
    <w:rsid w:val="00723A01"/>
    <w:rsid w:val="00723CE6"/>
    <w:rsid w:val="00724629"/>
    <w:rsid w:val="007246AD"/>
    <w:rsid w:val="0072488C"/>
    <w:rsid w:val="00725B9D"/>
    <w:rsid w:val="0072638B"/>
    <w:rsid w:val="00726451"/>
    <w:rsid w:val="00726696"/>
    <w:rsid w:val="00726E16"/>
    <w:rsid w:val="00726EC0"/>
    <w:rsid w:val="00727099"/>
    <w:rsid w:val="00727DA6"/>
    <w:rsid w:val="00730961"/>
    <w:rsid w:val="00730BA9"/>
    <w:rsid w:val="007318E6"/>
    <w:rsid w:val="007319AB"/>
    <w:rsid w:val="00731B37"/>
    <w:rsid w:val="0073238D"/>
    <w:rsid w:val="007329E1"/>
    <w:rsid w:val="00733010"/>
    <w:rsid w:val="0073353F"/>
    <w:rsid w:val="007338E3"/>
    <w:rsid w:val="00733BAC"/>
    <w:rsid w:val="007340CD"/>
    <w:rsid w:val="007343AF"/>
    <w:rsid w:val="00734611"/>
    <w:rsid w:val="00735563"/>
    <w:rsid w:val="007357A1"/>
    <w:rsid w:val="00735F46"/>
    <w:rsid w:val="00736459"/>
    <w:rsid w:val="00736604"/>
    <w:rsid w:val="007373DB"/>
    <w:rsid w:val="00737625"/>
    <w:rsid w:val="00740142"/>
    <w:rsid w:val="007411FE"/>
    <w:rsid w:val="00741C44"/>
    <w:rsid w:val="00741FAD"/>
    <w:rsid w:val="007427F8"/>
    <w:rsid w:val="00742871"/>
    <w:rsid w:val="00742901"/>
    <w:rsid w:val="00742B9D"/>
    <w:rsid w:val="00742E2E"/>
    <w:rsid w:val="00742E45"/>
    <w:rsid w:val="00743019"/>
    <w:rsid w:val="007437D5"/>
    <w:rsid w:val="00743A94"/>
    <w:rsid w:val="00743B12"/>
    <w:rsid w:val="007447AF"/>
    <w:rsid w:val="007448F1"/>
    <w:rsid w:val="00744F50"/>
    <w:rsid w:val="0074514E"/>
    <w:rsid w:val="0074529E"/>
    <w:rsid w:val="007452A5"/>
    <w:rsid w:val="00745448"/>
    <w:rsid w:val="00745592"/>
    <w:rsid w:val="007458C6"/>
    <w:rsid w:val="00745EFD"/>
    <w:rsid w:val="007460AD"/>
    <w:rsid w:val="0074700A"/>
    <w:rsid w:val="0074720D"/>
    <w:rsid w:val="0074724D"/>
    <w:rsid w:val="00747499"/>
    <w:rsid w:val="007477A4"/>
    <w:rsid w:val="00750013"/>
    <w:rsid w:val="00750329"/>
    <w:rsid w:val="00750816"/>
    <w:rsid w:val="00750842"/>
    <w:rsid w:val="00750C01"/>
    <w:rsid w:val="00750C26"/>
    <w:rsid w:val="00750E5A"/>
    <w:rsid w:val="00751426"/>
    <w:rsid w:val="00751441"/>
    <w:rsid w:val="007517B4"/>
    <w:rsid w:val="00751B38"/>
    <w:rsid w:val="00751E54"/>
    <w:rsid w:val="007520DE"/>
    <w:rsid w:val="00752230"/>
    <w:rsid w:val="00752514"/>
    <w:rsid w:val="007526E0"/>
    <w:rsid w:val="00753A74"/>
    <w:rsid w:val="00753D50"/>
    <w:rsid w:val="00753E0B"/>
    <w:rsid w:val="007542A9"/>
    <w:rsid w:val="00755474"/>
    <w:rsid w:val="007558BA"/>
    <w:rsid w:val="007558D5"/>
    <w:rsid w:val="00755B39"/>
    <w:rsid w:val="00755F37"/>
    <w:rsid w:val="00756236"/>
    <w:rsid w:val="0075686D"/>
    <w:rsid w:val="00756962"/>
    <w:rsid w:val="00760032"/>
    <w:rsid w:val="007600FC"/>
    <w:rsid w:val="007601BB"/>
    <w:rsid w:val="007611FF"/>
    <w:rsid w:val="007614D0"/>
    <w:rsid w:val="00761EFB"/>
    <w:rsid w:val="00761F20"/>
    <w:rsid w:val="00762346"/>
    <w:rsid w:val="00762456"/>
    <w:rsid w:val="00762569"/>
    <w:rsid w:val="00762BBE"/>
    <w:rsid w:val="00763130"/>
    <w:rsid w:val="007631D4"/>
    <w:rsid w:val="00763492"/>
    <w:rsid w:val="00763ED6"/>
    <w:rsid w:val="00763FCC"/>
    <w:rsid w:val="007642E5"/>
    <w:rsid w:val="00764622"/>
    <w:rsid w:val="00764948"/>
    <w:rsid w:val="00764EA9"/>
    <w:rsid w:val="00764EEC"/>
    <w:rsid w:val="00765557"/>
    <w:rsid w:val="0076561B"/>
    <w:rsid w:val="007657C1"/>
    <w:rsid w:val="00765861"/>
    <w:rsid w:val="00765F2A"/>
    <w:rsid w:val="00766231"/>
    <w:rsid w:val="007662F4"/>
    <w:rsid w:val="007666E5"/>
    <w:rsid w:val="00766C4B"/>
    <w:rsid w:val="00767175"/>
    <w:rsid w:val="00767587"/>
    <w:rsid w:val="00767D35"/>
    <w:rsid w:val="0077038C"/>
    <w:rsid w:val="007704A4"/>
    <w:rsid w:val="0077052B"/>
    <w:rsid w:val="0077106B"/>
    <w:rsid w:val="00771086"/>
    <w:rsid w:val="007711CC"/>
    <w:rsid w:val="00771390"/>
    <w:rsid w:val="0077141C"/>
    <w:rsid w:val="00771976"/>
    <w:rsid w:val="00771BF7"/>
    <w:rsid w:val="00771F03"/>
    <w:rsid w:val="00773A03"/>
    <w:rsid w:val="00773BA8"/>
    <w:rsid w:val="00773DC0"/>
    <w:rsid w:val="00774285"/>
    <w:rsid w:val="00774387"/>
    <w:rsid w:val="0077452A"/>
    <w:rsid w:val="00774AC2"/>
    <w:rsid w:val="00774F58"/>
    <w:rsid w:val="00775008"/>
    <w:rsid w:val="00775266"/>
    <w:rsid w:val="0077529B"/>
    <w:rsid w:val="007752D2"/>
    <w:rsid w:val="00775B92"/>
    <w:rsid w:val="00775C03"/>
    <w:rsid w:val="00775FF6"/>
    <w:rsid w:val="00776189"/>
    <w:rsid w:val="0077620E"/>
    <w:rsid w:val="00776867"/>
    <w:rsid w:val="00776C0A"/>
    <w:rsid w:val="00780CDE"/>
    <w:rsid w:val="00781D4B"/>
    <w:rsid w:val="0078295C"/>
    <w:rsid w:val="0078308B"/>
    <w:rsid w:val="007838D3"/>
    <w:rsid w:val="0078394E"/>
    <w:rsid w:val="00783F7A"/>
    <w:rsid w:val="007846FC"/>
    <w:rsid w:val="00784A5D"/>
    <w:rsid w:val="00784BD5"/>
    <w:rsid w:val="00786051"/>
    <w:rsid w:val="007866AF"/>
    <w:rsid w:val="00786CE5"/>
    <w:rsid w:val="00787133"/>
    <w:rsid w:val="0078774C"/>
    <w:rsid w:val="00787B00"/>
    <w:rsid w:val="007900D2"/>
    <w:rsid w:val="007907AD"/>
    <w:rsid w:val="00790B2A"/>
    <w:rsid w:val="00790B30"/>
    <w:rsid w:val="0079234E"/>
    <w:rsid w:val="00792E58"/>
    <w:rsid w:val="007936C4"/>
    <w:rsid w:val="00793BAC"/>
    <w:rsid w:val="00793C81"/>
    <w:rsid w:val="00794011"/>
    <w:rsid w:val="007940EF"/>
    <w:rsid w:val="00794153"/>
    <w:rsid w:val="0079466A"/>
    <w:rsid w:val="00794ADD"/>
    <w:rsid w:val="00795AD0"/>
    <w:rsid w:val="00795F5D"/>
    <w:rsid w:val="007962A7"/>
    <w:rsid w:val="00796A4B"/>
    <w:rsid w:val="00796BF7"/>
    <w:rsid w:val="007971BC"/>
    <w:rsid w:val="00797B34"/>
    <w:rsid w:val="00797BAE"/>
    <w:rsid w:val="007A0923"/>
    <w:rsid w:val="007A0EEB"/>
    <w:rsid w:val="007A0F5E"/>
    <w:rsid w:val="007A168D"/>
    <w:rsid w:val="007A1815"/>
    <w:rsid w:val="007A186C"/>
    <w:rsid w:val="007A1A17"/>
    <w:rsid w:val="007A2151"/>
    <w:rsid w:val="007A219D"/>
    <w:rsid w:val="007A22E2"/>
    <w:rsid w:val="007A22E7"/>
    <w:rsid w:val="007A2A23"/>
    <w:rsid w:val="007A2CE8"/>
    <w:rsid w:val="007A31DE"/>
    <w:rsid w:val="007A3C57"/>
    <w:rsid w:val="007A406D"/>
    <w:rsid w:val="007A455D"/>
    <w:rsid w:val="007A478C"/>
    <w:rsid w:val="007A4AF4"/>
    <w:rsid w:val="007A5321"/>
    <w:rsid w:val="007A5523"/>
    <w:rsid w:val="007A58DB"/>
    <w:rsid w:val="007A5D8E"/>
    <w:rsid w:val="007A62B0"/>
    <w:rsid w:val="007A676F"/>
    <w:rsid w:val="007A6819"/>
    <w:rsid w:val="007A6C0A"/>
    <w:rsid w:val="007A6CA6"/>
    <w:rsid w:val="007A7038"/>
    <w:rsid w:val="007A73CD"/>
    <w:rsid w:val="007A7A8D"/>
    <w:rsid w:val="007B05C3"/>
    <w:rsid w:val="007B0686"/>
    <w:rsid w:val="007B06A5"/>
    <w:rsid w:val="007B07DE"/>
    <w:rsid w:val="007B0DB8"/>
    <w:rsid w:val="007B10FF"/>
    <w:rsid w:val="007B1690"/>
    <w:rsid w:val="007B1A7F"/>
    <w:rsid w:val="007B2097"/>
    <w:rsid w:val="007B23E8"/>
    <w:rsid w:val="007B24D0"/>
    <w:rsid w:val="007B28CA"/>
    <w:rsid w:val="007B2DE3"/>
    <w:rsid w:val="007B351F"/>
    <w:rsid w:val="007B41ED"/>
    <w:rsid w:val="007B4796"/>
    <w:rsid w:val="007B4A33"/>
    <w:rsid w:val="007B4A9B"/>
    <w:rsid w:val="007B5BBD"/>
    <w:rsid w:val="007B5BFD"/>
    <w:rsid w:val="007B6379"/>
    <w:rsid w:val="007B6937"/>
    <w:rsid w:val="007B7B00"/>
    <w:rsid w:val="007C0360"/>
    <w:rsid w:val="007C051E"/>
    <w:rsid w:val="007C0822"/>
    <w:rsid w:val="007C0CB1"/>
    <w:rsid w:val="007C0E22"/>
    <w:rsid w:val="007C10FE"/>
    <w:rsid w:val="007C1B66"/>
    <w:rsid w:val="007C2323"/>
    <w:rsid w:val="007C2B9D"/>
    <w:rsid w:val="007C3011"/>
    <w:rsid w:val="007C356E"/>
    <w:rsid w:val="007C4782"/>
    <w:rsid w:val="007C51EF"/>
    <w:rsid w:val="007C5598"/>
    <w:rsid w:val="007C57BE"/>
    <w:rsid w:val="007C5A0C"/>
    <w:rsid w:val="007C5EBA"/>
    <w:rsid w:val="007C6257"/>
    <w:rsid w:val="007C629A"/>
    <w:rsid w:val="007C631D"/>
    <w:rsid w:val="007C6631"/>
    <w:rsid w:val="007C66D1"/>
    <w:rsid w:val="007C6764"/>
    <w:rsid w:val="007C67EF"/>
    <w:rsid w:val="007C687F"/>
    <w:rsid w:val="007C6C58"/>
    <w:rsid w:val="007C7BF6"/>
    <w:rsid w:val="007D033D"/>
    <w:rsid w:val="007D038F"/>
    <w:rsid w:val="007D0510"/>
    <w:rsid w:val="007D0D33"/>
    <w:rsid w:val="007D0D7C"/>
    <w:rsid w:val="007D0DD2"/>
    <w:rsid w:val="007D1380"/>
    <w:rsid w:val="007D2053"/>
    <w:rsid w:val="007D2DD0"/>
    <w:rsid w:val="007D2E62"/>
    <w:rsid w:val="007D3049"/>
    <w:rsid w:val="007D393A"/>
    <w:rsid w:val="007D44E4"/>
    <w:rsid w:val="007D50F1"/>
    <w:rsid w:val="007D527F"/>
    <w:rsid w:val="007D54D5"/>
    <w:rsid w:val="007D5653"/>
    <w:rsid w:val="007D56F5"/>
    <w:rsid w:val="007D58DC"/>
    <w:rsid w:val="007D6CB4"/>
    <w:rsid w:val="007D6CFA"/>
    <w:rsid w:val="007D70EC"/>
    <w:rsid w:val="007D7111"/>
    <w:rsid w:val="007D74D3"/>
    <w:rsid w:val="007D7617"/>
    <w:rsid w:val="007D786A"/>
    <w:rsid w:val="007D7E8F"/>
    <w:rsid w:val="007D7FBC"/>
    <w:rsid w:val="007E07C4"/>
    <w:rsid w:val="007E07F6"/>
    <w:rsid w:val="007E0FEE"/>
    <w:rsid w:val="007E10F3"/>
    <w:rsid w:val="007E166C"/>
    <w:rsid w:val="007E19A6"/>
    <w:rsid w:val="007E1D84"/>
    <w:rsid w:val="007E1EB2"/>
    <w:rsid w:val="007E2269"/>
    <w:rsid w:val="007E23BE"/>
    <w:rsid w:val="007E25B9"/>
    <w:rsid w:val="007E25BD"/>
    <w:rsid w:val="007E28C7"/>
    <w:rsid w:val="007E2A3C"/>
    <w:rsid w:val="007E310C"/>
    <w:rsid w:val="007E357A"/>
    <w:rsid w:val="007E3757"/>
    <w:rsid w:val="007E4578"/>
    <w:rsid w:val="007E4648"/>
    <w:rsid w:val="007E49D5"/>
    <w:rsid w:val="007E4DB4"/>
    <w:rsid w:val="007E53B8"/>
    <w:rsid w:val="007E5C2C"/>
    <w:rsid w:val="007E6174"/>
    <w:rsid w:val="007E6741"/>
    <w:rsid w:val="007E687D"/>
    <w:rsid w:val="007E6990"/>
    <w:rsid w:val="007E7D0A"/>
    <w:rsid w:val="007E7EBA"/>
    <w:rsid w:val="007F019C"/>
    <w:rsid w:val="007F0209"/>
    <w:rsid w:val="007F0C8E"/>
    <w:rsid w:val="007F0ED8"/>
    <w:rsid w:val="007F0FF7"/>
    <w:rsid w:val="007F11B3"/>
    <w:rsid w:val="007F1794"/>
    <w:rsid w:val="007F1BA2"/>
    <w:rsid w:val="007F2017"/>
    <w:rsid w:val="007F21F4"/>
    <w:rsid w:val="007F255F"/>
    <w:rsid w:val="007F27D2"/>
    <w:rsid w:val="007F2841"/>
    <w:rsid w:val="007F2C52"/>
    <w:rsid w:val="007F361C"/>
    <w:rsid w:val="007F3C60"/>
    <w:rsid w:val="007F3EB5"/>
    <w:rsid w:val="007F4A69"/>
    <w:rsid w:val="007F5031"/>
    <w:rsid w:val="007F583E"/>
    <w:rsid w:val="007F5C54"/>
    <w:rsid w:val="007F6461"/>
    <w:rsid w:val="007F66DA"/>
    <w:rsid w:val="007F7239"/>
    <w:rsid w:val="007F7331"/>
    <w:rsid w:val="007F751F"/>
    <w:rsid w:val="007F79FC"/>
    <w:rsid w:val="0080002B"/>
    <w:rsid w:val="008000FD"/>
    <w:rsid w:val="008006E7"/>
    <w:rsid w:val="008012FC"/>
    <w:rsid w:val="008013B4"/>
    <w:rsid w:val="0080209C"/>
    <w:rsid w:val="00802231"/>
    <w:rsid w:val="008028AB"/>
    <w:rsid w:val="00802A89"/>
    <w:rsid w:val="0080340D"/>
    <w:rsid w:val="00803EA9"/>
    <w:rsid w:val="00803FB2"/>
    <w:rsid w:val="0080430A"/>
    <w:rsid w:val="008045FB"/>
    <w:rsid w:val="008048BF"/>
    <w:rsid w:val="00804DB3"/>
    <w:rsid w:val="00805B35"/>
    <w:rsid w:val="00805D8F"/>
    <w:rsid w:val="00806108"/>
    <w:rsid w:val="00806720"/>
    <w:rsid w:val="00806CCF"/>
    <w:rsid w:val="008071FB"/>
    <w:rsid w:val="00807273"/>
    <w:rsid w:val="00810954"/>
    <w:rsid w:val="00810A2C"/>
    <w:rsid w:val="00811177"/>
    <w:rsid w:val="008113E1"/>
    <w:rsid w:val="008117E8"/>
    <w:rsid w:val="00811967"/>
    <w:rsid w:val="008127D7"/>
    <w:rsid w:val="00812B31"/>
    <w:rsid w:val="00812D40"/>
    <w:rsid w:val="00812F10"/>
    <w:rsid w:val="008130DB"/>
    <w:rsid w:val="00813134"/>
    <w:rsid w:val="00813771"/>
    <w:rsid w:val="008139C3"/>
    <w:rsid w:val="008141FE"/>
    <w:rsid w:val="008145B7"/>
    <w:rsid w:val="008146BE"/>
    <w:rsid w:val="008147A4"/>
    <w:rsid w:val="0081497A"/>
    <w:rsid w:val="00815072"/>
    <w:rsid w:val="008150E8"/>
    <w:rsid w:val="00815109"/>
    <w:rsid w:val="00816575"/>
    <w:rsid w:val="008167E6"/>
    <w:rsid w:val="0081683D"/>
    <w:rsid w:val="0081784A"/>
    <w:rsid w:val="00817988"/>
    <w:rsid w:val="008206E2"/>
    <w:rsid w:val="00820A05"/>
    <w:rsid w:val="00820B92"/>
    <w:rsid w:val="00820C2F"/>
    <w:rsid w:val="00821302"/>
    <w:rsid w:val="0082131E"/>
    <w:rsid w:val="00821475"/>
    <w:rsid w:val="00821BF4"/>
    <w:rsid w:val="00822480"/>
    <w:rsid w:val="0082262C"/>
    <w:rsid w:val="008227C6"/>
    <w:rsid w:val="00823069"/>
    <w:rsid w:val="0082326C"/>
    <w:rsid w:val="008232B4"/>
    <w:rsid w:val="008236CC"/>
    <w:rsid w:val="0082397D"/>
    <w:rsid w:val="00823EB3"/>
    <w:rsid w:val="008244E9"/>
    <w:rsid w:val="00824540"/>
    <w:rsid w:val="0082484D"/>
    <w:rsid w:val="008249B9"/>
    <w:rsid w:val="00825380"/>
    <w:rsid w:val="008257B6"/>
    <w:rsid w:val="00825D7E"/>
    <w:rsid w:val="00826790"/>
    <w:rsid w:val="00826E38"/>
    <w:rsid w:val="0082742C"/>
    <w:rsid w:val="008274D5"/>
    <w:rsid w:val="008276DB"/>
    <w:rsid w:val="00827A94"/>
    <w:rsid w:val="00827ACC"/>
    <w:rsid w:val="00827AE2"/>
    <w:rsid w:val="00827D49"/>
    <w:rsid w:val="008302A5"/>
    <w:rsid w:val="0083095B"/>
    <w:rsid w:val="0083124A"/>
    <w:rsid w:val="00832103"/>
    <w:rsid w:val="0083272D"/>
    <w:rsid w:val="008327E6"/>
    <w:rsid w:val="00832870"/>
    <w:rsid w:val="00832A27"/>
    <w:rsid w:val="00833499"/>
    <w:rsid w:val="008339BB"/>
    <w:rsid w:val="008339C1"/>
    <w:rsid w:val="008349C7"/>
    <w:rsid w:val="00835052"/>
    <w:rsid w:val="00835270"/>
    <w:rsid w:val="008358D6"/>
    <w:rsid w:val="008359BD"/>
    <w:rsid w:val="00835FF5"/>
    <w:rsid w:val="00837019"/>
    <w:rsid w:val="0083731E"/>
    <w:rsid w:val="00837707"/>
    <w:rsid w:val="00837FCE"/>
    <w:rsid w:val="00840765"/>
    <w:rsid w:val="00840D8D"/>
    <w:rsid w:val="00841DD1"/>
    <w:rsid w:val="00842049"/>
    <w:rsid w:val="008425E1"/>
    <w:rsid w:val="008433E1"/>
    <w:rsid w:val="00843522"/>
    <w:rsid w:val="00843ECF"/>
    <w:rsid w:val="008441EF"/>
    <w:rsid w:val="008444E7"/>
    <w:rsid w:val="00844845"/>
    <w:rsid w:val="008448FA"/>
    <w:rsid w:val="00845485"/>
    <w:rsid w:val="00845CC2"/>
    <w:rsid w:val="00846268"/>
    <w:rsid w:val="008466C8"/>
    <w:rsid w:val="00846757"/>
    <w:rsid w:val="00846D87"/>
    <w:rsid w:val="00847E6E"/>
    <w:rsid w:val="00851D77"/>
    <w:rsid w:val="00852066"/>
    <w:rsid w:val="00852B14"/>
    <w:rsid w:val="00852C5B"/>
    <w:rsid w:val="00853656"/>
    <w:rsid w:val="008539FC"/>
    <w:rsid w:val="00853AF5"/>
    <w:rsid w:val="008544AA"/>
    <w:rsid w:val="0085463F"/>
    <w:rsid w:val="00854889"/>
    <w:rsid w:val="008548D6"/>
    <w:rsid w:val="00854A06"/>
    <w:rsid w:val="00854AE5"/>
    <w:rsid w:val="00855321"/>
    <w:rsid w:val="00855549"/>
    <w:rsid w:val="00855A95"/>
    <w:rsid w:val="0085685B"/>
    <w:rsid w:val="00856A30"/>
    <w:rsid w:val="00856D1C"/>
    <w:rsid w:val="00857518"/>
    <w:rsid w:val="00857683"/>
    <w:rsid w:val="00857849"/>
    <w:rsid w:val="0085785C"/>
    <w:rsid w:val="00857E81"/>
    <w:rsid w:val="00860290"/>
    <w:rsid w:val="008602C5"/>
    <w:rsid w:val="0086070E"/>
    <w:rsid w:val="00860E3E"/>
    <w:rsid w:val="008615A3"/>
    <w:rsid w:val="008616D7"/>
    <w:rsid w:val="00861716"/>
    <w:rsid w:val="00861CDD"/>
    <w:rsid w:val="00861F88"/>
    <w:rsid w:val="008623B2"/>
    <w:rsid w:val="008626DC"/>
    <w:rsid w:val="008627BD"/>
    <w:rsid w:val="00862BF1"/>
    <w:rsid w:val="00862D8B"/>
    <w:rsid w:val="00863668"/>
    <w:rsid w:val="00863902"/>
    <w:rsid w:val="00863AD6"/>
    <w:rsid w:val="00863C26"/>
    <w:rsid w:val="00863C6A"/>
    <w:rsid w:val="00863D5B"/>
    <w:rsid w:val="00863DE8"/>
    <w:rsid w:val="0086419A"/>
    <w:rsid w:val="008644A8"/>
    <w:rsid w:val="008647C2"/>
    <w:rsid w:val="00865127"/>
    <w:rsid w:val="00865994"/>
    <w:rsid w:val="00865ED3"/>
    <w:rsid w:val="008678E8"/>
    <w:rsid w:val="00867BF0"/>
    <w:rsid w:val="0087023B"/>
    <w:rsid w:val="008703F4"/>
    <w:rsid w:val="00870C1E"/>
    <w:rsid w:val="008718F0"/>
    <w:rsid w:val="00871B62"/>
    <w:rsid w:val="00872ABC"/>
    <w:rsid w:val="00873283"/>
    <w:rsid w:val="008732F0"/>
    <w:rsid w:val="008735DD"/>
    <w:rsid w:val="0087411F"/>
    <w:rsid w:val="00874121"/>
    <w:rsid w:val="008743CB"/>
    <w:rsid w:val="0087481E"/>
    <w:rsid w:val="0087547E"/>
    <w:rsid w:val="0087620B"/>
    <w:rsid w:val="008763F2"/>
    <w:rsid w:val="008767F3"/>
    <w:rsid w:val="0087692A"/>
    <w:rsid w:val="00876A25"/>
    <w:rsid w:val="00876C47"/>
    <w:rsid w:val="00877210"/>
    <w:rsid w:val="008772A2"/>
    <w:rsid w:val="00877691"/>
    <w:rsid w:val="008779DF"/>
    <w:rsid w:val="00880729"/>
    <w:rsid w:val="00880941"/>
    <w:rsid w:val="00880C9D"/>
    <w:rsid w:val="0088118A"/>
    <w:rsid w:val="008815A5"/>
    <w:rsid w:val="00881905"/>
    <w:rsid w:val="0088236E"/>
    <w:rsid w:val="00882992"/>
    <w:rsid w:val="00882B43"/>
    <w:rsid w:val="00882DE2"/>
    <w:rsid w:val="0088317B"/>
    <w:rsid w:val="0088350B"/>
    <w:rsid w:val="0088367F"/>
    <w:rsid w:val="00883B95"/>
    <w:rsid w:val="00883ED5"/>
    <w:rsid w:val="00884B44"/>
    <w:rsid w:val="00884ED4"/>
    <w:rsid w:val="00885285"/>
    <w:rsid w:val="00885360"/>
    <w:rsid w:val="00885430"/>
    <w:rsid w:val="00885498"/>
    <w:rsid w:val="00885ABC"/>
    <w:rsid w:val="00886041"/>
    <w:rsid w:val="0088613E"/>
    <w:rsid w:val="008862AC"/>
    <w:rsid w:val="00886BF6"/>
    <w:rsid w:val="00887961"/>
    <w:rsid w:val="00887EAB"/>
    <w:rsid w:val="00887FCB"/>
    <w:rsid w:val="00891782"/>
    <w:rsid w:val="0089217E"/>
    <w:rsid w:val="00892288"/>
    <w:rsid w:val="0089305A"/>
    <w:rsid w:val="00893447"/>
    <w:rsid w:val="0089356A"/>
    <w:rsid w:val="0089397A"/>
    <w:rsid w:val="00893A24"/>
    <w:rsid w:val="00894635"/>
    <w:rsid w:val="00894AD5"/>
    <w:rsid w:val="00894C94"/>
    <w:rsid w:val="00895929"/>
    <w:rsid w:val="00895988"/>
    <w:rsid w:val="008959A4"/>
    <w:rsid w:val="00895B91"/>
    <w:rsid w:val="008965E5"/>
    <w:rsid w:val="00896786"/>
    <w:rsid w:val="00896899"/>
    <w:rsid w:val="00896AD2"/>
    <w:rsid w:val="00896E28"/>
    <w:rsid w:val="00897059"/>
    <w:rsid w:val="00897223"/>
    <w:rsid w:val="00897CD4"/>
    <w:rsid w:val="00897DAF"/>
    <w:rsid w:val="00897DFB"/>
    <w:rsid w:val="008A03F1"/>
    <w:rsid w:val="008A05CA"/>
    <w:rsid w:val="008A179F"/>
    <w:rsid w:val="008A1AC0"/>
    <w:rsid w:val="008A1ED6"/>
    <w:rsid w:val="008A2406"/>
    <w:rsid w:val="008A2EC9"/>
    <w:rsid w:val="008A3293"/>
    <w:rsid w:val="008A3A95"/>
    <w:rsid w:val="008A3D74"/>
    <w:rsid w:val="008A3F72"/>
    <w:rsid w:val="008A40E9"/>
    <w:rsid w:val="008A4519"/>
    <w:rsid w:val="008A52C2"/>
    <w:rsid w:val="008A5B5C"/>
    <w:rsid w:val="008A5BD2"/>
    <w:rsid w:val="008A603F"/>
    <w:rsid w:val="008A6675"/>
    <w:rsid w:val="008A7147"/>
    <w:rsid w:val="008A71A5"/>
    <w:rsid w:val="008A7247"/>
    <w:rsid w:val="008A7970"/>
    <w:rsid w:val="008B0864"/>
    <w:rsid w:val="008B0976"/>
    <w:rsid w:val="008B0C13"/>
    <w:rsid w:val="008B1514"/>
    <w:rsid w:val="008B15B7"/>
    <w:rsid w:val="008B15C1"/>
    <w:rsid w:val="008B1BBE"/>
    <w:rsid w:val="008B1CD6"/>
    <w:rsid w:val="008B1F66"/>
    <w:rsid w:val="008B2BB0"/>
    <w:rsid w:val="008B2D30"/>
    <w:rsid w:val="008B2E07"/>
    <w:rsid w:val="008B36CD"/>
    <w:rsid w:val="008B4B9A"/>
    <w:rsid w:val="008B4D3F"/>
    <w:rsid w:val="008B5209"/>
    <w:rsid w:val="008B523D"/>
    <w:rsid w:val="008B5A4A"/>
    <w:rsid w:val="008B5B92"/>
    <w:rsid w:val="008B61F2"/>
    <w:rsid w:val="008B65D9"/>
    <w:rsid w:val="008B65EB"/>
    <w:rsid w:val="008B6A6F"/>
    <w:rsid w:val="008B6A9D"/>
    <w:rsid w:val="008B6C44"/>
    <w:rsid w:val="008B7722"/>
    <w:rsid w:val="008B77F2"/>
    <w:rsid w:val="008B7E3B"/>
    <w:rsid w:val="008B7F32"/>
    <w:rsid w:val="008C03F8"/>
    <w:rsid w:val="008C073A"/>
    <w:rsid w:val="008C0C40"/>
    <w:rsid w:val="008C1A0D"/>
    <w:rsid w:val="008C1F8B"/>
    <w:rsid w:val="008C2066"/>
    <w:rsid w:val="008C27D2"/>
    <w:rsid w:val="008C36A8"/>
    <w:rsid w:val="008C377E"/>
    <w:rsid w:val="008C3E4C"/>
    <w:rsid w:val="008C48B3"/>
    <w:rsid w:val="008C4CA9"/>
    <w:rsid w:val="008C4FC7"/>
    <w:rsid w:val="008C53F4"/>
    <w:rsid w:val="008C5534"/>
    <w:rsid w:val="008C62B4"/>
    <w:rsid w:val="008C6411"/>
    <w:rsid w:val="008C6D00"/>
    <w:rsid w:val="008C7107"/>
    <w:rsid w:val="008C724C"/>
    <w:rsid w:val="008C7413"/>
    <w:rsid w:val="008C770A"/>
    <w:rsid w:val="008C783D"/>
    <w:rsid w:val="008C786C"/>
    <w:rsid w:val="008C7FF1"/>
    <w:rsid w:val="008D0324"/>
    <w:rsid w:val="008D0FCC"/>
    <w:rsid w:val="008D16B7"/>
    <w:rsid w:val="008D18C3"/>
    <w:rsid w:val="008D1A6A"/>
    <w:rsid w:val="008D2401"/>
    <w:rsid w:val="008D2485"/>
    <w:rsid w:val="008D250D"/>
    <w:rsid w:val="008D29E1"/>
    <w:rsid w:val="008D2B40"/>
    <w:rsid w:val="008D341E"/>
    <w:rsid w:val="008D38F7"/>
    <w:rsid w:val="008D3D2A"/>
    <w:rsid w:val="008D3EFD"/>
    <w:rsid w:val="008D457B"/>
    <w:rsid w:val="008D4862"/>
    <w:rsid w:val="008D4CE9"/>
    <w:rsid w:val="008D4F59"/>
    <w:rsid w:val="008D5207"/>
    <w:rsid w:val="008D5321"/>
    <w:rsid w:val="008D63F5"/>
    <w:rsid w:val="008D7358"/>
    <w:rsid w:val="008D73D6"/>
    <w:rsid w:val="008D7B51"/>
    <w:rsid w:val="008E0184"/>
    <w:rsid w:val="008E07E5"/>
    <w:rsid w:val="008E0BE1"/>
    <w:rsid w:val="008E158A"/>
    <w:rsid w:val="008E2207"/>
    <w:rsid w:val="008E2B17"/>
    <w:rsid w:val="008E31FA"/>
    <w:rsid w:val="008E3996"/>
    <w:rsid w:val="008E3A36"/>
    <w:rsid w:val="008E3CA2"/>
    <w:rsid w:val="008E48B7"/>
    <w:rsid w:val="008E495F"/>
    <w:rsid w:val="008E524C"/>
    <w:rsid w:val="008E5DE9"/>
    <w:rsid w:val="008E66AD"/>
    <w:rsid w:val="008E6AE6"/>
    <w:rsid w:val="008E6BA7"/>
    <w:rsid w:val="008E7C81"/>
    <w:rsid w:val="008E7F82"/>
    <w:rsid w:val="008F0116"/>
    <w:rsid w:val="008F027C"/>
    <w:rsid w:val="008F0574"/>
    <w:rsid w:val="008F05A6"/>
    <w:rsid w:val="008F0E22"/>
    <w:rsid w:val="008F1219"/>
    <w:rsid w:val="008F13D9"/>
    <w:rsid w:val="008F143D"/>
    <w:rsid w:val="008F17D4"/>
    <w:rsid w:val="008F18FD"/>
    <w:rsid w:val="008F1D5D"/>
    <w:rsid w:val="008F1F69"/>
    <w:rsid w:val="008F2144"/>
    <w:rsid w:val="008F29C0"/>
    <w:rsid w:val="008F2A65"/>
    <w:rsid w:val="008F2A6E"/>
    <w:rsid w:val="008F31D2"/>
    <w:rsid w:val="008F3336"/>
    <w:rsid w:val="008F35A0"/>
    <w:rsid w:val="008F3870"/>
    <w:rsid w:val="008F3A02"/>
    <w:rsid w:val="008F3FAA"/>
    <w:rsid w:val="008F5216"/>
    <w:rsid w:val="008F528A"/>
    <w:rsid w:val="008F561C"/>
    <w:rsid w:val="008F6535"/>
    <w:rsid w:val="008F665E"/>
    <w:rsid w:val="008F71A9"/>
    <w:rsid w:val="008F7857"/>
    <w:rsid w:val="008F7EAC"/>
    <w:rsid w:val="0090022A"/>
    <w:rsid w:val="0090025E"/>
    <w:rsid w:val="009006D3"/>
    <w:rsid w:val="00900A54"/>
    <w:rsid w:val="0090234B"/>
    <w:rsid w:val="00902982"/>
    <w:rsid w:val="00903652"/>
    <w:rsid w:val="009036B2"/>
    <w:rsid w:val="0090372A"/>
    <w:rsid w:val="009051C2"/>
    <w:rsid w:val="00905338"/>
    <w:rsid w:val="00905F91"/>
    <w:rsid w:val="0090747A"/>
    <w:rsid w:val="009076A2"/>
    <w:rsid w:val="00907B20"/>
    <w:rsid w:val="009100B4"/>
    <w:rsid w:val="009105BA"/>
    <w:rsid w:val="009105F4"/>
    <w:rsid w:val="00910812"/>
    <w:rsid w:val="0091087B"/>
    <w:rsid w:val="00910EA9"/>
    <w:rsid w:val="00911169"/>
    <w:rsid w:val="009112CB"/>
    <w:rsid w:val="00911E8C"/>
    <w:rsid w:val="00911F90"/>
    <w:rsid w:val="009123DC"/>
    <w:rsid w:val="0091263A"/>
    <w:rsid w:val="009127E7"/>
    <w:rsid w:val="00912944"/>
    <w:rsid w:val="00912BB5"/>
    <w:rsid w:val="00912F4B"/>
    <w:rsid w:val="009130D3"/>
    <w:rsid w:val="009132D8"/>
    <w:rsid w:val="00913E92"/>
    <w:rsid w:val="00914E4A"/>
    <w:rsid w:val="00915000"/>
    <w:rsid w:val="0091508A"/>
    <w:rsid w:val="0091509E"/>
    <w:rsid w:val="009151FB"/>
    <w:rsid w:val="00915526"/>
    <w:rsid w:val="00916098"/>
    <w:rsid w:val="009161AA"/>
    <w:rsid w:val="00916806"/>
    <w:rsid w:val="00917298"/>
    <w:rsid w:val="00917A3A"/>
    <w:rsid w:val="00917C5E"/>
    <w:rsid w:val="00917E94"/>
    <w:rsid w:val="009200DC"/>
    <w:rsid w:val="009203E6"/>
    <w:rsid w:val="009205C0"/>
    <w:rsid w:val="009205E2"/>
    <w:rsid w:val="00920956"/>
    <w:rsid w:val="009209C2"/>
    <w:rsid w:val="009209D6"/>
    <w:rsid w:val="00920ADC"/>
    <w:rsid w:val="009211C2"/>
    <w:rsid w:val="009225A6"/>
    <w:rsid w:val="00922761"/>
    <w:rsid w:val="00922ACD"/>
    <w:rsid w:val="00922CDC"/>
    <w:rsid w:val="00924838"/>
    <w:rsid w:val="0092485B"/>
    <w:rsid w:val="009250ED"/>
    <w:rsid w:val="00925810"/>
    <w:rsid w:val="00925A11"/>
    <w:rsid w:val="00925B29"/>
    <w:rsid w:val="00926176"/>
    <w:rsid w:val="009264E5"/>
    <w:rsid w:val="00926816"/>
    <w:rsid w:val="00926C23"/>
    <w:rsid w:val="00926CBC"/>
    <w:rsid w:val="00927049"/>
    <w:rsid w:val="009311EE"/>
    <w:rsid w:val="00931AAE"/>
    <w:rsid w:val="00931B7B"/>
    <w:rsid w:val="00932064"/>
    <w:rsid w:val="00932865"/>
    <w:rsid w:val="0093289A"/>
    <w:rsid w:val="00932B65"/>
    <w:rsid w:val="00932CA4"/>
    <w:rsid w:val="009335D0"/>
    <w:rsid w:val="009338C2"/>
    <w:rsid w:val="0093399F"/>
    <w:rsid w:val="00933C49"/>
    <w:rsid w:val="00933D34"/>
    <w:rsid w:val="00933E63"/>
    <w:rsid w:val="009345E6"/>
    <w:rsid w:val="009346DB"/>
    <w:rsid w:val="009351F2"/>
    <w:rsid w:val="00935831"/>
    <w:rsid w:val="00935D86"/>
    <w:rsid w:val="0093676C"/>
    <w:rsid w:val="00936C3D"/>
    <w:rsid w:val="009370A4"/>
    <w:rsid w:val="0093731B"/>
    <w:rsid w:val="00937511"/>
    <w:rsid w:val="00937A65"/>
    <w:rsid w:val="00937BAE"/>
    <w:rsid w:val="00937CD3"/>
    <w:rsid w:val="00940864"/>
    <w:rsid w:val="00942204"/>
    <w:rsid w:val="009425D0"/>
    <w:rsid w:val="0094269A"/>
    <w:rsid w:val="009426B3"/>
    <w:rsid w:val="00942D4F"/>
    <w:rsid w:val="009430A0"/>
    <w:rsid w:val="0094315B"/>
    <w:rsid w:val="009432EF"/>
    <w:rsid w:val="00944588"/>
    <w:rsid w:val="0094472F"/>
    <w:rsid w:val="009456DC"/>
    <w:rsid w:val="00945821"/>
    <w:rsid w:val="00945868"/>
    <w:rsid w:val="009459A0"/>
    <w:rsid w:val="00945BC0"/>
    <w:rsid w:val="00945D4F"/>
    <w:rsid w:val="00945DA3"/>
    <w:rsid w:val="00946027"/>
    <w:rsid w:val="00946354"/>
    <w:rsid w:val="00946E51"/>
    <w:rsid w:val="009478D9"/>
    <w:rsid w:val="00947ED8"/>
    <w:rsid w:val="00950DD8"/>
    <w:rsid w:val="009512FA"/>
    <w:rsid w:val="00951B99"/>
    <w:rsid w:val="00952242"/>
    <w:rsid w:val="009522EA"/>
    <w:rsid w:val="0095282F"/>
    <w:rsid w:val="00952F7D"/>
    <w:rsid w:val="00954AAA"/>
    <w:rsid w:val="009552D1"/>
    <w:rsid w:val="00955721"/>
    <w:rsid w:val="00955EA5"/>
    <w:rsid w:val="009567B1"/>
    <w:rsid w:val="00956850"/>
    <w:rsid w:val="00957498"/>
    <w:rsid w:val="00957777"/>
    <w:rsid w:val="00957E47"/>
    <w:rsid w:val="009602E8"/>
    <w:rsid w:val="00960C42"/>
    <w:rsid w:val="00960DE0"/>
    <w:rsid w:val="00960F7F"/>
    <w:rsid w:val="009610AB"/>
    <w:rsid w:val="009611D7"/>
    <w:rsid w:val="009612BB"/>
    <w:rsid w:val="009621B2"/>
    <w:rsid w:val="00962B2C"/>
    <w:rsid w:val="00962DC3"/>
    <w:rsid w:val="00962DDE"/>
    <w:rsid w:val="009635E4"/>
    <w:rsid w:val="00963725"/>
    <w:rsid w:val="0096389F"/>
    <w:rsid w:val="009639C7"/>
    <w:rsid w:val="00963C5C"/>
    <w:rsid w:val="00963F3F"/>
    <w:rsid w:val="00963FD8"/>
    <w:rsid w:val="009640C7"/>
    <w:rsid w:val="009643C3"/>
    <w:rsid w:val="009643F8"/>
    <w:rsid w:val="009645D6"/>
    <w:rsid w:val="009646ED"/>
    <w:rsid w:val="00964AF5"/>
    <w:rsid w:val="00964DAE"/>
    <w:rsid w:val="009652D8"/>
    <w:rsid w:val="00965471"/>
    <w:rsid w:val="009655C2"/>
    <w:rsid w:val="009659AF"/>
    <w:rsid w:val="00965C63"/>
    <w:rsid w:val="00965ECC"/>
    <w:rsid w:val="009660A7"/>
    <w:rsid w:val="0096677A"/>
    <w:rsid w:val="00966AC3"/>
    <w:rsid w:val="00966EAE"/>
    <w:rsid w:val="00967C18"/>
    <w:rsid w:val="00967C37"/>
    <w:rsid w:val="00967DEA"/>
    <w:rsid w:val="00970608"/>
    <w:rsid w:val="00970750"/>
    <w:rsid w:val="0097075B"/>
    <w:rsid w:val="009708B9"/>
    <w:rsid w:val="00970C58"/>
    <w:rsid w:val="00970E5A"/>
    <w:rsid w:val="0097135A"/>
    <w:rsid w:val="009713EC"/>
    <w:rsid w:val="00971EA4"/>
    <w:rsid w:val="009721F8"/>
    <w:rsid w:val="00972544"/>
    <w:rsid w:val="009725A5"/>
    <w:rsid w:val="00972C1A"/>
    <w:rsid w:val="009730F8"/>
    <w:rsid w:val="009731B8"/>
    <w:rsid w:val="00973BCE"/>
    <w:rsid w:val="009740B2"/>
    <w:rsid w:val="0097443A"/>
    <w:rsid w:val="0097485C"/>
    <w:rsid w:val="00974B86"/>
    <w:rsid w:val="00974EF6"/>
    <w:rsid w:val="00975009"/>
    <w:rsid w:val="00975058"/>
    <w:rsid w:val="00975676"/>
    <w:rsid w:val="00975A71"/>
    <w:rsid w:val="00976598"/>
    <w:rsid w:val="0097665E"/>
    <w:rsid w:val="009776DB"/>
    <w:rsid w:val="009777B8"/>
    <w:rsid w:val="00977914"/>
    <w:rsid w:val="0098030E"/>
    <w:rsid w:val="00980437"/>
    <w:rsid w:val="00980843"/>
    <w:rsid w:val="00980D6E"/>
    <w:rsid w:val="009810DA"/>
    <w:rsid w:val="0098138E"/>
    <w:rsid w:val="0098141A"/>
    <w:rsid w:val="009818AE"/>
    <w:rsid w:val="00982090"/>
    <w:rsid w:val="009820E8"/>
    <w:rsid w:val="009823DA"/>
    <w:rsid w:val="00982B19"/>
    <w:rsid w:val="00982F11"/>
    <w:rsid w:val="009830B2"/>
    <w:rsid w:val="00983101"/>
    <w:rsid w:val="0098326C"/>
    <w:rsid w:val="00983905"/>
    <w:rsid w:val="0098394A"/>
    <w:rsid w:val="00983DDC"/>
    <w:rsid w:val="00983FE1"/>
    <w:rsid w:val="00984CB1"/>
    <w:rsid w:val="009854F3"/>
    <w:rsid w:val="00985AC0"/>
    <w:rsid w:val="00986059"/>
    <w:rsid w:val="0098619D"/>
    <w:rsid w:val="0098655A"/>
    <w:rsid w:val="00986884"/>
    <w:rsid w:val="00986AA7"/>
    <w:rsid w:val="0098708A"/>
    <w:rsid w:val="009870C6"/>
    <w:rsid w:val="009871DD"/>
    <w:rsid w:val="009878B5"/>
    <w:rsid w:val="00987B35"/>
    <w:rsid w:val="00987D82"/>
    <w:rsid w:val="0099018E"/>
    <w:rsid w:val="009906E5"/>
    <w:rsid w:val="009909A5"/>
    <w:rsid w:val="00990AD0"/>
    <w:rsid w:val="00990C21"/>
    <w:rsid w:val="009910D4"/>
    <w:rsid w:val="009911EA"/>
    <w:rsid w:val="009919B8"/>
    <w:rsid w:val="00992167"/>
    <w:rsid w:val="009936B2"/>
    <w:rsid w:val="00993C5A"/>
    <w:rsid w:val="00993E69"/>
    <w:rsid w:val="00993F54"/>
    <w:rsid w:val="0099449C"/>
    <w:rsid w:val="009948AF"/>
    <w:rsid w:val="009949C8"/>
    <w:rsid w:val="00994B3D"/>
    <w:rsid w:val="00994FB5"/>
    <w:rsid w:val="00995194"/>
    <w:rsid w:val="009957A8"/>
    <w:rsid w:val="0099589F"/>
    <w:rsid w:val="00995A91"/>
    <w:rsid w:val="00995D3E"/>
    <w:rsid w:val="00995FA3"/>
    <w:rsid w:val="009960A4"/>
    <w:rsid w:val="0099627F"/>
    <w:rsid w:val="00996BD4"/>
    <w:rsid w:val="00996C87"/>
    <w:rsid w:val="00996FC0"/>
    <w:rsid w:val="00997022"/>
    <w:rsid w:val="00997354"/>
    <w:rsid w:val="00997A0F"/>
    <w:rsid w:val="00997A7D"/>
    <w:rsid w:val="00997C78"/>
    <w:rsid w:val="00997CBD"/>
    <w:rsid w:val="009A0246"/>
    <w:rsid w:val="009A0404"/>
    <w:rsid w:val="009A0A7A"/>
    <w:rsid w:val="009A0BA1"/>
    <w:rsid w:val="009A0E29"/>
    <w:rsid w:val="009A1784"/>
    <w:rsid w:val="009A1AE0"/>
    <w:rsid w:val="009A2354"/>
    <w:rsid w:val="009A28E7"/>
    <w:rsid w:val="009A2A47"/>
    <w:rsid w:val="009A2C26"/>
    <w:rsid w:val="009A2EA4"/>
    <w:rsid w:val="009A2F92"/>
    <w:rsid w:val="009A310A"/>
    <w:rsid w:val="009A3725"/>
    <w:rsid w:val="009A3B8D"/>
    <w:rsid w:val="009A444E"/>
    <w:rsid w:val="009A47F2"/>
    <w:rsid w:val="009A4E5F"/>
    <w:rsid w:val="009A5201"/>
    <w:rsid w:val="009A524A"/>
    <w:rsid w:val="009A597A"/>
    <w:rsid w:val="009A5B6D"/>
    <w:rsid w:val="009A5DD0"/>
    <w:rsid w:val="009A5EBA"/>
    <w:rsid w:val="009A628E"/>
    <w:rsid w:val="009A667A"/>
    <w:rsid w:val="009A6D99"/>
    <w:rsid w:val="009A75A1"/>
    <w:rsid w:val="009A7D39"/>
    <w:rsid w:val="009A7E0E"/>
    <w:rsid w:val="009A7EE6"/>
    <w:rsid w:val="009B0410"/>
    <w:rsid w:val="009B067F"/>
    <w:rsid w:val="009B0AA6"/>
    <w:rsid w:val="009B0F04"/>
    <w:rsid w:val="009B118D"/>
    <w:rsid w:val="009B1221"/>
    <w:rsid w:val="009B1406"/>
    <w:rsid w:val="009B1D10"/>
    <w:rsid w:val="009B1D61"/>
    <w:rsid w:val="009B22C9"/>
    <w:rsid w:val="009B2349"/>
    <w:rsid w:val="009B2427"/>
    <w:rsid w:val="009B24A4"/>
    <w:rsid w:val="009B285E"/>
    <w:rsid w:val="009B2967"/>
    <w:rsid w:val="009B2A64"/>
    <w:rsid w:val="009B2E95"/>
    <w:rsid w:val="009B38DF"/>
    <w:rsid w:val="009B3FC6"/>
    <w:rsid w:val="009B450D"/>
    <w:rsid w:val="009B478A"/>
    <w:rsid w:val="009B50D9"/>
    <w:rsid w:val="009B5257"/>
    <w:rsid w:val="009B5258"/>
    <w:rsid w:val="009B5268"/>
    <w:rsid w:val="009B551D"/>
    <w:rsid w:val="009B5673"/>
    <w:rsid w:val="009B5D65"/>
    <w:rsid w:val="009B5DC6"/>
    <w:rsid w:val="009B5F60"/>
    <w:rsid w:val="009B6DF8"/>
    <w:rsid w:val="009B7049"/>
    <w:rsid w:val="009B7141"/>
    <w:rsid w:val="009B7539"/>
    <w:rsid w:val="009B767F"/>
    <w:rsid w:val="009B779E"/>
    <w:rsid w:val="009B7F2B"/>
    <w:rsid w:val="009C0EF7"/>
    <w:rsid w:val="009C1F9E"/>
    <w:rsid w:val="009C261A"/>
    <w:rsid w:val="009C2A8C"/>
    <w:rsid w:val="009C31D0"/>
    <w:rsid w:val="009C357E"/>
    <w:rsid w:val="009C4570"/>
    <w:rsid w:val="009C4987"/>
    <w:rsid w:val="009C519A"/>
    <w:rsid w:val="009C5204"/>
    <w:rsid w:val="009C5451"/>
    <w:rsid w:val="009C5F77"/>
    <w:rsid w:val="009C61ED"/>
    <w:rsid w:val="009C631D"/>
    <w:rsid w:val="009C6599"/>
    <w:rsid w:val="009C673E"/>
    <w:rsid w:val="009C68DB"/>
    <w:rsid w:val="009C6970"/>
    <w:rsid w:val="009C7305"/>
    <w:rsid w:val="009C73DC"/>
    <w:rsid w:val="009C7588"/>
    <w:rsid w:val="009C76BF"/>
    <w:rsid w:val="009C770F"/>
    <w:rsid w:val="009D064D"/>
    <w:rsid w:val="009D075A"/>
    <w:rsid w:val="009D0FBD"/>
    <w:rsid w:val="009D1152"/>
    <w:rsid w:val="009D18AD"/>
    <w:rsid w:val="009D2096"/>
    <w:rsid w:val="009D26B3"/>
    <w:rsid w:val="009D284D"/>
    <w:rsid w:val="009D342B"/>
    <w:rsid w:val="009D4E23"/>
    <w:rsid w:val="009D4FA7"/>
    <w:rsid w:val="009D541D"/>
    <w:rsid w:val="009D5647"/>
    <w:rsid w:val="009D5E51"/>
    <w:rsid w:val="009D6102"/>
    <w:rsid w:val="009D6130"/>
    <w:rsid w:val="009D637F"/>
    <w:rsid w:val="009D7448"/>
    <w:rsid w:val="009D7686"/>
    <w:rsid w:val="009D7C64"/>
    <w:rsid w:val="009D7EAF"/>
    <w:rsid w:val="009D7F3C"/>
    <w:rsid w:val="009E0AB7"/>
    <w:rsid w:val="009E1EC0"/>
    <w:rsid w:val="009E2306"/>
    <w:rsid w:val="009E24B2"/>
    <w:rsid w:val="009E2548"/>
    <w:rsid w:val="009E29D6"/>
    <w:rsid w:val="009E3CBA"/>
    <w:rsid w:val="009E4051"/>
    <w:rsid w:val="009E466B"/>
    <w:rsid w:val="009E4A4D"/>
    <w:rsid w:val="009E4D71"/>
    <w:rsid w:val="009E4F0D"/>
    <w:rsid w:val="009E5490"/>
    <w:rsid w:val="009E5C04"/>
    <w:rsid w:val="009E64A0"/>
    <w:rsid w:val="009E6AFF"/>
    <w:rsid w:val="009E6CA8"/>
    <w:rsid w:val="009E718C"/>
    <w:rsid w:val="009E72FE"/>
    <w:rsid w:val="009E75BF"/>
    <w:rsid w:val="009E7947"/>
    <w:rsid w:val="009E7C7F"/>
    <w:rsid w:val="009E7CCC"/>
    <w:rsid w:val="009E7FD2"/>
    <w:rsid w:val="009F03AB"/>
    <w:rsid w:val="009F04B3"/>
    <w:rsid w:val="009F058F"/>
    <w:rsid w:val="009F07A5"/>
    <w:rsid w:val="009F0A2F"/>
    <w:rsid w:val="009F0A39"/>
    <w:rsid w:val="009F0A60"/>
    <w:rsid w:val="009F1038"/>
    <w:rsid w:val="009F1F81"/>
    <w:rsid w:val="009F261D"/>
    <w:rsid w:val="009F28B1"/>
    <w:rsid w:val="009F3322"/>
    <w:rsid w:val="009F35EF"/>
    <w:rsid w:val="009F3725"/>
    <w:rsid w:val="009F39C2"/>
    <w:rsid w:val="009F3D7C"/>
    <w:rsid w:val="009F3DF4"/>
    <w:rsid w:val="009F4133"/>
    <w:rsid w:val="009F46D6"/>
    <w:rsid w:val="009F4C59"/>
    <w:rsid w:val="009F5135"/>
    <w:rsid w:val="009F5A3B"/>
    <w:rsid w:val="009F5A8E"/>
    <w:rsid w:val="009F6705"/>
    <w:rsid w:val="009F6B6A"/>
    <w:rsid w:val="009F6E5B"/>
    <w:rsid w:val="009F7217"/>
    <w:rsid w:val="009F7E4A"/>
    <w:rsid w:val="00A0187B"/>
    <w:rsid w:val="00A02CFA"/>
    <w:rsid w:val="00A02FCF"/>
    <w:rsid w:val="00A03538"/>
    <w:rsid w:val="00A039E9"/>
    <w:rsid w:val="00A03D5F"/>
    <w:rsid w:val="00A03EF0"/>
    <w:rsid w:val="00A03F74"/>
    <w:rsid w:val="00A040A5"/>
    <w:rsid w:val="00A0428A"/>
    <w:rsid w:val="00A042E2"/>
    <w:rsid w:val="00A04FF8"/>
    <w:rsid w:val="00A051B1"/>
    <w:rsid w:val="00A055DC"/>
    <w:rsid w:val="00A05B5D"/>
    <w:rsid w:val="00A05C0B"/>
    <w:rsid w:val="00A05C2E"/>
    <w:rsid w:val="00A06183"/>
    <w:rsid w:val="00A061C0"/>
    <w:rsid w:val="00A06945"/>
    <w:rsid w:val="00A06BB5"/>
    <w:rsid w:val="00A06C18"/>
    <w:rsid w:val="00A07258"/>
    <w:rsid w:val="00A07A97"/>
    <w:rsid w:val="00A07C49"/>
    <w:rsid w:val="00A10689"/>
    <w:rsid w:val="00A10BB1"/>
    <w:rsid w:val="00A10E20"/>
    <w:rsid w:val="00A11A67"/>
    <w:rsid w:val="00A123D0"/>
    <w:rsid w:val="00A1247F"/>
    <w:rsid w:val="00A12AB4"/>
    <w:rsid w:val="00A12D30"/>
    <w:rsid w:val="00A130DF"/>
    <w:rsid w:val="00A13442"/>
    <w:rsid w:val="00A1366F"/>
    <w:rsid w:val="00A13DA9"/>
    <w:rsid w:val="00A1492F"/>
    <w:rsid w:val="00A14D02"/>
    <w:rsid w:val="00A14DB3"/>
    <w:rsid w:val="00A14FBD"/>
    <w:rsid w:val="00A1519B"/>
    <w:rsid w:val="00A15561"/>
    <w:rsid w:val="00A1630E"/>
    <w:rsid w:val="00A16AED"/>
    <w:rsid w:val="00A17856"/>
    <w:rsid w:val="00A17CE0"/>
    <w:rsid w:val="00A17E63"/>
    <w:rsid w:val="00A206F0"/>
    <w:rsid w:val="00A20A54"/>
    <w:rsid w:val="00A21408"/>
    <w:rsid w:val="00A217A3"/>
    <w:rsid w:val="00A218CD"/>
    <w:rsid w:val="00A22D16"/>
    <w:rsid w:val="00A2301B"/>
    <w:rsid w:val="00A23FEA"/>
    <w:rsid w:val="00A24B43"/>
    <w:rsid w:val="00A24EE9"/>
    <w:rsid w:val="00A2513C"/>
    <w:rsid w:val="00A2582D"/>
    <w:rsid w:val="00A258F2"/>
    <w:rsid w:val="00A26883"/>
    <w:rsid w:val="00A26DDE"/>
    <w:rsid w:val="00A27D60"/>
    <w:rsid w:val="00A304E2"/>
    <w:rsid w:val="00A30682"/>
    <w:rsid w:val="00A3121F"/>
    <w:rsid w:val="00A314A2"/>
    <w:rsid w:val="00A31B0F"/>
    <w:rsid w:val="00A31D73"/>
    <w:rsid w:val="00A33105"/>
    <w:rsid w:val="00A335FA"/>
    <w:rsid w:val="00A3364C"/>
    <w:rsid w:val="00A33851"/>
    <w:rsid w:val="00A33A75"/>
    <w:rsid w:val="00A3422F"/>
    <w:rsid w:val="00A34D1A"/>
    <w:rsid w:val="00A35129"/>
    <w:rsid w:val="00A357AA"/>
    <w:rsid w:val="00A35D3C"/>
    <w:rsid w:val="00A35DE8"/>
    <w:rsid w:val="00A35DF6"/>
    <w:rsid w:val="00A361A5"/>
    <w:rsid w:val="00A365F7"/>
    <w:rsid w:val="00A36830"/>
    <w:rsid w:val="00A36F04"/>
    <w:rsid w:val="00A3713D"/>
    <w:rsid w:val="00A376A8"/>
    <w:rsid w:val="00A37746"/>
    <w:rsid w:val="00A37AE3"/>
    <w:rsid w:val="00A37D1B"/>
    <w:rsid w:val="00A40382"/>
    <w:rsid w:val="00A4078C"/>
    <w:rsid w:val="00A409E6"/>
    <w:rsid w:val="00A40ADE"/>
    <w:rsid w:val="00A41178"/>
    <w:rsid w:val="00A4173F"/>
    <w:rsid w:val="00A41C0A"/>
    <w:rsid w:val="00A41CA1"/>
    <w:rsid w:val="00A4218D"/>
    <w:rsid w:val="00A42306"/>
    <w:rsid w:val="00A42C97"/>
    <w:rsid w:val="00A42D52"/>
    <w:rsid w:val="00A42D55"/>
    <w:rsid w:val="00A42E62"/>
    <w:rsid w:val="00A43470"/>
    <w:rsid w:val="00A44F1B"/>
    <w:rsid w:val="00A45137"/>
    <w:rsid w:val="00A455EF"/>
    <w:rsid w:val="00A45956"/>
    <w:rsid w:val="00A45ABA"/>
    <w:rsid w:val="00A45B79"/>
    <w:rsid w:val="00A45B80"/>
    <w:rsid w:val="00A460F1"/>
    <w:rsid w:val="00A46699"/>
    <w:rsid w:val="00A46C66"/>
    <w:rsid w:val="00A47C64"/>
    <w:rsid w:val="00A50195"/>
    <w:rsid w:val="00A50B7C"/>
    <w:rsid w:val="00A50F88"/>
    <w:rsid w:val="00A51049"/>
    <w:rsid w:val="00A51326"/>
    <w:rsid w:val="00A515F7"/>
    <w:rsid w:val="00A516F9"/>
    <w:rsid w:val="00A51CF8"/>
    <w:rsid w:val="00A51FC8"/>
    <w:rsid w:val="00A520F6"/>
    <w:rsid w:val="00A5252C"/>
    <w:rsid w:val="00A52A7D"/>
    <w:rsid w:val="00A53193"/>
    <w:rsid w:val="00A53D49"/>
    <w:rsid w:val="00A5482E"/>
    <w:rsid w:val="00A54B34"/>
    <w:rsid w:val="00A54BCA"/>
    <w:rsid w:val="00A54EE8"/>
    <w:rsid w:val="00A552DC"/>
    <w:rsid w:val="00A559E6"/>
    <w:rsid w:val="00A55ACD"/>
    <w:rsid w:val="00A5600D"/>
    <w:rsid w:val="00A56ED9"/>
    <w:rsid w:val="00A57296"/>
    <w:rsid w:val="00A572BF"/>
    <w:rsid w:val="00A574D0"/>
    <w:rsid w:val="00A576BE"/>
    <w:rsid w:val="00A57A80"/>
    <w:rsid w:val="00A60500"/>
    <w:rsid w:val="00A60B10"/>
    <w:rsid w:val="00A60BE8"/>
    <w:rsid w:val="00A61080"/>
    <w:rsid w:val="00A6199E"/>
    <w:rsid w:val="00A61CEF"/>
    <w:rsid w:val="00A61CFA"/>
    <w:rsid w:val="00A62190"/>
    <w:rsid w:val="00A62265"/>
    <w:rsid w:val="00A62598"/>
    <w:rsid w:val="00A6274D"/>
    <w:rsid w:val="00A62897"/>
    <w:rsid w:val="00A6308E"/>
    <w:rsid w:val="00A63649"/>
    <w:rsid w:val="00A63D62"/>
    <w:rsid w:val="00A641D3"/>
    <w:rsid w:val="00A643C3"/>
    <w:rsid w:val="00A6568F"/>
    <w:rsid w:val="00A65969"/>
    <w:rsid w:val="00A65D80"/>
    <w:rsid w:val="00A661F0"/>
    <w:rsid w:val="00A6677C"/>
    <w:rsid w:val="00A66A33"/>
    <w:rsid w:val="00A67DD6"/>
    <w:rsid w:val="00A67F02"/>
    <w:rsid w:val="00A70012"/>
    <w:rsid w:val="00A71CBD"/>
    <w:rsid w:val="00A72442"/>
    <w:rsid w:val="00A72AC8"/>
    <w:rsid w:val="00A72F36"/>
    <w:rsid w:val="00A730CA"/>
    <w:rsid w:val="00A737ED"/>
    <w:rsid w:val="00A73D4D"/>
    <w:rsid w:val="00A74429"/>
    <w:rsid w:val="00A74648"/>
    <w:rsid w:val="00A74E2A"/>
    <w:rsid w:val="00A7571B"/>
    <w:rsid w:val="00A759D6"/>
    <w:rsid w:val="00A77B64"/>
    <w:rsid w:val="00A77DBD"/>
    <w:rsid w:val="00A77ED1"/>
    <w:rsid w:val="00A80571"/>
    <w:rsid w:val="00A81DD5"/>
    <w:rsid w:val="00A823B6"/>
    <w:rsid w:val="00A8257D"/>
    <w:rsid w:val="00A827EA"/>
    <w:rsid w:val="00A8297A"/>
    <w:rsid w:val="00A82A53"/>
    <w:rsid w:val="00A83F4D"/>
    <w:rsid w:val="00A841E7"/>
    <w:rsid w:val="00A842CE"/>
    <w:rsid w:val="00A85817"/>
    <w:rsid w:val="00A85B0D"/>
    <w:rsid w:val="00A85CA5"/>
    <w:rsid w:val="00A869C5"/>
    <w:rsid w:val="00A86AD4"/>
    <w:rsid w:val="00A86CF4"/>
    <w:rsid w:val="00A873CE"/>
    <w:rsid w:val="00A87580"/>
    <w:rsid w:val="00A91C8C"/>
    <w:rsid w:val="00A92453"/>
    <w:rsid w:val="00A92BC5"/>
    <w:rsid w:val="00A935D7"/>
    <w:rsid w:val="00A93616"/>
    <w:rsid w:val="00A93A4A"/>
    <w:rsid w:val="00A94679"/>
    <w:rsid w:val="00A9474F"/>
    <w:rsid w:val="00A94839"/>
    <w:rsid w:val="00A94E83"/>
    <w:rsid w:val="00A95072"/>
    <w:rsid w:val="00A95155"/>
    <w:rsid w:val="00A951CE"/>
    <w:rsid w:val="00A9523D"/>
    <w:rsid w:val="00A95859"/>
    <w:rsid w:val="00A95A88"/>
    <w:rsid w:val="00A95EDE"/>
    <w:rsid w:val="00A960BA"/>
    <w:rsid w:val="00A960C0"/>
    <w:rsid w:val="00A96407"/>
    <w:rsid w:val="00A97936"/>
    <w:rsid w:val="00AA01E3"/>
    <w:rsid w:val="00AA04A2"/>
    <w:rsid w:val="00AA0859"/>
    <w:rsid w:val="00AA0E71"/>
    <w:rsid w:val="00AA0F10"/>
    <w:rsid w:val="00AA1EAC"/>
    <w:rsid w:val="00AA1ED1"/>
    <w:rsid w:val="00AA24E9"/>
    <w:rsid w:val="00AA28A4"/>
    <w:rsid w:val="00AA2F60"/>
    <w:rsid w:val="00AA3B42"/>
    <w:rsid w:val="00AA41F5"/>
    <w:rsid w:val="00AA4A19"/>
    <w:rsid w:val="00AA4CF7"/>
    <w:rsid w:val="00AA4FC7"/>
    <w:rsid w:val="00AA5393"/>
    <w:rsid w:val="00AA5A42"/>
    <w:rsid w:val="00AA5B87"/>
    <w:rsid w:val="00AA65ED"/>
    <w:rsid w:val="00AA66BC"/>
    <w:rsid w:val="00AA679E"/>
    <w:rsid w:val="00AA6D78"/>
    <w:rsid w:val="00AA7194"/>
    <w:rsid w:val="00AA72B5"/>
    <w:rsid w:val="00AA73D0"/>
    <w:rsid w:val="00AA7F25"/>
    <w:rsid w:val="00AB0A96"/>
    <w:rsid w:val="00AB0D74"/>
    <w:rsid w:val="00AB1415"/>
    <w:rsid w:val="00AB193B"/>
    <w:rsid w:val="00AB24C1"/>
    <w:rsid w:val="00AB368C"/>
    <w:rsid w:val="00AB43DD"/>
    <w:rsid w:val="00AB43F2"/>
    <w:rsid w:val="00AB49CA"/>
    <w:rsid w:val="00AB4A6A"/>
    <w:rsid w:val="00AB4E12"/>
    <w:rsid w:val="00AB5361"/>
    <w:rsid w:val="00AB5A1C"/>
    <w:rsid w:val="00AB5DD5"/>
    <w:rsid w:val="00AB6781"/>
    <w:rsid w:val="00AB6825"/>
    <w:rsid w:val="00AB6A44"/>
    <w:rsid w:val="00AB6C8E"/>
    <w:rsid w:val="00AB708F"/>
    <w:rsid w:val="00AB70BA"/>
    <w:rsid w:val="00AB7713"/>
    <w:rsid w:val="00AC04D4"/>
    <w:rsid w:val="00AC08BB"/>
    <w:rsid w:val="00AC0D7A"/>
    <w:rsid w:val="00AC0FC0"/>
    <w:rsid w:val="00AC1917"/>
    <w:rsid w:val="00AC1A08"/>
    <w:rsid w:val="00AC1D87"/>
    <w:rsid w:val="00AC1F65"/>
    <w:rsid w:val="00AC2417"/>
    <w:rsid w:val="00AC2745"/>
    <w:rsid w:val="00AC2A0B"/>
    <w:rsid w:val="00AC3226"/>
    <w:rsid w:val="00AC3370"/>
    <w:rsid w:val="00AC37B7"/>
    <w:rsid w:val="00AC4585"/>
    <w:rsid w:val="00AC46E2"/>
    <w:rsid w:val="00AC4927"/>
    <w:rsid w:val="00AC4D24"/>
    <w:rsid w:val="00AC4D2A"/>
    <w:rsid w:val="00AC4DB4"/>
    <w:rsid w:val="00AC4DFC"/>
    <w:rsid w:val="00AC4EC5"/>
    <w:rsid w:val="00AC5588"/>
    <w:rsid w:val="00AC5679"/>
    <w:rsid w:val="00AC585B"/>
    <w:rsid w:val="00AC5BDA"/>
    <w:rsid w:val="00AC5EB7"/>
    <w:rsid w:val="00AC64DB"/>
    <w:rsid w:val="00AC6703"/>
    <w:rsid w:val="00AC6D75"/>
    <w:rsid w:val="00AC6F2F"/>
    <w:rsid w:val="00AC6F98"/>
    <w:rsid w:val="00AC74FA"/>
    <w:rsid w:val="00AC7878"/>
    <w:rsid w:val="00AC7F98"/>
    <w:rsid w:val="00AD0208"/>
    <w:rsid w:val="00AD0BB8"/>
    <w:rsid w:val="00AD1249"/>
    <w:rsid w:val="00AD13A8"/>
    <w:rsid w:val="00AD1DE7"/>
    <w:rsid w:val="00AD20BB"/>
    <w:rsid w:val="00AD20F8"/>
    <w:rsid w:val="00AD2586"/>
    <w:rsid w:val="00AD29D8"/>
    <w:rsid w:val="00AD2A29"/>
    <w:rsid w:val="00AD2DE6"/>
    <w:rsid w:val="00AD38C2"/>
    <w:rsid w:val="00AD393A"/>
    <w:rsid w:val="00AD44C5"/>
    <w:rsid w:val="00AD4577"/>
    <w:rsid w:val="00AD472A"/>
    <w:rsid w:val="00AD51B4"/>
    <w:rsid w:val="00AD53E0"/>
    <w:rsid w:val="00AD59F6"/>
    <w:rsid w:val="00AD5A6E"/>
    <w:rsid w:val="00AD5D71"/>
    <w:rsid w:val="00AD78E0"/>
    <w:rsid w:val="00AD79A5"/>
    <w:rsid w:val="00AE0456"/>
    <w:rsid w:val="00AE0945"/>
    <w:rsid w:val="00AE0E02"/>
    <w:rsid w:val="00AE111F"/>
    <w:rsid w:val="00AE117B"/>
    <w:rsid w:val="00AE1496"/>
    <w:rsid w:val="00AE1852"/>
    <w:rsid w:val="00AE2214"/>
    <w:rsid w:val="00AE2592"/>
    <w:rsid w:val="00AE291D"/>
    <w:rsid w:val="00AE2C71"/>
    <w:rsid w:val="00AE2C8A"/>
    <w:rsid w:val="00AE2F21"/>
    <w:rsid w:val="00AE3417"/>
    <w:rsid w:val="00AE3654"/>
    <w:rsid w:val="00AE36E4"/>
    <w:rsid w:val="00AE3919"/>
    <w:rsid w:val="00AE3A11"/>
    <w:rsid w:val="00AE49CB"/>
    <w:rsid w:val="00AE5328"/>
    <w:rsid w:val="00AE5912"/>
    <w:rsid w:val="00AE59C5"/>
    <w:rsid w:val="00AE5FDF"/>
    <w:rsid w:val="00AE643E"/>
    <w:rsid w:val="00AE6D29"/>
    <w:rsid w:val="00AE6F99"/>
    <w:rsid w:val="00AE7A4F"/>
    <w:rsid w:val="00AE7F75"/>
    <w:rsid w:val="00AE7FD5"/>
    <w:rsid w:val="00AF047F"/>
    <w:rsid w:val="00AF04FD"/>
    <w:rsid w:val="00AF075B"/>
    <w:rsid w:val="00AF0A39"/>
    <w:rsid w:val="00AF0EE9"/>
    <w:rsid w:val="00AF1000"/>
    <w:rsid w:val="00AF1672"/>
    <w:rsid w:val="00AF1DC0"/>
    <w:rsid w:val="00AF1EE7"/>
    <w:rsid w:val="00AF221C"/>
    <w:rsid w:val="00AF2290"/>
    <w:rsid w:val="00AF27D7"/>
    <w:rsid w:val="00AF28AA"/>
    <w:rsid w:val="00AF2CB3"/>
    <w:rsid w:val="00AF30A3"/>
    <w:rsid w:val="00AF4648"/>
    <w:rsid w:val="00AF46B4"/>
    <w:rsid w:val="00AF4C15"/>
    <w:rsid w:val="00AF4D62"/>
    <w:rsid w:val="00AF4E3B"/>
    <w:rsid w:val="00AF4FAE"/>
    <w:rsid w:val="00AF5035"/>
    <w:rsid w:val="00AF52F1"/>
    <w:rsid w:val="00AF53B5"/>
    <w:rsid w:val="00AF5831"/>
    <w:rsid w:val="00AF5B5E"/>
    <w:rsid w:val="00AF5D3A"/>
    <w:rsid w:val="00AF5DC2"/>
    <w:rsid w:val="00AF5FDA"/>
    <w:rsid w:val="00AF6178"/>
    <w:rsid w:val="00AF6183"/>
    <w:rsid w:val="00AF624F"/>
    <w:rsid w:val="00AF6601"/>
    <w:rsid w:val="00AF6683"/>
    <w:rsid w:val="00AF6847"/>
    <w:rsid w:val="00AF685E"/>
    <w:rsid w:val="00AF6983"/>
    <w:rsid w:val="00AF6BFF"/>
    <w:rsid w:val="00AF6FE6"/>
    <w:rsid w:val="00AF7084"/>
    <w:rsid w:val="00AF7127"/>
    <w:rsid w:val="00AF7342"/>
    <w:rsid w:val="00AF76AE"/>
    <w:rsid w:val="00AF7B92"/>
    <w:rsid w:val="00B0005F"/>
    <w:rsid w:val="00B00419"/>
    <w:rsid w:val="00B00B6E"/>
    <w:rsid w:val="00B01080"/>
    <w:rsid w:val="00B01F51"/>
    <w:rsid w:val="00B01F7E"/>
    <w:rsid w:val="00B02200"/>
    <w:rsid w:val="00B02353"/>
    <w:rsid w:val="00B03067"/>
    <w:rsid w:val="00B037C7"/>
    <w:rsid w:val="00B0413C"/>
    <w:rsid w:val="00B042EA"/>
    <w:rsid w:val="00B0432D"/>
    <w:rsid w:val="00B044E3"/>
    <w:rsid w:val="00B045D9"/>
    <w:rsid w:val="00B04914"/>
    <w:rsid w:val="00B04BA5"/>
    <w:rsid w:val="00B05026"/>
    <w:rsid w:val="00B05115"/>
    <w:rsid w:val="00B0546A"/>
    <w:rsid w:val="00B056D4"/>
    <w:rsid w:val="00B057E5"/>
    <w:rsid w:val="00B06385"/>
    <w:rsid w:val="00B064FD"/>
    <w:rsid w:val="00B068F4"/>
    <w:rsid w:val="00B06EE7"/>
    <w:rsid w:val="00B07B62"/>
    <w:rsid w:val="00B07F9C"/>
    <w:rsid w:val="00B100AA"/>
    <w:rsid w:val="00B10138"/>
    <w:rsid w:val="00B10708"/>
    <w:rsid w:val="00B10CC0"/>
    <w:rsid w:val="00B10CD3"/>
    <w:rsid w:val="00B10F95"/>
    <w:rsid w:val="00B11212"/>
    <w:rsid w:val="00B119A5"/>
    <w:rsid w:val="00B11AAF"/>
    <w:rsid w:val="00B1232B"/>
    <w:rsid w:val="00B1260C"/>
    <w:rsid w:val="00B12A8F"/>
    <w:rsid w:val="00B1380A"/>
    <w:rsid w:val="00B13BB0"/>
    <w:rsid w:val="00B13D41"/>
    <w:rsid w:val="00B13E64"/>
    <w:rsid w:val="00B140D3"/>
    <w:rsid w:val="00B14426"/>
    <w:rsid w:val="00B144D9"/>
    <w:rsid w:val="00B14D74"/>
    <w:rsid w:val="00B160DC"/>
    <w:rsid w:val="00B1628B"/>
    <w:rsid w:val="00B16814"/>
    <w:rsid w:val="00B16A91"/>
    <w:rsid w:val="00B16F7F"/>
    <w:rsid w:val="00B171D3"/>
    <w:rsid w:val="00B1720B"/>
    <w:rsid w:val="00B172B4"/>
    <w:rsid w:val="00B20263"/>
    <w:rsid w:val="00B2072B"/>
    <w:rsid w:val="00B20A10"/>
    <w:rsid w:val="00B20C79"/>
    <w:rsid w:val="00B20D0B"/>
    <w:rsid w:val="00B20FF4"/>
    <w:rsid w:val="00B210CB"/>
    <w:rsid w:val="00B216D5"/>
    <w:rsid w:val="00B21BFD"/>
    <w:rsid w:val="00B21C81"/>
    <w:rsid w:val="00B21E03"/>
    <w:rsid w:val="00B21FA9"/>
    <w:rsid w:val="00B2278D"/>
    <w:rsid w:val="00B22E93"/>
    <w:rsid w:val="00B22FF2"/>
    <w:rsid w:val="00B23048"/>
    <w:rsid w:val="00B237EC"/>
    <w:rsid w:val="00B23F13"/>
    <w:rsid w:val="00B24123"/>
    <w:rsid w:val="00B24722"/>
    <w:rsid w:val="00B24753"/>
    <w:rsid w:val="00B24A0E"/>
    <w:rsid w:val="00B24BC5"/>
    <w:rsid w:val="00B24C99"/>
    <w:rsid w:val="00B25AF3"/>
    <w:rsid w:val="00B25F1D"/>
    <w:rsid w:val="00B25FBA"/>
    <w:rsid w:val="00B261A8"/>
    <w:rsid w:val="00B262E0"/>
    <w:rsid w:val="00B276D9"/>
    <w:rsid w:val="00B2771C"/>
    <w:rsid w:val="00B27C19"/>
    <w:rsid w:val="00B27DF0"/>
    <w:rsid w:val="00B3087D"/>
    <w:rsid w:val="00B310B5"/>
    <w:rsid w:val="00B31258"/>
    <w:rsid w:val="00B31404"/>
    <w:rsid w:val="00B3149D"/>
    <w:rsid w:val="00B314E3"/>
    <w:rsid w:val="00B319E2"/>
    <w:rsid w:val="00B31B3D"/>
    <w:rsid w:val="00B31BB3"/>
    <w:rsid w:val="00B3245B"/>
    <w:rsid w:val="00B32F60"/>
    <w:rsid w:val="00B33662"/>
    <w:rsid w:val="00B336A2"/>
    <w:rsid w:val="00B33F88"/>
    <w:rsid w:val="00B34070"/>
    <w:rsid w:val="00B340B8"/>
    <w:rsid w:val="00B34356"/>
    <w:rsid w:val="00B345E2"/>
    <w:rsid w:val="00B34794"/>
    <w:rsid w:val="00B347DF"/>
    <w:rsid w:val="00B34868"/>
    <w:rsid w:val="00B34AE1"/>
    <w:rsid w:val="00B354A8"/>
    <w:rsid w:val="00B35EAD"/>
    <w:rsid w:val="00B35EFD"/>
    <w:rsid w:val="00B35FA6"/>
    <w:rsid w:val="00B36249"/>
    <w:rsid w:val="00B36269"/>
    <w:rsid w:val="00B36513"/>
    <w:rsid w:val="00B37135"/>
    <w:rsid w:val="00B37B5D"/>
    <w:rsid w:val="00B37C81"/>
    <w:rsid w:val="00B37E0E"/>
    <w:rsid w:val="00B40250"/>
    <w:rsid w:val="00B405B8"/>
    <w:rsid w:val="00B405E5"/>
    <w:rsid w:val="00B414A9"/>
    <w:rsid w:val="00B417A7"/>
    <w:rsid w:val="00B41828"/>
    <w:rsid w:val="00B420AA"/>
    <w:rsid w:val="00B42174"/>
    <w:rsid w:val="00B424C4"/>
    <w:rsid w:val="00B425B3"/>
    <w:rsid w:val="00B42929"/>
    <w:rsid w:val="00B42AEA"/>
    <w:rsid w:val="00B42D2D"/>
    <w:rsid w:val="00B42F62"/>
    <w:rsid w:val="00B43244"/>
    <w:rsid w:val="00B4363D"/>
    <w:rsid w:val="00B436A0"/>
    <w:rsid w:val="00B43702"/>
    <w:rsid w:val="00B4370D"/>
    <w:rsid w:val="00B439BA"/>
    <w:rsid w:val="00B43B83"/>
    <w:rsid w:val="00B43F42"/>
    <w:rsid w:val="00B445AD"/>
    <w:rsid w:val="00B445DA"/>
    <w:rsid w:val="00B4493E"/>
    <w:rsid w:val="00B45041"/>
    <w:rsid w:val="00B451AE"/>
    <w:rsid w:val="00B4561D"/>
    <w:rsid w:val="00B459F6"/>
    <w:rsid w:val="00B46699"/>
    <w:rsid w:val="00B469EF"/>
    <w:rsid w:val="00B46F80"/>
    <w:rsid w:val="00B474DB"/>
    <w:rsid w:val="00B47532"/>
    <w:rsid w:val="00B47A06"/>
    <w:rsid w:val="00B50AA2"/>
    <w:rsid w:val="00B510BD"/>
    <w:rsid w:val="00B5160C"/>
    <w:rsid w:val="00B51832"/>
    <w:rsid w:val="00B51AD5"/>
    <w:rsid w:val="00B51C11"/>
    <w:rsid w:val="00B51F0A"/>
    <w:rsid w:val="00B5251E"/>
    <w:rsid w:val="00B527C3"/>
    <w:rsid w:val="00B52C0C"/>
    <w:rsid w:val="00B53259"/>
    <w:rsid w:val="00B5340E"/>
    <w:rsid w:val="00B5346F"/>
    <w:rsid w:val="00B541B5"/>
    <w:rsid w:val="00B548C1"/>
    <w:rsid w:val="00B54D0C"/>
    <w:rsid w:val="00B54DD3"/>
    <w:rsid w:val="00B54E27"/>
    <w:rsid w:val="00B54FAE"/>
    <w:rsid w:val="00B54FEA"/>
    <w:rsid w:val="00B554A1"/>
    <w:rsid w:val="00B55622"/>
    <w:rsid w:val="00B557D7"/>
    <w:rsid w:val="00B56A22"/>
    <w:rsid w:val="00B56B93"/>
    <w:rsid w:val="00B577CC"/>
    <w:rsid w:val="00B60421"/>
    <w:rsid w:val="00B60950"/>
    <w:rsid w:val="00B60FC8"/>
    <w:rsid w:val="00B61AB3"/>
    <w:rsid w:val="00B61B42"/>
    <w:rsid w:val="00B624A7"/>
    <w:rsid w:val="00B629A5"/>
    <w:rsid w:val="00B62D34"/>
    <w:rsid w:val="00B639CE"/>
    <w:rsid w:val="00B63E02"/>
    <w:rsid w:val="00B63E6F"/>
    <w:rsid w:val="00B64029"/>
    <w:rsid w:val="00B6484E"/>
    <w:rsid w:val="00B64CBF"/>
    <w:rsid w:val="00B64F5A"/>
    <w:rsid w:val="00B6550D"/>
    <w:rsid w:val="00B65609"/>
    <w:rsid w:val="00B6579B"/>
    <w:rsid w:val="00B65879"/>
    <w:rsid w:val="00B65D32"/>
    <w:rsid w:val="00B65EB1"/>
    <w:rsid w:val="00B660D7"/>
    <w:rsid w:val="00B66761"/>
    <w:rsid w:val="00B66E0B"/>
    <w:rsid w:val="00B677D9"/>
    <w:rsid w:val="00B67A77"/>
    <w:rsid w:val="00B67ECD"/>
    <w:rsid w:val="00B704F3"/>
    <w:rsid w:val="00B70ADB"/>
    <w:rsid w:val="00B70DE7"/>
    <w:rsid w:val="00B7127C"/>
    <w:rsid w:val="00B71531"/>
    <w:rsid w:val="00B7162F"/>
    <w:rsid w:val="00B7164B"/>
    <w:rsid w:val="00B72BA6"/>
    <w:rsid w:val="00B72EEB"/>
    <w:rsid w:val="00B72F74"/>
    <w:rsid w:val="00B73248"/>
    <w:rsid w:val="00B73383"/>
    <w:rsid w:val="00B7347F"/>
    <w:rsid w:val="00B7357A"/>
    <w:rsid w:val="00B735C9"/>
    <w:rsid w:val="00B73EC2"/>
    <w:rsid w:val="00B744E6"/>
    <w:rsid w:val="00B74534"/>
    <w:rsid w:val="00B745C0"/>
    <w:rsid w:val="00B74720"/>
    <w:rsid w:val="00B74753"/>
    <w:rsid w:val="00B752ED"/>
    <w:rsid w:val="00B75847"/>
    <w:rsid w:val="00B75F0D"/>
    <w:rsid w:val="00B75FF7"/>
    <w:rsid w:val="00B764D4"/>
    <w:rsid w:val="00B76A66"/>
    <w:rsid w:val="00B76FFD"/>
    <w:rsid w:val="00B77258"/>
    <w:rsid w:val="00B77446"/>
    <w:rsid w:val="00B77496"/>
    <w:rsid w:val="00B77DC0"/>
    <w:rsid w:val="00B81543"/>
    <w:rsid w:val="00B81885"/>
    <w:rsid w:val="00B81A0F"/>
    <w:rsid w:val="00B81A40"/>
    <w:rsid w:val="00B827DE"/>
    <w:rsid w:val="00B82877"/>
    <w:rsid w:val="00B82D77"/>
    <w:rsid w:val="00B82F0B"/>
    <w:rsid w:val="00B835B4"/>
    <w:rsid w:val="00B83A13"/>
    <w:rsid w:val="00B845B0"/>
    <w:rsid w:val="00B845BA"/>
    <w:rsid w:val="00B84822"/>
    <w:rsid w:val="00B84CE5"/>
    <w:rsid w:val="00B85823"/>
    <w:rsid w:val="00B86825"/>
    <w:rsid w:val="00B86AE4"/>
    <w:rsid w:val="00B86C07"/>
    <w:rsid w:val="00B86C20"/>
    <w:rsid w:val="00B86F35"/>
    <w:rsid w:val="00B873AF"/>
    <w:rsid w:val="00B87AD4"/>
    <w:rsid w:val="00B87B27"/>
    <w:rsid w:val="00B87C18"/>
    <w:rsid w:val="00B87DE9"/>
    <w:rsid w:val="00B90181"/>
    <w:rsid w:val="00B904F6"/>
    <w:rsid w:val="00B905C3"/>
    <w:rsid w:val="00B9072B"/>
    <w:rsid w:val="00B90ECE"/>
    <w:rsid w:val="00B91074"/>
    <w:rsid w:val="00B9144F"/>
    <w:rsid w:val="00B9164B"/>
    <w:rsid w:val="00B9166B"/>
    <w:rsid w:val="00B916E0"/>
    <w:rsid w:val="00B91B69"/>
    <w:rsid w:val="00B92260"/>
    <w:rsid w:val="00B92E50"/>
    <w:rsid w:val="00B9334E"/>
    <w:rsid w:val="00B93691"/>
    <w:rsid w:val="00B93F14"/>
    <w:rsid w:val="00B93F4E"/>
    <w:rsid w:val="00B93FF4"/>
    <w:rsid w:val="00B94393"/>
    <w:rsid w:val="00B954A8"/>
    <w:rsid w:val="00B95939"/>
    <w:rsid w:val="00B95E31"/>
    <w:rsid w:val="00B964D0"/>
    <w:rsid w:val="00B96802"/>
    <w:rsid w:val="00B97190"/>
    <w:rsid w:val="00B97623"/>
    <w:rsid w:val="00B97A9E"/>
    <w:rsid w:val="00BA04BB"/>
    <w:rsid w:val="00BA07CC"/>
    <w:rsid w:val="00BA0AFC"/>
    <w:rsid w:val="00BA0CA8"/>
    <w:rsid w:val="00BA0E11"/>
    <w:rsid w:val="00BA1C56"/>
    <w:rsid w:val="00BA3D4F"/>
    <w:rsid w:val="00BA3E6E"/>
    <w:rsid w:val="00BA4299"/>
    <w:rsid w:val="00BA44EA"/>
    <w:rsid w:val="00BA4D31"/>
    <w:rsid w:val="00BA4E23"/>
    <w:rsid w:val="00BA5DD1"/>
    <w:rsid w:val="00BA6E0E"/>
    <w:rsid w:val="00BA707B"/>
    <w:rsid w:val="00BA708D"/>
    <w:rsid w:val="00BA7BFC"/>
    <w:rsid w:val="00BA7CC0"/>
    <w:rsid w:val="00BB0113"/>
    <w:rsid w:val="00BB0243"/>
    <w:rsid w:val="00BB070F"/>
    <w:rsid w:val="00BB119E"/>
    <w:rsid w:val="00BB1274"/>
    <w:rsid w:val="00BB1F59"/>
    <w:rsid w:val="00BB25CE"/>
    <w:rsid w:val="00BB2840"/>
    <w:rsid w:val="00BB2BB4"/>
    <w:rsid w:val="00BB3031"/>
    <w:rsid w:val="00BB3476"/>
    <w:rsid w:val="00BB382A"/>
    <w:rsid w:val="00BB3A1E"/>
    <w:rsid w:val="00BB3B4A"/>
    <w:rsid w:val="00BB4106"/>
    <w:rsid w:val="00BB432D"/>
    <w:rsid w:val="00BB4DC8"/>
    <w:rsid w:val="00BB5163"/>
    <w:rsid w:val="00BB548D"/>
    <w:rsid w:val="00BB6325"/>
    <w:rsid w:val="00BB6436"/>
    <w:rsid w:val="00BB6D4A"/>
    <w:rsid w:val="00BC0097"/>
    <w:rsid w:val="00BC0997"/>
    <w:rsid w:val="00BC1042"/>
    <w:rsid w:val="00BC14A3"/>
    <w:rsid w:val="00BC1EF3"/>
    <w:rsid w:val="00BC2CC6"/>
    <w:rsid w:val="00BC2D6B"/>
    <w:rsid w:val="00BC2F89"/>
    <w:rsid w:val="00BC3871"/>
    <w:rsid w:val="00BC44EB"/>
    <w:rsid w:val="00BC46FA"/>
    <w:rsid w:val="00BC4852"/>
    <w:rsid w:val="00BC48D7"/>
    <w:rsid w:val="00BC48EE"/>
    <w:rsid w:val="00BC4A61"/>
    <w:rsid w:val="00BC4FA3"/>
    <w:rsid w:val="00BC59EA"/>
    <w:rsid w:val="00BC5A3D"/>
    <w:rsid w:val="00BC5C4E"/>
    <w:rsid w:val="00BC5CF6"/>
    <w:rsid w:val="00BC5CF9"/>
    <w:rsid w:val="00BC6D18"/>
    <w:rsid w:val="00BC7057"/>
    <w:rsid w:val="00BC71EE"/>
    <w:rsid w:val="00BC77A1"/>
    <w:rsid w:val="00BD0293"/>
    <w:rsid w:val="00BD0F85"/>
    <w:rsid w:val="00BD2167"/>
    <w:rsid w:val="00BD25D9"/>
    <w:rsid w:val="00BD283D"/>
    <w:rsid w:val="00BD2959"/>
    <w:rsid w:val="00BD3FE3"/>
    <w:rsid w:val="00BD4259"/>
    <w:rsid w:val="00BD436C"/>
    <w:rsid w:val="00BD468A"/>
    <w:rsid w:val="00BD49C2"/>
    <w:rsid w:val="00BD4C29"/>
    <w:rsid w:val="00BD4F12"/>
    <w:rsid w:val="00BD50CD"/>
    <w:rsid w:val="00BD5171"/>
    <w:rsid w:val="00BD5181"/>
    <w:rsid w:val="00BD52A9"/>
    <w:rsid w:val="00BD5E82"/>
    <w:rsid w:val="00BD6261"/>
    <w:rsid w:val="00BD627D"/>
    <w:rsid w:val="00BD6D26"/>
    <w:rsid w:val="00BD7071"/>
    <w:rsid w:val="00BD7F27"/>
    <w:rsid w:val="00BD7FF8"/>
    <w:rsid w:val="00BE0065"/>
    <w:rsid w:val="00BE0683"/>
    <w:rsid w:val="00BE0A33"/>
    <w:rsid w:val="00BE0F7B"/>
    <w:rsid w:val="00BE1F1D"/>
    <w:rsid w:val="00BE228A"/>
    <w:rsid w:val="00BE255F"/>
    <w:rsid w:val="00BE28FD"/>
    <w:rsid w:val="00BE2917"/>
    <w:rsid w:val="00BE2CE9"/>
    <w:rsid w:val="00BE3091"/>
    <w:rsid w:val="00BE3587"/>
    <w:rsid w:val="00BE41A7"/>
    <w:rsid w:val="00BE42A9"/>
    <w:rsid w:val="00BE4F57"/>
    <w:rsid w:val="00BE5096"/>
    <w:rsid w:val="00BE5238"/>
    <w:rsid w:val="00BE594E"/>
    <w:rsid w:val="00BE5AF7"/>
    <w:rsid w:val="00BE5C2A"/>
    <w:rsid w:val="00BE6399"/>
    <w:rsid w:val="00BE677C"/>
    <w:rsid w:val="00BE678B"/>
    <w:rsid w:val="00BE6873"/>
    <w:rsid w:val="00BE6E5B"/>
    <w:rsid w:val="00BE6EDE"/>
    <w:rsid w:val="00BE7164"/>
    <w:rsid w:val="00BE7895"/>
    <w:rsid w:val="00BE7C9A"/>
    <w:rsid w:val="00BF01EB"/>
    <w:rsid w:val="00BF0AFE"/>
    <w:rsid w:val="00BF0C73"/>
    <w:rsid w:val="00BF0FF4"/>
    <w:rsid w:val="00BF100A"/>
    <w:rsid w:val="00BF10FC"/>
    <w:rsid w:val="00BF11F2"/>
    <w:rsid w:val="00BF14E5"/>
    <w:rsid w:val="00BF189C"/>
    <w:rsid w:val="00BF1B7B"/>
    <w:rsid w:val="00BF2604"/>
    <w:rsid w:val="00BF2E6E"/>
    <w:rsid w:val="00BF34AE"/>
    <w:rsid w:val="00BF3803"/>
    <w:rsid w:val="00BF39C9"/>
    <w:rsid w:val="00BF3DED"/>
    <w:rsid w:val="00BF3F32"/>
    <w:rsid w:val="00BF3F79"/>
    <w:rsid w:val="00BF461F"/>
    <w:rsid w:val="00BF462C"/>
    <w:rsid w:val="00BF4C1A"/>
    <w:rsid w:val="00BF4CF6"/>
    <w:rsid w:val="00BF4F87"/>
    <w:rsid w:val="00BF52ED"/>
    <w:rsid w:val="00BF53ED"/>
    <w:rsid w:val="00BF53F5"/>
    <w:rsid w:val="00BF570C"/>
    <w:rsid w:val="00BF5745"/>
    <w:rsid w:val="00BF5D71"/>
    <w:rsid w:val="00BF6E3D"/>
    <w:rsid w:val="00BF74A3"/>
    <w:rsid w:val="00BF7DC7"/>
    <w:rsid w:val="00C00043"/>
    <w:rsid w:val="00C00223"/>
    <w:rsid w:val="00C00603"/>
    <w:rsid w:val="00C00A33"/>
    <w:rsid w:val="00C00CCF"/>
    <w:rsid w:val="00C017B3"/>
    <w:rsid w:val="00C019A8"/>
    <w:rsid w:val="00C01C31"/>
    <w:rsid w:val="00C01DFC"/>
    <w:rsid w:val="00C01F1B"/>
    <w:rsid w:val="00C041C2"/>
    <w:rsid w:val="00C0422F"/>
    <w:rsid w:val="00C042A1"/>
    <w:rsid w:val="00C043AF"/>
    <w:rsid w:val="00C049B2"/>
    <w:rsid w:val="00C04ABB"/>
    <w:rsid w:val="00C04C56"/>
    <w:rsid w:val="00C04E89"/>
    <w:rsid w:val="00C050CD"/>
    <w:rsid w:val="00C054EE"/>
    <w:rsid w:val="00C0674F"/>
    <w:rsid w:val="00C06D55"/>
    <w:rsid w:val="00C06F40"/>
    <w:rsid w:val="00C06FFB"/>
    <w:rsid w:val="00C0708A"/>
    <w:rsid w:val="00C07299"/>
    <w:rsid w:val="00C107B8"/>
    <w:rsid w:val="00C109E3"/>
    <w:rsid w:val="00C10AA9"/>
    <w:rsid w:val="00C10B5F"/>
    <w:rsid w:val="00C1166F"/>
    <w:rsid w:val="00C12349"/>
    <w:rsid w:val="00C1262C"/>
    <w:rsid w:val="00C1276C"/>
    <w:rsid w:val="00C12A47"/>
    <w:rsid w:val="00C12AEA"/>
    <w:rsid w:val="00C12B1E"/>
    <w:rsid w:val="00C12B83"/>
    <w:rsid w:val="00C12E6C"/>
    <w:rsid w:val="00C13751"/>
    <w:rsid w:val="00C13E05"/>
    <w:rsid w:val="00C148BF"/>
    <w:rsid w:val="00C148E4"/>
    <w:rsid w:val="00C149A9"/>
    <w:rsid w:val="00C14B12"/>
    <w:rsid w:val="00C14F6A"/>
    <w:rsid w:val="00C150B6"/>
    <w:rsid w:val="00C15301"/>
    <w:rsid w:val="00C153A4"/>
    <w:rsid w:val="00C15B70"/>
    <w:rsid w:val="00C1605A"/>
    <w:rsid w:val="00C16810"/>
    <w:rsid w:val="00C16EB8"/>
    <w:rsid w:val="00C17239"/>
    <w:rsid w:val="00C17330"/>
    <w:rsid w:val="00C178C4"/>
    <w:rsid w:val="00C17BFE"/>
    <w:rsid w:val="00C17ED8"/>
    <w:rsid w:val="00C20507"/>
    <w:rsid w:val="00C218EE"/>
    <w:rsid w:val="00C2190C"/>
    <w:rsid w:val="00C21925"/>
    <w:rsid w:val="00C221FD"/>
    <w:rsid w:val="00C22344"/>
    <w:rsid w:val="00C2277B"/>
    <w:rsid w:val="00C22A8C"/>
    <w:rsid w:val="00C23718"/>
    <w:rsid w:val="00C237AE"/>
    <w:rsid w:val="00C23B23"/>
    <w:rsid w:val="00C242FB"/>
    <w:rsid w:val="00C24A05"/>
    <w:rsid w:val="00C24A76"/>
    <w:rsid w:val="00C2561F"/>
    <w:rsid w:val="00C25F4E"/>
    <w:rsid w:val="00C26B36"/>
    <w:rsid w:val="00C274BC"/>
    <w:rsid w:val="00C277FC"/>
    <w:rsid w:val="00C2786F"/>
    <w:rsid w:val="00C278D9"/>
    <w:rsid w:val="00C27B4E"/>
    <w:rsid w:val="00C27CF7"/>
    <w:rsid w:val="00C27E4B"/>
    <w:rsid w:val="00C3044C"/>
    <w:rsid w:val="00C30E60"/>
    <w:rsid w:val="00C317D2"/>
    <w:rsid w:val="00C3181A"/>
    <w:rsid w:val="00C31F5C"/>
    <w:rsid w:val="00C31FDA"/>
    <w:rsid w:val="00C323DA"/>
    <w:rsid w:val="00C32405"/>
    <w:rsid w:val="00C3286F"/>
    <w:rsid w:val="00C32D62"/>
    <w:rsid w:val="00C33660"/>
    <w:rsid w:val="00C337CC"/>
    <w:rsid w:val="00C33C01"/>
    <w:rsid w:val="00C33C4C"/>
    <w:rsid w:val="00C34EF3"/>
    <w:rsid w:val="00C34F46"/>
    <w:rsid w:val="00C34FD2"/>
    <w:rsid w:val="00C353BB"/>
    <w:rsid w:val="00C35B2B"/>
    <w:rsid w:val="00C368C6"/>
    <w:rsid w:val="00C37B44"/>
    <w:rsid w:val="00C40008"/>
    <w:rsid w:val="00C4077F"/>
    <w:rsid w:val="00C408E7"/>
    <w:rsid w:val="00C40A1A"/>
    <w:rsid w:val="00C415B8"/>
    <w:rsid w:val="00C41AD3"/>
    <w:rsid w:val="00C41DF1"/>
    <w:rsid w:val="00C426EB"/>
    <w:rsid w:val="00C42948"/>
    <w:rsid w:val="00C42A28"/>
    <w:rsid w:val="00C42D4C"/>
    <w:rsid w:val="00C43831"/>
    <w:rsid w:val="00C43B6D"/>
    <w:rsid w:val="00C43F33"/>
    <w:rsid w:val="00C45048"/>
    <w:rsid w:val="00C45496"/>
    <w:rsid w:val="00C45704"/>
    <w:rsid w:val="00C4578F"/>
    <w:rsid w:val="00C45E99"/>
    <w:rsid w:val="00C4619B"/>
    <w:rsid w:val="00C46345"/>
    <w:rsid w:val="00C4651F"/>
    <w:rsid w:val="00C46E30"/>
    <w:rsid w:val="00C47843"/>
    <w:rsid w:val="00C478B4"/>
    <w:rsid w:val="00C47E95"/>
    <w:rsid w:val="00C50613"/>
    <w:rsid w:val="00C50AE6"/>
    <w:rsid w:val="00C5138A"/>
    <w:rsid w:val="00C51758"/>
    <w:rsid w:val="00C51928"/>
    <w:rsid w:val="00C539B3"/>
    <w:rsid w:val="00C54A15"/>
    <w:rsid w:val="00C54B61"/>
    <w:rsid w:val="00C556D7"/>
    <w:rsid w:val="00C55B96"/>
    <w:rsid w:val="00C564D0"/>
    <w:rsid w:val="00C570C0"/>
    <w:rsid w:val="00C60045"/>
    <w:rsid w:val="00C6012C"/>
    <w:rsid w:val="00C60578"/>
    <w:rsid w:val="00C605CA"/>
    <w:rsid w:val="00C61162"/>
    <w:rsid w:val="00C61C4B"/>
    <w:rsid w:val="00C61C95"/>
    <w:rsid w:val="00C61D13"/>
    <w:rsid w:val="00C620E1"/>
    <w:rsid w:val="00C6246C"/>
    <w:rsid w:val="00C62612"/>
    <w:rsid w:val="00C62791"/>
    <w:rsid w:val="00C627A7"/>
    <w:rsid w:val="00C64099"/>
    <w:rsid w:val="00C6428C"/>
    <w:rsid w:val="00C644E4"/>
    <w:rsid w:val="00C64821"/>
    <w:rsid w:val="00C64B52"/>
    <w:rsid w:val="00C64BE1"/>
    <w:rsid w:val="00C64F38"/>
    <w:rsid w:val="00C65236"/>
    <w:rsid w:val="00C662E5"/>
    <w:rsid w:val="00C669E1"/>
    <w:rsid w:val="00C6709B"/>
    <w:rsid w:val="00C6759D"/>
    <w:rsid w:val="00C6789F"/>
    <w:rsid w:val="00C679DC"/>
    <w:rsid w:val="00C703F6"/>
    <w:rsid w:val="00C7043B"/>
    <w:rsid w:val="00C706A5"/>
    <w:rsid w:val="00C709E2"/>
    <w:rsid w:val="00C70EF7"/>
    <w:rsid w:val="00C713EB"/>
    <w:rsid w:val="00C718C3"/>
    <w:rsid w:val="00C71E83"/>
    <w:rsid w:val="00C72473"/>
    <w:rsid w:val="00C724F2"/>
    <w:rsid w:val="00C7283A"/>
    <w:rsid w:val="00C73133"/>
    <w:rsid w:val="00C7392D"/>
    <w:rsid w:val="00C73AD4"/>
    <w:rsid w:val="00C73E56"/>
    <w:rsid w:val="00C74BA7"/>
    <w:rsid w:val="00C75544"/>
    <w:rsid w:val="00C7562C"/>
    <w:rsid w:val="00C75952"/>
    <w:rsid w:val="00C75D33"/>
    <w:rsid w:val="00C75E7B"/>
    <w:rsid w:val="00C75F8B"/>
    <w:rsid w:val="00C76037"/>
    <w:rsid w:val="00C7680B"/>
    <w:rsid w:val="00C76891"/>
    <w:rsid w:val="00C7720E"/>
    <w:rsid w:val="00C77248"/>
    <w:rsid w:val="00C776BB"/>
    <w:rsid w:val="00C80111"/>
    <w:rsid w:val="00C8037E"/>
    <w:rsid w:val="00C80697"/>
    <w:rsid w:val="00C80CF0"/>
    <w:rsid w:val="00C80DD1"/>
    <w:rsid w:val="00C80F21"/>
    <w:rsid w:val="00C814A9"/>
    <w:rsid w:val="00C818C6"/>
    <w:rsid w:val="00C81FE2"/>
    <w:rsid w:val="00C82392"/>
    <w:rsid w:val="00C824ED"/>
    <w:rsid w:val="00C829AA"/>
    <w:rsid w:val="00C82AF6"/>
    <w:rsid w:val="00C82C0F"/>
    <w:rsid w:val="00C82E8F"/>
    <w:rsid w:val="00C83362"/>
    <w:rsid w:val="00C8355A"/>
    <w:rsid w:val="00C83D88"/>
    <w:rsid w:val="00C840F7"/>
    <w:rsid w:val="00C841D1"/>
    <w:rsid w:val="00C84B57"/>
    <w:rsid w:val="00C84B99"/>
    <w:rsid w:val="00C85183"/>
    <w:rsid w:val="00C85339"/>
    <w:rsid w:val="00C85396"/>
    <w:rsid w:val="00C85446"/>
    <w:rsid w:val="00C85649"/>
    <w:rsid w:val="00C85AE0"/>
    <w:rsid w:val="00C86252"/>
    <w:rsid w:val="00C86AC9"/>
    <w:rsid w:val="00C86B0E"/>
    <w:rsid w:val="00C87846"/>
    <w:rsid w:val="00C87B57"/>
    <w:rsid w:val="00C87D1B"/>
    <w:rsid w:val="00C901D4"/>
    <w:rsid w:val="00C913A1"/>
    <w:rsid w:val="00C91DBF"/>
    <w:rsid w:val="00C93045"/>
    <w:rsid w:val="00C93CD9"/>
    <w:rsid w:val="00C944E6"/>
    <w:rsid w:val="00C947DE"/>
    <w:rsid w:val="00C9484E"/>
    <w:rsid w:val="00C9507D"/>
    <w:rsid w:val="00C9520D"/>
    <w:rsid w:val="00C95232"/>
    <w:rsid w:val="00C955A9"/>
    <w:rsid w:val="00C96066"/>
    <w:rsid w:val="00C96298"/>
    <w:rsid w:val="00C962F1"/>
    <w:rsid w:val="00C964AB"/>
    <w:rsid w:val="00C96D57"/>
    <w:rsid w:val="00C975B9"/>
    <w:rsid w:val="00C978D9"/>
    <w:rsid w:val="00CA0CFF"/>
    <w:rsid w:val="00CA1477"/>
    <w:rsid w:val="00CA170F"/>
    <w:rsid w:val="00CA171D"/>
    <w:rsid w:val="00CA1E53"/>
    <w:rsid w:val="00CA1F30"/>
    <w:rsid w:val="00CA3F8D"/>
    <w:rsid w:val="00CA47CA"/>
    <w:rsid w:val="00CA4A28"/>
    <w:rsid w:val="00CA4E5F"/>
    <w:rsid w:val="00CA4FAC"/>
    <w:rsid w:val="00CA512B"/>
    <w:rsid w:val="00CA5252"/>
    <w:rsid w:val="00CA54B0"/>
    <w:rsid w:val="00CA5AEC"/>
    <w:rsid w:val="00CA5C65"/>
    <w:rsid w:val="00CA6D4D"/>
    <w:rsid w:val="00CA6EB3"/>
    <w:rsid w:val="00CA778C"/>
    <w:rsid w:val="00CA7C85"/>
    <w:rsid w:val="00CB06CE"/>
    <w:rsid w:val="00CB0D73"/>
    <w:rsid w:val="00CB0FC9"/>
    <w:rsid w:val="00CB14B0"/>
    <w:rsid w:val="00CB1772"/>
    <w:rsid w:val="00CB1F0A"/>
    <w:rsid w:val="00CB2123"/>
    <w:rsid w:val="00CB21B8"/>
    <w:rsid w:val="00CB21D6"/>
    <w:rsid w:val="00CB317B"/>
    <w:rsid w:val="00CB343F"/>
    <w:rsid w:val="00CB3BFF"/>
    <w:rsid w:val="00CB3D31"/>
    <w:rsid w:val="00CB4065"/>
    <w:rsid w:val="00CB44E2"/>
    <w:rsid w:val="00CB4AC5"/>
    <w:rsid w:val="00CB4EB4"/>
    <w:rsid w:val="00CB4FB7"/>
    <w:rsid w:val="00CB5156"/>
    <w:rsid w:val="00CB5157"/>
    <w:rsid w:val="00CB53B0"/>
    <w:rsid w:val="00CB5620"/>
    <w:rsid w:val="00CB59EF"/>
    <w:rsid w:val="00CB5CDD"/>
    <w:rsid w:val="00CB65C9"/>
    <w:rsid w:val="00CB6AFC"/>
    <w:rsid w:val="00CB6CF6"/>
    <w:rsid w:val="00CB6FFD"/>
    <w:rsid w:val="00CB722B"/>
    <w:rsid w:val="00CB72CD"/>
    <w:rsid w:val="00CB7C19"/>
    <w:rsid w:val="00CC07A4"/>
    <w:rsid w:val="00CC1790"/>
    <w:rsid w:val="00CC1AEC"/>
    <w:rsid w:val="00CC1E38"/>
    <w:rsid w:val="00CC203C"/>
    <w:rsid w:val="00CC230B"/>
    <w:rsid w:val="00CC2653"/>
    <w:rsid w:val="00CC26D9"/>
    <w:rsid w:val="00CC298D"/>
    <w:rsid w:val="00CC306A"/>
    <w:rsid w:val="00CC3C9C"/>
    <w:rsid w:val="00CC3DC6"/>
    <w:rsid w:val="00CC3ECE"/>
    <w:rsid w:val="00CC4024"/>
    <w:rsid w:val="00CC4295"/>
    <w:rsid w:val="00CC44A7"/>
    <w:rsid w:val="00CC46BD"/>
    <w:rsid w:val="00CC5136"/>
    <w:rsid w:val="00CC5575"/>
    <w:rsid w:val="00CC5A83"/>
    <w:rsid w:val="00CC5F21"/>
    <w:rsid w:val="00CC5F7A"/>
    <w:rsid w:val="00CC6368"/>
    <w:rsid w:val="00CC6A99"/>
    <w:rsid w:val="00CC6B4F"/>
    <w:rsid w:val="00CC707C"/>
    <w:rsid w:val="00CC74CB"/>
    <w:rsid w:val="00CD0A42"/>
    <w:rsid w:val="00CD1BFF"/>
    <w:rsid w:val="00CD1DFA"/>
    <w:rsid w:val="00CD212D"/>
    <w:rsid w:val="00CD2305"/>
    <w:rsid w:val="00CD26E1"/>
    <w:rsid w:val="00CD2AF9"/>
    <w:rsid w:val="00CD3BBA"/>
    <w:rsid w:val="00CD3FAE"/>
    <w:rsid w:val="00CD4055"/>
    <w:rsid w:val="00CD4B6C"/>
    <w:rsid w:val="00CD58CC"/>
    <w:rsid w:val="00CD597D"/>
    <w:rsid w:val="00CD5B3B"/>
    <w:rsid w:val="00CD5B5D"/>
    <w:rsid w:val="00CD6469"/>
    <w:rsid w:val="00CD6702"/>
    <w:rsid w:val="00CD6753"/>
    <w:rsid w:val="00CD68CE"/>
    <w:rsid w:val="00CD6A5A"/>
    <w:rsid w:val="00CD6D34"/>
    <w:rsid w:val="00CD6E43"/>
    <w:rsid w:val="00CD6FA2"/>
    <w:rsid w:val="00CD6FC7"/>
    <w:rsid w:val="00CD703B"/>
    <w:rsid w:val="00CD7172"/>
    <w:rsid w:val="00CD72E2"/>
    <w:rsid w:val="00CD749F"/>
    <w:rsid w:val="00CD77BD"/>
    <w:rsid w:val="00CD77F3"/>
    <w:rsid w:val="00CD7899"/>
    <w:rsid w:val="00CD7AE8"/>
    <w:rsid w:val="00CD7BF4"/>
    <w:rsid w:val="00CE02CC"/>
    <w:rsid w:val="00CE0923"/>
    <w:rsid w:val="00CE0B30"/>
    <w:rsid w:val="00CE1BF0"/>
    <w:rsid w:val="00CE1E07"/>
    <w:rsid w:val="00CE1EA1"/>
    <w:rsid w:val="00CE20E8"/>
    <w:rsid w:val="00CE2320"/>
    <w:rsid w:val="00CE2391"/>
    <w:rsid w:val="00CE265D"/>
    <w:rsid w:val="00CE3162"/>
    <w:rsid w:val="00CE37E5"/>
    <w:rsid w:val="00CE3A7A"/>
    <w:rsid w:val="00CE4471"/>
    <w:rsid w:val="00CE44D0"/>
    <w:rsid w:val="00CE4961"/>
    <w:rsid w:val="00CE4A54"/>
    <w:rsid w:val="00CE4EBE"/>
    <w:rsid w:val="00CE4FB2"/>
    <w:rsid w:val="00CE5429"/>
    <w:rsid w:val="00CE6934"/>
    <w:rsid w:val="00CE7F1A"/>
    <w:rsid w:val="00CE7FDC"/>
    <w:rsid w:val="00CF0260"/>
    <w:rsid w:val="00CF09A9"/>
    <w:rsid w:val="00CF0A47"/>
    <w:rsid w:val="00CF1191"/>
    <w:rsid w:val="00CF1300"/>
    <w:rsid w:val="00CF13BE"/>
    <w:rsid w:val="00CF147A"/>
    <w:rsid w:val="00CF177A"/>
    <w:rsid w:val="00CF1BAB"/>
    <w:rsid w:val="00CF1C73"/>
    <w:rsid w:val="00CF2D13"/>
    <w:rsid w:val="00CF3347"/>
    <w:rsid w:val="00CF390D"/>
    <w:rsid w:val="00CF3F4B"/>
    <w:rsid w:val="00CF406F"/>
    <w:rsid w:val="00CF40A1"/>
    <w:rsid w:val="00CF4840"/>
    <w:rsid w:val="00CF4E5B"/>
    <w:rsid w:val="00CF5406"/>
    <w:rsid w:val="00CF6252"/>
    <w:rsid w:val="00CF67B3"/>
    <w:rsid w:val="00CF6869"/>
    <w:rsid w:val="00CF6971"/>
    <w:rsid w:val="00CF7464"/>
    <w:rsid w:val="00D00AA3"/>
    <w:rsid w:val="00D00BC3"/>
    <w:rsid w:val="00D014F1"/>
    <w:rsid w:val="00D0170A"/>
    <w:rsid w:val="00D0206F"/>
    <w:rsid w:val="00D0219F"/>
    <w:rsid w:val="00D0227B"/>
    <w:rsid w:val="00D0288F"/>
    <w:rsid w:val="00D02A66"/>
    <w:rsid w:val="00D03E26"/>
    <w:rsid w:val="00D040C2"/>
    <w:rsid w:val="00D04902"/>
    <w:rsid w:val="00D053BA"/>
    <w:rsid w:val="00D0579B"/>
    <w:rsid w:val="00D05C4A"/>
    <w:rsid w:val="00D05CE2"/>
    <w:rsid w:val="00D05D50"/>
    <w:rsid w:val="00D064FC"/>
    <w:rsid w:val="00D065E6"/>
    <w:rsid w:val="00D07846"/>
    <w:rsid w:val="00D0785D"/>
    <w:rsid w:val="00D078F7"/>
    <w:rsid w:val="00D07DF7"/>
    <w:rsid w:val="00D07F73"/>
    <w:rsid w:val="00D10604"/>
    <w:rsid w:val="00D10B91"/>
    <w:rsid w:val="00D1150F"/>
    <w:rsid w:val="00D12998"/>
    <w:rsid w:val="00D12CF5"/>
    <w:rsid w:val="00D13038"/>
    <w:rsid w:val="00D135C2"/>
    <w:rsid w:val="00D139BC"/>
    <w:rsid w:val="00D14118"/>
    <w:rsid w:val="00D14489"/>
    <w:rsid w:val="00D1457E"/>
    <w:rsid w:val="00D148B6"/>
    <w:rsid w:val="00D14EC0"/>
    <w:rsid w:val="00D150A9"/>
    <w:rsid w:val="00D1559D"/>
    <w:rsid w:val="00D159ED"/>
    <w:rsid w:val="00D15BD3"/>
    <w:rsid w:val="00D1646B"/>
    <w:rsid w:val="00D170CD"/>
    <w:rsid w:val="00D1739F"/>
    <w:rsid w:val="00D17408"/>
    <w:rsid w:val="00D175FA"/>
    <w:rsid w:val="00D178A4"/>
    <w:rsid w:val="00D17BE1"/>
    <w:rsid w:val="00D17C37"/>
    <w:rsid w:val="00D2041C"/>
    <w:rsid w:val="00D20510"/>
    <w:rsid w:val="00D20881"/>
    <w:rsid w:val="00D2115B"/>
    <w:rsid w:val="00D21318"/>
    <w:rsid w:val="00D216A2"/>
    <w:rsid w:val="00D219F7"/>
    <w:rsid w:val="00D221CD"/>
    <w:rsid w:val="00D223B4"/>
    <w:rsid w:val="00D2269B"/>
    <w:rsid w:val="00D23229"/>
    <w:rsid w:val="00D2327E"/>
    <w:rsid w:val="00D23493"/>
    <w:rsid w:val="00D23577"/>
    <w:rsid w:val="00D23F0C"/>
    <w:rsid w:val="00D24626"/>
    <w:rsid w:val="00D25273"/>
    <w:rsid w:val="00D25824"/>
    <w:rsid w:val="00D258AA"/>
    <w:rsid w:val="00D25ADE"/>
    <w:rsid w:val="00D25CCA"/>
    <w:rsid w:val="00D2640B"/>
    <w:rsid w:val="00D26552"/>
    <w:rsid w:val="00D275D2"/>
    <w:rsid w:val="00D27D8A"/>
    <w:rsid w:val="00D30144"/>
    <w:rsid w:val="00D307AE"/>
    <w:rsid w:val="00D30CF7"/>
    <w:rsid w:val="00D31271"/>
    <w:rsid w:val="00D31CA8"/>
    <w:rsid w:val="00D31DD3"/>
    <w:rsid w:val="00D31F69"/>
    <w:rsid w:val="00D31F7C"/>
    <w:rsid w:val="00D3257D"/>
    <w:rsid w:val="00D32652"/>
    <w:rsid w:val="00D32B4A"/>
    <w:rsid w:val="00D330E5"/>
    <w:rsid w:val="00D33C7A"/>
    <w:rsid w:val="00D34109"/>
    <w:rsid w:val="00D342BE"/>
    <w:rsid w:val="00D343B0"/>
    <w:rsid w:val="00D3460F"/>
    <w:rsid w:val="00D34A5A"/>
    <w:rsid w:val="00D34E51"/>
    <w:rsid w:val="00D34FD1"/>
    <w:rsid w:val="00D35954"/>
    <w:rsid w:val="00D36991"/>
    <w:rsid w:val="00D379BF"/>
    <w:rsid w:val="00D379F7"/>
    <w:rsid w:val="00D400DA"/>
    <w:rsid w:val="00D40478"/>
    <w:rsid w:val="00D40D1D"/>
    <w:rsid w:val="00D412B2"/>
    <w:rsid w:val="00D41D5B"/>
    <w:rsid w:val="00D41EC3"/>
    <w:rsid w:val="00D4326F"/>
    <w:rsid w:val="00D43297"/>
    <w:rsid w:val="00D4359A"/>
    <w:rsid w:val="00D438DD"/>
    <w:rsid w:val="00D446F2"/>
    <w:rsid w:val="00D44788"/>
    <w:rsid w:val="00D44CF5"/>
    <w:rsid w:val="00D44DB6"/>
    <w:rsid w:val="00D44E31"/>
    <w:rsid w:val="00D44F39"/>
    <w:rsid w:val="00D4506B"/>
    <w:rsid w:val="00D450CA"/>
    <w:rsid w:val="00D45D09"/>
    <w:rsid w:val="00D461E4"/>
    <w:rsid w:val="00D4660B"/>
    <w:rsid w:val="00D46DF0"/>
    <w:rsid w:val="00D46E6A"/>
    <w:rsid w:val="00D4778D"/>
    <w:rsid w:val="00D47BDF"/>
    <w:rsid w:val="00D47C15"/>
    <w:rsid w:val="00D50119"/>
    <w:rsid w:val="00D50B91"/>
    <w:rsid w:val="00D513B0"/>
    <w:rsid w:val="00D517A9"/>
    <w:rsid w:val="00D5195C"/>
    <w:rsid w:val="00D51DE8"/>
    <w:rsid w:val="00D52325"/>
    <w:rsid w:val="00D523FB"/>
    <w:rsid w:val="00D5249E"/>
    <w:rsid w:val="00D52560"/>
    <w:rsid w:val="00D52C5F"/>
    <w:rsid w:val="00D52F3C"/>
    <w:rsid w:val="00D52FC4"/>
    <w:rsid w:val="00D53180"/>
    <w:rsid w:val="00D536A7"/>
    <w:rsid w:val="00D53D11"/>
    <w:rsid w:val="00D53D91"/>
    <w:rsid w:val="00D54FBE"/>
    <w:rsid w:val="00D55241"/>
    <w:rsid w:val="00D552AE"/>
    <w:rsid w:val="00D552ED"/>
    <w:rsid w:val="00D55437"/>
    <w:rsid w:val="00D55861"/>
    <w:rsid w:val="00D559F7"/>
    <w:rsid w:val="00D55C29"/>
    <w:rsid w:val="00D56519"/>
    <w:rsid w:val="00D57A14"/>
    <w:rsid w:val="00D601F6"/>
    <w:rsid w:val="00D60573"/>
    <w:rsid w:val="00D6067E"/>
    <w:rsid w:val="00D61ED2"/>
    <w:rsid w:val="00D623FB"/>
    <w:rsid w:val="00D6249C"/>
    <w:rsid w:val="00D62555"/>
    <w:rsid w:val="00D62E46"/>
    <w:rsid w:val="00D62EA8"/>
    <w:rsid w:val="00D62F74"/>
    <w:rsid w:val="00D63257"/>
    <w:rsid w:val="00D6337D"/>
    <w:rsid w:val="00D63A61"/>
    <w:rsid w:val="00D63C9A"/>
    <w:rsid w:val="00D63F05"/>
    <w:rsid w:val="00D656C5"/>
    <w:rsid w:val="00D65D76"/>
    <w:rsid w:val="00D66598"/>
    <w:rsid w:val="00D667DD"/>
    <w:rsid w:val="00D66A62"/>
    <w:rsid w:val="00D70160"/>
    <w:rsid w:val="00D7067E"/>
    <w:rsid w:val="00D707B3"/>
    <w:rsid w:val="00D711C3"/>
    <w:rsid w:val="00D7333B"/>
    <w:rsid w:val="00D7393D"/>
    <w:rsid w:val="00D740BF"/>
    <w:rsid w:val="00D74D3E"/>
    <w:rsid w:val="00D75520"/>
    <w:rsid w:val="00D75AC7"/>
    <w:rsid w:val="00D75F5C"/>
    <w:rsid w:val="00D7608C"/>
    <w:rsid w:val="00D76D76"/>
    <w:rsid w:val="00D77057"/>
    <w:rsid w:val="00D771D3"/>
    <w:rsid w:val="00D772C5"/>
    <w:rsid w:val="00D77492"/>
    <w:rsid w:val="00D77C3C"/>
    <w:rsid w:val="00D77CF1"/>
    <w:rsid w:val="00D77D05"/>
    <w:rsid w:val="00D77D54"/>
    <w:rsid w:val="00D80018"/>
    <w:rsid w:val="00D806E9"/>
    <w:rsid w:val="00D80A56"/>
    <w:rsid w:val="00D80E2C"/>
    <w:rsid w:val="00D80EFE"/>
    <w:rsid w:val="00D819C9"/>
    <w:rsid w:val="00D81A75"/>
    <w:rsid w:val="00D82589"/>
    <w:rsid w:val="00D82A43"/>
    <w:rsid w:val="00D82B4A"/>
    <w:rsid w:val="00D8326A"/>
    <w:rsid w:val="00D83756"/>
    <w:rsid w:val="00D8404D"/>
    <w:rsid w:val="00D845E4"/>
    <w:rsid w:val="00D8480D"/>
    <w:rsid w:val="00D84821"/>
    <w:rsid w:val="00D84C7D"/>
    <w:rsid w:val="00D85426"/>
    <w:rsid w:val="00D866FF"/>
    <w:rsid w:val="00D87114"/>
    <w:rsid w:val="00D87291"/>
    <w:rsid w:val="00D87CB9"/>
    <w:rsid w:val="00D87CE3"/>
    <w:rsid w:val="00D87E06"/>
    <w:rsid w:val="00D9078C"/>
    <w:rsid w:val="00D90876"/>
    <w:rsid w:val="00D908FF"/>
    <w:rsid w:val="00D90AF3"/>
    <w:rsid w:val="00D90B0C"/>
    <w:rsid w:val="00D90B39"/>
    <w:rsid w:val="00D90C7B"/>
    <w:rsid w:val="00D91084"/>
    <w:rsid w:val="00D91622"/>
    <w:rsid w:val="00D91A97"/>
    <w:rsid w:val="00D9232D"/>
    <w:rsid w:val="00D92532"/>
    <w:rsid w:val="00D927FB"/>
    <w:rsid w:val="00D92F2E"/>
    <w:rsid w:val="00D93342"/>
    <w:rsid w:val="00D9341F"/>
    <w:rsid w:val="00D944DF"/>
    <w:rsid w:val="00D948BC"/>
    <w:rsid w:val="00D95DBD"/>
    <w:rsid w:val="00D95EAE"/>
    <w:rsid w:val="00D96057"/>
    <w:rsid w:val="00D969FF"/>
    <w:rsid w:val="00D97449"/>
    <w:rsid w:val="00D97485"/>
    <w:rsid w:val="00D97681"/>
    <w:rsid w:val="00D97B8F"/>
    <w:rsid w:val="00D97CAF"/>
    <w:rsid w:val="00D97DA0"/>
    <w:rsid w:val="00DA0058"/>
    <w:rsid w:val="00DA1427"/>
    <w:rsid w:val="00DA1988"/>
    <w:rsid w:val="00DA23CC"/>
    <w:rsid w:val="00DA24A6"/>
    <w:rsid w:val="00DA252A"/>
    <w:rsid w:val="00DA268D"/>
    <w:rsid w:val="00DA2795"/>
    <w:rsid w:val="00DA2897"/>
    <w:rsid w:val="00DA3A57"/>
    <w:rsid w:val="00DA3A60"/>
    <w:rsid w:val="00DA3C38"/>
    <w:rsid w:val="00DA3D56"/>
    <w:rsid w:val="00DA4BD6"/>
    <w:rsid w:val="00DA4D56"/>
    <w:rsid w:val="00DA545E"/>
    <w:rsid w:val="00DA5795"/>
    <w:rsid w:val="00DA5A21"/>
    <w:rsid w:val="00DA5A5A"/>
    <w:rsid w:val="00DA5E77"/>
    <w:rsid w:val="00DA6221"/>
    <w:rsid w:val="00DA6E3A"/>
    <w:rsid w:val="00DA76B5"/>
    <w:rsid w:val="00DA7B5D"/>
    <w:rsid w:val="00DB034C"/>
    <w:rsid w:val="00DB04B9"/>
    <w:rsid w:val="00DB07EC"/>
    <w:rsid w:val="00DB12E0"/>
    <w:rsid w:val="00DB18F3"/>
    <w:rsid w:val="00DB1913"/>
    <w:rsid w:val="00DB1E31"/>
    <w:rsid w:val="00DB2230"/>
    <w:rsid w:val="00DB28FB"/>
    <w:rsid w:val="00DB2C1C"/>
    <w:rsid w:val="00DB3566"/>
    <w:rsid w:val="00DB364C"/>
    <w:rsid w:val="00DB37F5"/>
    <w:rsid w:val="00DB39AF"/>
    <w:rsid w:val="00DB39F6"/>
    <w:rsid w:val="00DB3C0A"/>
    <w:rsid w:val="00DB3FF6"/>
    <w:rsid w:val="00DB441D"/>
    <w:rsid w:val="00DB4D67"/>
    <w:rsid w:val="00DB54B5"/>
    <w:rsid w:val="00DB567C"/>
    <w:rsid w:val="00DB56C5"/>
    <w:rsid w:val="00DB5927"/>
    <w:rsid w:val="00DB5C29"/>
    <w:rsid w:val="00DB5C7E"/>
    <w:rsid w:val="00DB6F8B"/>
    <w:rsid w:val="00DB7C99"/>
    <w:rsid w:val="00DC0566"/>
    <w:rsid w:val="00DC0D47"/>
    <w:rsid w:val="00DC10A3"/>
    <w:rsid w:val="00DC121D"/>
    <w:rsid w:val="00DC1309"/>
    <w:rsid w:val="00DC146C"/>
    <w:rsid w:val="00DC1A1F"/>
    <w:rsid w:val="00DC1C47"/>
    <w:rsid w:val="00DC1ED7"/>
    <w:rsid w:val="00DC1F2F"/>
    <w:rsid w:val="00DC2310"/>
    <w:rsid w:val="00DC2473"/>
    <w:rsid w:val="00DC32E9"/>
    <w:rsid w:val="00DC3504"/>
    <w:rsid w:val="00DC4685"/>
    <w:rsid w:val="00DC46E1"/>
    <w:rsid w:val="00DC4B6F"/>
    <w:rsid w:val="00DC4C64"/>
    <w:rsid w:val="00DC4D40"/>
    <w:rsid w:val="00DC52AA"/>
    <w:rsid w:val="00DC5907"/>
    <w:rsid w:val="00DC5910"/>
    <w:rsid w:val="00DC5DCF"/>
    <w:rsid w:val="00DC5F6A"/>
    <w:rsid w:val="00DC606D"/>
    <w:rsid w:val="00DC672C"/>
    <w:rsid w:val="00DC68D0"/>
    <w:rsid w:val="00DC71FF"/>
    <w:rsid w:val="00DC749B"/>
    <w:rsid w:val="00DC75ED"/>
    <w:rsid w:val="00DD0464"/>
    <w:rsid w:val="00DD07BE"/>
    <w:rsid w:val="00DD07E8"/>
    <w:rsid w:val="00DD0D69"/>
    <w:rsid w:val="00DD1AB4"/>
    <w:rsid w:val="00DD2716"/>
    <w:rsid w:val="00DD273B"/>
    <w:rsid w:val="00DD3588"/>
    <w:rsid w:val="00DD36F4"/>
    <w:rsid w:val="00DD4527"/>
    <w:rsid w:val="00DD5425"/>
    <w:rsid w:val="00DD5C56"/>
    <w:rsid w:val="00DD6039"/>
    <w:rsid w:val="00DD60F2"/>
    <w:rsid w:val="00DD610F"/>
    <w:rsid w:val="00DD61C5"/>
    <w:rsid w:val="00DD6266"/>
    <w:rsid w:val="00DD727B"/>
    <w:rsid w:val="00DD782F"/>
    <w:rsid w:val="00DD7A0C"/>
    <w:rsid w:val="00DE0768"/>
    <w:rsid w:val="00DE0ADC"/>
    <w:rsid w:val="00DE1252"/>
    <w:rsid w:val="00DE1641"/>
    <w:rsid w:val="00DE1646"/>
    <w:rsid w:val="00DE1865"/>
    <w:rsid w:val="00DE188F"/>
    <w:rsid w:val="00DE1968"/>
    <w:rsid w:val="00DE1A50"/>
    <w:rsid w:val="00DE2166"/>
    <w:rsid w:val="00DE27D3"/>
    <w:rsid w:val="00DE2894"/>
    <w:rsid w:val="00DE2BCF"/>
    <w:rsid w:val="00DE2CE7"/>
    <w:rsid w:val="00DE2FA6"/>
    <w:rsid w:val="00DE328C"/>
    <w:rsid w:val="00DE34D2"/>
    <w:rsid w:val="00DE3570"/>
    <w:rsid w:val="00DE3D43"/>
    <w:rsid w:val="00DE3D59"/>
    <w:rsid w:val="00DE3E3B"/>
    <w:rsid w:val="00DE424A"/>
    <w:rsid w:val="00DE4F7E"/>
    <w:rsid w:val="00DE5689"/>
    <w:rsid w:val="00DE5E94"/>
    <w:rsid w:val="00DE67C3"/>
    <w:rsid w:val="00DE71DD"/>
    <w:rsid w:val="00DE756C"/>
    <w:rsid w:val="00DE7B9A"/>
    <w:rsid w:val="00DE7EC2"/>
    <w:rsid w:val="00DF01AE"/>
    <w:rsid w:val="00DF0970"/>
    <w:rsid w:val="00DF0AF3"/>
    <w:rsid w:val="00DF0D02"/>
    <w:rsid w:val="00DF128A"/>
    <w:rsid w:val="00DF13EE"/>
    <w:rsid w:val="00DF272E"/>
    <w:rsid w:val="00DF2DC3"/>
    <w:rsid w:val="00DF2EB7"/>
    <w:rsid w:val="00DF38B1"/>
    <w:rsid w:val="00DF39CF"/>
    <w:rsid w:val="00DF4555"/>
    <w:rsid w:val="00DF46A7"/>
    <w:rsid w:val="00DF4A02"/>
    <w:rsid w:val="00DF4BBA"/>
    <w:rsid w:val="00DF4E18"/>
    <w:rsid w:val="00DF550E"/>
    <w:rsid w:val="00DF58E7"/>
    <w:rsid w:val="00DF598E"/>
    <w:rsid w:val="00DF64D0"/>
    <w:rsid w:val="00DF6636"/>
    <w:rsid w:val="00DF6C88"/>
    <w:rsid w:val="00DF6D85"/>
    <w:rsid w:val="00DF6E62"/>
    <w:rsid w:val="00DF7068"/>
    <w:rsid w:val="00DF7609"/>
    <w:rsid w:val="00DF7812"/>
    <w:rsid w:val="00DF7B35"/>
    <w:rsid w:val="00E00734"/>
    <w:rsid w:val="00E00910"/>
    <w:rsid w:val="00E00A72"/>
    <w:rsid w:val="00E00FB9"/>
    <w:rsid w:val="00E01452"/>
    <w:rsid w:val="00E019E9"/>
    <w:rsid w:val="00E01B51"/>
    <w:rsid w:val="00E0219D"/>
    <w:rsid w:val="00E0265C"/>
    <w:rsid w:val="00E02927"/>
    <w:rsid w:val="00E02B29"/>
    <w:rsid w:val="00E02F6D"/>
    <w:rsid w:val="00E03038"/>
    <w:rsid w:val="00E0326C"/>
    <w:rsid w:val="00E033B5"/>
    <w:rsid w:val="00E03A58"/>
    <w:rsid w:val="00E03B70"/>
    <w:rsid w:val="00E04764"/>
    <w:rsid w:val="00E049F5"/>
    <w:rsid w:val="00E04DE7"/>
    <w:rsid w:val="00E05009"/>
    <w:rsid w:val="00E052A5"/>
    <w:rsid w:val="00E05534"/>
    <w:rsid w:val="00E05727"/>
    <w:rsid w:val="00E058C5"/>
    <w:rsid w:val="00E05B4C"/>
    <w:rsid w:val="00E05E22"/>
    <w:rsid w:val="00E06207"/>
    <w:rsid w:val="00E0680F"/>
    <w:rsid w:val="00E0684C"/>
    <w:rsid w:val="00E075DF"/>
    <w:rsid w:val="00E07688"/>
    <w:rsid w:val="00E07935"/>
    <w:rsid w:val="00E07E48"/>
    <w:rsid w:val="00E103B9"/>
    <w:rsid w:val="00E1064C"/>
    <w:rsid w:val="00E107AB"/>
    <w:rsid w:val="00E11686"/>
    <w:rsid w:val="00E117F6"/>
    <w:rsid w:val="00E11876"/>
    <w:rsid w:val="00E1194E"/>
    <w:rsid w:val="00E11D89"/>
    <w:rsid w:val="00E127A1"/>
    <w:rsid w:val="00E12C74"/>
    <w:rsid w:val="00E12CFF"/>
    <w:rsid w:val="00E12D50"/>
    <w:rsid w:val="00E12FAB"/>
    <w:rsid w:val="00E133AE"/>
    <w:rsid w:val="00E1421C"/>
    <w:rsid w:val="00E14453"/>
    <w:rsid w:val="00E14488"/>
    <w:rsid w:val="00E14567"/>
    <w:rsid w:val="00E14574"/>
    <w:rsid w:val="00E146B3"/>
    <w:rsid w:val="00E14D0E"/>
    <w:rsid w:val="00E14E9C"/>
    <w:rsid w:val="00E151A3"/>
    <w:rsid w:val="00E15C3B"/>
    <w:rsid w:val="00E15C57"/>
    <w:rsid w:val="00E1620B"/>
    <w:rsid w:val="00E16A01"/>
    <w:rsid w:val="00E16BA8"/>
    <w:rsid w:val="00E16E00"/>
    <w:rsid w:val="00E170F0"/>
    <w:rsid w:val="00E17456"/>
    <w:rsid w:val="00E174AF"/>
    <w:rsid w:val="00E17563"/>
    <w:rsid w:val="00E178EF"/>
    <w:rsid w:val="00E20193"/>
    <w:rsid w:val="00E20893"/>
    <w:rsid w:val="00E20DFD"/>
    <w:rsid w:val="00E2122F"/>
    <w:rsid w:val="00E2137A"/>
    <w:rsid w:val="00E213F0"/>
    <w:rsid w:val="00E22134"/>
    <w:rsid w:val="00E227D1"/>
    <w:rsid w:val="00E2332D"/>
    <w:rsid w:val="00E238B3"/>
    <w:rsid w:val="00E23A5D"/>
    <w:rsid w:val="00E23B2F"/>
    <w:rsid w:val="00E23CBB"/>
    <w:rsid w:val="00E23F75"/>
    <w:rsid w:val="00E241D2"/>
    <w:rsid w:val="00E24639"/>
    <w:rsid w:val="00E24E7B"/>
    <w:rsid w:val="00E24FF4"/>
    <w:rsid w:val="00E252C2"/>
    <w:rsid w:val="00E253C9"/>
    <w:rsid w:val="00E2565E"/>
    <w:rsid w:val="00E256B3"/>
    <w:rsid w:val="00E2591F"/>
    <w:rsid w:val="00E261CF"/>
    <w:rsid w:val="00E2625D"/>
    <w:rsid w:val="00E263E4"/>
    <w:rsid w:val="00E268A9"/>
    <w:rsid w:val="00E2745A"/>
    <w:rsid w:val="00E3005E"/>
    <w:rsid w:val="00E304AA"/>
    <w:rsid w:val="00E307D7"/>
    <w:rsid w:val="00E309CD"/>
    <w:rsid w:val="00E30DE9"/>
    <w:rsid w:val="00E32310"/>
    <w:rsid w:val="00E32F87"/>
    <w:rsid w:val="00E339F4"/>
    <w:rsid w:val="00E33D16"/>
    <w:rsid w:val="00E33E23"/>
    <w:rsid w:val="00E340E4"/>
    <w:rsid w:val="00E3430C"/>
    <w:rsid w:val="00E3482A"/>
    <w:rsid w:val="00E3575C"/>
    <w:rsid w:val="00E36942"/>
    <w:rsid w:val="00E372B8"/>
    <w:rsid w:val="00E373C7"/>
    <w:rsid w:val="00E3775A"/>
    <w:rsid w:val="00E377A0"/>
    <w:rsid w:val="00E3797F"/>
    <w:rsid w:val="00E37B59"/>
    <w:rsid w:val="00E37D29"/>
    <w:rsid w:val="00E37D3E"/>
    <w:rsid w:val="00E37EAC"/>
    <w:rsid w:val="00E37F5F"/>
    <w:rsid w:val="00E400B9"/>
    <w:rsid w:val="00E400C4"/>
    <w:rsid w:val="00E4034F"/>
    <w:rsid w:val="00E40ABA"/>
    <w:rsid w:val="00E41A31"/>
    <w:rsid w:val="00E41B71"/>
    <w:rsid w:val="00E41C30"/>
    <w:rsid w:val="00E41E7D"/>
    <w:rsid w:val="00E41EA3"/>
    <w:rsid w:val="00E41ECE"/>
    <w:rsid w:val="00E4219D"/>
    <w:rsid w:val="00E42554"/>
    <w:rsid w:val="00E42837"/>
    <w:rsid w:val="00E42AC0"/>
    <w:rsid w:val="00E42B7C"/>
    <w:rsid w:val="00E432EC"/>
    <w:rsid w:val="00E44A14"/>
    <w:rsid w:val="00E4508C"/>
    <w:rsid w:val="00E46064"/>
    <w:rsid w:val="00E46FD9"/>
    <w:rsid w:val="00E47CFC"/>
    <w:rsid w:val="00E47F50"/>
    <w:rsid w:val="00E5008B"/>
    <w:rsid w:val="00E5033A"/>
    <w:rsid w:val="00E503BE"/>
    <w:rsid w:val="00E507C4"/>
    <w:rsid w:val="00E50D48"/>
    <w:rsid w:val="00E511DF"/>
    <w:rsid w:val="00E515B3"/>
    <w:rsid w:val="00E51706"/>
    <w:rsid w:val="00E51BDB"/>
    <w:rsid w:val="00E52144"/>
    <w:rsid w:val="00E52374"/>
    <w:rsid w:val="00E523F6"/>
    <w:rsid w:val="00E526C9"/>
    <w:rsid w:val="00E52A85"/>
    <w:rsid w:val="00E52A90"/>
    <w:rsid w:val="00E52C2C"/>
    <w:rsid w:val="00E52FB1"/>
    <w:rsid w:val="00E53EC7"/>
    <w:rsid w:val="00E5416E"/>
    <w:rsid w:val="00E548EE"/>
    <w:rsid w:val="00E5560E"/>
    <w:rsid w:val="00E557E9"/>
    <w:rsid w:val="00E557FA"/>
    <w:rsid w:val="00E55BBB"/>
    <w:rsid w:val="00E56030"/>
    <w:rsid w:val="00E5636A"/>
    <w:rsid w:val="00E56432"/>
    <w:rsid w:val="00E5693D"/>
    <w:rsid w:val="00E56AAF"/>
    <w:rsid w:val="00E56ED7"/>
    <w:rsid w:val="00E572E1"/>
    <w:rsid w:val="00E572F6"/>
    <w:rsid w:val="00E57365"/>
    <w:rsid w:val="00E576E0"/>
    <w:rsid w:val="00E57847"/>
    <w:rsid w:val="00E607E8"/>
    <w:rsid w:val="00E60B5A"/>
    <w:rsid w:val="00E60F1A"/>
    <w:rsid w:val="00E61EA2"/>
    <w:rsid w:val="00E6247F"/>
    <w:rsid w:val="00E6351C"/>
    <w:rsid w:val="00E63BB2"/>
    <w:rsid w:val="00E645B5"/>
    <w:rsid w:val="00E64BCC"/>
    <w:rsid w:val="00E64C39"/>
    <w:rsid w:val="00E64D17"/>
    <w:rsid w:val="00E6512A"/>
    <w:rsid w:val="00E653F2"/>
    <w:rsid w:val="00E65A85"/>
    <w:rsid w:val="00E65AE1"/>
    <w:rsid w:val="00E65B16"/>
    <w:rsid w:val="00E6627B"/>
    <w:rsid w:val="00E66375"/>
    <w:rsid w:val="00E66580"/>
    <w:rsid w:val="00E66C8B"/>
    <w:rsid w:val="00E6731F"/>
    <w:rsid w:val="00E67ADB"/>
    <w:rsid w:val="00E67ECE"/>
    <w:rsid w:val="00E70565"/>
    <w:rsid w:val="00E709EB"/>
    <w:rsid w:val="00E712F9"/>
    <w:rsid w:val="00E71491"/>
    <w:rsid w:val="00E719F1"/>
    <w:rsid w:val="00E71EA3"/>
    <w:rsid w:val="00E724AA"/>
    <w:rsid w:val="00E72F49"/>
    <w:rsid w:val="00E73150"/>
    <w:rsid w:val="00E73783"/>
    <w:rsid w:val="00E73886"/>
    <w:rsid w:val="00E739DA"/>
    <w:rsid w:val="00E73EAE"/>
    <w:rsid w:val="00E74368"/>
    <w:rsid w:val="00E74508"/>
    <w:rsid w:val="00E74611"/>
    <w:rsid w:val="00E74D32"/>
    <w:rsid w:val="00E74D33"/>
    <w:rsid w:val="00E75292"/>
    <w:rsid w:val="00E75735"/>
    <w:rsid w:val="00E75D26"/>
    <w:rsid w:val="00E75E5B"/>
    <w:rsid w:val="00E761A3"/>
    <w:rsid w:val="00E761B2"/>
    <w:rsid w:val="00E766BE"/>
    <w:rsid w:val="00E76C19"/>
    <w:rsid w:val="00E76E9C"/>
    <w:rsid w:val="00E76FA1"/>
    <w:rsid w:val="00E76FE6"/>
    <w:rsid w:val="00E77B95"/>
    <w:rsid w:val="00E77BBF"/>
    <w:rsid w:val="00E8011F"/>
    <w:rsid w:val="00E80383"/>
    <w:rsid w:val="00E80780"/>
    <w:rsid w:val="00E811DF"/>
    <w:rsid w:val="00E81242"/>
    <w:rsid w:val="00E814EB"/>
    <w:rsid w:val="00E81550"/>
    <w:rsid w:val="00E81E8D"/>
    <w:rsid w:val="00E82A8C"/>
    <w:rsid w:val="00E83F20"/>
    <w:rsid w:val="00E84039"/>
    <w:rsid w:val="00E842D8"/>
    <w:rsid w:val="00E84382"/>
    <w:rsid w:val="00E8496A"/>
    <w:rsid w:val="00E84975"/>
    <w:rsid w:val="00E84D60"/>
    <w:rsid w:val="00E84EC0"/>
    <w:rsid w:val="00E8588F"/>
    <w:rsid w:val="00E87133"/>
    <w:rsid w:val="00E879A4"/>
    <w:rsid w:val="00E87C8E"/>
    <w:rsid w:val="00E87F4D"/>
    <w:rsid w:val="00E90397"/>
    <w:rsid w:val="00E90484"/>
    <w:rsid w:val="00E9095E"/>
    <w:rsid w:val="00E90F57"/>
    <w:rsid w:val="00E9163D"/>
    <w:rsid w:val="00E91906"/>
    <w:rsid w:val="00E91C3F"/>
    <w:rsid w:val="00E91E6E"/>
    <w:rsid w:val="00E91FC0"/>
    <w:rsid w:val="00E926AA"/>
    <w:rsid w:val="00E92F4B"/>
    <w:rsid w:val="00E93028"/>
    <w:rsid w:val="00E9313B"/>
    <w:rsid w:val="00E933BC"/>
    <w:rsid w:val="00E93C08"/>
    <w:rsid w:val="00E93CED"/>
    <w:rsid w:val="00E94179"/>
    <w:rsid w:val="00E94507"/>
    <w:rsid w:val="00E94A89"/>
    <w:rsid w:val="00E94CA8"/>
    <w:rsid w:val="00E9502B"/>
    <w:rsid w:val="00E95329"/>
    <w:rsid w:val="00E95472"/>
    <w:rsid w:val="00E95704"/>
    <w:rsid w:val="00E95CDB"/>
    <w:rsid w:val="00E960D0"/>
    <w:rsid w:val="00E96420"/>
    <w:rsid w:val="00E96C34"/>
    <w:rsid w:val="00E96C75"/>
    <w:rsid w:val="00E970AA"/>
    <w:rsid w:val="00E97A20"/>
    <w:rsid w:val="00E97BDA"/>
    <w:rsid w:val="00EA0182"/>
    <w:rsid w:val="00EA096D"/>
    <w:rsid w:val="00EA0B5E"/>
    <w:rsid w:val="00EA1677"/>
    <w:rsid w:val="00EA16A2"/>
    <w:rsid w:val="00EA1866"/>
    <w:rsid w:val="00EA247C"/>
    <w:rsid w:val="00EA2A68"/>
    <w:rsid w:val="00EA33AA"/>
    <w:rsid w:val="00EA36C6"/>
    <w:rsid w:val="00EA3D20"/>
    <w:rsid w:val="00EA40EF"/>
    <w:rsid w:val="00EA442A"/>
    <w:rsid w:val="00EA4559"/>
    <w:rsid w:val="00EA4CBF"/>
    <w:rsid w:val="00EA4F1A"/>
    <w:rsid w:val="00EA5531"/>
    <w:rsid w:val="00EA5D27"/>
    <w:rsid w:val="00EA6A8B"/>
    <w:rsid w:val="00EA6E00"/>
    <w:rsid w:val="00EA762E"/>
    <w:rsid w:val="00EA79EF"/>
    <w:rsid w:val="00EA7AAD"/>
    <w:rsid w:val="00EB0414"/>
    <w:rsid w:val="00EB0954"/>
    <w:rsid w:val="00EB099F"/>
    <w:rsid w:val="00EB0CA9"/>
    <w:rsid w:val="00EB0D7E"/>
    <w:rsid w:val="00EB105B"/>
    <w:rsid w:val="00EB17D1"/>
    <w:rsid w:val="00EB22AA"/>
    <w:rsid w:val="00EB248E"/>
    <w:rsid w:val="00EB26D1"/>
    <w:rsid w:val="00EB2AF6"/>
    <w:rsid w:val="00EB2D30"/>
    <w:rsid w:val="00EB33F4"/>
    <w:rsid w:val="00EB3BED"/>
    <w:rsid w:val="00EB5181"/>
    <w:rsid w:val="00EB56DE"/>
    <w:rsid w:val="00EB67C9"/>
    <w:rsid w:val="00EB6879"/>
    <w:rsid w:val="00EB6A0D"/>
    <w:rsid w:val="00EB6B21"/>
    <w:rsid w:val="00EB6CA7"/>
    <w:rsid w:val="00EB6F79"/>
    <w:rsid w:val="00EB758F"/>
    <w:rsid w:val="00EB7DB5"/>
    <w:rsid w:val="00EC1236"/>
    <w:rsid w:val="00EC12E7"/>
    <w:rsid w:val="00EC165A"/>
    <w:rsid w:val="00EC1AFA"/>
    <w:rsid w:val="00EC1D04"/>
    <w:rsid w:val="00EC2604"/>
    <w:rsid w:val="00EC2CF1"/>
    <w:rsid w:val="00EC2D32"/>
    <w:rsid w:val="00EC3085"/>
    <w:rsid w:val="00EC3120"/>
    <w:rsid w:val="00EC32DD"/>
    <w:rsid w:val="00EC5842"/>
    <w:rsid w:val="00EC5A71"/>
    <w:rsid w:val="00EC6384"/>
    <w:rsid w:val="00EC63F8"/>
    <w:rsid w:val="00EC6444"/>
    <w:rsid w:val="00EC6910"/>
    <w:rsid w:val="00EC6A7E"/>
    <w:rsid w:val="00EC6B83"/>
    <w:rsid w:val="00EC7005"/>
    <w:rsid w:val="00EC7186"/>
    <w:rsid w:val="00EC793C"/>
    <w:rsid w:val="00ED06DB"/>
    <w:rsid w:val="00ED0FA0"/>
    <w:rsid w:val="00ED19C2"/>
    <w:rsid w:val="00ED1D28"/>
    <w:rsid w:val="00ED31BD"/>
    <w:rsid w:val="00ED350B"/>
    <w:rsid w:val="00ED38EA"/>
    <w:rsid w:val="00ED3FC4"/>
    <w:rsid w:val="00ED44BF"/>
    <w:rsid w:val="00ED4809"/>
    <w:rsid w:val="00ED4FDB"/>
    <w:rsid w:val="00ED5725"/>
    <w:rsid w:val="00ED5F0E"/>
    <w:rsid w:val="00ED6117"/>
    <w:rsid w:val="00ED64AD"/>
    <w:rsid w:val="00ED680B"/>
    <w:rsid w:val="00ED6D61"/>
    <w:rsid w:val="00ED6D82"/>
    <w:rsid w:val="00ED6F93"/>
    <w:rsid w:val="00ED7031"/>
    <w:rsid w:val="00ED70A2"/>
    <w:rsid w:val="00ED7F27"/>
    <w:rsid w:val="00EE00FB"/>
    <w:rsid w:val="00EE0F14"/>
    <w:rsid w:val="00EE17C4"/>
    <w:rsid w:val="00EE1B94"/>
    <w:rsid w:val="00EE2159"/>
    <w:rsid w:val="00EE2461"/>
    <w:rsid w:val="00EE2B57"/>
    <w:rsid w:val="00EE2B7F"/>
    <w:rsid w:val="00EE2CB7"/>
    <w:rsid w:val="00EE3060"/>
    <w:rsid w:val="00EE36D8"/>
    <w:rsid w:val="00EE3D1E"/>
    <w:rsid w:val="00EE4209"/>
    <w:rsid w:val="00EE4315"/>
    <w:rsid w:val="00EE43B0"/>
    <w:rsid w:val="00EE4E23"/>
    <w:rsid w:val="00EE51DB"/>
    <w:rsid w:val="00EE52AE"/>
    <w:rsid w:val="00EE5CAA"/>
    <w:rsid w:val="00EE5CBE"/>
    <w:rsid w:val="00EE5EB4"/>
    <w:rsid w:val="00EE6606"/>
    <w:rsid w:val="00EE680F"/>
    <w:rsid w:val="00EE6F50"/>
    <w:rsid w:val="00EE718B"/>
    <w:rsid w:val="00EE7C11"/>
    <w:rsid w:val="00EF0742"/>
    <w:rsid w:val="00EF0743"/>
    <w:rsid w:val="00EF108A"/>
    <w:rsid w:val="00EF1294"/>
    <w:rsid w:val="00EF1493"/>
    <w:rsid w:val="00EF16D5"/>
    <w:rsid w:val="00EF1B43"/>
    <w:rsid w:val="00EF1C38"/>
    <w:rsid w:val="00EF1E81"/>
    <w:rsid w:val="00EF1E92"/>
    <w:rsid w:val="00EF20ED"/>
    <w:rsid w:val="00EF2A3A"/>
    <w:rsid w:val="00EF342B"/>
    <w:rsid w:val="00EF368A"/>
    <w:rsid w:val="00EF3CEB"/>
    <w:rsid w:val="00EF3D29"/>
    <w:rsid w:val="00EF3D31"/>
    <w:rsid w:val="00EF3F2D"/>
    <w:rsid w:val="00EF44FB"/>
    <w:rsid w:val="00EF4DAB"/>
    <w:rsid w:val="00EF4E87"/>
    <w:rsid w:val="00EF4FED"/>
    <w:rsid w:val="00EF567E"/>
    <w:rsid w:val="00EF5FC1"/>
    <w:rsid w:val="00EF6056"/>
    <w:rsid w:val="00EF629A"/>
    <w:rsid w:val="00EF691C"/>
    <w:rsid w:val="00EF7041"/>
    <w:rsid w:val="00EF76A8"/>
    <w:rsid w:val="00EF7914"/>
    <w:rsid w:val="00F00078"/>
    <w:rsid w:val="00F009A8"/>
    <w:rsid w:val="00F00B29"/>
    <w:rsid w:val="00F00B8E"/>
    <w:rsid w:val="00F010A0"/>
    <w:rsid w:val="00F019F6"/>
    <w:rsid w:val="00F01CFE"/>
    <w:rsid w:val="00F01D9C"/>
    <w:rsid w:val="00F02564"/>
    <w:rsid w:val="00F02B96"/>
    <w:rsid w:val="00F02DCC"/>
    <w:rsid w:val="00F02E3B"/>
    <w:rsid w:val="00F030CC"/>
    <w:rsid w:val="00F03B5F"/>
    <w:rsid w:val="00F03F43"/>
    <w:rsid w:val="00F0442E"/>
    <w:rsid w:val="00F0478D"/>
    <w:rsid w:val="00F049AD"/>
    <w:rsid w:val="00F04CB6"/>
    <w:rsid w:val="00F04F3F"/>
    <w:rsid w:val="00F04FC2"/>
    <w:rsid w:val="00F051D4"/>
    <w:rsid w:val="00F053C5"/>
    <w:rsid w:val="00F054C9"/>
    <w:rsid w:val="00F055B4"/>
    <w:rsid w:val="00F055FA"/>
    <w:rsid w:val="00F056B3"/>
    <w:rsid w:val="00F05993"/>
    <w:rsid w:val="00F05D22"/>
    <w:rsid w:val="00F0643E"/>
    <w:rsid w:val="00F0717C"/>
    <w:rsid w:val="00F0757A"/>
    <w:rsid w:val="00F079C4"/>
    <w:rsid w:val="00F07AB3"/>
    <w:rsid w:val="00F1065B"/>
    <w:rsid w:val="00F1159C"/>
    <w:rsid w:val="00F117E8"/>
    <w:rsid w:val="00F1214C"/>
    <w:rsid w:val="00F121E4"/>
    <w:rsid w:val="00F1228F"/>
    <w:rsid w:val="00F126CD"/>
    <w:rsid w:val="00F12FD2"/>
    <w:rsid w:val="00F138A1"/>
    <w:rsid w:val="00F13D71"/>
    <w:rsid w:val="00F14021"/>
    <w:rsid w:val="00F142A3"/>
    <w:rsid w:val="00F142E4"/>
    <w:rsid w:val="00F142F4"/>
    <w:rsid w:val="00F14AEF"/>
    <w:rsid w:val="00F159B1"/>
    <w:rsid w:val="00F15C9B"/>
    <w:rsid w:val="00F15CCB"/>
    <w:rsid w:val="00F15F77"/>
    <w:rsid w:val="00F16126"/>
    <w:rsid w:val="00F165D9"/>
    <w:rsid w:val="00F16ADD"/>
    <w:rsid w:val="00F16DA7"/>
    <w:rsid w:val="00F1750E"/>
    <w:rsid w:val="00F20345"/>
    <w:rsid w:val="00F20779"/>
    <w:rsid w:val="00F20B39"/>
    <w:rsid w:val="00F211C5"/>
    <w:rsid w:val="00F21437"/>
    <w:rsid w:val="00F21C0D"/>
    <w:rsid w:val="00F21F82"/>
    <w:rsid w:val="00F22142"/>
    <w:rsid w:val="00F22276"/>
    <w:rsid w:val="00F2250B"/>
    <w:rsid w:val="00F2256D"/>
    <w:rsid w:val="00F22770"/>
    <w:rsid w:val="00F22CC2"/>
    <w:rsid w:val="00F23638"/>
    <w:rsid w:val="00F23B06"/>
    <w:rsid w:val="00F23B5E"/>
    <w:rsid w:val="00F2454B"/>
    <w:rsid w:val="00F246CD"/>
    <w:rsid w:val="00F249DC"/>
    <w:rsid w:val="00F2506A"/>
    <w:rsid w:val="00F251CF"/>
    <w:rsid w:val="00F2523C"/>
    <w:rsid w:val="00F253A4"/>
    <w:rsid w:val="00F25565"/>
    <w:rsid w:val="00F2579C"/>
    <w:rsid w:val="00F25E3F"/>
    <w:rsid w:val="00F25FBE"/>
    <w:rsid w:val="00F2649B"/>
    <w:rsid w:val="00F26A97"/>
    <w:rsid w:val="00F26CC3"/>
    <w:rsid w:val="00F26ED3"/>
    <w:rsid w:val="00F27041"/>
    <w:rsid w:val="00F2732D"/>
    <w:rsid w:val="00F278B0"/>
    <w:rsid w:val="00F30BF2"/>
    <w:rsid w:val="00F31316"/>
    <w:rsid w:val="00F31697"/>
    <w:rsid w:val="00F32257"/>
    <w:rsid w:val="00F3268F"/>
    <w:rsid w:val="00F33913"/>
    <w:rsid w:val="00F33FD3"/>
    <w:rsid w:val="00F342F8"/>
    <w:rsid w:val="00F343DB"/>
    <w:rsid w:val="00F346D1"/>
    <w:rsid w:val="00F353B3"/>
    <w:rsid w:val="00F35771"/>
    <w:rsid w:val="00F3673E"/>
    <w:rsid w:val="00F36828"/>
    <w:rsid w:val="00F371A1"/>
    <w:rsid w:val="00F37305"/>
    <w:rsid w:val="00F37487"/>
    <w:rsid w:val="00F374BE"/>
    <w:rsid w:val="00F37FE5"/>
    <w:rsid w:val="00F40125"/>
    <w:rsid w:val="00F40179"/>
    <w:rsid w:val="00F4064D"/>
    <w:rsid w:val="00F40AC2"/>
    <w:rsid w:val="00F41A2A"/>
    <w:rsid w:val="00F41A4E"/>
    <w:rsid w:val="00F41EB2"/>
    <w:rsid w:val="00F41F30"/>
    <w:rsid w:val="00F42271"/>
    <w:rsid w:val="00F42573"/>
    <w:rsid w:val="00F42D56"/>
    <w:rsid w:val="00F42E89"/>
    <w:rsid w:val="00F42EF2"/>
    <w:rsid w:val="00F434C4"/>
    <w:rsid w:val="00F43757"/>
    <w:rsid w:val="00F4384E"/>
    <w:rsid w:val="00F43B1B"/>
    <w:rsid w:val="00F44120"/>
    <w:rsid w:val="00F443CD"/>
    <w:rsid w:val="00F445AA"/>
    <w:rsid w:val="00F446DF"/>
    <w:rsid w:val="00F44C60"/>
    <w:rsid w:val="00F44F3C"/>
    <w:rsid w:val="00F467A8"/>
    <w:rsid w:val="00F47C02"/>
    <w:rsid w:val="00F47C66"/>
    <w:rsid w:val="00F50812"/>
    <w:rsid w:val="00F50890"/>
    <w:rsid w:val="00F5162B"/>
    <w:rsid w:val="00F52184"/>
    <w:rsid w:val="00F52E1C"/>
    <w:rsid w:val="00F53550"/>
    <w:rsid w:val="00F53599"/>
    <w:rsid w:val="00F53CD3"/>
    <w:rsid w:val="00F54394"/>
    <w:rsid w:val="00F55BF4"/>
    <w:rsid w:val="00F55FB5"/>
    <w:rsid w:val="00F56E15"/>
    <w:rsid w:val="00F573C1"/>
    <w:rsid w:val="00F57AD8"/>
    <w:rsid w:val="00F57BF7"/>
    <w:rsid w:val="00F57C00"/>
    <w:rsid w:val="00F57CAD"/>
    <w:rsid w:val="00F57DBB"/>
    <w:rsid w:val="00F57FF3"/>
    <w:rsid w:val="00F60DDE"/>
    <w:rsid w:val="00F61189"/>
    <w:rsid w:val="00F61224"/>
    <w:rsid w:val="00F619D4"/>
    <w:rsid w:val="00F61E69"/>
    <w:rsid w:val="00F61EA2"/>
    <w:rsid w:val="00F6203D"/>
    <w:rsid w:val="00F62138"/>
    <w:rsid w:val="00F621AD"/>
    <w:rsid w:val="00F62614"/>
    <w:rsid w:val="00F62830"/>
    <w:rsid w:val="00F629F4"/>
    <w:rsid w:val="00F62B7A"/>
    <w:rsid w:val="00F62E9B"/>
    <w:rsid w:val="00F638A8"/>
    <w:rsid w:val="00F6394F"/>
    <w:rsid w:val="00F6397D"/>
    <w:rsid w:val="00F644A9"/>
    <w:rsid w:val="00F6486F"/>
    <w:rsid w:val="00F64FAE"/>
    <w:rsid w:val="00F66DC0"/>
    <w:rsid w:val="00F67BA6"/>
    <w:rsid w:val="00F67C0F"/>
    <w:rsid w:val="00F7016C"/>
    <w:rsid w:val="00F70182"/>
    <w:rsid w:val="00F7031B"/>
    <w:rsid w:val="00F705AA"/>
    <w:rsid w:val="00F70690"/>
    <w:rsid w:val="00F70764"/>
    <w:rsid w:val="00F71845"/>
    <w:rsid w:val="00F71B63"/>
    <w:rsid w:val="00F721C1"/>
    <w:rsid w:val="00F7293E"/>
    <w:rsid w:val="00F72A96"/>
    <w:rsid w:val="00F72B38"/>
    <w:rsid w:val="00F72E7C"/>
    <w:rsid w:val="00F7312A"/>
    <w:rsid w:val="00F7318C"/>
    <w:rsid w:val="00F73675"/>
    <w:rsid w:val="00F745CC"/>
    <w:rsid w:val="00F747E5"/>
    <w:rsid w:val="00F74E27"/>
    <w:rsid w:val="00F74ED8"/>
    <w:rsid w:val="00F755ED"/>
    <w:rsid w:val="00F75668"/>
    <w:rsid w:val="00F759BC"/>
    <w:rsid w:val="00F75D94"/>
    <w:rsid w:val="00F76103"/>
    <w:rsid w:val="00F7616B"/>
    <w:rsid w:val="00F76650"/>
    <w:rsid w:val="00F767EC"/>
    <w:rsid w:val="00F76D12"/>
    <w:rsid w:val="00F7718F"/>
    <w:rsid w:val="00F77502"/>
    <w:rsid w:val="00F805B9"/>
    <w:rsid w:val="00F80C6E"/>
    <w:rsid w:val="00F814C9"/>
    <w:rsid w:val="00F8156C"/>
    <w:rsid w:val="00F81C70"/>
    <w:rsid w:val="00F81ECD"/>
    <w:rsid w:val="00F82239"/>
    <w:rsid w:val="00F8234C"/>
    <w:rsid w:val="00F8242C"/>
    <w:rsid w:val="00F824BF"/>
    <w:rsid w:val="00F8313C"/>
    <w:rsid w:val="00F83299"/>
    <w:rsid w:val="00F8350E"/>
    <w:rsid w:val="00F83550"/>
    <w:rsid w:val="00F83AFF"/>
    <w:rsid w:val="00F83C91"/>
    <w:rsid w:val="00F83F39"/>
    <w:rsid w:val="00F848DF"/>
    <w:rsid w:val="00F848FD"/>
    <w:rsid w:val="00F85B3B"/>
    <w:rsid w:val="00F85EEC"/>
    <w:rsid w:val="00F8662E"/>
    <w:rsid w:val="00F86B60"/>
    <w:rsid w:val="00F86C30"/>
    <w:rsid w:val="00F874D0"/>
    <w:rsid w:val="00F901A5"/>
    <w:rsid w:val="00F91415"/>
    <w:rsid w:val="00F9187B"/>
    <w:rsid w:val="00F918CB"/>
    <w:rsid w:val="00F91936"/>
    <w:rsid w:val="00F92385"/>
    <w:rsid w:val="00F9296B"/>
    <w:rsid w:val="00F92A0A"/>
    <w:rsid w:val="00F92D1C"/>
    <w:rsid w:val="00F92EE5"/>
    <w:rsid w:val="00F9340A"/>
    <w:rsid w:val="00F93658"/>
    <w:rsid w:val="00F94E31"/>
    <w:rsid w:val="00F953A0"/>
    <w:rsid w:val="00F95AC1"/>
    <w:rsid w:val="00F9607A"/>
    <w:rsid w:val="00F963BF"/>
    <w:rsid w:val="00F967C3"/>
    <w:rsid w:val="00F96955"/>
    <w:rsid w:val="00F9705B"/>
    <w:rsid w:val="00F97479"/>
    <w:rsid w:val="00F97616"/>
    <w:rsid w:val="00F97F44"/>
    <w:rsid w:val="00FA045D"/>
    <w:rsid w:val="00FA0768"/>
    <w:rsid w:val="00FA0DA1"/>
    <w:rsid w:val="00FA115A"/>
    <w:rsid w:val="00FA1286"/>
    <w:rsid w:val="00FA14D5"/>
    <w:rsid w:val="00FA17EC"/>
    <w:rsid w:val="00FA19E7"/>
    <w:rsid w:val="00FA1B4F"/>
    <w:rsid w:val="00FA2BC6"/>
    <w:rsid w:val="00FA3419"/>
    <w:rsid w:val="00FA360C"/>
    <w:rsid w:val="00FA3C45"/>
    <w:rsid w:val="00FA3CAF"/>
    <w:rsid w:val="00FA3F94"/>
    <w:rsid w:val="00FA485A"/>
    <w:rsid w:val="00FA4B2C"/>
    <w:rsid w:val="00FA5265"/>
    <w:rsid w:val="00FA5747"/>
    <w:rsid w:val="00FA6759"/>
    <w:rsid w:val="00FA6D7D"/>
    <w:rsid w:val="00FA70D9"/>
    <w:rsid w:val="00FA78BC"/>
    <w:rsid w:val="00FB02A2"/>
    <w:rsid w:val="00FB05AE"/>
    <w:rsid w:val="00FB0CDC"/>
    <w:rsid w:val="00FB17CC"/>
    <w:rsid w:val="00FB2376"/>
    <w:rsid w:val="00FB2D48"/>
    <w:rsid w:val="00FB3101"/>
    <w:rsid w:val="00FB357F"/>
    <w:rsid w:val="00FB3A26"/>
    <w:rsid w:val="00FB3EFB"/>
    <w:rsid w:val="00FB3FAB"/>
    <w:rsid w:val="00FB459B"/>
    <w:rsid w:val="00FB4701"/>
    <w:rsid w:val="00FB4AE6"/>
    <w:rsid w:val="00FB536E"/>
    <w:rsid w:val="00FB5608"/>
    <w:rsid w:val="00FB595B"/>
    <w:rsid w:val="00FB5F92"/>
    <w:rsid w:val="00FB7CD3"/>
    <w:rsid w:val="00FC00C3"/>
    <w:rsid w:val="00FC02B8"/>
    <w:rsid w:val="00FC0BCB"/>
    <w:rsid w:val="00FC1034"/>
    <w:rsid w:val="00FC15C1"/>
    <w:rsid w:val="00FC1DD5"/>
    <w:rsid w:val="00FC2682"/>
    <w:rsid w:val="00FC27C2"/>
    <w:rsid w:val="00FC2E75"/>
    <w:rsid w:val="00FC3DC1"/>
    <w:rsid w:val="00FC47F9"/>
    <w:rsid w:val="00FC4B56"/>
    <w:rsid w:val="00FC4E6A"/>
    <w:rsid w:val="00FC527C"/>
    <w:rsid w:val="00FC5755"/>
    <w:rsid w:val="00FC5B84"/>
    <w:rsid w:val="00FC649B"/>
    <w:rsid w:val="00FC70AC"/>
    <w:rsid w:val="00FC710D"/>
    <w:rsid w:val="00FC7483"/>
    <w:rsid w:val="00FD04FC"/>
    <w:rsid w:val="00FD071F"/>
    <w:rsid w:val="00FD0C62"/>
    <w:rsid w:val="00FD12D8"/>
    <w:rsid w:val="00FD130E"/>
    <w:rsid w:val="00FD1801"/>
    <w:rsid w:val="00FD180D"/>
    <w:rsid w:val="00FD1A6A"/>
    <w:rsid w:val="00FD202C"/>
    <w:rsid w:val="00FD2865"/>
    <w:rsid w:val="00FD430E"/>
    <w:rsid w:val="00FD4EC2"/>
    <w:rsid w:val="00FD52BA"/>
    <w:rsid w:val="00FD5442"/>
    <w:rsid w:val="00FD5577"/>
    <w:rsid w:val="00FD5BE4"/>
    <w:rsid w:val="00FD614C"/>
    <w:rsid w:val="00FD6768"/>
    <w:rsid w:val="00FD68FE"/>
    <w:rsid w:val="00FD690A"/>
    <w:rsid w:val="00FD6A06"/>
    <w:rsid w:val="00FD6BEC"/>
    <w:rsid w:val="00FD72F0"/>
    <w:rsid w:val="00FD758A"/>
    <w:rsid w:val="00FE0ABC"/>
    <w:rsid w:val="00FE0C15"/>
    <w:rsid w:val="00FE0F37"/>
    <w:rsid w:val="00FE1ACB"/>
    <w:rsid w:val="00FE2B8B"/>
    <w:rsid w:val="00FE2BED"/>
    <w:rsid w:val="00FE2F1B"/>
    <w:rsid w:val="00FE3529"/>
    <w:rsid w:val="00FE3810"/>
    <w:rsid w:val="00FE4D30"/>
    <w:rsid w:val="00FE4D8B"/>
    <w:rsid w:val="00FE4E8A"/>
    <w:rsid w:val="00FE5300"/>
    <w:rsid w:val="00FE5429"/>
    <w:rsid w:val="00FE5580"/>
    <w:rsid w:val="00FE5616"/>
    <w:rsid w:val="00FE588F"/>
    <w:rsid w:val="00FE5C64"/>
    <w:rsid w:val="00FE6BA4"/>
    <w:rsid w:val="00FF0022"/>
    <w:rsid w:val="00FF0440"/>
    <w:rsid w:val="00FF0582"/>
    <w:rsid w:val="00FF110C"/>
    <w:rsid w:val="00FF1606"/>
    <w:rsid w:val="00FF1ED0"/>
    <w:rsid w:val="00FF20C8"/>
    <w:rsid w:val="00FF21FC"/>
    <w:rsid w:val="00FF2503"/>
    <w:rsid w:val="00FF2CAC"/>
    <w:rsid w:val="00FF3099"/>
    <w:rsid w:val="00FF3498"/>
    <w:rsid w:val="00FF35FA"/>
    <w:rsid w:val="00FF40A2"/>
    <w:rsid w:val="00FF41E6"/>
    <w:rsid w:val="00FF454B"/>
    <w:rsid w:val="00FF46D2"/>
    <w:rsid w:val="00FF4CEC"/>
    <w:rsid w:val="00FF4D2D"/>
    <w:rsid w:val="00FF5816"/>
    <w:rsid w:val="00FF60AE"/>
    <w:rsid w:val="00FF6210"/>
    <w:rsid w:val="00FF62BC"/>
    <w:rsid w:val="00FF63E3"/>
    <w:rsid w:val="00FF6616"/>
    <w:rsid w:val="00FF6A22"/>
    <w:rsid w:val="00FF6C3C"/>
    <w:rsid w:val="00FF6DEB"/>
    <w:rsid w:val="00FF760F"/>
    <w:rsid w:val="00FF786E"/>
    <w:rsid w:val="00FF7ACA"/>
    <w:rsid w:val="00FF7CE3"/>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33F2"/>
  <w15:chartTrackingRefBased/>
  <w15:docId w15:val="{4C8B35D3-3386-4A29-9AAF-61D685EE310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lsdException w:name="heading 7" w:semiHidden="1" w:uiPriority="0" w:qFormat="1"/>
    <w:lsdException w:name="heading 8" w:semiHidden="1" w:uiPriority="9"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16FD"/>
    <w:pPr>
      <w:spacing w:after="0" w:line="240" w:lineRule="auto"/>
    </w:pPr>
    <w:rPr>
      <w:rFonts w:ascii="Book Antiqua" w:hAnsi="Book Antiqua" w:cs="Times New Roman"/>
      <w:sz w:val="26"/>
      <w:szCs w:val="20"/>
    </w:rPr>
  </w:style>
  <w:style w:type="paragraph" w:styleId="Heading1">
    <w:name w:val="heading 1"/>
    <w:basedOn w:val="Dummy"/>
    <w:next w:val="Standard"/>
    <w:link w:val="Heading1Char"/>
    <w:uiPriority w:val="9"/>
    <w:qFormat/>
    <w:rsid w:val="00F159B1"/>
    <w:pPr>
      <w:numPr>
        <w:numId w:val="5"/>
      </w:numPr>
      <w:ind w:left="720" w:hanging="720"/>
    </w:pPr>
    <w:rPr>
      <w:rFonts w:eastAsiaTheme="majorEastAsia" w:cstheme="majorBidi"/>
      <w:szCs w:val="32"/>
    </w:rPr>
  </w:style>
  <w:style w:type="paragraph" w:styleId="Heading2">
    <w:name w:val="heading 2"/>
    <w:basedOn w:val="Dummy"/>
    <w:next w:val="Standard"/>
    <w:link w:val="Heading2Char"/>
    <w:uiPriority w:val="9"/>
    <w:qFormat/>
    <w:rsid w:val="00F159B1"/>
    <w:pPr>
      <w:numPr>
        <w:ilvl w:val="1"/>
        <w:numId w:val="5"/>
      </w:numPr>
      <w:tabs>
        <w:tab w:val="clear" w:pos="720"/>
      </w:tabs>
      <w:ind w:left="1440" w:hanging="720"/>
      <w:outlineLvl w:val="1"/>
    </w:pPr>
  </w:style>
  <w:style w:type="paragraph" w:styleId="Heading3">
    <w:name w:val="heading 3"/>
    <w:basedOn w:val="Dummy"/>
    <w:next w:val="Standard"/>
    <w:link w:val="Heading3Char"/>
    <w:qFormat/>
    <w:rsid w:val="00F159B1"/>
    <w:pPr>
      <w:numPr>
        <w:ilvl w:val="2"/>
        <w:numId w:val="5"/>
      </w:numPr>
      <w:tabs>
        <w:tab w:val="clear" w:pos="1440"/>
      </w:tabs>
      <w:ind w:left="2340" w:hanging="900"/>
      <w:outlineLvl w:val="2"/>
    </w:pPr>
    <w:rPr>
      <w:rFonts w:eastAsiaTheme="majorEastAsia" w:cstheme="majorBidi"/>
      <w:szCs w:val="24"/>
    </w:rPr>
  </w:style>
  <w:style w:type="paragraph" w:styleId="Heading4">
    <w:name w:val="heading 4"/>
    <w:basedOn w:val="Heading2"/>
    <w:next w:val="Standard"/>
    <w:link w:val="Heading4Char"/>
    <w:qFormat/>
    <w:rsid w:val="00F159B1"/>
    <w:pPr>
      <w:numPr>
        <w:ilvl w:val="3"/>
      </w:numPr>
      <w:outlineLvl w:val="3"/>
    </w:pPr>
  </w:style>
  <w:style w:type="paragraph" w:styleId="Heading5">
    <w:name w:val="heading 5"/>
    <w:basedOn w:val="Dummy"/>
    <w:next w:val="Standard"/>
    <w:link w:val="Heading5Char"/>
    <w:qFormat/>
    <w:rsid w:val="006B5D27"/>
    <w:pPr>
      <w:numPr>
        <w:ilvl w:val="4"/>
        <w:numId w:val="5"/>
      </w:numPr>
      <w:tabs>
        <w:tab w:val="clear" w:pos="2880"/>
      </w:tabs>
      <w:ind w:left="5040" w:hanging="1440"/>
      <w:outlineLvl w:val="4"/>
    </w:pPr>
    <w:rPr>
      <w:rFonts w:eastAsiaTheme="majorEastAsia" w:cstheme="majorBidi"/>
    </w:rPr>
  </w:style>
  <w:style w:type="paragraph" w:styleId="Heading6">
    <w:name w:val="heading 6"/>
    <w:basedOn w:val="Dummy"/>
    <w:next w:val="Standard"/>
    <w:link w:val="Heading6Char"/>
    <w:rsid w:val="000A56F2"/>
    <w:pPr>
      <w:numPr>
        <w:ilvl w:val="5"/>
        <w:numId w:val="5"/>
      </w:numPr>
      <w:spacing w:before="40"/>
      <w:outlineLvl w:val="5"/>
    </w:pPr>
    <w:rPr>
      <w:rFonts w:eastAsiaTheme="majorEastAsia" w:cstheme="majorBidi"/>
    </w:rPr>
  </w:style>
  <w:style w:type="paragraph" w:styleId="Heading7">
    <w:name w:val="heading 7"/>
    <w:basedOn w:val="Normal"/>
    <w:next w:val="Normal"/>
    <w:link w:val="Heading7Char"/>
    <w:rsid w:val="000C1980"/>
    <w:pPr>
      <w:tabs>
        <w:tab w:val="left" w:pos="2520"/>
      </w:tabs>
      <w:spacing w:before="120" w:after="120"/>
      <w:ind w:left="2520" w:hanging="1800"/>
      <w:outlineLvl w:val="6"/>
    </w:pPr>
    <w:rPr>
      <w:rFonts w:ascii="Helvetica" w:eastAsia="Times New Roman" w:hAnsi="Helvetica"/>
      <w:b/>
    </w:rPr>
  </w:style>
  <w:style w:type="paragraph" w:styleId="Heading9">
    <w:name w:val="heading 9"/>
    <w:basedOn w:val="Normal"/>
    <w:next w:val="Normal"/>
    <w:link w:val="Heading9Char"/>
    <w:autoRedefine/>
    <w:rsid w:val="000C1980"/>
    <w:pPr>
      <w:tabs>
        <w:tab w:val="left" w:pos="2880"/>
      </w:tabs>
      <w:spacing w:before="120" w:after="120"/>
      <w:ind w:left="2880" w:hanging="2160"/>
      <w:outlineLvl w:val="8"/>
    </w:pPr>
    <w:rPr>
      <w:rFonts w:ascii="Helvetica" w:eastAsia="Times New Roman"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59B1"/>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qFormat/>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F159B1"/>
    <w:rPr>
      <w:rFonts w:ascii="Arial" w:hAnsi="Arial" w:cs="Arial"/>
      <w:b/>
      <w:sz w:val="26"/>
      <w:szCs w:val="26"/>
    </w:rPr>
  </w:style>
  <w:style w:type="character" w:customStyle="1" w:styleId="Heading3Char">
    <w:name w:val="Heading 3 Char"/>
    <w:basedOn w:val="DefaultParagraphFont"/>
    <w:link w:val="Heading3"/>
    <w:rsid w:val="00F159B1"/>
    <w:rPr>
      <w:rFonts w:ascii="Arial" w:eastAsiaTheme="majorEastAsia" w:hAnsi="Arial" w:cstheme="majorBidi"/>
      <w:b/>
      <w:sz w:val="26"/>
      <w:szCs w:val="24"/>
    </w:rPr>
  </w:style>
  <w:style w:type="character" w:customStyle="1" w:styleId="Heading4Char">
    <w:name w:val="Heading 4 Char"/>
    <w:basedOn w:val="DefaultParagraphFont"/>
    <w:link w:val="Heading4"/>
    <w:rsid w:val="00F159B1"/>
    <w:rPr>
      <w:rFonts w:ascii="Arial" w:hAnsi="Arial" w:cs="Arial"/>
      <w:b/>
      <w:sz w:val="26"/>
      <w:szCs w:val="26"/>
    </w:rPr>
  </w:style>
  <w:style w:type="character" w:customStyle="1" w:styleId="Heading5Char">
    <w:name w:val="Heading 5 Char"/>
    <w:basedOn w:val="DefaultParagraphFont"/>
    <w:link w:val="Heading5"/>
    <w:rsid w:val="006B5D27"/>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ind w:left="864" w:hanging="648"/>
    </w:pPr>
    <w:rPr>
      <w:rFonts w:eastAsiaTheme="minorEastAsia"/>
    </w:rPr>
  </w:style>
  <w:style w:type="paragraph" w:styleId="TOC1">
    <w:name w:val="toc 1"/>
    <w:basedOn w:val="Normal"/>
    <w:next w:val="Normal"/>
    <w:uiPriority w:val="39"/>
    <w:unhideWhenUsed/>
    <w:rsid w:val="00ED5725"/>
    <w:pPr>
      <w:ind w:left="432" w:hanging="432"/>
    </w:pPr>
    <w:rPr>
      <w:rFonts w:eastAsiaTheme="minorEastAsia"/>
    </w:rPr>
  </w:style>
  <w:style w:type="paragraph" w:styleId="TOC3">
    <w:name w:val="toc 3"/>
    <w:basedOn w:val="Normal"/>
    <w:next w:val="Normal"/>
    <w:uiPriority w:val="39"/>
    <w:unhideWhenUsed/>
    <w:rsid w:val="008C7413"/>
    <w:pPr>
      <w:ind w:left="1296" w:hanging="864"/>
    </w:pPr>
    <w:rPr>
      <w:rFonts w:eastAsiaTheme="minorEastAsia"/>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fn"/>
    <w:basedOn w:val="Normal"/>
    <w:link w:val="FootnoteTextChar"/>
    <w:uiPriority w:val="99"/>
    <w:qFormat/>
    <w:rsid w:val="00B01F7E"/>
    <w:pPr>
      <w:spacing w:after="120"/>
    </w:pPr>
    <w:rPr>
      <w:sz w:val="22"/>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o + Times New Roman,fr,Style 3,o1,o2,o3,o4,o5,o6,o11,o21,o7,Style 12,(NECG) Footnote Reference,Appel note de bas de p,Style 124,Style 17,char,o7 + Palati...,Char Char Char Char,Footnote Reference1,Style 58"/>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21"/>
      </w:numPr>
    </w:pPr>
  </w:style>
  <w:style w:type="paragraph" w:styleId="BalloonText">
    <w:name w:val="Balloon Text"/>
    <w:basedOn w:val="Normal"/>
    <w:link w:val="BalloonTextChar"/>
    <w:uiPriority w:val="99"/>
    <w:semiHidden/>
    <w:unhideWhenUsed/>
    <w:rsid w:val="004C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A56F2"/>
    <w:pPr>
      <w:numPr>
        <w:numId w:val="5"/>
      </w:numPr>
    </w:pPr>
  </w:style>
  <w:style w:type="paragraph" w:customStyle="1" w:styleId="Standard">
    <w:name w:val="Standard"/>
    <w:basedOn w:val="Normal"/>
    <w:qFormat/>
    <w:rsid w:val="000C1980"/>
    <w:pPr>
      <w:spacing w:line="360" w:lineRule="auto"/>
      <w:ind w:firstLine="720"/>
    </w:pPr>
  </w:style>
  <w:style w:type="paragraph" w:customStyle="1" w:styleId="ListAlpha">
    <w:name w:val="List Alpha"/>
    <w:basedOn w:val="Standard"/>
    <w:uiPriority w:val="4"/>
    <w:qFormat/>
    <w:rsid w:val="000A56F2"/>
    <w:pPr>
      <w:numPr>
        <w:ilvl w:val="7"/>
        <w:numId w:val="5"/>
      </w:numPr>
      <w:spacing w:after="120" w:line="240" w:lineRule="auto"/>
    </w:pPr>
  </w:style>
  <w:style w:type="paragraph" w:styleId="ListBullet">
    <w:name w:val="List Bullet"/>
    <w:basedOn w:val="Standard"/>
    <w:uiPriority w:val="4"/>
    <w:qFormat/>
    <w:rsid w:val="001F2819"/>
    <w:pPr>
      <w:numPr>
        <w:numId w:val="6"/>
      </w:numPr>
      <w:spacing w:after="120" w:line="240" w:lineRule="auto"/>
    </w:pPr>
  </w:style>
  <w:style w:type="character" w:customStyle="1" w:styleId="Heading6Char">
    <w:name w:val="Heading 6 Char"/>
    <w:basedOn w:val="DefaultParagraphFont"/>
    <w:link w:val="Heading6"/>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912944"/>
    <w:pPr>
      <w:tabs>
        <w:tab w:val="right" w:leader="dot" w:pos="9350"/>
      </w:tabs>
      <w:ind w:left="3060" w:hanging="1080"/>
    </w:pPr>
  </w:style>
  <w:style w:type="paragraph" w:styleId="TOC5">
    <w:name w:val="toc 5"/>
    <w:basedOn w:val="Normal"/>
    <w:next w:val="Normal"/>
    <w:autoRedefine/>
    <w:uiPriority w:val="39"/>
    <w:unhideWhenUsed/>
    <w:rsid w:val="00CE2320"/>
    <w:pPr>
      <w:tabs>
        <w:tab w:val="left" w:pos="2592"/>
        <w:tab w:val="right" w:leader="dot" w:pos="9350"/>
      </w:tabs>
      <w:ind w:left="4320" w:hanging="1260"/>
    </w:pPr>
  </w:style>
  <w:style w:type="paragraph" w:styleId="TOC6">
    <w:name w:val="toc 6"/>
    <w:basedOn w:val="Normal"/>
    <w:next w:val="Normal"/>
    <w:autoRedefine/>
    <w:uiPriority w:val="39"/>
    <w:unhideWhenUsed/>
    <w:rsid w:val="008C7413"/>
    <w:pPr>
      <w:ind w:left="2592" w:hanging="1512"/>
    </w:pPr>
  </w:style>
  <w:style w:type="character" w:customStyle="1" w:styleId="Heading7Char">
    <w:name w:val="Heading 7 Char"/>
    <w:basedOn w:val="DefaultParagraphFont"/>
    <w:link w:val="Heading7"/>
    <w:rsid w:val="000C1980"/>
    <w:rPr>
      <w:rFonts w:ascii="Helvetica" w:eastAsia="Times New Roman" w:hAnsi="Helvetica" w:cs="Times New Roman"/>
      <w:b/>
      <w:sz w:val="26"/>
      <w:szCs w:val="20"/>
    </w:rPr>
  </w:style>
  <w:style w:type="character" w:customStyle="1" w:styleId="Heading9Char">
    <w:name w:val="Heading 9 Char"/>
    <w:basedOn w:val="DefaultParagraphFont"/>
    <w:link w:val="Heading9"/>
    <w:rsid w:val="000C1980"/>
    <w:rPr>
      <w:rFonts w:ascii="Helvetica" w:eastAsia="Times New Roman" w:hAnsi="Helvetica" w:cs="Times New Roman"/>
      <w:b/>
      <w:sz w:val="26"/>
      <w:szCs w:val="24"/>
    </w:rPr>
  </w:style>
  <w:style w:type="paragraph" w:customStyle="1" w:styleId="ALJBodyText">
    <w:name w:val="ALJ Body Text"/>
    <w:basedOn w:val="Normal"/>
    <w:link w:val="ALJBodyTextChar"/>
    <w:rsid w:val="000C1980"/>
    <w:pPr>
      <w:spacing w:line="360" w:lineRule="auto"/>
      <w:ind w:firstLine="720"/>
    </w:pPr>
  </w:style>
  <w:style w:type="paragraph" w:customStyle="1" w:styleId="ALJHeading1">
    <w:name w:val="ALJ Heading 1"/>
    <w:basedOn w:val="ALJBodyText"/>
    <w:next w:val="ALJBodyText"/>
    <w:link w:val="ALJHeading1Char"/>
    <w:rsid w:val="000C1980"/>
    <w:pPr>
      <w:keepNext/>
      <w:spacing w:after="120" w:line="240" w:lineRule="auto"/>
      <w:ind w:right="720"/>
    </w:pPr>
    <w:rPr>
      <w:rFonts w:ascii="Arial" w:hAnsi="Arial" w:cs="Arial"/>
      <w:b/>
    </w:rPr>
  </w:style>
  <w:style w:type="character" w:customStyle="1" w:styleId="ALJBodyTextChar">
    <w:name w:val="ALJ Body Text Char"/>
    <w:basedOn w:val="DefaultParagraphFont"/>
    <w:link w:val="ALJBodyText"/>
    <w:rsid w:val="000C1980"/>
    <w:rPr>
      <w:rFonts w:ascii="Book Antiqua" w:hAnsi="Book Antiqua" w:cs="Times New Roman"/>
      <w:sz w:val="26"/>
      <w:szCs w:val="20"/>
    </w:rPr>
  </w:style>
  <w:style w:type="paragraph" w:customStyle="1" w:styleId="ALJHeading2">
    <w:name w:val="ALJ Heading 2"/>
    <w:basedOn w:val="ALJHeading1"/>
    <w:next w:val="ALJBodyText"/>
    <w:link w:val="ALJHeading2Char"/>
    <w:rsid w:val="000C1980"/>
    <w:pPr>
      <w:tabs>
        <w:tab w:val="left" w:pos="1080"/>
      </w:tabs>
      <w:ind w:left="792" w:hanging="432"/>
    </w:pPr>
  </w:style>
  <w:style w:type="character" w:customStyle="1" w:styleId="ALJHeading1Char">
    <w:name w:val="ALJ Heading 1 Char"/>
    <w:basedOn w:val="ALJBodyTextChar"/>
    <w:link w:val="ALJHeading1"/>
    <w:rsid w:val="000C1980"/>
    <w:rPr>
      <w:rFonts w:ascii="Arial" w:hAnsi="Arial" w:cs="Arial"/>
      <w:b/>
      <w:sz w:val="26"/>
      <w:szCs w:val="20"/>
    </w:rPr>
  </w:style>
  <w:style w:type="paragraph" w:customStyle="1" w:styleId="ALJHeading3">
    <w:name w:val="ALJ Heading 3"/>
    <w:basedOn w:val="ALJBodyText"/>
    <w:next w:val="ALJBodyText"/>
    <w:link w:val="ALJHeading3Char"/>
    <w:rsid w:val="000C1980"/>
    <w:pPr>
      <w:keepNext/>
      <w:spacing w:after="120" w:line="240" w:lineRule="auto"/>
      <w:ind w:left="1512" w:right="1872" w:hanging="432"/>
    </w:pPr>
    <w:rPr>
      <w:rFonts w:ascii="Arial" w:hAnsi="Arial" w:cs="Arial"/>
      <w:b/>
    </w:rPr>
  </w:style>
  <w:style w:type="character" w:customStyle="1" w:styleId="ALJHeading2Char">
    <w:name w:val="ALJ Heading 2 Char"/>
    <w:basedOn w:val="ALJBodyTextChar"/>
    <w:link w:val="ALJHeading2"/>
    <w:rsid w:val="000C1980"/>
    <w:rPr>
      <w:rFonts w:ascii="Arial" w:hAnsi="Arial" w:cs="Arial"/>
      <w:b/>
      <w:sz w:val="26"/>
      <w:szCs w:val="20"/>
    </w:rPr>
  </w:style>
  <w:style w:type="character" w:customStyle="1" w:styleId="ALJHeading3Char">
    <w:name w:val="ALJ Heading 3 Char"/>
    <w:basedOn w:val="ALJBodyTextChar"/>
    <w:link w:val="ALJHeading3"/>
    <w:rsid w:val="000C1980"/>
    <w:rPr>
      <w:rFonts w:ascii="Arial" w:hAnsi="Arial" w:cs="Arial"/>
      <w:b/>
      <w:sz w:val="26"/>
      <w:szCs w:val="20"/>
    </w:rPr>
  </w:style>
  <w:style w:type="paragraph" w:customStyle="1" w:styleId="ALJHeadingNo">
    <w:name w:val="ALJ Heading No #"/>
    <w:basedOn w:val="ALJBodyText"/>
    <w:next w:val="ALJBodyText"/>
    <w:link w:val="ALJHeadingNoChar"/>
    <w:rsid w:val="000C1980"/>
    <w:pPr>
      <w:keepNext/>
      <w:spacing w:before="120" w:after="120" w:line="240" w:lineRule="auto"/>
      <w:ind w:firstLine="0"/>
    </w:pPr>
    <w:rPr>
      <w:rFonts w:ascii="Arial" w:hAnsi="Arial" w:cs="Arial"/>
      <w:b/>
    </w:rPr>
  </w:style>
  <w:style w:type="character" w:customStyle="1" w:styleId="ALJHeadingNoChar">
    <w:name w:val="ALJ Heading No # Char"/>
    <w:basedOn w:val="ALJBodyTextChar"/>
    <w:link w:val="ALJHeadingNo"/>
    <w:rsid w:val="000C1980"/>
    <w:rPr>
      <w:rFonts w:ascii="Arial" w:hAnsi="Arial" w:cs="Arial"/>
      <w:b/>
      <w:sz w:val="26"/>
      <w:szCs w:val="20"/>
    </w:rPr>
  </w:style>
  <w:style w:type="paragraph" w:customStyle="1" w:styleId="contentservernumber">
    <w:name w:val="content server number"/>
    <w:basedOn w:val="Footer"/>
    <w:link w:val="contentservernumberChar"/>
    <w:rsid w:val="000C1980"/>
    <w:rPr>
      <w:rFonts w:ascii="Arial" w:hAnsi="Arial" w:cs="Arial"/>
      <w:sz w:val="16"/>
      <w:szCs w:val="16"/>
    </w:rPr>
  </w:style>
  <w:style w:type="character" w:customStyle="1" w:styleId="contentservernumberChar">
    <w:name w:val="content server number Char"/>
    <w:basedOn w:val="FooterChar"/>
    <w:link w:val="contentservernumber"/>
    <w:rsid w:val="000C1980"/>
    <w:rPr>
      <w:rFonts w:ascii="Arial" w:hAnsi="Arial" w:cs="Arial"/>
      <w:sz w:val="16"/>
      <w:szCs w:val="16"/>
    </w:rPr>
  </w:style>
  <w:style w:type="paragraph" w:customStyle="1" w:styleId="ALJFootnote">
    <w:name w:val="ALJ Footnote"/>
    <w:basedOn w:val="FootnoteText"/>
    <w:link w:val="ALJFootnoteChar"/>
    <w:rsid w:val="000C1980"/>
    <w:rPr>
      <w:sz w:val="24"/>
      <w:szCs w:val="24"/>
    </w:rPr>
  </w:style>
  <w:style w:type="paragraph" w:customStyle="1" w:styleId="ALJTitle">
    <w:name w:val="ALJ Title"/>
    <w:basedOn w:val="ALJBodyText"/>
    <w:next w:val="ALJBodyText"/>
    <w:link w:val="ALJTitleChar"/>
    <w:rsid w:val="000C1980"/>
    <w:pPr>
      <w:spacing w:after="240" w:line="240" w:lineRule="auto"/>
      <w:ind w:firstLine="0"/>
      <w:jc w:val="center"/>
    </w:pPr>
    <w:rPr>
      <w:rFonts w:ascii="Arial" w:hAnsi="Arial" w:cs="Arial"/>
      <w:b/>
    </w:rPr>
  </w:style>
  <w:style w:type="character" w:customStyle="1" w:styleId="ALJFootnoteChar">
    <w:name w:val="ALJ Footnote Char"/>
    <w:basedOn w:val="FootnoteTextChar"/>
    <w:link w:val="ALJFootnote"/>
    <w:rsid w:val="000C1980"/>
    <w:rPr>
      <w:rFonts w:ascii="Book Antiqua" w:hAnsi="Book Antiqua" w:cs="Times New Roman"/>
      <w:sz w:val="24"/>
      <w:szCs w:val="24"/>
    </w:rPr>
  </w:style>
  <w:style w:type="paragraph" w:customStyle="1" w:styleId="FindingofFAct">
    <w:name w:val="Finding of FAct"/>
    <w:basedOn w:val="ALJBodyText"/>
    <w:link w:val="FindingofFActChar"/>
    <w:rsid w:val="000C1980"/>
    <w:pPr>
      <w:numPr>
        <w:numId w:val="7"/>
      </w:numPr>
      <w:ind w:left="0" w:firstLine="720"/>
    </w:pPr>
  </w:style>
  <w:style w:type="character" w:customStyle="1" w:styleId="ALJTitleChar">
    <w:name w:val="ALJ Title Char"/>
    <w:basedOn w:val="ALJBodyTextChar"/>
    <w:link w:val="ALJTitle"/>
    <w:rsid w:val="000C1980"/>
    <w:rPr>
      <w:rFonts w:ascii="Arial" w:hAnsi="Arial" w:cs="Arial"/>
      <w:b/>
      <w:sz w:val="26"/>
      <w:szCs w:val="20"/>
    </w:rPr>
  </w:style>
  <w:style w:type="paragraph" w:customStyle="1" w:styleId="conclusionoflaw">
    <w:name w:val="conclusion of law"/>
    <w:basedOn w:val="ALJBodyText"/>
    <w:link w:val="conclusionoflawChar"/>
    <w:rsid w:val="000C1980"/>
    <w:pPr>
      <w:numPr>
        <w:numId w:val="8"/>
      </w:numPr>
      <w:ind w:left="0" w:firstLine="720"/>
    </w:pPr>
  </w:style>
  <w:style w:type="character" w:customStyle="1" w:styleId="FindingofFActChar">
    <w:name w:val="Finding of FAct Char"/>
    <w:basedOn w:val="ALJBodyTextChar"/>
    <w:link w:val="FindingofFAct"/>
    <w:rsid w:val="000C1980"/>
    <w:rPr>
      <w:rFonts w:ascii="Book Antiqua" w:hAnsi="Book Antiqua" w:cs="Times New Roman"/>
      <w:sz w:val="26"/>
      <w:szCs w:val="20"/>
    </w:rPr>
  </w:style>
  <w:style w:type="paragraph" w:customStyle="1" w:styleId="ALJHeading4">
    <w:name w:val="ALJ Heading 4"/>
    <w:basedOn w:val="ALJHeading3"/>
    <w:next w:val="ALJBodyText"/>
    <w:link w:val="ALJHeading4Char"/>
    <w:rsid w:val="000C1980"/>
    <w:pPr>
      <w:numPr>
        <w:numId w:val="10"/>
      </w:numPr>
    </w:pPr>
  </w:style>
  <w:style w:type="character" w:customStyle="1" w:styleId="conclusionoflawChar">
    <w:name w:val="conclusion of law Char"/>
    <w:basedOn w:val="ALJBodyTextChar"/>
    <w:link w:val="conclusionoflaw"/>
    <w:rsid w:val="000C1980"/>
    <w:rPr>
      <w:rFonts w:ascii="Book Antiqua" w:hAnsi="Book Antiqua" w:cs="Times New Roman"/>
      <w:sz w:val="26"/>
      <w:szCs w:val="20"/>
    </w:rPr>
  </w:style>
  <w:style w:type="paragraph" w:styleId="ListParagraph">
    <w:name w:val="List Paragraph"/>
    <w:basedOn w:val="Normal"/>
    <w:uiPriority w:val="34"/>
    <w:qFormat/>
    <w:rsid w:val="000C1980"/>
    <w:pPr>
      <w:numPr>
        <w:numId w:val="11"/>
      </w:numPr>
      <w:spacing w:after="240"/>
    </w:pPr>
  </w:style>
  <w:style w:type="character" w:customStyle="1" w:styleId="ALJHeading4Char">
    <w:name w:val="ALJ Heading 4 Char"/>
    <w:basedOn w:val="ALJBodyTextChar"/>
    <w:link w:val="ALJHeading4"/>
    <w:rsid w:val="000C1980"/>
    <w:rPr>
      <w:rFonts w:ascii="Arial" w:hAnsi="Arial" w:cs="Arial"/>
      <w:b/>
      <w:sz w:val="26"/>
      <w:szCs w:val="20"/>
    </w:rPr>
  </w:style>
  <w:style w:type="paragraph" w:customStyle="1" w:styleId="tabletext">
    <w:name w:val="table text"/>
    <w:basedOn w:val="ALJBodyText"/>
    <w:link w:val="tabletextChar"/>
    <w:rsid w:val="000C1980"/>
    <w:pPr>
      <w:spacing w:after="120" w:line="240" w:lineRule="auto"/>
      <w:ind w:firstLine="0"/>
    </w:pPr>
  </w:style>
  <w:style w:type="paragraph" w:customStyle="1" w:styleId="TableColumnHeading">
    <w:name w:val="Table Column Heading"/>
    <w:basedOn w:val="ALJBodyText"/>
    <w:link w:val="TableColumnHeadingChar"/>
    <w:rsid w:val="000C1980"/>
    <w:pPr>
      <w:ind w:firstLine="0"/>
      <w:jc w:val="center"/>
    </w:pPr>
    <w:rPr>
      <w:rFonts w:ascii="Arial" w:hAnsi="Arial" w:cs="Arial"/>
      <w:b/>
    </w:rPr>
  </w:style>
  <w:style w:type="character" w:customStyle="1" w:styleId="tabletextChar">
    <w:name w:val="table text Char"/>
    <w:basedOn w:val="ALJBodyTextChar"/>
    <w:link w:val="tabletext"/>
    <w:rsid w:val="000C1980"/>
    <w:rPr>
      <w:rFonts w:ascii="Book Antiqua" w:hAnsi="Book Antiqua" w:cs="Times New Roman"/>
      <w:sz w:val="26"/>
      <w:szCs w:val="20"/>
    </w:rPr>
  </w:style>
  <w:style w:type="paragraph" w:customStyle="1" w:styleId="ALJOP">
    <w:name w:val="ALJ OP"/>
    <w:basedOn w:val="ALJBodyText"/>
    <w:link w:val="ALJOPChar"/>
    <w:rsid w:val="000C1980"/>
    <w:pPr>
      <w:numPr>
        <w:numId w:val="9"/>
      </w:numPr>
    </w:pPr>
  </w:style>
  <w:style w:type="character" w:customStyle="1" w:styleId="TableColumnHeadingChar">
    <w:name w:val="Table Column Heading Char"/>
    <w:basedOn w:val="ALJBodyTextChar"/>
    <w:link w:val="TableColumnHeading"/>
    <w:rsid w:val="000C1980"/>
    <w:rPr>
      <w:rFonts w:ascii="Arial" w:hAnsi="Arial" w:cs="Arial"/>
      <w:b/>
      <w:sz w:val="26"/>
      <w:szCs w:val="20"/>
    </w:rPr>
  </w:style>
  <w:style w:type="paragraph" w:customStyle="1" w:styleId="ALJBlockQuote">
    <w:name w:val="ALJ Block Quote"/>
    <w:basedOn w:val="ALJBodyText"/>
    <w:next w:val="ALJBodyText"/>
    <w:link w:val="ALJBlockQuoteChar"/>
    <w:rsid w:val="000C1980"/>
    <w:pPr>
      <w:spacing w:before="120" w:after="120" w:line="240" w:lineRule="auto"/>
      <w:ind w:left="1440" w:right="1440" w:firstLine="0"/>
    </w:pPr>
  </w:style>
  <w:style w:type="character" w:customStyle="1" w:styleId="ALJOPChar">
    <w:name w:val="ALJ OP Char"/>
    <w:basedOn w:val="ALJBodyTextChar"/>
    <w:link w:val="ALJOP"/>
    <w:rsid w:val="000C1980"/>
    <w:rPr>
      <w:rFonts w:ascii="Book Antiqua" w:hAnsi="Book Antiqua" w:cs="Times New Roman"/>
      <w:sz w:val="26"/>
      <w:szCs w:val="20"/>
    </w:rPr>
  </w:style>
  <w:style w:type="paragraph" w:customStyle="1" w:styleId="standard0">
    <w:name w:val="standard"/>
    <w:basedOn w:val="Normal"/>
    <w:link w:val="standardChar"/>
    <w:rsid w:val="000C1980"/>
    <w:pPr>
      <w:spacing w:line="360" w:lineRule="auto"/>
      <w:ind w:firstLine="720"/>
    </w:pPr>
    <w:rPr>
      <w:rFonts w:ascii="Palatino" w:eastAsia="Times New Roman" w:hAnsi="Palatino"/>
    </w:rPr>
  </w:style>
  <w:style w:type="character" w:customStyle="1" w:styleId="ALJBlockQuoteChar">
    <w:name w:val="ALJ Block Quote Char"/>
    <w:basedOn w:val="ALJBodyTextChar"/>
    <w:link w:val="ALJBlockQuote"/>
    <w:rsid w:val="000C1980"/>
    <w:rPr>
      <w:rFonts w:ascii="Book Antiqua" w:hAnsi="Book Antiqua" w:cs="Times New Roman"/>
      <w:sz w:val="26"/>
      <w:szCs w:val="20"/>
    </w:rPr>
  </w:style>
  <w:style w:type="character" w:customStyle="1" w:styleId="standardChar">
    <w:name w:val="standard Char"/>
    <w:link w:val="standard0"/>
    <w:rsid w:val="000C1980"/>
    <w:rPr>
      <w:rFonts w:ascii="Palatino" w:eastAsia="Times New Roman" w:hAnsi="Palatino" w:cs="Times New Roman"/>
      <w:sz w:val="26"/>
      <w:szCs w:val="20"/>
    </w:rPr>
  </w:style>
  <w:style w:type="character" w:styleId="CommentReference">
    <w:name w:val="annotation reference"/>
    <w:basedOn w:val="DefaultParagraphFont"/>
    <w:uiPriority w:val="99"/>
    <w:semiHidden/>
    <w:unhideWhenUsed/>
    <w:rsid w:val="000C1980"/>
    <w:rPr>
      <w:sz w:val="16"/>
      <w:szCs w:val="16"/>
    </w:rPr>
  </w:style>
  <w:style w:type="paragraph" w:styleId="CommentText">
    <w:name w:val="annotation text"/>
    <w:basedOn w:val="Normal"/>
    <w:link w:val="CommentTextChar"/>
    <w:uiPriority w:val="99"/>
    <w:unhideWhenUsed/>
    <w:rsid w:val="000C1980"/>
    <w:rPr>
      <w:sz w:val="20"/>
    </w:rPr>
  </w:style>
  <w:style w:type="character" w:customStyle="1" w:styleId="CommentTextChar">
    <w:name w:val="Comment Text Char"/>
    <w:basedOn w:val="DefaultParagraphFont"/>
    <w:link w:val="CommentText"/>
    <w:uiPriority w:val="99"/>
    <w:rsid w:val="000C1980"/>
    <w:rPr>
      <w:rFonts w:ascii="Book Antiqua"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0C1980"/>
    <w:rPr>
      <w:b/>
      <w:bCs/>
    </w:rPr>
  </w:style>
  <w:style w:type="character" w:customStyle="1" w:styleId="CommentSubjectChar">
    <w:name w:val="Comment Subject Char"/>
    <w:basedOn w:val="CommentTextChar"/>
    <w:link w:val="CommentSubject"/>
    <w:uiPriority w:val="99"/>
    <w:semiHidden/>
    <w:rsid w:val="000C1980"/>
    <w:rPr>
      <w:rFonts w:ascii="Book Antiqua" w:hAnsi="Book Antiqua" w:cs="Times New Roman"/>
      <w:b/>
      <w:bCs/>
      <w:sz w:val="20"/>
      <w:szCs w:val="20"/>
    </w:rPr>
  </w:style>
  <w:style w:type="paragraph" w:styleId="Quote">
    <w:name w:val="Quote"/>
    <w:basedOn w:val="Normal"/>
    <w:next w:val="Normal"/>
    <w:link w:val="QuoteChar"/>
    <w:uiPriority w:val="29"/>
    <w:qFormat/>
    <w:rsid w:val="000C1980"/>
    <w:pPr>
      <w:spacing w:after="240"/>
      <w:ind w:left="720" w:right="1080"/>
    </w:pPr>
    <w:rPr>
      <w:rFonts w:ascii="Palatino" w:eastAsia="Times New Roman" w:hAnsi="Palatino"/>
      <w:iCs/>
      <w:color w:val="000000" w:themeColor="text1"/>
    </w:rPr>
  </w:style>
  <w:style w:type="character" w:customStyle="1" w:styleId="QuoteChar">
    <w:name w:val="Quote Char"/>
    <w:basedOn w:val="DefaultParagraphFont"/>
    <w:link w:val="Quote"/>
    <w:uiPriority w:val="29"/>
    <w:rsid w:val="000C1980"/>
    <w:rPr>
      <w:rFonts w:ascii="Palatino" w:eastAsia="Times New Roman" w:hAnsi="Palatino" w:cs="Times New Roman"/>
      <w:iCs/>
      <w:color w:val="000000" w:themeColor="text1"/>
      <w:sz w:val="26"/>
      <w:szCs w:val="20"/>
    </w:rPr>
  </w:style>
  <w:style w:type="paragraph" w:styleId="NormalWeb">
    <w:name w:val="Normal (Web)"/>
    <w:basedOn w:val="Normal"/>
    <w:uiPriority w:val="99"/>
    <w:unhideWhenUsed/>
    <w:rsid w:val="000C1980"/>
    <w:pPr>
      <w:spacing w:before="100" w:beforeAutospacing="1" w:after="100" w:afterAutospacing="1"/>
    </w:pPr>
    <w:rPr>
      <w:rFonts w:ascii="Times New Roman" w:eastAsia="Times New Roman" w:hAnsi="Times New Roman"/>
      <w:sz w:val="24"/>
      <w:szCs w:val="24"/>
    </w:rPr>
  </w:style>
  <w:style w:type="character" w:customStyle="1" w:styleId="ALJFNChar">
    <w:name w:val="ALJ FN Char"/>
    <w:basedOn w:val="FootnoteTextChar"/>
    <w:link w:val="ALJFN"/>
    <w:rsid w:val="000C1980"/>
    <w:rPr>
      <w:rFonts w:ascii="Book Antiqua" w:hAnsi="Book Antiqua"/>
      <w:szCs w:val="20"/>
    </w:rPr>
  </w:style>
  <w:style w:type="paragraph" w:customStyle="1" w:styleId="ALJFN">
    <w:name w:val="ALJ FN"/>
    <w:basedOn w:val="FootnoteText"/>
    <w:link w:val="ALJFNChar"/>
    <w:rsid w:val="000C1980"/>
  </w:style>
  <w:style w:type="paragraph" w:customStyle="1" w:styleId="mainex0">
    <w:name w:val="mainex"/>
    <w:basedOn w:val="Normal"/>
    <w:rsid w:val="000C1980"/>
    <w:pPr>
      <w:jc w:val="center"/>
    </w:pPr>
    <w:rPr>
      <w:rFonts w:ascii="Helvetica" w:eastAsia="Times New Roman" w:hAnsi="Helvetica"/>
      <w:b/>
      <w:spacing w:val="120"/>
    </w:rPr>
  </w:style>
  <w:style w:type="paragraph" w:customStyle="1" w:styleId="num1">
    <w:name w:val="num1"/>
    <w:basedOn w:val="Normal"/>
    <w:link w:val="num1Char"/>
    <w:rsid w:val="000C1980"/>
    <w:pPr>
      <w:tabs>
        <w:tab w:val="left" w:pos="-720"/>
      </w:tabs>
      <w:suppressAutoHyphens/>
      <w:spacing w:line="360" w:lineRule="auto"/>
      <w:ind w:firstLine="360"/>
    </w:pPr>
    <w:rPr>
      <w:rFonts w:eastAsia="Times New Roman"/>
    </w:rPr>
  </w:style>
  <w:style w:type="character" w:customStyle="1" w:styleId="num1Char">
    <w:name w:val="num1 Char"/>
    <w:link w:val="num1"/>
    <w:rsid w:val="000C1980"/>
    <w:rPr>
      <w:rFonts w:ascii="Book Antiqua" w:eastAsia="Times New Roman" w:hAnsi="Book Antiqua" w:cs="Times New Roman"/>
      <w:sz w:val="26"/>
      <w:szCs w:val="20"/>
    </w:rPr>
  </w:style>
  <w:style w:type="paragraph" w:styleId="Revision">
    <w:name w:val="Revision"/>
    <w:hidden/>
    <w:uiPriority w:val="99"/>
    <w:semiHidden/>
    <w:rsid w:val="000C1980"/>
    <w:pPr>
      <w:spacing w:after="0" w:line="240" w:lineRule="auto"/>
    </w:pPr>
    <w:rPr>
      <w:rFonts w:ascii="Book Antiqua" w:hAnsi="Book Antiqua" w:cs="Times New Roman"/>
      <w:sz w:val="26"/>
      <w:szCs w:val="20"/>
    </w:rPr>
  </w:style>
  <w:style w:type="character" w:customStyle="1" w:styleId="normaltextrun1">
    <w:name w:val="normaltextrun1"/>
    <w:basedOn w:val="DefaultParagraphFont"/>
    <w:rsid w:val="000C1980"/>
  </w:style>
  <w:style w:type="character" w:customStyle="1" w:styleId="Mention1">
    <w:name w:val="Mention1"/>
    <w:basedOn w:val="DefaultParagraphFont"/>
    <w:uiPriority w:val="99"/>
    <w:unhideWhenUsed/>
    <w:rsid w:val="000C1980"/>
    <w:rPr>
      <w:color w:val="2B579A"/>
      <w:shd w:val="clear" w:color="auto" w:fill="E6E6E6"/>
    </w:rPr>
  </w:style>
  <w:style w:type="paragraph" w:customStyle="1" w:styleId="paragraph">
    <w:name w:val="paragraph"/>
    <w:basedOn w:val="Normal"/>
    <w:rsid w:val="000C1980"/>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C1980"/>
  </w:style>
  <w:style w:type="character" w:customStyle="1" w:styleId="eop">
    <w:name w:val="eop"/>
    <w:basedOn w:val="DefaultParagraphFont"/>
    <w:rsid w:val="000C1980"/>
  </w:style>
  <w:style w:type="paragraph" w:customStyle="1" w:styleId="Default">
    <w:name w:val="Default"/>
    <w:rsid w:val="000C1980"/>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UnresolvedMention1">
    <w:name w:val="Unresolved Mention1"/>
    <w:basedOn w:val="DefaultParagraphFont"/>
    <w:uiPriority w:val="99"/>
    <w:unhideWhenUsed/>
    <w:rsid w:val="000C1980"/>
    <w:rPr>
      <w:color w:val="605E5C"/>
      <w:shd w:val="clear" w:color="auto" w:fill="E1DFDD"/>
    </w:rPr>
  </w:style>
  <w:style w:type="character" w:styleId="FollowedHyperlink">
    <w:name w:val="FollowedHyperlink"/>
    <w:basedOn w:val="DefaultParagraphFont"/>
    <w:uiPriority w:val="99"/>
    <w:semiHidden/>
    <w:unhideWhenUsed/>
    <w:rsid w:val="000C1980"/>
    <w:rPr>
      <w:color w:val="954F72" w:themeColor="followedHyperlink"/>
      <w:u w:val="single"/>
    </w:rPr>
  </w:style>
  <w:style w:type="character" w:customStyle="1" w:styleId="Mention2">
    <w:name w:val="Mention2"/>
    <w:basedOn w:val="DefaultParagraphFont"/>
    <w:uiPriority w:val="99"/>
    <w:unhideWhenUsed/>
    <w:rsid w:val="000C1980"/>
    <w:rPr>
      <w:color w:val="2B579A"/>
      <w:shd w:val="clear" w:color="auto" w:fill="E1DFDD"/>
    </w:rPr>
  </w:style>
  <w:style w:type="character" w:styleId="UnresolvedMention">
    <w:name w:val="Unresolved Mention"/>
    <w:basedOn w:val="DefaultParagraphFont"/>
    <w:uiPriority w:val="99"/>
    <w:unhideWhenUsed/>
    <w:rsid w:val="000C1980"/>
    <w:rPr>
      <w:color w:val="605E5C"/>
      <w:shd w:val="clear" w:color="auto" w:fill="E1DFDD"/>
    </w:rPr>
  </w:style>
  <w:style w:type="table" w:styleId="GridTable6Colorful-Accent1">
    <w:name w:val="Grid Table 6 Colorful Accent 1"/>
    <w:basedOn w:val="TableNormal"/>
    <w:uiPriority w:val="51"/>
    <w:rsid w:val="000C198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C198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0C198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5">
    <w:name w:val="Grid Table 6 Colorful Accent 5"/>
    <w:basedOn w:val="TableNormal"/>
    <w:uiPriority w:val="51"/>
    <w:rsid w:val="000C198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11">
    <w:name w:val="List Table 2 - Accent 11"/>
    <w:basedOn w:val="TableNormal"/>
    <w:next w:val="ListTable2-Accent1"/>
    <w:uiPriority w:val="47"/>
    <w:rsid w:val="000C198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next w:val="GridTable6Colorful-Accent1"/>
    <w:uiPriority w:val="51"/>
    <w:rsid w:val="000C198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2">
    <w:name w:val="Grid Table 6 Colorful - Accent 12"/>
    <w:basedOn w:val="TableNormal"/>
    <w:next w:val="GridTable6Colorful-Accent1"/>
    <w:uiPriority w:val="51"/>
    <w:rsid w:val="000C198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rsid w:val="000C1980"/>
    <w:pPr>
      <w:spacing w:after="200"/>
    </w:pPr>
    <w:rPr>
      <w:rFonts w:asciiTheme="minorHAnsi" w:hAnsiTheme="minorHAnsi" w:cstheme="minorBidi"/>
      <w:i/>
      <w:iCs/>
      <w:color w:val="44546A" w:themeColor="text2"/>
      <w:sz w:val="18"/>
      <w:szCs w:val="18"/>
    </w:rPr>
  </w:style>
  <w:style w:type="table" w:customStyle="1" w:styleId="GridTable6Colorful-Accent51">
    <w:name w:val="Grid Table 6 Colorful - Accent 51"/>
    <w:basedOn w:val="TableNormal"/>
    <w:next w:val="GridTable6Colorful-Accent5"/>
    <w:uiPriority w:val="51"/>
    <w:rsid w:val="000C198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52">
    <w:name w:val="Grid Table 6 Colorful - Accent 52"/>
    <w:basedOn w:val="TableNormal"/>
    <w:next w:val="GridTable6Colorful-Accent5"/>
    <w:uiPriority w:val="51"/>
    <w:rsid w:val="000C198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53">
    <w:name w:val="Grid Table 6 Colorful - Accent 53"/>
    <w:basedOn w:val="TableNormal"/>
    <w:next w:val="GridTable6Colorful-Accent5"/>
    <w:uiPriority w:val="51"/>
    <w:rsid w:val="000C198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copre1">
    <w:name w:val="acopre1"/>
    <w:basedOn w:val="DefaultParagraphFont"/>
    <w:rsid w:val="000C1980"/>
  </w:style>
  <w:style w:type="character" w:styleId="Mention">
    <w:name w:val="Mention"/>
    <w:basedOn w:val="DefaultParagraphFont"/>
    <w:uiPriority w:val="99"/>
    <w:unhideWhenUsed/>
    <w:rsid w:val="000C1980"/>
    <w:rPr>
      <w:color w:val="2B579A"/>
      <w:shd w:val="clear" w:color="auto" w:fill="E1DFDD"/>
    </w:rPr>
  </w:style>
  <w:style w:type="table" w:styleId="TableTheme">
    <w:name w:val="Table Theme"/>
    <w:basedOn w:val="TableNormal"/>
    <w:uiPriority w:val="99"/>
    <w:rsid w:val="000C198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1980"/>
    <w:rPr>
      <w:color w:val="808080"/>
    </w:rPr>
  </w:style>
  <w:style w:type="paragraph" w:customStyle="1" w:styleId="commentcontentpara">
    <w:name w:val="commentcontentpara"/>
    <w:basedOn w:val="Normal"/>
    <w:rsid w:val="000C1980"/>
    <w:pPr>
      <w:spacing w:before="100" w:beforeAutospacing="1" w:after="100" w:afterAutospacing="1"/>
    </w:pPr>
    <w:rPr>
      <w:rFonts w:ascii="Times New Roman" w:eastAsia="Times New Roman" w:hAnsi="Times New Roman"/>
      <w:sz w:val="24"/>
      <w:szCs w:val="24"/>
    </w:rPr>
  </w:style>
  <w:style w:type="character" w:customStyle="1" w:styleId="acopre">
    <w:name w:val="acopre"/>
    <w:basedOn w:val="DefaultParagraphFont"/>
    <w:rsid w:val="000C1980"/>
  </w:style>
  <w:style w:type="paragraph" w:styleId="TOC7">
    <w:name w:val="toc 7"/>
    <w:basedOn w:val="Normal"/>
    <w:next w:val="Normal"/>
    <w:autoRedefine/>
    <w:uiPriority w:val="39"/>
    <w:unhideWhenUsed/>
    <w:rsid w:val="00257E9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57E90"/>
    <w:pPr>
      <w:spacing w:after="100" w:line="259" w:lineRule="auto"/>
      <w:ind w:left="1540"/>
    </w:pPr>
    <w:rPr>
      <w:rFonts w:asciiTheme="minorHAnsi" w:eastAsiaTheme="minorEastAsia" w:hAnsiTheme="minorHAnsi" w:cstheme="minorBidi"/>
      <w:sz w:val="22"/>
      <w:szCs w:val="22"/>
    </w:rPr>
  </w:style>
  <w:style w:type="table" w:customStyle="1" w:styleId="TableTheme1">
    <w:name w:val="Table Theme1"/>
    <w:basedOn w:val="TableNormal"/>
    <w:next w:val="TableTheme"/>
    <w:uiPriority w:val="99"/>
    <w:rsid w:val="00262F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1">
    <w:name w:val="FoF/CoL/OP1"/>
    <w:uiPriority w:val="99"/>
    <w:rsid w:val="006C569D"/>
  </w:style>
  <w:style w:type="numbering" w:customStyle="1" w:styleId="FoFCoLOP2">
    <w:name w:val="FoF/CoL/OP2"/>
    <w:uiPriority w:val="99"/>
    <w:rsid w:val="00292155"/>
    <w:pPr>
      <w:numPr>
        <w:numId w:val="2"/>
      </w:numPr>
    </w:pPr>
  </w:style>
  <w:style w:type="table" w:customStyle="1" w:styleId="TableGrid7">
    <w:name w:val="Table Grid7"/>
    <w:basedOn w:val="TableNormal"/>
    <w:next w:val="TableGrid"/>
    <w:uiPriority w:val="59"/>
    <w:rsid w:val="00F25FB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7627">
      <w:bodyDiv w:val="1"/>
      <w:marLeft w:val="0"/>
      <w:marRight w:val="0"/>
      <w:marTop w:val="0"/>
      <w:marBottom w:val="0"/>
      <w:divBdr>
        <w:top w:val="none" w:sz="0" w:space="0" w:color="auto"/>
        <w:left w:val="none" w:sz="0" w:space="0" w:color="auto"/>
        <w:bottom w:val="none" w:sz="0" w:space="0" w:color="auto"/>
        <w:right w:val="none" w:sz="0" w:space="0" w:color="auto"/>
      </w:divBdr>
      <w:divsChild>
        <w:div w:id="593245623">
          <w:marLeft w:val="0"/>
          <w:marRight w:val="0"/>
          <w:marTop w:val="0"/>
          <w:marBottom w:val="240"/>
          <w:divBdr>
            <w:top w:val="none" w:sz="0" w:space="0" w:color="auto"/>
            <w:left w:val="none" w:sz="0" w:space="0" w:color="auto"/>
            <w:bottom w:val="none" w:sz="0" w:space="0" w:color="auto"/>
            <w:right w:val="none" w:sz="0" w:space="0" w:color="auto"/>
          </w:divBdr>
        </w:div>
        <w:div w:id="1319191910">
          <w:marLeft w:val="0"/>
          <w:marRight w:val="0"/>
          <w:marTop w:val="0"/>
          <w:marBottom w:val="240"/>
          <w:divBdr>
            <w:top w:val="none" w:sz="0" w:space="0" w:color="auto"/>
            <w:left w:val="none" w:sz="0" w:space="0" w:color="auto"/>
            <w:bottom w:val="none" w:sz="0" w:space="0" w:color="auto"/>
            <w:right w:val="none" w:sz="0" w:space="0" w:color="auto"/>
          </w:divBdr>
        </w:div>
        <w:div w:id="1884828945">
          <w:marLeft w:val="0"/>
          <w:marRight w:val="0"/>
          <w:marTop w:val="0"/>
          <w:marBottom w:val="240"/>
          <w:divBdr>
            <w:top w:val="none" w:sz="0" w:space="0" w:color="auto"/>
            <w:left w:val="none" w:sz="0" w:space="0" w:color="auto"/>
            <w:bottom w:val="none" w:sz="0" w:space="0" w:color="auto"/>
            <w:right w:val="none" w:sz="0" w:space="0" w:color="auto"/>
          </w:divBdr>
        </w:div>
        <w:div w:id="1500609384">
          <w:marLeft w:val="0"/>
          <w:marRight w:val="0"/>
          <w:marTop w:val="0"/>
          <w:marBottom w:val="240"/>
          <w:divBdr>
            <w:top w:val="none" w:sz="0" w:space="0" w:color="auto"/>
            <w:left w:val="none" w:sz="0" w:space="0" w:color="auto"/>
            <w:bottom w:val="none" w:sz="0" w:space="0" w:color="auto"/>
            <w:right w:val="none" w:sz="0" w:space="0" w:color="auto"/>
          </w:divBdr>
        </w:div>
        <w:div w:id="1917738848">
          <w:marLeft w:val="0"/>
          <w:marRight w:val="0"/>
          <w:marTop w:val="0"/>
          <w:marBottom w:val="240"/>
          <w:divBdr>
            <w:top w:val="none" w:sz="0" w:space="0" w:color="auto"/>
            <w:left w:val="none" w:sz="0" w:space="0" w:color="auto"/>
            <w:bottom w:val="none" w:sz="0" w:space="0" w:color="auto"/>
            <w:right w:val="none" w:sz="0" w:space="0" w:color="auto"/>
          </w:divBdr>
        </w:div>
      </w:divsChild>
    </w:div>
    <w:div w:id="533539257">
      <w:bodyDiv w:val="1"/>
      <w:marLeft w:val="0"/>
      <w:marRight w:val="0"/>
      <w:marTop w:val="0"/>
      <w:marBottom w:val="0"/>
      <w:divBdr>
        <w:top w:val="none" w:sz="0" w:space="0" w:color="auto"/>
        <w:left w:val="none" w:sz="0" w:space="0" w:color="auto"/>
        <w:bottom w:val="none" w:sz="0" w:space="0" w:color="auto"/>
        <w:right w:val="none" w:sz="0" w:space="0" w:color="auto"/>
      </w:divBdr>
      <w:divsChild>
        <w:div w:id="2092654227">
          <w:marLeft w:val="0"/>
          <w:marRight w:val="0"/>
          <w:marTop w:val="0"/>
          <w:marBottom w:val="240"/>
          <w:divBdr>
            <w:top w:val="none" w:sz="0" w:space="0" w:color="auto"/>
            <w:left w:val="none" w:sz="0" w:space="0" w:color="auto"/>
            <w:bottom w:val="none" w:sz="0" w:space="0" w:color="auto"/>
            <w:right w:val="none" w:sz="0" w:space="0" w:color="auto"/>
          </w:divBdr>
        </w:div>
        <w:div w:id="1454981298">
          <w:marLeft w:val="0"/>
          <w:marRight w:val="0"/>
          <w:marTop w:val="0"/>
          <w:marBottom w:val="240"/>
          <w:divBdr>
            <w:top w:val="none" w:sz="0" w:space="0" w:color="auto"/>
            <w:left w:val="none" w:sz="0" w:space="0" w:color="auto"/>
            <w:bottom w:val="none" w:sz="0" w:space="0" w:color="auto"/>
            <w:right w:val="none" w:sz="0" w:space="0" w:color="auto"/>
          </w:divBdr>
        </w:div>
        <w:div w:id="2091999537">
          <w:marLeft w:val="0"/>
          <w:marRight w:val="0"/>
          <w:marTop w:val="0"/>
          <w:marBottom w:val="240"/>
          <w:divBdr>
            <w:top w:val="none" w:sz="0" w:space="0" w:color="auto"/>
            <w:left w:val="none" w:sz="0" w:space="0" w:color="auto"/>
            <w:bottom w:val="none" w:sz="0" w:space="0" w:color="auto"/>
            <w:right w:val="none" w:sz="0" w:space="0" w:color="auto"/>
          </w:divBdr>
        </w:div>
        <w:div w:id="828130341">
          <w:marLeft w:val="0"/>
          <w:marRight w:val="0"/>
          <w:marTop w:val="0"/>
          <w:marBottom w:val="240"/>
          <w:divBdr>
            <w:top w:val="none" w:sz="0" w:space="0" w:color="auto"/>
            <w:left w:val="none" w:sz="0" w:space="0" w:color="auto"/>
            <w:bottom w:val="none" w:sz="0" w:space="0" w:color="auto"/>
            <w:right w:val="none" w:sz="0" w:space="0" w:color="auto"/>
          </w:divBdr>
        </w:div>
        <w:div w:id="1542982240">
          <w:marLeft w:val="0"/>
          <w:marRight w:val="0"/>
          <w:marTop w:val="0"/>
          <w:marBottom w:val="240"/>
          <w:divBdr>
            <w:top w:val="none" w:sz="0" w:space="0" w:color="auto"/>
            <w:left w:val="none" w:sz="0" w:space="0" w:color="auto"/>
            <w:bottom w:val="none" w:sz="0" w:space="0" w:color="auto"/>
            <w:right w:val="none" w:sz="0" w:space="0" w:color="auto"/>
          </w:divBdr>
        </w:div>
      </w:divsChild>
    </w:div>
    <w:div w:id="1278099511">
      <w:bodyDiv w:val="1"/>
      <w:marLeft w:val="0"/>
      <w:marRight w:val="0"/>
      <w:marTop w:val="0"/>
      <w:marBottom w:val="0"/>
      <w:divBdr>
        <w:top w:val="none" w:sz="0" w:space="0" w:color="auto"/>
        <w:left w:val="none" w:sz="0" w:space="0" w:color="auto"/>
        <w:bottom w:val="none" w:sz="0" w:space="0" w:color="auto"/>
        <w:right w:val="none" w:sz="0" w:space="0" w:color="auto"/>
      </w:divBdr>
      <w:divsChild>
        <w:div w:id="838882635">
          <w:marLeft w:val="0"/>
          <w:marRight w:val="0"/>
          <w:marTop w:val="0"/>
          <w:marBottom w:val="240"/>
          <w:divBdr>
            <w:top w:val="none" w:sz="0" w:space="0" w:color="auto"/>
            <w:left w:val="none" w:sz="0" w:space="0" w:color="auto"/>
            <w:bottom w:val="none" w:sz="0" w:space="0" w:color="auto"/>
            <w:right w:val="none" w:sz="0" w:space="0" w:color="auto"/>
          </w:divBdr>
        </w:div>
        <w:div w:id="944924358">
          <w:marLeft w:val="0"/>
          <w:marRight w:val="0"/>
          <w:marTop w:val="0"/>
          <w:marBottom w:val="240"/>
          <w:divBdr>
            <w:top w:val="none" w:sz="0" w:space="0" w:color="auto"/>
            <w:left w:val="none" w:sz="0" w:space="0" w:color="auto"/>
            <w:bottom w:val="none" w:sz="0" w:space="0" w:color="auto"/>
            <w:right w:val="none" w:sz="0" w:space="0" w:color="auto"/>
          </w:divBdr>
        </w:div>
        <w:div w:id="1731417368">
          <w:marLeft w:val="0"/>
          <w:marRight w:val="0"/>
          <w:marTop w:val="0"/>
          <w:marBottom w:val="240"/>
          <w:divBdr>
            <w:top w:val="none" w:sz="0" w:space="0" w:color="auto"/>
            <w:left w:val="none" w:sz="0" w:space="0" w:color="auto"/>
            <w:bottom w:val="none" w:sz="0" w:space="0" w:color="auto"/>
            <w:right w:val="none" w:sz="0" w:space="0" w:color="auto"/>
          </w:divBdr>
        </w:div>
        <w:div w:id="771818903">
          <w:marLeft w:val="0"/>
          <w:marRight w:val="0"/>
          <w:marTop w:val="0"/>
          <w:marBottom w:val="240"/>
          <w:divBdr>
            <w:top w:val="none" w:sz="0" w:space="0" w:color="auto"/>
            <w:left w:val="none" w:sz="0" w:space="0" w:color="auto"/>
            <w:bottom w:val="none" w:sz="0" w:space="0" w:color="auto"/>
            <w:right w:val="none" w:sz="0" w:space="0" w:color="auto"/>
          </w:divBdr>
        </w:div>
        <w:div w:id="8481181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263/K673/263673090.PDF" TargetMode="External"/><Relationship Id="rId2" Type="http://schemas.openxmlformats.org/officeDocument/2006/relationships/hyperlink" Target="https://www.cpuc.ca.gov/about-cpuc/divisions/energy-division/building-decarbonization/fuel-substitution-in-energy-efficiency" TargetMode="External"/><Relationship Id="rId1" Type="http://schemas.openxmlformats.org/officeDocument/2006/relationships/hyperlink" Target="http://www.calmac.org/publications/Needs_Assessment-Final_Report-Sept-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7f5b6951-54ef-4081-aa35-6a1d703b40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1B46132C3DB4EB8A2895A869445CE" ma:contentTypeVersion="13" ma:contentTypeDescription="Create a new document." ma:contentTypeScope="" ma:versionID="204a7d8da883a6ccabf932b760ff943e">
  <xsd:schema xmlns:xsd="http://www.w3.org/2001/XMLSchema" xmlns:xs="http://www.w3.org/2001/XMLSchema" xmlns:p="http://schemas.microsoft.com/office/2006/metadata/properties" xmlns:ns2="7f5b6951-54ef-4081-aa35-6a1d703b40f5" xmlns:ns3="b3d48114-37c6-46ba-9f8b-b8b5733efe3f" targetNamespace="http://schemas.microsoft.com/office/2006/metadata/properties" ma:root="true" ma:fieldsID="45f0acf86e330ebaebc7acb61799acf6" ns2:_="" ns3:_="">
    <xsd:import namespace="7f5b6951-54ef-4081-aa35-6a1d703b40f5"/>
    <xsd:import namespace="b3d48114-37c6-46ba-9f8b-b8b5733ef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b6951-54ef-4081-aa35-6a1d703b4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48114-37c6-46ba-9f8b-b8b5733ef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3CED-45A3-4E41-B8F8-CC1C7276EB69}">
  <ds:schemaRefs>
    <ds:schemaRef ds:uri="http://schemas.microsoft.com/office/2006/metadata/properties"/>
    <ds:schemaRef ds:uri="http://schemas.microsoft.com/office/infopath/2007/PartnerControls"/>
    <ds:schemaRef ds:uri="7f5b6951-54ef-4081-aa35-6a1d703b40f5"/>
  </ds:schemaRefs>
</ds:datastoreItem>
</file>

<file path=customXml/itemProps2.xml><?xml version="1.0" encoding="utf-8"?>
<ds:datastoreItem xmlns:ds="http://schemas.openxmlformats.org/officeDocument/2006/customXml" ds:itemID="{4ED974B0-8DED-4EF5-9079-3647A012F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b6951-54ef-4081-aa35-6a1d703b40f5"/>
    <ds:schemaRef ds:uri="b3d48114-37c6-46ba-9f8b-b8b5733e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69F3B-AB33-41EC-A4E5-3A5CF9C1D2C8}">
  <ds:schemaRefs>
    <ds:schemaRef ds:uri="http://schemas.microsoft.com/sharepoint/v3/contenttype/forms"/>
  </ds:schemaRefs>
</ds:datastoreItem>
</file>

<file path=customXml/itemProps4.xml><?xml version="1.0" encoding="utf-8"?>
<ds:datastoreItem xmlns:ds="http://schemas.openxmlformats.org/officeDocument/2006/customXml" ds:itemID="{F8417B6C-9D74-45EB-B69E-1D214E689A9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195</ap:Pages>
  <ap:Words>45577</ap:Words>
  <ap:Characters>259792</ap:Characters>
  <ap:Application>Microsoft Office Word</ap:Application>
  <ap:DocSecurity>0</ap:DocSecurity>
  <ap:Lines>2164</ap:Lines>
  <ap:Paragraphs>609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304760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2021-04-26T16:00:00Z</cp:lastPrinted>
  <dcterms:created xsi:type="dcterms:W3CDTF">2021-10-19T09:40:02Z</dcterms:created>
  <dcterms:modified xsi:type="dcterms:W3CDTF">2021-10-19T09:40:02Z</dcterms:modified>
</cp:coreProperties>
</file>