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743B" w:rsidR="00B60421" w:rsidP="007E0FEE" w:rsidRDefault="00777DEB" w14:paraId="538D93E9" w14:textId="5F7CBB28">
      <w:pPr>
        <w:tabs>
          <w:tab w:val="center" w:pos="4680"/>
          <w:tab w:val="right" w:pos="9360"/>
        </w:tabs>
        <w:spacing w:line="240" w:lineRule="auto"/>
        <w:ind w:firstLine="0"/>
        <w:rPr>
          <w:b/>
          <w:bCs/>
        </w:rPr>
      </w:pPr>
      <w:r w:rsidRPr="00CD142B">
        <w:t>COM/MGA</w:t>
      </w:r>
      <w:r w:rsidR="00DF43BA">
        <w:t>/</w:t>
      </w:r>
      <w:proofErr w:type="spellStart"/>
      <w:r w:rsidR="00DF43BA">
        <w:t>smt</w:t>
      </w:r>
      <w:proofErr w:type="spellEnd"/>
      <w:r w:rsidR="007E0FEE">
        <w:tab/>
      </w:r>
      <w:r w:rsidR="0030313A">
        <w:t xml:space="preserve">      </w:t>
      </w:r>
      <w:r w:rsidR="002F743B">
        <w:tab/>
      </w:r>
      <w:r w:rsidRPr="002F743B" w:rsidR="002F743B">
        <w:rPr>
          <w:b/>
          <w:bCs/>
        </w:rPr>
        <w:t>Date of Issuance 10/2</w:t>
      </w:r>
      <w:r w:rsidR="00737655">
        <w:rPr>
          <w:b/>
          <w:bCs/>
        </w:rPr>
        <w:t>5</w:t>
      </w:r>
      <w:r w:rsidRPr="002F743B" w:rsidR="002F743B">
        <w:rPr>
          <w:b/>
          <w:bCs/>
        </w:rPr>
        <w:t>/2021</w:t>
      </w:r>
    </w:p>
    <w:p w:rsidR="00DA7B5D" w:rsidP="00632207" w:rsidRDefault="00DA7B5D" w14:paraId="797027CF" w14:textId="250FA58F">
      <w:pPr>
        <w:spacing w:line="240" w:lineRule="auto"/>
        <w:jc w:val="right"/>
        <w:rPr>
          <w:b/>
        </w:rPr>
      </w:pPr>
    </w:p>
    <w:p w:rsidR="00DA7B5D" w:rsidP="008F0116" w:rsidRDefault="00DA7B5D" w14:paraId="5EB42C0E" w14:textId="77777777">
      <w:pPr>
        <w:ind w:firstLine="0"/>
      </w:pPr>
    </w:p>
    <w:p w:rsidRPr="00EE3060" w:rsidR="00DA7B5D" w:rsidP="00777DEB" w:rsidRDefault="00DA7B5D" w14:paraId="410AF8AA" w14:textId="18A6AE70">
      <w:pPr>
        <w:spacing w:line="240" w:lineRule="auto"/>
        <w:ind w:left="1080" w:hanging="1080"/>
      </w:pPr>
      <w:r>
        <w:t xml:space="preserve">Decision </w:t>
      </w:r>
      <w:r w:rsidR="002F743B">
        <w:t>21-10-020  October 21, 2021</w:t>
      </w:r>
    </w:p>
    <w:p w:rsidR="00DA7B5D" w:rsidP="00BB0243" w:rsidRDefault="00DA7B5D" w14:paraId="5CF27AF5" w14:textId="77777777">
      <w:pPr>
        <w:spacing w:line="240" w:lineRule="auto"/>
        <w:jc w:val="center"/>
        <w:rPr>
          <w:u w:val="single"/>
        </w:rPr>
      </w:pPr>
    </w:p>
    <w:p w:rsidR="00DA7B5D" w:rsidP="00BB0243" w:rsidRDefault="00DA7B5D" w14:paraId="5D63E3BE"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5C24C896"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65AF8178"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023F11" w14:paraId="0A301729" w14:textId="1070F851">
            <w:pPr>
              <w:spacing w:line="240" w:lineRule="auto"/>
              <w:ind w:firstLine="0"/>
              <w:rPr>
                <w:rFonts w:cs="Arial"/>
                <w:szCs w:val="26"/>
              </w:rPr>
            </w:pPr>
            <w:r w:rsidRPr="00023F11">
              <w:rPr>
                <w:rFonts w:cs="Arial"/>
                <w:szCs w:val="26"/>
              </w:rPr>
              <w:t>Order Instituting Rulemaking Regarding Broadband Infrastructure Deployment and to Support Service Providers in the State of California.</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023F11" w14:paraId="71F52C40" w14:textId="66AD6720">
            <w:pPr>
              <w:spacing w:line="240" w:lineRule="auto"/>
              <w:ind w:firstLine="0"/>
              <w:jc w:val="center"/>
              <w:rPr>
                <w:rFonts w:cs="Arial"/>
                <w:szCs w:val="26"/>
              </w:rPr>
            </w:pPr>
            <w:r w:rsidRPr="00023F11">
              <w:rPr>
                <w:rFonts w:cs="Arial"/>
                <w:szCs w:val="26"/>
              </w:rPr>
              <w:t>Rulemaking 20-09-001</w:t>
            </w:r>
          </w:p>
        </w:tc>
      </w:tr>
    </w:tbl>
    <w:p w:rsidR="00DA7B5D" w:rsidP="008F0116" w:rsidRDefault="00DA7B5D" w14:paraId="1906B9EE" w14:textId="77777777">
      <w:pPr>
        <w:spacing w:line="240" w:lineRule="auto"/>
        <w:ind w:firstLine="0"/>
        <w:rPr>
          <w:rFonts w:ascii="Arial" w:hAnsi="Arial" w:cs="Arial"/>
          <w:sz w:val="24"/>
          <w:szCs w:val="24"/>
        </w:rPr>
      </w:pPr>
    </w:p>
    <w:p w:rsidR="00DA7B5D" w:rsidP="008F0116" w:rsidRDefault="00DA7B5D" w14:paraId="32179111" w14:textId="77777777">
      <w:pPr>
        <w:spacing w:line="240" w:lineRule="auto"/>
        <w:ind w:firstLine="0"/>
        <w:rPr>
          <w:rFonts w:ascii="Arial" w:hAnsi="Arial" w:cs="Arial"/>
          <w:sz w:val="24"/>
          <w:szCs w:val="24"/>
        </w:rPr>
      </w:pPr>
    </w:p>
    <w:p w:rsidRPr="00F92385" w:rsidR="00F92385" w:rsidP="00B3087D" w:rsidRDefault="00BF7F78" w14:paraId="4D24F618" w14:textId="573C3540">
      <w:pPr>
        <w:pStyle w:val="Dummy"/>
        <w:jc w:val="center"/>
        <w:sectPr w:rsidRPr="00F92385" w:rsidR="00F92385" w:rsidSect="00C46CB9">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pPr>
      <w:bookmarkStart w:name="_Toc81913466" w:id="0"/>
      <w:r w:rsidRPr="00BF7F78">
        <w:t xml:space="preserve">DECISION </w:t>
      </w:r>
      <w:r w:rsidR="005C1339">
        <w:t>RESOLVING</w:t>
      </w:r>
      <w:r w:rsidRPr="00BF7F78">
        <w:t xml:space="preserve"> PHASE I OF BROADBAND </w:t>
      </w:r>
      <w:r w:rsidR="001D65CC">
        <w:br/>
      </w:r>
      <w:r w:rsidRPr="00BF7F78">
        <w:t>FOR ALL PROCEEDING</w:t>
      </w:r>
      <w:bookmarkEnd w:id="0"/>
    </w:p>
    <w:p w:rsidRPr="001E2A62" w:rsidR="00D50119" w:rsidP="00F76650" w:rsidRDefault="00D50119" w14:paraId="1E01C40C"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44CAC538" w14:textId="77777777">
      <w:pPr>
        <w:tabs>
          <w:tab w:val="right" w:pos="9360"/>
        </w:tabs>
        <w:ind w:firstLine="0"/>
      </w:pPr>
      <w:r w:rsidRPr="00D50119">
        <w:rPr>
          <w:b/>
        </w:rPr>
        <w:t>Title</w:t>
      </w:r>
      <w:r>
        <w:tab/>
      </w:r>
      <w:r w:rsidRPr="00D50119">
        <w:rPr>
          <w:b/>
        </w:rPr>
        <w:t>Page</w:t>
      </w:r>
    </w:p>
    <w:sdt>
      <w:sdtPr>
        <w:rPr>
          <w:rFonts w:ascii="Book Antiqua" w:hAnsi="Book Antiqua" w:eastAsiaTheme="minorHAnsi" w:cstheme="minorBidi"/>
          <w:b w:val="0"/>
          <w:szCs w:val="22"/>
        </w:rPr>
        <w:id w:val="-753585399"/>
        <w:docPartObj>
          <w:docPartGallery w:val="Table of Contents"/>
          <w:docPartUnique/>
        </w:docPartObj>
      </w:sdtPr>
      <w:sdtEndPr>
        <w:rPr>
          <w:bCs/>
          <w:noProof/>
        </w:rPr>
      </w:sdtEndPr>
      <w:sdtContent>
        <w:p w:rsidR="001D65CC" w:rsidRDefault="001D65CC" w14:paraId="621F9862" w14:textId="606CA24E">
          <w:pPr>
            <w:pStyle w:val="TOCHeading"/>
          </w:pPr>
          <w:r>
            <w:t>Contents</w:t>
          </w:r>
        </w:p>
        <w:p w:rsidR="001D65CC" w:rsidRDefault="001D65CC" w14:paraId="01E4FFA9" w14:textId="449782A2">
          <w:pPr>
            <w:pStyle w:val="TOC1"/>
            <w:tabs>
              <w:tab w:val="right" w:leader="dot" w:pos="9350"/>
            </w:tabs>
            <w:rPr>
              <w:rFonts w:asciiTheme="minorHAnsi" w:hAnsiTheme="minorHAnsi" w:cstheme="minorBidi"/>
              <w:noProof/>
              <w:sz w:val="22"/>
            </w:rPr>
          </w:pPr>
          <w:r>
            <w:fldChar w:fldCharType="begin"/>
          </w:r>
          <w:r>
            <w:instrText xml:space="preserve"> TOC \o "1-3" \h \z \u </w:instrText>
          </w:r>
          <w:r>
            <w:fldChar w:fldCharType="separate"/>
          </w:r>
          <w:hyperlink w:history="1" w:anchor="_Toc81913466">
            <w:r w:rsidRPr="00814A50">
              <w:rPr>
                <w:rStyle w:val="Hyperlink"/>
                <w:noProof/>
              </w:rPr>
              <w:t>DECISION RESOLVING PHASE I OF BROADBAND  FOR ALL PROCEEDING</w:t>
            </w:r>
            <w:r>
              <w:rPr>
                <w:noProof/>
                <w:webHidden/>
              </w:rPr>
              <w:tab/>
            </w:r>
            <w:r>
              <w:rPr>
                <w:noProof/>
                <w:webHidden/>
              </w:rPr>
              <w:fldChar w:fldCharType="begin"/>
            </w:r>
            <w:r>
              <w:rPr>
                <w:noProof/>
                <w:webHidden/>
              </w:rPr>
              <w:instrText xml:space="preserve"> PAGEREF _Toc81913466 \h </w:instrText>
            </w:r>
            <w:r>
              <w:rPr>
                <w:noProof/>
                <w:webHidden/>
              </w:rPr>
            </w:r>
            <w:r>
              <w:rPr>
                <w:noProof/>
                <w:webHidden/>
              </w:rPr>
              <w:fldChar w:fldCharType="separate"/>
            </w:r>
            <w:r w:rsidR="00586FBB">
              <w:rPr>
                <w:noProof/>
                <w:webHidden/>
              </w:rPr>
              <w:t>1</w:t>
            </w:r>
            <w:r>
              <w:rPr>
                <w:noProof/>
                <w:webHidden/>
              </w:rPr>
              <w:fldChar w:fldCharType="end"/>
            </w:r>
          </w:hyperlink>
        </w:p>
        <w:p w:rsidR="001D65CC" w:rsidRDefault="00EC6257" w14:paraId="4930B6FC" w14:textId="214543CD">
          <w:pPr>
            <w:pStyle w:val="TOC1"/>
            <w:tabs>
              <w:tab w:val="right" w:leader="dot" w:pos="9350"/>
            </w:tabs>
            <w:rPr>
              <w:rFonts w:asciiTheme="minorHAnsi" w:hAnsiTheme="minorHAnsi" w:cstheme="minorBidi"/>
              <w:noProof/>
              <w:sz w:val="22"/>
            </w:rPr>
          </w:pPr>
          <w:hyperlink w:history="1" w:anchor="_Toc81913467">
            <w:r w:rsidRPr="00814A50" w:rsidR="001D65CC">
              <w:rPr>
                <w:rStyle w:val="Hyperlink"/>
                <w:noProof/>
              </w:rPr>
              <w:t>Summary</w:t>
            </w:r>
            <w:r w:rsidR="001D65CC">
              <w:rPr>
                <w:noProof/>
                <w:webHidden/>
              </w:rPr>
              <w:tab/>
            </w:r>
            <w:r w:rsidR="001D65CC">
              <w:rPr>
                <w:noProof/>
                <w:webHidden/>
              </w:rPr>
              <w:fldChar w:fldCharType="begin"/>
            </w:r>
            <w:r w:rsidR="001D65CC">
              <w:rPr>
                <w:noProof/>
                <w:webHidden/>
              </w:rPr>
              <w:instrText xml:space="preserve"> PAGEREF _Toc81913467 \h </w:instrText>
            </w:r>
            <w:r w:rsidR="001D65CC">
              <w:rPr>
                <w:noProof/>
                <w:webHidden/>
              </w:rPr>
            </w:r>
            <w:r w:rsidR="001D65CC">
              <w:rPr>
                <w:noProof/>
                <w:webHidden/>
              </w:rPr>
              <w:fldChar w:fldCharType="separate"/>
            </w:r>
            <w:r w:rsidR="00586FBB">
              <w:rPr>
                <w:noProof/>
                <w:webHidden/>
              </w:rPr>
              <w:t>2</w:t>
            </w:r>
            <w:r w:rsidR="001D65CC">
              <w:rPr>
                <w:noProof/>
                <w:webHidden/>
              </w:rPr>
              <w:fldChar w:fldCharType="end"/>
            </w:r>
          </w:hyperlink>
        </w:p>
        <w:p w:rsidR="001D65CC" w:rsidRDefault="00EC6257" w14:paraId="6CE8AB0D" w14:textId="1FADD865">
          <w:pPr>
            <w:pStyle w:val="TOC1"/>
            <w:tabs>
              <w:tab w:val="right" w:leader="dot" w:pos="9350"/>
            </w:tabs>
            <w:rPr>
              <w:rFonts w:asciiTheme="minorHAnsi" w:hAnsiTheme="minorHAnsi" w:cstheme="minorBidi"/>
              <w:noProof/>
              <w:sz w:val="22"/>
            </w:rPr>
          </w:pPr>
          <w:hyperlink w:history="1" w:anchor="_Toc81913468">
            <w:r w:rsidRPr="00814A50" w:rsidR="001D65CC">
              <w:rPr>
                <w:rStyle w:val="Hyperlink"/>
                <w:noProof/>
              </w:rPr>
              <w:t>1.</w:t>
            </w:r>
            <w:r w:rsidR="001D65CC">
              <w:rPr>
                <w:rFonts w:asciiTheme="minorHAnsi" w:hAnsiTheme="minorHAnsi" w:cstheme="minorBidi"/>
                <w:noProof/>
                <w:sz w:val="22"/>
              </w:rPr>
              <w:tab/>
            </w:r>
            <w:r w:rsidRPr="00814A50" w:rsidR="001D65CC">
              <w:rPr>
                <w:rStyle w:val="Hyperlink"/>
                <w:noProof/>
              </w:rPr>
              <w:t>Background</w:t>
            </w:r>
            <w:r w:rsidR="001D65CC">
              <w:rPr>
                <w:noProof/>
                <w:webHidden/>
              </w:rPr>
              <w:tab/>
            </w:r>
            <w:r w:rsidR="001D65CC">
              <w:rPr>
                <w:noProof/>
                <w:webHidden/>
              </w:rPr>
              <w:fldChar w:fldCharType="begin"/>
            </w:r>
            <w:r w:rsidR="001D65CC">
              <w:rPr>
                <w:noProof/>
                <w:webHidden/>
              </w:rPr>
              <w:instrText xml:space="preserve"> PAGEREF _Toc81913468 \h </w:instrText>
            </w:r>
            <w:r w:rsidR="001D65CC">
              <w:rPr>
                <w:noProof/>
                <w:webHidden/>
              </w:rPr>
            </w:r>
            <w:r w:rsidR="001D65CC">
              <w:rPr>
                <w:noProof/>
                <w:webHidden/>
              </w:rPr>
              <w:fldChar w:fldCharType="separate"/>
            </w:r>
            <w:r w:rsidR="00586FBB">
              <w:rPr>
                <w:noProof/>
                <w:webHidden/>
              </w:rPr>
              <w:t>2</w:t>
            </w:r>
            <w:r w:rsidR="001D65CC">
              <w:rPr>
                <w:noProof/>
                <w:webHidden/>
              </w:rPr>
              <w:fldChar w:fldCharType="end"/>
            </w:r>
          </w:hyperlink>
        </w:p>
        <w:p w:rsidR="001D65CC" w:rsidRDefault="00EC6257" w14:paraId="34F709D5" w14:textId="17E0E947">
          <w:pPr>
            <w:pStyle w:val="TOC2"/>
            <w:tabs>
              <w:tab w:val="right" w:leader="dot" w:pos="9350"/>
            </w:tabs>
            <w:rPr>
              <w:rFonts w:asciiTheme="minorHAnsi" w:hAnsiTheme="minorHAnsi" w:cstheme="minorBidi"/>
              <w:noProof/>
              <w:sz w:val="22"/>
            </w:rPr>
          </w:pPr>
          <w:hyperlink w:history="1" w:anchor="_Toc81913469">
            <w:r w:rsidRPr="00814A50" w:rsidR="001D65CC">
              <w:rPr>
                <w:rStyle w:val="Hyperlink"/>
                <w:noProof/>
              </w:rPr>
              <w:t>1.1 Factual Background</w:t>
            </w:r>
            <w:r w:rsidR="001D65CC">
              <w:rPr>
                <w:noProof/>
                <w:webHidden/>
              </w:rPr>
              <w:tab/>
            </w:r>
            <w:r w:rsidR="001D65CC">
              <w:rPr>
                <w:noProof/>
                <w:webHidden/>
              </w:rPr>
              <w:fldChar w:fldCharType="begin"/>
            </w:r>
            <w:r w:rsidR="001D65CC">
              <w:rPr>
                <w:noProof/>
                <w:webHidden/>
              </w:rPr>
              <w:instrText xml:space="preserve"> PAGEREF _Toc81913469 \h </w:instrText>
            </w:r>
            <w:r w:rsidR="001D65CC">
              <w:rPr>
                <w:noProof/>
                <w:webHidden/>
              </w:rPr>
            </w:r>
            <w:r w:rsidR="001D65CC">
              <w:rPr>
                <w:noProof/>
                <w:webHidden/>
              </w:rPr>
              <w:fldChar w:fldCharType="separate"/>
            </w:r>
            <w:r w:rsidR="00586FBB">
              <w:rPr>
                <w:noProof/>
                <w:webHidden/>
              </w:rPr>
              <w:t>2</w:t>
            </w:r>
            <w:r w:rsidR="001D65CC">
              <w:rPr>
                <w:noProof/>
                <w:webHidden/>
              </w:rPr>
              <w:fldChar w:fldCharType="end"/>
            </w:r>
          </w:hyperlink>
        </w:p>
        <w:p w:rsidR="001D65CC" w:rsidRDefault="00EC6257" w14:paraId="044110D1" w14:textId="2DA56876">
          <w:pPr>
            <w:pStyle w:val="TOC2"/>
            <w:tabs>
              <w:tab w:val="right" w:leader="dot" w:pos="9350"/>
            </w:tabs>
            <w:rPr>
              <w:rFonts w:asciiTheme="minorHAnsi" w:hAnsiTheme="minorHAnsi" w:cstheme="minorBidi"/>
              <w:noProof/>
              <w:sz w:val="22"/>
            </w:rPr>
          </w:pPr>
          <w:hyperlink w:history="1" w:anchor="_Toc81913470">
            <w:r w:rsidRPr="00814A50" w:rsidR="001D65CC">
              <w:rPr>
                <w:rStyle w:val="Hyperlink"/>
                <w:noProof/>
              </w:rPr>
              <w:t>1.2 Procedural Background</w:t>
            </w:r>
            <w:r w:rsidR="001D65CC">
              <w:rPr>
                <w:noProof/>
                <w:webHidden/>
              </w:rPr>
              <w:tab/>
            </w:r>
            <w:r w:rsidR="001D65CC">
              <w:rPr>
                <w:noProof/>
                <w:webHidden/>
              </w:rPr>
              <w:fldChar w:fldCharType="begin"/>
            </w:r>
            <w:r w:rsidR="001D65CC">
              <w:rPr>
                <w:noProof/>
                <w:webHidden/>
              </w:rPr>
              <w:instrText xml:space="preserve"> PAGEREF _Toc81913470 \h </w:instrText>
            </w:r>
            <w:r w:rsidR="001D65CC">
              <w:rPr>
                <w:noProof/>
                <w:webHidden/>
              </w:rPr>
            </w:r>
            <w:r w:rsidR="001D65CC">
              <w:rPr>
                <w:noProof/>
                <w:webHidden/>
              </w:rPr>
              <w:fldChar w:fldCharType="separate"/>
            </w:r>
            <w:r w:rsidR="00586FBB">
              <w:rPr>
                <w:noProof/>
                <w:webHidden/>
              </w:rPr>
              <w:t>3</w:t>
            </w:r>
            <w:r w:rsidR="001D65CC">
              <w:rPr>
                <w:noProof/>
                <w:webHidden/>
              </w:rPr>
              <w:fldChar w:fldCharType="end"/>
            </w:r>
          </w:hyperlink>
        </w:p>
        <w:p w:rsidR="001D65CC" w:rsidRDefault="00EC6257" w14:paraId="4F2ECCA2" w14:textId="0592E0F8">
          <w:pPr>
            <w:pStyle w:val="TOC1"/>
            <w:tabs>
              <w:tab w:val="right" w:leader="dot" w:pos="9350"/>
            </w:tabs>
            <w:rPr>
              <w:rFonts w:asciiTheme="minorHAnsi" w:hAnsiTheme="minorHAnsi" w:cstheme="minorBidi"/>
              <w:noProof/>
              <w:sz w:val="22"/>
            </w:rPr>
          </w:pPr>
          <w:hyperlink w:history="1" w:anchor="_Toc81913471">
            <w:r w:rsidRPr="00814A50" w:rsidR="001D65CC">
              <w:rPr>
                <w:rStyle w:val="Hyperlink"/>
                <w:noProof/>
              </w:rPr>
              <w:t>2.</w:t>
            </w:r>
            <w:r w:rsidR="001D65CC">
              <w:rPr>
                <w:rFonts w:asciiTheme="minorHAnsi" w:hAnsiTheme="minorHAnsi" w:cstheme="minorBidi"/>
                <w:noProof/>
                <w:sz w:val="22"/>
              </w:rPr>
              <w:tab/>
            </w:r>
            <w:r w:rsidRPr="00814A50" w:rsidR="001D65CC">
              <w:rPr>
                <w:rStyle w:val="Hyperlink"/>
                <w:noProof/>
              </w:rPr>
              <w:t>Issues Before the Commission</w:t>
            </w:r>
            <w:r w:rsidR="001D65CC">
              <w:rPr>
                <w:noProof/>
                <w:webHidden/>
              </w:rPr>
              <w:tab/>
            </w:r>
            <w:r w:rsidR="001D65CC">
              <w:rPr>
                <w:noProof/>
                <w:webHidden/>
              </w:rPr>
              <w:fldChar w:fldCharType="begin"/>
            </w:r>
            <w:r w:rsidR="001D65CC">
              <w:rPr>
                <w:noProof/>
                <w:webHidden/>
              </w:rPr>
              <w:instrText xml:space="preserve"> PAGEREF _Toc81913471 \h </w:instrText>
            </w:r>
            <w:r w:rsidR="001D65CC">
              <w:rPr>
                <w:noProof/>
                <w:webHidden/>
              </w:rPr>
            </w:r>
            <w:r w:rsidR="001D65CC">
              <w:rPr>
                <w:noProof/>
                <w:webHidden/>
              </w:rPr>
              <w:fldChar w:fldCharType="separate"/>
            </w:r>
            <w:r w:rsidR="00586FBB">
              <w:rPr>
                <w:noProof/>
                <w:webHidden/>
              </w:rPr>
              <w:t>6</w:t>
            </w:r>
            <w:r w:rsidR="001D65CC">
              <w:rPr>
                <w:noProof/>
                <w:webHidden/>
              </w:rPr>
              <w:fldChar w:fldCharType="end"/>
            </w:r>
          </w:hyperlink>
        </w:p>
        <w:p w:rsidR="001D65CC" w:rsidRDefault="00EC6257" w14:paraId="516D5138" w14:textId="67F8CA89">
          <w:pPr>
            <w:pStyle w:val="TOC1"/>
            <w:tabs>
              <w:tab w:val="right" w:leader="dot" w:pos="9350"/>
            </w:tabs>
            <w:rPr>
              <w:rFonts w:asciiTheme="minorHAnsi" w:hAnsiTheme="minorHAnsi" w:cstheme="minorBidi"/>
              <w:noProof/>
              <w:sz w:val="22"/>
            </w:rPr>
          </w:pPr>
          <w:hyperlink w:history="1" w:anchor="_Toc81913472">
            <w:r w:rsidRPr="00814A50" w:rsidR="001D65CC">
              <w:rPr>
                <w:rStyle w:val="Hyperlink"/>
                <w:noProof/>
              </w:rPr>
              <w:t>3.</w:t>
            </w:r>
            <w:r w:rsidR="001D65CC">
              <w:rPr>
                <w:rFonts w:asciiTheme="minorHAnsi" w:hAnsiTheme="minorHAnsi" w:cstheme="minorBidi"/>
                <w:noProof/>
                <w:sz w:val="22"/>
              </w:rPr>
              <w:tab/>
            </w:r>
            <w:r w:rsidRPr="00814A50" w:rsidR="001D65CC">
              <w:rPr>
                <w:rStyle w:val="Hyperlink"/>
                <w:noProof/>
              </w:rPr>
              <w:t>Service Restoration Requirements</w:t>
            </w:r>
            <w:r w:rsidR="001D65CC">
              <w:rPr>
                <w:noProof/>
                <w:webHidden/>
              </w:rPr>
              <w:tab/>
            </w:r>
            <w:r w:rsidR="001D65CC">
              <w:rPr>
                <w:noProof/>
                <w:webHidden/>
              </w:rPr>
              <w:fldChar w:fldCharType="begin"/>
            </w:r>
            <w:r w:rsidR="001D65CC">
              <w:rPr>
                <w:noProof/>
                <w:webHidden/>
              </w:rPr>
              <w:instrText xml:space="preserve"> PAGEREF _Toc81913472 \h </w:instrText>
            </w:r>
            <w:r w:rsidR="001D65CC">
              <w:rPr>
                <w:noProof/>
                <w:webHidden/>
              </w:rPr>
            </w:r>
            <w:r w:rsidR="001D65CC">
              <w:rPr>
                <w:noProof/>
                <w:webHidden/>
              </w:rPr>
              <w:fldChar w:fldCharType="separate"/>
            </w:r>
            <w:r w:rsidR="00586FBB">
              <w:rPr>
                <w:noProof/>
                <w:webHidden/>
              </w:rPr>
              <w:t>7</w:t>
            </w:r>
            <w:r w:rsidR="001D65CC">
              <w:rPr>
                <w:noProof/>
                <w:webHidden/>
              </w:rPr>
              <w:fldChar w:fldCharType="end"/>
            </w:r>
          </w:hyperlink>
        </w:p>
        <w:p w:rsidR="001D65CC" w:rsidRDefault="00EC6257" w14:paraId="69D1C089" w14:textId="25E9E45C">
          <w:pPr>
            <w:pStyle w:val="TOC2"/>
            <w:tabs>
              <w:tab w:val="right" w:leader="dot" w:pos="9350"/>
            </w:tabs>
            <w:rPr>
              <w:rFonts w:asciiTheme="minorHAnsi" w:hAnsiTheme="minorHAnsi" w:cstheme="minorBidi"/>
              <w:noProof/>
              <w:sz w:val="22"/>
            </w:rPr>
          </w:pPr>
          <w:hyperlink w:history="1" w:anchor="_Toc81913473">
            <w:r w:rsidRPr="00814A50" w:rsidR="001D65CC">
              <w:rPr>
                <w:rStyle w:val="Hyperlink"/>
                <w:noProof/>
              </w:rPr>
              <w:t>3.1 Party Positions</w:t>
            </w:r>
            <w:r w:rsidR="001D65CC">
              <w:rPr>
                <w:noProof/>
                <w:webHidden/>
              </w:rPr>
              <w:tab/>
            </w:r>
            <w:r w:rsidR="001D65CC">
              <w:rPr>
                <w:noProof/>
                <w:webHidden/>
              </w:rPr>
              <w:fldChar w:fldCharType="begin"/>
            </w:r>
            <w:r w:rsidR="001D65CC">
              <w:rPr>
                <w:noProof/>
                <w:webHidden/>
              </w:rPr>
              <w:instrText xml:space="preserve"> PAGEREF _Toc81913473 \h </w:instrText>
            </w:r>
            <w:r w:rsidR="001D65CC">
              <w:rPr>
                <w:noProof/>
                <w:webHidden/>
              </w:rPr>
            </w:r>
            <w:r w:rsidR="001D65CC">
              <w:rPr>
                <w:noProof/>
                <w:webHidden/>
              </w:rPr>
              <w:fldChar w:fldCharType="separate"/>
            </w:r>
            <w:r w:rsidR="00586FBB">
              <w:rPr>
                <w:noProof/>
                <w:webHidden/>
              </w:rPr>
              <w:t>8</w:t>
            </w:r>
            <w:r w:rsidR="001D65CC">
              <w:rPr>
                <w:noProof/>
                <w:webHidden/>
              </w:rPr>
              <w:fldChar w:fldCharType="end"/>
            </w:r>
          </w:hyperlink>
        </w:p>
        <w:p w:rsidR="001D65CC" w:rsidRDefault="00EC6257" w14:paraId="2ED436E4" w14:textId="57C2585A">
          <w:pPr>
            <w:pStyle w:val="TOC2"/>
            <w:tabs>
              <w:tab w:val="right" w:leader="dot" w:pos="9350"/>
            </w:tabs>
            <w:rPr>
              <w:rFonts w:asciiTheme="minorHAnsi" w:hAnsiTheme="minorHAnsi" w:cstheme="minorBidi"/>
              <w:noProof/>
              <w:sz w:val="22"/>
            </w:rPr>
          </w:pPr>
          <w:hyperlink w:history="1" w:anchor="_Toc81913474">
            <w:r w:rsidRPr="00814A50" w:rsidR="001D65CC">
              <w:rPr>
                <w:rStyle w:val="Hyperlink"/>
                <w:noProof/>
              </w:rPr>
              <w:t>3.2 Discussion</w:t>
            </w:r>
            <w:r w:rsidR="001D65CC">
              <w:rPr>
                <w:noProof/>
                <w:webHidden/>
              </w:rPr>
              <w:tab/>
            </w:r>
            <w:r w:rsidR="001D65CC">
              <w:rPr>
                <w:noProof/>
                <w:webHidden/>
              </w:rPr>
              <w:fldChar w:fldCharType="begin"/>
            </w:r>
            <w:r w:rsidR="001D65CC">
              <w:rPr>
                <w:noProof/>
                <w:webHidden/>
              </w:rPr>
              <w:instrText xml:space="preserve"> PAGEREF _Toc81913474 \h </w:instrText>
            </w:r>
            <w:r w:rsidR="001D65CC">
              <w:rPr>
                <w:noProof/>
                <w:webHidden/>
              </w:rPr>
            </w:r>
            <w:r w:rsidR="001D65CC">
              <w:rPr>
                <w:noProof/>
                <w:webHidden/>
              </w:rPr>
              <w:fldChar w:fldCharType="separate"/>
            </w:r>
            <w:r w:rsidR="00586FBB">
              <w:rPr>
                <w:noProof/>
                <w:webHidden/>
              </w:rPr>
              <w:t>11</w:t>
            </w:r>
            <w:r w:rsidR="001D65CC">
              <w:rPr>
                <w:noProof/>
                <w:webHidden/>
              </w:rPr>
              <w:fldChar w:fldCharType="end"/>
            </w:r>
          </w:hyperlink>
        </w:p>
        <w:p w:rsidR="001D65CC" w:rsidRDefault="00EC6257" w14:paraId="1E4A8A9E" w14:textId="5B9FE4AB">
          <w:pPr>
            <w:pStyle w:val="TOC1"/>
            <w:tabs>
              <w:tab w:val="right" w:leader="dot" w:pos="9350"/>
            </w:tabs>
            <w:rPr>
              <w:rFonts w:asciiTheme="minorHAnsi" w:hAnsiTheme="minorHAnsi" w:cstheme="minorBidi"/>
              <w:noProof/>
              <w:sz w:val="22"/>
            </w:rPr>
          </w:pPr>
          <w:hyperlink w:history="1" w:anchor="_Toc81913475">
            <w:r w:rsidRPr="00814A50" w:rsidR="001D65CC">
              <w:rPr>
                <w:rStyle w:val="Hyperlink"/>
                <w:noProof/>
              </w:rPr>
              <w:t>4.</w:t>
            </w:r>
            <w:r w:rsidR="001D65CC">
              <w:rPr>
                <w:rFonts w:asciiTheme="minorHAnsi" w:hAnsiTheme="minorHAnsi" w:cstheme="minorBidi"/>
                <w:noProof/>
                <w:sz w:val="22"/>
              </w:rPr>
              <w:tab/>
            </w:r>
            <w:r w:rsidRPr="00814A50" w:rsidR="001D65CC">
              <w:rPr>
                <w:rStyle w:val="Hyperlink"/>
                <w:noProof/>
              </w:rPr>
              <w:t>Service Restoration Engagement Requirements</w:t>
            </w:r>
            <w:r w:rsidR="001D65CC">
              <w:rPr>
                <w:noProof/>
                <w:webHidden/>
              </w:rPr>
              <w:tab/>
            </w:r>
            <w:r w:rsidR="001D65CC">
              <w:rPr>
                <w:noProof/>
                <w:webHidden/>
              </w:rPr>
              <w:fldChar w:fldCharType="begin"/>
            </w:r>
            <w:r w:rsidR="001D65CC">
              <w:rPr>
                <w:noProof/>
                <w:webHidden/>
              </w:rPr>
              <w:instrText xml:space="preserve"> PAGEREF _Toc81913475 \h </w:instrText>
            </w:r>
            <w:r w:rsidR="001D65CC">
              <w:rPr>
                <w:noProof/>
                <w:webHidden/>
              </w:rPr>
            </w:r>
            <w:r w:rsidR="001D65CC">
              <w:rPr>
                <w:noProof/>
                <w:webHidden/>
              </w:rPr>
              <w:fldChar w:fldCharType="separate"/>
            </w:r>
            <w:r w:rsidR="00586FBB">
              <w:rPr>
                <w:noProof/>
                <w:webHidden/>
              </w:rPr>
              <w:t>12</w:t>
            </w:r>
            <w:r w:rsidR="001D65CC">
              <w:rPr>
                <w:noProof/>
                <w:webHidden/>
              </w:rPr>
              <w:fldChar w:fldCharType="end"/>
            </w:r>
          </w:hyperlink>
        </w:p>
        <w:p w:rsidR="001D65CC" w:rsidRDefault="00EC6257" w14:paraId="2CB4954F" w14:textId="06EA6217">
          <w:pPr>
            <w:pStyle w:val="TOC2"/>
            <w:tabs>
              <w:tab w:val="right" w:leader="dot" w:pos="9350"/>
            </w:tabs>
            <w:rPr>
              <w:rFonts w:asciiTheme="minorHAnsi" w:hAnsiTheme="minorHAnsi" w:cstheme="minorBidi"/>
              <w:noProof/>
              <w:sz w:val="22"/>
            </w:rPr>
          </w:pPr>
          <w:hyperlink w:history="1" w:anchor="_Toc81913476">
            <w:r w:rsidRPr="00814A50" w:rsidR="001D65CC">
              <w:rPr>
                <w:rStyle w:val="Hyperlink"/>
                <w:noProof/>
              </w:rPr>
              <w:t>4.1 Party Positions</w:t>
            </w:r>
            <w:r w:rsidR="001D65CC">
              <w:rPr>
                <w:noProof/>
                <w:webHidden/>
              </w:rPr>
              <w:tab/>
            </w:r>
            <w:r w:rsidR="001D65CC">
              <w:rPr>
                <w:noProof/>
                <w:webHidden/>
              </w:rPr>
              <w:fldChar w:fldCharType="begin"/>
            </w:r>
            <w:r w:rsidR="001D65CC">
              <w:rPr>
                <w:noProof/>
                <w:webHidden/>
              </w:rPr>
              <w:instrText xml:space="preserve"> PAGEREF _Toc81913476 \h </w:instrText>
            </w:r>
            <w:r w:rsidR="001D65CC">
              <w:rPr>
                <w:noProof/>
                <w:webHidden/>
              </w:rPr>
            </w:r>
            <w:r w:rsidR="001D65CC">
              <w:rPr>
                <w:noProof/>
                <w:webHidden/>
              </w:rPr>
              <w:fldChar w:fldCharType="separate"/>
            </w:r>
            <w:r w:rsidR="00586FBB">
              <w:rPr>
                <w:noProof/>
                <w:webHidden/>
              </w:rPr>
              <w:t>13</w:t>
            </w:r>
            <w:r w:rsidR="001D65CC">
              <w:rPr>
                <w:noProof/>
                <w:webHidden/>
              </w:rPr>
              <w:fldChar w:fldCharType="end"/>
            </w:r>
          </w:hyperlink>
        </w:p>
        <w:p w:rsidR="001D65CC" w:rsidRDefault="00EC6257" w14:paraId="26D0BD3C" w14:textId="28CA344C">
          <w:pPr>
            <w:pStyle w:val="TOC2"/>
            <w:tabs>
              <w:tab w:val="right" w:leader="dot" w:pos="9350"/>
            </w:tabs>
            <w:rPr>
              <w:rFonts w:asciiTheme="minorHAnsi" w:hAnsiTheme="minorHAnsi" w:cstheme="minorBidi"/>
              <w:noProof/>
              <w:sz w:val="22"/>
            </w:rPr>
          </w:pPr>
          <w:hyperlink w:history="1" w:anchor="_Toc81913477">
            <w:r w:rsidRPr="00814A50" w:rsidR="001D65CC">
              <w:rPr>
                <w:rStyle w:val="Hyperlink"/>
                <w:noProof/>
              </w:rPr>
              <w:t>4.2 Discussion</w:t>
            </w:r>
            <w:r w:rsidR="001D65CC">
              <w:rPr>
                <w:noProof/>
                <w:webHidden/>
              </w:rPr>
              <w:tab/>
            </w:r>
            <w:r w:rsidR="001D65CC">
              <w:rPr>
                <w:noProof/>
                <w:webHidden/>
              </w:rPr>
              <w:fldChar w:fldCharType="begin"/>
            </w:r>
            <w:r w:rsidR="001D65CC">
              <w:rPr>
                <w:noProof/>
                <w:webHidden/>
              </w:rPr>
              <w:instrText xml:space="preserve"> PAGEREF _Toc81913477 \h </w:instrText>
            </w:r>
            <w:r w:rsidR="001D65CC">
              <w:rPr>
                <w:noProof/>
                <w:webHidden/>
              </w:rPr>
            </w:r>
            <w:r w:rsidR="001D65CC">
              <w:rPr>
                <w:noProof/>
                <w:webHidden/>
              </w:rPr>
              <w:fldChar w:fldCharType="separate"/>
            </w:r>
            <w:r w:rsidR="00586FBB">
              <w:rPr>
                <w:noProof/>
                <w:webHidden/>
              </w:rPr>
              <w:t>17</w:t>
            </w:r>
            <w:r w:rsidR="001D65CC">
              <w:rPr>
                <w:noProof/>
                <w:webHidden/>
              </w:rPr>
              <w:fldChar w:fldCharType="end"/>
            </w:r>
          </w:hyperlink>
        </w:p>
        <w:p w:rsidR="001D65CC" w:rsidRDefault="00EC6257" w14:paraId="30F86FDA" w14:textId="3E424B1E">
          <w:pPr>
            <w:pStyle w:val="TOC1"/>
            <w:tabs>
              <w:tab w:val="right" w:leader="dot" w:pos="9350"/>
            </w:tabs>
            <w:rPr>
              <w:rFonts w:asciiTheme="minorHAnsi" w:hAnsiTheme="minorHAnsi" w:cstheme="minorBidi"/>
              <w:noProof/>
              <w:sz w:val="22"/>
            </w:rPr>
          </w:pPr>
          <w:hyperlink w:history="1" w:anchor="_Toc81913478">
            <w:r w:rsidRPr="00814A50" w:rsidR="001D65CC">
              <w:rPr>
                <w:rStyle w:val="Hyperlink"/>
                <w:noProof/>
              </w:rPr>
              <w:t>5.</w:t>
            </w:r>
            <w:r w:rsidR="001D65CC">
              <w:rPr>
                <w:rFonts w:asciiTheme="minorHAnsi" w:hAnsiTheme="minorHAnsi" w:cstheme="minorBidi"/>
                <w:noProof/>
                <w:sz w:val="22"/>
              </w:rPr>
              <w:tab/>
            </w:r>
            <w:r w:rsidRPr="00814A50" w:rsidR="001D65CC">
              <w:rPr>
                <w:rStyle w:val="Hyperlink"/>
                <w:noProof/>
              </w:rPr>
              <w:t>Digital Divide Account</w:t>
            </w:r>
            <w:r w:rsidR="001D65CC">
              <w:rPr>
                <w:noProof/>
                <w:webHidden/>
              </w:rPr>
              <w:tab/>
            </w:r>
            <w:r w:rsidR="001D65CC">
              <w:rPr>
                <w:noProof/>
                <w:webHidden/>
              </w:rPr>
              <w:fldChar w:fldCharType="begin"/>
            </w:r>
            <w:r w:rsidR="001D65CC">
              <w:rPr>
                <w:noProof/>
                <w:webHidden/>
              </w:rPr>
              <w:instrText xml:space="preserve"> PAGEREF _Toc81913478 \h </w:instrText>
            </w:r>
            <w:r w:rsidR="001D65CC">
              <w:rPr>
                <w:noProof/>
                <w:webHidden/>
              </w:rPr>
            </w:r>
            <w:r w:rsidR="001D65CC">
              <w:rPr>
                <w:noProof/>
                <w:webHidden/>
              </w:rPr>
              <w:fldChar w:fldCharType="separate"/>
            </w:r>
            <w:r w:rsidR="00586FBB">
              <w:rPr>
                <w:noProof/>
                <w:webHidden/>
              </w:rPr>
              <w:t>20</w:t>
            </w:r>
            <w:r w:rsidR="001D65CC">
              <w:rPr>
                <w:noProof/>
                <w:webHidden/>
              </w:rPr>
              <w:fldChar w:fldCharType="end"/>
            </w:r>
          </w:hyperlink>
        </w:p>
        <w:p w:rsidR="001D65CC" w:rsidRDefault="00EC6257" w14:paraId="45E7DBDB" w14:textId="33649782">
          <w:pPr>
            <w:pStyle w:val="TOC2"/>
            <w:tabs>
              <w:tab w:val="right" w:leader="dot" w:pos="9350"/>
            </w:tabs>
            <w:rPr>
              <w:rFonts w:asciiTheme="minorHAnsi" w:hAnsiTheme="minorHAnsi" w:cstheme="minorBidi"/>
              <w:noProof/>
              <w:sz w:val="22"/>
            </w:rPr>
          </w:pPr>
          <w:hyperlink w:history="1" w:anchor="_Toc81913479">
            <w:r w:rsidRPr="00814A50" w:rsidR="001D65CC">
              <w:rPr>
                <w:rStyle w:val="Hyperlink"/>
                <w:noProof/>
              </w:rPr>
              <w:t>5.1 Party Positions</w:t>
            </w:r>
            <w:r w:rsidR="001D65CC">
              <w:rPr>
                <w:noProof/>
                <w:webHidden/>
              </w:rPr>
              <w:tab/>
            </w:r>
            <w:r w:rsidR="001D65CC">
              <w:rPr>
                <w:noProof/>
                <w:webHidden/>
              </w:rPr>
              <w:fldChar w:fldCharType="begin"/>
            </w:r>
            <w:r w:rsidR="001D65CC">
              <w:rPr>
                <w:noProof/>
                <w:webHidden/>
              </w:rPr>
              <w:instrText xml:space="preserve"> PAGEREF _Toc81913479 \h </w:instrText>
            </w:r>
            <w:r w:rsidR="001D65CC">
              <w:rPr>
                <w:noProof/>
                <w:webHidden/>
              </w:rPr>
            </w:r>
            <w:r w:rsidR="001D65CC">
              <w:rPr>
                <w:noProof/>
                <w:webHidden/>
              </w:rPr>
              <w:fldChar w:fldCharType="separate"/>
            </w:r>
            <w:r w:rsidR="00586FBB">
              <w:rPr>
                <w:noProof/>
                <w:webHidden/>
              </w:rPr>
              <w:t>21</w:t>
            </w:r>
            <w:r w:rsidR="001D65CC">
              <w:rPr>
                <w:noProof/>
                <w:webHidden/>
              </w:rPr>
              <w:fldChar w:fldCharType="end"/>
            </w:r>
          </w:hyperlink>
        </w:p>
        <w:p w:rsidR="001D65CC" w:rsidRDefault="00EC6257" w14:paraId="6AEA3C58" w14:textId="73D1C955">
          <w:pPr>
            <w:pStyle w:val="TOC2"/>
            <w:tabs>
              <w:tab w:val="right" w:leader="dot" w:pos="9350"/>
            </w:tabs>
            <w:rPr>
              <w:rFonts w:asciiTheme="minorHAnsi" w:hAnsiTheme="minorHAnsi" w:cstheme="minorBidi"/>
              <w:noProof/>
              <w:sz w:val="22"/>
            </w:rPr>
          </w:pPr>
          <w:hyperlink w:history="1" w:anchor="_Toc81913480">
            <w:r w:rsidRPr="00814A50" w:rsidR="001D65CC">
              <w:rPr>
                <w:rStyle w:val="Hyperlink"/>
                <w:noProof/>
              </w:rPr>
              <w:t>5.2 Discussion</w:t>
            </w:r>
            <w:r w:rsidR="001D65CC">
              <w:rPr>
                <w:noProof/>
                <w:webHidden/>
              </w:rPr>
              <w:tab/>
            </w:r>
            <w:r w:rsidR="001D65CC">
              <w:rPr>
                <w:noProof/>
                <w:webHidden/>
              </w:rPr>
              <w:fldChar w:fldCharType="begin"/>
            </w:r>
            <w:r w:rsidR="001D65CC">
              <w:rPr>
                <w:noProof/>
                <w:webHidden/>
              </w:rPr>
              <w:instrText xml:space="preserve"> PAGEREF _Toc81913480 \h </w:instrText>
            </w:r>
            <w:r w:rsidR="001D65CC">
              <w:rPr>
                <w:noProof/>
                <w:webHidden/>
              </w:rPr>
            </w:r>
            <w:r w:rsidR="001D65CC">
              <w:rPr>
                <w:noProof/>
                <w:webHidden/>
              </w:rPr>
              <w:fldChar w:fldCharType="separate"/>
            </w:r>
            <w:r w:rsidR="00586FBB">
              <w:rPr>
                <w:noProof/>
                <w:webHidden/>
              </w:rPr>
              <w:t>22</w:t>
            </w:r>
            <w:r w:rsidR="001D65CC">
              <w:rPr>
                <w:noProof/>
                <w:webHidden/>
              </w:rPr>
              <w:fldChar w:fldCharType="end"/>
            </w:r>
          </w:hyperlink>
        </w:p>
        <w:p w:rsidR="001D65CC" w:rsidRDefault="00EC6257" w14:paraId="3719E95D" w14:textId="513265EF">
          <w:pPr>
            <w:pStyle w:val="TOC1"/>
            <w:tabs>
              <w:tab w:val="right" w:leader="dot" w:pos="9350"/>
            </w:tabs>
            <w:rPr>
              <w:rFonts w:asciiTheme="minorHAnsi" w:hAnsiTheme="minorHAnsi" w:cstheme="minorBidi"/>
              <w:noProof/>
              <w:sz w:val="22"/>
            </w:rPr>
          </w:pPr>
          <w:hyperlink w:history="1" w:anchor="_Toc81913481">
            <w:r w:rsidRPr="00814A50" w:rsidR="001D65CC">
              <w:rPr>
                <w:rStyle w:val="Hyperlink"/>
                <w:noProof/>
              </w:rPr>
              <w:t>6.</w:t>
            </w:r>
            <w:r w:rsidR="001D65CC">
              <w:rPr>
                <w:rFonts w:asciiTheme="minorHAnsi" w:hAnsiTheme="minorHAnsi" w:cstheme="minorBidi"/>
                <w:noProof/>
                <w:sz w:val="22"/>
              </w:rPr>
              <w:tab/>
            </w:r>
            <w:r w:rsidRPr="00814A50" w:rsidR="001D65CC">
              <w:rPr>
                <w:rStyle w:val="Hyperlink"/>
                <w:noProof/>
              </w:rPr>
              <w:t>Comments on Proposed Decision</w:t>
            </w:r>
            <w:r w:rsidR="001D65CC">
              <w:rPr>
                <w:noProof/>
                <w:webHidden/>
              </w:rPr>
              <w:tab/>
            </w:r>
            <w:r w:rsidR="001D65CC">
              <w:rPr>
                <w:noProof/>
                <w:webHidden/>
              </w:rPr>
              <w:fldChar w:fldCharType="begin"/>
            </w:r>
            <w:r w:rsidR="001D65CC">
              <w:rPr>
                <w:noProof/>
                <w:webHidden/>
              </w:rPr>
              <w:instrText xml:space="preserve"> PAGEREF _Toc81913481 \h </w:instrText>
            </w:r>
            <w:r w:rsidR="001D65CC">
              <w:rPr>
                <w:noProof/>
                <w:webHidden/>
              </w:rPr>
            </w:r>
            <w:r w:rsidR="001D65CC">
              <w:rPr>
                <w:noProof/>
                <w:webHidden/>
              </w:rPr>
              <w:fldChar w:fldCharType="separate"/>
            </w:r>
            <w:r w:rsidR="00586FBB">
              <w:rPr>
                <w:noProof/>
                <w:webHidden/>
              </w:rPr>
              <w:t>23</w:t>
            </w:r>
            <w:r w:rsidR="001D65CC">
              <w:rPr>
                <w:noProof/>
                <w:webHidden/>
              </w:rPr>
              <w:fldChar w:fldCharType="end"/>
            </w:r>
          </w:hyperlink>
        </w:p>
        <w:p w:rsidR="001D65CC" w:rsidRDefault="00EC6257" w14:paraId="781A761D" w14:textId="449D4631">
          <w:pPr>
            <w:pStyle w:val="TOC1"/>
            <w:tabs>
              <w:tab w:val="right" w:leader="dot" w:pos="9350"/>
            </w:tabs>
            <w:rPr>
              <w:rFonts w:asciiTheme="minorHAnsi" w:hAnsiTheme="minorHAnsi" w:cstheme="minorBidi"/>
              <w:noProof/>
              <w:sz w:val="22"/>
            </w:rPr>
          </w:pPr>
          <w:hyperlink w:history="1" w:anchor="_Toc81913482">
            <w:r w:rsidRPr="00814A50" w:rsidR="001D65CC">
              <w:rPr>
                <w:rStyle w:val="Hyperlink"/>
                <w:noProof/>
              </w:rPr>
              <w:t>7.</w:t>
            </w:r>
            <w:r w:rsidR="001D65CC">
              <w:rPr>
                <w:rFonts w:asciiTheme="minorHAnsi" w:hAnsiTheme="minorHAnsi" w:cstheme="minorBidi"/>
                <w:noProof/>
                <w:sz w:val="22"/>
              </w:rPr>
              <w:tab/>
            </w:r>
            <w:r w:rsidRPr="00814A50" w:rsidR="001D65CC">
              <w:rPr>
                <w:rStyle w:val="Hyperlink"/>
                <w:noProof/>
              </w:rPr>
              <w:t>Assignment of Proceeding</w:t>
            </w:r>
            <w:r w:rsidR="001D65CC">
              <w:rPr>
                <w:noProof/>
                <w:webHidden/>
              </w:rPr>
              <w:tab/>
            </w:r>
            <w:r w:rsidR="001D65CC">
              <w:rPr>
                <w:noProof/>
                <w:webHidden/>
              </w:rPr>
              <w:fldChar w:fldCharType="begin"/>
            </w:r>
            <w:r w:rsidR="001D65CC">
              <w:rPr>
                <w:noProof/>
                <w:webHidden/>
              </w:rPr>
              <w:instrText xml:space="preserve"> PAGEREF _Toc81913482 \h </w:instrText>
            </w:r>
            <w:r w:rsidR="001D65CC">
              <w:rPr>
                <w:noProof/>
                <w:webHidden/>
              </w:rPr>
            </w:r>
            <w:r w:rsidR="001D65CC">
              <w:rPr>
                <w:noProof/>
                <w:webHidden/>
              </w:rPr>
              <w:fldChar w:fldCharType="separate"/>
            </w:r>
            <w:r w:rsidR="00586FBB">
              <w:rPr>
                <w:noProof/>
                <w:webHidden/>
              </w:rPr>
              <w:t>24</w:t>
            </w:r>
            <w:r w:rsidR="001D65CC">
              <w:rPr>
                <w:noProof/>
                <w:webHidden/>
              </w:rPr>
              <w:fldChar w:fldCharType="end"/>
            </w:r>
          </w:hyperlink>
        </w:p>
        <w:p w:rsidR="001D65CC" w:rsidRDefault="00EC6257" w14:paraId="2A3234DE" w14:textId="6EE3DDD1">
          <w:pPr>
            <w:pStyle w:val="TOC1"/>
            <w:tabs>
              <w:tab w:val="right" w:leader="dot" w:pos="9350"/>
            </w:tabs>
            <w:rPr>
              <w:rFonts w:asciiTheme="minorHAnsi" w:hAnsiTheme="minorHAnsi" w:cstheme="minorBidi"/>
              <w:noProof/>
              <w:sz w:val="22"/>
            </w:rPr>
          </w:pPr>
          <w:hyperlink w:history="1" w:anchor="_Toc81913483">
            <w:r w:rsidRPr="00814A50" w:rsidR="001D65CC">
              <w:rPr>
                <w:rStyle w:val="Hyperlink"/>
                <w:noProof/>
              </w:rPr>
              <w:t>Findings of Fact</w:t>
            </w:r>
            <w:r w:rsidR="001D65CC">
              <w:rPr>
                <w:noProof/>
                <w:webHidden/>
              </w:rPr>
              <w:tab/>
            </w:r>
            <w:r w:rsidR="001D65CC">
              <w:rPr>
                <w:noProof/>
                <w:webHidden/>
              </w:rPr>
              <w:fldChar w:fldCharType="begin"/>
            </w:r>
            <w:r w:rsidR="001D65CC">
              <w:rPr>
                <w:noProof/>
                <w:webHidden/>
              </w:rPr>
              <w:instrText xml:space="preserve"> PAGEREF _Toc81913483 \h </w:instrText>
            </w:r>
            <w:r w:rsidR="001D65CC">
              <w:rPr>
                <w:noProof/>
                <w:webHidden/>
              </w:rPr>
            </w:r>
            <w:r w:rsidR="001D65CC">
              <w:rPr>
                <w:noProof/>
                <w:webHidden/>
              </w:rPr>
              <w:fldChar w:fldCharType="separate"/>
            </w:r>
            <w:r w:rsidR="00586FBB">
              <w:rPr>
                <w:noProof/>
                <w:webHidden/>
              </w:rPr>
              <w:t>24</w:t>
            </w:r>
            <w:r w:rsidR="001D65CC">
              <w:rPr>
                <w:noProof/>
                <w:webHidden/>
              </w:rPr>
              <w:fldChar w:fldCharType="end"/>
            </w:r>
          </w:hyperlink>
        </w:p>
        <w:p w:rsidR="001D65CC" w:rsidRDefault="00EC6257" w14:paraId="6322E5B7" w14:textId="31E66377">
          <w:pPr>
            <w:pStyle w:val="TOC1"/>
            <w:tabs>
              <w:tab w:val="right" w:leader="dot" w:pos="9350"/>
            </w:tabs>
            <w:rPr>
              <w:rFonts w:asciiTheme="minorHAnsi" w:hAnsiTheme="minorHAnsi" w:cstheme="minorBidi"/>
              <w:noProof/>
              <w:sz w:val="22"/>
            </w:rPr>
          </w:pPr>
          <w:hyperlink w:history="1" w:anchor="_Toc81913484">
            <w:r w:rsidRPr="00814A50" w:rsidR="001D65CC">
              <w:rPr>
                <w:rStyle w:val="Hyperlink"/>
                <w:noProof/>
              </w:rPr>
              <w:t>Conclusions of Law</w:t>
            </w:r>
            <w:r w:rsidR="001D65CC">
              <w:rPr>
                <w:noProof/>
                <w:webHidden/>
              </w:rPr>
              <w:tab/>
            </w:r>
            <w:r w:rsidR="001D65CC">
              <w:rPr>
                <w:noProof/>
                <w:webHidden/>
              </w:rPr>
              <w:fldChar w:fldCharType="begin"/>
            </w:r>
            <w:r w:rsidR="001D65CC">
              <w:rPr>
                <w:noProof/>
                <w:webHidden/>
              </w:rPr>
              <w:instrText xml:space="preserve"> PAGEREF _Toc81913484 \h </w:instrText>
            </w:r>
            <w:r w:rsidR="001D65CC">
              <w:rPr>
                <w:noProof/>
                <w:webHidden/>
              </w:rPr>
            </w:r>
            <w:r w:rsidR="001D65CC">
              <w:rPr>
                <w:noProof/>
                <w:webHidden/>
              </w:rPr>
              <w:fldChar w:fldCharType="separate"/>
            </w:r>
            <w:r w:rsidR="00586FBB">
              <w:rPr>
                <w:noProof/>
                <w:webHidden/>
              </w:rPr>
              <w:t>25</w:t>
            </w:r>
            <w:r w:rsidR="001D65CC">
              <w:rPr>
                <w:noProof/>
                <w:webHidden/>
              </w:rPr>
              <w:fldChar w:fldCharType="end"/>
            </w:r>
          </w:hyperlink>
        </w:p>
        <w:p w:rsidR="001D65CC" w:rsidRDefault="00EC6257" w14:paraId="4CD378BE" w14:textId="2300260B">
          <w:pPr>
            <w:pStyle w:val="TOC1"/>
            <w:tabs>
              <w:tab w:val="right" w:leader="dot" w:pos="9350"/>
            </w:tabs>
            <w:rPr>
              <w:rFonts w:asciiTheme="minorHAnsi" w:hAnsiTheme="minorHAnsi" w:cstheme="minorBidi"/>
              <w:noProof/>
              <w:sz w:val="22"/>
            </w:rPr>
          </w:pPr>
          <w:hyperlink w:history="1" w:anchor="_Toc81913485">
            <w:r w:rsidRPr="00814A50" w:rsidR="001D65CC">
              <w:rPr>
                <w:rStyle w:val="Hyperlink"/>
                <w:noProof/>
              </w:rPr>
              <w:t>ORDER</w:t>
            </w:r>
            <w:r w:rsidR="001D65CC">
              <w:rPr>
                <w:noProof/>
                <w:webHidden/>
              </w:rPr>
              <w:tab/>
            </w:r>
            <w:r w:rsidR="001D65CC">
              <w:rPr>
                <w:noProof/>
                <w:webHidden/>
              </w:rPr>
              <w:fldChar w:fldCharType="begin"/>
            </w:r>
            <w:r w:rsidR="001D65CC">
              <w:rPr>
                <w:noProof/>
                <w:webHidden/>
              </w:rPr>
              <w:instrText xml:space="preserve"> PAGEREF _Toc81913485 \h </w:instrText>
            </w:r>
            <w:r w:rsidR="001D65CC">
              <w:rPr>
                <w:noProof/>
                <w:webHidden/>
              </w:rPr>
            </w:r>
            <w:r w:rsidR="001D65CC">
              <w:rPr>
                <w:noProof/>
                <w:webHidden/>
              </w:rPr>
              <w:fldChar w:fldCharType="separate"/>
            </w:r>
            <w:r w:rsidR="00586FBB">
              <w:rPr>
                <w:noProof/>
                <w:webHidden/>
              </w:rPr>
              <w:t>25</w:t>
            </w:r>
            <w:r w:rsidR="001D65CC">
              <w:rPr>
                <w:noProof/>
                <w:webHidden/>
              </w:rPr>
              <w:fldChar w:fldCharType="end"/>
            </w:r>
          </w:hyperlink>
        </w:p>
        <w:p w:rsidR="001D65CC" w:rsidRDefault="001D65CC" w14:paraId="7125C509" w14:textId="48DCF9EC">
          <w:r>
            <w:rPr>
              <w:b/>
              <w:bCs/>
              <w:noProof/>
            </w:rPr>
            <w:fldChar w:fldCharType="end"/>
          </w:r>
        </w:p>
      </w:sdtContent>
    </w:sdt>
    <w:p w:rsidR="00D44DB6" w:rsidP="00D44DB6" w:rsidRDefault="00D44DB6" w14:paraId="204B7CEA" w14:textId="77777777">
      <w:pPr>
        <w:spacing w:line="240" w:lineRule="auto"/>
        <w:ind w:firstLine="0"/>
        <w:rPr>
          <w:rFonts w:cs="Arial"/>
          <w:i/>
          <w:szCs w:val="26"/>
        </w:rPr>
      </w:pPr>
    </w:p>
    <w:p w:rsidR="00777DEB" w:rsidP="00D44DB6" w:rsidRDefault="00777DEB" w14:paraId="30F3E216" w14:textId="77777777">
      <w:pPr>
        <w:spacing w:line="240" w:lineRule="auto"/>
        <w:ind w:firstLine="0"/>
        <w:rPr>
          <w:rFonts w:cs="Arial"/>
          <w:i/>
          <w:szCs w:val="26"/>
        </w:rPr>
      </w:pPr>
    </w:p>
    <w:p w:rsidR="00777DEB" w:rsidP="00D44DB6" w:rsidRDefault="00777DEB" w14:paraId="6CA8B08C" w14:textId="77777777">
      <w:pPr>
        <w:spacing w:line="240" w:lineRule="auto"/>
        <w:ind w:firstLine="0"/>
        <w:rPr>
          <w:rFonts w:cs="Arial"/>
          <w:i/>
          <w:szCs w:val="26"/>
        </w:rPr>
      </w:pPr>
    </w:p>
    <w:p w:rsidRPr="00777DEB" w:rsidR="00777DEB" w:rsidP="00D44DB6" w:rsidRDefault="00777DEB" w14:paraId="61DD2DA9" w14:textId="173523BC">
      <w:pPr>
        <w:spacing w:line="240" w:lineRule="auto"/>
        <w:ind w:firstLine="0"/>
        <w:rPr>
          <w:rFonts w:cs="Arial"/>
          <w:iCs/>
          <w:szCs w:val="26"/>
        </w:rPr>
        <w:sectPr w:rsidRPr="00777DEB" w:rsidR="00777DEB" w:rsidSect="00D44DB6">
          <w:headerReference w:type="default" r:id="rId14"/>
          <w:footerReference w:type="default" r:id="rId15"/>
          <w:pgSz w:w="12240" w:h="15840"/>
          <w:pgMar w:top="1728" w:right="1440" w:bottom="1440" w:left="1440" w:header="720" w:footer="720" w:gutter="0"/>
          <w:pgNumType w:fmt="lowerRoman" w:start="1"/>
          <w:cols w:space="720"/>
          <w:docGrid w:linePitch="360"/>
        </w:sectPr>
      </w:pPr>
    </w:p>
    <w:p w:rsidRPr="00023F11" w:rsidR="0098655A" w:rsidP="00D82A43" w:rsidRDefault="005654E1" w14:paraId="7D2D92F8" w14:textId="50CC8574">
      <w:pPr>
        <w:pStyle w:val="Main"/>
        <w:spacing w:after="240"/>
        <w:rPr>
          <w:highlight w:val="yellow"/>
        </w:rPr>
      </w:pPr>
      <w:r w:rsidRPr="005654E1">
        <w:lastRenderedPageBreak/>
        <w:t xml:space="preserve">DECISION RESOLVING PHASE I OF </w:t>
      </w:r>
      <w:r w:rsidR="00777DEB">
        <w:br/>
      </w:r>
      <w:r w:rsidRPr="005654E1">
        <w:t xml:space="preserve">BROADBAND FOR ALL PROCEEDING </w:t>
      </w:r>
    </w:p>
    <w:p w:rsidRPr="00023F11" w:rsidR="005A148C" w:rsidP="005A148C" w:rsidRDefault="005A148C" w14:paraId="586C277B" w14:textId="77777777">
      <w:pPr>
        <w:pStyle w:val="Dummy"/>
        <w:rPr>
          <w:highlight w:val="yellow"/>
        </w:rPr>
      </w:pPr>
      <w:bookmarkStart w:name="_Toc8123714" w:id="1"/>
      <w:bookmarkStart w:name="_Toc81913467" w:id="2"/>
      <w:r w:rsidRPr="005654E1">
        <w:t>Summary</w:t>
      </w:r>
      <w:bookmarkEnd w:id="1"/>
      <w:bookmarkEnd w:id="2"/>
    </w:p>
    <w:p w:rsidR="005A148C" w:rsidP="006E6574" w:rsidRDefault="005C1339" w14:paraId="48338F65" w14:textId="665C0C33">
      <w:pPr>
        <w:pStyle w:val="Standard"/>
      </w:pPr>
      <w:r w:rsidRPr="00CE5A25">
        <w:t>This Decision resolves Phase I of this proceeding</w:t>
      </w:r>
      <w:r w:rsidRPr="00CE5A25" w:rsidR="0035301B">
        <w:t xml:space="preserve">, adopting new </w:t>
      </w:r>
      <w:r w:rsidR="001D65CC">
        <w:br/>
      </w:r>
      <w:r w:rsidR="00CE5A25">
        <w:t>post-disaster c</w:t>
      </w:r>
      <w:r w:rsidRPr="00CE5A25" w:rsidR="0035301B">
        <w:t>ommunity</w:t>
      </w:r>
      <w:r w:rsidRPr="0035301B" w:rsidR="0035301B">
        <w:t xml:space="preserve"> </w:t>
      </w:r>
      <w:r w:rsidR="00CE5A25">
        <w:t xml:space="preserve">engagement </w:t>
      </w:r>
      <w:r w:rsidRPr="0035301B" w:rsidR="0035301B">
        <w:t xml:space="preserve">and </w:t>
      </w:r>
      <w:r w:rsidR="00CE5A25">
        <w:t xml:space="preserve">reporting </w:t>
      </w:r>
      <w:r w:rsidRPr="0035301B" w:rsidR="0035301B">
        <w:t>requirements</w:t>
      </w:r>
      <w:r w:rsidR="00CE5A25">
        <w:t xml:space="preserve"> for </w:t>
      </w:r>
      <w:r w:rsidR="001D65CC">
        <w:br/>
      </w:r>
      <w:r w:rsidR="00A522BE">
        <w:t>Investor-Owned Utilities and</w:t>
      </w:r>
      <w:r w:rsidR="007D7A00">
        <w:t xml:space="preserve"> facilities-based </w:t>
      </w:r>
      <w:r w:rsidR="00A522BE">
        <w:t xml:space="preserve">telecommunications service providers in California.  We also adopt </w:t>
      </w:r>
      <w:r w:rsidR="00766B4F">
        <w:t>eligibilit</w:t>
      </w:r>
      <w:r w:rsidR="003657F9">
        <w:t>y</w:t>
      </w:r>
      <w:r w:rsidR="00766B4F">
        <w:t xml:space="preserve"> requirements for the </w:t>
      </w:r>
      <w:r w:rsidR="007020A1">
        <w:br/>
      </w:r>
      <w:r w:rsidR="009C1EF0">
        <w:t xml:space="preserve">Digital Divide Account created </w:t>
      </w:r>
      <w:r w:rsidR="0072572B">
        <w:t xml:space="preserve">in </w:t>
      </w:r>
      <w:r w:rsidR="00591717">
        <w:t xml:space="preserve">California </w:t>
      </w:r>
      <w:r w:rsidRPr="007D70E8" w:rsidR="00766B4F">
        <w:t>Pub</w:t>
      </w:r>
      <w:r w:rsidRPr="007D70E8" w:rsidR="00591717">
        <w:t xml:space="preserve">lic </w:t>
      </w:r>
      <w:r w:rsidRPr="007D70E8" w:rsidR="00766B4F">
        <w:t>Util</w:t>
      </w:r>
      <w:r w:rsidRPr="007D70E8" w:rsidR="00591717">
        <w:t>ities</w:t>
      </w:r>
      <w:r w:rsidR="007D70E8">
        <w:t xml:space="preserve"> Code </w:t>
      </w:r>
      <w:r w:rsidR="00591717">
        <w:t>S</w:t>
      </w:r>
      <w:r w:rsidRPr="00766B4F" w:rsidR="00591717">
        <w:t xml:space="preserve">ection </w:t>
      </w:r>
      <w:r w:rsidRPr="00766B4F" w:rsidR="00766B4F">
        <w:t>280.5</w:t>
      </w:r>
      <w:r w:rsidRPr="0035301B" w:rsidR="0035301B">
        <w:t xml:space="preserve">.  </w:t>
      </w:r>
    </w:p>
    <w:p w:rsidR="0073353F" w:rsidP="006E6574" w:rsidRDefault="0035301B" w14:paraId="0FD00E6A" w14:textId="5F7718CF">
      <w:pPr>
        <w:pStyle w:val="Standard"/>
      </w:pPr>
      <w:r>
        <w:t>This proceeding remains open.</w:t>
      </w:r>
    </w:p>
    <w:p w:rsidRPr="00121089" w:rsidR="005A148C" w:rsidP="001D65CC" w:rsidRDefault="002C7FE9" w14:paraId="3BC5B8B9" w14:textId="77777777">
      <w:pPr>
        <w:pStyle w:val="Heading1"/>
        <w:numPr>
          <w:ilvl w:val="0"/>
          <w:numId w:val="1"/>
        </w:numPr>
        <w:ind w:left="360" w:hanging="360"/>
      </w:pPr>
      <w:bookmarkStart w:name="_Toc8123715" w:id="3"/>
      <w:bookmarkStart w:name="_Toc81913468" w:id="4"/>
      <w:r w:rsidRPr="00121089">
        <w:t>Background</w:t>
      </w:r>
      <w:bookmarkEnd w:id="3"/>
      <w:bookmarkEnd w:id="4"/>
    </w:p>
    <w:p w:rsidR="002C7FE9" w:rsidP="006E6574" w:rsidRDefault="00D41D64" w14:paraId="2B4C5E3C" w14:textId="70D65979">
      <w:pPr>
        <w:pStyle w:val="Standard"/>
      </w:pPr>
      <w:r w:rsidRPr="00D41D64">
        <w:t>Th</w:t>
      </w:r>
      <w:r w:rsidR="00A32F40">
        <w:t xml:space="preserve">e California Public Utilities </w:t>
      </w:r>
      <w:r w:rsidRPr="00D41D64">
        <w:t xml:space="preserve">Commission </w:t>
      </w:r>
      <w:r w:rsidR="00A32F40">
        <w:t xml:space="preserve">(Commission) </w:t>
      </w:r>
      <w:r w:rsidRPr="00D41D64">
        <w:t>initiate</w:t>
      </w:r>
      <w:r>
        <w:t xml:space="preserve">d </w:t>
      </w:r>
      <w:r w:rsidR="00090A99">
        <w:t xml:space="preserve">the Broadband </w:t>
      </w:r>
      <w:r w:rsidR="00591717">
        <w:t>f</w:t>
      </w:r>
      <w:r w:rsidR="00090A99">
        <w:t>or All</w:t>
      </w:r>
      <w:r>
        <w:t xml:space="preserve"> proceeding </w:t>
      </w:r>
      <w:r w:rsidRPr="00D41D64">
        <w:t xml:space="preserve">to set the strategic direction and changes necessary to </w:t>
      </w:r>
      <w:r w:rsidRPr="00090A99" w:rsidR="00090A99">
        <w:t xml:space="preserve">expeditiously </w:t>
      </w:r>
      <w:r w:rsidRPr="00D41D64">
        <w:t xml:space="preserve">deploy reliable, fast, and affordable broadband </w:t>
      </w:r>
      <w:r w:rsidR="00A32F40">
        <w:t>I</w:t>
      </w:r>
      <w:r w:rsidRPr="00D41D64">
        <w:t xml:space="preserve">nternet access services that connect all Californians.    </w:t>
      </w:r>
    </w:p>
    <w:p w:rsidR="0063491C" w:rsidP="001D65CC" w:rsidRDefault="0040196E" w14:paraId="2BC7F326" w14:textId="5B1F8568">
      <w:pPr>
        <w:pStyle w:val="Heading2"/>
        <w:tabs>
          <w:tab w:val="clear" w:pos="1080"/>
          <w:tab w:val="left" w:pos="900"/>
        </w:tabs>
        <w:ind w:left="1440"/>
      </w:pPr>
      <w:bookmarkStart w:name="_Toc8123716" w:id="5"/>
      <w:bookmarkStart w:name="_Toc81913469" w:id="6"/>
      <w:r>
        <w:t>1.1</w:t>
      </w:r>
      <w:r w:rsidR="001D65CC">
        <w:tab/>
      </w:r>
      <w:r w:rsidR="0063491C">
        <w:t>Factual Background</w:t>
      </w:r>
      <w:bookmarkEnd w:id="5"/>
      <w:bookmarkEnd w:id="6"/>
    </w:p>
    <w:p w:rsidRPr="00464BB6" w:rsidR="0063491C" w:rsidP="00464BB6" w:rsidRDefault="008E4875" w14:paraId="30C7B9FE" w14:textId="1704BFDB">
      <w:pPr>
        <w:pStyle w:val="Standard"/>
        <w:rPr>
          <w:rFonts w:cs="Segoe UI"/>
        </w:rPr>
      </w:pPr>
      <w:r>
        <w:t>C</w:t>
      </w:r>
      <w:r w:rsidRPr="5B051B87" w:rsidR="00D41D64">
        <w:t xml:space="preserve">ommunities across California </w:t>
      </w:r>
      <w:r w:rsidR="00D41D64">
        <w:t>face</w:t>
      </w:r>
      <w:r w:rsidRPr="5B051B87" w:rsidR="00D41D64">
        <w:t xml:space="preserve"> </w:t>
      </w:r>
      <w:r w:rsidR="00D41D64">
        <w:t>a multitude of barriers</w:t>
      </w:r>
      <w:r w:rsidRPr="5B051B87" w:rsidR="00D41D64">
        <w:t xml:space="preserve"> </w:t>
      </w:r>
      <w:r w:rsidR="00D41D64">
        <w:t>for the</w:t>
      </w:r>
      <w:r w:rsidRPr="5B051B87" w:rsidR="00D41D64">
        <w:t xml:space="preserve"> deploy</w:t>
      </w:r>
      <w:r w:rsidR="00D41D64">
        <w:t>ment of</w:t>
      </w:r>
      <w:r w:rsidRPr="5B051B87" w:rsidR="00D41D64">
        <w:t xml:space="preserve"> resilient and accessible </w:t>
      </w:r>
      <w:r w:rsidR="00090A99">
        <w:t xml:space="preserve">broadband </w:t>
      </w:r>
      <w:r w:rsidRPr="5B051B87" w:rsidR="00D41D64">
        <w:t>networks</w:t>
      </w:r>
      <w:r w:rsidR="00090A99">
        <w:t xml:space="preserve">.  </w:t>
      </w:r>
      <w:r w:rsidR="00EA4751">
        <w:t>Broadband</w:t>
      </w:r>
      <w:r w:rsidR="00D41D64">
        <w:t xml:space="preserve"> </w:t>
      </w:r>
      <w:r w:rsidR="003F610B">
        <w:t>I</w:t>
      </w:r>
      <w:r w:rsidR="00D41D64">
        <w:t xml:space="preserve">nternet access </w:t>
      </w:r>
      <w:r w:rsidR="00090A99">
        <w:t xml:space="preserve">and </w:t>
      </w:r>
      <w:r w:rsidR="00D41D64">
        <w:t>service in u</w:t>
      </w:r>
      <w:r w:rsidRPr="5B051B87" w:rsidR="00D41D64">
        <w:t xml:space="preserve">rban communities </w:t>
      </w:r>
      <w:r w:rsidR="00090A99">
        <w:t>varies by</w:t>
      </w:r>
      <w:r w:rsidRPr="5B051B87" w:rsidR="00D41D64">
        <w:t xml:space="preserve"> neighborhood</w:t>
      </w:r>
      <w:r w:rsidR="00591717">
        <w:t>.</w:t>
      </w:r>
      <w:r w:rsidR="00090A99">
        <w:t xml:space="preserve"> </w:t>
      </w:r>
      <w:r w:rsidR="003F610B">
        <w:t xml:space="preserve"> </w:t>
      </w:r>
      <w:r w:rsidR="00591717">
        <w:t>R</w:t>
      </w:r>
      <w:r w:rsidR="00090A99">
        <w:t>ural areas of the state</w:t>
      </w:r>
      <w:r w:rsidRPr="5B051B87" w:rsidR="00D41D64">
        <w:t xml:space="preserve"> often lack </w:t>
      </w:r>
      <w:r w:rsidR="00F26F7E">
        <w:t xml:space="preserve">the infrastructure for </w:t>
      </w:r>
      <w:r w:rsidRPr="5B051B87" w:rsidR="00D41D64">
        <w:t xml:space="preserve">sufficient wireline and wireless </w:t>
      </w:r>
      <w:r w:rsidRPr="001A2C15" w:rsidR="00D41D64">
        <w:t xml:space="preserve">broadband </w:t>
      </w:r>
      <w:r w:rsidR="00D41D64">
        <w:t>i</w:t>
      </w:r>
      <w:r w:rsidRPr="001A2C15" w:rsidR="00D41D64">
        <w:t>nternet access service</w:t>
      </w:r>
      <w:r w:rsidRPr="5B051B87" w:rsidR="00D41D64">
        <w:t xml:space="preserve">. </w:t>
      </w:r>
      <w:r>
        <w:t xml:space="preserve"> T</w:t>
      </w:r>
      <w:r w:rsidR="00D41D64">
        <w:t xml:space="preserve">he </w:t>
      </w:r>
      <w:r w:rsidRPr="00871F8F" w:rsidR="00D41D64">
        <w:t>COVID</w:t>
      </w:r>
      <w:r w:rsidR="00D41D64">
        <w:t>-19 pandemic has highlighted the extent to which broadband access is essential for public safety, public health and welfare, education, and economic resilience</w:t>
      </w:r>
      <w:r w:rsidR="00F26F7E">
        <w:t xml:space="preserve">, adding </w:t>
      </w:r>
      <w:r w:rsidR="00D41D64">
        <w:t>greater urgency to develop</w:t>
      </w:r>
      <w:r w:rsidR="00F26F7E">
        <w:t>ing</w:t>
      </w:r>
      <w:r w:rsidR="00D41D64">
        <w:t xml:space="preserve"> new strategies and expand on existing successful measures to deploy reliable networks with affordable service.  </w:t>
      </w:r>
      <w:r w:rsidR="00B94310">
        <w:t>O</w:t>
      </w:r>
      <w:r w:rsidRPr="00871F8F" w:rsidR="00D41D64">
        <w:t>ver 2,000,000 Californians lack</w:t>
      </w:r>
      <w:r w:rsidR="00B94310">
        <w:t xml:space="preserve"> </w:t>
      </w:r>
      <w:r w:rsidRPr="00871F8F" w:rsidR="00D41D64">
        <w:t xml:space="preserve">access to high-speed broadband </w:t>
      </w:r>
      <w:r w:rsidR="00464BB6">
        <w:t xml:space="preserve">Internet service </w:t>
      </w:r>
      <w:r w:rsidRPr="00871F8F" w:rsidR="00D41D64">
        <w:t xml:space="preserve">at speeds of 100 </w:t>
      </w:r>
      <w:r w:rsidR="00D73AC1">
        <w:t xml:space="preserve">Megabytes per second </w:t>
      </w:r>
      <w:r w:rsidR="00D73AC1">
        <w:lastRenderedPageBreak/>
        <w:t>(</w:t>
      </w:r>
      <w:r w:rsidRPr="00D73AC1" w:rsidR="00D41D64">
        <w:t>Mbps</w:t>
      </w:r>
      <w:r w:rsidR="00D73AC1">
        <w:t>)</w:t>
      </w:r>
      <w:r w:rsidR="00591717">
        <w:rPr>
          <w:rStyle w:val="FootnoteReference"/>
        </w:rPr>
        <w:footnoteReference w:id="2"/>
      </w:r>
      <w:r w:rsidRPr="00871F8F" w:rsidR="00D41D64">
        <w:t xml:space="preserve"> download, including 50 percent of rural housing units</w:t>
      </w:r>
      <w:r w:rsidR="00464BB6">
        <w:rPr>
          <w:rStyle w:val="FootnoteReference"/>
        </w:rPr>
        <w:footnoteReference w:id="3"/>
      </w:r>
      <w:r w:rsidRPr="00871F8F" w:rsidR="00464BB6">
        <w:t xml:space="preserve"> </w:t>
      </w:r>
      <w:r w:rsidR="00464BB6">
        <w:t>and t</w:t>
      </w:r>
      <w:r w:rsidR="00F26F7E">
        <w:t xml:space="preserve">hirty </w:t>
      </w:r>
      <w:r w:rsidRPr="00871F8F" w:rsidR="00D41D64">
        <w:t>percent of California Tribal Lands remain unserved.</w:t>
      </w:r>
      <w:r w:rsidR="00D41D64">
        <w:rPr>
          <w:rStyle w:val="FootnoteReference"/>
        </w:rPr>
        <w:footnoteReference w:id="4"/>
      </w:r>
      <w:r w:rsidRPr="00810A7D" w:rsidR="00D41D64">
        <w:rPr>
          <w:rStyle w:val="normaltextrun"/>
        </w:rPr>
        <w:t xml:space="preserve"> </w:t>
      </w:r>
    </w:p>
    <w:p w:rsidR="0063491C" w:rsidP="00D73AC1" w:rsidRDefault="0040196E" w14:paraId="79372029" w14:textId="1B007FC5">
      <w:pPr>
        <w:pStyle w:val="Heading2"/>
        <w:tabs>
          <w:tab w:val="clear" w:pos="1080"/>
          <w:tab w:val="left" w:pos="2430"/>
        </w:tabs>
        <w:ind w:left="1350" w:hanging="630"/>
      </w:pPr>
      <w:bookmarkStart w:name="_Toc8123717" w:id="7"/>
      <w:bookmarkStart w:name="_Toc81913470" w:id="8"/>
      <w:r>
        <w:t xml:space="preserve">1.2 </w:t>
      </w:r>
      <w:r w:rsidR="00D73AC1">
        <w:tab/>
      </w:r>
      <w:r w:rsidR="0063491C">
        <w:t>Procedural Background</w:t>
      </w:r>
      <w:bookmarkEnd w:id="7"/>
      <w:bookmarkEnd w:id="8"/>
    </w:p>
    <w:p w:rsidR="005B34AE" w:rsidP="005B34AE" w:rsidRDefault="005B34AE" w14:paraId="61E22707" w14:textId="393C9CDA">
      <w:pPr>
        <w:pStyle w:val="Standard"/>
      </w:pPr>
      <w:r>
        <w:t xml:space="preserve">Governor Gavin Newsom issued Executive Order (EO) N-73-20 on </w:t>
      </w:r>
      <w:r w:rsidR="00D73AC1">
        <w:br/>
      </w:r>
      <w:r>
        <w:t xml:space="preserve">August 14, 2020, directing state agencies to accomplish 15 specific actions to help bridge the digital divide, including ordering state agencies to pursue a minimum broadband speed goal of 100 </w:t>
      </w:r>
      <w:r w:rsidRPr="00D73AC1" w:rsidR="00591717">
        <w:t>Mbps</w:t>
      </w:r>
      <w:r>
        <w:t xml:space="preserve"> download to guide infrastructure investments and program implementation to benefit all Californians.</w:t>
      </w:r>
    </w:p>
    <w:p w:rsidR="005B34AE" w:rsidP="005B34AE" w:rsidRDefault="005B34AE" w14:paraId="3C0017D4" w14:textId="34FE0E96">
      <w:pPr>
        <w:pStyle w:val="Standard"/>
      </w:pPr>
      <w:r>
        <w:t xml:space="preserve">On September 10, 2020, this Commission opened </w:t>
      </w:r>
      <w:r w:rsidR="00F26F7E">
        <w:t xml:space="preserve">this </w:t>
      </w:r>
      <w:r>
        <w:t xml:space="preserve">Rulemaking </w:t>
      </w:r>
      <w:r w:rsidRPr="004A6686">
        <w:t xml:space="preserve">to set the strategic direction and changes necessary to </w:t>
      </w:r>
      <w:r w:rsidRPr="00F7260A" w:rsidR="00F7260A">
        <w:t xml:space="preserve">expeditiously </w:t>
      </w:r>
      <w:r w:rsidRPr="004A6686">
        <w:t xml:space="preserve">deploy reliable, fast, and affordable broadband </w:t>
      </w:r>
      <w:r>
        <w:t>I</w:t>
      </w:r>
      <w:r w:rsidRPr="004A6686">
        <w:t xml:space="preserve">nternet access services that connect all Californians.  </w:t>
      </w:r>
      <w:r w:rsidR="002C713B">
        <w:t xml:space="preserve">As stated </w:t>
      </w:r>
      <w:r w:rsidRPr="00566549" w:rsidR="002C713B">
        <w:t>supra</w:t>
      </w:r>
      <w:r w:rsidR="002C713B">
        <w:t xml:space="preserve"> t</w:t>
      </w:r>
      <w:r w:rsidRPr="002C713B">
        <w:t>his</w:t>
      </w:r>
      <w:r>
        <w:t xml:space="preserve"> proceeding </w:t>
      </w:r>
      <w:r w:rsidRPr="004A6686">
        <w:t>will explor</w:t>
      </w:r>
      <w:r>
        <w:t>e</w:t>
      </w:r>
      <w:r w:rsidRPr="004A6686">
        <w:t xml:space="preserve"> </w:t>
      </w:r>
      <w:r>
        <w:t xml:space="preserve">near-term </w:t>
      </w:r>
      <w:r w:rsidRPr="004A6686">
        <w:t>and medium-term actions to achieve this goal</w:t>
      </w:r>
      <w:r>
        <w:t>.</w:t>
      </w:r>
    </w:p>
    <w:p w:rsidR="00EE3060" w:rsidP="005B34AE" w:rsidRDefault="005B34AE" w14:paraId="52D9AB65" w14:textId="12FF445F">
      <w:pPr>
        <w:pStyle w:val="Standard"/>
      </w:pPr>
      <w:r>
        <w:t xml:space="preserve">A prehearing conference was held on November 10, </w:t>
      </w:r>
      <w:r w:rsidR="00FA461A">
        <w:t>2020,</w:t>
      </w:r>
      <w:r>
        <w:t xml:space="preserve"> to discuss </w:t>
      </w:r>
      <w:r w:rsidR="007020A1">
        <w:br/>
      </w:r>
      <w:r>
        <w:t xml:space="preserve">the issues of law and fact, determine the need for hearing, set the schedule </w:t>
      </w:r>
      <w:r w:rsidR="007020A1">
        <w:br/>
      </w:r>
      <w:r>
        <w:t xml:space="preserve">for resolving the matter, and address other matters, as necessary. </w:t>
      </w:r>
    </w:p>
    <w:p w:rsidR="005B34AE" w:rsidP="005B34AE" w:rsidRDefault="005B34AE" w14:paraId="7B1BA3DE" w14:textId="380284A4">
      <w:pPr>
        <w:pStyle w:val="Standard"/>
      </w:pPr>
      <w:r>
        <w:t xml:space="preserve">On December 28, 2020, the assigned Commissioner issued a </w:t>
      </w:r>
      <w:r w:rsidR="007020A1">
        <w:br/>
      </w:r>
      <w:r>
        <w:t>Scoping Memorandum and Ruling (Scoping Memo) that divided this proceeding into three phases.  This decision addresses Phase 1.</w:t>
      </w:r>
    </w:p>
    <w:p w:rsidR="005B34AE" w:rsidP="005B34AE" w:rsidRDefault="005B34AE" w14:paraId="5826B5B0" w14:textId="0E93E44E">
      <w:pPr>
        <w:pStyle w:val="Standard"/>
      </w:pPr>
      <w:r>
        <w:lastRenderedPageBreak/>
        <w:t xml:space="preserve">On December 30, 2020, the assigned Administrative Law Judge </w:t>
      </w:r>
      <w:r w:rsidR="00D73AC1">
        <w:t xml:space="preserve">(ALJ) </w:t>
      </w:r>
      <w:r>
        <w:t xml:space="preserve">issued a ruling requesting party comment on a </w:t>
      </w:r>
      <w:r w:rsidR="00A367E0">
        <w:t>Commission Communication Division (CD</w:t>
      </w:r>
      <w:r w:rsidR="00A472BB">
        <w:t xml:space="preserve">) </w:t>
      </w:r>
      <w:r>
        <w:t xml:space="preserve">staff proposal </w:t>
      </w:r>
      <w:r w:rsidR="00CA77E3">
        <w:t>and questions</w:t>
      </w:r>
      <w:r w:rsidR="00F26F7E">
        <w:t xml:space="preserve"> raised by </w:t>
      </w:r>
      <w:r w:rsidR="00A472BB">
        <w:t xml:space="preserve">CD </w:t>
      </w:r>
      <w:r w:rsidR="00F26F7E">
        <w:t>staff.</w:t>
      </w:r>
    </w:p>
    <w:p w:rsidR="001C7229" w:rsidP="005B34AE" w:rsidRDefault="001C7229" w14:paraId="28D485E0" w14:textId="37AEE7C4">
      <w:pPr>
        <w:pStyle w:val="Standard"/>
      </w:pPr>
      <w:r>
        <w:t>The following parties filed opening and reply comments:</w:t>
      </w:r>
    </w:p>
    <w:p w:rsidRPr="001C7229" w:rsidR="001C7229" w:rsidP="004009A0" w:rsidRDefault="001C7229" w14:paraId="0A2D9C68" w14:textId="4DE331E2">
      <w:pPr>
        <w:pStyle w:val="Standard"/>
        <w:numPr>
          <w:ilvl w:val="0"/>
          <w:numId w:val="20"/>
        </w:numPr>
        <w:spacing w:after="120" w:line="240" w:lineRule="auto"/>
        <w:ind w:left="1080" w:right="1440"/>
      </w:pPr>
      <w:r w:rsidRPr="001C7229">
        <w:t>Pacific Gas &amp; Electric</w:t>
      </w:r>
      <w:r w:rsidR="00C365F2">
        <w:t xml:space="preserve"> (PG&amp;E)</w:t>
      </w:r>
      <w:r w:rsidR="00FA461A">
        <w:t>;</w:t>
      </w:r>
    </w:p>
    <w:p w:rsidRPr="001C7229" w:rsidR="001C7229" w:rsidP="004009A0" w:rsidRDefault="001C7229" w14:paraId="12D5FEB3" w14:textId="1FFD89F7">
      <w:pPr>
        <w:pStyle w:val="Standard"/>
        <w:numPr>
          <w:ilvl w:val="0"/>
          <w:numId w:val="20"/>
        </w:numPr>
        <w:spacing w:after="120" w:line="240" w:lineRule="auto"/>
        <w:ind w:left="1080" w:right="1440"/>
      </w:pPr>
      <w:r w:rsidRPr="001C7229">
        <w:t>San Diego Gas &amp; Electric</w:t>
      </w:r>
      <w:r w:rsidR="00C365F2">
        <w:t xml:space="preserve"> (SDG&amp;E)</w:t>
      </w:r>
      <w:r w:rsidR="00FA461A">
        <w:t>;</w:t>
      </w:r>
    </w:p>
    <w:p w:rsidR="001C7229" w:rsidP="004009A0" w:rsidRDefault="001C7229" w14:paraId="62F91004" w14:textId="5CA27A8E">
      <w:pPr>
        <w:pStyle w:val="Standard"/>
        <w:numPr>
          <w:ilvl w:val="0"/>
          <w:numId w:val="20"/>
        </w:numPr>
        <w:spacing w:after="120" w:line="240" w:lineRule="auto"/>
        <w:ind w:left="1080" w:right="1440"/>
      </w:pPr>
      <w:r w:rsidRPr="001C7229">
        <w:t>Southern California Edison</w:t>
      </w:r>
      <w:r w:rsidR="00C365F2">
        <w:t xml:space="preserve"> (SCE)</w:t>
      </w:r>
      <w:r w:rsidR="00FA461A">
        <w:t>;</w:t>
      </w:r>
    </w:p>
    <w:p w:rsidR="001C7229" w:rsidP="004009A0" w:rsidRDefault="004C74F3" w14:paraId="5083E01F" w14:textId="604491C5">
      <w:pPr>
        <w:pStyle w:val="Standard"/>
        <w:numPr>
          <w:ilvl w:val="0"/>
          <w:numId w:val="20"/>
        </w:numPr>
        <w:spacing w:after="120" w:line="240" w:lineRule="auto"/>
        <w:ind w:left="1080" w:right="1440"/>
      </w:pPr>
      <w:r>
        <w:t>California Association of Small and Multi-Jurisdictional Utilities (CASMU)</w:t>
      </w:r>
      <w:r w:rsidR="00FA461A">
        <w:t>;</w:t>
      </w:r>
      <w:r>
        <w:rPr>
          <w:rStyle w:val="FootnoteReference"/>
        </w:rPr>
        <w:footnoteReference w:id="5"/>
      </w:r>
    </w:p>
    <w:p w:rsidRPr="001C7229" w:rsidR="001C7229" w:rsidP="004009A0" w:rsidRDefault="00C365F2" w14:paraId="09E6C9F9" w14:textId="419919E5">
      <w:pPr>
        <w:pStyle w:val="Standard"/>
        <w:numPr>
          <w:ilvl w:val="0"/>
          <w:numId w:val="20"/>
        </w:numPr>
        <w:spacing w:after="120" w:line="240" w:lineRule="auto"/>
        <w:ind w:left="1080" w:right="1440"/>
      </w:pPr>
      <w:r w:rsidRPr="00C365F2">
        <w:t xml:space="preserve">Corporation for Education Network Initiatives in </w:t>
      </w:r>
      <w:r>
        <w:t>California (</w:t>
      </w:r>
      <w:r w:rsidRPr="001C7229" w:rsidR="001C7229">
        <w:t>CENIC</w:t>
      </w:r>
      <w:r>
        <w:t>)</w:t>
      </w:r>
      <w:r w:rsidR="00FA461A">
        <w:t>;</w:t>
      </w:r>
    </w:p>
    <w:p w:rsidRPr="001C7229" w:rsidR="001C7229" w:rsidP="004009A0" w:rsidRDefault="001C7229" w14:paraId="75DF0A0E" w14:textId="284286DA">
      <w:pPr>
        <w:pStyle w:val="Standard"/>
        <w:numPr>
          <w:ilvl w:val="0"/>
          <w:numId w:val="20"/>
        </w:numPr>
        <w:spacing w:after="120" w:line="240" w:lineRule="auto"/>
        <w:ind w:left="1080" w:right="1440"/>
      </w:pPr>
      <w:r w:rsidRPr="001C7229">
        <w:t>California Emerging Technology Fund (CETF)</w:t>
      </w:r>
      <w:r w:rsidR="00FA461A">
        <w:t>;</w:t>
      </w:r>
    </w:p>
    <w:p w:rsidRPr="001C7229" w:rsidR="001C7229" w:rsidP="004009A0" w:rsidRDefault="001C7229" w14:paraId="0891BF8E" w14:textId="1B3C1E22">
      <w:pPr>
        <w:pStyle w:val="Standard"/>
        <w:numPr>
          <w:ilvl w:val="0"/>
          <w:numId w:val="20"/>
        </w:numPr>
        <w:spacing w:after="120" w:line="240" w:lineRule="auto"/>
        <w:ind w:left="1080" w:right="1440"/>
      </w:pPr>
      <w:r w:rsidRPr="001C7229">
        <w:t>Next Century Cities (NCC)</w:t>
      </w:r>
      <w:r w:rsidR="00FA461A">
        <w:t>;</w:t>
      </w:r>
    </w:p>
    <w:p w:rsidRPr="001C7229" w:rsidR="001C7229" w:rsidP="004009A0" w:rsidRDefault="001C7229" w14:paraId="5A6E5452" w14:textId="6C5CB605">
      <w:pPr>
        <w:pStyle w:val="Standard"/>
        <w:numPr>
          <w:ilvl w:val="0"/>
          <w:numId w:val="20"/>
        </w:numPr>
        <w:spacing w:after="120" w:line="240" w:lineRule="auto"/>
        <w:ind w:left="1080" w:right="1440"/>
      </w:pPr>
      <w:r w:rsidRPr="001C7229">
        <w:t>Public Advocates Office (</w:t>
      </w:r>
      <w:proofErr w:type="spellStart"/>
      <w:r w:rsidRPr="001C7229">
        <w:t>CalPA</w:t>
      </w:r>
      <w:proofErr w:type="spellEnd"/>
      <w:r w:rsidRPr="001C7229">
        <w:t>)</w:t>
      </w:r>
      <w:r w:rsidR="00FA461A">
        <w:t>;</w:t>
      </w:r>
    </w:p>
    <w:p w:rsidRPr="001C7229" w:rsidR="001C7229" w:rsidP="004009A0" w:rsidRDefault="001C7229" w14:paraId="55A5AE4C" w14:textId="3BBFDC72">
      <w:pPr>
        <w:pStyle w:val="Standard"/>
        <w:numPr>
          <w:ilvl w:val="0"/>
          <w:numId w:val="20"/>
        </w:numPr>
        <w:spacing w:after="120" w:line="240" w:lineRule="auto"/>
        <w:ind w:left="1080" w:right="1440"/>
      </w:pPr>
      <w:r w:rsidRPr="001C7229">
        <w:t>Rural County Representatives of California (RCRC)</w:t>
      </w:r>
      <w:r w:rsidR="00FA461A">
        <w:t>;</w:t>
      </w:r>
    </w:p>
    <w:p w:rsidR="001C7229" w:rsidP="004009A0" w:rsidRDefault="001C7229" w14:paraId="501C71A6" w14:textId="4A78DA5B">
      <w:pPr>
        <w:pStyle w:val="Standard"/>
        <w:numPr>
          <w:ilvl w:val="0"/>
          <w:numId w:val="20"/>
        </w:numPr>
        <w:spacing w:after="120" w:line="240" w:lineRule="auto"/>
        <w:ind w:left="1080" w:right="1440"/>
      </w:pPr>
      <w:r w:rsidRPr="001C7229">
        <w:t>The Utility Reform Network (TURN)</w:t>
      </w:r>
      <w:r w:rsidR="00FA461A">
        <w:t>;</w:t>
      </w:r>
    </w:p>
    <w:p w:rsidRPr="001C7229" w:rsidR="001C7229" w:rsidP="004009A0" w:rsidRDefault="001C7229" w14:paraId="73D0D995" w14:textId="195D9FD7">
      <w:pPr>
        <w:pStyle w:val="Standard"/>
        <w:numPr>
          <w:ilvl w:val="0"/>
          <w:numId w:val="20"/>
        </w:numPr>
        <w:spacing w:after="120" w:line="240" w:lineRule="auto"/>
        <w:ind w:left="1080" w:right="1440"/>
      </w:pPr>
      <w:r w:rsidRPr="001C7229">
        <w:t>Center for Affordable Technology (</w:t>
      </w:r>
      <w:proofErr w:type="spellStart"/>
      <w:r w:rsidRPr="001C7229">
        <w:t>CfAT</w:t>
      </w:r>
      <w:proofErr w:type="spellEnd"/>
      <w:r w:rsidRPr="001C7229">
        <w:t>)</w:t>
      </w:r>
      <w:r w:rsidR="00FA461A">
        <w:t>;</w:t>
      </w:r>
    </w:p>
    <w:p w:rsidRPr="001C7229" w:rsidR="001C7229" w:rsidP="004009A0" w:rsidRDefault="001C7229" w14:paraId="6E40D78D" w14:textId="37C9B939">
      <w:pPr>
        <w:pStyle w:val="Standard"/>
        <w:numPr>
          <w:ilvl w:val="0"/>
          <w:numId w:val="20"/>
        </w:numPr>
        <w:spacing w:after="120" w:line="240" w:lineRule="auto"/>
        <w:ind w:left="1080" w:right="1440"/>
      </w:pPr>
      <w:r w:rsidRPr="001C7229">
        <w:t>Utility Consumers’ Action Network (UCAN)</w:t>
      </w:r>
      <w:r w:rsidR="00FA461A">
        <w:t>;</w:t>
      </w:r>
    </w:p>
    <w:p w:rsidRPr="001C7229" w:rsidR="001C7229" w:rsidP="004009A0" w:rsidRDefault="001C7229" w14:paraId="489A2BCA" w14:textId="50D38970">
      <w:pPr>
        <w:pStyle w:val="Standard"/>
        <w:numPr>
          <w:ilvl w:val="0"/>
          <w:numId w:val="20"/>
        </w:numPr>
        <w:spacing w:after="120" w:line="240" w:lineRule="auto"/>
        <w:ind w:left="1080" w:right="1440"/>
      </w:pPr>
      <w:r w:rsidRPr="001C7229">
        <w:t>National Diversity Coalition (NDC)</w:t>
      </w:r>
      <w:r w:rsidR="00FA461A">
        <w:t>;</w:t>
      </w:r>
    </w:p>
    <w:p w:rsidRPr="001C7229" w:rsidR="001C7229" w:rsidP="004009A0" w:rsidRDefault="001C7229" w14:paraId="5D8ED00E" w14:textId="5E4C5D56">
      <w:pPr>
        <w:pStyle w:val="Standard"/>
        <w:numPr>
          <w:ilvl w:val="0"/>
          <w:numId w:val="20"/>
        </w:numPr>
        <w:spacing w:after="120" w:line="240" w:lineRule="auto"/>
        <w:ind w:left="1080" w:right="1440"/>
      </w:pPr>
      <w:r w:rsidRPr="001C7229">
        <w:t>Small Business Utilities Advocates (SBUA)</w:t>
      </w:r>
      <w:r w:rsidR="00FA461A">
        <w:t>;</w:t>
      </w:r>
    </w:p>
    <w:p w:rsidRPr="001C7229" w:rsidR="001C7229" w:rsidP="004009A0" w:rsidRDefault="001C7229" w14:paraId="4AD08399" w14:textId="32A5894E">
      <w:pPr>
        <w:pStyle w:val="Standard"/>
        <w:numPr>
          <w:ilvl w:val="0"/>
          <w:numId w:val="20"/>
        </w:numPr>
        <w:spacing w:after="120" w:line="240" w:lineRule="auto"/>
        <w:ind w:left="1080" w:right="1440"/>
      </w:pPr>
      <w:r w:rsidRPr="001C7229">
        <w:t>American Association of Retired Persons (AARP)</w:t>
      </w:r>
      <w:r w:rsidR="00FA461A">
        <w:t>;</w:t>
      </w:r>
    </w:p>
    <w:p w:rsidR="001C7229" w:rsidP="004009A0" w:rsidRDefault="001C7229" w14:paraId="7F382E23" w14:textId="13913FBE">
      <w:pPr>
        <w:pStyle w:val="Standard"/>
        <w:numPr>
          <w:ilvl w:val="0"/>
          <w:numId w:val="20"/>
        </w:numPr>
        <w:spacing w:after="120" w:line="240" w:lineRule="auto"/>
        <w:ind w:left="1080" w:right="1440"/>
      </w:pPr>
      <w:r w:rsidRPr="001C7229">
        <w:t>Communications Workers of America (CWA)</w:t>
      </w:r>
      <w:r w:rsidR="00FA461A">
        <w:t>;</w:t>
      </w:r>
    </w:p>
    <w:p w:rsidR="001C7229" w:rsidP="004009A0" w:rsidRDefault="001C7229" w14:paraId="5057715B" w14:textId="46471DA9">
      <w:pPr>
        <w:pStyle w:val="Standard"/>
        <w:numPr>
          <w:ilvl w:val="0"/>
          <w:numId w:val="20"/>
        </w:numPr>
        <w:spacing w:after="120" w:line="240" w:lineRule="auto"/>
        <w:ind w:left="1080" w:right="1440"/>
      </w:pPr>
      <w:r w:rsidRPr="001C7229">
        <w:t>Frederick L. Pilot</w:t>
      </w:r>
      <w:r w:rsidR="00FA461A">
        <w:t>;</w:t>
      </w:r>
    </w:p>
    <w:p w:rsidRPr="001C7229" w:rsidR="001C7229" w:rsidP="004009A0" w:rsidRDefault="001C7229" w14:paraId="2AA9727C" w14:textId="3149BABB">
      <w:pPr>
        <w:pStyle w:val="Standard"/>
        <w:numPr>
          <w:ilvl w:val="0"/>
          <w:numId w:val="20"/>
        </w:numPr>
        <w:spacing w:after="120" w:line="240" w:lineRule="auto"/>
        <w:ind w:left="1080" w:right="1440"/>
      </w:pPr>
      <w:r w:rsidRPr="001C7229">
        <w:t>AT&amp;T California</w:t>
      </w:r>
      <w:r w:rsidR="00FA461A">
        <w:t>;</w:t>
      </w:r>
    </w:p>
    <w:p w:rsidRPr="001C7229" w:rsidR="001C7229" w:rsidP="004009A0" w:rsidRDefault="001C7229" w14:paraId="4199D8D0" w14:textId="748D65B5">
      <w:pPr>
        <w:pStyle w:val="Standard"/>
        <w:numPr>
          <w:ilvl w:val="0"/>
          <w:numId w:val="20"/>
        </w:numPr>
        <w:spacing w:after="120" w:line="240" w:lineRule="auto"/>
        <w:ind w:left="1080" w:right="1440"/>
      </w:pPr>
      <w:r w:rsidRPr="001C7229">
        <w:t>Frontier California &amp; Subsidiaries</w:t>
      </w:r>
      <w:r w:rsidR="00FA461A">
        <w:t>;</w:t>
      </w:r>
    </w:p>
    <w:p w:rsidRPr="001C7229" w:rsidR="001C7229" w:rsidP="004009A0" w:rsidRDefault="001C7229" w14:paraId="461F6E44" w14:textId="6F83BF6C">
      <w:pPr>
        <w:pStyle w:val="Standard"/>
        <w:numPr>
          <w:ilvl w:val="0"/>
          <w:numId w:val="20"/>
        </w:numPr>
        <w:spacing w:after="120" w:line="240" w:lineRule="auto"/>
        <w:ind w:left="1080" w:right="1440"/>
      </w:pPr>
      <w:r w:rsidRPr="001C7229">
        <w:lastRenderedPageBreak/>
        <w:t xml:space="preserve">13 </w:t>
      </w:r>
      <w:r w:rsidR="00C365F2">
        <w:t>s</w:t>
      </w:r>
      <w:r w:rsidRPr="001C7229">
        <w:t>mall Local Exchange Carriers</w:t>
      </w:r>
      <w:r w:rsidR="00C365F2">
        <w:t xml:space="preserve"> commonly called the </w:t>
      </w:r>
      <w:r w:rsidRPr="001C7229">
        <w:t>Small LECs</w:t>
      </w:r>
      <w:r w:rsidR="00FA461A">
        <w:t>;</w:t>
      </w:r>
      <w:r w:rsidR="004C74F3">
        <w:rPr>
          <w:rStyle w:val="FootnoteReference"/>
        </w:rPr>
        <w:footnoteReference w:id="6"/>
      </w:r>
    </w:p>
    <w:p w:rsidRPr="001C7229" w:rsidR="001C7229" w:rsidP="004009A0" w:rsidRDefault="001C7229" w14:paraId="3ED60437" w14:textId="42D1F64E">
      <w:pPr>
        <w:pStyle w:val="Standard"/>
        <w:numPr>
          <w:ilvl w:val="0"/>
          <w:numId w:val="20"/>
        </w:numPr>
        <w:spacing w:after="120" w:line="240" w:lineRule="auto"/>
        <w:ind w:left="1080" w:right="1440"/>
      </w:pPr>
      <w:r w:rsidRPr="001C7229">
        <w:t>California Cable and Telecommunications Association (CCTA)</w:t>
      </w:r>
      <w:r w:rsidR="00FA461A">
        <w:t>; and</w:t>
      </w:r>
    </w:p>
    <w:p w:rsidR="001C7229" w:rsidP="004009A0" w:rsidRDefault="001C7229" w14:paraId="159B1128" w14:textId="19AA26C4">
      <w:pPr>
        <w:pStyle w:val="Standard"/>
        <w:numPr>
          <w:ilvl w:val="0"/>
          <w:numId w:val="20"/>
        </w:numPr>
        <w:spacing w:after="120" w:line="240" w:lineRule="auto"/>
        <w:ind w:left="1080" w:right="1440"/>
      </w:pPr>
      <w:r w:rsidRPr="001C7229">
        <w:t>CTIA – The Wireless Association</w:t>
      </w:r>
      <w:r w:rsidR="00FA461A">
        <w:t>.</w:t>
      </w:r>
    </w:p>
    <w:p w:rsidR="00EE2BEC" w:rsidP="00FA461A" w:rsidRDefault="00FA461A" w14:paraId="22BD3B03" w14:textId="77777777">
      <w:pPr>
        <w:pStyle w:val="Standard"/>
        <w:ind w:left="720" w:firstLine="0"/>
      </w:pPr>
      <w:r>
        <w:t xml:space="preserve">After reviewing the comments and reply comments, on </w:t>
      </w:r>
      <w:r w:rsidR="00EE2BEC">
        <w:t xml:space="preserve">April 20, 2021, </w:t>
      </w:r>
      <w:r>
        <w:t xml:space="preserve">the </w:t>
      </w:r>
    </w:p>
    <w:p w:rsidR="00FA461A" w:rsidP="00FA461A" w:rsidRDefault="00D73AC1" w14:paraId="439FE02D" w14:textId="7ECAD485">
      <w:pPr>
        <w:pStyle w:val="Standard"/>
        <w:ind w:firstLine="0"/>
      </w:pPr>
      <w:r>
        <w:t>a</w:t>
      </w:r>
      <w:r w:rsidR="00FA461A">
        <w:t>ssigned</w:t>
      </w:r>
      <w:r w:rsidR="00EE2BEC">
        <w:t xml:space="preserve"> </w:t>
      </w:r>
      <w:r w:rsidR="00FA461A">
        <w:t>Commissioner issued a</w:t>
      </w:r>
      <w:r w:rsidR="00EE2BEC">
        <w:t xml:space="preserve">n Amended </w:t>
      </w:r>
      <w:r w:rsidRPr="00EE2BEC" w:rsidR="00EE2BEC">
        <w:t>Scoping Memo and Ruling</w:t>
      </w:r>
      <w:r w:rsidR="00EE2BEC">
        <w:t xml:space="preserve"> modif</w:t>
      </w:r>
      <w:r w:rsidR="00EB55FC">
        <w:t xml:space="preserve">ying </w:t>
      </w:r>
      <w:r w:rsidR="00EE2BEC">
        <w:t>the scope of issues for this portion of this proceeding and order</w:t>
      </w:r>
      <w:r w:rsidR="00EB55FC">
        <w:t>ing</w:t>
      </w:r>
      <w:r w:rsidR="00EE2BEC">
        <w:t xml:space="preserve"> a supplemental round of comments and reply comments.</w:t>
      </w:r>
    </w:p>
    <w:p w:rsidR="0005231C" w:rsidP="0005231C" w:rsidRDefault="00C15C93" w14:paraId="3EE80E18" w14:textId="513C0B9F">
      <w:pPr>
        <w:pStyle w:val="Standard"/>
      </w:pPr>
      <w:r>
        <w:t>The following parties filed supplemental comments or reply comments</w:t>
      </w:r>
      <w:r w:rsidR="0005231C">
        <w:t>:</w:t>
      </w:r>
    </w:p>
    <w:p w:rsidRPr="001C7229" w:rsidR="0005231C" w:rsidP="00D73AC1" w:rsidRDefault="0005231C" w14:paraId="67718928" w14:textId="4E0B2CED">
      <w:pPr>
        <w:pStyle w:val="Standard"/>
        <w:numPr>
          <w:ilvl w:val="0"/>
          <w:numId w:val="20"/>
        </w:numPr>
        <w:spacing w:after="120" w:line="240" w:lineRule="auto"/>
        <w:ind w:left="1080" w:right="1440"/>
      </w:pPr>
      <w:r>
        <w:t>PG&amp;E;</w:t>
      </w:r>
    </w:p>
    <w:p w:rsidRPr="001C7229" w:rsidR="0005231C" w:rsidP="00D73AC1" w:rsidRDefault="0005231C" w14:paraId="09A7A697" w14:textId="3D0F02BD">
      <w:pPr>
        <w:pStyle w:val="Standard"/>
        <w:numPr>
          <w:ilvl w:val="0"/>
          <w:numId w:val="20"/>
        </w:numPr>
        <w:spacing w:after="120" w:line="240" w:lineRule="auto"/>
        <w:ind w:left="1080" w:right="1440"/>
      </w:pPr>
      <w:r>
        <w:t>SDG&amp;E;</w:t>
      </w:r>
    </w:p>
    <w:p w:rsidR="0005231C" w:rsidP="00D73AC1" w:rsidRDefault="0005231C" w14:paraId="7FAEA746" w14:textId="3C1BF868">
      <w:pPr>
        <w:pStyle w:val="Standard"/>
        <w:numPr>
          <w:ilvl w:val="0"/>
          <w:numId w:val="20"/>
        </w:numPr>
        <w:spacing w:after="120" w:line="240" w:lineRule="auto"/>
        <w:ind w:left="1080" w:right="1440"/>
      </w:pPr>
      <w:r>
        <w:t>SCE;</w:t>
      </w:r>
    </w:p>
    <w:p w:rsidR="0005231C" w:rsidP="00D73AC1" w:rsidRDefault="0005231C" w14:paraId="6A542003" w14:textId="1496D7E7">
      <w:pPr>
        <w:pStyle w:val="Standard"/>
        <w:numPr>
          <w:ilvl w:val="0"/>
          <w:numId w:val="20"/>
        </w:numPr>
        <w:spacing w:after="120" w:line="240" w:lineRule="auto"/>
        <w:ind w:left="1080" w:right="1440"/>
      </w:pPr>
      <w:r>
        <w:t>CASMU;</w:t>
      </w:r>
      <w:r>
        <w:rPr>
          <w:rStyle w:val="FootnoteReference"/>
        </w:rPr>
        <w:footnoteReference w:id="7"/>
      </w:r>
    </w:p>
    <w:p w:rsidRPr="001C7229" w:rsidR="0005231C" w:rsidP="00D73AC1" w:rsidRDefault="0005231C" w14:paraId="385D0F66" w14:textId="55B17E54">
      <w:pPr>
        <w:pStyle w:val="Standard"/>
        <w:numPr>
          <w:ilvl w:val="0"/>
          <w:numId w:val="20"/>
        </w:numPr>
        <w:spacing w:after="120" w:line="240" w:lineRule="auto"/>
        <w:ind w:left="1080" w:right="1440"/>
      </w:pPr>
      <w:r w:rsidRPr="001C7229">
        <w:t>CENIC</w:t>
      </w:r>
      <w:r>
        <w:t>;</w:t>
      </w:r>
    </w:p>
    <w:p w:rsidRPr="001C7229" w:rsidR="0005231C" w:rsidP="00D73AC1" w:rsidRDefault="0005231C" w14:paraId="65247CA4" w14:textId="42C7849A">
      <w:pPr>
        <w:pStyle w:val="Standard"/>
        <w:numPr>
          <w:ilvl w:val="0"/>
          <w:numId w:val="20"/>
        </w:numPr>
        <w:spacing w:after="120" w:line="240" w:lineRule="auto"/>
        <w:ind w:left="1080" w:right="1440"/>
      </w:pPr>
      <w:r w:rsidRPr="001C7229">
        <w:t>CETF</w:t>
      </w:r>
      <w:r>
        <w:t>;</w:t>
      </w:r>
    </w:p>
    <w:p w:rsidRPr="001C7229" w:rsidR="0005231C" w:rsidP="00D73AC1" w:rsidRDefault="0005231C" w14:paraId="6661E985" w14:textId="7218EC0E">
      <w:pPr>
        <w:pStyle w:val="Standard"/>
        <w:numPr>
          <w:ilvl w:val="0"/>
          <w:numId w:val="20"/>
        </w:numPr>
        <w:spacing w:after="120" w:line="240" w:lineRule="auto"/>
        <w:ind w:left="1080" w:right="1440"/>
      </w:pPr>
      <w:proofErr w:type="spellStart"/>
      <w:r w:rsidRPr="001C7229">
        <w:t>CalPA</w:t>
      </w:r>
      <w:proofErr w:type="spellEnd"/>
      <w:r>
        <w:t>;</w:t>
      </w:r>
    </w:p>
    <w:p w:rsidR="0005231C" w:rsidP="00D73AC1" w:rsidRDefault="0005231C" w14:paraId="58E64E4D" w14:textId="1293D083">
      <w:pPr>
        <w:pStyle w:val="Standard"/>
        <w:numPr>
          <w:ilvl w:val="0"/>
          <w:numId w:val="20"/>
        </w:numPr>
        <w:spacing w:after="120" w:line="240" w:lineRule="auto"/>
        <w:ind w:left="1080" w:right="1440"/>
      </w:pPr>
      <w:r w:rsidRPr="001C7229">
        <w:t>TURN</w:t>
      </w:r>
      <w:r>
        <w:t>;</w:t>
      </w:r>
    </w:p>
    <w:p w:rsidRPr="001C7229" w:rsidR="0005231C" w:rsidP="00D73AC1" w:rsidRDefault="0005231C" w14:paraId="1656D28A" w14:textId="715BB273">
      <w:pPr>
        <w:pStyle w:val="Standard"/>
        <w:numPr>
          <w:ilvl w:val="0"/>
          <w:numId w:val="20"/>
        </w:numPr>
        <w:spacing w:after="120" w:line="240" w:lineRule="auto"/>
        <w:ind w:left="1080" w:right="1440"/>
      </w:pPr>
      <w:proofErr w:type="spellStart"/>
      <w:r w:rsidRPr="001C7229">
        <w:t>CfAT</w:t>
      </w:r>
      <w:proofErr w:type="spellEnd"/>
      <w:r>
        <w:t>;</w:t>
      </w:r>
    </w:p>
    <w:p w:rsidRPr="001C7229" w:rsidR="0005231C" w:rsidP="00D73AC1" w:rsidRDefault="0005231C" w14:paraId="1BD7C78F" w14:textId="559C4E1E">
      <w:pPr>
        <w:pStyle w:val="Standard"/>
        <w:numPr>
          <w:ilvl w:val="0"/>
          <w:numId w:val="20"/>
        </w:numPr>
        <w:spacing w:after="120" w:line="240" w:lineRule="auto"/>
        <w:ind w:left="1080" w:right="1440"/>
      </w:pPr>
      <w:r w:rsidRPr="001C7229">
        <w:t>UCAN</w:t>
      </w:r>
      <w:r>
        <w:t>;</w:t>
      </w:r>
    </w:p>
    <w:p w:rsidRPr="001C7229" w:rsidR="0005231C" w:rsidP="00D73AC1" w:rsidRDefault="0005231C" w14:paraId="400F811B" w14:textId="08FAE7EE">
      <w:pPr>
        <w:pStyle w:val="Standard"/>
        <w:numPr>
          <w:ilvl w:val="0"/>
          <w:numId w:val="20"/>
        </w:numPr>
        <w:spacing w:after="120" w:line="240" w:lineRule="auto"/>
        <w:ind w:left="1080" w:right="1440"/>
      </w:pPr>
      <w:r w:rsidRPr="001C7229">
        <w:t>NDC</w:t>
      </w:r>
      <w:r>
        <w:t>;</w:t>
      </w:r>
    </w:p>
    <w:p w:rsidRPr="001C7229" w:rsidR="0005231C" w:rsidP="00D73AC1" w:rsidRDefault="0005231C" w14:paraId="2DD8BF94" w14:textId="6E5ACC75">
      <w:pPr>
        <w:pStyle w:val="Standard"/>
        <w:numPr>
          <w:ilvl w:val="0"/>
          <w:numId w:val="20"/>
        </w:numPr>
        <w:spacing w:after="120" w:line="240" w:lineRule="auto"/>
        <w:ind w:left="1080" w:right="1440"/>
      </w:pPr>
      <w:r w:rsidRPr="001C7229">
        <w:t>SBUA</w:t>
      </w:r>
      <w:r>
        <w:t>;</w:t>
      </w:r>
    </w:p>
    <w:p w:rsidR="0005231C" w:rsidP="00D73AC1" w:rsidRDefault="0005231C" w14:paraId="2B4CF9B2" w14:textId="178E5E7F">
      <w:pPr>
        <w:pStyle w:val="Standard"/>
        <w:numPr>
          <w:ilvl w:val="0"/>
          <w:numId w:val="20"/>
        </w:numPr>
        <w:spacing w:after="120" w:line="240" w:lineRule="auto"/>
        <w:ind w:left="1080" w:right="1440"/>
      </w:pPr>
      <w:r w:rsidRPr="001C7229">
        <w:lastRenderedPageBreak/>
        <w:t>CWA</w:t>
      </w:r>
      <w:r>
        <w:t>;</w:t>
      </w:r>
    </w:p>
    <w:p w:rsidRPr="001C7229" w:rsidR="0005231C" w:rsidP="00D73AC1" w:rsidRDefault="004824C0" w14:paraId="6C998417" w14:textId="2975F6ED">
      <w:pPr>
        <w:pStyle w:val="Standard"/>
        <w:numPr>
          <w:ilvl w:val="0"/>
          <w:numId w:val="20"/>
        </w:numPr>
        <w:spacing w:after="120" w:line="240" w:lineRule="auto"/>
        <w:ind w:left="1080" w:right="1440"/>
      </w:pPr>
      <w:r>
        <w:t>Joint ILECs</w:t>
      </w:r>
      <w:r>
        <w:rPr>
          <w:rStyle w:val="FootnoteReference"/>
        </w:rPr>
        <w:footnoteReference w:id="8"/>
      </w:r>
      <w:r w:rsidR="0005231C">
        <w:t>;</w:t>
      </w:r>
    </w:p>
    <w:p w:rsidRPr="001C7229" w:rsidR="0005231C" w:rsidP="00D73AC1" w:rsidRDefault="0005231C" w14:paraId="76102432" w14:textId="45EA8D1D">
      <w:pPr>
        <w:pStyle w:val="Standard"/>
        <w:numPr>
          <w:ilvl w:val="0"/>
          <w:numId w:val="20"/>
        </w:numPr>
        <w:spacing w:after="120" w:line="240" w:lineRule="auto"/>
        <w:ind w:left="1080" w:right="1440"/>
      </w:pPr>
      <w:r>
        <w:t xml:space="preserve">The </w:t>
      </w:r>
      <w:r w:rsidRPr="001C7229">
        <w:t>Small LECs</w:t>
      </w:r>
      <w:r>
        <w:t>;</w:t>
      </w:r>
    </w:p>
    <w:p w:rsidRPr="001C7229" w:rsidR="0005231C" w:rsidP="00D73AC1" w:rsidRDefault="0005231C" w14:paraId="64498D0B" w14:textId="5986E475">
      <w:pPr>
        <w:pStyle w:val="Standard"/>
        <w:numPr>
          <w:ilvl w:val="0"/>
          <w:numId w:val="20"/>
        </w:numPr>
        <w:spacing w:after="120" w:line="240" w:lineRule="auto"/>
        <w:ind w:left="1080" w:right="1440"/>
      </w:pPr>
      <w:r w:rsidRPr="001C7229">
        <w:t>CCTA</w:t>
      </w:r>
      <w:r>
        <w:t>; and</w:t>
      </w:r>
    </w:p>
    <w:p w:rsidR="0005231C" w:rsidP="00D73AC1" w:rsidRDefault="0005231C" w14:paraId="74B4DB00" w14:textId="66270EE3">
      <w:pPr>
        <w:pStyle w:val="Standard"/>
        <w:numPr>
          <w:ilvl w:val="0"/>
          <w:numId w:val="20"/>
        </w:numPr>
        <w:spacing w:after="120" w:line="240" w:lineRule="auto"/>
        <w:ind w:left="1080" w:right="1440"/>
      </w:pPr>
      <w:r w:rsidRPr="001C7229">
        <w:t>CTIA – The Wireless Association</w:t>
      </w:r>
      <w:r>
        <w:t>.</w:t>
      </w:r>
    </w:p>
    <w:p w:rsidR="005A148C" w:rsidP="00D73AC1" w:rsidRDefault="005939A5" w14:paraId="4AC5278A" w14:textId="77777777">
      <w:pPr>
        <w:pStyle w:val="Heading1"/>
        <w:numPr>
          <w:ilvl w:val="0"/>
          <w:numId w:val="1"/>
        </w:numPr>
        <w:ind w:left="360" w:hanging="360"/>
      </w:pPr>
      <w:bookmarkStart w:name="_Toc8123719" w:id="9"/>
      <w:bookmarkStart w:name="_Toc81913471" w:id="10"/>
      <w:r>
        <w:t>Issues Before the Commission</w:t>
      </w:r>
      <w:bookmarkEnd w:id="9"/>
      <w:bookmarkEnd w:id="10"/>
    </w:p>
    <w:p w:rsidR="00CA77E3" w:rsidP="00CA77E3" w:rsidRDefault="00CA77E3" w14:paraId="65EC60BE" w14:textId="65EEBE49">
      <w:pPr>
        <w:pStyle w:val="Standard"/>
      </w:pPr>
      <w:r>
        <w:t xml:space="preserve">The </w:t>
      </w:r>
      <w:r w:rsidR="00CE745F">
        <w:t>Second</w:t>
      </w:r>
      <w:r>
        <w:t xml:space="preserve"> </w:t>
      </w:r>
      <w:r w:rsidR="00EB55FC">
        <w:t xml:space="preserve">Amended </w:t>
      </w:r>
      <w:r>
        <w:t xml:space="preserve">Scoping Memo </w:t>
      </w:r>
      <w:r w:rsidR="005B34AE">
        <w:t>divid</w:t>
      </w:r>
      <w:r>
        <w:t xml:space="preserve">es this proceeding </w:t>
      </w:r>
      <w:r w:rsidR="005B34AE">
        <w:t xml:space="preserve">into </w:t>
      </w:r>
      <w:r w:rsidR="007020A1">
        <w:br/>
      </w:r>
      <w:r w:rsidR="006363EA">
        <w:t>3</w:t>
      </w:r>
      <w:r w:rsidR="005B34AE">
        <w:t xml:space="preserve"> phases</w:t>
      </w:r>
      <w:r>
        <w:t>.  This decision resolves Phase 1 of this proceeding</w:t>
      </w:r>
      <w:r w:rsidR="006D270B">
        <w:t>, focusing on the issues listed below</w:t>
      </w:r>
      <w:r>
        <w:t>.</w:t>
      </w:r>
    </w:p>
    <w:p w:rsidRPr="00364141" w:rsidR="00AB7B4B" w:rsidP="006363EA" w:rsidRDefault="00CA77E3" w14:paraId="467FE294" w14:textId="27BFED32">
      <w:pPr>
        <w:pStyle w:val="ListNum"/>
        <w:numPr>
          <w:ilvl w:val="0"/>
          <w:numId w:val="17"/>
        </w:numPr>
        <w:ind w:left="1080" w:right="1440"/>
      </w:pPr>
      <w:r w:rsidRPr="00617CBC">
        <w:t xml:space="preserve">What requirements, if any, should the Commission impose on communications service providers and </w:t>
      </w:r>
      <w:r w:rsidRPr="00C13AB9">
        <w:t>the California energy Investor-Owned Utilities (IOUs)</w:t>
      </w:r>
      <w:r w:rsidRPr="00617CBC">
        <w:t xml:space="preserve"> to facilitate the construction of fiber </w:t>
      </w:r>
      <w:r>
        <w:t xml:space="preserve">facilities or other technologies capable of providing a minimum download speed of 100 Mbps </w:t>
      </w:r>
      <w:r w:rsidRPr="00617CBC">
        <w:t>when restoring facilities after a disaster such as a fire?</w:t>
      </w:r>
      <w:r>
        <w:t xml:space="preserve">  </w:t>
      </w:r>
      <w:r w:rsidR="00F51E97">
        <w:t xml:space="preserve"> S</w:t>
      </w:r>
      <w:r w:rsidR="00D76B73">
        <w:t xml:space="preserve">hould this Commission </w:t>
      </w:r>
      <w:r w:rsidRPr="00D76B73" w:rsidR="00D76B73">
        <w:t>require both the IOUs and communications providers to coordinate on their construction activities</w:t>
      </w:r>
      <w:r w:rsidR="00D76B73">
        <w:t xml:space="preserve">? </w:t>
      </w:r>
    </w:p>
    <w:p w:rsidR="006363EA" w:rsidP="0013364E" w:rsidRDefault="00CA77E3" w14:paraId="30DA88A8" w14:textId="223C1F7F">
      <w:pPr>
        <w:pStyle w:val="ListNum"/>
        <w:numPr>
          <w:ilvl w:val="0"/>
          <w:numId w:val="17"/>
        </w:numPr>
        <w:ind w:left="1080" w:right="1440"/>
      </w:pPr>
      <w:r>
        <w:t xml:space="preserve">How should the Commission use the roughly $1 million in the Digital Divide Account to help schools and students? </w:t>
      </w:r>
    </w:p>
    <w:p w:rsidR="005939A5" w:rsidP="00CA77E3" w:rsidRDefault="005B34AE" w14:paraId="088AB79F" w14:textId="48F94715">
      <w:pPr>
        <w:pStyle w:val="Standard"/>
      </w:pPr>
      <w:r>
        <w:t xml:space="preserve">Throughout the proceeding, the Commission will also consider the issue of how the digital divide and </w:t>
      </w:r>
      <w:r w:rsidR="00EA4751">
        <w:t xml:space="preserve">limited </w:t>
      </w:r>
      <w:r>
        <w:t>and/or no broadband access impact</w:t>
      </w:r>
      <w:r w:rsidR="000549A7">
        <w:t xml:space="preserve"> </w:t>
      </w:r>
      <w:r>
        <w:t xml:space="preserve">environmental and social justice communities, including improvements to better achieve any of the nine goals of the Commission’s Environmental and Social Justice </w:t>
      </w:r>
      <w:r w:rsidR="00F076A9">
        <w:t xml:space="preserve">(ESJ) </w:t>
      </w:r>
      <w:r>
        <w:t>Action Plan</w:t>
      </w:r>
      <w:r w:rsidR="00CA77E3">
        <w:t>.</w:t>
      </w:r>
      <w:r>
        <w:rPr>
          <w:rStyle w:val="FootnoteReference"/>
        </w:rPr>
        <w:footnoteReference w:id="9"/>
      </w:r>
    </w:p>
    <w:p w:rsidR="005939A5" w:rsidP="006363EA" w:rsidRDefault="00A0681C" w14:paraId="4CB3041C" w14:textId="21C621D0">
      <w:pPr>
        <w:pStyle w:val="Heading1"/>
        <w:numPr>
          <w:ilvl w:val="0"/>
          <w:numId w:val="17"/>
        </w:numPr>
        <w:ind w:left="360"/>
      </w:pPr>
      <w:bookmarkStart w:name="_Toc8123720" w:id="11"/>
      <w:bookmarkStart w:name="_Toc81913472" w:id="12"/>
      <w:r>
        <w:lastRenderedPageBreak/>
        <w:t xml:space="preserve">Service Restoration </w:t>
      </w:r>
      <w:bookmarkEnd w:id="11"/>
      <w:r w:rsidR="00F51E97">
        <w:t>Requirements</w:t>
      </w:r>
      <w:bookmarkEnd w:id="12"/>
    </w:p>
    <w:p w:rsidR="00F51E97" w:rsidP="00E11BFD" w:rsidRDefault="008F26A9" w14:paraId="7E91F089" w14:textId="37455FA5">
      <w:pPr>
        <w:pStyle w:val="Standard"/>
      </w:pPr>
      <w:r>
        <w:t xml:space="preserve">The </w:t>
      </w:r>
      <w:r w:rsidR="004A3459">
        <w:t xml:space="preserve">initial Scoping Memo </w:t>
      </w:r>
      <w:r>
        <w:t>request</w:t>
      </w:r>
      <w:r w:rsidR="00622425">
        <w:t>s</w:t>
      </w:r>
      <w:r>
        <w:t xml:space="preserve"> parties pro</w:t>
      </w:r>
      <w:r w:rsidR="00E104A7">
        <w:t>pose</w:t>
      </w:r>
      <w:r>
        <w:t xml:space="preserve"> </w:t>
      </w:r>
      <w:r w:rsidRPr="008F26A9">
        <w:t xml:space="preserve">requirements, if any, </w:t>
      </w:r>
      <w:r>
        <w:t xml:space="preserve">that the Commission should </w:t>
      </w:r>
      <w:r w:rsidRPr="008F26A9">
        <w:t>impose on communications service providers and the IOUs to facilitate the construction of fiber facilities or other technologies capable of providing a minimum download speed of 100 Mbps when restoring facilities after a disaster such as a fire</w:t>
      </w:r>
      <w:r w:rsidR="00EA36C6">
        <w:t>.</w:t>
      </w:r>
      <w:r w:rsidR="00E11BFD">
        <w:t xml:space="preserve">  A December 30, 2020 ruling </w:t>
      </w:r>
      <w:r w:rsidR="00622425">
        <w:t xml:space="preserve">issued </w:t>
      </w:r>
      <w:r w:rsidR="00E11BFD">
        <w:t xml:space="preserve">by the assigned ALJ served a staff paper on parties, including a proposed IOU Fiber Pilot Program </w:t>
      </w:r>
      <w:r w:rsidR="004A3459">
        <w:t xml:space="preserve">(Pilot) </w:t>
      </w:r>
      <w:r w:rsidR="00E11BFD">
        <w:t>in which IOUs install fiber optic infrastructure as part of their service restoral and rebuild of communities impacted by the 2020 wildfires and potential 2021 wildfires.</w:t>
      </w:r>
      <w:r w:rsidR="00EB55FC">
        <w:t xml:space="preserve">  </w:t>
      </w:r>
    </w:p>
    <w:p w:rsidR="0097174C" w:rsidP="00A72A0B" w:rsidRDefault="00F10DA9" w14:paraId="6A74A6A4" w14:textId="0AA3DA1D">
      <w:pPr>
        <w:pStyle w:val="Standard"/>
      </w:pPr>
      <w:r>
        <w:t>The goal of th</w:t>
      </w:r>
      <w:r w:rsidR="00A72A0B">
        <w:t>e</w:t>
      </w:r>
      <w:r>
        <w:t xml:space="preserve"> Pilot is that, with the restoral of </w:t>
      </w:r>
      <w:r w:rsidR="004211ED">
        <w:t xml:space="preserve">damaged </w:t>
      </w:r>
      <w:r>
        <w:t xml:space="preserve">IOU </w:t>
      </w:r>
      <w:r w:rsidR="00822205">
        <w:t>infrastructure</w:t>
      </w:r>
      <w:r>
        <w:t xml:space="preserve"> </w:t>
      </w:r>
      <w:r w:rsidR="00E4575A">
        <w:t>following</w:t>
      </w:r>
      <w:r>
        <w:t xml:space="preserve"> wildfires, the IOU will concurrently install fiber infrastructure and conduit as necessary to facilitate the operation of an open access fiber network in and near the community impacted by a 2020</w:t>
      </w:r>
      <w:r w:rsidR="00D540C1">
        <w:t>-21</w:t>
      </w:r>
      <w:r>
        <w:t xml:space="preserve"> wildfire.</w:t>
      </w:r>
      <w:r>
        <w:rPr>
          <w:rStyle w:val="FootnoteReference"/>
        </w:rPr>
        <w:footnoteReference w:id="10"/>
      </w:r>
      <w:r>
        <w:t xml:space="preserve">  By taking advantage of IOU service restoral and rebuilds to install a fiber network, the impacted community can benefit from reliable broadband infrastructure constructed by the IOU that would not be built outside of this opportunity.</w:t>
      </w:r>
      <w:r w:rsidRPr="0097174C" w:rsidR="0097174C">
        <w:t xml:space="preserve"> </w:t>
      </w:r>
      <w:r w:rsidR="00A72A0B">
        <w:t xml:space="preserve"> </w:t>
      </w:r>
      <w:r w:rsidR="0097174C">
        <w:t xml:space="preserve">The network </w:t>
      </w:r>
      <w:r w:rsidR="00A72A0B">
        <w:t>w</w:t>
      </w:r>
      <w:r w:rsidR="0097174C">
        <w:t>ould be</w:t>
      </w:r>
      <w:r w:rsidR="00A72A0B">
        <w:t xml:space="preserve"> </w:t>
      </w:r>
      <w:r w:rsidR="0097174C">
        <w:t>designed to provide points of</w:t>
      </w:r>
      <w:r w:rsidR="00A72A0B">
        <w:t xml:space="preserve"> </w:t>
      </w:r>
      <w:r w:rsidR="0097174C">
        <w:t>interconnection that could be accessed by a third</w:t>
      </w:r>
      <w:r w:rsidR="00A72A0B">
        <w:t xml:space="preserve"> </w:t>
      </w:r>
      <w:r w:rsidR="0097174C">
        <w:t>party,</w:t>
      </w:r>
      <w:r w:rsidRPr="0097174C" w:rsidR="0097174C">
        <w:t xml:space="preserve"> </w:t>
      </w:r>
      <w:r w:rsidR="00A72A0B">
        <w:t>allowing it to serve the community</w:t>
      </w:r>
      <w:r w:rsidR="00612420">
        <w:t xml:space="preserve"> in question.  T</w:t>
      </w:r>
      <w:r w:rsidR="00A72A0B">
        <w:t xml:space="preserve">he </w:t>
      </w:r>
      <w:r w:rsidR="00612420">
        <w:t xml:space="preserve">proposal requires the </w:t>
      </w:r>
      <w:r w:rsidR="0097174C">
        <w:t xml:space="preserve">IOU </w:t>
      </w:r>
      <w:r w:rsidR="00A72A0B">
        <w:t xml:space="preserve">first </w:t>
      </w:r>
      <w:r w:rsidR="00612420">
        <w:t xml:space="preserve">to </w:t>
      </w:r>
      <w:r w:rsidR="00A72A0B">
        <w:t xml:space="preserve">offer </w:t>
      </w:r>
      <w:r w:rsidR="0097174C">
        <w:t>to lease th</w:t>
      </w:r>
      <w:r w:rsidR="00612420">
        <w:t xml:space="preserve">e fiber or </w:t>
      </w:r>
      <w:r w:rsidR="0097174C">
        <w:t xml:space="preserve">infrastructure to the local </w:t>
      </w:r>
      <w:r w:rsidR="00A72A0B">
        <w:t xml:space="preserve">or Tribal </w:t>
      </w:r>
      <w:r w:rsidR="0097174C">
        <w:t>government</w:t>
      </w:r>
      <w:r w:rsidR="00612420">
        <w:t>.  Only</w:t>
      </w:r>
      <w:r w:rsidR="00A72A0B">
        <w:t xml:space="preserve"> after making that offering, </w:t>
      </w:r>
      <w:r w:rsidR="00612420">
        <w:t>would the IOU</w:t>
      </w:r>
      <w:r w:rsidR="00A72A0B">
        <w:t xml:space="preserve"> be allowed to </w:t>
      </w:r>
      <w:r w:rsidR="0097174C">
        <w:t>lease the fiber in a</w:t>
      </w:r>
      <w:r w:rsidR="00A72A0B">
        <w:t xml:space="preserve"> </w:t>
      </w:r>
      <w:r w:rsidR="0097174C">
        <w:t>nondiscriminatory</w:t>
      </w:r>
      <w:r w:rsidR="00A72A0B">
        <w:t xml:space="preserve"> </w:t>
      </w:r>
      <w:r w:rsidR="0097174C">
        <w:t>manner at just and reasonable rates to a communications</w:t>
      </w:r>
      <w:r w:rsidR="00A72A0B">
        <w:t xml:space="preserve"> </w:t>
      </w:r>
      <w:r w:rsidR="0097174C">
        <w:t>provider requesting access.</w:t>
      </w:r>
    </w:p>
    <w:p w:rsidR="00726AEB" w:rsidP="00726AEB" w:rsidRDefault="00726AEB" w14:paraId="402FB7CF" w14:textId="7B61E7AD">
      <w:pPr>
        <w:pStyle w:val="Standard"/>
      </w:pPr>
      <w:r>
        <w:lastRenderedPageBreak/>
        <w:t xml:space="preserve">Finally, the </w:t>
      </w:r>
      <w:r w:rsidR="0016058E">
        <w:t xml:space="preserve">First </w:t>
      </w:r>
      <w:r>
        <w:t>Amended Scoping Memo Parties includes a proposal that if a post-disaster utility infrastructure rebuild involves undergrounding and the range of costs or the cost sharing arrangement differs from this Commission’s</w:t>
      </w:r>
      <w:r w:rsidRPr="00726AEB">
        <w:t xml:space="preserve"> </w:t>
      </w:r>
      <w:r>
        <w:t>Rule 20 formulas, the IOU must explain the reason for the difference.</w:t>
      </w:r>
    </w:p>
    <w:p w:rsidR="006C08C2" w:rsidP="006363EA" w:rsidRDefault="00905022" w14:paraId="190A8A8F" w14:textId="521FACDE">
      <w:pPr>
        <w:pStyle w:val="Heading2"/>
        <w:tabs>
          <w:tab w:val="clear" w:pos="1080"/>
          <w:tab w:val="num" w:pos="1800"/>
        </w:tabs>
        <w:ind w:left="1440"/>
      </w:pPr>
      <w:bookmarkStart w:name="_Toc81913473" w:id="13"/>
      <w:r>
        <w:t xml:space="preserve">3.1 </w:t>
      </w:r>
      <w:r w:rsidR="006363EA">
        <w:tab/>
      </w:r>
      <w:r w:rsidR="006C08C2">
        <w:t>Part</w:t>
      </w:r>
      <w:r w:rsidR="00387D6A">
        <w:t>y Positions</w:t>
      </w:r>
      <w:bookmarkEnd w:id="13"/>
    </w:p>
    <w:p w:rsidR="008F26A9" w:rsidP="00984FF1" w:rsidRDefault="004942FF" w14:paraId="4E59EC15" w14:textId="7601CD08">
      <w:pPr>
        <w:pStyle w:val="Standard"/>
      </w:pPr>
      <w:r>
        <w:t xml:space="preserve">Parties disagree </w:t>
      </w:r>
      <w:r w:rsidR="001C0986">
        <w:t>over</w:t>
      </w:r>
      <w:r>
        <w:t xml:space="preserve"> </w:t>
      </w:r>
      <w:r w:rsidR="004A3459">
        <w:t xml:space="preserve">whether </w:t>
      </w:r>
      <w:r>
        <w:t xml:space="preserve">the Commission should </w:t>
      </w:r>
      <w:r w:rsidR="00340959">
        <w:t xml:space="preserve">require </w:t>
      </w:r>
      <w:r w:rsidR="00CE6D70">
        <w:t>tele</w:t>
      </w:r>
      <w:r w:rsidRPr="00340959" w:rsidR="00340959">
        <w:t xml:space="preserve">communications service providers and IOUs to facilitate the construction of fiber facilities when restoring </w:t>
      </w:r>
      <w:r w:rsidR="00105CB3">
        <w:t xml:space="preserve">electrical </w:t>
      </w:r>
      <w:r w:rsidRPr="00340959" w:rsidR="00340959">
        <w:t>facilities after a disaster</w:t>
      </w:r>
      <w:r w:rsidR="00437EFB">
        <w:t xml:space="preserve">.  Parties </w:t>
      </w:r>
      <w:r w:rsidR="001C0986">
        <w:t xml:space="preserve">also offer </w:t>
      </w:r>
      <w:r w:rsidR="000604C4">
        <w:t>a variety</w:t>
      </w:r>
      <w:r w:rsidR="001C0986">
        <w:t xml:space="preserve"> of recommendations for </w:t>
      </w:r>
      <w:r w:rsidR="00543B28">
        <w:t xml:space="preserve">other </w:t>
      </w:r>
      <w:r w:rsidR="00A1478E">
        <w:t>actions</w:t>
      </w:r>
      <w:r w:rsidR="00543B28">
        <w:t xml:space="preserve"> </w:t>
      </w:r>
      <w:r w:rsidR="001C0986">
        <w:t xml:space="preserve">the Commission should </w:t>
      </w:r>
      <w:r w:rsidR="00543B28">
        <w:t>take</w:t>
      </w:r>
      <w:r w:rsidR="001C0986">
        <w:t xml:space="preserve"> instead</w:t>
      </w:r>
      <w:r w:rsidR="00437EFB">
        <w:t xml:space="preserve"> of implementing this requirement</w:t>
      </w:r>
      <w:r w:rsidR="001C0986">
        <w:t xml:space="preserve">. </w:t>
      </w:r>
      <w:r w:rsidR="004A3459">
        <w:t xml:space="preserve"> Most parties </w:t>
      </w:r>
      <w:r w:rsidR="00696D97">
        <w:t xml:space="preserve">either </w:t>
      </w:r>
      <w:r w:rsidR="004A3459">
        <w:t xml:space="preserve">do not support the proposed </w:t>
      </w:r>
      <w:r w:rsidR="00696D97">
        <w:t>Pilot or</w:t>
      </w:r>
      <w:r w:rsidR="004A3459">
        <w:t xml:space="preserve"> recommend significant changes to it.</w:t>
      </w:r>
    </w:p>
    <w:p w:rsidR="00CF5E68" w:rsidP="00671512" w:rsidRDefault="004A3459" w14:paraId="4D535941" w14:textId="54F2F906">
      <w:pPr>
        <w:pStyle w:val="Standard"/>
      </w:pPr>
      <w:r>
        <w:t xml:space="preserve">Many of the </w:t>
      </w:r>
      <w:r w:rsidR="00543B28">
        <w:t xml:space="preserve">IOUs, as well as the </w:t>
      </w:r>
      <w:r>
        <w:t xml:space="preserve">telecommunications </w:t>
      </w:r>
      <w:r w:rsidR="00CE6D70">
        <w:t xml:space="preserve">service </w:t>
      </w:r>
      <w:r>
        <w:t>providers, assert the proposed construction requirements</w:t>
      </w:r>
      <w:r w:rsidR="00543B28">
        <w:t xml:space="preserve"> are unnecessary</w:t>
      </w:r>
      <w:r w:rsidR="00696D97">
        <w:t xml:space="preserve">, </w:t>
      </w:r>
      <w:r>
        <w:t xml:space="preserve">as most service restoration work </w:t>
      </w:r>
      <w:r w:rsidR="00140E16">
        <w:t>i</w:t>
      </w:r>
      <w:r>
        <w:t xml:space="preserve">s complete or </w:t>
      </w:r>
      <w:r w:rsidR="000B6CD8">
        <w:t xml:space="preserve">will be </w:t>
      </w:r>
      <w:r>
        <w:t>near completion</w:t>
      </w:r>
      <w:r w:rsidR="00CE6D70">
        <w:t xml:space="preserve"> by Spring 2021</w:t>
      </w:r>
      <w:r>
        <w:t>.</w:t>
      </w:r>
      <w:r>
        <w:rPr>
          <w:rStyle w:val="FootnoteReference"/>
        </w:rPr>
        <w:footnoteReference w:id="11"/>
      </w:r>
      <w:r>
        <w:t xml:space="preserve">  </w:t>
      </w:r>
      <w:r w:rsidR="006363EA">
        <w:br/>
      </w:r>
      <w:r w:rsidR="00CF5E68">
        <w:t>These parties argue that i</w:t>
      </w:r>
      <w:r w:rsidR="00437EFB">
        <w:t xml:space="preserve">mplementing that requirement would mean new and duplicative work in areas where construction activities have already been complete.  </w:t>
      </w:r>
      <w:r w:rsidR="00140E16">
        <w:t xml:space="preserve">The same </w:t>
      </w:r>
      <w:r w:rsidR="00696D97">
        <w:t>parties</w:t>
      </w:r>
      <w:r w:rsidR="00140E16">
        <w:t xml:space="preserve"> also express concern that the </w:t>
      </w:r>
      <w:r w:rsidR="00696D97">
        <w:t xml:space="preserve">rebuild </w:t>
      </w:r>
      <w:r w:rsidR="00140E16">
        <w:t>requirement is too burdensome</w:t>
      </w:r>
      <w:r w:rsidR="00696D97">
        <w:t>.</w:t>
      </w:r>
      <w:r w:rsidR="008D5F92">
        <w:t xml:space="preserve"> </w:t>
      </w:r>
      <w:r w:rsidR="00696D97">
        <w:t xml:space="preserve"> </w:t>
      </w:r>
    </w:p>
    <w:p w:rsidR="008D5F92" w:rsidP="00671512" w:rsidRDefault="00696D97" w14:paraId="30C89A54" w14:textId="7F25717A">
      <w:pPr>
        <w:pStyle w:val="Standard"/>
      </w:pPr>
      <w:r>
        <w:t>T</w:t>
      </w:r>
      <w:r w:rsidR="008D5F92">
        <w:t xml:space="preserve">he </w:t>
      </w:r>
      <w:r w:rsidR="00140E16">
        <w:t>IOUs</w:t>
      </w:r>
      <w:r w:rsidR="00767B1E">
        <w:t>, CASMU,</w:t>
      </w:r>
      <w:r w:rsidR="00140E16">
        <w:t xml:space="preserve"> </w:t>
      </w:r>
      <w:r w:rsidR="00A1478E">
        <w:t xml:space="preserve">and CWA </w:t>
      </w:r>
      <w:r w:rsidR="00406027">
        <w:t>argue that</w:t>
      </w:r>
      <w:r>
        <w:t xml:space="preserve"> </w:t>
      </w:r>
      <w:r w:rsidR="008D5F92">
        <w:t xml:space="preserve">telecommunications </w:t>
      </w:r>
      <w:r w:rsidR="00CE6D70">
        <w:t xml:space="preserve">service </w:t>
      </w:r>
      <w:r w:rsidR="008D5F92">
        <w:t xml:space="preserve">providers should be responsible for </w:t>
      </w:r>
      <w:r w:rsidR="00CE6D70">
        <w:t>offering</w:t>
      </w:r>
      <w:r w:rsidR="008D5F92">
        <w:t xml:space="preserve"> Internet service,</w:t>
      </w:r>
      <w:r>
        <w:t xml:space="preserve"> not </w:t>
      </w:r>
      <w:r w:rsidR="00767B1E">
        <w:t xml:space="preserve">electrical utilities, </w:t>
      </w:r>
      <w:r>
        <w:t xml:space="preserve">given </w:t>
      </w:r>
      <w:r w:rsidR="00543B28">
        <w:t xml:space="preserve">the </w:t>
      </w:r>
      <w:r w:rsidR="00767B1E">
        <w:t>electric utilities lack experience providing Internet service</w:t>
      </w:r>
      <w:r w:rsidR="00543B28">
        <w:t>.</w:t>
      </w:r>
      <w:r w:rsidR="00A1478E">
        <w:t xml:space="preserve">  </w:t>
      </w:r>
      <w:r w:rsidRPr="004570A8" w:rsidR="004570A8">
        <w:t>CASMU</w:t>
      </w:r>
      <w:r w:rsidR="004570A8">
        <w:t xml:space="preserve"> adds that electric u</w:t>
      </w:r>
      <w:r w:rsidRPr="004570A8" w:rsidR="004570A8">
        <w:t xml:space="preserve">tilities </w:t>
      </w:r>
      <w:r w:rsidR="004570A8">
        <w:t xml:space="preserve">should not be compelled </w:t>
      </w:r>
      <w:r w:rsidRPr="004570A8" w:rsidR="004570A8">
        <w:t xml:space="preserve">to install fiber if not </w:t>
      </w:r>
      <w:r w:rsidR="004570A8">
        <w:lastRenderedPageBreak/>
        <w:t xml:space="preserve">required </w:t>
      </w:r>
      <w:r w:rsidRPr="004570A8" w:rsidR="004570A8">
        <w:t xml:space="preserve">for utility operation. </w:t>
      </w:r>
      <w:r w:rsidR="00CE6D70">
        <w:t xml:space="preserve"> </w:t>
      </w:r>
      <w:r w:rsidRPr="00CE6D70" w:rsidR="00CE6D70">
        <w:t xml:space="preserve">CASMU </w:t>
      </w:r>
      <w:r w:rsidR="78F29A8D">
        <w:t xml:space="preserve">also </w:t>
      </w:r>
      <w:r w:rsidR="00CE6D70">
        <w:t>assert</w:t>
      </w:r>
      <w:r w:rsidR="00CF5E68">
        <w:t>s</w:t>
      </w:r>
      <w:r w:rsidR="00CE6D70">
        <w:t xml:space="preserve"> that electric u</w:t>
      </w:r>
      <w:r w:rsidRPr="004570A8" w:rsidR="004570A8">
        <w:t>tilities have little capacity or legal power to install fiber for comm</w:t>
      </w:r>
      <w:r w:rsidR="00CE6D70">
        <w:t>unications</w:t>
      </w:r>
      <w:r w:rsidRPr="004570A8" w:rsidR="004570A8">
        <w:t xml:space="preserve"> purposes</w:t>
      </w:r>
      <w:r w:rsidR="00CE6D70">
        <w:t xml:space="preserve"> and </w:t>
      </w:r>
      <w:r w:rsidR="00F076A9">
        <w:br/>
      </w:r>
      <w:r w:rsidR="00CE6D70">
        <w:t>t</w:t>
      </w:r>
      <w:r w:rsidRPr="004570A8" w:rsidR="004570A8">
        <w:t xml:space="preserve">he Commission has no jurisdiction to force IOUs into the </w:t>
      </w:r>
      <w:r w:rsidR="00F076A9">
        <w:t>Internet Serve Provider (</w:t>
      </w:r>
      <w:r w:rsidRPr="00F076A9" w:rsidR="004570A8">
        <w:t>ISP</w:t>
      </w:r>
      <w:r w:rsidR="00F076A9">
        <w:t>)</w:t>
      </w:r>
      <w:r w:rsidRPr="004570A8" w:rsidR="004570A8">
        <w:t xml:space="preserve"> market and should instead focus </w:t>
      </w:r>
      <w:r w:rsidR="007D7A00">
        <w:t xml:space="preserve">its Internet service expansion efforts </w:t>
      </w:r>
      <w:r w:rsidRPr="004570A8" w:rsidR="004570A8">
        <w:t>on ISPs</w:t>
      </w:r>
      <w:r w:rsidR="007D7A00">
        <w:t xml:space="preserve">. </w:t>
      </w:r>
      <w:r w:rsidRPr="004570A8" w:rsidR="004570A8">
        <w:t xml:space="preserve"> </w:t>
      </w:r>
      <w:r w:rsidR="007D7A00">
        <w:t>I</w:t>
      </w:r>
      <w:r w:rsidRPr="004570A8" w:rsidR="004570A8">
        <w:t>f forced</w:t>
      </w:r>
      <w:r w:rsidR="00CE6D70">
        <w:t>,</w:t>
      </w:r>
      <w:r w:rsidRPr="004570A8" w:rsidR="004570A8">
        <w:t xml:space="preserve"> CASMU </w:t>
      </w:r>
      <w:r w:rsidR="00CE6D70">
        <w:t xml:space="preserve">members are </w:t>
      </w:r>
      <w:r w:rsidRPr="004570A8" w:rsidR="004570A8">
        <w:t>willing to work with ISPs.</w:t>
      </w:r>
    </w:p>
    <w:p w:rsidR="00671512" w:rsidP="00671512" w:rsidRDefault="00696D97" w14:paraId="57CC04F3" w14:textId="5A7F4171">
      <w:pPr>
        <w:pStyle w:val="Standard"/>
      </w:pPr>
      <w:r>
        <w:t xml:space="preserve">Most telecommunications </w:t>
      </w:r>
      <w:r w:rsidR="007D7A00">
        <w:t xml:space="preserve">service </w:t>
      </w:r>
      <w:r>
        <w:t xml:space="preserve">providers oppose the Commission requiring </w:t>
      </w:r>
      <w:r w:rsidR="42DBB0BE">
        <w:t xml:space="preserve">them </w:t>
      </w:r>
      <w:r>
        <w:t xml:space="preserve">to </w:t>
      </w:r>
      <w:r w:rsidRPr="004942FF">
        <w:t xml:space="preserve">construct fiber </w:t>
      </w:r>
      <w:r>
        <w:t xml:space="preserve">and other fiber </w:t>
      </w:r>
      <w:r w:rsidRPr="004942FF">
        <w:t>facilities</w:t>
      </w:r>
      <w:r>
        <w:t xml:space="preserve"> </w:t>
      </w:r>
      <w:r w:rsidRPr="004942FF">
        <w:t xml:space="preserve">when restoring facilities </w:t>
      </w:r>
      <w:r>
        <w:t xml:space="preserve">damaged or destroyed by a </w:t>
      </w:r>
      <w:r w:rsidRPr="004942FF">
        <w:t>disaster</w:t>
      </w:r>
      <w:r>
        <w:t>.  Several telecommunications</w:t>
      </w:r>
      <w:r w:rsidR="00C13E68">
        <w:t xml:space="preserve"> service </w:t>
      </w:r>
      <w:r>
        <w:t>providers, as well as associations representing those providers, assert that m</w:t>
      </w:r>
      <w:r w:rsidRPr="00984FF1">
        <w:t>andating</w:t>
      </w:r>
      <w:r w:rsidR="00105CB3">
        <w:t xml:space="preserve"> the construction or installation of</w:t>
      </w:r>
      <w:r w:rsidRPr="00984FF1">
        <w:t xml:space="preserve"> specific technologies</w:t>
      </w:r>
      <w:r w:rsidR="00543B28">
        <w:t xml:space="preserve">, such as fiber, </w:t>
      </w:r>
      <w:r w:rsidRPr="00984FF1">
        <w:t>will lead to delays in service restoral</w:t>
      </w:r>
      <w:r>
        <w:t>, or diminish</w:t>
      </w:r>
      <w:r w:rsidRPr="00984FF1">
        <w:t xml:space="preserve"> capacity</w:t>
      </w:r>
      <w:r w:rsidR="00807DFA">
        <w:t>,</w:t>
      </w:r>
      <w:r w:rsidR="00146D0A">
        <w:t xml:space="preserve"> could lead to overbuilding of existing telecommunications facilities,</w:t>
      </w:r>
      <w:r w:rsidR="00807DFA">
        <w:t xml:space="preserve"> and also question if the fiber will even be used and useful. </w:t>
      </w:r>
      <w:r w:rsidR="00146D0A">
        <w:t xml:space="preserve"> </w:t>
      </w:r>
    </w:p>
    <w:p w:rsidR="00CE6D70" w:rsidP="00CE6D70" w:rsidRDefault="001219BC" w14:paraId="1CD6B84E" w14:textId="545CE468">
      <w:pPr>
        <w:pStyle w:val="Standard"/>
      </w:pPr>
      <w:r>
        <w:t xml:space="preserve">Many </w:t>
      </w:r>
      <w:r w:rsidR="00105CB3">
        <w:t xml:space="preserve">parties either oppose the Pilot or recommend significant changes.  AT&amp;T, Frontier and the Small LECs recommend that the </w:t>
      </w:r>
      <w:r w:rsidR="00406027">
        <w:t>P</w:t>
      </w:r>
      <w:r w:rsidR="00105CB3">
        <w:t xml:space="preserve">ilot be voluntary, </w:t>
      </w:r>
      <w:r w:rsidR="006C3970">
        <w:t xml:space="preserve">with </w:t>
      </w:r>
      <w:r w:rsidRPr="00984FF1" w:rsidR="00105CB3">
        <w:t xml:space="preserve">CASMU </w:t>
      </w:r>
      <w:r w:rsidR="00105CB3">
        <w:t>request</w:t>
      </w:r>
      <w:r w:rsidR="006C3970">
        <w:t>ing</w:t>
      </w:r>
      <w:r w:rsidR="00105CB3">
        <w:t xml:space="preserve"> to </w:t>
      </w:r>
      <w:r w:rsidRPr="00984FF1" w:rsidR="00105CB3">
        <w:t xml:space="preserve">be excluded from </w:t>
      </w:r>
      <w:r w:rsidR="00CF5E68">
        <w:t>the P</w:t>
      </w:r>
      <w:r w:rsidRPr="00984FF1" w:rsidR="00105CB3">
        <w:t>ilot</w:t>
      </w:r>
      <w:r w:rsidRPr="004942FF" w:rsidR="00105CB3">
        <w:t>.</w:t>
      </w:r>
      <w:r w:rsidR="00105CB3">
        <w:t xml:space="preserve"> </w:t>
      </w:r>
      <w:r w:rsidR="00CE6D70">
        <w:t xml:space="preserve"> CTIA asserts the Pilot would </w:t>
      </w:r>
      <w:r w:rsidRPr="00146D0A" w:rsidR="00CE6D70">
        <w:t xml:space="preserve">violate competitive neutrality laws </w:t>
      </w:r>
      <w:r w:rsidR="00CE6D70">
        <w:t xml:space="preserve">in </w:t>
      </w:r>
      <w:r w:rsidR="00822B94">
        <w:t xml:space="preserve">California </w:t>
      </w:r>
      <w:r w:rsidR="00CE6D70">
        <w:t>Pub</w:t>
      </w:r>
      <w:r w:rsidR="00F07F52">
        <w:t>lic</w:t>
      </w:r>
      <w:r w:rsidR="00CE6D70">
        <w:t xml:space="preserve"> </w:t>
      </w:r>
      <w:r w:rsidR="00A31F6E">
        <w:t>Utilities</w:t>
      </w:r>
      <w:r w:rsidR="00F07F52">
        <w:t>(Cal. Pub. Util.)</w:t>
      </w:r>
      <w:r w:rsidR="00676CFC">
        <w:t xml:space="preserve"> </w:t>
      </w:r>
      <w:r w:rsidR="00CE6D70">
        <w:t xml:space="preserve">Code </w:t>
      </w:r>
      <w:r w:rsidR="00822B94">
        <w:t xml:space="preserve">Sections </w:t>
      </w:r>
      <w:r w:rsidR="00CE6D70">
        <w:t xml:space="preserve">253 (a) and </w:t>
      </w:r>
      <w:r w:rsidRPr="00146D0A" w:rsidR="00CE6D70">
        <w:t>709.5</w:t>
      </w:r>
      <w:r w:rsidR="00CE6D70">
        <w:t>.</w:t>
      </w:r>
      <w:r w:rsidRPr="00146D0A" w:rsidR="00CE6D70">
        <w:t xml:space="preserve"> </w:t>
      </w:r>
      <w:r w:rsidR="00CE6D70">
        <w:t xml:space="preserve"> CWA is concerned that requiring fiber installation or the construction of fiber facilities in disaster recovery areas will lead to fiber islands.  Instead, telecommunications providers </w:t>
      </w:r>
      <w:r w:rsidR="006F16DA">
        <w:t>argue</w:t>
      </w:r>
      <w:r w:rsidR="003D5216">
        <w:t xml:space="preserve"> that</w:t>
      </w:r>
      <w:r w:rsidR="00CE6D70">
        <w:t xml:space="preserve"> the Commission </w:t>
      </w:r>
      <w:r w:rsidRPr="00984FF1" w:rsidR="00CE6D70">
        <w:t>should only require space be available for installation</w:t>
      </w:r>
      <w:r w:rsidR="00CE6D70">
        <w:t>.</w:t>
      </w:r>
      <w:r w:rsidRPr="00984FF1" w:rsidR="00CE6D70">
        <w:t xml:space="preserve">  </w:t>
      </w:r>
    </w:p>
    <w:p w:rsidRPr="00984FF1" w:rsidR="0000490B" w:rsidP="0000490B" w:rsidRDefault="00105CB3" w14:paraId="279FEFAE" w14:textId="3C1F8A58">
      <w:pPr>
        <w:pStyle w:val="Standard"/>
      </w:pPr>
      <w:r>
        <w:t xml:space="preserve"> Several parties, including CCTA, TURN, and Cal Advocates suggest a more</w:t>
      </w:r>
      <w:r w:rsidRPr="00622425">
        <w:t xml:space="preserve"> focus</w:t>
      </w:r>
      <w:r>
        <w:t>ed</w:t>
      </w:r>
      <w:r w:rsidRPr="00622425">
        <w:t xml:space="preserve"> pilot </w:t>
      </w:r>
      <w:r>
        <w:t xml:space="preserve">on a small number of </w:t>
      </w:r>
      <w:r w:rsidRPr="00622425">
        <w:t>communities</w:t>
      </w:r>
      <w:r>
        <w:t xml:space="preserve">, such as areas </w:t>
      </w:r>
      <w:r w:rsidRPr="00622425">
        <w:t xml:space="preserve">where the </w:t>
      </w:r>
      <w:r>
        <w:t xml:space="preserve">telecommunications </w:t>
      </w:r>
      <w:r w:rsidRPr="00622425">
        <w:t>infrastructure has not been rebuilt</w:t>
      </w:r>
      <w:r w:rsidR="0000490B">
        <w:t>.</w:t>
      </w:r>
      <w:r w:rsidR="00053C5A">
        <w:t xml:space="preserve">  </w:t>
      </w:r>
      <w:r w:rsidRPr="00984FF1" w:rsidR="0000490B">
        <w:t>CTIA</w:t>
      </w:r>
      <w:r w:rsidR="00053C5A">
        <w:t xml:space="preserve"> asks the Commission to </w:t>
      </w:r>
      <w:r w:rsidRPr="00984FF1" w:rsidR="0000490B">
        <w:t xml:space="preserve">guarantee </w:t>
      </w:r>
      <w:r w:rsidR="00053C5A">
        <w:t>the Pilot would not di</w:t>
      </w:r>
      <w:r w:rsidRPr="00984FF1" w:rsidR="0000490B">
        <w:t xml:space="preserve">srupt </w:t>
      </w:r>
      <w:r w:rsidR="00B00BAC">
        <w:t xml:space="preserve">wireless </w:t>
      </w:r>
      <w:r w:rsidRPr="00984FF1" w:rsidR="0000490B">
        <w:t>service.</w:t>
      </w:r>
      <w:r w:rsidR="00146D0A">
        <w:t xml:space="preserve">  </w:t>
      </w:r>
      <w:r w:rsidRPr="00984FF1" w:rsidR="0000490B">
        <w:t>CWA</w:t>
      </w:r>
      <w:r w:rsidR="00053C5A">
        <w:t xml:space="preserve"> is concerned the Pilot would overturn the c</w:t>
      </w:r>
      <w:r w:rsidRPr="00984FF1" w:rsidR="0000490B">
        <w:t>urrent joint pole framework</w:t>
      </w:r>
      <w:r w:rsidR="00053C5A">
        <w:t xml:space="preserve"> with </w:t>
      </w:r>
      <w:r w:rsidRPr="00984FF1" w:rsidR="0000490B">
        <w:t xml:space="preserve">no </w:t>
      </w:r>
      <w:r w:rsidRPr="00984FF1" w:rsidR="0000490B">
        <w:lastRenderedPageBreak/>
        <w:t>obligations in place for maintenance</w:t>
      </w:r>
      <w:r w:rsidR="00053C5A">
        <w:t xml:space="preserve"> and interconnection</w:t>
      </w:r>
      <w:r w:rsidRPr="00984FF1" w:rsidR="0000490B">
        <w:t>.</w:t>
      </w:r>
      <w:r w:rsidR="00146D0A">
        <w:t xml:space="preserve">  </w:t>
      </w:r>
      <w:r w:rsidR="00053C5A">
        <w:t xml:space="preserve">CASMU asserts the Pilot </w:t>
      </w:r>
      <w:r w:rsidRPr="00984FF1" w:rsidR="0000490B">
        <w:t xml:space="preserve">does not recognize </w:t>
      </w:r>
      <w:r w:rsidR="00053C5A">
        <w:t>the limits place</w:t>
      </w:r>
      <w:r w:rsidR="2CE6E850">
        <w:t>d</w:t>
      </w:r>
      <w:r w:rsidR="00053C5A">
        <w:t xml:space="preserve"> by e</w:t>
      </w:r>
      <w:r w:rsidRPr="00984FF1" w:rsidR="0000490B">
        <w:t xml:space="preserve">asement rules and </w:t>
      </w:r>
      <w:r w:rsidR="00053C5A">
        <w:t>that there is</w:t>
      </w:r>
      <w:r w:rsidRPr="00984FF1" w:rsidR="0000490B">
        <w:t xml:space="preserve"> no precedent for the </w:t>
      </w:r>
      <w:r w:rsidR="00053C5A">
        <w:t>Pilot.</w:t>
      </w:r>
      <w:r w:rsidRPr="00984FF1" w:rsidR="0000490B">
        <w:t> </w:t>
      </w:r>
    </w:p>
    <w:p w:rsidR="00FC15E2" w:rsidP="00406027" w:rsidRDefault="00D22302" w14:paraId="2BB21877" w14:textId="233DEECC">
      <w:pPr>
        <w:pStyle w:val="Standard"/>
      </w:pPr>
      <w:r>
        <w:t>How to p</w:t>
      </w:r>
      <w:r w:rsidR="006C3970">
        <w:t>ay for the Pilot is an</w:t>
      </w:r>
      <w:r>
        <w:t>other</w:t>
      </w:r>
      <w:r w:rsidR="006C3970">
        <w:t xml:space="preserve"> area of disagreement.  </w:t>
      </w:r>
      <w:r w:rsidR="00105CB3">
        <w:t xml:space="preserve">The </w:t>
      </w:r>
      <w:r w:rsidRPr="00984FF1" w:rsidR="00105CB3">
        <w:t xml:space="preserve">IOUs </w:t>
      </w:r>
      <w:r w:rsidR="00105CB3">
        <w:t>note the need for an identified c</w:t>
      </w:r>
      <w:r w:rsidRPr="00984FF1" w:rsidR="00105CB3">
        <w:t>ost-</w:t>
      </w:r>
      <w:r w:rsidR="00105CB3">
        <w:t>r</w:t>
      </w:r>
      <w:r w:rsidRPr="00984FF1" w:rsidR="00105CB3">
        <w:t>ecovery mechanism</w:t>
      </w:r>
      <w:r w:rsidR="00105CB3">
        <w:t xml:space="preserve"> to</w:t>
      </w:r>
      <w:r w:rsidRPr="00984FF1" w:rsidR="00105CB3">
        <w:t xml:space="preserve"> avoid cross-subsidization</w:t>
      </w:r>
      <w:r w:rsidR="00105CB3">
        <w:t xml:space="preserve"> of ratepayer funds. </w:t>
      </w:r>
      <w:r w:rsidR="00532DE6">
        <w:t xml:space="preserve"> </w:t>
      </w:r>
      <w:r w:rsidRPr="00984FF1" w:rsidR="00105CB3">
        <w:t>CTIA</w:t>
      </w:r>
      <w:r w:rsidR="00105CB3">
        <w:t xml:space="preserve"> opposes allowing </w:t>
      </w:r>
      <w:r w:rsidRPr="00984FF1" w:rsidR="00105CB3">
        <w:t xml:space="preserve">IOU cost recovery in </w:t>
      </w:r>
      <w:r w:rsidR="00105CB3">
        <w:t>their general rate cases</w:t>
      </w:r>
      <w:r w:rsidR="00146D0A">
        <w:t xml:space="preserve"> but also expresses concerns that c</w:t>
      </w:r>
      <w:r w:rsidRPr="00146D0A" w:rsidR="00146D0A">
        <w:t xml:space="preserve">osts </w:t>
      </w:r>
      <w:r w:rsidR="00146D0A">
        <w:t xml:space="preserve">are </w:t>
      </w:r>
      <w:r w:rsidRPr="00146D0A" w:rsidR="00146D0A">
        <w:t>unlikely to be recouped</w:t>
      </w:r>
      <w:r w:rsidR="00146D0A">
        <w:t>.</w:t>
      </w:r>
      <w:r w:rsidR="00406027">
        <w:t xml:space="preserve"> AT&amp;T adds </w:t>
      </w:r>
      <w:r w:rsidR="00532DE6">
        <w:t xml:space="preserve">that </w:t>
      </w:r>
      <w:r w:rsidR="00406027">
        <w:t>the costs of deploying and operating the required fiber should be accounted for on a fully distributed cost basis</w:t>
      </w:r>
      <w:r w:rsidR="00532DE6">
        <w:t xml:space="preserve"> and i</w:t>
      </w:r>
      <w:r w:rsidR="00406027">
        <w:t>f any use of these fiber facilities is made by the IOU or by a commercia</w:t>
      </w:r>
      <w:r w:rsidR="00532DE6">
        <w:t xml:space="preserve">l entity, </w:t>
      </w:r>
      <w:r w:rsidR="00406027">
        <w:t xml:space="preserve">the entire </w:t>
      </w:r>
      <w:r w:rsidR="00532DE6">
        <w:t>fully distributed cost</w:t>
      </w:r>
      <w:r w:rsidR="00406027">
        <w:t xml:space="preserve"> of the fiber facilities should be removed from the utility rate base</w:t>
      </w:r>
      <w:r w:rsidR="00532DE6">
        <w:t xml:space="preserve"> </w:t>
      </w:r>
      <w:r w:rsidR="00406027">
        <w:t>and regulated operating expenses</w:t>
      </w:r>
      <w:r w:rsidR="00532DE6">
        <w:t>, and i</w:t>
      </w:r>
      <w:r w:rsidR="00406027">
        <w:t>f any use of these fiber facilities is made for non-utility</w:t>
      </w:r>
      <w:r w:rsidR="00532DE6">
        <w:t xml:space="preserve"> </w:t>
      </w:r>
      <w:r w:rsidR="00406027">
        <w:t>purposes, it should be via a separate subsidiary of the IOU</w:t>
      </w:r>
      <w:r w:rsidR="00532DE6">
        <w:t xml:space="preserve">, </w:t>
      </w:r>
      <w:r w:rsidR="00406027">
        <w:t>with separate books of account and</w:t>
      </w:r>
      <w:r w:rsidR="00532DE6">
        <w:t xml:space="preserve"> </w:t>
      </w:r>
      <w:r w:rsidR="00406027">
        <w:t>responsibility for any shortfalls.</w:t>
      </w:r>
      <w:r w:rsidR="00B46448">
        <w:t xml:space="preserve"> </w:t>
      </w:r>
    </w:p>
    <w:p w:rsidR="00671512" w:rsidP="00671512" w:rsidRDefault="00A1478E" w14:paraId="2FAB84A5" w14:textId="23862862">
      <w:pPr>
        <w:pStyle w:val="Standard"/>
      </w:pPr>
      <w:r>
        <w:t>Several parties, including Cal Advocates, CWA</w:t>
      </w:r>
      <w:r w:rsidR="00CE6D70">
        <w:t>,</w:t>
      </w:r>
      <w:r>
        <w:t xml:space="preserve"> and TURN, recommend the Commission </w:t>
      </w:r>
      <w:r w:rsidRPr="00984FF1">
        <w:t xml:space="preserve">instead </w:t>
      </w:r>
      <w:r>
        <w:t xml:space="preserve">focus </w:t>
      </w:r>
      <w:r w:rsidR="001C431F">
        <w:t>on network and infrastructure hardening requirements, including the</w:t>
      </w:r>
      <w:r w:rsidRPr="00984FF1">
        <w:t xml:space="preserve"> installation of better utility poles, </w:t>
      </w:r>
      <w:r w:rsidR="001C431F">
        <w:t>as well as focusing on “</w:t>
      </w:r>
      <w:r w:rsidRPr="00984FF1">
        <w:t>Dig Once</w:t>
      </w:r>
      <w:r w:rsidR="001C431F">
        <w:t>”</w:t>
      </w:r>
      <w:r w:rsidRPr="00984FF1">
        <w:t xml:space="preserve"> policies</w:t>
      </w:r>
      <w:r w:rsidR="001C431F">
        <w:t xml:space="preserve">.  </w:t>
      </w:r>
      <w:r w:rsidR="00671512">
        <w:t>CCTA recommends the Commission f</w:t>
      </w:r>
      <w:r w:rsidRPr="00984FF1" w:rsidR="00671512">
        <w:t xml:space="preserve">ocus on </w:t>
      </w:r>
      <w:r w:rsidR="00671512">
        <w:t>e</w:t>
      </w:r>
      <w:r w:rsidRPr="00984FF1" w:rsidR="00671512">
        <w:t xml:space="preserve">xpediting </w:t>
      </w:r>
      <w:r w:rsidR="00671512">
        <w:t>pole attachments</w:t>
      </w:r>
      <w:r w:rsidR="001C431F">
        <w:t>.</w:t>
      </w:r>
    </w:p>
    <w:p w:rsidR="001C0986" w:rsidP="001C0986" w:rsidRDefault="00D7292A" w14:paraId="181BACC8" w14:textId="6F1F8DB8">
      <w:pPr>
        <w:pStyle w:val="Standard"/>
      </w:pPr>
      <w:r>
        <w:t xml:space="preserve">AT&amp;T </w:t>
      </w:r>
      <w:r w:rsidR="00BE472A">
        <w:t xml:space="preserve">and </w:t>
      </w:r>
      <w:r>
        <w:t>CCTA</w:t>
      </w:r>
      <w:r w:rsidR="00780068">
        <w:t xml:space="preserve"> oppose </w:t>
      </w:r>
      <w:r>
        <w:t xml:space="preserve">local and Tribal governments </w:t>
      </w:r>
      <w:r w:rsidR="00BE472A">
        <w:t xml:space="preserve">receiving </w:t>
      </w:r>
      <w:r w:rsidRPr="00984FF1" w:rsidR="001C0986">
        <w:t>access</w:t>
      </w:r>
      <w:r w:rsidR="001C0986">
        <w:t xml:space="preserve"> to IOU fiber, </w:t>
      </w:r>
      <w:r w:rsidR="00CF5E68">
        <w:t xml:space="preserve">as well as the </w:t>
      </w:r>
      <w:r w:rsidRPr="00984FF1" w:rsidR="001C0986">
        <w:t xml:space="preserve">IOUs </w:t>
      </w:r>
      <w:r w:rsidR="001C0986">
        <w:t>receiv</w:t>
      </w:r>
      <w:r w:rsidR="00CF5E68">
        <w:t>ing</w:t>
      </w:r>
      <w:r w:rsidR="001C0986">
        <w:t xml:space="preserve"> </w:t>
      </w:r>
      <w:r w:rsidRPr="00984FF1" w:rsidR="001C0986">
        <w:t xml:space="preserve">priority </w:t>
      </w:r>
      <w:r w:rsidR="001C0986">
        <w:t>over telecommunications</w:t>
      </w:r>
      <w:r w:rsidR="00C13E68">
        <w:t xml:space="preserve"> service</w:t>
      </w:r>
      <w:r w:rsidR="001C0986">
        <w:t xml:space="preserve"> providers </w:t>
      </w:r>
      <w:r w:rsidR="00CF5E68">
        <w:t>in</w:t>
      </w:r>
      <w:r w:rsidR="001C0986">
        <w:t xml:space="preserve"> the </w:t>
      </w:r>
      <w:r w:rsidRPr="00984FF1" w:rsidR="001C0986">
        <w:t>install</w:t>
      </w:r>
      <w:r w:rsidR="001C0986">
        <w:t>ation of</w:t>
      </w:r>
      <w:r w:rsidRPr="00984FF1" w:rsidR="001C0986">
        <w:t xml:space="preserve"> fiber</w:t>
      </w:r>
      <w:r w:rsidR="001C0986">
        <w:t xml:space="preserve"> or other wireline infrastructure.</w:t>
      </w:r>
      <w:r w:rsidR="00D83C21">
        <w:t xml:space="preserve"> </w:t>
      </w:r>
      <w:r w:rsidR="00CF5E68">
        <w:t xml:space="preserve"> </w:t>
      </w:r>
      <w:r w:rsidR="00D83C21">
        <w:t xml:space="preserve">AT&amp;T asserts if </w:t>
      </w:r>
      <w:r w:rsidR="00CF5E68">
        <w:t>an</w:t>
      </w:r>
      <w:r w:rsidR="00D83C21">
        <w:t xml:space="preserve"> IOU leases its fiber facilities to a local </w:t>
      </w:r>
      <w:r>
        <w:t xml:space="preserve">or Tribal </w:t>
      </w:r>
      <w:r w:rsidR="00D83C21">
        <w:t xml:space="preserve">government, </w:t>
      </w:r>
      <w:r>
        <w:t xml:space="preserve">a carrier of last resort (COLR) </w:t>
      </w:r>
      <w:r w:rsidR="00D83C21">
        <w:t>in a</w:t>
      </w:r>
      <w:r>
        <w:t xml:space="preserve"> disaster area </w:t>
      </w:r>
      <w:r w:rsidR="00D83C21">
        <w:t>should be relieved of any responsibility to rebuild its network and may discontinue service in the impacted area.</w:t>
      </w:r>
      <w:r w:rsidRPr="00984FF1" w:rsidR="00D83C21">
        <w:t xml:space="preserve"> </w:t>
      </w:r>
    </w:p>
    <w:p w:rsidRPr="00680BE8" w:rsidR="00E448E2" w:rsidP="00BF3153" w:rsidRDefault="00726AEB" w14:paraId="05E8E27F" w14:textId="705D644B">
      <w:pPr>
        <w:pStyle w:val="Standard"/>
      </w:pPr>
      <w:r>
        <w:lastRenderedPageBreak/>
        <w:t>Finally, parties</w:t>
      </w:r>
      <w:r w:rsidR="00E448E2">
        <w:t xml:space="preserve"> do not agree </w:t>
      </w:r>
      <w:r w:rsidR="008E2987">
        <w:t xml:space="preserve">about the proposal that, </w:t>
      </w:r>
      <w:r w:rsidR="00E448E2">
        <w:t>if a post-disaster utility infrastructure rebuild involves undergrounding and the range of costs or the cost sharing arrangement differs from this Commission’s</w:t>
      </w:r>
      <w:r w:rsidRPr="00726AEB" w:rsidR="00E448E2">
        <w:t xml:space="preserve"> </w:t>
      </w:r>
      <w:r w:rsidR="00E448E2">
        <w:t xml:space="preserve">Rule 20 formulas, the IOU must explain the reason for the difference.  </w:t>
      </w:r>
      <w:r w:rsidRPr="00680BE8" w:rsidR="00E448E2">
        <w:t>AARP, Comcast, NDC, SBUA, UCAN</w:t>
      </w:r>
      <w:r w:rsidR="00E448E2">
        <w:t xml:space="preserve"> all support the proposal.  </w:t>
      </w:r>
      <w:r w:rsidRPr="00680BE8" w:rsidR="00E448E2">
        <w:t xml:space="preserve">Comcast </w:t>
      </w:r>
      <w:r w:rsidR="00C13E68">
        <w:t xml:space="preserve">is interested in </w:t>
      </w:r>
      <w:r w:rsidR="00750719">
        <w:t>receiv</w:t>
      </w:r>
      <w:r w:rsidR="00C13E68">
        <w:t>ing</w:t>
      </w:r>
      <w:r w:rsidR="00750719">
        <w:t xml:space="preserve"> </w:t>
      </w:r>
      <w:r w:rsidRPr="00680BE8" w:rsidR="00E448E2">
        <w:t>cost recovery in instances of undergrounding after disasters for their bearing of the costs.</w:t>
      </w:r>
      <w:r w:rsidR="00E22099">
        <w:t xml:space="preserve">  </w:t>
      </w:r>
      <w:r w:rsidRPr="00680BE8" w:rsidR="00E448E2">
        <w:t xml:space="preserve">SCE </w:t>
      </w:r>
      <w:r w:rsidR="00C13E68">
        <w:t xml:space="preserve">intends </w:t>
      </w:r>
      <w:r w:rsidR="000A7FDE">
        <w:t>to</w:t>
      </w:r>
      <w:r w:rsidRPr="00680BE8" w:rsidR="00E448E2">
        <w:t xml:space="preserve"> us</w:t>
      </w:r>
      <w:r w:rsidR="000A7FDE">
        <w:t>e</w:t>
      </w:r>
      <w:r w:rsidRPr="00680BE8" w:rsidR="00E448E2">
        <w:t xml:space="preserve"> its CMA account </w:t>
      </w:r>
      <w:r w:rsidR="00750719">
        <w:t xml:space="preserve">to recover costs for its </w:t>
      </w:r>
      <w:r w:rsidRPr="00680BE8" w:rsidR="00E448E2">
        <w:t>disaster-related rebuilds.</w:t>
      </w:r>
    </w:p>
    <w:p w:rsidR="00E448E2" w:rsidP="00750719" w:rsidRDefault="00E448E2" w14:paraId="5AAB0A85" w14:textId="1529829E">
      <w:pPr>
        <w:pStyle w:val="Standard"/>
      </w:pPr>
      <w:r w:rsidRPr="00680BE8">
        <w:t xml:space="preserve">Small LECs </w:t>
      </w:r>
      <w:r w:rsidR="00750719">
        <w:t xml:space="preserve">oppose the proposal.  These companies assert they do not </w:t>
      </w:r>
      <w:r w:rsidRPr="00680BE8">
        <w:t>have the resources to absorb costs and imposing cost recovery limits without significant benefits cannot be justified.</w:t>
      </w:r>
    </w:p>
    <w:p w:rsidRPr="00680BE8" w:rsidR="00750719" w:rsidP="00750719" w:rsidRDefault="00750719" w14:paraId="6D49EEE4" w14:textId="77777777">
      <w:pPr>
        <w:pStyle w:val="Standard"/>
      </w:pPr>
      <w:r w:rsidRPr="00680BE8">
        <w:t xml:space="preserve">NDC </w:t>
      </w:r>
      <w:r>
        <w:t xml:space="preserve">requests </w:t>
      </w:r>
      <w:r w:rsidRPr="00680BE8">
        <w:t>restoration plans preemptively justify any deviations from standard ranges of costs or cost sharing under Rule 20</w:t>
      </w:r>
      <w:r>
        <w:t>, and that r</w:t>
      </w:r>
      <w:r w:rsidRPr="00680BE8">
        <w:t xml:space="preserve">eferences for costs to be incurred should be provided and explained to avoid </w:t>
      </w:r>
      <w:r>
        <w:t xml:space="preserve">the </w:t>
      </w:r>
      <w:r w:rsidRPr="00680BE8">
        <w:t>appearance of price-gouging.</w:t>
      </w:r>
    </w:p>
    <w:p w:rsidRPr="00680BE8" w:rsidR="00750719" w:rsidP="00750719" w:rsidRDefault="00750719" w14:paraId="485E80F6" w14:textId="77777777">
      <w:pPr>
        <w:pStyle w:val="Standard"/>
      </w:pPr>
      <w:r w:rsidRPr="00680BE8">
        <w:t xml:space="preserve">PG&amp;E explains what goes into costs for trenching and cost-sharing and that costs may go up if the potential </w:t>
      </w:r>
      <w:r>
        <w:t>co-</w:t>
      </w:r>
      <w:r w:rsidRPr="00680BE8">
        <w:t>trenching partner prefers to instead do their own separate trench or rebuild overhead.</w:t>
      </w:r>
    </w:p>
    <w:p w:rsidR="00EA36C6" w:rsidP="006363EA" w:rsidRDefault="00905022" w14:paraId="586BAF09" w14:textId="5A57D377">
      <w:pPr>
        <w:pStyle w:val="Heading2"/>
        <w:tabs>
          <w:tab w:val="clear" w:pos="1080"/>
        </w:tabs>
        <w:ind w:left="1440"/>
      </w:pPr>
      <w:bookmarkStart w:name="_Toc81913474" w:id="14"/>
      <w:r>
        <w:t>3.2</w:t>
      </w:r>
      <w:r w:rsidR="006363EA">
        <w:tab/>
      </w:r>
      <w:r w:rsidR="00F51E97">
        <w:t>Discussion</w:t>
      </w:r>
      <w:bookmarkEnd w:id="14"/>
    </w:p>
    <w:p w:rsidRPr="00736C81" w:rsidR="00CF5E68" w:rsidP="00AC68EE" w:rsidRDefault="00280421" w14:paraId="63C9318D" w14:textId="4745450B">
      <w:r w:rsidRPr="00736C81">
        <w:t xml:space="preserve">While we decline </w:t>
      </w:r>
      <w:r w:rsidR="00460510">
        <w:t xml:space="preserve">at this time </w:t>
      </w:r>
      <w:r w:rsidRPr="00736C81">
        <w:t xml:space="preserve">to require </w:t>
      </w:r>
      <w:r>
        <w:t xml:space="preserve">IOUs to install fiber </w:t>
      </w:r>
      <w:r w:rsidRPr="00736C81">
        <w:t>while undertaking their service restoration efforts after a disaster</w:t>
      </w:r>
      <w:r>
        <w:t xml:space="preserve">, we nonetheless want to find ways to encourage </w:t>
      </w:r>
      <w:r w:rsidRPr="00736C81">
        <w:t xml:space="preserve">IOUs to install fiber or conduit voluntarily. </w:t>
      </w:r>
      <w:r>
        <w:t xml:space="preserve"> We do not authorize the inclusion of these costs into rates at this time</w:t>
      </w:r>
      <w:r w:rsidR="00B02CC7">
        <w:t xml:space="preserve">; </w:t>
      </w:r>
      <w:r>
        <w:t>however, we will continue to explore other opportunities for the IOUs, including the</w:t>
      </w:r>
      <w:r w:rsidRPr="00AE6D3F">
        <w:t xml:space="preserve"> Federal Funding Account </w:t>
      </w:r>
      <w:r>
        <w:t>created by</w:t>
      </w:r>
      <w:r w:rsidRPr="00AE6D3F">
        <w:t xml:space="preserve"> </w:t>
      </w:r>
      <w:r w:rsidR="00C235F5">
        <w:t>Senate Bill (</w:t>
      </w:r>
      <w:r w:rsidRPr="00C235F5">
        <w:t>SB</w:t>
      </w:r>
      <w:r w:rsidR="00C235F5">
        <w:t>)</w:t>
      </w:r>
      <w:r w:rsidRPr="00AE6D3F">
        <w:t xml:space="preserve"> 156</w:t>
      </w:r>
      <w:r>
        <w:t xml:space="preserve">, the rules for which will be </w:t>
      </w:r>
      <w:r>
        <w:lastRenderedPageBreak/>
        <w:t>developed in Phase III of this proceeding.</w:t>
      </w:r>
      <w:r w:rsidR="00F076A9">
        <w:t xml:space="preserve"> </w:t>
      </w:r>
      <w:r>
        <w:t xml:space="preserve"> We encourage</w:t>
      </w:r>
      <w:r w:rsidRPr="00736C81">
        <w:t xml:space="preserve"> the voluntary installation of fiber/conduit</w:t>
      </w:r>
      <w:r w:rsidRPr="0033471C" w:rsidR="0033471C">
        <w:t xml:space="preserve"> </w:t>
      </w:r>
      <w:r w:rsidR="0033471C">
        <w:t>during restoration and rebuilding</w:t>
      </w:r>
      <w:r w:rsidR="00B052EB">
        <w:t>.</w:t>
      </w:r>
    </w:p>
    <w:p w:rsidRPr="00736C81" w:rsidR="000E270A" w:rsidP="00CE6D70" w:rsidRDefault="00777AC6" w14:paraId="6D32BDA3" w14:textId="6086C319">
      <w:r>
        <w:t>In</w:t>
      </w:r>
      <w:r w:rsidRPr="00736C81">
        <w:t xml:space="preserve"> </w:t>
      </w:r>
      <w:r w:rsidRPr="00736C81" w:rsidR="00F3400D">
        <w:t>Phase II-A</w:t>
      </w:r>
      <w:r w:rsidRPr="00736C81" w:rsidR="00D22302">
        <w:t xml:space="preserve"> of this proceeding</w:t>
      </w:r>
      <w:r>
        <w:t>,</w:t>
      </w:r>
      <w:r w:rsidRPr="00736C81" w:rsidR="00D22302">
        <w:t xml:space="preserve"> </w:t>
      </w:r>
      <w:r w:rsidRPr="00736C81" w:rsidR="00CD214E">
        <w:t>we are</w:t>
      </w:r>
      <w:r w:rsidRPr="00736C81" w:rsidR="00C83C86">
        <w:t xml:space="preserve"> </w:t>
      </w:r>
      <w:r w:rsidRPr="00736C81" w:rsidR="00CD214E">
        <w:t>continuing to</w:t>
      </w:r>
      <w:r w:rsidRPr="00736C81" w:rsidR="00C83C86">
        <w:t xml:space="preserve"> investigate ways to leverage </w:t>
      </w:r>
      <w:r w:rsidRPr="00736C81" w:rsidR="00C30AF4">
        <w:t xml:space="preserve">existing </w:t>
      </w:r>
      <w:r w:rsidRPr="00736C81" w:rsidR="00C83C86">
        <w:t>IOU fiber</w:t>
      </w:r>
      <w:r w:rsidRPr="00736C81" w:rsidR="00C30AF4">
        <w:t xml:space="preserve">, as well as future fiber builds, </w:t>
      </w:r>
      <w:r w:rsidRPr="00736C81" w:rsidR="00CD214E">
        <w:t xml:space="preserve">and wildfire hardening work, </w:t>
      </w:r>
      <w:r w:rsidRPr="00736C81" w:rsidR="00C83C86">
        <w:t>to assist in serving unserved</w:t>
      </w:r>
      <w:r w:rsidRPr="00736C81" w:rsidR="00D22302">
        <w:t xml:space="preserve"> and underserved</w:t>
      </w:r>
      <w:r w:rsidRPr="00736C81" w:rsidR="00C83C86">
        <w:t xml:space="preserve"> communities.</w:t>
      </w:r>
      <w:r w:rsidRPr="00736C81" w:rsidR="00BE472A">
        <w:t xml:space="preserve"> </w:t>
      </w:r>
      <w:r w:rsidRPr="00736C81" w:rsidR="00C83C86">
        <w:t xml:space="preserve"> </w:t>
      </w:r>
      <w:r w:rsidRPr="00736C81" w:rsidR="00BE472A">
        <w:t>Thus</w:t>
      </w:r>
      <w:r w:rsidRPr="00736C81" w:rsidR="00C83C86">
        <w:t>,</w:t>
      </w:r>
      <w:r w:rsidRPr="00736C81" w:rsidR="00BE472A">
        <w:t xml:space="preserve"> we want to clarify that o</w:t>
      </w:r>
      <w:r w:rsidRPr="00736C81" w:rsidR="00D7292A">
        <w:t xml:space="preserve">ur choice </w:t>
      </w:r>
      <w:r w:rsidR="00FC467E">
        <w:t>in this decision</w:t>
      </w:r>
      <w:r w:rsidRPr="00736C81" w:rsidR="00FC467E">
        <w:t xml:space="preserve"> </w:t>
      </w:r>
      <w:r>
        <w:t>not to</w:t>
      </w:r>
      <w:r w:rsidRPr="00736C81" w:rsidR="00D7292A">
        <w:t xml:space="preserve"> </w:t>
      </w:r>
      <w:r w:rsidRPr="00736C81" w:rsidR="00CD214E">
        <w:t>require fiber and/</w:t>
      </w:r>
      <w:r w:rsidR="00FC467E">
        <w:t xml:space="preserve">or </w:t>
      </w:r>
      <w:r w:rsidRPr="00736C81" w:rsidR="00CD214E">
        <w:t>conduit installation when rebuilding</w:t>
      </w:r>
      <w:r w:rsidRPr="00736C81" w:rsidR="00C83C86">
        <w:t xml:space="preserve"> </w:t>
      </w:r>
      <w:r w:rsidRPr="00736C81" w:rsidR="00D7292A">
        <w:t>should not be viewed as agree</w:t>
      </w:r>
      <w:r w:rsidRPr="00736C81" w:rsidR="00010BC2">
        <w:t>ing</w:t>
      </w:r>
      <w:r w:rsidRPr="00736C81" w:rsidR="00D7292A">
        <w:t xml:space="preserve"> with many of the </w:t>
      </w:r>
      <w:r w:rsidRPr="00736C81" w:rsidR="00010BC2">
        <w:t xml:space="preserve">other </w:t>
      </w:r>
      <w:r w:rsidRPr="00736C81" w:rsidR="00D7292A">
        <w:t xml:space="preserve">arguments </w:t>
      </w:r>
      <w:r w:rsidRPr="00736C81" w:rsidR="00BE472A">
        <w:t xml:space="preserve">against </w:t>
      </w:r>
      <w:r w:rsidRPr="00736C81" w:rsidR="00C83C86">
        <w:t xml:space="preserve">the </w:t>
      </w:r>
      <w:r w:rsidRPr="00736C81" w:rsidR="00902ED1">
        <w:t xml:space="preserve">construction </w:t>
      </w:r>
      <w:r w:rsidRPr="00736C81" w:rsidR="00C83C86">
        <w:t>requirement and the Pilot.</w:t>
      </w:r>
      <w:r w:rsidRPr="00736C81" w:rsidR="00D22302">
        <w:t xml:space="preserve">  </w:t>
      </w:r>
      <w:r w:rsidRPr="00736C81" w:rsidR="00F3400D">
        <w:t>We are not persuaded by a</w:t>
      </w:r>
      <w:r w:rsidRPr="00736C81" w:rsidR="00C7079E">
        <w:t xml:space="preserve">rguments that leveraging IOU fiber to serve unserved communities somehow violates statute or </w:t>
      </w:r>
      <w:r w:rsidRPr="00736C81" w:rsidR="5EBF15D7">
        <w:t xml:space="preserve">is </w:t>
      </w:r>
      <w:r w:rsidRPr="00736C81" w:rsidR="00C7079E">
        <w:t xml:space="preserve">anticompetitive.  Further, we will continue to explore options that include local and tribal governments.  </w:t>
      </w:r>
    </w:p>
    <w:p w:rsidR="00622425" w:rsidP="00B52DB3" w:rsidRDefault="00622425" w14:paraId="1852F533" w14:textId="46A2061F">
      <w:pPr>
        <w:pStyle w:val="Heading1"/>
        <w:numPr>
          <w:ilvl w:val="0"/>
          <w:numId w:val="17"/>
        </w:numPr>
        <w:ind w:left="360"/>
      </w:pPr>
      <w:bookmarkStart w:name="_Toc81913475" w:id="15"/>
      <w:bookmarkStart w:name="_Toc8123721" w:id="16"/>
      <w:r w:rsidRPr="00622425">
        <w:t xml:space="preserve">Service Restoration </w:t>
      </w:r>
      <w:r w:rsidR="001A0D93">
        <w:t>Engagement</w:t>
      </w:r>
      <w:r w:rsidRPr="00622425">
        <w:t xml:space="preserve"> Requirements</w:t>
      </w:r>
      <w:bookmarkEnd w:id="15"/>
    </w:p>
    <w:p w:rsidR="00622425" w:rsidP="00622425" w:rsidRDefault="00622425" w14:paraId="1C6F7F1A" w14:textId="052536FB">
      <w:pPr>
        <w:pStyle w:val="Standard"/>
      </w:pPr>
      <w:r>
        <w:t xml:space="preserve">The </w:t>
      </w:r>
      <w:r w:rsidR="00F3400D">
        <w:t xml:space="preserve">First </w:t>
      </w:r>
      <w:r>
        <w:t>Amended Scoping Memo order</w:t>
      </w:r>
      <w:r w:rsidR="00414665">
        <w:t>ed</w:t>
      </w:r>
      <w:r>
        <w:t xml:space="preserve"> a supplemental round of comments and reply comments on a </w:t>
      </w:r>
      <w:r w:rsidRPr="00F51E97">
        <w:t>propos</w:t>
      </w:r>
      <w:r>
        <w:t xml:space="preserve">al </w:t>
      </w:r>
      <w:r w:rsidRPr="00F51E97">
        <w:t>that the Commission require the IOU</w:t>
      </w:r>
      <w:r w:rsidR="003314D8">
        <w:t>s</w:t>
      </w:r>
      <w:r w:rsidRPr="00F51E97">
        <w:t xml:space="preserve"> and </w:t>
      </w:r>
      <w:r w:rsidR="00AD144D">
        <w:t>tele</w:t>
      </w:r>
      <w:r w:rsidRPr="00F51E97">
        <w:t xml:space="preserve">communications </w:t>
      </w:r>
      <w:r w:rsidR="00C13E68">
        <w:t xml:space="preserve">service </w:t>
      </w:r>
      <w:r w:rsidRPr="00F51E97">
        <w:t>provider</w:t>
      </w:r>
      <w:r w:rsidR="003314D8">
        <w:t>s</w:t>
      </w:r>
      <w:r w:rsidRPr="00F51E97">
        <w:t xml:space="preserve"> </w:t>
      </w:r>
      <w:r w:rsidR="00C30AF4">
        <w:t>for</w:t>
      </w:r>
      <w:r w:rsidRPr="00F51E97">
        <w:t xml:space="preserve"> each</w:t>
      </w:r>
      <w:r>
        <w:t xml:space="preserve"> community </w:t>
      </w:r>
      <w:r w:rsidR="00CF5E68">
        <w:t xml:space="preserve">impacted by a disaster to </w:t>
      </w:r>
      <w:r w:rsidRPr="00F51E97">
        <w:t xml:space="preserve">file an advice letter detailing the impact of the disaster on their facilities, and to include service restoration plans, no later than 15 days after the disaster. </w:t>
      </w:r>
      <w:r>
        <w:t xml:space="preserve"> The proposal also includes that </w:t>
      </w:r>
      <w:r w:rsidRPr="00F51E97">
        <w:t xml:space="preserve">the Commission require IOUs and communications providers to meet and confer prior to filing their advice letter. </w:t>
      </w:r>
      <w:r w:rsidR="00AD144D">
        <w:t xml:space="preserve"> </w:t>
      </w:r>
      <w:r w:rsidRPr="00F51E97">
        <w:t xml:space="preserve">Further, if the proposed rebuild involves undergrounding and the range of costs or the cost sharing arrangement differs from this Commission’s Rule 20 formulas, the IOU must explain the reason for the difference. </w:t>
      </w:r>
      <w:r>
        <w:t xml:space="preserve"> </w:t>
      </w:r>
      <w:r w:rsidRPr="00F51E97">
        <w:t>Finally,</w:t>
      </w:r>
      <w:r>
        <w:t xml:space="preserve"> the </w:t>
      </w:r>
      <w:r w:rsidR="00C235F5">
        <w:t xml:space="preserve">First </w:t>
      </w:r>
      <w:r>
        <w:t xml:space="preserve">Amended Scoping Memo </w:t>
      </w:r>
      <w:r w:rsidRPr="00F51E97">
        <w:t>propose</w:t>
      </w:r>
      <w:r>
        <w:t>s</w:t>
      </w:r>
      <w:r w:rsidRPr="00F51E97">
        <w:t xml:space="preserve"> that the Commission require both the IOUs and communications providers communicate with the impacted community via the local or tribal government representatives such as city and county officials, </w:t>
      </w:r>
      <w:r w:rsidRPr="00F51E97">
        <w:lastRenderedPageBreak/>
        <w:t>the Regional Broadband Consortium, or other interested stakeholders on rebuild status, plans and timelines, and seek</w:t>
      </w:r>
      <w:r>
        <w:t>s</w:t>
      </w:r>
      <w:r w:rsidRPr="00F51E97">
        <w:t xml:space="preserve"> comment on the specifics.</w:t>
      </w:r>
    </w:p>
    <w:p w:rsidR="00622425" w:rsidP="00B52DB3" w:rsidRDefault="00905022" w14:paraId="5F71F345" w14:textId="05877805">
      <w:pPr>
        <w:pStyle w:val="Heading2"/>
        <w:tabs>
          <w:tab w:val="clear" w:pos="1080"/>
        </w:tabs>
        <w:ind w:left="1440"/>
      </w:pPr>
      <w:bookmarkStart w:name="_Toc81913476" w:id="17"/>
      <w:r>
        <w:t>4.1</w:t>
      </w:r>
      <w:r w:rsidR="00B52DB3">
        <w:tab/>
      </w:r>
      <w:r w:rsidR="00622425">
        <w:t>Part</w:t>
      </w:r>
      <w:r w:rsidR="00387D6A">
        <w:t>y</w:t>
      </w:r>
      <w:r w:rsidR="00622425">
        <w:t xml:space="preserve"> </w:t>
      </w:r>
      <w:r w:rsidR="00387D6A">
        <w:t>Positions</w:t>
      </w:r>
      <w:bookmarkEnd w:id="17"/>
    </w:p>
    <w:p w:rsidR="002F739E" w:rsidP="006F1815" w:rsidRDefault="002F739E" w14:paraId="66B2D42D" w14:textId="000729B8">
      <w:pPr>
        <w:pStyle w:val="Standard"/>
      </w:pPr>
      <w:r>
        <w:t>Parties disagree on whether the Commission should ad</w:t>
      </w:r>
      <w:r w:rsidR="003314D8">
        <w:t>opt</w:t>
      </w:r>
      <w:r>
        <w:t xml:space="preserve"> the community engagement proposal issued in the </w:t>
      </w:r>
      <w:r w:rsidR="00C235F5">
        <w:t xml:space="preserve">First </w:t>
      </w:r>
      <w:r>
        <w:t xml:space="preserve">Amended Scoping Memo. </w:t>
      </w:r>
    </w:p>
    <w:p w:rsidR="00E573DA" w:rsidP="00E573DA" w:rsidRDefault="00E90411" w14:paraId="498682EC" w14:textId="2E977D7F">
      <w:pPr>
        <w:pStyle w:val="Standard"/>
      </w:pPr>
      <w:r>
        <w:t xml:space="preserve">The AARP </w:t>
      </w:r>
      <w:r w:rsidR="004D7634">
        <w:t xml:space="preserve">asserts that requiring </w:t>
      </w:r>
      <w:r w:rsidR="00CF5E68">
        <w:t xml:space="preserve">electric </w:t>
      </w:r>
      <w:r w:rsidR="004D7634">
        <w:t>utilities and telecommunications</w:t>
      </w:r>
      <w:r w:rsidR="00C13E68">
        <w:t xml:space="preserve"> service </w:t>
      </w:r>
      <w:r w:rsidR="004D7634">
        <w:t>providers to meet and confer among each other, as well as with</w:t>
      </w:r>
      <w:r w:rsidR="008A1ED6">
        <w:t xml:space="preserve"> local and Tribal</w:t>
      </w:r>
      <w:r w:rsidR="004D7634">
        <w:t xml:space="preserve"> governments</w:t>
      </w:r>
      <w:r w:rsidR="008A1ED6">
        <w:t xml:space="preserve"> and other community organizations</w:t>
      </w:r>
      <w:r w:rsidR="004D7634">
        <w:t xml:space="preserve">, </w:t>
      </w:r>
      <w:r>
        <w:t>could lead to</w:t>
      </w:r>
      <w:r w:rsidR="004D7634">
        <w:t xml:space="preserve"> the</w:t>
      </w:r>
      <w:r>
        <w:t xml:space="preserve"> efficient deployment of post-disaster </w:t>
      </w:r>
      <w:r w:rsidR="004D7634">
        <w:t>services</w:t>
      </w:r>
      <w:r>
        <w:t xml:space="preserve">.  TURN </w:t>
      </w:r>
      <w:r w:rsidR="004D7634">
        <w:t>support</w:t>
      </w:r>
      <w:r w:rsidR="008A1ED6">
        <w:t>s</w:t>
      </w:r>
      <w:r w:rsidR="004D7634">
        <w:t xml:space="preserve"> encouraging these types of communications an</w:t>
      </w:r>
      <w:r w:rsidR="008A1ED6">
        <w:t>d</w:t>
      </w:r>
      <w:r w:rsidR="004D7634">
        <w:t xml:space="preserve"> recommends requiring a second advice letter</w:t>
      </w:r>
      <w:r w:rsidR="00CF5E68">
        <w:t xml:space="preserve"> detailing the progress</w:t>
      </w:r>
      <w:r>
        <w:t xml:space="preserve">.  </w:t>
      </w:r>
    </w:p>
    <w:p w:rsidR="00E573DA" w:rsidP="00E573DA" w:rsidRDefault="00E90411" w14:paraId="2607FB0E" w14:textId="21300041">
      <w:pPr>
        <w:pStyle w:val="Standard"/>
      </w:pPr>
      <w:r w:rsidRPr="006F1815">
        <w:t>NDC</w:t>
      </w:r>
      <w:r w:rsidR="004D7634">
        <w:t xml:space="preserve"> g</w:t>
      </w:r>
      <w:r w:rsidRPr="006F1815">
        <w:t xml:space="preserve">enerally approves of </w:t>
      </w:r>
      <w:r w:rsidR="00AD144D">
        <w:t xml:space="preserve">the </w:t>
      </w:r>
      <w:r w:rsidRPr="006F1815">
        <w:t>proposed requirements</w:t>
      </w:r>
      <w:r w:rsidR="0098219B">
        <w:t xml:space="preserve">, asserting this type of coordination </w:t>
      </w:r>
      <w:r w:rsidR="00355026">
        <w:t xml:space="preserve">will help IOUs and ISPs assess what locations and services to prioritize. </w:t>
      </w:r>
      <w:r w:rsidR="0098219B">
        <w:t xml:space="preserve"> </w:t>
      </w:r>
      <w:r w:rsidR="00355026">
        <w:t xml:space="preserve">SBUA </w:t>
      </w:r>
      <w:r w:rsidR="0098219B">
        <w:t xml:space="preserve">asserts that </w:t>
      </w:r>
      <w:r w:rsidR="00355026">
        <w:t xml:space="preserve">plans should be clear and communicated with the public affected by disasters, as many in these circumstances don't have access to the </w:t>
      </w:r>
      <w:r w:rsidR="0098219B">
        <w:t>I</w:t>
      </w:r>
      <w:r w:rsidR="00355026">
        <w:t>nternet or smart phones</w:t>
      </w:r>
      <w:r w:rsidR="00E573DA">
        <w:t xml:space="preserve">, thus telephone and television </w:t>
      </w:r>
      <w:r w:rsidR="00355026">
        <w:t>access can be instrumental to informing locals during these times of trouble.</w:t>
      </w:r>
      <w:r w:rsidR="00E573DA">
        <w:t xml:space="preserve"> </w:t>
      </w:r>
    </w:p>
    <w:p w:rsidR="008A1ED6" w:rsidP="00E573DA" w:rsidRDefault="00355026" w14:paraId="2B77B811" w14:textId="40D94C9A">
      <w:pPr>
        <w:pStyle w:val="Standard"/>
      </w:pPr>
      <w:r>
        <w:t xml:space="preserve">TURN </w:t>
      </w:r>
      <w:r w:rsidR="001B2580">
        <w:t xml:space="preserve">supports </w:t>
      </w:r>
      <w:r>
        <w:t xml:space="preserve">the </w:t>
      </w:r>
      <w:r w:rsidR="001B2580">
        <w:t>Commission</w:t>
      </w:r>
      <w:r>
        <w:t xml:space="preserve"> facilitat</w:t>
      </w:r>
      <w:r w:rsidR="001B2580">
        <w:t>ing</w:t>
      </w:r>
      <w:r>
        <w:t xml:space="preserve"> disaster </w:t>
      </w:r>
      <w:r w:rsidR="001B2580">
        <w:t xml:space="preserve">coordination with </w:t>
      </w:r>
      <w:r>
        <w:t>IOUs</w:t>
      </w:r>
      <w:r w:rsidR="001B2580">
        <w:t xml:space="preserve"> and telecommunication</w:t>
      </w:r>
      <w:r w:rsidR="00C13E68">
        <w:t>s service</w:t>
      </w:r>
      <w:r w:rsidR="001B2580">
        <w:t xml:space="preserve"> providers </w:t>
      </w:r>
      <w:r>
        <w:t xml:space="preserve">to lay the groundwork for their </w:t>
      </w:r>
      <w:r w:rsidR="001B2580">
        <w:t xml:space="preserve">post disaster </w:t>
      </w:r>
      <w:r>
        <w:t xml:space="preserve">cooperation with local communities </w:t>
      </w:r>
      <w:r w:rsidR="001B2580">
        <w:t>in disaster prone areas, arguing that f</w:t>
      </w:r>
      <w:r>
        <w:t>eedback from stakeholders might be broader than the recovery process and allow for lessons learned and needs assessments going forward.</w:t>
      </w:r>
      <w:r w:rsidR="001B2580">
        <w:t xml:space="preserve">  </w:t>
      </w:r>
      <w:proofErr w:type="spellStart"/>
      <w:r w:rsidR="00667710">
        <w:t>Cf</w:t>
      </w:r>
      <w:r w:rsidR="00A40E51">
        <w:t>or</w:t>
      </w:r>
      <w:r w:rsidR="00667710">
        <w:t>AT</w:t>
      </w:r>
      <w:proofErr w:type="spellEnd"/>
      <w:r w:rsidR="00667710">
        <w:t xml:space="preserve"> </w:t>
      </w:r>
      <w:r w:rsidR="001B2580">
        <w:t>asserts</w:t>
      </w:r>
      <w:r w:rsidR="00A40E51">
        <w:t xml:space="preserve"> the </w:t>
      </w:r>
      <w:r w:rsidR="00667710">
        <w:t>meet and confer req</w:t>
      </w:r>
      <w:r w:rsidR="00A40E51">
        <w:t>uirement</w:t>
      </w:r>
      <w:r w:rsidR="003314D8">
        <w:t>s</w:t>
      </w:r>
      <w:r w:rsidR="00667710">
        <w:t xml:space="preserve"> </w:t>
      </w:r>
      <w:r w:rsidR="003314D8">
        <w:t>also c</w:t>
      </w:r>
      <w:r w:rsidR="00667710">
        <w:t xml:space="preserve">ould </w:t>
      </w:r>
      <w:r w:rsidR="003314D8">
        <w:t xml:space="preserve">be </w:t>
      </w:r>
      <w:r w:rsidR="00667710">
        <w:t>useful in planning fiber buildouts, as this sort of instruction is novel</w:t>
      </w:r>
      <w:r w:rsidR="00A40E51">
        <w:t xml:space="preserve"> and a</w:t>
      </w:r>
      <w:r w:rsidR="00667710">
        <w:t>llow</w:t>
      </w:r>
      <w:r w:rsidR="4F2A3197">
        <w:t>s</w:t>
      </w:r>
      <w:r w:rsidR="00667710">
        <w:t xml:space="preserve"> for more efficient models for building out fiber networks and network planning, encouraging deployment in unserved areas. </w:t>
      </w:r>
    </w:p>
    <w:p w:rsidRPr="00A17B2C" w:rsidR="00B64238" w:rsidP="00B64238" w:rsidRDefault="00C80E51" w14:paraId="0E39FC37" w14:textId="2E2BC818">
      <w:pPr>
        <w:pStyle w:val="Standard"/>
      </w:pPr>
      <w:r w:rsidRPr="006F1815">
        <w:lastRenderedPageBreak/>
        <w:t>CASMU, Charter</w:t>
      </w:r>
      <w:r>
        <w:t>, C</w:t>
      </w:r>
      <w:r w:rsidRPr="006F1815">
        <w:t xml:space="preserve">ox, Comcast, CTIA, </w:t>
      </w:r>
      <w:r>
        <w:t xml:space="preserve">the </w:t>
      </w:r>
      <w:r w:rsidRPr="006F1815">
        <w:t>Joint ILECs</w:t>
      </w:r>
      <w:r>
        <w:t xml:space="preserve"> and the </w:t>
      </w:r>
      <w:r w:rsidRPr="006F1815">
        <w:t>Small LECs</w:t>
      </w:r>
      <w:r>
        <w:t xml:space="preserve"> all oppose the proposed meet and confer requirement</w:t>
      </w:r>
      <w:r w:rsidR="003314D8">
        <w:t>s</w:t>
      </w:r>
      <w:r>
        <w:t xml:space="preserve">.  </w:t>
      </w:r>
      <w:r w:rsidRPr="006F1815">
        <w:t>Charter</w:t>
      </w:r>
      <w:r>
        <w:t xml:space="preserve">, </w:t>
      </w:r>
      <w:r w:rsidR="00AD5D4B">
        <w:t xml:space="preserve">Comcast, </w:t>
      </w:r>
      <w:r w:rsidRPr="006F1815">
        <w:t>Cox</w:t>
      </w:r>
      <w:r>
        <w:t>, CCTA,</w:t>
      </w:r>
      <w:r w:rsidRPr="006F1815">
        <w:t xml:space="preserve"> and CTIA </w:t>
      </w:r>
      <w:r>
        <w:t xml:space="preserve">assert </w:t>
      </w:r>
      <w:r w:rsidRPr="006F1815">
        <w:t>the requirements are unnecessary</w:t>
      </w:r>
      <w:r w:rsidR="00ED33F4">
        <w:t>,</w:t>
      </w:r>
      <w:r w:rsidRPr="006F1815">
        <w:t xml:space="preserve"> as IOUs and </w:t>
      </w:r>
      <w:r>
        <w:t xml:space="preserve">telecommunications </w:t>
      </w:r>
      <w:r w:rsidR="00C13E68">
        <w:t xml:space="preserve">service </w:t>
      </w:r>
      <w:r>
        <w:t xml:space="preserve">providers </w:t>
      </w:r>
      <w:r w:rsidRPr="006F1815">
        <w:t>already meet and confer </w:t>
      </w:r>
      <w:r>
        <w:t>on</w:t>
      </w:r>
      <w:r w:rsidRPr="006F1815">
        <w:t xml:space="preserve"> service restoral</w:t>
      </w:r>
      <w:r>
        <w:t xml:space="preserve"> efforts, adding that if the meet and confer requirement</w:t>
      </w:r>
      <w:r w:rsidR="00F3400D">
        <w:t>s</w:t>
      </w:r>
      <w:r>
        <w:t xml:space="preserve"> </w:t>
      </w:r>
      <w:r w:rsidR="00F3400D">
        <w:t>are</w:t>
      </w:r>
      <w:r>
        <w:t xml:space="preserve"> adopted, the Commission </w:t>
      </w:r>
      <w:r w:rsidRPr="006F1815">
        <w:t xml:space="preserve">should allow for </w:t>
      </w:r>
      <w:r>
        <w:t>the written communications to count as meeting the requirement</w:t>
      </w:r>
      <w:r w:rsidRPr="006F1815">
        <w:t>.</w:t>
      </w:r>
      <w:r>
        <w:t xml:space="preserve">  The </w:t>
      </w:r>
      <w:r w:rsidRPr="00A17B2C">
        <w:t>Small LECs</w:t>
      </w:r>
      <w:r>
        <w:t xml:space="preserve"> assert that c</w:t>
      </w:r>
      <w:r w:rsidRPr="00A17B2C">
        <w:t>ompanies should be focused on restoration, not reporting</w:t>
      </w:r>
      <w:r>
        <w:t>, and that e</w:t>
      </w:r>
      <w:r w:rsidRPr="00A17B2C">
        <w:t>xisting reporting requests are sufficient.</w:t>
      </w:r>
      <w:r w:rsidR="006970C6">
        <w:t xml:space="preserve"> </w:t>
      </w:r>
      <w:r w:rsidR="00FE5F40">
        <w:t xml:space="preserve"> Joint ILECs, </w:t>
      </w:r>
      <w:r w:rsidRPr="006F1815" w:rsidR="00FE5F40">
        <w:t>CASMU</w:t>
      </w:r>
      <w:r w:rsidR="00FE5F40">
        <w:t>,</w:t>
      </w:r>
      <w:r w:rsidRPr="006F1815" w:rsidR="00FE5F40">
        <w:t xml:space="preserve"> </w:t>
      </w:r>
      <w:r w:rsidR="006970C6">
        <w:t>CTIA</w:t>
      </w:r>
      <w:r w:rsidR="00A40E51">
        <w:t xml:space="preserve"> and CCTA</w:t>
      </w:r>
      <w:r w:rsidR="006970C6">
        <w:t xml:space="preserve"> assert the community </w:t>
      </w:r>
      <w:r w:rsidR="00F3400D">
        <w:t>engagement</w:t>
      </w:r>
      <w:r w:rsidR="006970C6">
        <w:t xml:space="preserve"> requirements will lead to service restoral delays</w:t>
      </w:r>
      <w:r w:rsidR="00ED33F4">
        <w:t xml:space="preserve">, though </w:t>
      </w:r>
      <w:r w:rsidR="00B64238">
        <w:t xml:space="preserve">CETF and SBUA assert </w:t>
      </w:r>
      <w:r w:rsidR="00ED33F4">
        <w:t xml:space="preserve">the opposite, </w:t>
      </w:r>
      <w:r w:rsidR="00FE5F40">
        <w:t xml:space="preserve">arguing instead </w:t>
      </w:r>
      <w:r w:rsidR="00B64238">
        <w:t>that c</w:t>
      </w:r>
      <w:r w:rsidRPr="00A17B2C" w:rsidR="00B64238">
        <w:t xml:space="preserve">oordination with </w:t>
      </w:r>
      <w:r w:rsidR="00FE5F40">
        <w:t>community organization</w:t>
      </w:r>
      <w:r w:rsidR="52F8E7CF">
        <w:t>s</w:t>
      </w:r>
      <w:r w:rsidR="00FE5F40">
        <w:t xml:space="preserve"> </w:t>
      </w:r>
      <w:r w:rsidRPr="00A17B2C" w:rsidR="00B64238">
        <w:t xml:space="preserve"> and local stakeholders can make restoral quicker.  </w:t>
      </w:r>
    </w:p>
    <w:p w:rsidR="00813D61" w:rsidP="00813D61" w:rsidRDefault="00BF2C12" w14:paraId="03CD0D0F" w14:textId="63D91CBB">
      <w:pPr>
        <w:pStyle w:val="Standard"/>
      </w:pPr>
      <w:r w:rsidRPr="00BF2C12">
        <w:t>Joint ILECs</w:t>
      </w:r>
      <w:r w:rsidR="00ED33F4">
        <w:t>, CTIA,</w:t>
      </w:r>
      <w:r w:rsidR="00165994">
        <w:t xml:space="preserve"> and Comcast argue th</w:t>
      </w:r>
      <w:r w:rsidR="00744B75">
        <w:t xml:space="preserve">at the </w:t>
      </w:r>
      <w:r w:rsidR="00165994">
        <w:t xml:space="preserve"> Commission lacks </w:t>
      </w:r>
      <w:r w:rsidRPr="00BF2C12">
        <w:t>jurisdiction</w:t>
      </w:r>
      <w:r w:rsidR="00165994">
        <w:t xml:space="preserve"> to issue these rules and is </w:t>
      </w:r>
      <w:r w:rsidR="00591717">
        <w:t xml:space="preserve">also </w:t>
      </w:r>
      <w:r w:rsidR="00165994">
        <w:t xml:space="preserve">preempted by the Federal Communications Commission (FCC).  </w:t>
      </w:r>
      <w:proofErr w:type="spellStart"/>
      <w:r w:rsidRPr="00BF2C12">
        <w:t>Cf</w:t>
      </w:r>
      <w:r w:rsidR="00165994">
        <w:t>or</w:t>
      </w:r>
      <w:r w:rsidRPr="00BF2C12">
        <w:t>AT</w:t>
      </w:r>
      <w:proofErr w:type="spellEnd"/>
      <w:r w:rsidR="00667710">
        <w:t xml:space="preserve">, Cal Advocates, </w:t>
      </w:r>
      <w:r w:rsidR="00165994">
        <w:t xml:space="preserve">and TURN dispute </w:t>
      </w:r>
      <w:r w:rsidRPr="00BF2C12">
        <w:t>th</w:t>
      </w:r>
      <w:r w:rsidR="00476D6C">
        <w:t>ese claims</w:t>
      </w:r>
      <w:r w:rsidR="00B64238">
        <w:t xml:space="preserve">, asserting this </w:t>
      </w:r>
      <w:r w:rsidRPr="00B64238" w:rsidR="00B64238">
        <w:t>Commission is responsible for ensuring that telecom</w:t>
      </w:r>
      <w:r w:rsidR="00C13E68">
        <w:t>munications</w:t>
      </w:r>
      <w:r w:rsidRPr="00B64238" w:rsidR="00B64238">
        <w:t xml:space="preserve"> networks</w:t>
      </w:r>
      <w:r w:rsidR="00B64238">
        <w:t xml:space="preserve"> and </w:t>
      </w:r>
      <w:r w:rsidRPr="00B64238" w:rsidR="00B64238">
        <w:t>services are sufficiently supported for public safety</w:t>
      </w:r>
      <w:r w:rsidR="000155FD">
        <w:t>.</w:t>
      </w:r>
    </w:p>
    <w:p w:rsidRPr="006F1815" w:rsidR="008A1ED6" w:rsidP="008A1ED6" w:rsidRDefault="00F35A0B" w14:paraId="0765FD64" w14:textId="1B25EA46">
      <w:pPr>
        <w:pStyle w:val="Standard"/>
      </w:pPr>
      <w:r w:rsidRPr="006F1815">
        <w:t>SDG&amp;E</w:t>
      </w:r>
      <w:r>
        <w:t xml:space="preserve"> </w:t>
      </w:r>
      <w:r w:rsidR="00813D61">
        <w:t xml:space="preserve">and SCE </w:t>
      </w:r>
      <w:r>
        <w:t xml:space="preserve">assert that the </w:t>
      </w:r>
      <w:r w:rsidRPr="006F1815">
        <w:t xml:space="preserve">proposal overlaps with existing </w:t>
      </w:r>
      <w:r>
        <w:t>Commission rules – including</w:t>
      </w:r>
      <w:r w:rsidR="00822B94">
        <w:t xml:space="preserve"> General Order (</w:t>
      </w:r>
      <w:r>
        <w:t>GO</w:t>
      </w:r>
      <w:r w:rsidR="00822B94">
        <w:t>)</w:t>
      </w:r>
      <w:r>
        <w:t xml:space="preserve"> 166, GO 95, and Rule 12.5 </w:t>
      </w:r>
      <w:r w:rsidR="00822B94">
        <w:t>of the Commission’s Rules of Practice and Procedure</w:t>
      </w:r>
      <w:r w:rsidR="00822B94">
        <w:rPr>
          <w:rStyle w:val="FootnoteReference"/>
        </w:rPr>
        <w:footnoteReference w:id="12"/>
      </w:r>
      <w:r w:rsidR="004C35F2">
        <w:t xml:space="preserve"> </w:t>
      </w:r>
      <w:r>
        <w:t xml:space="preserve">– and does not </w:t>
      </w:r>
      <w:r w:rsidRPr="006F1815">
        <w:t xml:space="preserve">add value to </w:t>
      </w:r>
      <w:r w:rsidR="008A1ED6">
        <w:t>post-</w:t>
      </w:r>
      <w:r w:rsidRPr="006F1815">
        <w:t>emergency restoration</w:t>
      </w:r>
      <w:r w:rsidR="008A1ED6">
        <w:t xml:space="preserve"> efforts, and would even cause service restoral delays</w:t>
      </w:r>
      <w:r w:rsidR="0085261C">
        <w:t>, predicting that a</w:t>
      </w:r>
      <w:r w:rsidRPr="006F1815" w:rsidR="008A1ED6">
        <w:t xml:space="preserve">dditional delays to restore service if </w:t>
      </w:r>
      <w:r w:rsidR="0085261C">
        <w:t>telecommunications</w:t>
      </w:r>
      <w:r w:rsidRPr="006F1815" w:rsidR="008A1ED6">
        <w:t xml:space="preserve"> providers request rights to access their facilities</w:t>
      </w:r>
      <w:r w:rsidR="0085261C">
        <w:t xml:space="preserve"> and equipment </w:t>
      </w:r>
      <w:r w:rsidRPr="006F1815" w:rsidR="008A1ED6">
        <w:t xml:space="preserve">on IOU </w:t>
      </w:r>
      <w:r w:rsidRPr="006F1815" w:rsidR="008A1ED6">
        <w:lastRenderedPageBreak/>
        <w:t xml:space="preserve">infrastructure. </w:t>
      </w:r>
      <w:r w:rsidR="0085261C">
        <w:t xml:space="preserve"> Instead, SDG&amp;E asserts that telecommunications providers </w:t>
      </w:r>
      <w:r w:rsidRPr="006F1815" w:rsidR="008A1ED6">
        <w:t xml:space="preserve">should be coordinating </w:t>
      </w:r>
      <w:r w:rsidR="004D3891">
        <w:t>on</w:t>
      </w:r>
      <w:r w:rsidRPr="006F1815" w:rsidR="008A1ED6">
        <w:t xml:space="preserve"> utility fire hardening efforts as </w:t>
      </w:r>
      <w:r w:rsidR="0085261C">
        <w:t xml:space="preserve">identified in already required </w:t>
      </w:r>
      <w:r w:rsidRPr="006F1815" w:rsidR="008A1ED6">
        <w:t>Wildfire Management Plan</w:t>
      </w:r>
      <w:r w:rsidR="0085261C">
        <w:t>s</w:t>
      </w:r>
      <w:r w:rsidRPr="006F1815" w:rsidR="008A1ED6">
        <w:t>. </w:t>
      </w:r>
    </w:p>
    <w:p w:rsidR="006970C6" w:rsidP="006F1815" w:rsidRDefault="0085261C" w14:paraId="1A01B8C8" w14:textId="781BCD44">
      <w:pPr>
        <w:pStyle w:val="Standard"/>
      </w:pPr>
      <w:r w:rsidRPr="00226F33">
        <w:t>Cal Advocates</w:t>
      </w:r>
      <w:r w:rsidR="00BF2C12">
        <w:t xml:space="preserve"> and SCE</w:t>
      </w:r>
      <w:r w:rsidRPr="00226F33">
        <w:t xml:space="preserve"> assert that rules </w:t>
      </w:r>
      <w:r w:rsidR="00226F33">
        <w:t>should not be duplicative of work in other Commission proceeding</w:t>
      </w:r>
      <w:r w:rsidR="00F3400D">
        <w:t>s</w:t>
      </w:r>
      <w:r w:rsidR="00BF2C12">
        <w:t xml:space="preserve">.  Cal Advocates also asserts the Commission </w:t>
      </w:r>
      <w:r w:rsidRPr="00226F33">
        <w:t xml:space="preserve">should </w:t>
      </w:r>
      <w:r w:rsidRPr="00226F33" w:rsidR="006F1815">
        <w:t xml:space="preserve">require timely restoration of services and require </w:t>
      </w:r>
      <w:r w:rsidRPr="00226F33">
        <w:t>telecommunication</w:t>
      </w:r>
      <w:r w:rsidR="00C13E68">
        <w:t>s service</w:t>
      </w:r>
      <w:r w:rsidRPr="00226F33">
        <w:t xml:space="preserve"> providers </w:t>
      </w:r>
      <w:r w:rsidRPr="00226F33" w:rsidR="006F1815">
        <w:t>to rebuild</w:t>
      </w:r>
      <w:r w:rsidRPr="00226F33">
        <w:t xml:space="preserve"> improved infrastructure</w:t>
      </w:r>
      <w:r w:rsidRPr="00226F33" w:rsidR="006F1815">
        <w:t>, when feasible. </w:t>
      </w:r>
    </w:p>
    <w:p w:rsidR="008D783F" w:rsidP="00AD5D4B" w:rsidRDefault="006970C6" w14:paraId="70C952A2" w14:textId="77777777">
      <w:pPr>
        <w:pStyle w:val="Standard"/>
      </w:pPr>
      <w:r>
        <w:t>Several parties recommend revisions to the proposal</w:t>
      </w:r>
      <w:r w:rsidR="00F3400D">
        <w:t xml:space="preserve">.  </w:t>
      </w:r>
      <w:r w:rsidRPr="003F3A18" w:rsidR="003F3A18">
        <w:t xml:space="preserve">CASMU </w:t>
      </w:r>
      <w:r w:rsidR="00AD5D4B">
        <w:t xml:space="preserve">and </w:t>
      </w:r>
    </w:p>
    <w:p w:rsidR="003F3A18" w:rsidP="008D783F" w:rsidRDefault="00AD5D4B" w14:paraId="3358B335" w14:textId="5718E300">
      <w:pPr>
        <w:pStyle w:val="Standard"/>
        <w:ind w:firstLine="0"/>
      </w:pPr>
      <w:r>
        <w:t xml:space="preserve">Joint ILECs </w:t>
      </w:r>
      <w:r w:rsidR="003F3A18">
        <w:t xml:space="preserve">note </w:t>
      </w:r>
      <w:r w:rsidRPr="003F3A18" w:rsidR="003F3A18">
        <w:t xml:space="preserve">that the </w:t>
      </w:r>
      <w:r w:rsidR="003F3A18">
        <w:t>p</w:t>
      </w:r>
      <w:r w:rsidRPr="003F3A18" w:rsidR="003F3A18">
        <w:t>ropos</w:t>
      </w:r>
      <w:r w:rsidR="003F3A18">
        <w:t xml:space="preserve">ed rules do not </w:t>
      </w:r>
      <w:r w:rsidRPr="003F3A18" w:rsidR="003F3A18">
        <w:t xml:space="preserve">specify when </w:t>
      </w:r>
      <w:r w:rsidR="00F3400D">
        <w:t xml:space="preserve">specific </w:t>
      </w:r>
      <w:r w:rsidRPr="003F3A18" w:rsidR="003F3A18">
        <w:t xml:space="preserve">communication </w:t>
      </w:r>
      <w:r w:rsidR="00C13E68">
        <w:t xml:space="preserve">activities </w:t>
      </w:r>
      <w:r w:rsidRPr="003F3A18" w:rsidR="003F3A18">
        <w:t xml:space="preserve">must occur or to what extent </w:t>
      </w:r>
      <w:r w:rsidR="003F3A18">
        <w:t xml:space="preserve">the </w:t>
      </w:r>
      <w:r w:rsidRPr="003F3A18" w:rsidR="003F3A18">
        <w:t xml:space="preserve">IOUs need to incorporate feedback.  </w:t>
      </w:r>
    </w:p>
    <w:p w:rsidR="00B52DB3" w:rsidP="004D3891" w:rsidRDefault="004D3891" w14:paraId="06CBDC7B" w14:textId="77777777">
      <w:pPr>
        <w:pStyle w:val="Standard"/>
      </w:pPr>
      <w:r>
        <w:t>CETF, PG&amp;E</w:t>
      </w:r>
      <w:r w:rsidR="00C221FC">
        <w:t xml:space="preserve">, </w:t>
      </w:r>
      <w:r>
        <w:t xml:space="preserve">and SCE support </w:t>
      </w:r>
      <w:r w:rsidRPr="00A17B2C">
        <w:t>defini</w:t>
      </w:r>
      <w:r>
        <w:t>ng a</w:t>
      </w:r>
      <w:r w:rsidRPr="00A17B2C">
        <w:t xml:space="preserve"> disaster </w:t>
      </w:r>
      <w:r>
        <w:t xml:space="preserve">as a </w:t>
      </w:r>
      <w:r w:rsidRPr="00A17B2C">
        <w:t>"major outage" as defined in GO 166.</w:t>
      </w:r>
      <w:r>
        <w:t xml:space="preserve">  </w:t>
      </w:r>
      <w:r w:rsidRPr="006F1815">
        <w:t>PG&amp;E</w:t>
      </w:r>
      <w:r>
        <w:t xml:space="preserve"> asserts that using the term “s</w:t>
      </w:r>
      <w:r w:rsidRPr="006F1815">
        <w:t>ervice restoration plans</w:t>
      </w:r>
      <w:r>
        <w:t>”</w:t>
      </w:r>
      <w:r w:rsidRPr="006F1815">
        <w:t xml:space="preserve"> may lead to conflict as typical restoration is restoring previous service </w:t>
      </w:r>
      <w:r>
        <w:t xml:space="preserve">as soon as possible, while a </w:t>
      </w:r>
      <w:r w:rsidRPr="006F1815">
        <w:t>rebuild</w:t>
      </w:r>
      <w:r>
        <w:t xml:space="preserve"> implies using </w:t>
      </w:r>
      <w:r w:rsidRPr="006F1815">
        <w:t xml:space="preserve">new infrastructure, </w:t>
      </w:r>
      <w:r>
        <w:t>given that facilities and housing and other infrastructure ha</w:t>
      </w:r>
      <w:r w:rsidR="6559E8DD">
        <w:t>ve</w:t>
      </w:r>
      <w:r>
        <w:t xml:space="preserve"> been d</w:t>
      </w:r>
      <w:r w:rsidRPr="006F1815">
        <w:t>estroyed.  Restoration generally begins as soon as first responders allow access to</w:t>
      </w:r>
      <w:r>
        <w:t xml:space="preserve"> the</w:t>
      </w:r>
      <w:r w:rsidRPr="006F1815">
        <w:t xml:space="preserve"> area</w:t>
      </w:r>
      <w:r>
        <w:t xml:space="preserve"> in question</w:t>
      </w:r>
      <w:r w:rsidRPr="006F1815">
        <w:t xml:space="preserve">.  </w:t>
      </w:r>
      <w:r>
        <w:t>Thus PG&amp;E argues that s</w:t>
      </w:r>
      <w:r w:rsidRPr="006F1815">
        <w:t>ervice restoration plans should refer to rebuild activities where the replacement of utility structures in disaster areas have destroyed end user property. </w:t>
      </w:r>
      <w:r w:rsidR="3C860E9F">
        <w:t xml:space="preserve"> </w:t>
      </w:r>
      <w:r w:rsidRPr="006F1815" w:rsidR="00C221FC">
        <w:t xml:space="preserve">Comcast </w:t>
      </w:r>
      <w:r w:rsidR="00C221FC">
        <w:t xml:space="preserve">asserts </w:t>
      </w:r>
      <w:r w:rsidRPr="006F1815" w:rsidR="00C221FC">
        <w:t xml:space="preserve">the definition of disaster needs to be clarified, </w:t>
      </w:r>
      <w:r w:rsidR="00C221FC">
        <w:t>so t</w:t>
      </w:r>
      <w:r w:rsidRPr="006F1815" w:rsidR="00C221FC">
        <w:t xml:space="preserve">hat the rules only apply to significant disasters, and limited to those named disasters by the Governor and President </w:t>
      </w:r>
      <w:r w:rsidR="00C221FC">
        <w:t>of the</w:t>
      </w:r>
    </w:p>
    <w:p w:rsidRPr="006F1815" w:rsidR="004D3891" w:rsidP="00B52DB3" w:rsidRDefault="00C221FC" w14:paraId="6EE3BF92" w14:textId="55D5FFEC">
      <w:pPr>
        <w:pStyle w:val="Standard"/>
        <w:ind w:firstLine="0"/>
      </w:pPr>
      <w:r>
        <w:t xml:space="preserve">United States </w:t>
      </w:r>
      <w:r w:rsidRPr="006F1815">
        <w:t>that cause network outages. </w:t>
      </w:r>
    </w:p>
    <w:p w:rsidR="003F3A18" w:rsidP="00226F33" w:rsidRDefault="003F3A18" w14:paraId="348A82BC" w14:textId="56E961B6">
      <w:pPr>
        <w:pStyle w:val="Standard"/>
      </w:pPr>
      <w:proofErr w:type="spellStart"/>
      <w:r w:rsidRPr="003F3A18">
        <w:t>CforAT</w:t>
      </w:r>
      <w:proofErr w:type="spellEnd"/>
      <w:r w:rsidRPr="003F3A18">
        <w:t xml:space="preserve"> </w:t>
      </w:r>
      <w:r>
        <w:t>requests the Commission ens</w:t>
      </w:r>
      <w:r w:rsidRPr="003F3A18">
        <w:t>ure outreach is in all languages within the communities and that the most vulnerable are reached out to, especially if they rely on medical equipment to survive.</w:t>
      </w:r>
    </w:p>
    <w:p w:rsidR="00667710" w:rsidP="00667710" w:rsidRDefault="00822B94" w14:paraId="1074DE08" w14:textId="46FFABC6">
      <w:pPr>
        <w:pStyle w:val="Standard"/>
      </w:pPr>
      <w:r>
        <w:lastRenderedPageBreak/>
        <w:t xml:space="preserve">The </w:t>
      </w:r>
      <w:r w:rsidRPr="006F1815" w:rsidR="004570A8">
        <w:t xml:space="preserve">Joint ILECs </w:t>
      </w:r>
      <w:r w:rsidR="00226F33">
        <w:t>a</w:t>
      </w:r>
      <w:r w:rsidR="00AF5745">
        <w:t>rgue</w:t>
      </w:r>
      <w:r w:rsidR="00226F33">
        <w:t xml:space="preserve"> </w:t>
      </w:r>
      <w:r w:rsidRPr="006F1815" w:rsidR="004570A8">
        <w:t xml:space="preserve">that a 15-day period is far too short, and that it could lead to </w:t>
      </w:r>
      <w:r w:rsidR="00C13344">
        <w:t xml:space="preserve">company </w:t>
      </w:r>
      <w:r w:rsidRPr="006F1815" w:rsidR="004570A8">
        <w:t>employees entering unsafe areas before they are cleared. </w:t>
      </w:r>
      <w:r w:rsidR="00C13344">
        <w:t xml:space="preserve"> The </w:t>
      </w:r>
      <w:r w:rsidR="00226F33">
        <w:t>Sm</w:t>
      </w:r>
      <w:r w:rsidRPr="006F1815" w:rsidR="004570A8">
        <w:t xml:space="preserve">all LECs </w:t>
      </w:r>
      <w:r w:rsidR="00226F33">
        <w:t xml:space="preserve">argue </w:t>
      </w:r>
      <w:r w:rsidRPr="006F1815" w:rsidR="004570A8">
        <w:t xml:space="preserve">the </w:t>
      </w:r>
      <w:r w:rsidR="00226F33">
        <w:t xml:space="preserve">proposed </w:t>
      </w:r>
      <w:r w:rsidRPr="006F1815" w:rsidR="004570A8">
        <w:t>requirement would </w:t>
      </w:r>
      <w:r w:rsidR="00226F33">
        <w:t>impose</w:t>
      </w:r>
      <w:r w:rsidR="00AD5D4B">
        <w:t xml:space="preserve"> </w:t>
      </w:r>
      <w:r w:rsidRPr="006F1815" w:rsidR="004570A8">
        <w:t>undue compliance costs w</w:t>
      </w:r>
      <w:r w:rsidR="00226F33">
        <w:t xml:space="preserve">ithout providing </w:t>
      </w:r>
      <w:r w:rsidRPr="006F1815" w:rsidR="004570A8">
        <w:t>meaningful benefits.  </w:t>
      </w:r>
      <w:r w:rsidR="00226F33">
        <w:t>Comcast</w:t>
      </w:r>
      <w:r w:rsidR="00C13344">
        <w:t xml:space="preserve"> and CCTA</w:t>
      </w:r>
      <w:r w:rsidR="00226F33">
        <w:t xml:space="preserve"> recommend extending the deadline to 30 days.</w:t>
      </w:r>
      <w:r w:rsidRPr="00B64238" w:rsidR="00B64238">
        <w:t xml:space="preserve"> </w:t>
      </w:r>
      <w:r w:rsidR="00B64238">
        <w:t xml:space="preserve"> </w:t>
      </w:r>
      <w:r w:rsidRPr="00667710" w:rsidR="00667710">
        <w:t>PG&amp;E and SCE</w:t>
      </w:r>
      <w:r w:rsidR="00667710">
        <w:t xml:space="preserve"> support </w:t>
      </w:r>
      <w:r w:rsidR="00AD5D4B">
        <w:t xml:space="preserve">extending the deadline to file an Advice Letter to </w:t>
      </w:r>
      <w:r w:rsidRPr="00667710" w:rsidR="00667710">
        <w:t xml:space="preserve">at least 60 days.  </w:t>
      </w:r>
      <w:r w:rsidRPr="00A17B2C" w:rsidR="00B64238">
        <w:t>CWA</w:t>
      </w:r>
      <w:r w:rsidR="00B64238">
        <w:t xml:space="preserve"> asserts telecommunications service </w:t>
      </w:r>
      <w:r w:rsidRPr="00A17B2C" w:rsidR="00B64238">
        <w:t xml:space="preserve">providers rarely meet their responsibilities to </w:t>
      </w:r>
      <w:r w:rsidR="00B64238">
        <w:t xml:space="preserve">ensure their </w:t>
      </w:r>
      <w:r w:rsidRPr="00A17B2C" w:rsidR="00B64238">
        <w:t>networks are reliable and secure</w:t>
      </w:r>
      <w:r w:rsidR="00B64238">
        <w:t xml:space="preserve">, so the Commission instead should require these companies to </w:t>
      </w:r>
      <w:r w:rsidRPr="00A17B2C" w:rsidR="00B64238">
        <w:t>submit plans in advance of disasters and include redundant systems in case of disaster.  </w:t>
      </w:r>
      <w:r w:rsidRPr="006F1815" w:rsidR="00667710">
        <w:t xml:space="preserve">SCE </w:t>
      </w:r>
      <w:r w:rsidR="00667710">
        <w:t xml:space="preserve">argues </w:t>
      </w:r>
      <w:r w:rsidRPr="006F1815" w:rsidR="00667710">
        <w:t xml:space="preserve">that any requirement </w:t>
      </w:r>
      <w:r w:rsidR="00667710">
        <w:t xml:space="preserve">should </w:t>
      </w:r>
      <w:r w:rsidRPr="006F1815" w:rsidR="00667710">
        <w:t>allow for 'good faith efforts' and that any meet-and-confer be in a way that does not disrupt restoral efforts.</w:t>
      </w:r>
    </w:p>
    <w:p w:rsidRPr="00A17B2C" w:rsidR="00A17B2C" w:rsidP="00C13344" w:rsidRDefault="00226F33" w14:paraId="13FC3D54" w14:textId="596DB687">
      <w:pPr>
        <w:pStyle w:val="Standard"/>
      </w:pPr>
      <w:r>
        <w:t>Comcast</w:t>
      </w:r>
      <w:r w:rsidR="00C13344">
        <w:t>, CENIC,</w:t>
      </w:r>
      <w:r>
        <w:t xml:space="preserve"> </w:t>
      </w:r>
      <w:r w:rsidR="00C13344">
        <w:t xml:space="preserve">and CCTA </w:t>
      </w:r>
      <w:r>
        <w:t>request several clarification</w:t>
      </w:r>
      <w:r w:rsidR="000155FD">
        <w:t>s</w:t>
      </w:r>
      <w:r>
        <w:t xml:space="preserve">, including </w:t>
      </w:r>
      <w:r w:rsidRPr="006F1815">
        <w:t>when the clock for 15 days begins.</w:t>
      </w:r>
      <w:r>
        <w:t xml:space="preserve">  </w:t>
      </w:r>
      <w:r w:rsidR="00C13344">
        <w:t xml:space="preserve">CCTA also asserts that the Advice Letters </w:t>
      </w:r>
      <w:r w:rsidRPr="00A17B2C" w:rsidR="00A17B2C">
        <w:t xml:space="preserve">should be limited to information regarding </w:t>
      </w:r>
      <w:r w:rsidR="00C13344">
        <w:t xml:space="preserve">the </w:t>
      </w:r>
      <w:r w:rsidRPr="00A17B2C" w:rsidR="00A17B2C">
        <w:t>impact of disaster on providers' facilities and service restoration status</w:t>
      </w:r>
      <w:r w:rsidR="00C13344">
        <w:t>.</w:t>
      </w:r>
      <w:r w:rsidR="00B64238">
        <w:t xml:space="preserve"> </w:t>
      </w:r>
    </w:p>
    <w:p w:rsidRPr="00A17B2C" w:rsidR="006970C6" w:rsidP="00E56CFC" w:rsidRDefault="006970C6" w14:paraId="060A7A9B" w14:textId="6CDBB07B">
      <w:pPr>
        <w:pStyle w:val="Standard"/>
      </w:pPr>
      <w:r w:rsidRPr="006F1815">
        <w:t>TURN</w:t>
      </w:r>
      <w:r>
        <w:t xml:space="preserve"> </w:t>
      </w:r>
      <w:r w:rsidR="00B64238">
        <w:t xml:space="preserve">and NDC </w:t>
      </w:r>
      <w:r>
        <w:t>note that s</w:t>
      </w:r>
      <w:r w:rsidRPr="006F1815">
        <w:t>ervice restoration may include temp</w:t>
      </w:r>
      <w:r>
        <w:t>orary</w:t>
      </w:r>
      <w:r w:rsidRPr="006F1815">
        <w:t xml:space="preserve"> facilities or repairs</w:t>
      </w:r>
      <w:r>
        <w:t>, not final plans</w:t>
      </w:r>
      <w:r w:rsidRPr="006F1815">
        <w:t xml:space="preserve"> for rebuilding damaged infrastructure</w:t>
      </w:r>
      <w:r>
        <w:t>, asserts that the Commission will need to incorporate both short-term and longer-term efforts in the proposed Advice Letter process</w:t>
      </w:r>
      <w:r w:rsidRPr="006F1815">
        <w:t xml:space="preserve">. </w:t>
      </w:r>
      <w:r>
        <w:t xml:space="preserve"> </w:t>
      </w:r>
      <w:proofErr w:type="spellStart"/>
      <w:r w:rsidR="000155FD">
        <w:t>CforAT</w:t>
      </w:r>
      <w:proofErr w:type="spellEnd"/>
      <w:r w:rsidR="000155FD">
        <w:t xml:space="preserve"> recommends the Commission require three Advice Letters: an initial Tier 2 filing within 15 days of the disaster; a Tier 2 Advice Letter filed no later than </w:t>
      </w:r>
      <w:r w:rsidR="00E61297">
        <w:t>60</w:t>
      </w:r>
      <w:r w:rsidR="000155FD">
        <w:t xml:space="preserve"> days after the disaster detailing providers’ communication and collaboration with affected communities; and a final Tier 1 Advice Letter updating that same information once providers have completed</w:t>
      </w:r>
      <w:r w:rsidR="00E56CFC">
        <w:t xml:space="preserve"> </w:t>
      </w:r>
      <w:r w:rsidR="000155FD">
        <w:t>service restoration.</w:t>
      </w:r>
    </w:p>
    <w:p w:rsidR="00622425" w:rsidP="00B52DB3" w:rsidRDefault="00905022" w14:paraId="2ABB73B2" w14:textId="7BBE5342">
      <w:pPr>
        <w:pStyle w:val="Heading2"/>
        <w:tabs>
          <w:tab w:val="clear" w:pos="1080"/>
          <w:tab w:val="num" w:pos="1620"/>
        </w:tabs>
        <w:ind w:left="1440"/>
      </w:pPr>
      <w:bookmarkStart w:name="_Toc81913477" w:id="18"/>
      <w:r>
        <w:lastRenderedPageBreak/>
        <w:t>4.2</w:t>
      </w:r>
      <w:r w:rsidR="00B52DB3">
        <w:tab/>
      </w:r>
      <w:r w:rsidR="00622425">
        <w:t>Discussion</w:t>
      </w:r>
      <w:bookmarkEnd w:id="18"/>
    </w:p>
    <w:p w:rsidR="007350F7" w:rsidP="00486235" w:rsidRDefault="00AB577F" w14:paraId="1D043F08" w14:textId="5A910E65">
      <w:pPr>
        <w:pStyle w:val="Standard"/>
      </w:pPr>
      <w:r>
        <w:t xml:space="preserve">We adopt the community </w:t>
      </w:r>
      <w:r w:rsidR="0035301B">
        <w:t>engagement</w:t>
      </w:r>
      <w:r>
        <w:t xml:space="preserve"> and Advice Letter filing requirements, with modification</w:t>
      </w:r>
      <w:r w:rsidR="008A3A80">
        <w:t>s</w:t>
      </w:r>
      <w:r>
        <w:t>.</w:t>
      </w:r>
      <w:r w:rsidR="00DF2A0D">
        <w:t xml:space="preserve">  </w:t>
      </w:r>
    </w:p>
    <w:p w:rsidR="00344F4D" w:rsidP="00486235" w:rsidRDefault="00E96AB2" w14:paraId="51742D53" w14:textId="77777777">
      <w:pPr>
        <w:pStyle w:val="Standard"/>
      </w:pPr>
      <w:r>
        <w:t>W</w:t>
      </w:r>
      <w:r w:rsidR="00AB577F">
        <w:t xml:space="preserve">e dismiss </w:t>
      </w:r>
      <w:r w:rsidR="00BE6F4D">
        <w:t xml:space="preserve">the </w:t>
      </w:r>
      <w:r w:rsidR="00E56CFC">
        <w:t xml:space="preserve">extremely broad </w:t>
      </w:r>
      <w:r w:rsidR="00AB577F">
        <w:t>claims made by the large ILECs</w:t>
      </w:r>
      <w:r w:rsidR="00FB4455">
        <w:t xml:space="preserve">, </w:t>
      </w:r>
      <w:r w:rsidR="00AB577F">
        <w:t xml:space="preserve">cable providers </w:t>
      </w:r>
      <w:r w:rsidR="00FB4455">
        <w:t xml:space="preserve">and CTIA </w:t>
      </w:r>
      <w:r w:rsidR="00AB577F">
        <w:t xml:space="preserve">that this Commission does not have the authority to </w:t>
      </w:r>
    </w:p>
    <w:p w:rsidR="00344F4D" w:rsidP="00344F4D" w:rsidRDefault="00AB577F" w14:paraId="296E15B3" w14:textId="7F433C7B">
      <w:pPr>
        <w:pStyle w:val="Standard"/>
        <w:ind w:firstLine="0"/>
      </w:pPr>
      <w:r>
        <w:t>adopt these rules.  The OIR discusses our authority in detail</w:t>
      </w:r>
      <w:r w:rsidR="007B6248">
        <w:t xml:space="preserve">.  Further, </w:t>
      </w:r>
      <w:r w:rsidR="00460510">
        <w:t xml:space="preserve">the </w:t>
      </w:r>
    </w:p>
    <w:p w:rsidR="00344F4D" w:rsidP="00344F4D" w:rsidRDefault="00460510" w14:paraId="2230A32B" w14:textId="3EF072BA">
      <w:pPr>
        <w:pStyle w:val="Standard"/>
        <w:ind w:firstLine="0"/>
      </w:pPr>
      <w:r>
        <w:t>Commission has addressed these claims in other decisions, notably</w:t>
      </w:r>
      <w:r w:rsidR="18BC7216">
        <w:t xml:space="preserve"> in </w:t>
      </w:r>
      <w:r w:rsidR="00822B94">
        <w:t xml:space="preserve">Decision </w:t>
      </w:r>
    </w:p>
    <w:p w:rsidR="00AB577F" w:rsidP="00344F4D" w:rsidRDefault="00822B94" w14:paraId="5F074020" w14:textId="0955231C">
      <w:pPr>
        <w:pStyle w:val="Standard"/>
        <w:ind w:firstLine="0"/>
      </w:pPr>
      <w:r>
        <w:t>(</w:t>
      </w:r>
      <w:r w:rsidR="18BC7216">
        <w:t>D.</w:t>
      </w:r>
      <w:r>
        <w:t xml:space="preserve">) </w:t>
      </w:r>
      <w:r w:rsidR="18BC7216">
        <w:t>20-07-011</w:t>
      </w:r>
      <w:r w:rsidR="008C4341">
        <w:rPr>
          <w:rStyle w:val="FootnoteReference"/>
        </w:rPr>
        <w:footnoteReference w:id="13"/>
      </w:r>
      <w:r w:rsidR="18BC7216">
        <w:t xml:space="preserve"> and D.21-02-029</w:t>
      </w:r>
      <w:r w:rsidR="007B6248">
        <w:t>,</w:t>
      </w:r>
      <w:r w:rsidR="008C4341">
        <w:rPr>
          <w:rStyle w:val="FootnoteReference"/>
        </w:rPr>
        <w:footnoteReference w:id="14"/>
      </w:r>
      <w:r w:rsidR="18BC7216">
        <w:t xml:space="preserve"> </w:t>
      </w:r>
      <w:r w:rsidR="007B6248">
        <w:t xml:space="preserve">which discuss </w:t>
      </w:r>
      <w:r w:rsidR="18BC7216">
        <w:t>our jurisdiction over wireless and wireline facilities, including interconnected voice over inte</w:t>
      </w:r>
      <w:r w:rsidR="664FB4F1">
        <w:t xml:space="preserve">rnet protocol (VoIP) carriers.  </w:t>
      </w:r>
      <w:r w:rsidR="00E56CFC">
        <w:t xml:space="preserve">While there are specific </w:t>
      </w:r>
      <w:r w:rsidR="00445683">
        <w:t xml:space="preserve">actions </w:t>
      </w:r>
      <w:r w:rsidR="00E56CFC">
        <w:t>state commission</w:t>
      </w:r>
      <w:r w:rsidR="007350F7">
        <w:t>s</w:t>
      </w:r>
      <w:r w:rsidR="00E56CFC">
        <w:t xml:space="preserve"> cannot </w:t>
      </w:r>
      <w:r w:rsidR="00BE6F4D">
        <w:t>take, such as licensing spectrum</w:t>
      </w:r>
      <w:r w:rsidR="00E56CFC">
        <w:t xml:space="preserve">, state commissions are not </w:t>
      </w:r>
      <w:r w:rsidR="00FB4455">
        <w:t>preempt</w:t>
      </w:r>
      <w:r w:rsidR="00E56CFC">
        <w:t>ed</w:t>
      </w:r>
      <w:r w:rsidR="00FB4455">
        <w:t xml:space="preserve"> </w:t>
      </w:r>
      <w:r w:rsidR="00F52827">
        <w:t>from adopting these types of rules.</w:t>
      </w:r>
      <w:r w:rsidR="00E56CFC">
        <w:t xml:space="preserve">   </w:t>
      </w:r>
    </w:p>
    <w:p w:rsidR="00AB577F" w:rsidP="00486235" w:rsidRDefault="00FB4455" w14:paraId="5A91B19E" w14:textId="56109B81">
      <w:pPr>
        <w:pStyle w:val="Standard"/>
      </w:pPr>
      <w:r>
        <w:t>Further, w</w:t>
      </w:r>
      <w:r w:rsidR="00AB577F">
        <w:t xml:space="preserve">e are not persuaded by objections that </w:t>
      </w:r>
      <w:r w:rsidR="007350F7">
        <w:t>community engagement and A</w:t>
      </w:r>
      <w:r w:rsidR="00486235">
        <w:t xml:space="preserve">dvice </w:t>
      </w:r>
      <w:r w:rsidR="00AB577F">
        <w:t>L</w:t>
      </w:r>
      <w:r w:rsidR="00486235">
        <w:t xml:space="preserve">etter </w:t>
      </w:r>
      <w:r w:rsidR="007350F7">
        <w:t xml:space="preserve">requirements </w:t>
      </w:r>
      <w:r w:rsidR="00AB577F">
        <w:t>w</w:t>
      </w:r>
      <w:r w:rsidR="00486235">
        <w:t>ill divert critical resources from the restoration efforts</w:t>
      </w:r>
      <w:r w:rsidR="00F52827">
        <w:t>, as these claims are unsupported</w:t>
      </w:r>
      <w:r w:rsidR="00243A2B">
        <w:t xml:space="preserve">. </w:t>
      </w:r>
      <w:r w:rsidR="00BE6F4D">
        <w:t xml:space="preserve"> These arguments contradict other statements made by the same providers that they already are performing these tasks. </w:t>
      </w:r>
    </w:p>
    <w:p w:rsidR="00F52827" w:rsidP="004F24FF" w:rsidRDefault="00AB577F" w14:paraId="6202886D" w14:textId="2E36C3C2">
      <w:pPr>
        <w:pStyle w:val="Standard"/>
      </w:pPr>
      <w:r>
        <w:t xml:space="preserve">  </w:t>
      </w:r>
      <w:r w:rsidR="004F24FF">
        <w:t>W</w:t>
      </w:r>
      <w:r w:rsidR="00243A2B">
        <w:t xml:space="preserve">e </w:t>
      </w:r>
      <w:r w:rsidR="004F24FF">
        <w:t xml:space="preserve">also </w:t>
      </w:r>
      <w:r w:rsidR="00243A2B">
        <w:t xml:space="preserve">are not persuaded by arguments that </w:t>
      </w:r>
      <w:r w:rsidR="00486235">
        <w:t xml:space="preserve">existing </w:t>
      </w:r>
      <w:r w:rsidR="00B55829">
        <w:t xml:space="preserve">post-disaster </w:t>
      </w:r>
      <w:r w:rsidR="00486235">
        <w:t>reporting requirements are sufficient</w:t>
      </w:r>
      <w:r w:rsidR="00243A2B">
        <w:t>.  The Commission has received enough formal and informal complaints to suggest this is not the case</w:t>
      </w:r>
      <w:r w:rsidR="00B55829">
        <w:t>.  C</w:t>
      </w:r>
      <w:r w:rsidR="00054BF6">
        <w:t xml:space="preserve">omments in the record from </w:t>
      </w:r>
      <w:r w:rsidR="00F52827">
        <w:t xml:space="preserve">several </w:t>
      </w:r>
      <w:r w:rsidR="00054BF6">
        <w:t>types of consumer</w:t>
      </w:r>
      <w:r w:rsidR="00B55829">
        <w:t xml:space="preserve"> groups further support this point</w:t>
      </w:r>
      <w:r w:rsidR="00F52827">
        <w:t xml:space="preserve">.  </w:t>
      </w:r>
      <w:r w:rsidR="00054BF6">
        <w:t xml:space="preserve">Finally, </w:t>
      </w:r>
      <w:r w:rsidR="00243A2B">
        <w:t xml:space="preserve">the comments filed by many of the IOUs and telecommunications </w:t>
      </w:r>
      <w:r w:rsidR="00C13E68">
        <w:t xml:space="preserve">service </w:t>
      </w:r>
      <w:r w:rsidR="00243A2B">
        <w:lastRenderedPageBreak/>
        <w:t>providers suggest</w:t>
      </w:r>
      <w:r w:rsidR="004F24FF">
        <w:t xml:space="preserve"> </w:t>
      </w:r>
      <w:r w:rsidR="00243A2B">
        <w:t>that these companies</w:t>
      </w:r>
      <w:r w:rsidR="00054BF6">
        <w:t xml:space="preserve"> </w:t>
      </w:r>
      <w:r w:rsidR="00243A2B">
        <w:t xml:space="preserve">view </w:t>
      </w:r>
      <w:r w:rsidR="004F24FF">
        <w:t xml:space="preserve">having to discuss service restoration and rebuild efforts with the communities they serve </w:t>
      </w:r>
      <w:r w:rsidR="00054BF6">
        <w:t>as</w:t>
      </w:r>
      <w:r w:rsidR="004F24FF">
        <w:t xml:space="preserve"> an inconvenience.  </w:t>
      </w:r>
      <w:r w:rsidR="00B55829">
        <w:t xml:space="preserve">If that is the case, we encourage them </w:t>
      </w:r>
      <w:r w:rsidR="003046E0">
        <w:t>to</w:t>
      </w:r>
      <w:r w:rsidR="00B55829">
        <w:t xml:space="preserve"> adopt a more appropriate view of the people they serve.</w:t>
      </w:r>
    </w:p>
    <w:p w:rsidR="009E1B8E" w:rsidP="007350F7" w:rsidRDefault="007350F7" w14:paraId="6DDD6901" w14:textId="20C0E0BA">
      <w:pPr>
        <w:pStyle w:val="Standard"/>
      </w:pPr>
      <w:r>
        <w:t xml:space="preserve">The first requirement we adopt is that, in the event of a </w:t>
      </w:r>
      <w:r w:rsidR="00BA17B2">
        <w:t xml:space="preserve">disaster declared either by the Governor of California or the President of the United States, </w:t>
      </w:r>
      <w:r>
        <w:t>IOUs and</w:t>
      </w:r>
      <w:r w:rsidR="00825E49">
        <w:t xml:space="preserve"> facilities-based</w:t>
      </w:r>
      <w:r>
        <w:t xml:space="preserve"> telecommunications </w:t>
      </w:r>
      <w:r w:rsidR="00825E49">
        <w:t xml:space="preserve">service </w:t>
      </w:r>
      <w:r>
        <w:t xml:space="preserve">providers shall </w:t>
      </w:r>
      <w:r w:rsidR="00C6787B">
        <w:t xml:space="preserve">each </w:t>
      </w:r>
      <w:r>
        <w:t xml:space="preserve">file a Tier 1 Advice Letter within 15 </w:t>
      </w:r>
      <w:r w:rsidR="000B69CE">
        <w:t xml:space="preserve">business </w:t>
      </w:r>
      <w:r>
        <w:t>days from when they are allowed into an affected area to assess the damage to their facilities</w:t>
      </w:r>
      <w:r w:rsidR="00BA17B2">
        <w:t xml:space="preserve">.  </w:t>
      </w:r>
    </w:p>
    <w:p w:rsidR="009E1B8E" w:rsidP="009E1B8E" w:rsidRDefault="009E1B8E" w14:paraId="7F57B35F" w14:textId="53FD5F6E">
      <w:pPr>
        <w:pStyle w:val="Standard"/>
      </w:pPr>
      <w:r>
        <w:t xml:space="preserve">The 15-day Tier 1 Advice Letter is informational only, but at a minimum should include the following details: </w:t>
      </w:r>
      <w:r w:rsidR="00B52DB3">
        <w:t xml:space="preserve"> </w:t>
      </w:r>
      <w:r>
        <w:t xml:space="preserve">1) a report of what facilities or equipment was damaged, which may include any reports filed with public safety agencies  showing containment or percentage of containment; 2) restoration </w:t>
      </w:r>
      <w:r w:rsidR="0007178F">
        <w:t>and/or rebuild</w:t>
      </w:r>
      <w:r>
        <w:t xml:space="preserve"> plans, including a description of what is being repaired, replaced or added, and maps of where the restoration will occur; 3) the date the IOUs</w:t>
      </w:r>
      <w:r w:rsidR="75DAF8FB">
        <w:t xml:space="preserve"> and/or </w:t>
      </w:r>
      <w:r w:rsidR="059C9369">
        <w:t>telecommunications</w:t>
      </w:r>
      <w:r w:rsidR="75DAF8FB">
        <w:t xml:space="preserve"> </w:t>
      </w:r>
      <w:r w:rsidR="00825E49">
        <w:t xml:space="preserve">service </w:t>
      </w:r>
      <w:r w:rsidR="75DAF8FB">
        <w:t>provider</w:t>
      </w:r>
      <w:r>
        <w:t xml:space="preserve"> received access to the damaged area; 4) the timeline to make repairs; 5) any changes to any energy/communication infrastructure required</w:t>
      </w:r>
      <w:r w:rsidR="0061646B">
        <w:t>; and 6) the contact information of the individual responsible for community engagement in these instances</w:t>
      </w:r>
      <w:r>
        <w:t xml:space="preserve">.  IOUs shall file this Advice Letter with the Commission’s Energy Division with a copy sent to the Communication Division.  </w:t>
      </w:r>
      <w:r w:rsidR="00825E49">
        <w:t>Facilities-based t</w:t>
      </w:r>
      <w:r>
        <w:t xml:space="preserve">elecommunications </w:t>
      </w:r>
      <w:r w:rsidR="00825E49">
        <w:t xml:space="preserve">service </w:t>
      </w:r>
      <w:r>
        <w:t>providers shall file the Advice Letter with the Communications Division.  In addition, both IOUs and</w:t>
      </w:r>
      <w:r w:rsidR="00825E49">
        <w:t xml:space="preserve"> the facilities-based</w:t>
      </w:r>
      <w:r>
        <w:t xml:space="preserve"> telecommunications </w:t>
      </w:r>
      <w:r w:rsidR="00825E49">
        <w:t xml:space="preserve">service </w:t>
      </w:r>
      <w:r>
        <w:t>providers shall provide a courtesy copy of the Advice Letter to the appropriate local government</w:t>
      </w:r>
      <w:r w:rsidR="00042794">
        <w:t>s</w:t>
      </w:r>
      <w:r>
        <w:t xml:space="preserve"> contained within the disaster area.  In the case of </w:t>
      </w:r>
      <w:r w:rsidR="00042794">
        <w:t xml:space="preserve">a </w:t>
      </w:r>
      <w:r>
        <w:t xml:space="preserve">city, </w:t>
      </w:r>
      <w:proofErr w:type="gramStart"/>
      <w:r>
        <w:t>township</w:t>
      </w:r>
      <w:proofErr w:type="gramEnd"/>
      <w:r>
        <w:t xml:space="preserve"> or Tribal government, this means the executive or leader in charge of that entity. </w:t>
      </w:r>
      <w:r w:rsidR="0061646B">
        <w:t xml:space="preserve"> </w:t>
      </w:r>
      <w:r>
        <w:t xml:space="preserve">In the </w:t>
      </w:r>
      <w:r>
        <w:lastRenderedPageBreak/>
        <w:t xml:space="preserve">case of an unincorporated area, the communication must be established with the appropriate County.  </w:t>
      </w:r>
    </w:p>
    <w:p w:rsidR="00804DDF" w:rsidP="00804DDF" w:rsidRDefault="0061646B" w14:paraId="16857462" w14:textId="1F837729">
      <w:pPr>
        <w:pStyle w:val="Standard"/>
      </w:pPr>
      <w:r>
        <w:t xml:space="preserve">The second requirement we adopt is that within </w:t>
      </w:r>
      <w:r w:rsidR="009E1B8E">
        <w:t>30</w:t>
      </w:r>
      <w:r>
        <w:t xml:space="preserve"> </w:t>
      </w:r>
      <w:r w:rsidR="009E1B8E">
        <w:t xml:space="preserve">days </w:t>
      </w:r>
      <w:r>
        <w:t xml:space="preserve">of being permitted back into the disaster area, IOUs and </w:t>
      </w:r>
      <w:r w:rsidR="00825E49">
        <w:t xml:space="preserve">facilities-based </w:t>
      </w:r>
      <w:r>
        <w:t xml:space="preserve">telecommunications </w:t>
      </w:r>
      <w:r w:rsidR="00825E49">
        <w:t xml:space="preserve">service </w:t>
      </w:r>
      <w:r>
        <w:t xml:space="preserve">providers </w:t>
      </w:r>
      <w:r w:rsidR="00804DDF">
        <w:t xml:space="preserve">shall </w:t>
      </w:r>
      <w:r w:rsidR="009E1B8E">
        <w:t xml:space="preserve">meet </w:t>
      </w:r>
      <w:r>
        <w:t xml:space="preserve">in person with the </w:t>
      </w:r>
      <w:r w:rsidR="00804DDF">
        <w:t xml:space="preserve">impacted </w:t>
      </w:r>
      <w:r w:rsidR="009E1B8E">
        <w:t xml:space="preserve">community to allow an opportunity </w:t>
      </w:r>
      <w:r w:rsidR="00804DDF">
        <w:t>to discuss any r</w:t>
      </w:r>
      <w:r w:rsidR="009E1B8E">
        <w:t>ebuilding plan</w:t>
      </w:r>
      <w:r w:rsidR="00804DDF">
        <w:t>s</w:t>
      </w:r>
      <w:r w:rsidR="009E1B8E">
        <w:t xml:space="preserve"> that may affect them, especially if there are plans for fiber build outs.  </w:t>
      </w:r>
      <w:r w:rsidR="00CA5CF6">
        <w:t xml:space="preserve">The utilities will consider incorporating any comments made by the affected community while working on their restoration.  </w:t>
      </w:r>
    </w:p>
    <w:p w:rsidR="00344F4D" w:rsidP="004C627A" w:rsidRDefault="00CA5CF6" w14:paraId="1637E25F" w14:textId="77777777">
      <w:pPr>
        <w:pStyle w:val="Standard"/>
      </w:pPr>
      <w:r>
        <w:t xml:space="preserve">The third requirement we adopt </w:t>
      </w:r>
      <w:r w:rsidR="00CC388B">
        <w:t>is that w</w:t>
      </w:r>
      <w:r>
        <w:t>ithin</w:t>
      </w:r>
      <w:r w:rsidR="00156B3B">
        <w:t xml:space="preserve"> 60 days after service is restored and </w:t>
      </w:r>
      <w:r w:rsidR="00BF3153">
        <w:t xml:space="preserve">all </w:t>
      </w:r>
      <w:r w:rsidR="00156B3B">
        <w:t xml:space="preserve">rebuilding work is complete, </w:t>
      </w:r>
      <w:r w:rsidRPr="00CA5CF6">
        <w:t xml:space="preserve">IOUs and </w:t>
      </w:r>
      <w:r w:rsidR="00825E49">
        <w:t>facilities-bas</w:t>
      </w:r>
      <w:r w:rsidR="00C3221C">
        <w:t>ed</w:t>
      </w:r>
      <w:r w:rsidR="00B052EB">
        <w:t xml:space="preserve"> </w:t>
      </w:r>
      <w:r w:rsidR="00156B3B">
        <w:t xml:space="preserve">telecommunications </w:t>
      </w:r>
      <w:r w:rsidR="00825E49">
        <w:t xml:space="preserve">service </w:t>
      </w:r>
      <w:r w:rsidR="00156B3B">
        <w:t xml:space="preserve">providers shall </w:t>
      </w:r>
      <w:r w:rsidRPr="00CA5CF6">
        <w:t xml:space="preserve">file a </w:t>
      </w:r>
      <w:r w:rsidR="00804DDF">
        <w:t xml:space="preserve">Tier 2 </w:t>
      </w:r>
      <w:r w:rsidR="00156B3B">
        <w:t>A</w:t>
      </w:r>
      <w:r w:rsidR="00804DDF">
        <w:t xml:space="preserve">dvice </w:t>
      </w:r>
      <w:r w:rsidR="00156B3B">
        <w:t>L</w:t>
      </w:r>
      <w:r w:rsidR="00804DDF">
        <w:t>etter</w:t>
      </w:r>
      <w:r w:rsidR="00156B3B">
        <w:t xml:space="preserve">.  The </w:t>
      </w:r>
    </w:p>
    <w:p w:rsidR="00344F4D" w:rsidP="00344F4D" w:rsidRDefault="00156B3B" w14:paraId="6CC2AC49" w14:textId="77777777">
      <w:pPr>
        <w:pStyle w:val="Standard"/>
        <w:ind w:firstLine="0"/>
      </w:pPr>
      <w:r>
        <w:t xml:space="preserve">Tier 2 Advice Letter shall be filed </w:t>
      </w:r>
      <w:r w:rsidR="79D7CF7D">
        <w:t>with</w:t>
      </w:r>
      <w:r>
        <w:t xml:space="preserve"> and otherwise provide</w:t>
      </w:r>
      <w:r w:rsidR="007869BF">
        <w:t>d</w:t>
      </w:r>
      <w:r>
        <w:t xml:space="preserve"> to the same individuals and entities as required by the initial Tier 1 Advice Letter.  </w:t>
      </w:r>
      <w:r w:rsidR="00804DDF">
        <w:t xml:space="preserve">This </w:t>
      </w:r>
    </w:p>
    <w:p w:rsidR="00804DDF" w:rsidP="00344F4D" w:rsidRDefault="00156B3B" w14:paraId="1557DE8D" w14:textId="2BD6DC00">
      <w:pPr>
        <w:pStyle w:val="Standard"/>
        <w:ind w:firstLine="0"/>
      </w:pPr>
      <w:r>
        <w:t>Tier 2 Advice Letter shall include</w:t>
      </w:r>
      <w:r w:rsidR="00804DDF">
        <w:t xml:space="preserve">: </w:t>
      </w:r>
      <w:r w:rsidR="00B52DB3">
        <w:t xml:space="preserve"> </w:t>
      </w:r>
      <w:r w:rsidR="00804DDF">
        <w:t xml:space="preserve">1) </w:t>
      </w:r>
      <w:r w:rsidRPr="002369B3" w:rsidR="00287B89">
        <w:t>a summary of</w:t>
      </w:r>
      <w:r w:rsidR="00287B89">
        <w:t xml:space="preserve"> </w:t>
      </w:r>
      <w:r w:rsidR="00804DDF">
        <w:t xml:space="preserve">restoration </w:t>
      </w:r>
      <w:r w:rsidR="00F041DF">
        <w:t xml:space="preserve">and/or rebuild </w:t>
      </w:r>
      <w:r w:rsidR="008E3377">
        <w:t>activ</w:t>
      </w:r>
      <w:r w:rsidR="003A73FA">
        <w:t>it</w:t>
      </w:r>
      <w:r w:rsidR="002369B3">
        <w:t>ies</w:t>
      </w:r>
      <w:r w:rsidR="00804DDF">
        <w:t xml:space="preserve">; 2) </w:t>
      </w:r>
      <w:r w:rsidR="006A074B">
        <w:t xml:space="preserve">a summary of the </w:t>
      </w:r>
      <w:r w:rsidR="00DE2886">
        <w:t>meetings and other communications that took place</w:t>
      </w:r>
      <w:r w:rsidR="00804DDF">
        <w:t xml:space="preserve">; 3) </w:t>
      </w:r>
      <w:r w:rsidR="002369B3">
        <w:t xml:space="preserve">a summary of </w:t>
      </w:r>
      <w:r w:rsidR="00804DDF">
        <w:t xml:space="preserve">any changes made after the meet and confer meeting(s); </w:t>
      </w:r>
      <w:r w:rsidR="00B52DB3">
        <w:br/>
      </w:r>
      <w:r w:rsidR="00804DDF">
        <w:t xml:space="preserve">4) </w:t>
      </w:r>
      <w:r w:rsidR="002369B3">
        <w:t xml:space="preserve">a summary of </w:t>
      </w:r>
      <w:r w:rsidR="00804DDF">
        <w:t>any energy/communication infrastructure added</w:t>
      </w:r>
      <w:r w:rsidR="00656E16">
        <w:t xml:space="preserve"> or</w:t>
      </w:r>
      <w:r w:rsidR="00804DDF">
        <w:t xml:space="preserve"> changed</w:t>
      </w:r>
      <w:r w:rsidR="00656E16">
        <w:t xml:space="preserve">, as well as the location, </w:t>
      </w:r>
      <w:r w:rsidR="00804DDF">
        <w:t>including</w:t>
      </w:r>
      <w:r w:rsidR="00656E16">
        <w:t xml:space="preserve"> a</w:t>
      </w:r>
      <w:r w:rsidR="00804DDF">
        <w:t xml:space="preserve"> map; and 5)</w:t>
      </w:r>
      <w:r w:rsidR="00014B91">
        <w:t xml:space="preserve"> </w:t>
      </w:r>
      <w:r w:rsidR="00656E16">
        <w:t>other</w:t>
      </w:r>
      <w:r w:rsidR="00014B91">
        <w:t xml:space="preserve"> issues the caused delays, </w:t>
      </w:r>
      <w:r w:rsidR="00714676">
        <w:t>such as land rights, permits, or discussions with certain entities.</w:t>
      </w:r>
    </w:p>
    <w:p w:rsidRPr="00622425" w:rsidR="00804DDF" w:rsidP="00804DDF" w:rsidRDefault="004F24FF" w14:paraId="36126E2A" w14:textId="64DD6D65">
      <w:pPr>
        <w:pStyle w:val="Standard"/>
      </w:pPr>
      <w:r>
        <w:t>The Advice Letter filing requirement</w:t>
      </w:r>
      <w:r w:rsidR="00156B3B">
        <w:t>s</w:t>
      </w:r>
      <w:r>
        <w:t xml:space="preserve"> we adopt here w</w:t>
      </w:r>
      <w:r w:rsidR="00486235">
        <w:t xml:space="preserve">ill provide impacted communities with </w:t>
      </w:r>
      <w:r>
        <w:t xml:space="preserve">more information </w:t>
      </w:r>
      <w:r w:rsidR="00486235">
        <w:t>and allow them the opportunity to share their concerns with IOUs</w:t>
      </w:r>
      <w:r w:rsidR="00156B3B">
        <w:t xml:space="preserve"> and telecommunications</w:t>
      </w:r>
      <w:r w:rsidR="00825E49">
        <w:t xml:space="preserve"> service</w:t>
      </w:r>
      <w:r w:rsidR="00156B3B">
        <w:t xml:space="preserve"> providers and do so </w:t>
      </w:r>
      <w:r w:rsidR="00486235">
        <w:t xml:space="preserve">without </w:t>
      </w:r>
      <w:r w:rsidR="00156B3B">
        <w:t xml:space="preserve">significant </w:t>
      </w:r>
      <w:r w:rsidR="00486235">
        <w:t xml:space="preserve">delay. </w:t>
      </w:r>
    </w:p>
    <w:p w:rsidR="008A0B48" w:rsidP="00B52DB3" w:rsidRDefault="005D333D" w14:paraId="2094FA68" w14:textId="1DD80249">
      <w:pPr>
        <w:pStyle w:val="Heading1"/>
        <w:numPr>
          <w:ilvl w:val="0"/>
          <w:numId w:val="17"/>
        </w:numPr>
        <w:ind w:left="360"/>
      </w:pPr>
      <w:bookmarkStart w:name="_Toc81913478" w:id="19"/>
      <w:r>
        <w:lastRenderedPageBreak/>
        <w:t>Digital Divide Account</w:t>
      </w:r>
      <w:bookmarkEnd w:id="19"/>
    </w:p>
    <w:p w:rsidR="005D333D" w:rsidP="005D333D" w:rsidRDefault="005D333D" w14:paraId="7DF0995A" w14:textId="18C66584">
      <w:pPr>
        <w:pStyle w:val="Standard"/>
      </w:pPr>
      <w:r>
        <w:t xml:space="preserve">Pub. Util. Code Section 280.5 requires the Commission to provide grants on a competitive basis subject to criteria to be established by the Commission and in a way that disburses the funds widely, including urban and rural areas.  </w:t>
      </w:r>
      <w:r w:rsidR="008A0B48">
        <w:t xml:space="preserve">The </w:t>
      </w:r>
      <w:r>
        <w:t xml:space="preserve">original </w:t>
      </w:r>
      <w:r w:rsidR="008A0B48">
        <w:t>Scoping Memo asks parties to comment on h</w:t>
      </w:r>
      <w:r w:rsidRPr="006C08C2" w:rsidR="008A0B48">
        <w:t xml:space="preserve">ow the Commission </w:t>
      </w:r>
      <w:r w:rsidR="008A0B48">
        <w:t xml:space="preserve">should </w:t>
      </w:r>
      <w:r w:rsidRPr="006C08C2" w:rsidR="008A0B48">
        <w:t>use the roughly $1 million in the Digital Divide Account to help schools and students</w:t>
      </w:r>
      <w:r w:rsidR="007D2BF7">
        <w:t>.</w:t>
      </w:r>
      <w:r>
        <w:t xml:space="preserve"> </w:t>
      </w:r>
      <w:r w:rsidR="007D2BF7">
        <w:t xml:space="preserve"> </w:t>
      </w:r>
      <w:r>
        <w:t xml:space="preserve">The amended Scoping Memo ordered a supplemental round of  comments and reply comments on a staff proposed pilot program to focus the </w:t>
      </w:r>
      <w:r w:rsidR="00B52DB3">
        <w:br/>
      </w:r>
      <w:r>
        <w:t>$1 million in limited grant funds available on a small number of schools, with the following eligibility criteria:</w:t>
      </w:r>
    </w:p>
    <w:p w:rsidR="005D333D" w:rsidP="00B52DB3" w:rsidRDefault="005D333D" w14:paraId="0C1C15FE" w14:textId="6B5333C8">
      <w:pPr>
        <w:pStyle w:val="Standard"/>
        <w:numPr>
          <w:ilvl w:val="0"/>
          <w:numId w:val="22"/>
        </w:numPr>
        <w:spacing w:after="120" w:line="240" w:lineRule="auto"/>
        <w:ind w:right="1440"/>
      </w:pPr>
      <w:r>
        <w:t>Grants are limited to serving rural low-income small</w:t>
      </w:r>
      <w:r w:rsidR="002653AB">
        <w:t xml:space="preserve"> </w:t>
      </w:r>
      <w:r>
        <w:t>school districts;</w:t>
      </w:r>
    </w:p>
    <w:p w:rsidR="005D333D" w:rsidP="00B52DB3" w:rsidRDefault="005D333D" w14:paraId="69899BFB" w14:textId="61669F12">
      <w:pPr>
        <w:pStyle w:val="Standard"/>
        <w:numPr>
          <w:ilvl w:val="0"/>
          <w:numId w:val="22"/>
        </w:numPr>
        <w:spacing w:after="120" w:line="240" w:lineRule="auto"/>
        <w:ind w:right="1440"/>
      </w:pPr>
      <w:r>
        <w:t>The beneficiary school must be in a small rural school</w:t>
      </w:r>
      <w:r w:rsidR="002653AB">
        <w:t xml:space="preserve"> </w:t>
      </w:r>
      <w:r>
        <w:t>district, as identified by the California Department of</w:t>
      </w:r>
      <w:r w:rsidR="002653AB">
        <w:t xml:space="preserve"> </w:t>
      </w:r>
      <w:r>
        <w:t>Education;</w:t>
      </w:r>
    </w:p>
    <w:p w:rsidR="005D333D" w:rsidP="00B52DB3" w:rsidRDefault="005D333D" w14:paraId="18606DFC" w14:textId="3B7EAC1C">
      <w:pPr>
        <w:pStyle w:val="Standard"/>
        <w:numPr>
          <w:ilvl w:val="0"/>
          <w:numId w:val="22"/>
        </w:numPr>
        <w:spacing w:after="120" w:line="240" w:lineRule="auto"/>
        <w:ind w:right="1440"/>
      </w:pPr>
      <w:r>
        <w:t>The beneficiary school must have a free lunch participation</w:t>
      </w:r>
      <w:r w:rsidR="002653AB">
        <w:t xml:space="preserve"> </w:t>
      </w:r>
      <w:r>
        <w:t>rate of at least 25 percent or greater;</w:t>
      </w:r>
    </w:p>
    <w:p w:rsidR="005D333D" w:rsidP="00B52DB3" w:rsidRDefault="005D333D" w14:paraId="61CED300" w14:textId="0D3808B3">
      <w:pPr>
        <w:pStyle w:val="Standard"/>
        <w:numPr>
          <w:ilvl w:val="0"/>
          <w:numId w:val="22"/>
        </w:numPr>
        <w:spacing w:after="120" w:line="240" w:lineRule="auto"/>
        <w:ind w:right="1440"/>
      </w:pPr>
      <w:r>
        <w:t>The grant recipient must be a Community Based</w:t>
      </w:r>
      <w:r w:rsidR="002653AB">
        <w:t xml:space="preserve"> </w:t>
      </w:r>
      <w:r>
        <w:t>Organization (CBO) 501c3 non-profit with a demonstrated</w:t>
      </w:r>
      <w:r w:rsidR="002653AB">
        <w:t xml:space="preserve"> </w:t>
      </w:r>
      <w:r>
        <w:t>record of work to address the digital divide;</w:t>
      </w:r>
    </w:p>
    <w:p w:rsidR="005D333D" w:rsidP="00B52DB3" w:rsidRDefault="005D333D" w14:paraId="44B6818F" w14:textId="4A4197EF">
      <w:pPr>
        <w:pStyle w:val="Standard"/>
        <w:numPr>
          <w:ilvl w:val="0"/>
          <w:numId w:val="22"/>
        </w:numPr>
        <w:spacing w:after="120" w:line="240" w:lineRule="auto"/>
        <w:ind w:right="1440"/>
      </w:pPr>
      <w:r>
        <w:t>CBO administrative expenses are limited to no more than</w:t>
      </w:r>
      <w:r w:rsidR="002653AB">
        <w:t xml:space="preserve"> </w:t>
      </w:r>
      <w:r>
        <w:t>five percent of the grant amount;</w:t>
      </w:r>
    </w:p>
    <w:p w:rsidR="008A0B48" w:rsidP="00B52DB3" w:rsidRDefault="005D333D" w14:paraId="3574E78B" w14:textId="3D43D82A">
      <w:pPr>
        <w:pStyle w:val="Standard"/>
        <w:numPr>
          <w:ilvl w:val="0"/>
          <w:numId w:val="22"/>
        </w:numPr>
        <w:spacing w:after="120" w:line="240" w:lineRule="auto"/>
        <w:ind w:right="1440"/>
      </w:pPr>
      <w:r>
        <w:t>Grants must provide a holistic solution including, but not</w:t>
      </w:r>
      <w:r w:rsidR="002653AB">
        <w:t xml:space="preserve"> </w:t>
      </w:r>
      <w:r>
        <w:t>limited, to:</w:t>
      </w:r>
    </w:p>
    <w:p w:rsidRPr="00CD142B" w:rsidR="002653AB" w:rsidP="00D104FA" w:rsidRDefault="005D333D" w14:paraId="0A45DE7F" w14:textId="77777777">
      <w:pPr>
        <w:pStyle w:val="Standard"/>
        <w:numPr>
          <w:ilvl w:val="0"/>
          <w:numId w:val="22"/>
        </w:numPr>
        <w:spacing w:after="120" w:line="240" w:lineRule="auto"/>
        <w:ind w:left="1440" w:right="1440"/>
      </w:pPr>
      <w:r w:rsidRPr="00CD142B">
        <w:t>Student home broadband connection;</w:t>
      </w:r>
    </w:p>
    <w:p w:rsidRPr="00CD142B" w:rsidR="002653AB" w:rsidP="00D104FA" w:rsidRDefault="005D333D" w14:paraId="58105FCF" w14:textId="77777777">
      <w:pPr>
        <w:pStyle w:val="Standard"/>
        <w:numPr>
          <w:ilvl w:val="0"/>
          <w:numId w:val="22"/>
        </w:numPr>
        <w:spacing w:after="120" w:line="240" w:lineRule="auto"/>
        <w:ind w:left="1440" w:right="1440"/>
      </w:pPr>
      <w:r w:rsidRPr="00CD142B">
        <w:t>Student required hardware including laptop, Chromebook and/or hotspots;</w:t>
      </w:r>
    </w:p>
    <w:p w:rsidR="00DC7406" w:rsidP="00D104FA" w:rsidRDefault="005D333D" w14:paraId="68CA6174" w14:textId="77777777">
      <w:pPr>
        <w:pStyle w:val="Standard"/>
        <w:numPr>
          <w:ilvl w:val="0"/>
          <w:numId w:val="22"/>
        </w:numPr>
        <w:spacing w:after="120" w:line="240" w:lineRule="auto"/>
        <w:ind w:left="1440" w:right="1440"/>
      </w:pPr>
      <w:r w:rsidRPr="00CD142B">
        <w:t>Student curriculum focused on the use of technology;</w:t>
      </w:r>
      <w:r w:rsidRPr="00CD142B" w:rsidR="002653AB">
        <w:t xml:space="preserve"> </w:t>
      </w:r>
    </w:p>
    <w:p w:rsidRPr="00CD142B" w:rsidR="002653AB" w:rsidP="00D104FA" w:rsidRDefault="005D333D" w14:paraId="638DAC0E" w14:textId="4BFDF5C5">
      <w:pPr>
        <w:pStyle w:val="Standard"/>
        <w:numPr>
          <w:ilvl w:val="0"/>
          <w:numId w:val="22"/>
        </w:numPr>
        <w:spacing w:after="120" w:line="240" w:lineRule="auto"/>
        <w:ind w:left="1440" w:right="1440"/>
      </w:pPr>
      <w:r w:rsidRPr="00CD142B">
        <w:t>Software to enable distance learning for student and teacher; and</w:t>
      </w:r>
    </w:p>
    <w:p w:rsidRPr="00CD142B" w:rsidR="005D333D" w:rsidP="00BF3B01" w:rsidRDefault="005D333D" w14:paraId="4ED674B8" w14:textId="249E2F6A">
      <w:pPr>
        <w:pStyle w:val="Standard"/>
        <w:numPr>
          <w:ilvl w:val="0"/>
          <w:numId w:val="22"/>
        </w:numPr>
        <w:spacing w:after="120" w:line="240" w:lineRule="auto"/>
        <w:ind w:left="1440" w:right="1440"/>
      </w:pPr>
      <w:r w:rsidRPr="00CD142B">
        <w:lastRenderedPageBreak/>
        <w:t>Training for teachers in the use of technology for distance learning;</w:t>
      </w:r>
    </w:p>
    <w:p w:rsidR="002653AB" w:rsidP="00B52DB3" w:rsidRDefault="002653AB" w14:paraId="5E50B253" w14:textId="77777777">
      <w:pPr>
        <w:pStyle w:val="Standard"/>
        <w:numPr>
          <w:ilvl w:val="0"/>
          <w:numId w:val="24"/>
        </w:numPr>
        <w:spacing w:after="120" w:line="240" w:lineRule="auto"/>
        <w:ind w:right="1440"/>
      </w:pPr>
      <w:r>
        <w:t>The term of the project is limited to one school year;</w:t>
      </w:r>
    </w:p>
    <w:p w:rsidR="002653AB" w:rsidP="00B52DB3" w:rsidRDefault="002653AB" w14:paraId="2E582D7F" w14:textId="77777777">
      <w:pPr>
        <w:pStyle w:val="Standard"/>
        <w:numPr>
          <w:ilvl w:val="0"/>
          <w:numId w:val="24"/>
        </w:numPr>
        <w:spacing w:after="120" w:line="240" w:lineRule="auto"/>
        <w:ind w:right="1440"/>
      </w:pPr>
      <w:r>
        <w:t>Ongoing subsidies for CTF eligible services may be available for the participating school and student; and</w:t>
      </w:r>
    </w:p>
    <w:p w:rsidR="005D333D" w:rsidP="00B52DB3" w:rsidRDefault="002653AB" w14:paraId="14A12C41" w14:textId="5D39B768">
      <w:pPr>
        <w:pStyle w:val="Standard"/>
        <w:numPr>
          <w:ilvl w:val="0"/>
          <w:numId w:val="24"/>
        </w:numPr>
        <w:spacing w:after="120" w:line="240" w:lineRule="auto"/>
        <w:ind w:right="1440"/>
      </w:pPr>
      <w:r>
        <w:t>Grant amounts do not exceed $250,000 per pilot project.</w:t>
      </w:r>
    </w:p>
    <w:p w:rsidR="008A0B48" w:rsidP="00B52DB3" w:rsidRDefault="00905022" w14:paraId="60E383AE" w14:textId="24E078C2">
      <w:pPr>
        <w:pStyle w:val="Heading2"/>
        <w:tabs>
          <w:tab w:val="clear" w:pos="1080"/>
        </w:tabs>
        <w:ind w:left="1440"/>
      </w:pPr>
      <w:bookmarkStart w:name="_Toc81913479" w:id="20"/>
      <w:r>
        <w:t>5.1</w:t>
      </w:r>
      <w:r w:rsidR="00B52DB3">
        <w:tab/>
      </w:r>
      <w:r w:rsidR="008A0B48">
        <w:t>Part</w:t>
      </w:r>
      <w:r w:rsidR="00387D6A">
        <w:t>y Positions</w:t>
      </w:r>
      <w:bookmarkEnd w:id="20"/>
    </w:p>
    <w:p w:rsidR="003930E9" w:rsidP="003930E9" w:rsidRDefault="003934C8" w14:paraId="14B2FA8E" w14:textId="3D63C172">
      <w:pPr>
        <w:pStyle w:val="Standard"/>
      </w:pPr>
      <w:r>
        <w:t>In general, m</w:t>
      </w:r>
      <w:r w:rsidR="00A70456">
        <w:t>ost parties</w:t>
      </w:r>
      <w:r w:rsidR="0070623B">
        <w:t xml:space="preserve"> filing comments</w:t>
      </w:r>
      <w:r w:rsidR="00A70456">
        <w:t xml:space="preserve"> </w:t>
      </w:r>
      <w:r w:rsidR="0070623B">
        <w:t>s</w:t>
      </w:r>
      <w:r w:rsidR="00B526B2">
        <w:t>upport the propos</w:t>
      </w:r>
      <w:r w:rsidR="00D36D00">
        <w:t>ed</w:t>
      </w:r>
      <w:r w:rsidR="0070623B">
        <w:t xml:space="preserve"> </w:t>
      </w:r>
      <w:r w:rsidR="00FC435C">
        <w:t>criteria</w:t>
      </w:r>
      <w:r w:rsidR="00B526B2">
        <w:t xml:space="preserve">, </w:t>
      </w:r>
      <w:r w:rsidR="003930E9">
        <w:t xml:space="preserve">though most </w:t>
      </w:r>
      <w:r w:rsidR="0070623B">
        <w:t>also assert the Commission should</w:t>
      </w:r>
      <w:r w:rsidR="003930E9">
        <w:t xml:space="preserve"> broaden eligible grantees</w:t>
      </w:r>
      <w:r w:rsidR="00E76C5F">
        <w:t xml:space="preserve"> to </w:t>
      </w:r>
      <w:r w:rsidR="003930E9">
        <w:t xml:space="preserve">beyond just </w:t>
      </w:r>
      <w:r w:rsidRPr="00B526B2" w:rsidR="00B526B2">
        <w:t>rural</w:t>
      </w:r>
      <w:r w:rsidR="00825E49">
        <w:t>,</w:t>
      </w:r>
      <w:r w:rsidRPr="00B526B2" w:rsidR="00B526B2">
        <w:t xml:space="preserve"> low-income small school districts</w:t>
      </w:r>
      <w:r w:rsidR="00B526B2">
        <w:t xml:space="preserve">.  </w:t>
      </w:r>
      <w:r w:rsidR="003930E9">
        <w:t xml:space="preserve">Some parties also support increasing the limit on administrative expenses to more than the proposed five percent. </w:t>
      </w:r>
      <w:r w:rsidR="00D62726">
        <w:t xml:space="preserve"> Parties also propose other modifications.</w:t>
      </w:r>
    </w:p>
    <w:p w:rsidRPr="00104733" w:rsidR="00421E1D" w:rsidP="00421E1D" w:rsidRDefault="00B526B2" w14:paraId="14B10C94" w14:textId="0FF0AEEC">
      <w:pPr>
        <w:pStyle w:val="Standard"/>
      </w:pPr>
      <w:r>
        <w:t xml:space="preserve">AARP, </w:t>
      </w:r>
      <w:r w:rsidR="00BB7263">
        <w:t>Joint ILECs</w:t>
      </w:r>
      <w:r>
        <w:t xml:space="preserve">, </w:t>
      </w:r>
      <w:r w:rsidR="00261858">
        <w:t xml:space="preserve">NDC, UCAN, </w:t>
      </w:r>
      <w:r w:rsidR="00980FDA">
        <w:t xml:space="preserve">CETF, CENIC, CWA, </w:t>
      </w:r>
      <w:r w:rsidR="003930E9">
        <w:t xml:space="preserve">and </w:t>
      </w:r>
      <w:proofErr w:type="spellStart"/>
      <w:r>
        <w:t>CforAT</w:t>
      </w:r>
      <w:proofErr w:type="spellEnd"/>
      <w:r w:rsidR="00BB7263">
        <w:t xml:space="preserve"> all argue that</w:t>
      </w:r>
      <w:r w:rsidRPr="0082092D" w:rsidR="0082092D">
        <w:t xml:space="preserve"> </w:t>
      </w:r>
      <w:r w:rsidR="00BB7263">
        <w:t>u</w:t>
      </w:r>
      <w:r w:rsidRPr="0062589D" w:rsidR="0082092D">
        <w:t xml:space="preserve">rban schools </w:t>
      </w:r>
      <w:r w:rsidR="0070623B">
        <w:t xml:space="preserve">also </w:t>
      </w:r>
      <w:r w:rsidRPr="0062589D" w:rsidR="0082092D">
        <w:t>should</w:t>
      </w:r>
      <w:r w:rsidR="00BB7263">
        <w:t xml:space="preserve"> </w:t>
      </w:r>
      <w:r w:rsidR="003930E9">
        <w:t>benefi</w:t>
      </w:r>
      <w:r w:rsidR="0070623B">
        <w:t>t from</w:t>
      </w:r>
      <w:r w:rsidR="003930E9">
        <w:t xml:space="preserve"> </w:t>
      </w:r>
      <w:r w:rsidR="00BB7263">
        <w:t xml:space="preserve">the </w:t>
      </w:r>
      <w:r w:rsidRPr="006C08C2" w:rsidR="003930E9">
        <w:t xml:space="preserve">Digital Divide Account </w:t>
      </w:r>
      <w:r w:rsidR="00BB7263">
        <w:t xml:space="preserve">grant program, because </w:t>
      </w:r>
      <w:r w:rsidR="00261858">
        <w:t>students in u</w:t>
      </w:r>
      <w:r w:rsidRPr="0062589D" w:rsidR="00261858">
        <w:t xml:space="preserve">rban </w:t>
      </w:r>
      <w:r w:rsidR="00261858">
        <w:t>areas are</w:t>
      </w:r>
      <w:r w:rsidRPr="0062589D" w:rsidR="00261858">
        <w:t xml:space="preserve"> affected in pockets by the same </w:t>
      </w:r>
      <w:r w:rsidR="00261858">
        <w:t xml:space="preserve">broadband access </w:t>
      </w:r>
      <w:r w:rsidRPr="0062589D" w:rsidR="00261858">
        <w:t xml:space="preserve">problems </w:t>
      </w:r>
      <w:r w:rsidRPr="0062589D" w:rsidR="0082092D">
        <w:t xml:space="preserve">as </w:t>
      </w:r>
      <w:r w:rsidR="00261858">
        <w:t xml:space="preserve">students in </w:t>
      </w:r>
      <w:r w:rsidRPr="0062589D" w:rsidR="0082092D">
        <w:t>rural</w:t>
      </w:r>
      <w:r w:rsidR="00261858">
        <w:t xml:space="preserve"> areas</w:t>
      </w:r>
      <w:r w:rsidR="00D62726">
        <w:t>.  Further, these parties argue t</w:t>
      </w:r>
      <w:r w:rsidR="00261858">
        <w:t>hat excluding urban schools</w:t>
      </w:r>
      <w:r w:rsidR="00D62726">
        <w:t xml:space="preserve"> </w:t>
      </w:r>
      <w:r w:rsidR="00980FDA">
        <w:t xml:space="preserve">would </w:t>
      </w:r>
      <w:r w:rsidR="00D62726">
        <w:t>not comply with the requirement in</w:t>
      </w:r>
      <w:r w:rsidR="00261858">
        <w:t xml:space="preserve"> statute </w:t>
      </w:r>
      <w:r w:rsidR="00D62726">
        <w:t xml:space="preserve">to </w:t>
      </w:r>
      <w:r w:rsidRPr="0062589D" w:rsidR="0082092D">
        <w:t>disbur</w:t>
      </w:r>
      <w:r w:rsidR="00D62726">
        <w:t>se</w:t>
      </w:r>
      <w:r w:rsidRPr="0062589D" w:rsidR="0082092D">
        <w:t xml:space="preserve"> the funds widely. </w:t>
      </w:r>
      <w:r w:rsidR="003930E9">
        <w:t xml:space="preserve"> </w:t>
      </w:r>
      <w:r w:rsidRPr="00104733" w:rsidR="00421E1D">
        <w:t>TURN</w:t>
      </w:r>
      <w:r w:rsidR="00421E1D">
        <w:t xml:space="preserve"> asserts using </w:t>
      </w:r>
      <w:r w:rsidR="00656244">
        <w:t xml:space="preserve">increasing the </w:t>
      </w:r>
      <w:r w:rsidRPr="00421E1D" w:rsidR="00421E1D">
        <w:t xml:space="preserve">free lunch participation rate </w:t>
      </w:r>
      <w:r w:rsidR="00656244">
        <w:t xml:space="preserve">from </w:t>
      </w:r>
      <w:r w:rsidRPr="00421E1D" w:rsidR="00421E1D">
        <w:t xml:space="preserve">at least 25 percent </w:t>
      </w:r>
      <w:r w:rsidR="00656244">
        <w:t xml:space="preserve">to at least </w:t>
      </w:r>
      <w:r w:rsidR="00B52DB3">
        <w:br/>
      </w:r>
      <w:r w:rsidR="00656244">
        <w:t xml:space="preserve">50 percent </w:t>
      </w:r>
      <w:r w:rsidRPr="00104733" w:rsidR="00421E1D">
        <w:t xml:space="preserve">would </w:t>
      </w:r>
      <w:r w:rsidR="00656244">
        <w:t xml:space="preserve">focus spending on schools with </w:t>
      </w:r>
      <w:r w:rsidRPr="00104733" w:rsidR="00421E1D">
        <w:t>the neediest students.</w:t>
      </w:r>
      <w:r w:rsidR="00421E1D">
        <w:t xml:space="preserve">  </w:t>
      </w:r>
      <w:r w:rsidRPr="0082092D" w:rsidR="0082092D">
        <w:t xml:space="preserve">CETF </w:t>
      </w:r>
      <w:r w:rsidR="00BB7263">
        <w:t xml:space="preserve">asks the Commission to define </w:t>
      </w:r>
      <w:r w:rsidR="00F03460">
        <w:t xml:space="preserve">the term </w:t>
      </w:r>
      <w:r w:rsidR="00BB7263">
        <w:t>“</w:t>
      </w:r>
      <w:r w:rsidRPr="00F03460" w:rsidR="00F03460">
        <w:t>rural low-income small school district</w:t>
      </w:r>
      <w:r w:rsidR="00F03460">
        <w:t>.</w:t>
      </w:r>
      <w:r w:rsidR="0082092D">
        <w:t xml:space="preserve">” </w:t>
      </w:r>
      <w:r w:rsidRPr="0082092D" w:rsidR="0082092D">
        <w:t xml:space="preserve"> </w:t>
      </w:r>
      <w:r w:rsidR="0082092D">
        <w:t xml:space="preserve"> </w:t>
      </w:r>
    </w:p>
    <w:p w:rsidR="00B41A3D" w:rsidP="00B41A3D" w:rsidRDefault="00F03460" w14:paraId="304B8555" w14:textId="6A1DFDBC">
      <w:pPr>
        <w:pStyle w:val="Standard"/>
      </w:pPr>
      <w:r>
        <w:t>Several parties suggest additions or other changes to the criteria.</w:t>
      </w:r>
      <w:r w:rsidR="00656244">
        <w:t xml:space="preserve">  </w:t>
      </w:r>
      <w:proofErr w:type="spellStart"/>
      <w:r w:rsidR="00B41A3D">
        <w:t>Cf</w:t>
      </w:r>
      <w:r w:rsidR="6F0F1560">
        <w:t>or</w:t>
      </w:r>
      <w:r w:rsidR="00B41A3D">
        <w:t>AT</w:t>
      </w:r>
      <w:proofErr w:type="spellEnd"/>
      <w:r w:rsidRPr="0062589D" w:rsidR="00B41A3D">
        <w:t xml:space="preserve"> </w:t>
      </w:r>
      <w:r w:rsidR="00B41A3D">
        <w:t>asks the Commission to clarify that o</w:t>
      </w:r>
      <w:r w:rsidRPr="0062589D" w:rsidR="00B41A3D">
        <w:t xml:space="preserve">ne </w:t>
      </w:r>
      <w:r w:rsidR="00B41A3D">
        <w:t>y</w:t>
      </w:r>
      <w:r w:rsidRPr="0062589D" w:rsidR="00B41A3D">
        <w:t xml:space="preserve">ear for the program </w:t>
      </w:r>
      <w:r w:rsidR="55138012">
        <w:t>means one</w:t>
      </w:r>
      <w:r w:rsidRPr="0062589D" w:rsidR="00B41A3D">
        <w:t xml:space="preserve"> calendar year</w:t>
      </w:r>
      <w:r w:rsidR="00AC1FED">
        <w:t>.</w:t>
      </w:r>
      <w:r w:rsidR="00656244">
        <w:t xml:space="preserve">  </w:t>
      </w:r>
      <w:r w:rsidRPr="00104733" w:rsidR="00421E1D">
        <w:t xml:space="preserve">Small LECs suggest that </w:t>
      </w:r>
      <w:r w:rsidR="00421E1D">
        <w:t xml:space="preserve">the Commission require applicants submit a detailed </w:t>
      </w:r>
      <w:r w:rsidRPr="00104733" w:rsidR="00421E1D">
        <w:t>budget.</w:t>
      </w:r>
      <w:r w:rsidR="00656244">
        <w:t xml:space="preserve">  </w:t>
      </w:r>
      <w:r w:rsidRPr="0062589D" w:rsidR="00B41A3D">
        <w:t>CTIA </w:t>
      </w:r>
      <w:r w:rsidR="00B41A3D">
        <w:t xml:space="preserve">encourages the Commission to award grants on a </w:t>
      </w:r>
      <w:r w:rsidRPr="0062589D" w:rsidR="00B41A3D">
        <w:t>competitive</w:t>
      </w:r>
      <w:r w:rsidR="00B41A3D">
        <w:t xml:space="preserve"> basis an in a </w:t>
      </w:r>
      <w:r w:rsidRPr="0062589D" w:rsidR="00B41A3D">
        <w:t xml:space="preserve">technologically neutrally </w:t>
      </w:r>
      <w:r w:rsidR="00B41A3D">
        <w:t xml:space="preserve">manner </w:t>
      </w:r>
      <w:r w:rsidRPr="0062589D" w:rsidR="00B41A3D">
        <w:t xml:space="preserve">to allow </w:t>
      </w:r>
      <w:r w:rsidR="00B41A3D">
        <w:t xml:space="preserve">the inclusion of </w:t>
      </w:r>
      <w:r w:rsidRPr="0062589D" w:rsidR="00B41A3D">
        <w:t xml:space="preserve">mobile </w:t>
      </w:r>
      <w:r w:rsidR="00B41A3D">
        <w:t>broadband service</w:t>
      </w:r>
      <w:r w:rsidRPr="0062589D" w:rsidR="00B41A3D">
        <w:t>.</w:t>
      </w:r>
    </w:p>
    <w:p w:rsidR="00BF39FE" w:rsidP="0062589D" w:rsidRDefault="00F03460" w14:paraId="68D36A22" w14:textId="281A6AC7">
      <w:pPr>
        <w:pStyle w:val="Standard"/>
      </w:pPr>
      <w:r>
        <w:lastRenderedPageBreak/>
        <w:t xml:space="preserve">CETF </w:t>
      </w:r>
      <w:r w:rsidR="00862E91">
        <w:t xml:space="preserve">supports other specific </w:t>
      </w:r>
      <w:r w:rsidRPr="0062589D" w:rsidR="0062589D">
        <w:t xml:space="preserve">requirements </w:t>
      </w:r>
      <w:r w:rsidR="00862E91">
        <w:t xml:space="preserve">it asserts will lead to more </w:t>
      </w:r>
      <w:r w:rsidRPr="0062589D" w:rsidR="0062589D">
        <w:t>holistic solutions</w:t>
      </w:r>
      <w:r w:rsidR="00862E91">
        <w:t>, including:</w:t>
      </w:r>
      <w:r w:rsidR="00B52DB3">
        <w:t xml:space="preserve"> </w:t>
      </w:r>
      <w:r w:rsidR="00862E91">
        <w:t xml:space="preserve"> 1) asking the Commission’s Communication Division staff to determine which communities have </w:t>
      </w:r>
      <w:r w:rsidRPr="0062589D" w:rsidR="0062589D">
        <w:t>adequate service</w:t>
      </w:r>
      <w:r w:rsidR="00862E91">
        <w:t xml:space="preserve">; </w:t>
      </w:r>
      <w:r w:rsidR="00B52DB3">
        <w:br/>
      </w:r>
      <w:r w:rsidR="00862E91">
        <w:t xml:space="preserve">2) expanding eligibility to </w:t>
      </w:r>
      <w:r w:rsidRPr="0062589D" w:rsidR="0062589D">
        <w:t>libraries</w:t>
      </w:r>
      <w:r w:rsidR="00862E91">
        <w:t xml:space="preserve">; </w:t>
      </w:r>
      <w:r w:rsidR="00B41A3D">
        <w:t xml:space="preserve">and </w:t>
      </w:r>
      <w:r w:rsidR="00862E91">
        <w:t xml:space="preserve">3) requiring grantees to </w:t>
      </w:r>
      <w:r w:rsidRPr="0062589D" w:rsidR="0062589D">
        <w:t xml:space="preserve">count users.  </w:t>
      </w:r>
    </w:p>
    <w:p w:rsidR="00421E1D" w:rsidP="00421E1D" w:rsidRDefault="00B41A3D" w14:paraId="03F8204F" w14:textId="187F1B2E">
      <w:pPr>
        <w:pStyle w:val="Standard"/>
      </w:pPr>
      <w:r w:rsidRPr="00104733">
        <w:t xml:space="preserve">NDC </w:t>
      </w:r>
      <w:r>
        <w:t xml:space="preserve">and the Small LECs recommend that the Commission clarify that the list of </w:t>
      </w:r>
      <w:r w:rsidR="00AC1FED">
        <w:t>activities to be funded “</w:t>
      </w:r>
      <w:r w:rsidRPr="00AC1FED" w:rsidR="00AC1FED">
        <w:t>holistic solution</w:t>
      </w:r>
      <w:r w:rsidR="00AC1FED">
        <w:t>s” are the</w:t>
      </w:r>
      <w:r>
        <w:t xml:space="preserve"> </w:t>
      </w:r>
      <w:r w:rsidRPr="00104733">
        <w:t>types of activities</w:t>
      </w:r>
      <w:r w:rsidR="00AC1FED">
        <w:t xml:space="preserve"> the program may allow, and not a </w:t>
      </w:r>
      <w:r>
        <w:t>requir</w:t>
      </w:r>
      <w:r w:rsidR="00AC1FED">
        <w:t xml:space="preserve">ement to </w:t>
      </w:r>
      <w:r>
        <w:t xml:space="preserve">offer </w:t>
      </w:r>
      <w:r w:rsidRPr="00104733">
        <w:t xml:space="preserve">every </w:t>
      </w:r>
      <w:r w:rsidR="00AC1FED">
        <w:t xml:space="preserve">solution. </w:t>
      </w:r>
      <w:r w:rsidR="00B52DB3">
        <w:t xml:space="preserve"> </w:t>
      </w:r>
      <w:r w:rsidR="00DB59BF">
        <w:t xml:space="preserve">Additionally, </w:t>
      </w:r>
      <w:r w:rsidR="004661FE">
        <w:t xml:space="preserve">NDC recommends that the Commission </w:t>
      </w:r>
      <w:r w:rsidR="00421E1D">
        <w:t xml:space="preserve">broaden its view of fundable </w:t>
      </w:r>
      <w:r w:rsidR="004661FE">
        <w:t>t</w:t>
      </w:r>
      <w:r w:rsidRPr="00104733" w:rsidR="00104733">
        <w:t xml:space="preserve">raining </w:t>
      </w:r>
      <w:r w:rsidR="00421E1D">
        <w:t xml:space="preserve">activities to beyond just training on </w:t>
      </w:r>
      <w:r w:rsidRPr="00104733" w:rsidR="00104733">
        <w:t xml:space="preserve">specific hardware.  </w:t>
      </w:r>
      <w:r w:rsidRPr="00104733" w:rsidR="00421E1D">
        <w:t>UCAN</w:t>
      </w:r>
      <w:r w:rsidR="00421E1D">
        <w:t xml:space="preserve"> recommends the Commission not use these funds </w:t>
      </w:r>
      <w:r w:rsidRPr="00104733" w:rsidR="00421E1D">
        <w:t>towards training teachers</w:t>
      </w:r>
      <w:r w:rsidR="00421E1D">
        <w:t xml:space="preserve">, that the training </w:t>
      </w:r>
      <w:r w:rsidR="088A602A">
        <w:t xml:space="preserve">instead </w:t>
      </w:r>
      <w:r w:rsidR="00421E1D">
        <w:t xml:space="preserve">be </w:t>
      </w:r>
      <w:r w:rsidRPr="00104733" w:rsidR="00421E1D">
        <w:t>for parents and households. </w:t>
      </w:r>
    </w:p>
    <w:p w:rsidRPr="0070623B" w:rsidR="0070623B" w:rsidP="00AC1FED" w:rsidRDefault="00BF39FE" w14:paraId="10764A59" w14:textId="5903FC78">
      <w:pPr>
        <w:pStyle w:val="Standard"/>
      </w:pPr>
      <w:r>
        <w:t xml:space="preserve">CETF and UCAN urge the Commission </w:t>
      </w:r>
      <w:r w:rsidR="43B59627">
        <w:t xml:space="preserve">to </w:t>
      </w:r>
      <w:r>
        <w:t>require matching funds</w:t>
      </w:r>
      <w:r w:rsidRPr="00104733" w:rsidR="00104733">
        <w:t xml:space="preserve">.  </w:t>
      </w:r>
      <w:r w:rsidR="00AC1FED">
        <w:t xml:space="preserve">NDC, UNCAN and CETF support increasing the cap on administrative expenses, with UCAN proposing a percent in the range of ten to fifteen percent and CETF proposing </w:t>
      </w:r>
      <w:r w:rsidRPr="0070623B" w:rsidR="0070623B">
        <w:t xml:space="preserve">eight to twelve percent. </w:t>
      </w:r>
    </w:p>
    <w:p w:rsidR="008A0B48" w:rsidP="00B52DB3" w:rsidRDefault="00905022" w14:paraId="0868E500" w14:textId="1086393C">
      <w:pPr>
        <w:pStyle w:val="Heading2"/>
        <w:tabs>
          <w:tab w:val="clear" w:pos="1080"/>
        </w:tabs>
        <w:ind w:left="1440"/>
      </w:pPr>
      <w:bookmarkStart w:name="_Toc81913480" w:id="21"/>
      <w:r>
        <w:t>5.2</w:t>
      </w:r>
      <w:r w:rsidR="00B52DB3">
        <w:tab/>
      </w:r>
      <w:r w:rsidR="008A0B48">
        <w:t>Discussion</w:t>
      </w:r>
      <w:bookmarkEnd w:id="21"/>
      <w:r w:rsidR="008A0B48">
        <w:t xml:space="preserve"> </w:t>
      </w:r>
    </w:p>
    <w:p w:rsidR="00DC0C5F" w:rsidP="00031953" w:rsidRDefault="00031953" w14:paraId="6B17C4B4" w14:textId="2A3F091E">
      <w:pPr>
        <w:pStyle w:val="Standard"/>
      </w:pPr>
      <w:r>
        <w:t xml:space="preserve">We adopt </w:t>
      </w:r>
      <w:r w:rsidR="00DC0C5F">
        <w:t xml:space="preserve">the proposed requirements </w:t>
      </w:r>
      <w:r w:rsidR="00825E49">
        <w:t>for</w:t>
      </w:r>
      <w:r w:rsidR="00DC0C5F">
        <w:t xml:space="preserve"> the Digital Divide Account with some modifications. </w:t>
      </w:r>
    </w:p>
    <w:p w:rsidR="004661FE" w:rsidP="00031953" w:rsidRDefault="00031953" w14:paraId="5E5760A8" w14:textId="39B3D351">
      <w:pPr>
        <w:pStyle w:val="Standard"/>
      </w:pPr>
      <w:r>
        <w:t>The e</w:t>
      </w:r>
      <w:r w:rsidR="004661FE">
        <w:t xml:space="preserve">nabling statute directs Digital Divide Account funds be available for both rural and urban areas, </w:t>
      </w:r>
      <w:r w:rsidR="00DC0C5F">
        <w:t xml:space="preserve">thus </w:t>
      </w:r>
      <w:r w:rsidR="030598CE">
        <w:t xml:space="preserve">we </w:t>
      </w:r>
      <w:r w:rsidR="00DC0C5F">
        <w:t xml:space="preserve">modify the proposal to include urban schools.  </w:t>
      </w:r>
      <w:r w:rsidR="00280421">
        <w:t>Following the definitions used by the California Department of Education, w</w:t>
      </w:r>
      <w:r>
        <w:t xml:space="preserve">e intend to award </w:t>
      </w:r>
      <w:r w:rsidR="004661FE">
        <w:t xml:space="preserve">three projects for small, rural </w:t>
      </w:r>
      <w:r>
        <w:t xml:space="preserve">schools and one project for </w:t>
      </w:r>
      <w:r w:rsidR="004661FE">
        <w:t xml:space="preserve">urban </w:t>
      </w:r>
      <w:r>
        <w:t>because s</w:t>
      </w:r>
      <w:r w:rsidR="004661FE">
        <w:t>mall rural districts are at the greatest disadvantage</w:t>
      </w:r>
      <w:r>
        <w:t xml:space="preserve"> when it comes to obtaining funding. </w:t>
      </w:r>
      <w:r w:rsidR="004661FE">
        <w:t xml:space="preserve"> </w:t>
      </w:r>
      <w:r w:rsidR="00280421">
        <w:t xml:space="preserve">We also revise the criteria to increase the </w:t>
      </w:r>
      <w:r w:rsidRPr="00280421" w:rsidR="00280421">
        <w:t xml:space="preserve">free lunch participation rate </w:t>
      </w:r>
      <w:r w:rsidR="00280421">
        <w:t>from at least 25 percent to</w:t>
      </w:r>
      <w:r w:rsidRPr="00280421" w:rsidR="00280421">
        <w:t xml:space="preserve"> at least 50 percent</w:t>
      </w:r>
      <w:r w:rsidR="00280421">
        <w:t xml:space="preserve">, to allow increase the focus on benefiting schools in low-income communities. </w:t>
      </w:r>
    </w:p>
    <w:p w:rsidR="004661FE" w:rsidP="00786DAA" w:rsidRDefault="00786DAA" w14:paraId="51400BFA" w14:textId="4722A7C5">
      <w:pPr>
        <w:pStyle w:val="Standard"/>
      </w:pPr>
      <w:r>
        <w:lastRenderedPageBreak/>
        <w:t>For clarification purposes, we note that the rules we adopt allow for the funding of gr</w:t>
      </w:r>
      <w:r w:rsidRPr="00786DAA">
        <w:t xml:space="preserve">ants </w:t>
      </w:r>
      <w:r>
        <w:t>that “</w:t>
      </w:r>
      <w:r w:rsidRPr="00786DAA">
        <w:t>provide a holistic solution</w:t>
      </w:r>
      <w:r>
        <w:t>” but that the examples provided do not include all possible activities</w:t>
      </w:r>
      <w:r w:rsidR="004661FE">
        <w:t xml:space="preserve">.  </w:t>
      </w:r>
    </w:p>
    <w:p w:rsidR="004661FE" w:rsidP="004661FE" w:rsidRDefault="00656244" w14:paraId="4804DBBF" w14:textId="39F3E27D">
      <w:pPr>
        <w:pStyle w:val="Standard"/>
      </w:pPr>
      <w:r>
        <w:t>Finally,</w:t>
      </w:r>
      <w:r w:rsidR="00173667">
        <w:t xml:space="preserve"> </w:t>
      </w:r>
      <w:r w:rsidR="00A155F2">
        <w:t xml:space="preserve">we adopt a 10 percent </w:t>
      </w:r>
      <w:r w:rsidR="006978A4">
        <w:t xml:space="preserve">cap on administrative expenses associated with this grant.  As some parties note, </w:t>
      </w:r>
      <w:r w:rsidR="008F685B">
        <w:t xml:space="preserve">Pub. Util. Code </w:t>
      </w:r>
      <w:r w:rsidR="00185AC1">
        <w:t xml:space="preserve">Section </w:t>
      </w:r>
      <w:r w:rsidR="0098143C">
        <w:t>280.5(b)</w:t>
      </w:r>
      <w:r w:rsidR="008F685B">
        <w:t xml:space="preserve">, which mandates that </w:t>
      </w:r>
      <w:r w:rsidR="0098143C">
        <w:t>"Not more than 5 percent of the revenues</w:t>
      </w:r>
      <w:r w:rsidR="00CF1567">
        <w:t>…</w:t>
      </w:r>
      <w:r w:rsidR="0098143C">
        <w:t xml:space="preserve"> be used to pay the costs incurred in connection with the administration of digital divide pilot projects</w:t>
      </w:r>
      <w:r w:rsidR="00CF1567">
        <w:t>…</w:t>
      </w:r>
      <w:r w:rsidR="0098143C">
        <w:t>"</w:t>
      </w:r>
      <w:r w:rsidR="006978A4">
        <w:t xml:space="preserve"> appears to limit this Commission’s administrative expenses, not the administrative expenses this Commission imposes on grantees.</w:t>
      </w:r>
    </w:p>
    <w:p w:rsidR="005939A5" w:rsidP="004009A0" w:rsidRDefault="005939A5" w14:paraId="0F1B772A" w14:textId="4DE3F501">
      <w:pPr>
        <w:pStyle w:val="Heading1"/>
        <w:numPr>
          <w:ilvl w:val="0"/>
          <w:numId w:val="17"/>
        </w:numPr>
        <w:tabs>
          <w:tab w:val="left" w:pos="630"/>
        </w:tabs>
        <w:ind w:left="360"/>
      </w:pPr>
      <w:bookmarkStart w:name="_Toc8123723" w:id="22"/>
      <w:bookmarkStart w:name="_Toc81913481" w:id="23"/>
      <w:bookmarkEnd w:id="16"/>
      <w:r>
        <w:t>Comments on Proposed Decision</w:t>
      </w:r>
      <w:bookmarkEnd w:id="22"/>
      <w:bookmarkEnd w:id="23"/>
    </w:p>
    <w:p w:rsidR="006B1E3D" w:rsidP="00D104FA" w:rsidRDefault="005D0643" w14:paraId="20A679EE" w14:textId="14C179B1">
      <w:pPr>
        <w:pStyle w:val="ListParagraph"/>
        <w:tabs>
          <w:tab w:val="left" w:pos="9900"/>
        </w:tabs>
        <w:ind w:left="0"/>
      </w:pPr>
      <w:r w:rsidRPr="00671528">
        <w:t xml:space="preserve">The proposed decision of </w:t>
      </w:r>
      <w:r w:rsidR="00077828">
        <w:t>Commissioner Guzman Aceves</w:t>
      </w:r>
      <w:r w:rsidRPr="00671528">
        <w:t xml:space="preserve"> in this matter </w:t>
      </w:r>
      <w:r w:rsidR="00BF3B01">
        <w:br/>
      </w:r>
      <w:r w:rsidRPr="00671528">
        <w:t>was mailed to the parties in accordance with Section 311 of the Pub</w:t>
      </w:r>
      <w:r>
        <w:t xml:space="preserve">. Util. </w:t>
      </w:r>
      <w:r w:rsidRPr="00671528">
        <w:t>Code.  Comments allowed under Rule 14.3 of the Commission’s Rules of Practice and Procedure were filed on</w:t>
      </w:r>
      <w:r w:rsidR="006B1E3D">
        <w:t xml:space="preserve"> October 6, 2021 </w:t>
      </w:r>
      <w:r w:rsidRPr="0043497F">
        <w:t>by</w:t>
      </w:r>
      <w:r w:rsidR="006B1E3D">
        <w:t>:</w:t>
      </w:r>
    </w:p>
    <w:p w:rsidR="006B1E3D" w:rsidP="004009A0" w:rsidRDefault="006B1E3D" w14:paraId="2BE3CB65" w14:textId="77777777">
      <w:pPr>
        <w:pStyle w:val="ListParagraph"/>
        <w:numPr>
          <w:ilvl w:val="0"/>
          <w:numId w:val="32"/>
        </w:numPr>
        <w:tabs>
          <w:tab w:val="left" w:pos="9900"/>
        </w:tabs>
        <w:spacing w:after="120" w:line="240" w:lineRule="auto"/>
        <w:ind w:left="1080" w:right="1440"/>
        <w:contextualSpacing w:val="0"/>
      </w:pPr>
      <w:r>
        <w:t>PG&amp;E;</w:t>
      </w:r>
    </w:p>
    <w:p w:rsidR="006B1E3D" w:rsidP="004009A0" w:rsidRDefault="006B1E3D" w14:paraId="5CFEA5F3" w14:textId="77777777">
      <w:pPr>
        <w:pStyle w:val="ListParagraph"/>
        <w:numPr>
          <w:ilvl w:val="0"/>
          <w:numId w:val="32"/>
        </w:numPr>
        <w:tabs>
          <w:tab w:val="left" w:pos="9900"/>
        </w:tabs>
        <w:spacing w:after="120" w:line="240" w:lineRule="auto"/>
        <w:ind w:left="1080" w:right="1440"/>
        <w:contextualSpacing w:val="0"/>
      </w:pPr>
      <w:r>
        <w:t>The Small LECs;</w:t>
      </w:r>
    </w:p>
    <w:p w:rsidR="006B1E3D" w:rsidP="004009A0" w:rsidRDefault="006B1E3D" w14:paraId="30314753" w14:textId="77777777">
      <w:pPr>
        <w:pStyle w:val="ListParagraph"/>
        <w:numPr>
          <w:ilvl w:val="0"/>
          <w:numId w:val="32"/>
        </w:numPr>
        <w:tabs>
          <w:tab w:val="left" w:pos="9900"/>
        </w:tabs>
        <w:spacing w:after="120" w:line="240" w:lineRule="auto"/>
        <w:ind w:left="1080" w:right="1440"/>
        <w:contextualSpacing w:val="0"/>
      </w:pPr>
      <w:r>
        <w:t>The Yurok Tribe;</w:t>
      </w:r>
    </w:p>
    <w:p w:rsidR="006B1E3D" w:rsidP="004009A0" w:rsidRDefault="006B1E3D" w14:paraId="6D8A1224" w14:textId="77777777">
      <w:pPr>
        <w:pStyle w:val="ListParagraph"/>
        <w:numPr>
          <w:ilvl w:val="0"/>
          <w:numId w:val="32"/>
        </w:numPr>
        <w:tabs>
          <w:tab w:val="left" w:pos="9900"/>
        </w:tabs>
        <w:spacing w:after="120" w:line="240" w:lineRule="auto"/>
        <w:ind w:left="1080" w:right="1440"/>
        <w:contextualSpacing w:val="0"/>
      </w:pPr>
      <w:r>
        <w:t>UCAN;</w:t>
      </w:r>
    </w:p>
    <w:p w:rsidR="006B1E3D" w:rsidP="004009A0" w:rsidRDefault="006B1E3D" w14:paraId="64E6EADC" w14:textId="77777777">
      <w:pPr>
        <w:pStyle w:val="ListParagraph"/>
        <w:numPr>
          <w:ilvl w:val="0"/>
          <w:numId w:val="32"/>
        </w:numPr>
        <w:tabs>
          <w:tab w:val="left" w:pos="9900"/>
        </w:tabs>
        <w:spacing w:after="120" w:line="240" w:lineRule="auto"/>
        <w:ind w:left="1080" w:right="1440"/>
        <w:contextualSpacing w:val="0"/>
      </w:pPr>
      <w:r>
        <w:t>CTIA;</w:t>
      </w:r>
    </w:p>
    <w:p w:rsidR="006B1E3D" w:rsidP="004009A0" w:rsidRDefault="006B1E3D" w14:paraId="09CCD676" w14:textId="77777777">
      <w:pPr>
        <w:pStyle w:val="ListParagraph"/>
        <w:numPr>
          <w:ilvl w:val="0"/>
          <w:numId w:val="32"/>
        </w:numPr>
        <w:tabs>
          <w:tab w:val="left" w:pos="9900"/>
        </w:tabs>
        <w:spacing w:after="120" w:line="240" w:lineRule="auto"/>
        <w:ind w:left="1080" w:right="1440"/>
        <w:contextualSpacing w:val="0"/>
      </w:pPr>
      <w:r>
        <w:t>Verizon;</w:t>
      </w:r>
    </w:p>
    <w:p w:rsidR="006B1E3D" w:rsidP="004009A0" w:rsidRDefault="006B1E3D" w14:paraId="3111FDB6" w14:textId="74415F93">
      <w:pPr>
        <w:pStyle w:val="ListParagraph"/>
        <w:numPr>
          <w:ilvl w:val="0"/>
          <w:numId w:val="32"/>
        </w:numPr>
        <w:tabs>
          <w:tab w:val="left" w:pos="9900"/>
        </w:tabs>
        <w:spacing w:after="120" w:line="240" w:lineRule="auto"/>
        <w:ind w:left="1080" w:right="1440"/>
        <w:contextualSpacing w:val="0"/>
      </w:pPr>
      <w:r>
        <w:t>AT&amp;T California;</w:t>
      </w:r>
    </w:p>
    <w:p w:rsidR="006B1E3D" w:rsidP="004009A0" w:rsidRDefault="006B1E3D" w14:paraId="6DD966D5" w14:textId="22793189">
      <w:pPr>
        <w:pStyle w:val="ListParagraph"/>
        <w:numPr>
          <w:ilvl w:val="0"/>
          <w:numId w:val="32"/>
        </w:numPr>
        <w:tabs>
          <w:tab w:val="left" w:pos="9900"/>
        </w:tabs>
        <w:spacing w:after="120" w:line="240" w:lineRule="auto"/>
        <w:ind w:left="1080" w:right="1440"/>
        <w:contextualSpacing w:val="0"/>
      </w:pPr>
      <w:r>
        <w:t>NDC;</w:t>
      </w:r>
    </w:p>
    <w:p w:rsidR="006B1E3D" w:rsidP="004009A0" w:rsidRDefault="006B1E3D" w14:paraId="1A3EEF2F" w14:textId="77777777">
      <w:pPr>
        <w:pStyle w:val="ListParagraph"/>
        <w:numPr>
          <w:ilvl w:val="0"/>
          <w:numId w:val="32"/>
        </w:numPr>
        <w:tabs>
          <w:tab w:val="left" w:pos="9900"/>
        </w:tabs>
        <w:spacing w:after="120" w:line="240" w:lineRule="auto"/>
        <w:ind w:left="1080" w:right="1440"/>
        <w:contextualSpacing w:val="0"/>
      </w:pPr>
      <w:r>
        <w:t>SCE; and</w:t>
      </w:r>
    </w:p>
    <w:p w:rsidR="002172A2" w:rsidP="00D104FA" w:rsidRDefault="006B1E3D" w14:paraId="73C8D4D3" w14:textId="573405E3">
      <w:pPr>
        <w:pStyle w:val="ListParagraph"/>
        <w:numPr>
          <w:ilvl w:val="0"/>
          <w:numId w:val="32"/>
        </w:numPr>
        <w:tabs>
          <w:tab w:val="left" w:pos="9900"/>
        </w:tabs>
        <w:spacing w:after="120" w:line="240" w:lineRule="auto"/>
        <w:ind w:left="1080" w:right="1440"/>
        <w:contextualSpacing w:val="0"/>
      </w:pPr>
      <w:r>
        <w:t>SBUA.</w:t>
      </w:r>
    </w:p>
    <w:p w:rsidR="00D104FA" w:rsidP="00D104FA" w:rsidRDefault="00D104FA" w14:paraId="01D2A7E4" w14:textId="01A247DF">
      <w:pPr>
        <w:tabs>
          <w:tab w:val="left" w:pos="9900"/>
        </w:tabs>
        <w:spacing w:after="120" w:line="240" w:lineRule="auto"/>
        <w:ind w:right="1440"/>
      </w:pPr>
    </w:p>
    <w:p w:rsidR="00D104FA" w:rsidP="00D104FA" w:rsidRDefault="00D104FA" w14:paraId="49ABEF2F" w14:textId="6403A841">
      <w:pPr>
        <w:tabs>
          <w:tab w:val="left" w:pos="9900"/>
        </w:tabs>
        <w:spacing w:after="120" w:line="240" w:lineRule="auto"/>
        <w:ind w:right="1440"/>
      </w:pPr>
    </w:p>
    <w:p w:rsidR="00D104FA" w:rsidP="00D104FA" w:rsidRDefault="00D104FA" w14:paraId="7B5AA42B" w14:textId="77777777">
      <w:pPr>
        <w:tabs>
          <w:tab w:val="left" w:pos="9900"/>
        </w:tabs>
        <w:spacing w:after="120" w:line="240" w:lineRule="auto"/>
        <w:ind w:right="1440"/>
      </w:pPr>
    </w:p>
    <w:p w:rsidR="005D0643" w:rsidP="004009A0" w:rsidRDefault="006B1E3D" w14:paraId="425D47ED" w14:textId="34C13298">
      <w:pPr>
        <w:tabs>
          <w:tab w:val="left" w:pos="9900"/>
        </w:tabs>
        <w:ind w:left="720" w:firstLine="0"/>
      </w:pPr>
      <w:r>
        <w:lastRenderedPageBreak/>
        <w:t>On October 11, 2021, the following parties filed</w:t>
      </w:r>
      <w:r w:rsidRPr="0043497F" w:rsidR="005D0643">
        <w:t xml:space="preserve"> reply comments</w:t>
      </w:r>
      <w:r>
        <w:t>:</w:t>
      </w:r>
    </w:p>
    <w:p w:rsidR="006B1E3D" w:rsidP="004009A0" w:rsidRDefault="006B1E3D" w14:paraId="6A5340A8" w14:textId="6D8E8BE5">
      <w:pPr>
        <w:pStyle w:val="ListParagraph"/>
        <w:numPr>
          <w:ilvl w:val="0"/>
          <w:numId w:val="33"/>
        </w:numPr>
        <w:tabs>
          <w:tab w:val="left" w:pos="9900"/>
        </w:tabs>
        <w:spacing w:after="120" w:line="240" w:lineRule="auto"/>
        <w:ind w:left="1080" w:right="1440"/>
        <w:contextualSpacing w:val="0"/>
      </w:pPr>
      <w:r>
        <w:t>NDC;</w:t>
      </w:r>
    </w:p>
    <w:p w:rsidR="006B1E3D" w:rsidP="004009A0" w:rsidRDefault="006B1E3D" w14:paraId="1099C83B" w14:textId="2C598A04">
      <w:pPr>
        <w:pStyle w:val="ListParagraph"/>
        <w:numPr>
          <w:ilvl w:val="0"/>
          <w:numId w:val="33"/>
        </w:numPr>
        <w:tabs>
          <w:tab w:val="left" w:pos="9900"/>
        </w:tabs>
        <w:spacing w:after="120" w:line="240" w:lineRule="auto"/>
        <w:ind w:left="1080" w:right="1440"/>
        <w:contextualSpacing w:val="0"/>
      </w:pPr>
      <w:r>
        <w:t>CETF;</w:t>
      </w:r>
    </w:p>
    <w:p w:rsidR="006B1E3D" w:rsidP="004009A0" w:rsidRDefault="003517BE" w14:paraId="02107C6C" w14:textId="3BF3F8B8">
      <w:pPr>
        <w:pStyle w:val="ListParagraph"/>
        <w:numPr>
          <w:ilvl w:val="0"/>
          <w:numId w:val="33"/>
        </w:numPr>
        <w:tabs>
          <w:tab w:val="left" w:pos="9900"/>
        </w:tabs>
        <w:spacing w:after="120" w:line="240" w:lineRule="auto"/>
        <w:ind w:left="1080" w:right="1440"/>
        <w:contextualSpacing w:val="0"/>
      </w:pPr>
      <w:r>
        <w:t>SCE;</w:t>
      </w:r>
    </w:p>
    <w:p w:rsidR="003517BE" w:rsidP="004009A0" w:rsidRDefault="003517BE" w14:paraId="19997E64" w14:textId="6CF72811">
      <w:pPr>
        <w:pStyle w:val="ListParagraph"/>
        <w:numPr>
          <w:ilvl w:val="0"/>
          <w:numId w:val="33"/>
        </w:numPr>
        <w:tabs>
          <w:tab w:val="left" w:pos="9900"/>
        </w:tabs>
        <w:spacing w:after="120" w:line="240" w:lineRule="auto"/>
        <w:ind w:left="1080" w:right="1440"/>
        <w:contextualSpacing w:val="0"/>
      </w:pPr>
      <w:r>
        <w:t>Frontier Communications;</w:t>
      </w:r>
    </w:p>
    <w:p w:rsidR="003517BE" w:rsidP="004009A0" w:rsidRDefault="003517BE" w14:paraId="523DB35D" w14:textId="6F4E3B16">
      <w:pPr>
        <w:pStyle w:val="ListParagraph"/>
        <w:numPr>
          <w:ilvl w:val="0"/>
          <w:numId w:val="33"/>
        </w:numPr>
        <w:tabs>
          <w:tab w:val="left" w:pos="9900"/>
        </w:tabs>
        <w:spacing w:after="120" w:line="240" w:lineRule="auto"/>
        <w:ind w:left="1080" w:right="1440"/>
        <w:contextualSpacing w:val="0"/>
      </w:pPr>
      <w:r>
        <w:t>TURN;</w:t>
      </w:r>
    </w:p>
    <w:p w:rsidR="003517BE" w:rsidP="004009A0" w:rsidRDefault="003517BE" w14:paraId="273DB102" w14:textId="33E31A4F">
      <w:pPr>
        <w:pStyle w:val="ListParagraph"/>
        <w:numPr>
          <w:ilvl w:val="0"/>
          <w:numId w:val="33"/>
        </w:numPr>
        <w:tabs>
          <w:tab w:val="left" w:pos="9900"/>
        </w:tabs>
        <w:spacing w:after="120" w:line="240" w:lineRule="auto"/>
        <w:ind w:left="1080" w:right="1440"/>
        <w:contextualSpacing w:val="0"/>
      </w:pPr>
      <w:r>
        <w:t>The Small LECs;</w:t>
      </w:r>
    </w:p>
    <w:p w:rsidR="003517BE" w:rsidP="004009A0" w:rsidRDefault="003517BE" w14:paraId="25FA3802" w14:textId="5EA968D7">
      <w:pPr>
        <w:pStyle w:val="ListParagraph"/>
        <w:numPr>
          <w:ilvl w:val="0"/>
          <w:numId w:val="33"/>
        </w:numPr>
        <w:tabs>
          <w:tab w:val="left" w:pos="9900"/>
        </w:tabs>
        <w:spacing w:after="120" w:line="240" w:lineRule="auto"/>
        <w:ind w:left="1080" w:right="1440"/>
        <w:contextualSpacing w:val="0"/>
      </w:pPr>
      <w:r>
        <w:t>CCTA;</w:t>
      </w:r>
    </w:p>
    <w:p w:rsidR="003517BE" w:rsidP="004009A0" w:rsidRDefault="003517BE" w14:paraId="2427F67F" w14:textId="5C50CD57">
      <w:pPr>
        <w:pStyle w:val="ListParagraph"/>
        <w:numPr>
          <w:ilvl w:val="0"/>
          <w:numId w:val="33"/>
        </w:numPr>
        <w:tabs>
          <w:tab w:val="left" w:pos="9900"/>
        </w:tabs>
        <w:spacing w:after="120" w:line="240" w:lineRule="auto"/>
        <w:ind w:left="1080" w:right="1440"/>
        <w:contextualSpacing w:val="0"/>
      </w:pPr>
      <w:r>
        <w:t>AT&amp;T California;</w:t>
      </w:r>
    </w:p>
    <w:p w:rsidR="003517BE" w:rsidP="004009A0" w:rsidRDefault="003517BE" w14:paraId="22E25794" w14:textId="1DFFE56A">
      <w:pPr>
        <w:pStyle w:val="ListParagraph"/>
        <w:numPr>
          <w:ilvl w:val="0"/>
          <w:numId w:val="33"/>
        </w:numPr>
        <w:tabs>
          <w:tab w:val="left" w:pos="9900"/>
        </w:tabs>
        <w:spacing w:after="120" w:line="240" w:lineRule="auto"/>
        <w:ind w:left="1080" w:right="1440"/>
        <w:contextualSpacing w:val="0"/>
      </w:pPr>
      <w:r>
        <w:t>CTIA;</w:t>
      </w:r>
    </w:p>
    <w:p w:rsidR="003517BE" w:rsidP="004009A0" w:rsidRDefault="003517BE" w14:paraId="7D10E89F" w14:textId="39B6AD93">
      <w:pPr>
        <w:pStyle w:val="ListParagraph"/>
        <w:numPr>
          <w:ilvl w:val="0"/>
          <w:numId w:val="33"/>
        </w:numPr>
        <w:tabs>
          <w:tab w:val="left" w:pos="9900"/>
        </w:tabs>
        <w:spacing w:after="120" w:line="240" w:lineRule="auto"/>
        <w:ind w:left="1080" w:right="1440"/>
        <w:contextualSpacing w:val="0"/>
      </w:pPr>
      <w:proofErr w:type="spellStart"/>
      <w:r>
        <w:t>CforAT</w:t>
      </w:r>
      <w:proofErr w:type="spellEnd"/>
      <w:r>
        <w:t>; and</w:t>
      </w:r>
    </w:p>
    <w:p w:rsidR="003517BE" w:rsidP="004009A0" w:rsidRDefault="003517BE" w14:paraId="517B4379" w14:textId="635D6491">
      <w:pPr>
        <w:pStyle w:val="ListParagraph"/>
        <w:numPr>
          <w:ilvl w:val="0"/>
          <w:numId w:val="33"/>
        </w:numPr>
        <w:tabs>
          <w:tab w:val="left" w:pos="9900"/>
        </w:tabs>
        <w:spacing w:after="120" w:line="240" w:lineRule="auto"/>
        <w:ind w:left="1080" w:right="1440"/>
        <w:contextualSpacing w:val="0"/>
      </w:pPr>
      <w:r>
        <w:t>SBUA.</w:t>
      </w:r>
    </w:p>
    <w:p w:rsidR="003517BE" w:rsidP="004009A0" w:rsidRDefault="003517BE" w14:paraId="10E7FE79" w14:textId="0F4F6333">
      <w:pPr>
        <w:tabs>
          <w:tab w:val="left" w:pos="9900"/>
        </w:tabs>
        <w:ind w:left="720" w:firstLine="0"/>
      </w:pPr>
      <w:r>
        <w:t xml:space="preserve">In response to comments, </w:t>
      </w:r>
      <w:r w:rsidR="000076B3">
        <w:t>we make the following revisions:</w:t>
      </w:r>
    </w:p>
    <w:p w:rsidR="004009A0" w:rsidP="004009A0" w:rsidRDefault="000076B3" w14:paraId="522CB252" w14:textId="77777777">
      <w:pPr>
        <w:pStyle w:val="ListParagraph"/>
        <w:numPr>
          <w:ilvl w:val="0"/>
          <w:numId w:val="34"/>
        </w:numPr>
        <w:spacing w:after="120" w:line="240" w:lineRule="auto"/>
        <w:ind w:left="1080" w:right="1440"/>
      </w:pPr>
      <w:r>
        <w:t xml:space="preserve">The deadline in </w:t>
      </w:r>
      <w:r w:rsidR="007C6EDC">
        <w:t>Ordering Paragraph 1</w:t>
      </w:r>
      <w:r>
        <w:t xml:space="preserve"> is revised </w:t>
      </w:r>
      <w:r w:rsidR="000B69CE">
        <w:t xml:space="preserve">from </w:t>
      </w:r>
    </w:p>
    <w:p w:rsidR="007C6EDC" w:rsidP="004009A0" w:rsidRDefault="000B69CE" w14:paraId="47E52A11" w14:textId="06003CE4">
      <w:pPr>
        <w:pStyle w:val="ListParagraph"/>
        <w:spacing w:after="120" w:line="240" w:lineRule="auto"/>
        <w:ind w:left="1080" w:right="1440" w:firstLine="0"/>
      </w:pPr>
      <w:r>
        <w:t>15 days to 15 business days;</w:t>
      </w:r>
      <w:r w:rsidRPr="007C6EDC" w:rsidR="007C6EDC">
        <w:t xml:space="preserve"> </w:t>
      </w:r>
    </w:p>
    <w:p w:rsidR="000B69CE" w:rsidP="004009A0" w:rsidRDefault="00A155F2" w14:paraId="3F6FBAE3" w14:textId="18877A3F">
      <w:pPr>
        <w:pStyle w:val="ListParagraph"/>
        <w:numPr>
          <w:ilvl w:val="0"/>
          <w:numId w:val="34"/>
        </w:numPr>
        <w:spacing w:after="120" w:line="240" w:lineRule="auto"/>
        <w:ind w:left="1080" w:right="1440"/>
        <w:contextualSpacing w:val="0"/>
      </w:pPr>
      <w:r>
        <w:t>Ordering Paragraph 7(e)</w:t>
      </w:r>
      <w:r w:rsidR="006978A4">
        <w:t xml:space="preserve"> and page 23 are</w:t>
      </w:r>
      <w:r>
        <w:t xml:space="preserve"> revised</w:t>
      </w:r>
      <w:r w:rsidR="006978A4">
        <w:t xml:space="preserve"> to increase the cap on administrative expenses from 5 percent to 10 percent. </w:t>
      </w:r>
      <w:r>
        <w:t xml:space="preserve"> </w:t>
      </w:r>
    </w:p>
    <w:p w:rsidRPr="006978A4" w:rsidR="006978A4" w:rsidP="004009A0" w:rsidRDefault="006E64A9" w14:paraId="4F0BB37B" w14:textId="6042E9C5">
      <w:pPr>
        <w:pStyle w:val="ListParagraph"/>
        <w:numPr>
          <w:ilvl w:val="0"/>
          <w:numId w:val="34"/>
        </w:numPr>
        <w:spacing w:after="120" w:line="240" w:lineRule="auto"/>
        <w:ind w:left="1080" w:right="1440"/>
        <w:contextualSpacing w:val="0"/>
      </w:pPr>
      <w:r>
        <w:t>Ordering Paragraphs 1,2, 4 and 5 are revised to  clarify that Tribal governments includes any Tribe(s) that have Tribal lands or ancestral territory overlapping with any portion of the disaster area</w:t>
      </w:r>
      <w:r w:rsidR="00941230">
        <w:t>; and</w:t>
      </w:r>
      <w:r>
        <w:t xml:space="preserve"> </w:t>
      </w:r>
      <w:r w:rsidRPr="006978A4" w:rsidR="006978A4">
        <w:t xml:space="preserve"> </w:t>
      </w:r>
    </w:p>
    <w:p w:rsidRPr="007C6EDC" w:rsidR="006978A4" w:rsidP="004009A0" w:rsidRDefault="002D3B83" w14:paraId="20697A90" w14:textId="0F8C386D">
      <w:pPr>
        <w:pStyle w:val="ListParagraph"/>
        <w:numPr>
          <w:ilvl w:val="0"/>
          <w:numId w:val="34"/>
        </w:numPr>
        <w:spacing w:after="120" w:line="240" w:lineRule="auto"/>
        <w:ind w:left="1080" w:right="1440"/>
        <w:contextualSpacing w:val="0"/>
      </w:pPr>
      <w:r>
        <w:t>Ordering Paragraph 7(h) is revised to remov</w:t>
      </w:r>
      <w:r w:rsidR="00941230">
        <w:t>e the words “and student.”</w:t>
      </w:r>
    </w:p>
    <w:p w:rsidR="005939A5" w:rsidP="000D0D2E" w:rsidRDefault="005939A5" w14:paraId="30F4DE89" w14:textId="77777777">
      <w:pPr>
        <w:pStyle w:val="Heading1"/>
        <w:numPr>
          <w:ilvl w:val="0"/>
          <w:numId w:val="17"/>
        </w:numPr>
        <w:ind w:left="360"/>
      </w:pPr>
      <w:bookmarkStart w:name="_Toc8123724" w:id="24"/>
      <w:bookmarkStart w:name="_Toc81913482" w:id="25"/>
      <w:r>
        <w:t>Assignment of Proceeding</w:t>
      </w:r>
      <w:bookmarkEnd w:id="24"/>
      <w:bookmarkEnd w:id="25"/>
    </w:p>
    <w:p w:rsidR="005939A5" w:rsidP="006E6574" w:rsidRDefault="00A70456" w14:paraId="3D0A0835" w14:textId="61DC238A">
      <w:pPr>
        <w:pStyle w:val="Standard"/>
      </w:pPr>
      <w:r>
        <w:t xml:space="preserve">Martha Guzman Aceves </w:t>
      </w:r>
      <w:r w:rsidR="005939A5">
        <w:t xml:space="preserve">is the </w:t>
      </w:r>
      <w:r w:rsidR="005D0643">
        <w:t>A</w:t>
      </w:r>
      <w:r w:rsidR="005939A5">
        <w:t xml:space="preserve">ssigned Commissioner and </w:t>
      </w:r>
      <w:r w:rsidRPr="00CD142B">
        <w:t>Thomas</w:t>
      </w:r>
      <w:r w:rsidRPr="00CD142B" w:rsidR="00660434">
        <w:t> </w:t>
      </w:r>
      <w:r w:rsidRPr="00CD142B">
        <w:t>J.</w:t>
      </w:r>
      <w:r w:rsidRPr="00CD142B" w:rsidR="00660434">
        <w:t> </w:t>
      </w:r>
      <w:r w:rsidRPr="00CD142B">
        <w:t>Glegola</w:t>
      </w:r>
      <w:r w:rsidR="005939A5">
        <w:t xml:space="preserve"> is the assigned </w:t>
      </w:r>
      <w:r w:rsidRPr="00CD142B" w:rsidR="00660434">
        <w:t>ALJ</w:t>
      </w:r>
      <w:r w:rsidR="005939A5">
        <w:t xml:space="preserve"> in this proceeding.</w:t>
      </w:r>
    </w:p>
    <w:p w:rsidR="005939A5" w:rsidP="005939A5" w:rsidRDefault="005939A5" w14:paraId="44E9BC4F" w14:textId="77777777">
      <w:pPr>
        <w:pStyle w:val="Dummy"/>
      </w:pPr>
      <w:bookmarkStart w:name="_Toc8123725" w:id="26"/>
      <w:bookmarkStart w:name="_Toc81913483" w:id="27"/>
      <w:r>
        <w:t>Findings of Fact</w:t>
      </w:r>
      <w:bookmarkEnd w:id="26"/>
      <w:bookmarkEnd w:id="27"/>
    </w:p>
    <w:p w:rsidR="00503264" w:rsidP="004D74D8" w:rsidRDefault="006710EE" w14:paraId="377F3A30" w14:textId="6BAE190F">
      <w:pPr>
        <w:pStyle w:val="FoF"/>
        <w:numPr>
          <w:ilvl w:val="6"/>
          <w:numId w:val="1"/>
        </w:numPr>
        <w:tabs>
          <w:tab w:val="clear" w:pos="1080"/>
        </w:tabs>
        <w:ind w:left="0" w:firstLine="360"/>
      </w:pPr>
      <w:r>
        <w:t>T</w:t>
      </w:r>
      <w:r w:rsidR="00EE792B">
        <w:t xml:space="preserve">he </w:t>
      </w:r>
      <w:r w:rsidRPr="00EE792B" w:rsidR="00EE792B">
        <w:t>Commission has received formal and informal complaints</w:t>
      </w:r>
      <w:r w:rsidR="00473491">
        <w:t xml:space="preserve">, as well as comments provided </w:t>
      </w:r>
      <w:r w:rsidR="002401B0">
        <w:t>o</w:t>
      </w:r>
      <w:r w:rsidR="00473491">
        <w:t xml:space="preserve">n </w:t>
      </w:r>
      <w:r w:rsidRPr="00EE792B" w:rsidR="00EE792B">
        <w:t>the record from several types of consumer groups</w:t>
      </w:r>
      <w:r w:rsidR="001A18ED">
        <w:t xml:space="preserve">, </w:t>
      </w:r>
      <w:r w:rsidR="00870DB0">
        <w:lastRenderedPageBreak/>
        <w:t>indic</w:t>
      </w:r>
      <w:r w:rsidR="0021032A">
        <w:t>a</w:t>
      </w:r>
      <w:r w:rsidR="00870DB0">
        <w:t xml:space="preserve">ting that </w:t>
      </w:r>
      <w:r w:rsidR="0021032A">
        <w:t xml:space="preserve">current </w:t>
      </w:r>
      <w:r w:rsidR="008277D8">
        <w:t xml:space="preserve">post-disaster </w:t>
      </w:r>
      <w:r w:rsidR="0021032A">
        <w:t xml:space="preserve">community engagement efforts by </w:t>
      </w:r>
      <w:r w:rsidR="000D0D2E">
        <w:br/>
      </w:r>
      <w:r w:rsidR="00A566EE">
        <w:t xml:space="preserve">Investor-Owned Utilities and </w:t>
      </w:r>
      <w:r w:rsidR="004B3F75">
        <w:t xml:space="preserve">both </w:t>
      </w:r>
      <w:r w:rsidRPr="0025020C" w:rsidR="0025020C">
        <w:t xml:space="preserve">facilities-based wireline and facilities-based wireless providers </w:t>
      </w:r>
      <w:r w:rsidR="00503264">
        <w:t>are not sufficient.</w:t>
      </w:r>
    </w:p>
    <w:p w:rsidR="00B47DB7" w:rsidP="004D74D8" w:rsidRDefault="00EA71EC" w14:paraId="68D264C3" w14:textId="2DCF6F3E">
      <w:pPr>
        <w:pStyle w:val="FoF"/>
        <w:numPr>
          <w:ilvl w:val="6"/>
          <w:numId w:val="1"/>
        </w:numPr>
        <w:tabs>
          <w:tab w:val="clear" w:pos="1080"/>
          <w:tab w:val="left" w:pos="720"/>
        </w:tabs>
        <w:ind w:left="0" w:firstLine="360"/>
      </w:pPr>
      <w:r>
        <w:t>Claims</w:t>
      </w:r>
      <w:r w:rsidRPr="00DE582B" w:rsidR="00DE582B">
        <w:t xml:space="preserve"> that </w:t>
      </w:r>
      <w:r w:rsidR="001805B9">
        <w:t xml:space="preserve">the </w:t>
      </w:r>
      <w:r w:rsidRPr="00DE582B" w:rsidR="00DE582B">
        <w:t xml:space="preserve">community engagement and Advice Letter requirements </w:t>
      </w:r>
      <w:r w:rsidR="001805B9">
        <w:t xml:space="preserve">we adopt </w:t>
      </w:r>
      <w:r w:rsidRPr="00DE582B" w:rsidR="00DE582B">
        <w:t xml:space="preserve">will divert critical resources from </w:t>
      </w:r>
      <w:r w:rsidR="007325AD">
        <w:t xml:space="preserve">post-disaster service </w:t>
      </w:r>
      <w:r w:rsidRPr="00DE582B" w:rsidR="00DE582B">
        <w:t>restoration efforts are unsupported</w:t>
      </w:r>
      <w:r w:rsidR="000E48E2">
        <w:t xml:space="preserve"> </w:t>
      </w:r>
      <w:r w:rsidR="00C14DF2">
        <w:t>by</w:t>
      </w:r>
      <w:r w:rsidR="000E48E2">
        <w:t xml:space="preserve"> the record</w:t>
      </w:r>
      <w:r w:rsidRPr="00DE582B" w:rsidR="00DE582B">
        <w:t>.</w:t>
      </w:r>
    </w:p>
    <w:p w:rsidR="005939A5" w:rsidP="005939A5" w:rsidRDefault="005939A5" w14:paraId="4875A7AE" w14:textId="77777777">
      <w:pPr>
        <w:pStyle w:val="Dummy"/>
      </w:pPr>
      <w:bookmarkStart w:name="_Toc8123726" w:id="28"/>
      <w:bookmarkStart w:name="_Toc81913484" w:id="29"/>
      <w:r>
        <w:t>Conclusions of Law</w:t>
      </w:r>
      <w:bookmarkEnd w:id="28"/>
      <w:bookmarkEnd w:id="29"/>
    </w:p>
    <w:p w:rsidR="00F6036C" w:rsidP="004D74D8" w:rsidRDefault="00F6036C" w14:paraId="59D1E882" w14:textId="2069DF02">
      <w:pPr>
        <w:pStyle w:val="CoL"/>
        <w:numPr>
          <w:ilvl w:val="0"/>
          <w:numId w:val="26"/>
        </w:numPr>
        <w:ind w:left="0" w:firstLine="360"/>
      </w:pPr>
      <w:r>
        <w:t xml:space="preserve">The Commission has the authority to </w:t>
      </w:r>
      <w:r w:rsidR="009015DB">
        <w:t xml:space="preserve">require </w:t>
      </w:r>
      <w:r w:rsidRPr="00CD142B" w:rsidR="00660434">
        <w:t>IOUs</w:t>
      </w:r>
      <w:r w:rsidR="00E471E0">
        <w:t xml:space="preserve"> and facilities-based </w:t>
      </w:r>
      <w:r w:rsidR="00AB1F7F">
        <w:t>telecommunications</w:t>
      </w:r>
      <w:r w:rsidR="00E471E0">
        <w:t xml:space="preserve"> providers </w:t>
      </w:r>
      <w:r w:rsidR="006337F0">
        <w:t xml:space="preserve">to </w:t>
      </w:r>
      <w:r w:rsidR="00AB1F7F">
        <w:t xml:space="preserve">file Advice Letters. </w:t>
      </w:r>
    </w:p>
    <w:p w:rsidR="008F143D" w:rsidP="004D74D8" w:rsidRDefault="00F6036C" w14:paraId="13E85BEB" w14:textId="232612D2">
      <w:pPr>
        <w:pStyle w:val="CoL"/>
        <w:numPr>
          <w:ilvl w:val="0"/>
          <w:numId w:val="26"/>
        </w:numPr>
        <w:ind w:left="0" w:firstLine="360"/>
      </w:pPr>
      <w:r w:rsidRPr="00F6036C">
        <w:t xml:space="preserve">The Advice Letter filing requirements we adopt here will provide </w:t>
      </w:r>
      <w:r w:rsidR="00AB1F7F">
        <w:t>disaster-</w:t>
      </w:r>
      <w:r w:rsidRPr="00F6036C">
        <w:t xml:space="preserve">impacted communities with more information and allow them the opportunity to </w:t>
      </w:r>
      <w:r w:rsidR="00C82FE3">
        <w:t>provide input to</w:t>
      </w:r>
      <w:r w:rsidRPr="00F6036C">
        <w:t xml:space="preserve"> IOUs and </w:t>
      </w:r>
      <w:r w:rsidRPr="00C82FE3" w:rsidR="00C82FE3">
        <w:t xml:space="preserve">both facilities-based wireline and facilities-based wireless providers </w:t>
      </w:r>
      <w:r w:rsidRPr="00F6036C">
        <w:t>without significant delay</w:t>
      </w:r>
      <w:r w:rsidR="009872F8">
        <w:t xml:space="preserve"> and should be approved</w:t>
      </w:r>
      <w:r w:rsidRPr="00F6036C">
        <w:t xml:space="preserve">. </w:t>
      </w:r>
    </w:p>
    <w:p w:rsidR="0006061A" w:rsidP="005D0643" w:rsidRDefault="009872F8" w14:paraId="5AE0BD40" w14:textId="5BE1046E">
      <w:pPr>
        <w:pStyle w:val="ListParagraph"/>
        <w:numPr>
          <w:ilvl w:val="0"/>
          <w:numId w:val="26"/>
        </w:numPr>
        <w:ind w:left="0" w:firstLine="360"/>
      </w:pPr>
      <w:r w:rsidRPr="009872F8">
        <w:t xml:space="preserve">Pub. Util. Code </w:t>
      </w:r>
      <w:r w:rsidRPr="00CD142B" w:rsidR="00660434">
        <w:t>S</w:t>
      </w:r>
      <w:r w:rsidRPr="009872F8">
        <w:t xml:space="preserve">ection 280.5 requires the Commission to provide grants on a competitive basis subject to criteria to be established by the Commission and in a way that disburses the funds widely, including urban and rural areas.  </w:t>
      </w:r>
    </w:p>
    <w:p w:rsidR="00BB0243" w:rsidP="00660434" w:rsidRDefault="005939A5" w14:paraId="541B0FA6" w14:textId="77777777">
      <w:pPr>
        <w:pStyle w:val="Mainex"/>
        <w:spacing w:before="120"/>
      </w:pPr>
      <w:bookmarkStart w:name="_Toc81913485" w:id="30"/>
      <w:r>
        <w:t>O</w:t>
      </w:r>
      <w:r w:rsidR="00722850">
        <w:t>RDER</w:t>
      </w:r>
      <w:bookmarkEnd w:id="30"/>
    </w:p>
    <w:p w:rsidR="00913797" w:rsidP="00D104FA" w:rsidRDefault="00BB0243" w14:paraId="38B039CA" w14:textId="1BDBDD9A">
      <w:pPr>
        <w:keepNext/>
        <w:spacing w:before="120"/>
      </w:pPr>
      <w:r w:rsidRPr="00BB0243">
        <w:rPr>
          <w:b/>
        </w:rPr>
        <w:t>IT IS ORDERED</w:t>
      </w:r>
      <w:r>
        <w:t xml:space="preserve"> that:</w:t>
      </w:r>
    </w:p>
    <w:p w:rsidR="0070371B" w:rsidP="0070371B" w:rsidRDefault="00250D4C" w14:paraId="05B99282" w14:textId="77777777">
      <w:pPr>
        <w:pStyle w:val="OP"/>
        <w:numPr>
          <w:ilvl w:val="0"/>
          <w:numId w:val="27"/>
        </w:numPr>
      </w:pPr>
      <w:r w:rsidRPr="00250D4C">
        <w:t>In the event of a disaster, declared either by the Governor of California or</w:t>
      </w:r>
      <w:r w:rsidR="0070371B">
        <w:t xml:space="preserve"> </w:t>
      </w:r>
    </w:p>
    <w:p w:rsidR="004D74D8" w:rsidP="000A22B3" w:rsidRDefault="00250D4C" w14:paraId="06D7FE4B" w14:textId="1CD64A44">
      <w:pPr>
        <w:pStyle w:val="OP"/>
        <w:ind w:firstLine="0"/>
      </w:pPr>
      <w:r w:rsidRPr="00250D4C">
        <w:t xml:space="preserve">the President of the United States, </w:t>
      </w:r>
      <w:r w:rsidR="00CA5D73">
        <w:t xml:space="preserve">that also damages their facilities or leads to a service outage, </w:t>
      </w:r>
      <w:r w:rsidRPr="00250D4C">
        <w:t>Investor-Owned Utilities</w:t>
      </w:r>
      <w:r w:rsidR="00660434">
        <w:t xml:space="preserve"> </w:t>
      </w:r>
      <w:r w:rsidRPr="00CD142B" w:rsidR="00660434">
        <w:t>(IOUs)</w:t>
      </w:r>
      <w:r w:rsidRPr="00250D4C">
        <w:t xml:space="preserve"> </w:t>
      </w:r>
      <w:r w:rsidR="00054B07">
        <w:t xml:space="preserve">shall file a </w:t>
      </w:r>
      <w:r w:rsidR="00CA60D3">
        <w:t xml:space="preserve">Tier 1 Advice Letter </w:t>
      </w:r>
      <w:r w:rsidR="008907E8">
        <w:t xml:space="preserve">within 15 </w:t>
      </w:r>
      <w:r w:rsidR="000B69CE">
        <w:t xml:space="preserve">business </w:t>
      </w:r>
      <w:r w:rsidR="008907E8">
        <w:t xml:space="preserve">days from when they are allowed into a disaster area to assess the damage to their facilities.  </w:t>
      </w:r>
      <w:r w:rsidRPr="00E36E5D" w:rsidR="00E36E5D">
        <w:t>IOUs shall file this Advice Letter with the Commission’s Energy Division</w:t>
      </w:r>
      <w:r w:rsidR="00C35F05">
        <w:t>,</w:t>
      </w:r>
      <w:r w:rsidRPr="00E36E5D" w:rsidR="00E36E5D">
        <w:t xml:space="preserve"> with a copy sent to the Communication</w:t>
      </w:r>
      <w:r w:rsidR="0036588C">
        <w:t>s</w:t>
      </w:r>
      <w:r w:rsidRPr="00E36E5D" w:rsidR="00E36E5D">
        <w:t xml:space="preserve"> Division</w:t>
      </w:r>
      <w:r w:rsidR="006B2F2F">
        <w:t xml:space="preserve"> at </w:t>
      </w:r>
      <w:r w:rsidRPr="00D104FA" w:rsidR="006B2F2F">
        <w:rPr>
          <w:color w:val="4472C4" w:themeColor="accent1"/>
          <w:u w:val="single"/>
        </w:rPr>
        <w:t>TD._PAL@cpuc.ca.gov</w:t>
      </w:r>
      <w:r w:rsidRPr="00E36E5D" w:rsidR="00E36E5D">
        <w:t xml:space="preserve">.  </w:t>
      </w:r>
      <w:r w:rsidR="00F142E9">
        <w:t>T</w:t>
      </w:r>
      <w:r w:rsidRPr="00E36E5D" w:rsidR="00E36E5D">
        <w:t xml:space="preserve">he Advice Letter </w:t>
      </w:r>
      <w:r w:rsidR="00F142E9">
        <w:t xml:space="preserve">also must be provided </w:t>
      </w:r>
      <w:r w:rsidRPr="00E36E5D" w:rsidR="00E36E5D">
        <w:t>to the appropriate local government contained within the disaster area</w:t>
      </w:r>
      <w:r w:rsidR="008A1D9C">
        <w:t xml:space="preserve">, including </w:t>
      </w:r>
      <w:r w:rsidRPr="00E36E5D" w:rsidR="00E36E5D">
        <w:lastRenderedPageBreak/>
        <w:t xml:space="preserve">the </w:t>
      </w:r>
      <w:r w:rsidR="008A1D9C">
        <w:t xml:space="preserve">chief executive or leader of the </w:t>
      </w:r>
      <w:r w:rsidRPr="00E36E5D" w:rsidR="00E36E5D">
        <w:t xml:space="preserve">city, </w:t>
      </w:r>
      <w:proofErr w:type="gramStart"/>
      <w:r w:rsidRPr="00E36E5D" w:rsidR="00E36E5D">
        <w:t>township</w:t>
      </w:r>
      <w:proofErr w:type="gramEnd"/>
      <w:r w:rsidRPr="00E36E5D" w:rsidR="00E36E5D">
        <w:t xml:space="preserve"> or Tribal government</w:t>
      </w:r>
      <w:r w:rsidR="002F3BC7">
        <w:t>.</w:t>
      </w:r>
      <w:r w:rsidRPr="00E36E5D" w:rsidR="00E36E5D">
        <w:t xml:space="preserve">  In the case of an unincorporated area, the communication must be established with the appropriate County.</w:t>
      </w:r>
      <w:r w:rsidR="002172A2">
        <w:t xml:space="preserve"> </w:t>
      </w:r>
      <w:r w:rsidRPr="00E36E5D" w:rsidR="00E36E5D">
        <w:t xml:space="preserve"> </w:t>
      </w:r>
      <w:r w:rsidR="0070371B">
        <w:t xml:space="preserve">In the case of </w:t>
      </w:r>
      <w:r w:rsidR="006E64A9">
        <w:t>T</w:t>
      </w:r>
      <w:r w:rsidR="0070371B">
        <w:t xml:space="preserve">ribal governments, the Advice Letter must be provided to any </w:t>
      </w:r>
      <w:r w:rsidR="006E64A9">
        <w:t>T</w:t>
      </w:r>
      <w:r w:rsidR="0070371B">
        <w:t xml:space="preserve">ribe(s) that have </w:t>
      </w:r>
      <w:r w:rsidR="006E64A9">
        <w:t>T</w:t>
      </w:r>
      <w:r w:rsidR="0070371B">
        <w:t>ribal lands or ancestral territory overlapping with any portion of the disaster area.</w:t>
      </w:r>
      <w:r w:rsidRPr="00E36E5D" w:rsidR="00E36E5D">
        <w:t xml:space="preserve"> </w:t>
      </w:r>
      <w:r w:rsidR="0070371B">
        <w:t xml:space="preserve"> </w:t>
      </w:r>
      <w:r w:rsidR="008907E8">
        <w:t xml:space="preserve">The Advice Letter </w:t>
      </w:r>
      <w:r w:rsidR="00621450">
        <w:t xml:space="preserve">shall </w:t>
      </w:r>
      <w:r w:rsidR="008907E8">
        <w:t xml:space="preserve">include the following details: </w:t>
      </w:r>
    </w:p>
    <w:p w:rsidR="003B253D" w:rsidP="00D104FA" w:rsidRDefault="008907E8" w14:paraId="0C024E9C" w14:textId="77777777">
      <w:pPr>
        <w:pStyle w:val="OP"/>
        <w:numPr>
          <w:ilvl w:val="7"/>
          <w:numId w:val="1"/>
        </w:numPr>
        <w:spacing w:after="120" w:line="240" w:lineRule="auto"/>
        <w:ind w:right="1440"/>
      </w:pPr>
      <w:r>
        <w:t xml:space="preserve">a report of what facilities or equipment was damaged; </w:t>
      </w:r>
    </w:p>
    <w:p w:rsidR="003B253D" w:rsidP="00D104FA" w:rsidRDefault="008907E8" w14:paraId="55031A14" w14:textId="77777777">
      <w:pPr>
        <w:pStyle w:val="OP"/>
        <w:numPr>
          <w:ilvl w:val="7"/>
          <w:numId w:val="1"/>
        </w:numPr>
        <w:spacing w:after="120" w:line="240" w:lineRule="auto"/>
        <w:ind w:right="1440"/>
      </w:pPr>
      <w:r>
        <w:t xml:space="preserve">restoration and/or rebuild plans, including a description of what is being repaired, </w:t>
      </w:r>
      <w:proofErr w:type="gramStart"/>
      <w:r>
        <w:t>replaced</w:t>
      </w:r>
      <w:proofErr w:type="gramEnd"/>
      <w:r>
        <w:t xml:space="preserve"> or added, and maps of where the restoration will occur; </w:t>
      </w:r>
    </w:p>
    <w:p w:rsidR="00CE2D80" w:rsidP="00D104FA" w:rsidRDefault="008907E8" w14:paraId="62C2F752" w14:textId="5DB42A42">
      <w:pPr>
        <w:pStyle w:val="OP"/>
        <w:numPr>
          <w:ilvl w:val="7"/>
          <w:numId w:val="1"/>
        </w:numPr>
        <w:spacing w:after="120" w:line="240" w:lineRule="auto"/>
        <w:ind w:right="1440"/>
      </w:pPr>
      <w:r>
        <w:t xml:space="preserve">the date the </w:t>
      </w:r>
      <w:r w:rsidR="0093261B">
        <w:t xml:space="preserve">investor-owned </w:t>
      </w:r>
      <w:r w:rsidR="007D28FD">
        <w:t>utility</w:t>
      </w:r>
      <w:r>
        <w:t xml:space="preserve"> received access to the damaged area;</w:t>
      </w:r>
    </w:p>
    <w:p w:rsidR="00CE2D80" w:rsidP="00D104FA" w:rsidRDefault="008907E8" w14:paraId="76824EA5" w14:textId="77777777">
      <w:pPr>
        <w:pStyle w:val="OP"/>
        <w:numPr>
          <w:ilvl w:val="7"/>
          <w:numId w:val="1"/>
        </w:numPr>
        <w:spacing w:after="120" w:line="240" w:lineRule="auto"/>
        <w:ind w:right="1440"/>
      </w:pPr>
      <w:r>
        <w:t xml:space="preserve">the timeline to make repairs; </w:t>
      </w:r>
    </w:p>
    <w:p w:rsidR="00F95251" w:rsidP="00D104FA" w:rsidRDefault="008907E8" w14:paraId="7FAF9973" w14:textId="77777777">
      <w:pPr>
        <w:pStyle w:val="OP"/>
        <w:numPr>
          <w:ilvl w:val="7"/>
          <w:numId w:val="1"/>
        </w:numPr>
        <w:spacing w:after="120" w:line="240" w:lineRule="auto"/>
        <w:ind w:right="1440"/>
      </w:pPr>
      <w:r>
        <w:t>any changes to any energy/communication infrastructure required; and</w:t>
      </w:r>
    </w:p>
    <w:p w:rsidR="009400E6" w:rsidP="00D104FA" w:rsidRDefault="008907E8" w14:paraId="7F21CCFB" w14:textId="17D5C9E8">
      <w:pPr>
        <w:pStyle w:val="OP"/>
        <w:numPr>
          <w:ilvl w:val="7"/>
          <w:numId w:val="1"/>
        </w:numPr>
        <w:spacing w:after="120" w:line="240" w:lineRule="auto"/>
        <w:ind w:right="1440"/>
      </w:pPr>
      <w:r>
        <w:t xml:space="preserve">the contact information of the individual responsible for community engagement in these instances.  </w:t>
      </w:r>
      <w:r w:rsidRPr="00054B07" w:rsidR="00054B07">
        <w:t xml:space="preserve"> </w:t>
      </w:r>
    </w:p>
    <w:p w:rsidR="0070371B" w:rsidP="0070371B" w:rsidRDefault="007D28FD" w14:paraId="6B5169A4" w14:textId="77777777">
      <w:pPr>
        <w:pStyle w:val="OP"/>
        <w:numPr>
          <w:ilvl w:val="0"/>
          <w:numId w:val="27"/>
        </w:numPr>
      </w:pPr>
      <w:r>
        <w:t>W</w:t>
      </w:r>
      <w:r w:rsidR="006C406F">
        <w:t>ithin 30 days of being permitted back into</w:t>
      </w:r>
      <w:r w:rsidR="0030447D">
        <w:t xml:space="preserve"> a </w:t>
      </w:r>
      <w:r w:rsidR="006C406F">
        <w:t>disaster area</w:t>
      </w:r>
      <w:r w:rsidR="0030447D">
        <w:t xml:space="preserve"> discussed in</w:t>
      </w:r>
      <w:r w:rsidR="0070371B">
        <w:t xml:space="preserve"> </w:t>
      </w:r>
    </w:p>
    <w:p w:rsidR="00475A52" w:rsidP="000A22B3" w:rsidRDefault="0030447D" w14:paraId="42277C6B" w14:textId="63EBE499">
      <w:pPr>
        <w:pStyle w:val="OP"/>
        <w:ind w:firstLine="0"/>
      </w:pPr>
      <w:r>
        <w:t>Ordering Paragraph</w:t>
      </w:r>
      <w:r w:rsidR="00FC435C">
        <w:t xml:space="preserve"> </w:t>
      </w:r>
      <w:r w:rsidR="00280421">
        <w:t>1</w:t>
      </w:r>
      <w:r w:rsidR="006C406F">
        <w:t xml:space="preserve">, </w:t>
      </w:r>
      <w:r>
        <w:t xml:space="preserve">the </w:t>
      </w:r>
      <w:r w:rsidR="00D00A3F">
        <w:t>Investor-Owned Utilit</w:t>
      </w:r>
      <w:r w:rsidR="00D65096">
        <w:t>y</w:t>
      </w:r>
      <w:r w:rsidR="00D00A3F">
        <w:t xml:space="preserve"> </w:t>
      </w:r>
      <w:r w:rsidR="006C406F">
        <w:t>shall meet in person with the impacted community to allow an opportunity to discuss any rebuilding plans</w:t>
      </w:r>
      <w:r w:rsidR="00ED6BE3">
        <w:t xml:space="preserve"> and </w:t>
      </w:r>
      <w:r w:rsidR="006C406F">
        <w:t xml:space="preserve">consider incorporating any comments made by the affected community while working on their restoration. </w:t>
      </w:r>
      <w:r w:rsidR="00ED6BE3">
        <w:t xml:space="preserve"> </w:t>
      </w:r>
      <w:r w:rsidR="00D65096">
        <w:t xml:space="preserve">The meeting </w:t>
      </w:r>
      <w:r w:rsidR="00725AF8">
        <w:t>must</w:t>
      </w:r>
      <w:r w:rsidR="00D65096">
        <w:t xml:space="preserve"> be with the </w:t>
      </w:r>
      <w:r w:rsidRPr="00FE7A21" w:rsidR="00FE7A21">
        <w:t>appropriate local government contained within the disaster area, including the chief executive or leader of the city, township or Tribal government</w:t>
      </w:r>
      <w:r w:rsidR="00143F6B">
        <w:t>, or their designee</w:t>
      </w:r>
      <w:r w:rsidRPr="00FE7A21" w:rsidR="00FE7A21">
        <w:t>.  In the case of an unincorporated area, the communication must be established with the appropriate County</w:t>
      </w:r>
      <w:r w:rsidR="00D65096">
        <w:t xml:space="preserve">. </w:t>
      </w:r>
      <w:r w:rsidR="0070371B">
        <w:t xml:space="preserve"> In the case of </w:t>
      </w:r>
      <w:r w:rsidR="006E64A9">
        <w:t>T</w:t>
      </w:r>
      <w:r w:rsidR="0070371B">
        <w:t xml:space="preserve">ribal governments, the meeting(s) must be with any </w:t>
      </w:r>
      <w:r w:rsidR="006E64A9">
        <w:t>T</w:t>
      </w:r>
      <w:r w:rsidR="0070371B">
        <w:t xml:space="preserve">ribe(s) that have </w:t>
      </w:r>
      <w:r w:rsidR="006E64A9">
        <w:t>T</w:t>
      </w:r>
      <w:r w:rsidR="0070371B">
        <w:t>ribal lands or ancestral territory overlapping with any portion of the disaster area.</w:t>
      </w:r>
    </w:p>
    <w:p w:rsidR="00D104FA" w:rsidP="004D74D8" w:rsidRDefault="006C406F" w14:paraId="47C8136B" w14:textId="77777777">
      <w:pPr>
        <w:pStyle w:val="OP"/>
        <w:numPr>
          <w:ilvl w:val="0"/>
          <w:numId w:val="27"/>
        </w:numPr>
        <w:ind w:left="0" w:firstLine="360"/>
      </w:pPr>
      <w:r>
        <w:lastRenderedPageBreak/>
        <w:t>Within 60 days after service is restored and all restoration or rebuilding work is complete</w:t>
      </w:r>
      <w:r w:rsidR="00143F6B">
        <w:t xml:space="preserve"> following a disaster </w:t>
      </w:r>
      <w:r w:rsidR="00013896">
        <w:t xml:space="preserve">as identified </w:t>
      </w:r>
      <w:r w:rsidR="00143F6B">
        <w:t xml:space="preserve">in Ordering Paragraphs </w:t>
      </w:r>
      <w:r w:rsidR="00280421">
        <w:t>1</w:t>
      </w:r>
      <w:r w:rsidR="00D04C6E">
        <w:t xml:space="preserve"> </w:t>
      </w:r>
    </w:p>
    <w:p w:rsidR="00B64EAB" w:rsidP="00D104FA" w:rsidRDefault="00D04C6E" w14:paraId="7988F9EE" w14:textId="2724BF35">
      <w:pPr>
        <w:pStyle w:val="OP"/>
        <w:ind w:firstLine="0"/>
      </w:pPr>
      <w:r>
        <w:t xml:space="preserve">and </w:t>
      </w:r>
      <w:r w:rsidR="00280421">
        <w:t>2</w:t>
      </w:r>
      <w:r>
        <w:t>, an Investor-Owned Utility shall file</w:t>
      </w:r>
      <w:r w:rsidR="006C406F">
        <w:t xml:space="preserve"> a Tier 2 Advice Letter.  The Tier 2 Advice Letter shall be filed with </w:t>
      </w:r>
      <w:r w:rsidRPr="00E36E5D" w:rsidR="00E6205A">
        <w:t>Commission’s Energy Division</w:t>
      </w:r>
      <w:r w:rsidR="00E6205A">
        <w:t>,</w:t>
      </w:r>
      <w:r w:rsidRPr="00E36E5D" w:rsidR="00E6205A">
        <w:t xml:space="preserve"> with a copy sent to the Communication</w:t>
      </w:r>
      <w:r w:rsidR="00E6205A">
        <w:t>s</w:t>
      </w:r>
      <w:r w:rsidRPr="00E36E5D" w:rsidR="00E6205A">
        <w:t xml:space="preserve"> Division</w:t>
      </w:r>
      <w:r w:rsidR="00F85C7C">
        <w:t xml:space="preserve"> at </w:t>
      </w:r>
      <w:r w:rsidRPr="00D104FA" w:rsidR="00F85C7C">
        <w:rPr>
          <w:color w:val="4472C4" w:themeColor="accent1"/>
          <w:u w:val="single"/>
        </w:rPr>
        <w:t>TD._PAL@cpuc.ca.gov</w:t>
      </w:r>
      <w:r w:rsidR="00A93142">
        <w:t xml:space="preserve">, </w:t>
      </w:r>
      <w:r w:rsidR="006C406F">
        <w:t xml:space="preserve">and </w:t>
      </w:r>
      <w:r w:rsidR="00A93142">
        <w:t xml:space="preserve">also </w:t>
      </w:r>
      <w:r w:rsidR="006C406F">
        <w:t xml:space="preserve">provided to the same individuals and entities as required by the initial Tier 1 Advice Letter.  </w:t>
      </w:r>
    </w:p>
    <w:p w:rsidR="00A93142" w:rsidP="00B64EAB" w:rsidRDefault="006C406F" w14:paraId="223C8514" w14:textId="37600412">
      <w:pPr>
        <w:pStyle w:val="OP"/>
        <w:ind w:firstLine="0"/>
      </w:pPr>
      <w:r>
        <w:t xml:space="preserve">This Tier 2 Advice Letter shall include: </w:t>
      </w:r>
    </w:p>
    <w:p w:rsidR="00214A94" w:rsidP="004D74D8" w:rsidRDefault="006C406F" w14:paraId="39087660" w14:textId="77777777">
      <w:pPr>
        <w:pStyle w:val="OP"/>
        <w:numPr>
          <w:ilvl w:val="1"/>
          <w:numId w:val="27"/>
        </w:numPr>
        <w:spacing w:after="120" w:line="240" w:lineRule="auto"/>
        <w:ind w:left="1080" w:right="1440"/>
      </w:pPr>
      <w:r>
        <w:t xml:space="preserve">a summary of restoration and/or rebuild activities; </w:t>
      </w:r>
    </w:p>
    <w:p w:rsidR="00214A94" w:rsidP="004D74D8" w:rsidRDefault="006C406F" w14:paraId="4171323A" w14:textId="77777777">
      <w:pPr>
        <w:pStyle w:val="OP"/>
        <w:numPr>
          <w:ilvl w:val="1"/>
          <w:numId w:val="27"/>
        </w:numPr>
        <w:spacing w:after="120" w:line="240" w:lineRule="auto"/>
        <w:ind w:left="1080" w:right="1440"/>
      </w:pPr>
      <w:r>
        <w:t>a summary of the meetings and other communications that took place;</w:t>
      </w:r>
    </w:p>
    <w:p w:rsidR="00214A94" w:rsidP="004D74D8" w:rsidRDefault="006C406F" w14:paraId="49270002" w14:textId="77777777">
      <w:pPr>
        <w:pStyle w:val="OP"/>
        <w:numPr>
          <w:ilvl w:val="1"/>
          <w:numId w:val="27"/>
        </w:numPr>
        <w:spacing w:after="120" w:line="240" w:lineRule="auto"/>
        <w:ind w:left="1080" w:right="1440"/>
      </w:pPr>
      <w:r>
        <w:t xml:space="preserve">a summary of any changes made after the meet and confer meeting(s); </w:t>
      </w:r>
    </w:p>
    <w:p w:rsidR="00214A94" w:rsidP="004D74D8" w:rsidRDefault="006C406F" w14:paraId="0A91E6FF" w14:textId="77777777">
      <w:pPr>
        <w:pStyle w:val="OP"/>
        <w:numPr>
          <w:ilvl w:val="1"/>
          <w:numId w:val="27"/>
        </w:numPr>
        <w:spacing w:after="120" w:line="240" w:lineRule="auto"/>
        <w:ind w:left="1080" w:right="1440"/>
      </w:pPr>
      <w:r>
        <w:t xml:space="preserve">a summary of any energy/communication infrastructure added or changed, as well as the location, including a map; and </w:t>
      </w:r>
    </w:p>
    <w:p w:rsidRPr="005D0643" w:rsidR="006C406F" w:rsidP="004D74D8" w:rsidRDefault="006C406F" w14:paraId="3E880CCE" w14:textId="74E8304D">
      <w:pPr>
        <w:pStyle w:val="OP"/>
        <w:numPr>
          <w:ilvl w:val="1"/>
          <w:numId w:val="27"/>
        </w:numPr>
        <w:spacing w:after="120" w:line="240" w:lineRule="auto"/>
        <w:ind w:left="1080" w:right="1440"/>
      </w:pPr>
      <w:r w:rsidRPr="00B64EAB">
        <w:t>other issues th</w:t>
      </w:r>
      <w:r w:rsidRPr="00B64EAB" w:rsidR="00A93142">
        <w:t>at</w:t>
      </w:r>
      <w:r w:rsidRPr="00B64EAB">
        <w:t xml:space="preserve"> caused delays, such as land rights,</w:t>
      </w:r>
      <w:r>
        <w:t xml:space="preserve"> </w:t>
      </w:r>
      <w:r w:rsidRPr="005D0643">
        <w:t>permits, or discussions with certain entities.</w:t>
      </w:r>
    </w:p>
    <w:p w:rsidR="00630595" w:rsidP="000A22B3" w:rsidRDefault="1CDFD440" w14:paraId="676B4F9C" w14:textId="6BADAFE0">
      <w:pPr>
        <w:pStyle w:val="OP"/>
        <w:numPr>
          <w:ilvl w:val="0"/>
          <w:numId w:val="27"/>
        </w:numPr>
      </w:pPr>
      <w:r w:rsidRPr="00B64EAB">
        <w:t>In</w:t>
      </w:r>
      <w:r w:rsidRPr="00214A94">
        <w:t xml:space="preserve"> the event of a disaster, declared either by the Governor of California or</w:t>
      </w:r>
      <w:r w:rsidR="00630595">
        <w:t xml:space="preserve"> </w:t>
      </w:r>
    </w:p>
    <w:p w:rsidR="000537B4" w:rsidP="000A22B3" w:rsidRDefault="1CDFD440" w14:paraId="1D44650B" w14:textId="01410C9B">
      <w:pPr>
        <w:pStyle w:val="OP"/>
        <w:ind w:firstLine="0"/>
      </w:pPr>
      <w:r w:rsidRPr="00214A94">
        <w:t>the President of the United States, that also damages their facilities or leads to a service outage, facilities-based wireline and facilities-based wireless</w:t>
      </w:r>
      <w:r>
        <w:t xml:space="preserve"> </w:t>
      </w:r>
      <w:r w:rsidR="71A344F3">
        <w:t>providers</w:t>
      </w:r>
      <w:r>
        <w:t xml:space="preserve"> shall file a Tier 1 Advice Letter within 15 days from when they are allowed into a disaster area to assess the damage to their facilities.  This Advice Letter </w:t>
      </w:r>
      <w:r w:rsidR="06AFC6E3">
        <w:t xml:space="preserve">shall be filed </w:t>
      </w:r>
      <w:r>
        <w:t>with the Commission’s Communications Division</w:t>
      </w:r>
      <w:r w:rsidR="00F85C7C">
        <w:t xml:space="preserve"> at </w:t>
      </w:r>
      <w:r w:rsidRPr="000A22B3" w:rsidR="00F85C7C">
        <w:rPr>
          <w:color w:val="4472C4" w:themeColor="accent1"/>
          <w:u w:val="single"/>
        </w:rPr>
        <w:t>TD._PAL@cpuc.ca.gov</w:t>
      </w:r>
      <w:r>
        <w:t xml:space="preserve">.  The Advice Letter also must be provided to the appropriate local government contained within the disaster area, including the chief executive or leader of the city, </w:t>
      </w:r>
      <w:proofErr w:type="gramStart"/>
      <w:r>
        <w:t>township</w:t>
      </w:r>
      <w:proofErr w:type="gramEnd"/>
      <w:r>
        <w:t xml:space="preserve"> or Tribal government.  In the case of an unincorporated area, the communication must be established with the appropriate County.  </w:t>
      </w:r>
      <w:r w:rsidR="00630595">
        <w:t xml:space="preserve">In the case of </w:t>
      </w:r>
      <w:r w:rsidR="006E64A9">
        <w:t>T</w:t>
      </w:r>
      <w:r w:rsidR="00630595">
        <w:t xml:space="preserve">ribal governments, the communication must be established with any </w:t>
      </w:r>
      <w:r w:rsidR="006E64A9">
        <w:t>T</w:t>
      </w:r>
      <w:r w:rsidR="00630595">
        <w:t xml:space="preserve">ribe(s) </w:t>
      </w:r>
      <w:r w:rsidR="00630595">
        <w:lastRenderedPageBreak/>
        <w:t xml:space="preserve">that have </w:t>
      </w:r>
      <w:r w:rsidR="006E64A9">
        <w:t>T</w:t>
      </w:r>
      <w:r w:rsidR="00630595">
        <w:t xml:space="preserve">ribal lands or ancestral territory overlapping with any portion of the disaster area.  </w:t>
      </w:r>
      <w:r>
        <w:t xml:space="preserve">The Advice Letter shall include the following details: </w:t>
      </w:r>
    </w:p>
    <w:p w:rsidRPr="00B64EAB" w:rsidR="000537B4" w:rsidP="00660434" w:rsidRDefault="00660434" w14:paraId="748213E1" w14:textId="4820A16E">
      <w:pPr>
        <w:pStyle w:val="OP"/>
        <w:spacing w:after="120" w:line="240" w:lineRule="auto"/>
        <w:ind w:left="720" w:right="1440" w:firstLine="0"/>
        <w:rPr>
          <w:rFonts w:eastAsiaTheme="minorEastAsia"/>
          <w:szCs w:val="26"/>
        </w:rPr>
      </w:pPr>
      <w:r w:rsidRPr="00CD142B">
        <w:rPr>
          <w:szCs w:val="26"/>
        </w:rPr>
        <w:t>a.</w:t>
      </w:r>
      <w:r>
        <w:rPr>
          <w:szCs w:val="26"/>
        </w:rPr>
        <w:t xml:space="preserve">  </w:t>
      </w:r>
      <w:r w:rsidRPr="00B64EAB" w:rsidR="1CDFD440">
        <w:rPr>
          <w:szCs w:val="26"/>
        </w:rPr>
        <w:t xml:space="preserve">a report of what facilities or equipment was damaged; </w:t>
      </w:r>
    </w:p>
    <w:p w:rsidRPr="00B64EAB" w:rsidR="000537B4" w:rsidP="00660434" w:rsidRDefault="00660434" w14:paraId="2BAC7391" w14:textId="614FDC4B">
      <w:pPr>
        <w:pStyle w:val="OP"/>
        <w:spacing w:after="120" w:line="240" w:lineRule="auto"/>
        <w:ind w:left="1080" w:right="1440" w:hanging="360"/>
        <w:rPr>
          <w:rFonts w:eastAsiaTheme="minorEastAsia"/>
          <w:szCs w:val="26"/>
        </w:rPr>
      </w:pPr>
      <w:r w:rsidRPr="00CD142B">
        <w:rPr>
          <w:szCs w:val="26"/>
        </w:rPr>
        <w:t>b.</w:t>
      </w:r>
      <w:r>
        <w:rPr>
          <w:szCs w:val="26"/>
        </w:rPr>
        <w:t xml:space="preserve">  </w:t>
      </w:r>
      <w:r w:rsidRPr="00B64EAB" w:rsidR="1CDFD440">
        <w:rPr>
          <w:szCs w:val="26"/>
        </w:rPr>
        <w:t xml:space="preserve">restoration and/or rebuild plans, including a description of what is being repaired, </w:t>
      </w:r>
      <w:proofErr w:type="gramStart"/>
      <w:r w:rsidRPr="00B64EAB" w:rsidR="1CDFD440">
        <w:rPr>
          <w:szCs w:val="26"/>
        </w:rPr>
        <w:t>replaced</w:t>
      </w:r>
      <w:proofErr w:type="gramEnd"/>
      <w:r w:rsidRPr="00B64EAB" w:rsidR="1CDFD440">
        <w:rPr>
          <w:szCs w:val="26"/>
        </w:rPr>
        <w:t xml:space="preserve"> or added, and maps of where the restoration will occur; </w:t>
      </w:r>
    </w:p>
    <w:p w:rsidRPr="00660434" w:rsidR="000537B4" w:rsidP="00660434" w:rsidRDefault="00660434" w14:paraId="0CF63B1B" w14:textId="5491802A">
      <w:pPr>
        <w:pStyle w:val="OP"/>
        <w:spacing w:after="120" w:line="240" w:lineRule="auto"/>
        <w:ind w:left="1080" w:right="1440" w:hanging="360"/>
        <w:rPr>
          <w:szCs w:val="26"/>
        </w:rPr>
      </w:pPr>
      <w:r w:rsidRPr="00CD142B">
        <w:rPr>
          <w:szCs w:val="26"/>
        </w:rPr>
        <w:t>c.</w:t>
      </w:r>
      <w:r>
        <w:rPr>
          <w:szCs w:val="26"/>
        </w:rPr>
        <w:t xml:space="preserve">  </w:t>
      </w:r>
      <w:r w:rsidRPr="00B64EAB" w:rsidR="1CDFD440">
        <w:rPr>
          <w:szCs w:val="26"/>
        </w:rPr>
        <w:t xml:space="preserve">the date the </w:t>
      </w:r>
      <w:r w:rsidRPr="00B64EAB" w:rsidR="774B7344">
        <w:rPr>
          <w:szCs w:val="26"/>
        </w:rPr>
        <w:t>facilities-based wireline or wireless provider</w:t>
      </w:r>
      <w:r w:rsidRPr="00B64EAB" w:rsidR="1CDFD440">
        <w:rPr>
          <w:szCs w:val="26"/>
        </w:rPr>
        <w:t xml:space="preserve"> received access to the damaged area;</w:t>
      </w:r>
    </w:p>
    <w:p w:rsidRPr="00660434" w:rsidR="000537B4" w:rsidP="00660434" w:rsidRDefault="00660434" w14:paraId="510EB0CF" w14:textId="756A246C">
      <w:pPr>
        <w:pStyle w:val="OP"/>
        <w:spacing w:after="120" w:line="240" w:lineRule="auto"/>
        <w:ind w:left="1080" w:right="1440" w:hanging="360"/>
        <w:rPr>
          <w:szCs w:val="26"/>
        </w:rPr>
      </w:pPr>
      <w:r w:rsidRPr="00CD142B">
        <w:rPr>
          <w:szCs w:val="26"/>
        </w:rPr>
        <w:t>d.</w:t>
      </w:r>
      <w:r>
        <w:rPr>
          <w:szCs w:val="26"/>
        </w:rPr>
        <w:t xml:space="preserve">  </w:t>
      </w:r>
      <w:r w:rsidRPr="00B64EAB" w:rsidR="1CDFD440">
        <w:rPr>
          <w:szCs w:val="26"/>
        </w:rPr>
        <w:t xml:space="preserve">the timeline to make repairs; </w:t>
      </w:r>
      <w:r>
        <w:rPr>
          <w:szCs w:val="26"/>
        </w:rPr>
        <w:t>and</w:t>
      </w:r>
    </w:p>
    <w:p w:rsidR="001973DE" w:rsidP="00660434" w:rsidRDefault="00660434" w14:paraId="31BBCFDD" w14:textId="77777777">
      <w:pPr>
        <w:pStyle w:val="OP"/>
        <w:spacing w:after="120" w:line="240" w:lineRule="auto"/>
        <w:ind w:left="1080" w:right="1440" w:hanging="360"/>
        <w:rPr>
          <w:szCs w:val="26"/>
        </w:rPr>
      </w:pPr>
      <w:r w:rsidRPr="00CD142B">
        <w:rPr>
          <w:szCs w:val="26"/>
        </w:rPr>
        <w:t>e.</w:t>
      </w:r>
      <w:r>
        <w:rPr>
          <w:szCs w:val="26"/>
        </w:rPr>
        <w:t xml:space="preserve">  </w:t>
      </w:r>
      <w:r w:rsidRPr="00B64EAB" w:rsidR="1CDFD440">
        <w:rPr>
          <w:szCs w:val="26"/>
        </w:rPr>
        <w:t xml:space="preserve">any changes to any energy/communication infrastructure required; and </w:t>
      </w:r>
    </w:p>
    <w:p w:rsidR="00EE52C8" w:rsidP="00EE52C8" w:rsidRDefault="001973DE" w14:paraId="1C7D6F99" w14:textId="77777777">
      <w:pPr>
        <w:pStyle w:val="OP"/>
        <w:spacing w:line="240" w:lineRule="auto"/>
        <w:ind w:left="1080" w:right="1440" w:hanging="360"/>
        <w:rPr>
          <w:szCs w:val="26"/>
        </w:rPr>
      </w:pPr>
      <w:r>
        <w:rPr>
          <w:szCs w:val="26"/>
        </w:rPr>
        <w:t>f</w:t>
      </w:r>
      <w:r w:rsidR="00A561BD">
        <w:rPr>
          <w:szCs w:val="26"/>
        </w:rPr>
        <w:t>.</w:t>
      </w:r>
      <w:r w:rsidRPr="00B64EAB" w:rsidR="1CDFD440">
        <w:rPr>
          <w:szCs w:val="26"/>
        </w:rPr>
        <w:t xml:space="preserve"> the contact information of the individual responsible for </w:t>
      </w:r>
    </w:p>
    <w:p w:rsidRPr="00660434" w:rsidR="000537B4" w:rsidP="00EE52C8" w:rsidRDefault="1CDFD440" w14:paraId="286C46F5" w14:textId="7CF6A0A2">
      <w:pPr>
        <w:pStyle w:val="OP"/>
        <w:spacing w:line="240" w:lineRule="auto"/>
        <w:ind w:left="1080" w:right="1440" w:hanging="180"/>
        <w:rPr>
          <w:szCs w:val="26"/>
        </w:rPr>
      </w:pPr>
      <w:r w:rsidRPr="00B64EAB">
        <w:rPr>
          <w:szCs w:val="26"/>
        </w:rPr>
        <w:t xml:space="preserve">community engagement in these instances.   </w:t>
      </w:r>
    </w:p>
    <w:p w:rsidR="00630595" w:rsidP="000A22B3" w:rsidRDefault="1CDFD440" w14:paraId="65C21898" w14:textId="378D3CE6">
      <w:pPr>
        <w:pStyle w:val="OP"/>
        <w:numPr>
          <w:ilvl w:val="0"/>
          <w:numId w:val="27"/>
        </w:numPr>
        <w:rPr>
          <w:szCs w:val="26"/>
        </w:rPr>
      </w:pPr>
      <w:r w:rsidRPr="00B64EAB">
        <w:rPr>
          <w:szCs w:val="26"/>
        </w:rPr>
        <w:t>Within 30 days of being permitted back into a disaster area discussed in</w:t>
      </w:r>
      <w:r w:rsidR="00630595">
        <w:rPr>
          <w:szCs w:val="26"/>
        </w:rPr>
        <w:t xml:space="preserve"> </w:t>
      </w:r>
    </w:p>
    <w:p w:rsidR="00D501AD" w:rsidP="000A22B3" w:rsidRDefault="1CDFD440" w14:paraId="0927322C" w14:textId="40660BF0">
      <w:pPr>
        <w:pStyle w:val="OP"/>
        <w:ind w:firstLine="0"/>
        <w:rPr>
          <w:rFonts w:eastAsiaTheme="minorEastAsia"/>
          <w:szCs w:val="26"/>
        </w:rPr>
      </w:pPr>
      <w:r w:rsidRPr="00B64EAB">
        <w:rPr>
          <w:szCs w:val="26"/>
        </w:rPr>
        <w:t xml:space="preserve">Ordering Paragraph </w:t>
      </w:r>
      <w:r w:rsidRPr="00B64EAB" w:rsidR="00280421">
        <w:rPr>
          <w:szCs w:val="26"/>
        </w:rPr>
        <w:t>4</w:t>
      </w:r>
      <w:r w:rsidRPr="00B64EAB">
        <w:rPr>
          <w:szCs w:val="26"/>
        </w:rPr>
        <w:t xml:space="preserve">, the </w:t>
      </w:r>
      <w:r w:rsidRPr="00B64EAB" w:rsidR="74C5CE49">
        <w:rPr>
          <w:szCs w:val="26"/>
        </w:rPr>
        <w:t>facilities-based wireless or wireline provider</w:t>
      </w:r>
      <w:r w:rsidRPr="00B64EAB">
        <w:rPr>
          <w:szCs w:val="26"/>
        </w:rPr>
        <w:t xml:space="preserve"> shall meet in person with the impacted community to allow an opportunity to discuss any rebuilding plans and consider incorporating any comments made by the affected community while working on their restoration.  The meeting should be with the appropriate local government contained within the disaster area, including the chief executive or leader of the city, township or Tribal government, or their designee.  In the case of an unincorporated area, the communication must be established with the appropriate County. </w:t>
      </w:r>
      <w:r w:rsidR="00630595">
        <w:rPr>
          <w:szCs w:val="26"/>
        </w:rPr>
        <w:t xml:space="preserve"> </w:t>
      </w:r>
      <w:r w:rsidRPr="00630595" w:rsidR="00630595">
        <w:rPr>
          <w:szCs w:val="26"/>
        </w:rPr>
        <w:t xml:space="preserve">In the case of </w:t>
      </w:r>
      <w:r w:rsidR="006E64A9">
        <w:rPr>
          <w:szCs w:val="26"/>
        </w:rPr>
        <w:t>T</w:t>
      </w:r>
      <w:r w:rsidRPr="00630595" w:rsidR="00630595">
        <w:rPr>
          <w:szCs w:val="26"/>
        </w:rPr>
        <w:t>ribal governments, the meeting(s)</w:t>
      </w:r>
      <w:r w:rsidR="006E64A9">
        <w:rPr>
          <w:szCs w:val="26"/>
        </w:rPr>
        <w:t xml:space="preserve"> </w:t>
      </w:r>
      <w:r w:rsidRPr="00630595" w:rsidR="00630595">
        <w:rPr>
          <w:szCs w:val="26"/>
        </w:rPr>
        <w:t xml:space="preserve">must be with any tribe(s) that have </w:t>
      </w:r>
      <w:r w:rsidR="006E64A9">
        <w:rPr>
          <w:szCs w:val="26"/>
        </w:rPr>
        <w:t>T</w:t>
      </w:r>
      <w:r w:rsidRPr="00630595" w:rsidR="00630595">
        <w:rPr>
          <w:szCs w:val="26"/>
        </w:rPr>
        <w:t>ribal lands or ancestral territory overlapping</w:t>
      </w:r>
      <w:r w:rsidR="006E64A9">
        <w:rPr>
          <w:szCs w:val="26"/>
        </w:rPr>
        <w:t xml:space="preserve"> </w:t>
      </w:r>
      <w:r w:rsidRPr="00630595" w:rsidR="00630595">
        <w:rPr>
          <w:szCs w:val="26"/>
        </w:rPr>
        <w:t>with any portion of the disaster area</w:t>
      </w:r>
      <w:r w:rsidR="006E64A9">
        <w:rPr>
          <w:szCs w:val="26"/>
        </w:rPr>
        <w:t>.</w:t>
      </w:r>
    </w:p>
    <w:p w:rsidR="00630595" w:rsidP="000A22B3" w:rsidRDefault="1CDFD440" w14:paraId="2BC02638" w14:textId="25E4C6F6">
      <w:pPr>
        <w:pStyle w:val="OP"/>
        <w:numPr>
          <w:ilvl w:val="0"/>
          <w:numId w:val="27"/>
        </w:numPr>
        <w:rPr>
          <w:szCs w:val="26"/>
        </w:rPr>
      </w:pPr>
      <w:r w:rsidRPr="00B64EAB">
        <w:rPr>
          <w:szCs w:val="26"/>
        </w:rPr>
        <w:t xml:space="preserve">Within 60 days after service is restored and all restoration or rebuilding </w:t>
      </w:r>
    </w:p>
    <w:p w:rsidRPr="00B64EAB" w:rsidR="000537B4" w:rsidP="000A22B3" w:rsidRDefault="1CDFD440" w14:paraId="52E4E67F" w14:textId="5B7ED50C">
      <w:pPr>
        <w:pStyle w:val="OP"/>
        <w:ind w:firstLine="0"/>
        <w:rPr>
          <w:rFonts w:eastAsiaTheme="minorEastAsia"/>
          <w:szCs w:val="26"/>
        </w:rPr>
      </w:pPr>
      <w:r w:rsidRPr="00B64EAB">
        <w:rPr>
          <w:szCs w:val="26"/>
        </w:rPr>
        <w:t xml:space="preserve">work is complete following a disaster discussed in Ordering Paragraphs </w:t>
      </w:r>
      <w:r w:rsidRPr="00B64EAB" w:rsidR="00280421">
        <w:rPr>
          <w:szCs w:val="26"/>
        </w:rPr>
        <w:t>4</w:t>
      </w:r>
      <w:r w:rsidRPr="00B64EAB">
        <w:rPr>
          <w:szCs w:val="26"/>
        </w:rPr>
        <w:t xml:space="preserve"> and </w:t>
      </w:r>
      <w:r w:rsidRPr="00B64EAB" w:rsidR="00280421">
        <w:rPr>
          <w:szCs w:val="26"/>
        </w:rPr>
        <w:t>5</w:t>
      </w:r>
      <w:r w:rsidRPr="00B64EAB">
        <w:rPr>
          <w:szCs w:val="26"/>
        </w:rPr>
        <w:t xml:space="preserve">, </w:t>
      </w:r>
      <w:r w:rsidRPr="00B64EAB" w:rsidR="0FB45E64">
        <w:rPr>
          <w:szCs w:val="26"/>
        </w:rPr>
        <w:t>the facilities</w:t>
      </w:r>
      <w:r w:rsidR="00660434">
        <w:rPr>
          <w:szCs w:val="26"/>
        </w:rPr>
        <w:noBreakHyphen/>
      </w:r>
      <w:r w:rsidRPr="00B64EAB" w:rsidR="0FB45E64">
        <w:rPr>
          <w:szCs w:val="26"/>
        </w:rPr>
        <w:t>based wireline or wireless provider sh</w:t>
      </w:r>
      <w:r w:rsidRPr="00B64EAB">
        <w:rPr>
          <w:szCs w:val="26"/>
        </w:rPr>
        <w:t xml:space="preserve">all file a Tier 2 Advice Letter.  The Tier 2 Advice Letter shall be filed with Commission’s Communications </w:t>
      </w:r>
      <w:r w:rsidRPr="00B64EAB">
        <w:rPr>
          <w:szCs w:val="26"/>
        </w:rPr>
        <w:lastRenderedPageBreak/>
        <w:t>Division</w:t>
      </w:r>
      <w:r w:rsidRPr="00B64EAB" w:rsidR="00B25E39">
        <w:rPr>
          <w:szCs w:val="26"/>
        </w:rPr>
        <w:t xml:space="preserve"> at </w:t>
      </w:r>
      <w:r w:rsidRPr="00D104FA" w:rsidR="00B25E39">
        <w:rPr>
          <w:color w:val="4472C4" w:themeColor="accent1"/>
          <w:szCs w:val="26"/>
          <w:u w:val="single"/>
        </w:rPr>
        <w:t>TD._PAL@cpuc.ca.gov</w:t>
      </w:r>
      <w:r w:rsidRPr="00B64EAB">
        <w:rPr>
          <w:szCs w:val="26"/>
        </w:rPr>
        <w:t xml:space="preserve">, and also provided to the same individuals and entities as required by the initial Tier 1 Advice Letter.  This Tier 2 Advice Letter shall include: </w:t>
      </w:r>
    </w:p>
    <w:p w:rsidRPr="00CD142B" w:rsidR="00A31F6E" w:rsidP="00BF3B01" w:rsidRDefault="1CDFD440" w14:paraId="785E833B" w14:textId="6BD98B51">
      <w:pPr>
        <w:pStyle w:val="OP"/>
        <w:numPr>
          <w:ilvl w:val="0"/>
          <w:numId w:val="30"/>
        </w:numPr>
        <w:spacing w:after="120" w:line="240" w:lineRule="auto"/>
        <w:ind w:left="1080" w:right="1440"/>
        <w:rPr>
          <w:rFonts w:eastAsiaTheme="minorEastAsia"/>
          <w:szCs w:val="26"/>
        </w:rPr>
      </w:pPr>
      <w:r w:rsidRPr="00CD142B">
        <w:rPr>
          <w:szCs w:val="26"/>
        </w:rPr>
        <w:t xml:space="preserve">a summary of restoration and/or rebuild activities; </w:t>
      </w:r>
    </w:p>
    <w:p w:rsidRPr="00A31F6E" w:rsidR="00A31F6E" w:rsidP="00BF3B01" w:rsidRDefault="1CDFD440" w14:paraId="5ADD4B76" w14:textId="749AE636">
      <w:pPr>
        <w:pStyle w:val="OP"/>
        <w:numPr>
          <w:ilvl w:val="0"/>
          <w:numId w:val="30"/>
        </w:numPr>
        <w:spacing w:after="120" w:line="240" w:lineRule="auto"/>
        <w:ind w:left="1080" w:right="1440"/>
        <w:rPr>
          <w:rFonts w:eastAsiaTheme="minorEastAsia"/>
          <w:szCs w:val="26"/>
        </w:rPr>
      </w:pPr>
      <w:r w:rsidRPr="00A31F6E">
        <w:rPr>
          <w:szCs w:val="26"/>
        </w:rPr>
        <w:t>a summary of the meetings and other communications that took place;</w:t>
      </w:r>
    </w:p>
    <w:p w:rsidRPr="00A31F6E" w:rsidR="00A31F6E" w:rsidP="00BF3B01" w:rsidRDefault="1CDFD440" w14:paraId="69666A85" w14:textId="15254CA1">
      <w:pPr>
        <w:pStyle w:val="OP"/>
        <w:numPr>
          <w:ilvl w:val="0"/>
          <w:numId w:val="30"/>
        </w:numPr>
        <w:spacing w:after="120" w:line="240" w:lineRule="auto"/>
        <w:ind w:left="1080" w:right="1440"/>
        <w:rPr>
          <w:szCs w:val="26"/>
        </w:rPr>
      </w:pPr>
      <w:r w:rsidRPr="00A31F6E">
        <w:rPr>
          <w:szCs w:val="26"/>
        </w:rPr>
        <w:t xml:space="preserve">a summary of any changes made after the meet and confer meeting(s); </w:t>
      </w:r>
    </w:p>
    <w:p w:rsidRPr="00A31F6E" w:rsidR="00A31F6E" w:rsidP="00BF3B01" w:rsidRDefault="1CDFD440" w14:paraId="3E761CEF" w14:textId="450736E3">
      <w:pPr>
        <w:pStyle w:val="OP"/>
        <w:numPr>
          <w:ilvl w:val="0"/>
          <w:numId w:val="30"/>
        </w:numPr>
        <w:spacing w:after="120" w:line="240" w:lineRule="auto"/>
        <w:ind w:left="1080" w:right="1440"/>
        <w:rPr>
          <w:szCs w:val="26"/>
        </w:rPr>
      </w:pPr>
      <w:r w:rsidRPr="00A31F6E">
        <w:rPr>
          <w:szCs w:val="26"/>
        </w:rPr>
        <w:t xml:space="preserve">a summary of any energy/communication infrastructure added or changed, as well as the location, including a map; and </w:t>
      </w:r>
    </w:p>
    <w:p w:rsidRPr="00A31F6E" w:rsidR="000537B4" w:rsidP="00BF3B01" w:rsidRDefault="1CDFD440" w14:paraId="38582002" w14:textId="3FB74CB7">
      <w:pPr>
        <w:pStyle w:val="OP"/>
        <w:numPr>
          <w:ilvl w:val="0"/>
          <w:numId w:val="30"/>
        </w:numPr>
        <w:spacing w:after="120" w:line="240" w:lineRule="auto"/>
        <w:ind w:left="1080" w:right="1440"/>
        <w:rPr>
          <w:szCs w:val="26"/>
        </w:rPr>
      </w:pPr>
      <w:r w:rsidRPr="00A31F6E">
        <w:rPr>
          <w:szCs w:val="26"/>
        </w:rPr>
        <w:t xml:space="preserve">other issues that caused delays, such as land rights, permits, or discussions with certain entities. </w:t>
      </w:r>
    </w:p>
    <w:p w:rsidRPr="00B64EAB" w:rsidR="007B315C" w:rsidP="00BF3B01" w:rsidRDefault="00D501AD" w14:paraId="0E79EC19" w14:textId="47AAE118">
      <w:pPr>
        <w:pStyle w:val="OP"/>
        <w:tabs>
          <w:tab w:val="left" w:pos="360"/>
        </w:tabs>
        <w:ind w:left="360" w:firstLine="0"/>
        <w:rPr>
          <w:szCs w:val="26"/>
        </w:rPr>
      </w:pPr>
      <w:r>
        <w:rPr>
          <w:szCs w:val="26"/>
        </w:rPr>
        <w:t>7</w:t>
      </w:r>
      <w:r w:rsidR="005D0643">
        <w:rPr>
          <w:szCs w:val="26"/>
        </w:rPr>
        <w:t>.</w:t>
      </w:r>
      <w:r w:rsidR="005D0643">
        <w:rPr>
          <w:szCs w:val="26"/>
        </w:rPr>
        <w:tab/>
      </w:r>
      <w:r w:rsidRPr="00B64EAB" w:rsidR="006631E9">
        <w:rPr>
          <w:szCs w:val="26"/>
        </w:rPr>
        <w:t xml:space="preserve">The Commission hereby authorizes eligible </w:t>
      </w:r>
      <w:r w:rsidRPr="00B64EAB" w:rsidR="002F170F">
        <w:rPr>
          <w:szCs w:val="26"/>
        </w:rPr>
        <w:t xml:space="preserve">grantees </w:t>
      </w:r>
      <w:r w:rsidRPr="00B64EAB" w:rsidR="006631E9">
        <w:rPr>
          <w:szCs w:val="26"/>
        </w:rPr>
        <w:t xml:space="preserve">to apply for </w:t>
      </w:r>
      <w:r w:rsidRPr="00CD142B" w:rsidR="002F170F">
        <w:rPr>
          <w:szCs w:val="26"/>
        </w:rPr>
        <w:t>Digital</w:t>
      </w:r>
      <w:r w:rsidRPr="00CD142B" w:rsidR="00660434">
        <w:rPr>
          <w:szCs w:val="26"/>
        </w:rPr>
        <w:t> </w:t>
      </w:r>
      <w:r w:rsidRPr="00CD142B" w:rsidR="002F170F">
        <w:rPr>
          <w:szCs w:val="26"/>
        </w:rPr>
        <w:t>Di</w:t>
      </w:r>
      <w:r w:rsidRPr="00B64EAB" w:rsidR="002F170F">
        <w:rPr>
          <w:szCs w:val="26"/>
        </w:rPr>
        <w:t xml:space="preserve">vide Account </w:t>
      </w:r>
      <w:r w:rsidRPr="00B64EAB" w:rsidR="006631E9">
        <w:rPr>
          <w:szCs w:val="26"/>
        </w:rPr>
        <w:t xml:space="preserve">grants pursuant to </w:t>
      </w:r>
      <w:r w:rsidRPr="00B64EAB" w:rsidR="002F170F">
        <w:rPr>
          <w:szCs w:val="26"/>
        </w:rPr>
        <w:t>Pub. Util. Code Section 280.5</w:t>
      </w:r>
      <w:r w:rsidRPr="00B64EAB" w:rsidR="007B315C">
        <w:rPr>
          <w:szCs w:val="26"/>
        </w:rPr>
        <w:t xml:space="preserve"> </w:t>
      </w:r>
      <w:r w:rsidRPr="00B64EAB" w:rsidR="006631E9">
        <w:rPr>
          <w:szCs w:val="26"/>
        </w:rPr>
        <w:t xml:space="preserve">and the </w:t>
      </w:r>
      <w:r w:rsidR="00290DA6">
        <w:rPr>
          <w:szCs w:val="26"/>
        </w:rPr>
        <w:t>conditions set out in this ordering paragraph</w:t>
      </w:r>
      <w:r w:rsidRPr="00B64EAB" w:rsidR="006631E9">
        <w:rPr>
          <w:szCs w:val="26"/>
        </w:rPr>
        <w:t xml:space="preserve">. </w:t>
      </w:r>
    </w:p>
    <w:p w:rsidRPr="00CD142B" w:rsidR="007F03CB" w:rsidP="00660434" w:rsidRDefault="00660434" w14:paraId="1E573701" w14:textId="6B8E5FF1">
      <w:pPr>
        <w:pStyle w:val="OP"/>
        <w:spacing w:after="120" w:line="240" w:lineRule="auto"/>
        <w:ind w:left="1080" w:right="1440" w:hanging="360"/>
        <w:rPr>
          <w:szCs w:val="26"/>
        </w:rPr>
      </w:pPr>
      <w:r w:rsidRPr="00CD142B">
        <w:rPr>
          <w:szCs w:val="26"/>
        </w:rPr>
        <w:t xml:space="preserve">a.  </w:t>
      </w:r>
      <w:r w:rsidRPr="00CD142B" w:rsidR="007F03CB">
        <w:rPr>
          <w:szCs w:val="26"/>
        </w:rPr>
        <w:t xml:space="preserve">Grants are limited to serving </w:t>
      </w:r>
      <w:r w:rsidRPr="00CD142B" w:rsidR="007B315C">
        <w:rPr>
          <w:szCs w:val="26"/>
        </w:rPr>
        <w:t xml:space="preserve">urban </w:t>
      </w:r>
      <w:r w:rsidRPr="00CD142B" w:rsidR="007262BB">
        <w:rPr>
          <w:szCs w:val="26"/>
        </w:rPr>
        <w:t xml:space="preserve">and </w:t>
      </w:r>
      <w:r w:rsidRPr="00CD142B" w:rsidR="007F03CB">
        <w:rPr>
          <w:szCs w:val="26"/>
        </w:rPr>
        <w:t>rural low-income small school districts;</w:t>
      </w:r>
    </w:p>
    <w:p w:rsidRPr="00CD142B" w:rsidR="00B80464" w:rsidP="00660434" w:rsidRDefault="00660434" w14:paraId="6C83C8F9" w14:textId="3AAD1F36">
      <w:pPr>
        <w:pStyle w:val="OP"/>
        <w:spacing w:after="120" w:line="240" w:lineRule="auto"/>
        <w:ind w:left="1080" w:right="1440" w:hanging="360"/>
        <w:rPr>
          <w:szCs w:val="26"/>
        </w:rPr>
      </w:pPr>
      <w:r w:rsidRPr="00CD142B">
        <w:rPr>
          <w:szCs w:val="26"/>
        </w:rPr>
        <w:t xml:space="preserve">b.  </w:t>
      </w:r>
      <w:r w:rsidRPr="00CD142B" w:rsidR="007F03CB">
        <w:rPr>
          <w:szCs w:val="26"/>
        </w:rPr>
        <w:t>The beneficiary school must be in a</w:t>
      </w:r>
      <w:r w:rsidRPr="00CD142B" w:rsidR="00B80464">
        <w:rPr>
          <w:szCs w:val="26"/>
        </w:rPr>
        <w:t xml:space="preserve">n urban or </w:t>
      </w:r>
      <w:r w:rsidRPr="00CD142B" w:rsidR="007F03CB">
        <w:rPr>
          <w:szCs w:val="26"/>
        </w:rPr>
        <w:t>small rural school district, as identified by the California Department of Education;</w:t>
      </w:r>
    </w:p>
    <w:p w:rsidRPr="00CD142B" w:rsidR="00B80464" w:rsidP="00660434" w:rsidRDefault="00660434" w14:paraId="2CACFC4D" w14:textId="010F201F">
      <w:pPr>
        <w:pStyle w:val="OP"/>
        <w:spacing w:after="120" w:line="240" w:lineRule="auto"/>
        <w:ind w:left="1080" w:right="1440" w:hanging="360"/>
        <w:rPr>
          <w:szCs w:val="26"/>
        </w:rPr>
      </w:pPr>
      <w:r w:rsidRPr="00CD142B">
        <w:rPr>
          <w:szCs w:val="26"/>
        </w:rPr>
        <w:t xml:space="preserve">c.  </w:t>
      </w:r>
      <w:r w:rsidRPr="00CD142B" w:rsidR="007F03CB">
        <w:rPr>
          <w:szCs w:val="26"/>
        </w:rPr>
        <w:t xml:space="preserve">The beneficiary school must have a free lunch participation rate of at least </w:t>
      </w:r>
      <w:r w:rsidRPr="00CD142B" w:rsidR="00B80464">
        <w:rPr>
          <w:szCs w:val="26"/>
        </w:rPr>
        <w:t>50</w:t>
      </w:r>
      <w:r w:rsidRPr="00CD142B" w:rsidR="007F03CB">
        <w:rPr>
          <w:szCs w:val="26"/>
        </w:rPr>
        <w:t xml:space="preserve"> percent;</w:t>
      </w:r>
    </w:p>
    <w:p w:rsidRPr="00CD142B" w:rsidR="00B80464" w:rsidP="00660434" w:rsidRDefault="00660434" w14:paraId="0136C122" w14:textId="5BCE3C0E">
      <w:pPr>
        <w:pStyle w:val="OP"/>
        <w:spacing w:after="120" w:line="240" w:lineRule="auto"/>
        <w:ind w:left="1080" w:right="1440" w:hanging="360"/>
        <w:rPr>
          <w:szCs w:val="26"/>
        </w:rPr>
      </w:pPr>
      <w:r w:rsidRPr="00CD142B">
        <w:rPr>
          <w:szCs w:val="26"/>
        </w:rPr>
        <w:t xml:space="preserve">d.  </w:t>
      </w:r>
      <w:r w:rsidRPr="00CD142B" w:rsidR="007F03CB">
        <w:rPr>
          <w:szCs w:val="26"/>
        </w:rPr>
        <w:t>The grant recipient must be a Community Based Organization</w:t>
      </w:r>
      <w:r w:rsidRPr="00CD142B" w:rsidR="00B80464">
        <w:rPr>
          <w:szCs w:val="26"/>
        </w:rPr>
        <w:t xml:space="preserve"> no</w:t>
      </w:r>
      <w:r w:rsidRPr="00CD142B" w:rsidR="007F03CB">
        <w:rPr>
          <w:szCs w:val="26"/>
        </w:rPr>
        <w:t>n-profit with a demonstrated record of work to address the digital divide;</w:t>
      </w:r>
    </w:p>
    <w:p w:rsidR="00B80464" w:rsidP="00660434" w:rsidRDefault="00660434" w14:paraId="70760E89" w14:textId="28C159E3">
      <w:pPr>
        <w:pStyle w:val="OP"/>
        <w:spacing w:after="120" w:line="240" w:lineRule="auto"/>
        <w:ind w:left="1080" w:right="1440" w:hanging="360"/>
        <w:rPr>
          <w:szCs w:val="26"/>
        </w:rPr>
      </w:pPr>
      <w:r w:rsidRPr="00CD142B">
        <w:rPr>
          <w:szCs w:val="26"/>
        </w:rPr>
        <w:t xml:space="preserve">e.  </w:t>
      </w:r>
      <w:r w:rsidRPr="00CD142B" w:rsidR="007F03CB">
        <w:rPr>
          <w:szCs w:val="26"/>
        </w:rPr>
        <w:t xml:space="preserve">CBO administrative expenses are limited to no more than </w:t>
      </w:r>
      <w:r w:rsidR="00A155F2">
        <w:rPr>
          <w:szCs w:val="26"/>
        </w:rPr>
        <w:t>10</w:t>
      </w:r>
      <w:r w:rsidRPr="00CD142B" w:rsidR="007F03CB">
        <w:rPr>
          <w:szCs w:val="26"/>
        </w:rPr>
        <w:t xml:space="preserve"> percent of the grant amount;</w:t>
      </w:r>
    </w:p>
    <w:p w:rsidR="00D104FA" w:rsidP="00660434" w:rsidRDefault="00D104FA" w14:paraId="1CA218EE" w14:textId="11A33689">
      <w:pPr>
        <w:pStyle w:val="OP"/>
        <w:spacing w:after="120" w:line="240" w:lineRule="auto"/>
        <w:ind w:left="1080" w:right="1440" w:hanging="360"/>
        <w:rPr>
          <w:szCs w:val="26"/>
        </w:rPr>
      </w:pPr>
    </w:p>
    <w:p w:rsidRPr="00CD142B" w:rsidR="00D104FA" w:rsidP="00660434" w:rsidRDefault="00D104FA" w14:paraId="3D6FD19A" w14:textId="77777777">
      <w:pPr>
        <w:pStyle w:val="OP"/>
        <w:spacing w:after="120" w:line="240" w:lineRule="auto"/>
        <w:ind w:left="1080" w:right="1440" w:hanging="360"/>
        <w:rPr>
          <w:szCs w:val="26"/>
        </w:rPr>
      </w:pPr>
    </w:p>
    <w:p w:rsidRPr="00B64EAB" w:rsidR="00D104FA" w:rsidP="00D104FA" w:rsidRDefault="00660434" w14:paraId="7E0534A3" w14:textId="05C8E4C1">
      <w:pPr>
        <w:pStyle w:val="OP"/>
        <w:spacing w:after="120" w:line="240" w:lineRule="auto"/>
        <w:ind w:left="1080" w:right="1440" w:hanging="360"/>
        <w:rPr>
          <w:szCs w:val="26"/>
        </w:rPr>
      </w:pPr>
      <w:r w:rsidRPr="00CD142B">
        <w:rPr>
          <w:szCs w:val="26"/>
        </w:rPr>
        <w:lastRenderedPageBreak/>
        <w:t xml:space="preserve">f.  </w:t>
      </w:r>
      <w:r w:rsidRPr="00CD142B" w:rsidR="007F03CB">
        <w:rPr>
          <w:szCs w:val="26"/>
        </w:rPr>
        <w:t>Grants must provide a holistic solution including, but not</w:t>
      </w:r>
      <w:r w:rsidRPr="00B64EAB" w:rsidR="007F03CB">
        <w:rPr>
          <w:szCs w:val="26"/>
        </w:rPr>
        <w:t xml:space="preserve"> limited, to:</w:t>
      </w:r>
      <w:r w:rsidRPr="00B64EAB" w:rsidR="00B80464">
        <w:rPr>
          <w:szCs w:val="26"/>
        </w:rPr>
        <w:t xml:space="preserve"> </w:t>
      </w:r>
    </w:p>
    <w:p w:rsidRPr="00B64EAB" w:rsidR="000B4833" w:rsidP="00EE52C8" w:rsidRDefault="007F03CB" w14:paraId="03728A5B" w14:textId="77777777">
      <w:pPr>
        <w:pStyle w:val="OP"/>
        <w:numPr>
          <w:ilvl w:val="2"/>
          <w:numId w:val="27"/>
        </w:numPr>
        <w:spacing w:after="120" w:line="240" w:lineRule="auto"/>
        <w:ind w:right="1440"/>
        <w:rPr>
          <w:szCs w:val="26"/>
        </w:rPr>
      </w:pPr>
      <w:r w:rsidRPr="00B64EAB">
        <w:rPr>
          <w:szCs w:val="26"/>
        </w:rPr>
        <w:t>Student home broadband connection;</w:t>
      </w:r>
    </w:p>
    <w:p w:rsidRPr="00B64EAB" w:rsidR="000B4833" w:rsidP="00EE52C8" w:rsidRDefault="007F03CB" w14:paraId="6B5CE2EE" w14:textId="77777777">
      <w:pPr>
        <w:pStyle w:val="OP"/>
        <w:numPr>
          <w:ilvl w:val="2"/>
          <w:numId w:val="27"/>
        </w:numPr>
        <w:spacing w:after="120" w:line="240" w:lineRule="auto"/>
        <w:ind w:right="1440"/>
        <w:rPr>
          <w:szCs w:val="26"/>
        </w:rPr>
      </w:pPr>
      <w:r w:rsidRPr="00B64EAB">
        <w:rPr>
          <w:szCs w:val="26"/>
        </w:rPr>
        <w:t>Student required hardware including laptop, Chromebook and/or hotspots;</w:t>
      </w:r>
    </w:p>
    <w:p w:rsidR="00290DA6" w:rsidP="00EE52C8" w:rsidRDefault="009C3144" w14:paraId="1443AE12" w14:textId="77777777">
      <w:pPr>
        <w:pStyle w:val="OP"/>
        <w:numPr>
          <w:ilvl w:val="2"/>
          <w:numId w:val="27"/>
        </w:numPr>
        <w:spacing w:after="120" w:line="240" w:lineRule="auto"/>
        <w:ind w:right="1440"/>
        <w:rPr>
          <w:szCs w:val="26"/>
        </w:rPr>
      </w:pPr>
      <w:r w:rsidRPr="00B64EAB">
        <w:rPr>
          <w:szCs w:val="26"/>
        </w:rPr>
        <w:t xml:space="preserve"> </w:t>
      </w:r>
      <w:r w:rsidRPr="00B64EAB" w:rsidR="007F03CB">
        <w:rPr>
          <w:szCs w:val="26"/>
        </w:rPr>
        <w:t>Student curriculum focused on the use of technology;</w:t>
      </w:r>
    </w:p>
    <w:p w:rsidRPr="00B64EAB" w:rsidR="000B4833" w:rsidP="00EE52C8" w:rsidRDefault="007F03CB" w14:paraId="66DF7953" w14:textId="7CD50C3E">
      <w:pPr>
        <w:pStyle w:val="OP"/>
        <w:numPr>
          <w:ilvl w:val="2"/>
          <w:numId w:val="27"/>
        </w:numPr>
        <w:spacing w:after="120" w:line="240" w:lineRule="auto"/>
        <w:ind w:right="1440"/>
        <w:rPr>
          <w:szCs w:val="26"/>
        </w:rPr>
      </w:pPr>
      <w:r w:rsidRPr="00B64EAB">
        <w:rPr>
          <w:szCs w:val="26"/>
        </w:rPr>
        <w:t xml:space="preserve"> Software to enable distance learning for student and teacher; and</w:t>
      </w:r>
    </w:p>
    <w:p w:rsidRPr="00B64EAB" w:rsidR="007F03CB" w:rsidP="00EE52C8" w:rsidRDefault="007F03CB" w14:paraId="05F8B26A" w14:textId="2F4E38A2">
      <w:pPr>
        <w:pStyle w:val="OP"/>
        <w:numPr>
          <w:ilvl w:val="2"/>
          <w:numId w:val="27"/>
        </w:numPr>
        <w:spacing w:after="120" w:line="240" w:lineRule="auto"/>
        <w:ind w:right="1440"/>
        <w:rPr>
          <w:szCs w:val="26"/>
        </w:rPr>
      </w:pPr>
      <w:r w:rsidRPr="00B64EAB">
        <w:rPr>
          <w:szCs w:val="26"/>
        </w:rPr>
        <w:t>Training for teachers in the use of technology for distance learning;</w:t>
      </w:r>
    </w:p>
    <w:p w:rsidRPr="00B64EAB" w:rsidR="00A31F6E" w:rsidP="00A31F6E" w:rsidRDefault="007F03CB" w14:paraId="6416505F" w14:textId="7606DF05">
      <w:pPr>
        <w:pStyle w:val="OP"/>
        <w:numPr>
          <w:ilvl w:val="7"/>
          <w:numId w:val="1"/>
        </w:numPr>
        <w:spacing w:after="120" w:line="240" w:lineRule="auto"/>
        <w:ind w:right="1440"/>
        <w:rPr>
          <w:szCs w:val="26"/>
        </w:rPr>
      </w:pPr>
      <w:r w:rsidRPr="00B64EAB">
        <w:rPr>
          <w:szCs w:val="26"/>
        </w:rPr>
        <w:t>The term of the project is limited to one school year;</w:t>
      </w:r>
    </w:p>
    <w:p w:rsidRPr="00A31F6E" w:rsidR="00A31F6E" w:rsidP="00A31F6E" w:rsidRDefault="007F03CB" w14:paraId="0B952118" w14:textId="3D02009A">
      <w:pPr>
        <w:pStyle w:val="OP"/>
        <w:numPr>
          <w:ilvl w:val="7"/>
          <w:numId w:val="1"/>
        </w:numPr>
        <w:spacing w:after="120" w:line="240" w:lineRule="auto"/>
        <w:ind w:right="1440"/>
        <w:rPr>
          <w:szCs w:val="26"/>
        </w:rPr>
      </w:pPr>
      <w:r w:rsidRPr="00A31F6E">
        <w:rPr>
          <w:szCs w:val="26"/>
        </w:rPr>
        <w:t xml:space="preserve">Ongoing subsidies for </w:t>
      </w:r>
      <w:r w:rsidRPr="00A31F6E" w:rsidR="00B272D3">
        <w:rPr>
          <w:szCs w:val="26"/>
        </w:rPr>
        <w:t xml:space="preserve">the Commission’s </w:t>
      </w:r>
      <w:r w:rsidRPr="00A31F6E">
        <w:rPr>
          <w:szCs w:val="26"/>
        </w:rPr>
        <w:t>C</w:t>
      </w:r>
      <w:r w:rsidRPr="00A31F6E" w:rsidR="000B4833">
        <w:rPr>
          <w:szCs w:val="26"/>
        </w:rPr>
        <w:t xml:space="preserve">alifornia </w:t>
      </w:r>
      <w:proofErr w:type="spellStart"/>
      <w:r w:rsidRPr="00A31F6E" w:rsidR="000B4833">
        <w:rPr>
          <w:szCs w:val="26"/>
        </w:rPr>
        <w:t>Teleconne</w:t>
      </w:r>
      <w:r w:rsidRPr="00A31F6E" w:rsidR="00B272D3">
        <w:rPr>
          <w:szCs w:val="26"/>
        </w:rPr>
        <w:t>ct</w:t>
      </w:r>
      <w:proofErr w:type="spellEnd"/>
      <w:r w:rsidRPr="00A31F6E" w:rsidR="00B272D3">
        <w:rPr>
          <w:szCs w:val="26"/>
        </w:rPr>
        <w:t xml:space="preserve"> Fund</w:t>
      </w:r>
      <w:r w:rsidRPr="00A31F6E">
        <w:rPr>
          <w:szCs w:val="26"/>
        </w:rPr>
        <w:t xml:space="preserve"> eligible services may be available for the participating school; and</w:t>
      </w:r>
    </w:p>
    <w:p w:rsidRPr="00B64EAB" w:rsidR="00C35F05" w:rsidP="00A31F6E" w:rsidRDefault="007F03CB" w14:paraId="024357AF" w14:textId="17669638">
      <w:pPr>
        <w:pStyle w:val="OP"/>
        <w:numPr>
          <w:ilvl w:val="7"/>
          <w:numId w:val="1"/>
        </w:numPr>
        <w:spacing w:after="120" w:line="240" w:lineRule="auto"/>
        <w:ind w:right="1440"/>
        <w:rPr>
          <w:szCs w:val="26"/>
        </w:rPr>
      </w:pPr>
      <w:r w:rsidRPr="00A31F6E">
        <w:rPr>
          <w:szCs w:val="26"/>
        </w:rPr>
        <w:t>Grant</w:t>
      </w:r>
      <w:r w:rsidRPr="00A31F6E" w:rsidR="000E21FB">
        <w:rPr>
          <w:szCs w:val="26"/>
        </w:rPr>
        <w:t xml:space="preserve">s shall </w:t>
      </w:r>
      <w:r w:rsidRPr="00A31F6E">
        <w:rPr>
          <w:szCs w:val="26"/>
        </w:rPr>
        <w:t>not exceed $250,000 per pilot project.</w:t>
      </w:r>
    </w:p>
    <w:p w:rsidR="00EA7451" w:rsidP="00BF3B01" w:rsidRDefault="00BF3B01" w14:paraId="14403A64" w14:textId="07044C49">
      <w:pPr>
        <w:pStyle w:val="OP"/>
        <w:spacing w:after="120"/>
        <w:ind w:left="360" w:right="90" w:firstLine="0"/>
        <w:rPr>
          <w:szCs w:val="26"/>
        </w:rPr>
      </w:pPr>
      <w:r>
        <w:rPr>
          <w:szCs w:val="26"/>
        </w:rPr>
        <w:t>8.</w:t>
      </w:r>
      <w:r>
        <w:rPr>
          <w:szCs w:val="26"/>
        </w:rPr>
        <w:tab/>
      </w:r>
      <w:r w:rsidRPr="00C35F05" w:rsidR="00EA146F">
        <w:rPr>
          <w:szCs w:val="26"/>
        </w:rPr>
        <w:t xml:space="preserve">The Commission delegates to Communications Division staff the </w:t>
      </w:r>
      <w:r w:rsidRPr="00C35F05" w:rsidR="000B0B03">
        <w:rPr>
          <w:szCs w:val="26"/>
        </w:rPr>
        <w:t xml:space="preserve">authority to approve </w:t>
      </w:r>
      <w:r w:rsidRPr="00C35F05" w:rsidR="00927BC0">
        <w:rPr>
          <w:szCs w:val="26"/>
        </w:rPr>
        <w:t>grants from the Digital Divide Account</w:t>
      </w:r>
      <w:r w:rsidRPr="00C35F05" w:rsidR="00D20A13">
        <w:rPr>
          <w:szCs w:val="26"/>
        </w:rPr>
        <w:t xml:space="preserve"> that meet the </w:t>
      </w:r>
      <w:r w:rsidRPr="00C35F05" w:rsidR="009C4DA0">
        <w:rPr>
          <w:szCs w:val="26"/>
        </w:rPr>
        <w:t xml:space="preserve">criteria set forth </w:t>
      </w:r>
      <w:r w:rsidRPr="00C35F05" w:rsidR="00317A8A">
        <w:rPr>
          <w:szCs w:val="26"/>
        </w:rPr>
        <w:t xml:space="preserve">in Ordering Paragraph </w:t>
      </w:r>
      <w:r w:rsidR="00EE52C8">
        <w:rPr>
          <w:szCs w:val="26"/>
        </w:rPr>
        <w:t>7</w:t>
      </w:r>
      <w:r w:rsidRPr="00C35F05" w:rsidR="00317A8A">
        <w:rPr>
          <w:szCs w:val="26"/>
        </w:rPr>
        <w:t>.</w:t>
      </w:r>
      <w:r w:rsidRPr="00C35F05" w:rsidR="00EA146F">
        <w:rPr>
          <w:szCs w:val="26"/>
        </w:rPr>
        <w:t xml:space="preserve"> </w:t>
      </w:r>
    </w:p>
    <w:p w:rsidRPr="00E8597C" w:rsidR="00F6397D" w:rsidP="00BF3B01" w:rsidRDefault="00BF3B01" w14:paraId="677FCFD7" w14:textId="1DE851BD">
      <w:pPr>
        <w:pStyle w:val="OP"/>
        <w:ind w:left="360" w:firstLine="0"/>
        <w:rPr>
          <w:szCs w:val="26"/>
        </w:rPr>
      </w:pPr>
      <w:r>
        <w:rPr>
          <w:szCs w:val="26"/>
        </w:rPr>
        <w:t>9.</w:t>
      </w:r>
      <w:r>
        <w:rPr>
          <w:szCs w:val="26"/>
        </w:rPr>
        <w:tab/>
      </w:r>
      <w:r w:rsidRPr="00E8597C" w:rsidR="00E8597C">
        <w:rPr>
          <w:szCs w:val="26"/>
        </w:rPr>
        <w:t>R</w:t>
      </w:r>
      <w:r w:rsidRPr="00E8597C" w:rsidR="00E23CBB">
        <w:rPr>
          <w:szCs w:val="26"/>
        </w:rPr>
        <w:t xml:space="preserve">ulemaking </w:t>
      </w:r>
      <w:r w:rsidRPr="00E8597C" w:rsidR="00656244">
        <w:rPr>
          <w:szCs w:val="26"/>
        </w:rPr>
        <w:t>20-09-001 remains open</w:t>
      </w:r>
      <w:r w:rsidRPr="00E8597C" w:rsidR="00E23CBB">
        <w:rPr>
          <w:szCs w:val="26"/>
        </w:rPr>
        <w:t>.</w:t>
      </w:r>
    </w:p>
    <w:p w:rsidRPr="00B64EAB" w:rsidR="008F0116" w:rsidP="008F0116" w:rsidRDefault="008F0116" w14:paraId="2D55683D" w14:textId="77777777">
      <w:pPr>
        <w:rPr>
          <w:szCs w:val="26"/>
        </w:rPr>
      </w:pPr>
      <w:r w:rsidRPr="00B64EAB">
        <w:rPr>
          <w:szCs w:val="26"/>
        </w:rPr>
        <w:t>This order is effective today.</w:t>
      </w:r>
    </w:p>
    <w:p w:rsidR="002F743B" w:rsidP="00401697" w:rsidRDefault="008F0116" w14:paraId="78E4475F" w14:textId="0CD7213A">
      <w:pPr>
        <w:spacing w:after="120"/>
        <w:rPr>
          <w:szCs w:val="26"/>
        </w:rPr>
      </w:pPr>
      <w:r w:rsidRPr="00B64EAB">
        <w:rPr>
          <w:szCs w:val="26"/>
        </w:rPr>
        <w:t>Dated</w:t>
      </w:r>
      <w:r w:rsidR="002F743B">
        <w:rPr>
          <w:szCs w:val="26"/>
        </w:rPr>
        <w:t xml:space="preserve"> October 21, 2021</w:t>
      </w:r>
      <w:r w:rsidRPr="00B64EAB">
        <w:rPr>
          <w:szCs w:val="26"/>
        </w:rPr>
        <w:t>, at San Francisco, California</w:t>
      </w:r>
      <w:r w:rsidRPr="00B64EAB" w:rsidR="00FF110C">
        <w:rPr>
          <w:szCs w:val="26"/>
        </w:rPr>
        <w:t>.</w:t>
      </w:r>
    </w:p>
    <w:p w:rsidR="00401697" w:rsidP="00401697" w:rsidRDefault="00401697" w14:paraId="342273C1" w14:textId="77777777">
      <w:pPr>
        <w:spacing w:after="120" w:line="240" w:lineRule="auto"/>
        <w:rPr>
          <w:szCs w:val="26"/>
        </w:rPr>
      </w:pPr>
    </w:p>
    <w:p w:rsidRPr="002F743B" w:rsidR="002F743B" w:rsidP="002F743B" w:rsidRDefault="002F743B" w14:paraId="121A3A52" w14:textId="77777777">
      <w:pPr>
        <w:autoSpaceDE w:val="0"/>
        <w:autoSpaceDN w:val="0"/>
        <w:adjustRightInd w:val="0"/>
        <w:spacing w:line="240" w:lineRule="auto"/>
        <w:ind w:left="4320" w:firstLine="0"/>
        <w:jc w:val="both"/>
        <w:rPr>
          <w:rFonts w:eastAsia="Times New Roman" w:cs="Times New Roman"/>
          <w:szCs w:val="20"/>
        </w:rPr>
      </w:pPr>
      <w:bookmarkStart w:name="_Hlk17215919" w:id="31"/>
      <w:r w:rsidRPr="002F743B">
        <w:rPr>
          <w:rFonts w:eastAsia="Times New Roman" w:cs="Times New Roman"/>
          <w:szCs w:val="20"/>
        </w:rPr>
        <w:t>MARYBEL BATJER</w:t>
      </w:r>
    </w:p>
    <w:p w:rsidRPr="002F743B" w:rsidR="002F743B" w:rsidP="002F743B" w:rsidRDefault="002F743B" w14:paraId="133C2359" w14:textId="77777777">
      <w:pPr>
        <w:autoSpaceDE w:val="0"/>
        <w:autoSpaceDN w:val="0"/>
        <w:adjustRightInd w:val="0"/>
        <w:spacing w:line="240" w:lineRule="auto"/>
        <w:jc w:val="both"/>
        <w:rPr>
          <w:rFonts w:eastAsia="Times New Roman" w:cs="Times New Roman"/>
          <w:szCs w:val="20"/>
        </w:rPr>
      </w:pPr>
      <w:r w:rsidRPr="002F743B">
        <w:rPr>
          <w:rFonts w:eastAsia="Times New Roman" w:cs="Times New Roman"/>
          <w:szCs w:val="20"/>
        </w:rPr>
        <w:tab/>
      </w:r>
      <w:r w:rsidRPr="002F743B">
        <w:rPr>
          <w:rFonts w:eastAsia="Times New Roman" w:cs="Times New Roman"/>
          <w:szCs w:val="20"/>
        </w:rPr>
        <w:tab/>
      </w:r>
      <w:r w:rsidRPr="002F743B">
        <w:rPr>
          <w:rFonts w:eastAsia="Times New Roman" w:cs="Times New Roman"/>
          <w:szCs w:val="20"/>
        </w:rPr>
        <w:tab/>
      </w:r>
      <w:r w:rsidRPr="002F743B">
        <w:rPr>
          <w:rFonts w:eastAsia="Times New Roman" w:cs="Times New Roman"/>
          <w:szCs w:val="20"/>
        </w:rPr>
        <w:tab/>
      </w:r>
      <w:r w:rsidRPr="002F743B">
        <w:rPr>
          <w:rFonts w:eastAsia="Times New Roman" w:cs="Times New Roman"/>
          <w:szCs w:val="20"/>
        </w:rPr>
        <w:tab/>
        <w:t xml:space="preserve">                       President</w:t>
      </w:r>
    </w:p>
    <w:p w:rsidRPr="002F743B" w:rsidR="002F743B" w:rsidP="002F743B" w:rsidRDefault="002F743B" w14:paraId="0524D2B8" w14:textId="77777777">
      <w:pPr>
        <w:autoSpaceDE w:val="0"/>
        <w:autoSpaceDN w:val="0"/>
        <w:adjustRightInd w:val="0"/>
        <w:spacing w:line="240" w:lineRule="auto"/>
        <w:ind w:left="4320" w:firstLine="0"/>
        <w:jc w:val="both"/>
        <w:rPr>
          <w:rFonts w:eastAsia="Times New Roman" w:cs="Times New Roman"/>
          <w:szCs w:val="20"/>
        </w:rPr>
      </w:pPr>
      <w:r w:rsidRPr="002F743B">
        <w:rPr>
          <w:rFonts w:eastAsia="Times New Roman" w:cs="Times New Roman"/>
          <w:szCs w:val="20"/>
        </w:rPr>
        <w:t>MARTHA GUZMAN ACEVES</w:t>
      </w:r>
    </w:p>
    <w:p w:rsidRPr="002F743B" w:rsidR="002F743B" w:rsidP="002F743B" w:rsidRDefault="002F743B" w14:paraId="70B497F6" w14:textId="77777777">
      <w:pPr>
        <w:autoSpaceDE w:val="0"/>
        <w:autoSpaceDN w:val="0"/>
        <w:adjustRightInd w:val="0"/>
        <w:spacing w:line="240" w:lineRule="auto"/>
        <w:ind w:left="4320" w:firstLine="0"/>
        <w:jc w:val="both"/>
        <w:rPr>
          <w:rFonts w:eastAsia="Times New Roman" w:cs="Times New Roman"/>
          <w:szCs w:val="20"/>
        </w:rPr>
      </w:pPr>
      <w:r w:rsidRPr="002F743B">
        <w:rPr>
          <w:rFonts w:eastAsia="Times New Roman" w:cs="Times New Roman"/>
          <w:szCs w:val="20"/>
        </w:rPr>
        <w:t>CLIFFORD RECHTSCHAFFEN</w:t>
      </w:r>
    </w:p>
    <w:p w:rsidRPr="002F743B" w:rsidR="002F743B" w:rsidP="002F743B" w:rsidRDefault="002F743B" w14:paraId="5B369E45" w14:textId="77777777">
      <w:pPr>
        <w:autoSpaceDE w:val="0"/>
        <w:autoSpaceDN w:val="0"/>
        <w:adjustRightInd w:val="0"/>
        <w:spacing w:line="240" w:lineRule="auto"/>
        <w:ind w:left="4320" w:firstLine="0"/>
        <w:jc w:val="both"/>
        <w:rPr>
          <w:rFonts w:eastAsia="Times New Roman" w:cs="Times New Roman"/>
          <w:szCs w:val="20"/>
        </w:rPr>
      </w:pPr>
      <w:r w:rsidRPr="002F743B">
        <w:rPr>
          <w:rFonts w:eastAsia="Times New Roman" w:cs="Times New Roman"/>
          <w:szCs w:val="20"/>
        </w:rPr>
        <w:t>GENEVIEVE SHIROMA</w:t>
      </w:r>
    </w:p>
    <w:p w:rsidRPr="002F743B" w:rsidR="002F743B" w:rsidP="002F743B" w:rsidRDefault="002F743B" w14:paraId="5962981A" w14:textId="77777777">
      <w:pPr>
        <w:autoSpaceDE w:val="0"/>
        <w:autoSpaceDN w:val="0"/>
        <w:adjustRightInd w:val="0"/>
        <w:spacing w:line="240" w:lineRule="auto"/>
        <w:ind w:left="3600"/>
        <w:jc w:val="both"/>
        <w:rPr>
          <w:rFonts w:eastAsia="Times New Roman" w:cs="Times New Roman"/>
          <w:szCs w:val="20"/>
        </w:rPr>
      </w:pPr>
      <w:r w:rsidRPr="002F743B">
        <w:rPr>
          <w:rFonts w:eastAsia="Times New Roman" w:cs="Times New Roman"/>
          <w:szCs w:val="20"/>
        </w:rPr>
        <w:t>DARCIE HOUCK</w:t>
      </w:r>
    </w:p>
    <w:p w:rsidRPr="002F743B" w:rsidR="002F743B" w:rsidP="002F743B" w:rsidRDefault="002F743B" w14:paraId="367211E3" w14:textId="77777777">
      <w:pPr>
        <w:autoSpaceDE w:val="0"/>
        <w:autoSpaceDN w:val="0"/>
        <w:adjustRightInd w:val="0"/>
        <w:spacing w:line="240" w:lineRule="auto"/>
        <w:ind w:left="4320" w:firstLine="0"/>
        <w:jc w:val="both"/>
        <w:rPr>
          <w:rFonts w:eastAsia="Times New Roman" w:cs="Times New Roman"/>
          <w:szCs w:val="20"/>
        </w:rPr>
      </w:pPr>
    </w:p>
    <w:p w:rsidRPr="00B64EAB" w:rsidR="002F743B" w:rsidP="002F743B" w:rsidRDefault="002F743B" w14:paraId="7AEA85C1" w14:textId="6C908B90">
      <w:pPr>
        <w:autoSpaceDE w:val="0"/>
        <w:autoSpaceDN w:val="0"/>
        <w:adjustRightInd w:val="0"/>
        <w:spacing w:line="240" w:lineRule="auto"/>
        <w:ind w:left="4320"/>
        <w:jc w:val="both"/>
        <w:rPr>
          <w:szCs w:val="26"/>
        </w:rPr>
      </w:pPr>
      <w:r w:rsidRPr="002F743B">
        <w:rPr>
          <w:rFonts w:eastAsia="Times New Roman" w:cs="Times New Roman"/>
          <w:szCs w:val="20"/>
        </w:rPr>
        <w:t xml:space="preserve">                 Commissioners</w:t>
      </w:r>
      <w:bookmarkEnd w:id="31"/>
    </w:p>
    <w:sectPr w:rsidRPr="00B64EAB" w:rsidR="002F743B" w:rsidSect="00777DEB">
      <w:headerReference w:type="default" r:id="rId16"/>
      <w:footerReference w:type="default" r:id="rId17"/>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FEE4" w14:textId="77777777" w:rsidR="00EC6257" w:rsidRDefault="00EC6257" w:rsidP="0098138E">
      <w:pPr>
        <w:spacing w:line="240" w:lineRule="auto"/>
      </w:pPr>
      <w:r>
        <w:separator/>
      </w:r>
    </w:p>
  </w:endnote>
  <w:endnote w:type="continuationSeparator" w:id="0">
    <w:p w14:paraId="07936A72" w14:textId="77777777" w:rsidR="00EC6257" w:rsidRDefault="00EC6257" w:rsidP="0098138E">
      <w:pPr>
        <w:spacing w:line="240" w:lineRule="auto"/>
      </w:pPr>
      <w:r>
        <w:continuationSeparator/>
      </w:r>
    </w:p>
  </w:endnote>
  <w:endnote w:type="continuationNotice" w:id="1">
    <w:p w14:paraId="3E776116" w14:textId="77777777" w:rsidR="00EC6257" w:rsidRDefault="00EC62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486C" w14:textId="72B5CA1E" w:rsidR="00F92385" w:rsidRDefault="007020A1" w:rsidP="00777DEB">
    <w:pPr>
      <w:ind w:firstLine="0"/>
    </w:pPr>
    <w:r w:rsidRPr="007020A1">
      <w:rPr>
        <w:sz w:val="16"/>
        <w:szCs w:val="16"/>
      </w:rPr>
      <w:t>408</w:t>
    </w:r>
    <w:r w:rsidR="00C37D9C">
      <w:rPr>
        <w:sz w:val="16"/>
        <w:szCs w:val="16"/>
      </w:rPr>
      <w:t>219657</w:t>
    </w:r>
    <w:r w:rsidR="00777DEB">
      <w:tab/>
    </w:r>
    <w:r w:rsidR="00777DEB">
      <w:tab/>
    </w:r>
    <w:r w:rsidR="00777DEB">
      <w:tab/>
    </w:r>
    <w:r w:rsidR="00777DEB">
      <w:tab/>
    </w:r>
    <w:r w:rsidR="00777DEB">
      <w:tab/>
    </w:r>
    <w:r w:rsidR="00777DEB">
      <w:tab/>
    </w:r>
    <w:r w:rsidR="00F92385">
      <w:t>-</w:t>
    </w:r>
    <w:sdt>
      <w:sdtPr>
        <w:id w:val="-1472208903"/>
        <w:docPartObj>
          <w:docPartGallery w:val="Page Numbers (Bottom of Page)"/>
          <w:docPartUnique/>
        </w:docPartObj>
      </w:sdtPr>
      <w:sdtEndPr>
        <w:rPr>
          <w:noProof/>
        </w:rPr>
      </w:sdtEndPr>
      <w:sdtContent>
        <w:r w:rsidR="00F92385">
          <w:fldChar w:fldCharType="begin"/>
        </w:r>
        <w:r w:rsidR="00F92385">
          <w:instrText xml:space="preserve"> PAGE   \* MERGEFORMAT </w:instrText>
        </w:r>
        <w:r w:rsidR="00F92385">
          <w:fldChar w:fldCharType="separate"/>
        </w:r>
        <w:r w:rsidR="00F92385">
          <w:rPr>
            <w:noProof/>
          </w:rPr>
          <w:t>2</w:t>
        </w:r>
        <w:r w:rsidR="00F92385">
          <w:rPr>
            <w:noProof/>
          </w:rPr>
          <w:fldChar w:fldCharType="end"/>
        </w:r>
        <w:r w:rsidR="00F92385">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FCBB" w14:textId="345FB2CF" w:rsidR="00632207" w:rsidRDefault="009505F0" w:rsidP="000A22B3">
    <w:pPr>
      <w:ind w:firstLine="0"/>
    </w:pPr>
    <w:r w:rsidRPr="000A22B3">
      <w:rPr>
        <w:sz w:val="16"/>
        <w:szCs w:val="16"/>
      </w:rPr>
      <w:t>41</w:t>
    </w:r>
    <w:r w:rsidR="00737655">
      <w:rPr>
        <w:sz w:val="16"/>
        <w:szCs w:val="16"/>
      </w:rPr>
      <w:t>7404197</w:t>
    </w:r>
    <w:r>
      <w:t xml:space="preserve">                                                         </w:t>
    </w:r>
    <w:r w:rsidR="0030313A" w:rsidRPr="00777DEB">
      <w:t xml:space="preserve">- </w:t>
    </w:r>
    <w:sdt>
      <w:sdtPr>
        <w:id w:val="2003618623"/>
        <w:docPartObj>
          <w:docPartGallery w:val="Page Numbers (Bottom of Page)"/>
          <w:docPartUnique/>
        </w:docPartObj>
      </w:sdtPr>
      <w:sdtEndPr>
        <w:rPr>
          <w:noProof/>
        </w:rPr>
      </w:sdtEndPr>
      <w:sdtContent>
        <w:r w:rsidR="0030313A">
          <w:t>1</w:t>
        </w:r>
        <w:r w:rsidR="0030313A" w:rsidRPr="00777DEB">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8071"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BAF5" w14:textId="32180CA3" w:rsidR="00EE4315" w:rsidRDefault="00EE4315" w:rsidP="007E0FEE">
    <w:pPr>
      <w:ind w:firstLine="0"/>
      <w:jc w:val="center"/>
    </w:pPr>
    <w:r w:rsidRPr="00777DEB">
      <w:t xml:space="preserve">- </w:t>
    </w:r>
    <w:sdt>
      <w:sdtPr>
        <w:id w:val="1935164809"/>
        <w:docPartObj>
          <w:docPartGallery w:val="Page Numbers (Bottom of Page)"/>
          <w:docPartUnique/>
        </w:docPartObj>
      </w:sdtPr>
      <w:sdtEndPr>
        <w:rPr>
          <w:noProof/>
        </w:rPr>
      </w:sdtEndPr>
      <w:sdtContent>
        <w:r w:rsidRPr="00777DEB">
          <w:fldChar w:fldCharType="begin"/>
        </w:r>
        <w:r w:rsidRPr="00777DEB">
          <w:instrText xml:space="preserve"> PAGE   \* MERGEFORMAT </w:instrText>
        </w:r>
        <w:r w:rsidRPr="00777DEB">
          <w:fldChar w:fldCharType="separate"/>
        </w:r>
        <w:r w:rsidRPr="00777DEB">
          <w:rPr>
            <w:noProof/>
          </w:rPr>
          <w:t>2</w:t>
        </w:r>
        <w:r w:rsidRPr="00777DEB">
          <w:rPr>
            <w:noProof/>
          </w:rPr>
          <w:fldChar w:fldCharType="end"/>
        </w:r>
        <w:r w:rsidRPr="00777DEB">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9A72" w14:textId="77777777" w:rsidR="00EC6257" w:rsidRDefault="00EC6257" w:rsidP="00DF58E7">
      <w:pPr>
        <w:spacing w:line="240" w:lineRule="auto"/>
        <w:ind w:firstLine="0"/>
      </w:pPr>
      <w:r>
        <w:separator/>
      </w:r>
    </w:p>
  </w:footnote>
  <w:footnote w:type="continuationSeparator" w:id="0">
    <w:p w14:paraId="63CB95F7" w14:textId="77777777" w:rsidR="00EC6257" w:rsidRDefault="00EC6257" w:rsidP="00DF58E7">
      <w:pPr>
        <w:spacing w:line="240" w:lineRule="auto"/>
        <w:ind w:firstLine="0"/>
      </w:pPr>
      <w:r>
        <w:continuationSeparator/>
      </w:r>
    </w:p>
  </w:footnote>
  <w:footnote w:type="continuationNotice" w:id="1">
    <w:p w14:paraId="3AE8FF08" w14:textId="77777777" w:rsidR="00EC6257" w:rsidRPr="00DF58E7" w:rsidRDefault="00EC6257" w:rsidP="00DF58E7">
      <w:pPr>
        <w:spacing w:line="240" w:lineRule="auto"/>
        <w:ind w:firstLine="0"/>
        <w:jc w:val="right"/>
        <w:rPr>
          <w:i/>
          <w:sz w:val="22"/>
        </w:rPr>
      </w:pPr>
      <w:r w:rsidRPr="00DF58E7">
        <w:rPr>
          <w:i/>
          <w:sz w:val="22"/>
        </w:rPr>
        <w:t>Footnote continued on next page.</w:t>
      </w:r>
    </w:p>
  </w:footnote>
  <w:footnote w:id="2">
    <w:p w14:paraId="36899FF3" w14:textId="7C44072F" w:rsidR="00591717" w:rsidRDefault="00591717" w:rsidP="00D73AC1">
      <w:pPr>
        <w:pStyle w:val="FootnoteText"/>
        <w:contextualSpacing/>
      </w:pPr>
      <w:r>
        <w:rPr>
          <w:rStyle w:val="FootnoteReference"/>
        </w:rPr>
        <w:footnoteRef/>
      </w:r>
      <w:r>
        <w:t xml:space="preserve"> </w:t>
      </w:r>
      <w:r w:rsidR="00DF43BA">
        <w:t>Mbps</w:t>
      </w:r>
      <w:r>
        <w:t xml:space="preserve">. </w:t>
      </w:r>
    </w:p>
  </w:footnote>
  <w:footnote w:id="3">
    <w:p w14:paraId="007FA9B1" w14:textId="32BD2BA9" w:rsidR="00464BB6" w:rsidRDefault="00464BB6" w:rsidP="00D73AC1">
      <w:pPr>
        <w:pStyle w:val="FootnoteText"/>
        <w:contextualSpacing/>
      </w:pPr>
      <w:r>
        <w:rPr>
          <w:rStyle w:val="FootnoteReference"/>
        </w:rPr>
        <w:footnoteRef/>
      </w:r>
      <w:r>
        <w:t xml:space="preserve"> </w:t>
      </w:r>
      <w:r w:rsidRPr="000D4FE3">
        <w:rPr>
          <w:i/>
          <w:iCs/>
        </w:rPr>
        <w:t>See</w:t>
      </w:r>
      <w:r w:rsidR="00DF43BA">
        <w:rPr>
          <w:i/>
          <w:iCs/>
        </w:rPr>
        <w:t xml:space="preserve">:  </w:t>
      </w:r>
      <w:r>
        <w:t xml:space="preserve"> </w:t>
      </w:r>
      <w:hyperlink r:id="rId1" w:anchor="!/vizhome/EOY2018BroadbandAdoptionsbyHousingUnits/Adoption" w:history="1">
        <w:r w:rsidR="00D73AC1" w:rsidRPr="007C737F">
          <w:rPr>
            <w:rStyle w:val="Hyperlink"/>
          </w:rPr>
          <w:t>https://public.tableau.com/profile/cpuc#!/vizhome/EOY2018BroadbandAdoptionsbyHousingUnits/Adoption</w:t>
        </w:r>
      </w:hyperlink>
      <w:r w:rsidR="00EA4751">
        <w:t xml:space="preserve">, available as of this writing, </w:t>
      </w:r>
      <w:r>
        <w:t>(based on 25/3 speed tier).</w:t>
      </w:r>
    </w:p>
  </w:footnote>
  <w:footnote w:id="4">
    <w:p w14:paraId="37F8FC17" w14:textId="7C436D0C" w:rsidR="00D41D64" w:rsidRDefault="00D41D64" w:rsidP="00D73AC1">
      <w:pPr>
        <w:pStyle w:val="FootnoteText"/>
        <w:contextualSpacing/>
      </w:pPr>
      <w:r>
        <w:rPr>
          <w:rStyle w:val="FootnoteReference"/>
        </w:rPr>
        <w:footnoteRef/>
      </w:r>
      <w:r>
        <w:t xml:space="preserve"> </w:t>
      </w:r>
      <w:r w:rsidRPr="0089161E">
        <w:rPr>
          <w:i/>
          <w:iCs/>
        </w:rPr>
        <w:t>See</w:t>
      </w:r>
      <w:r w:rsidR="00DF43BA">
        <w:rPr>
          <w:i/>
          <w:iCs/>
        </w:rPr>
        <w:t xml:space="preserve">:  </w:t>
      </w:r>
    </w:p>
    <w:p w14:paraId="65EBD319" w14:textId="301BAF20" w:rsidR="00D41D64" w:rsidRDefault="00EC6257" w:rsidP="00D73AC1">
      <w:pPr>
        <w:pStyle w:val="FootnoteText"/>
        <w:contextualSpacing/>
      </w:pPr>
      <w:hyperlink r:id="rId2" w:anchor="!/vizhome/EOY2018BroadbandDeploymentbyHU-TribalLands/Dashboard" w:history="1">
        <w:r w:rsidR="00D41D64" w:rsidRPr="005710FC">
          <w:rPr>
            <w:rStyle w:val="Hyperlink"/>
          </w:rPr>
          <w:t>https://public.tableau.com/profile/cpuc#!/vizhome/EOY2018BroadbandDeploymentbyHU-TribalLands/Dashboard</w:t>
        </w:r>
      </w:hyperlink>
      <w:r w:rsidR="00591717">
        <w:t>, available as of this writing.</w:t>
      </w:r>
    </w:p>
  </w:footnote>
  <w:footnote w:id="5">
    <w:p w14:paraId="1BB4CCD2" w14:textId="452CBFFD" w:rsidR="004C74F3" w:rsidRDefault="004C74F3" w:rsidP="004C74F3">
      <w:pPr>
        <w:pStyle w:val="FootnoteText"/>
      </w:pPr>
      <w:r>
        <w:rPr>
          <w:rStyle w:val="FootnoteReference"/>
        </w:rPr>
        <w:footnoteRef/>
      </w:r>
      <w:r>
        <w:t xml:space="preserve"> Bear Valley Electric Service, Inc., Liberty Utilities (CalPeco Electric) LLC, and PacifiCorp, d.b.a. Pacific Power.</w:t>
      </w:r>
    </w:p>
  </w:footnote>
  <w:footnote w:id="6">
    <w:p w14:paraId="1BD605EB" w14:textId="08DC5551" w:rsidR="004C74F3" w:rsidRDefault="004C74F3">
      <w:pPr>
        <w:pStyle w:val="FootnoteText"/>
      </w:pPr>
      <w:r>
        <w:rPr>
          <w:rStyle w:val="FootnoteReference"/>
        </w:rPr>
        <w:footnoteRef/>
      </w:r>
      <w:r>
        <w:t xml:space="preserve"> </w:t>
      </w:r>
      <w:r w:rsidRPr="004C74F3">
        <w:t>Kerman Telephone Co.,</w:t>
      </w:r>
      <w:r w:rsidR="00D840CE">
        <w:t xml:space="preserve"> </w:t>
      </w:r>
      <w:r w:rsidRPr="004C74F3">
        <w:t>Foresthill Telephone Co.,</w:t>
      </w:r>
      <w:r w:rsidR="00D840CE">
        <w:t xml:space="preserve"> </w:t>
      </w:r>
      <w:r w:rsidRPr="004C74F3">
        <w:t>Hornitos Telephone Company,</w:t>
      </w:r>
      <w:r w:rsidR="00D840CE">
        <w:t xml:space="preserve"> </w:t>
      </w:r>
      <w:r w:rsidRPr="004C74F3">
        <w:t>Pinnacles Telephone Co.,</w:t>
      </w:r>
      <w:r w:rsidR="00D840CE">
        <w:t xml:space="preserve"> </w:t>
      </w:r>
      <w:r w:rsidRPr="004C74F3">
        <w:t>Volcano Telephone Company,</w:t>
      </w:r>
      <w:r w:rsidR="00D840CE">
        <w:t xml:space="preserve"> </w:t>
      </w:r>
      <w:r w:rsidRPr="004C74F3">
        <w:t>Winterhaven Telephone Company,</w:t>
      </w:r>
      <w:r w:rsidR="00D840CE">
        <w:t xml:space="preserve"> </w:t>
      </w:r>
      <w:r w:rsidRPr="004C74F3">
        <w:t>Happy Valley Telephone Company,</w:t>
      </w:r>
      <w:r w:rsidR="00D840CE">
        <w:t xml:space="preserve"> </w:t>
      </w:r>
      <w:r w:rsidRPr="004C74F3">
        <w:t>Sierra Telephone Company, Inc.</w:t>
      </w:r>
      <w:r w:rsidR="00D73AC1">
        <w:t>,</w:t>
      </w:r>
      <w:r w:rsidR="00D840CE">
        <w:t xml:space="preserve"> </w:t>
      </w:r>
      <w:r w:rsidRPr="004C74F3">
        <w:t>The Siskiyou Telephone Company,</w:t>
      </w:r>
      <w:r w:rsidR="00EE52C8">
        <w:t xml:space="preserve"> </w:t>
      </w:r>
      <w:r w:rsidRPr="004C74F3">
        <w:t>The Ponderosa Telephone Co.,</w:t>
      </w:r>
      <w:r w:rsidR="00D840CE">
        <w:t xml:space="preserve"> </w:t>
      </w:r>
      <w:r w:rsidRPr="004C74F3">
        <w:t>Calaveras Telephone Company,</w:t>
      </w:r>
      <w:r w:rsidR="00D840CE">
        <w:t xml:space="preserve"> </w:t>
      </w:r>
      <w:r w:rsidRPr="004C74F3">
        <w:t>Cal-Ore Telephone Co.,</w:t>
      </w:r>
      <w:r w:rsidR="00EE52C8">
        <w:t xml:space="preserve"> </w:t>
      </w:r>
      <w:r w:rsidRPr="004C74F3">
        <w:t>Ducor Telephone Company</w:t>
      </w:r>
    </w:p>
  </w:footnote>
  <w:footnote w:id="7">
    <w:p w14:paraId="67464930" w14:textId="77777777" w:rsidR="0005231C" w:rsidRDefault="0005231C" w:rsidP="0005231C">
      <w:pPr>
        <w:pStyle w:val="FootnoteText"/>
      </w:pPr>
      <w:r>
        <w:rPr>
          <w:rStyle w:val="FootnoteReference"/>
        </w:rPr>
        <w:footnoteRef/>
      </w:r>
      <w:r>
        <w:t xml:space="preserve"> Bear Valley Electric Service, Inc., Liberty Utilities (CalPeco Electric) LLC, and PacifiCorp, d.b.a. Pacific Power.</w:t>
      </w:r>
    </w:p>
  </w:footnote>
  <w:footnote w:id="8">
    <w:p w14:paraId="7A0B64C4" w14:textId="5BFEC4F6" w:rsidR="004824C0" w:rsidRDefault="004824C0">
      <w:pPr>
        <w:pStyle w:val="FootnoteText"/>
      </w:pPr>
      <w:r>
        <w:rPr>
          <w:rStyle w:val="FootnoteReference"/>
        </w:rPr>
        <w:footnoteRef/>
      </w:r>
      <w:r>
        <w:t xml:space="preserve"> AT&amp;T California, Frontier, and Consolidated </w:t>
      </w:r>
      <w:r w:rsidR="00E4273B">
        <w:t xml:space="preserve">jointly </w:t>
      </w:r>
      <w:r>
        <w:t xml:space="preserve">filed </w:t>
      </w:r>
      <w:r w:rsidR="00E4273B">
        <w:t xml:space="preserve">comments and reply comments for the supplemental round but filed individually during the initial round. </w:t>
      </w:r>
      <w:r>
        <w:t xml:space="preserve"> </w:t>
      </w:r>
    </w:p>
  </w:footnote>
  <w:footnote w:id="9">
    <w:p w14:paraId="7D9F6F55" w14:textId="03FC22E4" w:rsidR="005B34AE" w:rsidRDefault="005B34AE" w:rsidP="006363EA">
      <w:pPr>
        <w:pStyle w:val="FootnoteText"/>
      </w:pPr>
      <w:r>
        <w:rPr>
          <w:rStyle w:val="FootnoteReference"/>
        </w:rPr>
        <w:footnoteRef/>
      </w:r>
      <w:r>
        <w:t xml:space="preserve"> More information on </w:t>
      </w:r>
      <w:r w:rsidRPr="003A43A2">
        <w:t xml:space="preserve">the Commission’s </w:t>
      </w:r>
      <w:r w:rsidR="006363EA">
        <w:t>ESJ</w:t>
      </w:r>
      <w:r w:rsidR="00F076A9">
        <w:t xml:space="preserve"> </w:t>
      </w:r>
      <w:r w:rsidR="006363EA">
        <w:t>A</w:t>
      </w:r>
      <w:r w:rsidR="00F076A9">
        <w:t>ction</w:t>
      </w:r>
      <w:r w:rsidRPr="003A43A2">
        <w:t xml:space="preserve"> Plan </w:t>
      </w:r>
      <w:r>
        <w:t xml:space="preserve">available on the Commission’s website </w:t>
      </w:r>
      <w:r w:rsidR="00591717">
        <w:t xml:space="preserve">as of this writing </w:t>
      </w:r>
      <w:r>
        <w:t xml:space="preserve">at:  </w:t>
      </w:r>
      <w:hyperlink r:id="rId3" w:history="1">
        <w:r w:rsidRPr="007E6D92">
          <w:rPr>
            <w:rStyle w:val="Hyperlink"/>
          </w:rPr>
          <w:t>https://www.cpuc.ca.gov/ESJactionplan/</w:t>
        </w:r>
      </w:hyperlink>
    </w:p>
  </w:footnote>
  <w:footnote w:id="10">
    <w:p w14:paraId="332CC65D" w14:textId="279A1552" w:rsidR="00F10DA9" w:rsidRDefault="00F10DA9" w:rsidP="006363EA">
      <w:pPr>
        <w:pStyle w:val="FootnoteText"/>
      </w:pPr>
      <w:r>
        <w:rPr>
          <w:rStyle w:val="FootnoteReference"/>
        </w:rPr>
        <w:footnoteRef/>
      </w:r>
      <w:r>
        <w:t xml:space="preserve"> </w:t>
      </w:r>
      <w:r w:rsidR="0097174C">
        <w:t>The proposal is confined to the 21 wildfires in California designated as Declared Disasters by the Federal Emergency Management Agency in 2020.</w:t>
      </w:r>
    </w:p>
  </w:footnote>
  <w:footnote w:id="11">
    <w:p w14:paraId="65945315" w14:textId="77777777" w:rsidR="00105DE7" w:rsidRDefault="004A3459" w:rsidP="004A3459">
      <w:pPr>
        <w:pStyle w:val="FootnoteText"/>
        <w:contextualSpacing/>
      </w:pPr>
      <w:r>
        <w:rPr>
          <w:rStyle w:val="FootnoteReference"/>
        </w:rPr>
        <w:footnoteRef/>
      </w:r>
      <w:r>
        <w:t xml:space="preserve"> PG&amp;E states that it has completed </w:t>
      </w:r>
      <w:r w:rsidR="00EA4751">
        <w:t>all</w:t>
      </w:r>
      <w:r>
        <w:t xml:space="preserve"> engineering work for the electric restoration in the </w:t>
      </w:r>
    </w:p>
    <w:p w14:paraId="7EE72673" w14:textId="43566CAF" w:rsidR="004A3459" w:rsidRDefault="004A3459" w:rsidP="004A3459">
      <w:pPr>
        <w:pStyle w:val="FootnoteText"/>
        <w:contextualSpacing/>
      </w:pPr>
      <w:r>
        <w:t>2020 wildfire areas in its service territory, along with 68 percent of the construction work.</w:t>
      </w:r>
      <w:r w:rsidR="006363EA">
        <w:t xml:space="preserve"> </w:t>
      </w:r>
      <w:r>
        <w:t xml:space="preserve"> SCE reports that its 2020 wildfire restoration efforts have been completed.</w:t>
      </w:r>
      <w:r w:rsidR="006363EA">
        <w:t xml:space="preserve"> </w:t>
      </w:r>
      <w:r>
        <w:t xml:space="preserve"> SDG&amp;E states that of </w:t>
      </w:r>
      <w:r w:rsidR="006363EA">
        <w:br/>
      </w:r>
      <w:r>
        <w:t>the 21 areas identified in the Staff Proposal, only the Valley Fire was located within SDG&amp;E’s service territory and the electric facilities impacted by the fire have almost completely been rebuilt and re-energized.</w:t>
      </w:r>
    </w:p>
  </w:footnote>
  <w:footnote w:id="12">
    <w:p w14:paraId="6111A063" w14:textId="41FDD989" w:rsidR="00822B94" w:rsidRDefault="00822B94">
      <w:pPr>
        <w:pStyle w:val="FootnoteText"/>
      </w:pPr>
      <w:r>
        <w:rPr>
          <w:rStyle w:val="FootnoteReference"/>
        </w:rPr>
        <w:footnoteRef/>
      </w:r>
      <w:r>
        <w:t xml:space="preserve"> Hereinafter referred to as Rule(s).</w:t>
      </w:r>
    </w:p>
  </w:footnote>
  <w:footnote w:id="13">
    <w:p w14:paraId="002A41A4" w14:textId="77777777" w:rsidR="00344F4D" w:rsidRDefault="008C4341">
      <w:pPr>
        <w:pStyle w:val="FootnoteText"/>
        <w:contextualSpacing/>
      </w:pPr>
      <w:r>
        <w:rPr>
          <w:rStyle w:val="FootnoteReference"/>
        </w:rPr>
        <w:footnoteRef/>
      </w:r>
      <w:r>
        <w:t xml:space="preserve"> </w:t>
      </w:r>
      <w:r w:rsidRPr="008C4341">
        <w:t xml:space="preserve">Decision Adopting Wireless Provider Resiliency Strategies, </w:t>
      </w:r>
      <w:r w:rsidR="00B52DB3">
        <w:t>at</w:t>
      </w:r>
      <w:r w:rsidRPr="008C4341">
        <w:t xml:space="preserve"> 13-33</w:t>
      </w:r>
      <w:r w:rsidR="00460510">
        <w:t xml:space="preserve"> </w:t>
      </w:r>
      <w:r w:rsidR="00460510" w:rsidRPr="00460510">
        <w:t xml:space="preserve">(holding that the resiliency and backup power requirements adopted by the decision were not preempted by </w:t>
      </w:r>
    </w:p>
    <w:p w14:paraId="122800C5" w14:textId="70FB9FB1" w:rsidR="008C4341" w:rsidRDefault="00460510">
      <w:pPr>
        <w:pStyle w:val="FootnoteText"/>
        <w:contextualSpacing/>
      </w:pPr>
      <w:r w:rsidRPr="00460510">
        <w:t>47 USC § 332(c)(a)</w:t>
      </w:r>
      <w:r>
        <w:t>)</w:t>
      </w:r>
      <w:r w:rsidRPr="00460510">
        <w:t>.</w:t>
      </w:r>
    </w:p>
  </w:footnote>
  <w:footnote w:id="14">
    <w:p w14:paraId="0E3CDB28" w14:textId="010A132E" w:rsidR="008C4341" w:rsidRDefault="008C4341">
      <w:pPr>
        <w:pStyle w:val="FootnoteText"/>
      </w:pPr>
      <w:r>
        <w:rPr>
          <w:rStyle w:val="FootnoteReference"/>
        </w:rPr>
        <w:footnoteRef/>
      </w:r>
      <w:r>
        <w:t xml:space="preserve"> </w:t>
      </w:r>
      <w:r w:rsidRPr="008C4341">
        <w:t xml:space="preserve">Decision Adopting Wireline Provider Resiliency Strategies, </w:t>
      </w:r>
      <w:r w:rsidR="00B52DB3">
        <w:t>at</w:t>
      </w:r>
      <w:r w:rsidRPr="008C4341">
        <w:t xml:space="preserve"> 6-15</w:t>
      </w:r>
      <w:r w:rsidR="00460510">
        <w:t xml:space="preserve"> (confirming that VoIP providers are telephone corporations pursuant to Pub. Util. Code § 234)</w:t>
      </w:r>
      <w:r w:rsidR="00460510" w:rsidRPr="008C434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C929" w14:textId="77777777" w:rsidR="00574E93" w:rsidRDefault="00574E93" w:rsidP="00574E93">
    <w:pPr>
      <w:pStyle w:val="Header"/>
      <w:tabs>
        <w:tab w:val="clear" w:pos="4680"/>
      </w:tabs>
      <w:ind w:firstLine="0"/>
      <w:rPr>
        <w:b/>
      </w:rPr>
    </w:pPr>
  </w:p>
  <w:p w14:paraId="3126FB81" w14:textId="77777777" w:rsidR="00F92385" w:rsidRPr="00585390" w:rsidRDefault="00F92385" w:rsidP="00777DEB">
    <w:pPr>
      <w:pStyle w:val="Header"/>
      <w:ind w:firstLine="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5C6E" w14:textId="7B64A84C" w:rsidR="00E23CBB" w:rsidRDefault="00DF43BA" w:rsidP="00EE4315">
    <w:pPr>
      <w:pStyle w:val="Header"/>
      <w:tabs>
        <w:tab w:val="clear" w:pos="4680"/>
      </w:tabs>
      <w:ind w:firstLine="0"/>
      <w:rPr>
        <w:b/>
      </w:rPr>
    </w:pPr>
    <w:r>
      <w:t xml:space="preserve">R.20-09-001  </w:t>
    </w:r>
    <w:r w:rsidR="00777DEB" w:rsidRPr="00CD142B">
      <w:t>COM/MGA</w:t>
    </w:r>
    <w:r>
      <w:t>/</w:t>
    </w:r>
    <w:proofErr w:type="spellStart"/>
    <w:r>
      <w:t>smt</w:t>
    </w:r>
    <w:proofErr w:type="spellEnd"/>
    <w:r w:rsidR="00E23CBB">
      <w:tab/>
    </w:r>
  </w:p>
  <w:p w14:paraId="0C24B347" w14:textId="76FE52F4" w:rsidR="001D65CC" w:rsidRDefault="001D65CC" w:rsidP="00B3087D">
    <w:pPr>
      <w:pStyle w:val="Header"/>
      <w:tabs>
        <w:tab w:val="clear" w:pos="4680"/>
      </w:tabs>
      <w:ind w:firstLine="0"/>
      <w:rPr>
        <w:i/>
        <w:color w:val="FF0000"/>
      </w:rPr>
    </w:pPr>
  </w:p>
  <w:p w14:paraId="15C14245" w14:textId="77777777" w:rsidR="001D65CC" w:rsidRPr="00B3087D" w:rsidRDefault="001D65CC"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5C8A" w14:textId="33AB0535" w:rsidR="00777DEB" w:rsidRDefault="00777DEB" w:rsidP="00EE4315">
    <w:pPr>
      <w:pStyle w:val="Header"/>
      <w:tabs>
        <w:tab w:val="clear" w:pos="4680"/>
      </w:tabs>
      <w:ind w:firstLine="0"/>
      <w:rPr>
        <w:b/>
      </w:rPr>
    </w:pPr>
    <w:r>
      <w:t xml:space="preserve">R.20-09-001  </w:t>
    </w:r>
    <w:r w:rsidRPr="00CD142B">
      <w:t>COM/MGA</w:t>
    </w:r>
    <w:r>
      <w:t>/</w:t>
    </w:r>
    <w:proofErr w:type="spellStart"/>
    <w:r>
      <w:t>smt</w:t>
    </w:r>
    <w:proofErr w:type="spellEnd"/>
    <w:r>
      <w:tab/>
    </w:r>
  </w:p>
  <w:p w14:paraId="65E7122A" w14:textId="77777777" w:rsidR="00777DEB" w:rsidRDefault="00777DEB" w:rsidP="00B3087D">
    <w:pPr>
      <w:pStyle w:val="Header"/>
      <w:tabs>
        <w:tab w:val="clear" w:pos="4680"/>
      </w:tabs>
      <w:ind w:firstLine="0"/>
      <w:rPr>
        <w:i/>
        <w:color w:val="FF0000"/>
      </w:rPr>
    </w:pPr>
  </w:p>
  <w:p w14:paraId="6CB0D2C3" w14:textId="77777777" w:rsidR="00777DEB" w:rsidRPr="00B3087D" w:rsidRDefault="00777DEB"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A443A"/>
    <w:multiLevelType w:val="hybridMultilevel"/>
    <w:tmpl w:val="55D0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1144"/>
    <w:multiLevelType w:val="hybridMultilevel"/>
    <w:tmpl w:val="365E2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16ED2"/>
    <w:multiLevelType w:val="hybridMultilevel"/>
    <w:tmpl w:val="8DB8512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C2314F"/>
    <w:multiLevelType w:val="hybridMultilevel"/>
    <w:tmpl w:val="8174BBC0"/>
    <w:lvl w:ilvl="0" w:tplc="780ABD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5E7F80"/>
    <w:multiLevelType w:val="hybridMultilevel"/>
    <w:tmpl w:val="6A3C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34DF4"/>
    <w:multiLevelType w:val="multilevel"/>
    <w:tmpl w:val="CE9CF060"/>
    <w:lvl w:ilvl="0">
      <w:start w:val="7"/>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756F2C"/>
    <w:multiLevelType w:val="hybridMultilevel"/>
    <w:tmpl w:val="8794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9" w15:restartNumberingAfterBreak="0">
    <w:nsid w:val="15311BB4"/>
    <w:multiLevelType w:val="hybridMultilevel"/>
    <w:tmpl w:val="DDC6B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F056CB"/>
    <w:multiLevelType w:val="multilevel"/>
    <w:tmpl w:val="18F4A5AC"/>
    <w:numStyleLink w:val="FoFCoLOP"/>
  </w:abstractNum>
  <w:abstractNum w:abstractNumId="11" w15:restartNumberingAfterBreak="0">
    <w:nsid w:val="15FB01CF"/>
    <w:multiLevelType w:val="multilevel"/>
    <w:tmpl w:val="F5F2D9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B373B38"/>
    <w:multiLevelType w:val="hybridMultilevel"/>
    <w:tmpl w:val="3A66E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70038F"/>
    <w:multiLevelType w:val="multilevel"/>
    <w:tmpl w:val="3C526EDE"/>
    <w:numStyleLink w:val="Headings"/>
  </w:abstractNum>
  <w:abstractNum w:abstractNumId="15" w15:restartNumberingAfterBreak="0">
    <w:nsid w:val="1E2242C9"/>
    <w:multiLevelType w:val="multilevel"/>
    <w:tmpl w:val="3C526EDE"/>
    <w:numStyleLink w:val="Headings"/>
  </w:abstractNum>
  <w:abstractNum w:abstractNumId="16" w15:restartNumberingAfterBreak="0">
    <w:nsid w:val="21FB58FE"/>
    <w:multiLevelType w:val="multilevel"/>
    <w:tmpl w:val="3C526EDE"/>
    <w:numStyleLink w:val="Headings"/>
  </w:abstractNum>
  <w:abstractNum w:abstractNumId="17" w15:restartNumberingAfterBreak="0">
    <w:nsid w:val="243663A0"/>
    <w:multiLevelType w:val="multilevel"/>
    <w:tmpl w:val="3C526EDE"/>
    <w:numStyleLink w:val="Headings"/>
  </w:abstractNum>
  <w:abstractNum w:abstractNumId="18" w15:restartNumberingAfterBreak="0">
    <w:nsid w:val="2B8124D7"/>
    <w:multiLevelType w:val="multilevel"/>
    <w:tmpl w:val="3C526EDE"/>
    <w:numStyleLink w:val="Headings"/>
  </w:abstractNum>
  <w:abstractNum w:abstractNumId="19" w15:restartNumberingAfterBreak="0">
    <w:nsid w:val="31915679"/>
    <w:multiLevelType w:val="hybridMultilevel"/>
    <w:tmpl w:val="6BA2A6A2"/>
    <w:lvl w:ilvl="0" w:tplc="FF3E99E4">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1" w15:restartNumberingAfterBreak="0">
    <w:nsid w:val="418B418C"/>
    <w:multiLevelType w:val="hybridMultilevel"/>
    <w:tmpl w:val="C804F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9C2A05"/>
    <w:multiLevelType w:val="hybridMultilevel"/>
    <w:tmpl w:val="127ED3F2"/>
    <w:lvl w:ilvl="0" w:tplc="7BA049CE">
      <w:start w:val="1"/>
      <w:numFmt w:val="decimal"/>
      <w:lvlText w:val="%1."/>
      <w:lvlJc w:val="left"/>
      <w:pPr>
        <w:ind w:left="720" w:hanging="360"/>
      </w:pPr>
      <w:rPr>
        <w:rFonts w:ascii="Book Antiqua" w:hAnsi="Book Antiqu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E335C3"/>
    <w:multiLevelType w:val="multilevel"/>
    <w:tmpl w:val="732E2BF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1E7526B"/>
    <w:multiLevelType w:val="hybridMultilevel"/>
    <w:tmpl w:val="50263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741B8A"/>
    <w:multiLevelType w:val="hybridMultilevel"/>
    <w:tmpl w:val="278450B8"/>
    <w:lvl w:ilvl="0" w:tplc="FF703124">
      <w:start w:val="1"/>
      <w:numFmt w:val="lowerLetter"/>
      <w:lvlText w:val="%1."/>
      <w:lvlJc w:val="right"/>
      <w:pPr>
        <w:ind w:left="1800" w:hanging="360"/>
      </w:pPr>
      <w:rPr>
        <w:rFonts w:ascii="Book Antiqua" w:eastAsiaTheme="minorHAnsi" w:hAnsi="Book Antiqu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D042D7"/>
    <w:multiLevelType w:val="multilevel"/>
    <w:tmpl w:val="18F4A5AC"/>
    <w:numStyleLink w:val="FoFCoLOP"/>
  </w:abstractNum>
  <w:abstractNum w:abstractNumId="27" w15:restartNumberingAfterBreak="0">
    <w:nsid w:val="5A9E2171"/>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8" w15:restartNumberingAfterBreak="0">
    <w:nsid w:val="61A25780"/>
    <w:multiLevelType w:val="multilevel"/>
    <w:tmpl w:val="3C526EDE"/>
    <w:numStyleLink w:val="Headings"/>
  </w:abstractNum>
  <w:abstractNum w:abstractNumId="29" w15:restartNumberingAfterBreak="0">
    <w:nsid w:val="648B6527"/>
    <w:multiLevelType w:val="hybridMultilevel"/>
    <w:tmpl w:val="28A83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BF1A43"/>
    <w:multiLevelType w:val="hybridMultilevel"/>
    <w:tmpl w:val="3EB403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9A0AFE"/>
    <w:multiLevelType w:val="multilevel"/>
    <w:tmpl w:val="18F4A5AC"/>
    <w:numStyleLink w:val="FoFCoLOP"/>
  </w:abstractNum>
  <w:num w:numId="1">
    <w:abstractNumId w:val="27"/>
  </w:num>
  <w:num w:numId="2">
    <w:abstractNumId w:val="8"/>
  </w:num>
  <w:num w:numId="3">
    <w:abstractNumId w:val="26"/>
  </w:num>
  <w:num w:numId="4">
    <w:abstractNumId w:val="10"/>
  </w:num>
  <w:num w:numId="5">
    <w:abstractNumId w:val="32"/>
  </w:num>
  <w:num w:numId="6">
    <w:abstractNumId w:val="20"/>
  </w:num>
  <w:num w:numId="7">
    <w:abstractNumId w:val="15"/>
  </w:num>
  <w:num w:numId="8">
    <w:abstractNumId w:val="30"/>
  </w:num>
  <w:num w:numId="9">
    <w:abstractNumId w:val="0"/>
  </w:num>
  <w:num w:numId="10">
    <w:abstractNumId w:val="14"/>
  </w:num>
  <w:num w:numId="11">
    <w:abstractNumId w:val="16"/>
  </w:num>
  <w:num w:numId="12">
    <w:abstractNumId w:val="13"/>
  </w:num>
  <w:num w:numId="13">
    <w:abstractNumId w:val="17"/>
  </w:num>
  <w:num w:numId="14">
    <w:abstractNumId w:val="18"/>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21"/>
  </w:num>
  <w:num w:numId="20">
    <w:abstractNumId w:val="24"/>
  </w:num>
  <w:num w:numId="21">
    <w:abstractNumId w:val="2"/>
  </w:num>
  <w:num w:numId="22">
    <w:abstractNumId w:val="29"/>
  </w:num>
  <w:num w:numId="23">
    <w:abstractNumId w:val="3"/>
  </w:num>
  <w:num w:numId="24">
    <w:abstractNumId w:val="12"/>
  </w:num>
  <w:num w:numId="25">
    <w:abstractNumId w:val="9"/>
  </w:num>
  <w:num w:numId="26">
    <w:abstractNumId w:val="4"/>
  </w:num>
  <w:num w:numId="27">
    <w:abstractNumId w:val="22"/>
  </w:num>
  <w:num w:numId="28">
    <w:abstractNumId w:val="31"/>
  </w:num>
  <w:num w:numId="29">
    <w:abstractNumId w:val="6"/>
  </w:num>
  <w:num w:numId="30">
    <w:abstractNumId w:val="25"/>
  </w:num>
  <w:num w:numId="31">
    <w:abstractNumId w:val="19"/>
  </w:num>
  <w:num w:numId="32">
    <w:abstractNumId w:val="1"/>
  </w:num>
  <w:num w:numId="33">
    <w:abstractNumId w:val="5"/>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11"/>
    <w:rsid w:val="00000F6A"/>
    <w:rsid w:val="000013EE"/>
    <w:rsid w:val="0000490B"/>
    <w:rsid w:val="0000553A"/>
    <w:rsid w:val="000076B3"/>
    <w:rsid w:val="00010BC2"/>
    <w:rsid w:val="00013896"/>
    <w:rsid w:val="0001461C"/>
    <w:rsid w:val="00014B91"/>
    <w:rsid w:val="0001517F"/>
    <w:rsid w:val="000155FD"/>
    <w:rsid w:val="00017018"/>
    <w:rsid w:val="00023F11"/>
    <w:rsid w:val="00024B73"/>
    <w:rsid w:val="00031066"/>
    <w:rsid w:val="00031953"/>
    <w:rsid w:val="00033515"/>
    <w:rsid w:val="00042794"/>
    <w:rsid w:val="00050080"/>
    <w:rsid w:val="0005231C"/>
    <w:rsid w:val="000537B4"/>
    <w:rsid w:val="00053A5C"/>
    <w:rsid w:val="00053C5A"/>
    <w:rsid w:val="000549A7"/>
    <w:rsid w:val="00054B07"/>
    <w:rsid w:val="00054BF6"/>
    <w:rsid w:val="000553CC"/>
    <w:rsid w:val="000604C4"/>
    <w:rsid w:val="0006061A"/>
    <w:rsid w:val="00061D90"/>
    <w:rsid w:val="000640BA"/>
    <w:rsid w:val="00064569"/>
    <w:rsid w:val="00065B67"/>
    <w:rsid w:val="000710C2"/>
    <w:rsid w:val="0007115A"/>
    <w:rsid w:val="00071488"/>
    <w:rsid w:val="0007178F"/>
    <w:rsid w:val="00077828"/>
    <w:rsid w:val="000809E6"/>
    <w:rsid w:val="0008715C"/>
    <w:rsid w:val="00090A99"/>
    <w:rsid w:val="000973C8"/>
    <w:rsid w:val="000A08C8"/>
    <w:rsid w:val="000A22B3"/>
    <w:rsid w:val="000A2AA9"/>
    <w:rsid w:val="000A56F2"/>
    <w:rsid w:val="000A57B0"/>
    <w:rsid w:val="000A6E05"/>
    <w:rsid w:val="000A7FDE"/>
    <w:rsid w:val="000B0B03"/>
    <w:rsid w:val="000B12FA"/>
    <w:rsid w:val="000B4833"/>
    <w:rsid w:val="000B5AB3"/>
    <w:rsid w:val="000B69CE"/>
    <w:rsid w:val="000B6CD8"/>
    <w:rsid w:val="000C08BF"/>
    <w:rsid w:val="000C2317"/>
    <w:rsid w:val="000C3B9A"/>
    <w:rsid w:val="000D0D2E"/>
    <w:rsid w:val="000D24B3"/>
    <w:rsid w:val="000D25A8"/>
    <w:rsid w:val="000E21FB"/>
    <w:rsid w:val="000E270A"/>
    <w:rsid w:val="000E48E2"/>
    <w:rsid w:val="000E4C53"/>
    <w:rsid w:val="000F1A44"/>
    <w:rsid w:val="000F7D18"/>
    <w:rsid w:val="00104733"/>
    <w:rsid w:val="001048F7"/>
    <w:rsid w:val="00105190"/>
    <w:rsid w:val="00105CB3"/>
    <w:rsid w:val="00105DE7"/>
    <w:rsid w:val="00106C89"/>
    <w:rsid w:val="00121089"/>
    <w:rsid w:val="00121941"/>
    <w:rsid w:val="001219BC"/>
    <w:rsid w:val="001233CA"/>
    <w:rsid w:val="001268BD"/>
    <w:rsid w:val="0013364E"/>
    <w:rsid w:val="00140E04"/>
    <w:rsid w:val="00140E16"/>
    <w:rsid w:val="001415D0"/>
    <w:rsid w:val="00143770"/>
    <w:rsid w:val="00143F6B"/>
    <w:rsid w:val="00146D0A"/>
    <w:rsid w:val="001510E7"/>
    <w:rsid w:val="001514C2"/>
    <w:rsid w:val="00153272"/>
    <w:rsid w:val="00156B3B"/>
    <w:rsid w:val="00157638"/>
    <w:rsid w:val="0016058E"/>
    <w:rsid w:val="00164C9A"/>
    <w:rsid w:val="00165994"/>
    <w:rsid w:val="00172E23"/>
    <w:rsid w:val="00173667"/>
    <w:rsid w:val="001805B9"/>
    <w:rsid w:val="00181752"/>
    <w:rsid w:val="001843A7"/>
    <w:rsid w:val="00185AC1"/>
    <w:rsid w:val="00185E5A"/>
    <w:rsid w:val="00191985"/>
    <w:rsid w:val="00192BD9"/>
    <w:rsid w:val="001950DB"/>
    <w:rsid w:val="001973DE"/>
    <w:rsid w:val="001A0A56"/>
    <w:rsid w:val="001A0D93"/>
    <w:rsid w:val="001A18ED"/>
    <w:rsid w:val="001B10C3"/>
    <w:rsid w:val="001B2580"/>
    <w:rsid w:val="001B275B"/>
    <w:rsid w:val="001C0986"/>
    <w:rsid w:val="001C363F"/>
    <w:rsid w:val="001C431F"/>
    <w:rsid w:val="001C45EF"/>
    <w:rsid w:val="001C7229"/>
    <w:rsid w:val="001D0870"/>
    <w:rsid w:val="001D65CC"/>
    <w:rsid w:val="001E0009"/>
    <w:rsid w:val="001E2A62"/>
    <w:rsid w:val="001E5E62"/>
    <w:rsid w:val="001F2819"/>
    <w:rsid w:val="001F4EC5"/>
    <w:rsid w:val="00200719"/>
    <w:rsid w:val="002043EC"/>
    <w:rsid w:val="0021032A"/>
    <w:rsid w:val="00214896"/>
    <w:rsid w:val="00214A94"/>
    <w:rsid w:val="00214D6D"/>
    <w:rsid w:val="002172A2"/>
    <w:rsid w:val="0022382D"/>
    <w:rsid w:val="00226F33"/>
    <w:rsid w:val="00227896"/>
    <w:rsid w:val="002369B3"/>
    <w:rsid w:val="00236D38"/>
    <w:rsid w:val="002401B0"/>
    <w:rsid w:val="00243A2B"/>
    <w:rsid w:val="00243DC0"/>
    <w:rsid w:val="00243F03"/>
    <w:rsid w:val="00244395"/>
    <w:rsid w:val="00247477"/>
    <w:rsid w:val="0025020C"/>
    <w:rsid w:val="00250232"/>
    <w:rsid w:val="00250D4C"/>
    <w:rsid w:val="00251407"/>
    <w:rsid w:val="00255FB7"/>
    <w:rsid w:val="00261858"/>
    <w:rsid w:val="00265355"/>
    <w:rsid w:val="002653AB"/>
    <w:rsid w:val="00265ABB"/>
    <w:rsid w:val="00270440"/>
    <w:rsid w:val="00276E31"/>
    <w:rsid w:val="00280421"/>
    <w:rsid w:val="0028555E"/>
    <w:rsid w:val="00287B89"/>
    <w:rsid w:val="00287BC5"/>
    <w:rsid w:val="002909C5"/>
    <w:rsid w:val="00290DA6"/>
    <w:rsid w:val="00293DEE"/>
    <w:rsid w:val="002A0B5D"/>
    <w:rsid w:val="002A269B"/>
    <w:rsid w:val="002B1DAC"/>
    <w:rsid w:val="002B68FD"/>
    <w:rsid w:val="002B7BCF"/>
    <w:rsid w:val="002C16CF"/>
    <w:rsid w:val="002C713B"/>
    <w:rsid w:val="002C7FE9"/>
    <w:rsid w:val="002D0DC5"/>
    <w:rsid w:val="002D3B83"/>
    <w:rsid w:val="002D4EFD"/>
    <w:rsid w:val="002D5AF7"/>
    <w:rsid w:val="002E7B92"/>
    <w:rsid w:val="002F170F"/>
    <w:rsid w:val="002F3982"/>
    <w:rsid w:val="002F3BC7"/>
    <w:rsid w:val="002F739E"/>
    <w:rsid w:val="002F743B"/>
    <w:rsid w:val="0030313A"/>
    <w:rsid w:val="003032A1"/>
    <w:rsid w:val="0030447D"/>
    <w:rsid w:val="003046E0"/>
    <w:rsid w:val="00316071"/>
    <w:rsid w:val="003175E4"/>
    <w:rsid w:val="00317A8A"/>
    <w:rsid w:val="00321CF8"/>
    <w:rsid w:val="00322677"/>
    <w:rsid w:val="00327956"/>
    <w:rsid w:val="003314D8"/>
    <w:rsid w:val="00332933"/>
    <w:rsid w:val="00333719"/>
    <w:rsid w:val="0033471C"/>
    <w:rsid w:val="0033585E"/>
    <w:rsid w:val="003373B9"/>
    <w:rsid w:val="00340767"/>
    <w:rsid w:val="00340959"/>
    <w:rsid w:val="00343E5C"/>
    <w:rsid w:val="00344F4D"/>
    <w:rsid w:val="00344FF8"/>
    <w:rsid w:val="003517BE"/>
    <w:rsid w:val="0035301B"/>
    <w:rsid w:val="00354A2A"/>
    <w:rsid w:val="00355026"/>
    <w:rsid w:val="0036017B"/>
    <w:rsid w:val="0036136C"/>
    <w:rsid w:val="00362755"/>
    <w:rsid w:val="003657F9"/>
    <w:rsid w:val="0036588C"/>
    <w:rsid w:val="00371F51"/>
    <w:rsid w:val="00371FD2"/>
    <w:rsid w:val="00372B0A"/>
    <w:rsid w:val="003735ED"/>
    <w:rsid w:val="00373B93"/>
    <w:rsid w:val="00380CD1"/>
    <w:rsid w:val="00380EFB"/>
    <w:rsid w:val="00387D6A"/>
    <w:rsid w:val="003905C3"/>
    <w:rsid w:val="003930E9"/>
    <w:rsid w:val="003934C8"/>
    <w:rsid w:val="003A1D07"/>
    <w:rsid w:val="003A38F0"/>
    <w:rsid w:val="003A4AC1"/>
    <w:rsid w:val="003A73FA"/>
    <w:rsid w:val="003B253D"/>
    <w:rsid w:val="003C12DF"/>
    <w:rsid w:val="003C697C"/>
    <w:rsid w:val="003D23BA"/>
    <w:rsid w:val="003D2524"/>
    <w:rsid w:val="003D5216"/>
    <w:rsid w:val="003F069A"/>
    <w:rsid w:val="003F3A18"/>
    <w:rsid w:val="003F4329"/>
    <w:rsid w:val="003F512D"/>
    <w:rsid w:val="003F610B"/>
    <w:rsid w:val="004009A0"/>
    <w:rsid w:val="00401697"/>
    <w:rsid w:val="0040196E"/>
    <w:rsid w:val="00406027"/>
    <w:rsid w:val="00412534"/>
    <w:rsid w:val="00412C83"/>
    <w:rsid w:val="00414665"/>
    <w:rsid w:val="00420C07"/>
    <w:rsid w:val="004211ED"/>
    <w:rsid w:val="00421E1D"/>
    <w:rsid w:val="004228A5"/>
    <w:rsid w:val="00426014"/>
    <w:rsid w:val="00426E18"/>
    <w:rsid w:val="004315BC"/>
    <w:rsid w:val="00432160"/>
    <w:rsid w:val="00434B4F"/>
    <w:rsid w:val="00435198"/>
    <w:rsid w:val="00437EFB"/>
    <w:rsid w:val="0044063A"/>
    <w:rsid w:val="0044299F"/>
    <w:rsid w:val="00443667"/>
    <w:rsid w:val="00445683"/>
    <w:rsid w:val="004466DA"/>
    <w:rsid w:val="0045108E"/>
    <w:rsid w:val="0045269B"/>
    <w:rsid w:val="004570A8"/>
    <w:rsid w:val="00460510"/>
    <w:rsid w:val="00460B7D"/>
    <w:rsid w:val="0046385A"/>
    <w:rsid w:val="00464BB6"/>
    <w:rsid w:val="004661FE"/>
    <w:rsid w:val="00473491"/>
    <w:rsid w:val="00475A52"/>
    <w:rsid w:val="00476A9B"/>
    <w:rsid w:val="00476D6C"/>
    <w:rsid w:val="00480CB0"/>
    <w:rsid w:val="004824C0"/>
    <w:rsid w:val="00486235"/>
    <w:rsid w:val="0048704C"/>
    <w:rsid w:val="00490928"/>
    <w:rsid w:val="004942FF"/>
    <w:rsid w:val="004A20B4"/>
    <w:rsid w:val="004A3459"/>
    <w:rsid w:val="004A7E21"/>
    <w:rsid w:val="004B2782"/>
    <w:rsid w:val="004B34EA"/>
    <w:rsid w:val="004B3F75"/>
    <w:rsid w:val="004B3F8B"/>
    <w:rsid w:val="004B5494"/>
    <w:rsid w:val="004C35F2"/>
    <w:rsid w:val="004C627A"/>
    <w:rsid w:val="004C74F3"/>
    <w:rsid w:val="004C7A2B"/>
    <w:rsid w:val="004C7D3A"/>
    <w:rsid w:val="004D2C0E"/>
    <w:rsid w:val="004D3891"/>
    <w:rsid w:val="004D74D8"/>
    <w:rsid w:val="004D7634"/>
    <w:rsid w:val="004E0D41"/>
    <w:rsid w:val="004E6889"/>
    <w:rsid w:val="004E6AD7"/>
    <w:rsid w:val="004F24FF"/>
    <w:rsid w:val="004F3674"/>
    <w:rsid w:val="004F5411"/>
    <w:rsid w:val="0050100E"/>
    <w:rsid w:val="005018A8"/>
    <w:rsid w:val="00503264"/>
    <w:rsid w:val="0050354D"/>
    <w:rsid w:val="005052E5"/>
    <w:rsid w:val="00505A39"/>
    <w:rsid w:val="00514968"/>
    <w:rsid w:val="00522164"/>
    <w:rsid w:val="005240BF"/>
    <w:rsid w:val="00524238"/>
    <w:rsid w:val="0052643D"/>
    <w:rsid w:val="00532DE6"/>
    <w:rsid w:val="00542D0E"/>
    <w:rsid w:val="0054352C"/>
    <w:rsid w:val="00543B28"/>
    <w:rsid w:val="005470DD"/>
    <w:rsid w:val="00547557"/>
    <w:rsid w:val="005645A1"/>
    <w:rsid w:val="005654E1"/>
    <w:rsid w:val="00566549"/>
    <w:rsid w:val="0057109B"/>
    <w:rsid w:val="00574E93"/>
    <w:rsid w:val="00581C4B"/>
    <w:rsid w:val="00585390"/>
    <w:rsid w:val="00586FBB"/>
    <w:rsid w:val="00590B24"/>
    <w:rsid w:val="00591717"/>
    <w:rsid w:val="005939A5"/>
    <w:rsid w:val="00594B92"/>
    <w:rsid w:val="0059592C"/>
    <w:rsid w:val="005A148C"/>
    <w:rsid w:val="005B34AE"/>
    <w:rsid w:val="005B3FB7"/>
    <w:rsid w:val="005B5B7D"/>
    <w:rsid w:val="005C0290"/>
    <w:rsid w:val="005C0826"/>
    <w:rsid w:val="005C1339"/>
    <w:rsid w:val="005C403E"/>
    <w:rsid w:val="005C580A"/>
    <w:rsid w:val="005D0643"/>
    <w:rsid w:val="005D333D"/>
    <w:rsid w:val="005D3EF0"/>
    <w:rsid w:val="005D4584"/>
    <w:rsid w:val="005E500F"/>
    <w:rsid w:val="005F7438"/>
    <w:rsid w:val="00600CA4"/>
    <w:rsid w:val="00601A94"/>
    <w:rsid w:val="0060266E"/>
    <w:rsid w:val="00604C85"/>
    <w:rsid w:val="00607641"/>
    <w:rsid w:val="00612420"/>
    <w:rsid w:val="0061288C"/>
    <w:rsid w:val="0061646B"/>
    <w:rsid w:val="00621450"/>
    <w:rsid w:val="00622425"/>
    <w:rsid w:val="0062589D"/>
    <w:rsid w:val="00627348"/>
    <w:rsid w:val="00630595"/>
    <w:rsid w:val="00632207"/>
    <w:rsid w:val="006337F0"/>
    <w:rsid w:val="0063491C"/>
    <w:rsid w:val="006358A3"/>
    <w:rsid w:val="006363EA"/>
    <w:rsid w:val="0064020B"/>
    <w:rsid w:val="006465B4"/>
    <w:rsid w:val="00656244"/>
    <w:rsid w:val="00656E16"/>
    <w:rsid w:val="00660434"/>
    <w:rsid w:val="00661AFE"/>
    <w:rsid w:val="006631E9"/>
    <w:rsid w:val="00667710"/>
    <w:rsid w:val="006710EE"/>
    <w:rsid w:val="00671512"/>
    <w:rsid w:val="006737B7"/>
    <w:rsid w:val="00676CFC"/>
    <w:rsid w:val="00680BE8"/>
    <w:rsid w:val="00680C0A"/>
    <w:rsid w:val="00696CDA"/>
    <w:rsid w:val="00696D97"/>
    <w:rsid w:val="006970C6"/>
    <w:rsid w:val="006978A4"/>
    <w:rsid w:val="006A0456"/>
    <w:rsid w:val="006A074B"/>
    <w:rsid w:val="006A498E"/>
    <w:rsid w:val="006A57DF"/>
    <w:rsid w:val="006B1E3D"/>
    <w:rsid w:val="006B2F2F"/>
    <w:rsid w:val="006B7485"/>
    <w:rsid w:val="006C08C2"/>
    <w:rsid w:val="006C1F10"/>
    <w:rsid w:val="006C3970"/>
    <w:rsid w:val="006C406F"/>
    <w:rsid w:val="006C552D"/>
    <w:rsid w:val="006D1FE8"/>
    <w:rsid w:val="006D270B"/>
    <w:rsid w:val="006D35C7"/>
    <w:rsid w:val="006D4E08"/>
    <w:rsid w:val="006D6D81"/>
    <w:rsid w:val="006E28BC"/>
    <w:rsid w:val="006E5E28"/>
    <w:rsid w:val="006E64A9"/>
    <w:rsid w:val="006E6574"/>
    <w:rsid w:val="006E76AE"/>
    <w:rsid w:val="006F16DA"/>
    <w:rsid w:val="006F1815"/>
    <w:rsid w:val="00700C48"/>
    <w:rsid w:val="00701B53"/>
    <w:rsid w:val="007020A1"/>
    <w:rsid w:val="00702ECF"/>
    <w:rsid w:val="0070371B"/>
    <w:rsid w:val="0070623B"/>
    <w:rsid w:val="007101AA"/>
    <w:rsid w:val="00710F0B"/>
    <w:rsid w:val="00714676"/>
    <w:rsid w:val="00714CF2"/>
    <w:rsid w:val="007156B9"/>
    <w:rsid w:val="00715F1D"/>
    <w:rsid w:val="00720817"/>
    <w:rsid w:val="00722850"/>
    <w:rsid w:val="0072572B"/>
    <w:rsid w:val="00725AF8"/>
    <w:rsid w:val="007262BB"/>
    <w:rsid w:val="00726AEB"/>
    <w:rsid w:val="007325AD"/>
    <w:rsid w:val="0073353F"/>
    <w:rsid w:val="0073448E"/>
    <w:rsid w:val="007350F7"/>
    <w:rsid w:val="00735A91"/>
    <w:rsid w:val="00736C81"/>
    <w:rsid w:val="00737655"/>
    <w:rsid w:val="00741142"/>
    <w:rsid w:val="007427A3"/>
    <w:rsid w:val="00742E45"/>
    <w:rsid w:val="007447AF"/>
    <w:rsid w:val="00744B75"/>
    <w:rsid w:val="00746257"/>
    <w:rsid w:val="00750719"/>
    <w:rsid w:val="00750816"/>
    <w:rsid w:val="00751013"/>
    <w:rsid w:val="00753F93"/>
    <w:rsid w:val="00760091"/>
    <w:rsid w:val="00761EDB"/>
    <w:rsid w:val="007634A8"/>
    <w:rsid w:val="007657C1"/>
    <w:rsid w:val="00766B4F"/>
    <w:rsid w:val="00767B1E"/>
    <w:rsid w:val="00767D9B"/>
    <w:rsid w:val="00771FC1"/>
    <w:rsid w:val="0077226A"/>
    <w:rsid w:val="0077623D"/>
    <w:rsid w:val="0077755F"/>
    <w:rsid w:val="00777AC6"/>
    <w:rsid w:val="00777DEB"/>
    <w:rsid w:val="00780068"/>
    <w:rsid w:val="0078499F"/>
    <w:rsid w:val="0078665F"/>
    <w:rsid w:val="007869BF"/>
    <w:rsid w:val="00786DAA"/>
    <w:rsid w:val="007878B2"/>
    <w:rsid w:val="00794B40"/>
    <w:rsid w:val="007A406D"/>
    <w:rsid w:val="007A5A7B"/>
    <w:rsid w:val="007A5CCF"/>
    <w:rsid w:val="007A62B0"/>
    <w:rsid w:val="007B10D3"/>
    <w:rsid w:val="007B315C"/>
    <w:rsid w:val="007B6248"/>
    <w:rsid w:val="007B69C2"/>
    <w:rsid w:val="007C0CA3"/>
    <w:rsid w:val="007C2D5F"/>
    <w:rsid w:val="007C5A0C"/>
    <w:rsid w:val="007C6EDC"/>
    <w:rsid w:val="007D28FD"/>
    <w:rsid w:val="007D2BF7"/>
    <w:rsid w:val="007D457B"/>
    <w:rsid w:val="007D70E8"/>
    <w:rsid w:val="007D7A00"/>
    <w:rsid w:val="007E0FEE"/>
    <w:rsid w:val="007F03CB"/>
    <w:rsid w:val="007F2017"/>
    <w:rsid w:val="007F2931"/>
    <w:rsid w:val="0080280A"/>
    <w:rsid w:val="00804DDF"/>
    <w:rsid w:val="00804EE0"/>
    <w:rsid w:val="00807DFA"/>
    <w:rsid w:val="00813D61"/>
    <w:rsid w:val="0082092D"/>
    <w:rsid w:val="0082151E"/>
    <w:rsid w:val="00822205"/>
    <w:rsid w:val="0082261C"/>
    <w:rsid w:val="00822B94"/>
    <w:rsid w:val="00825E49"/>
    <w:rsid w:val="008277D8"/>
    <w:rsid w:val="0083091A"/>
    <w:rsid w:val="00830C07"/>
    <w:rsid w:val="008339BB"/>
    <w:rsid w:val="0083555B"/>
    <w:rsid w:val="008422A3"/>
    <w:rsid w:val="008521EB"/>
    <w:rsid w:val="0085261C"/>
    <w:rsid w:val="00862E91"/>
    <w:rsid w:val="0086419A"/>
    <w:rsid w:val="00864F13"/>
    <w:rsid w:val="00867B98"/>
    <w:rsid w:val="0087023B"/>
    <w:rsid w:val="00870DB0"/>
    <w:rsid w:val="00880C51"/>
    <w:rsid w:val="00885569"/>
    <w:rsid w:val="0088701C"/>
    <w:rsid w:val="008904F0"/>
    <w:rsid w:val="008907E8"/>
    <w:rsid w:val="008A0B48"/>
    <w:rsid w:val="008A179F"/>
    <w:rsid w:val="008A1D9C"/>
    <w:rsid w:val="008A1ED6"/>
    <w:rsid w:val="008A3A80"/>
    <w:rsid w:val="008A3EBF"/>
    <w:rsid w:val="008A4C3D"/>
    <w:rsid w:val="008B0864"/>
    <w:rsid w:val="008C4341"/>
    <w:rsid w:val="008C5F6F"/>
    <w:rsid w:val="008C6700"/>
    <w:rsid w:val="008C7413"/>
    <w:rsid w:val="008D0222"/>
    <w:rsid w:val="008D16B7"/>
    <w:rsid w:val="008D5F92"/>
    <w:rsid w:val="008D783F"/>
    <w:rsid w:val="008D7FB3"/>
    <w:rsid w:val="008E1D51"/>
    <w:rsid w:val="008E2987"/>
    <w:rsid w:val="008E3377"/>
    <w:rsid w:val="008E3B0F"/>
    <w:rsid w:val="008E4875"/>
    <w:rsid w:val="008E6AE6"/>
    <w:rsid w:val="008F0116"/>
    <w:rsid w:val="008F143D"/>
    <w:rsid w:val="008F26A9"/>
    <w:rsid w:val="008F557D"/>
    <w:rsid w:val="008F685B"/>
    <w:rsid w:val="00900357"/>
    <w:rsid w:val="009015DB"/>
    <w:rsid w:val="00902129"/>
    <w:rsid w:val="00902ED1"/>
    <w:rsid w:val="00905022"/>
    <w:rsid w:val="00906EEB"/>
    <w:rsid w:val="00907EE3"/>
    <w:rsid w:val="00913797"/>
    <w:rsid w:val="00926B78"/>
    <w:rsid w:val="00927BC0"/>
    <w:rsid w:val="00931AAB"/>
    <w:rsid w:val="0093261B"/>
    <w:rsid w:val="00932865"/>
    <w:rsid w:val="009345FB"/>
    <w:rsid w:val="009372F8"/>
    <w:rsid w:val="009400E6"/>
    <w:rsid w:val="00941230"/>
    <w:rsid w:val="009505F0"/>
    <w:rsid w:val="0095625E"/>
    <w:rsid w:val="00962FA6"/>
    <w:rsid w:val="00965A78"/>
    <w:rsid w:val="0097174C"/>
    <w:rsid w:val="009731DB"/>
    <w:rsid w:val="00973AFE"/>
    <w:rsid w:val="00976B91"/>
    <w:rsid w:val="00977A3C"/>
    <w:rsid w:val="00980954"/>
    <w:rsid w:val="00980FDA"/>
    <w:rsid w:val="0098138E"/>
    <w:rsid w:val="0098143C"/>
    <w:rsid w:val="0098219B"/>
    <w:rsid w:val="00984FF1"/>
    <w:rsid w:val="009853F2"/>
    <w:rsid w:val="009862E4"/>
    <w:rsid w:val="0098655A"/>
    <w:rsid w:val="009872F8"/>
    <w:rsid w:val="00990D7E"/>
    <w:rsid w:val="00997D61"/>
    <w:rsid w:val="009A3152"/>
    <w:rsid w:val="009B426F"/>
    <w:rsid w:val="009B5F85"/>
    <w:rsid w:val="009B73B1"/>
    <w:rsid w:val="009C1EF0"/>
    <w:rsid w:val="009C3144"/>
    <w:rsid w:val="009C4DA0"/>
    <w:rsid w:val="009D79D7"/>
    <w:rsid w:val="009E079A"/>
    <w:rsid w:val="009E1B8E"/>
    <w:rsid w:val="009E316E"/>
    <w:rsid w:val="009E5918"/>
    <w:rsid w:val="009E6E5D"/>
    <w:rsid w:val="009E7C7F"/>
    <w:rsid w:val="009F770A"/>
    <w:rsid w:val="00A0681C"/>
    <w:rsid w:val="00A114B6"/>
    <w:rsid w:val="00A1478E"/>
    <w:rsid w:val="00A155F2"/>
    <w:rsid w:val="00A17B2C"/>
    <w:rsid w:val="00A17CE0"/>
    <w:rsid w:val="00A2192F"/>
    <w:rsid w:val="00A23D48"/>
    <w:rsid w:val="00A27644"/>
    <w:rsid w:val="00A31F6E"/>
    <w:rsid w:val="00A32F40"/>
    <w:rsid w:val="00A367E0"/>
    <w:rsid w:val="00A40E51"/>
    <w:rsid w:val="00A42306"/>
    <w:rsid w:val="00A44504"/>
    <w:rsid w:val="00A44E8D"/>
    <w:rsid w:val="00A45B2F"/>
    <w:rsid w:val="00A472BB"/>
    <w:rsid w:val="00A522BE"/>
    <w:rsid w:val="00A53904"/>
    <w:rsid w:val="00A53C66"/>
    <w:rsid w:val="00A54BE8"/>
    <w:rsid w:val="00A55ACD"/>
    <w:rsid w:val="00A561BD"/>
    <w:rsid w:val="00A566EE"/>
    <w:rsid w:val="00A57BD9"/>
    <w:rsid w:val="00A62616"/>
    <w:rsid w:val="00A666F6"/>
    <w:rsid w:val="00A70456"/>
    <w:rsid w:val="00A724CB"/>
    <w:rsid w:val="00A72A0B"/>
    <w:rsid w:val="00A73A7E"/>
    <w:rsid w:val="00A7515C"/>
    <w:rsid w:val="00A82059"/>
    <w:rsid w:val="00A82520"/>
    <w:rsid w:val="00A900AF"/>
    <w:rsid w:val="00A9102A"/>
    <w:rsid w:val="00A93142"/>
    <w:rsid w:val="00A93945"/>
    <w:rsid w:val="00AA0B59"/>
    <w:rsid w:val="00AA0FB7"/>
    <w:rsid w:val="00AA5623"/>
    <w:rsid w:val="00AB1F7F"/>
    <w:rsid w:val="00AB2209"/>
    <w:rsid w:val="00AB30EE"/>
    <w:rsid w:val="00AB577F"/>
    <w:rsid w:val="00AB6CF5"/>
    <w:rsid w:val="00AB7875"/>
    <w:rsid w:val="00AB7B4B"/>
    <w:rsid w:val="00AC1FED"/>
    <w:rsid w:val="00AC68EE"/>
    <w:rsid w:val="00AD144D"/>
    <w:rsid w:val="00AD52C0"/>
    <w:rsid w:val="00AD557B"/>
    <w:rsid w:val="00AD5D15"/>
    <w:rsid w:val="00AD5D4B"/>
    <w:rsid w:val="00AD6CE2"/>
    <w:rsid w:val="00AE014F"/>
    <w:rsid w:val="00AE193C"/>
    <w:rsid w:val="00AE6D3F"/>
    <w:rsid w:val="00AF5745"/>
    <w:rsid w:val="00AF6954"/>
    <w:rsid w:val="00B00BAC"/>
    <w:rsid w:val="00B01F7E"/>
    <w:rsid w:val="00B02CC7"/>
    <w:rsid w:val="00B04834"/>
    <w:rsid w:val="00B052EB"/>
    <w:rsid w:val="00B06DFA"/>
    <w:rsid w:val="00B11644"/>
    <w:rsid w:val="00B119DC"/>
    <w:rsid w:val="00B155E7"/>
    <w:rsid w:val="00B15FA6"/>
    <w:rsid w:val="00B25E39"/>
    <w:rsid w:val="00B272D3"/>
    <w:rsid w:val="00B3087D"/>
    <w:rsid w:val="00B30D04"/>
    <w:rsid w:val="00B31621"/>
    <w:rsid w:val="00B34794"/>
    <w:rsid w:val="00B35AD6"/>
    <w:rsid w:val="00B35DBC"/>
    <w:rsid w:val="00B40632"/>
    <w:rsid w:val="00B41A3D"/>
    <w:rsid w:val="00B41C53"/>
    <w:rsid w:val="00B4537F"/>
    <w:rsid w:val="00B46448"/>
    <w:rsid w:val="00B47DB7"/>
    <w:rsid w:val="00B47EF6"/>
    <w:rsid w:val="00B526B2"/>
    <w:rsid w:val="00B52DB3"/>
    <w:rsid w:val="00B55829"/>
    <w:rsid w:val="00B55F2F"/>
    <w:rsid w:val="00B60421"/>
    <w:rsid w:val="00B64238"/>
    <w:rsid w:val="00B64EAB"/>
    <w:rsid w:val="00B72043"/>
    <w:rsid w:val="00B80464"/>
    <w:rsid w:val="00B83322"/>
    <w:rsid w:val="00B84461"/>
    <w:rsid w:val="00B94310"/>
    <w:rsid w:val="00B9475D"/>
    <w:rsid w:val="00B9476E"/>
    <w:rsid w:val="00BA17B2"/>
    <w:rsid w:val="00BB0243"/>
    <w:rsid w:val="00BB084B"/>
    <w:rsid w:val="00BB7263"/>
    <w:rsid w:val="00BD3501"/>
    <w:rsid w:val="00BE472A"/>
    <w:rsid w:val="00BE545C"/>
    <w:rsid w:val="00BE6F4D"/>
    <w:rsid w:val="00BE7602"/>
    <w:rsid w:val="00BF04AF"/>
    <w:rsid w:val="00BF086B"/>
    <w:rsid w:val="00BF108D"/>
    <w:rsid w:val="00BF2C12"/>
    <w:rsid w:val="00BF3153"/>
    <w:rsid w:val="00BF39FE"/>
    <w:rsid w:val="00BF3B01"/>
    <w:rsid w:val="00BF72A8"/>
    <w:rsid w:val="00BF72CB"/>
    <w:rsid w:val="00BF7F78"/>
    <w:rsid w:val="00C0654D"/>
    <w:rsid w:val="00C10B5F"/>
    <w:rsid w:val="00C11CD0"/>
    <w:rsid w:val="00C11EBE"/>
    <w:rsid w:val="00C13344"/>
    <w:rsid w:val="00C13E68"/>
    <w:rsid w:val="00C14CBA"/>
    <w:rsid w:val="00C14DF2"/>
    <w:rsid w:val="00C15C93"/>
    <w:rsid w:val="00C221FC"/>
    <w:rsid w:val="00C235F5"/>
    <w:rsid w:val="00C25834"/>
    <w:rsid w:val="00C30AF4"/>
    <w:rsid w:val="00C3221C"/>
    <w:rsid w:val="00C35C1A"/>
    <w:rsid w:val="00C35F05"/>
    <w:rsid w:val="00C365F2"/>
    <w:rsid w:val="00C37D9C"/>
    <w:rsid w:val="00C41272"/>
    <w:rsid w:val="00C43832"/>
    <w:rsid w:val="00C462B4"/>
    <w:rsid w:val="00C46AD8"/>
    <w:rsid w:val="00C46CB9"/>
    <w:rsid w:val="00C56CCA"/>
    <w:rsid w:val="00C6787B"/>
    <w:rsid w:val="00C7079E"/>
    <w:rsid w:val="00C70CC3"/>
    <w:rsid w:val="00C72377"/>
    <w:rsid w:val="00C72ED5"/>
    <w:rsid w:val="00C77F25"/>
    <w:rsid w:val="00C80E51"/>
    <w:rsid w:val="00C822FB"/>
    <w:rsid w:val="00C82FE3"/>
    <w:rsid w:val="00C83C86"/>
    <w:rsid w:val="00C843C2"/>
    <w:rsid w:val="00C913A1"/>
    <w:rsid w:val="00C92F73"/>
    <w:rsid w:val="00C930B7"/>
    <w:rsid w:val="00CA5788"/>
    <w:rsid w:val="00CA5CF6"/>
    <w:rsid w:val="00CA5D73"/>
    <w:rsid w:val="00CA60D3"/>
    <w:rsid w:val="00CA77E3"/>
    <w:rsid w:val="00CB066B"/>
    <w:rsid w:val="00CB0B18"/>
    <w:rsid w:val="00CB3C44"/>
    <w:rsid w:val="00CC03F5"/>
    <w:rsid w:val="00CC0DCC"/>
    <w:rsid w:val="00CC388B"/>
    <w:rsid w:val="00CC4B90"/>
    <w:rsid w:val="00CC6A99"/>
    <w:rsid w:val="00CD05CD"/>
    <w:rsid w:val="00CD0E83"/>
    <w:rsid w:val="00CD142B"/>
    <w:rsid w:val="00CD214E"/>
    <w:rsid w:val="00CD55C8"/>
    <w:rsid w:val="00CE2529"/>
    <w:rsid w:val="00CE2A6F"/>
    <w:rsid w:val="00CE2D80"/>
    <w:rsid w:val="00CE4F0E"/>
    <w:rsid w:val="00CE5A25"/>
    <w:rsid w:val="00CE673B"/>
    <w:rsid w:val="00CE6D70"/>
    <w:rsid w:val="00CE745F"/>
    <w:rsid w:val="00CF1567"/>
    <w:rsid w:val="00CF1BD7"/>
    <w:rsid w:val="00CF336D"/>
    <w:rsid w:val="00CF5E68"/>
    <w:rsid w:val="00D00A3F"/>
    <w:rsid w:val="00D00AA3"/>
    <w:rsid w:val="00D014A2"/>
    <w:rsid w:val="00D04C6E"/>
    <w:rsid w:val="00D07F73"/>
    <w:rsid w:val="00D104FA"/>
    <w:rsid w:val="00D12481"/>
    <w:rsid w:val="00D14844"/>
    <w:rsid w:val="00D1550C"/>
    <w:rsid w:val="00D167B5"/>
    <w:rsid w:val="00D1705A"/>
    <w:rsid w:val="00D2041C"/>
    <w:rsid w:val="00D20A13"/>
    <w:rsid w:val="00D22302"/>
    <w:rsid w:val="00D25ADE"/>
    <w:rsid w:val="00D30F35"/>
    <w:rsid w:val="00D33DB6"/>
    <w:rsid w:val="00D36D00"/>
    <w:rsid w:val="00D41D64"/>
    <w:rsid w:val="00D421A5"/>
    <w:rsid w:val="00D43297"/>
    <w:rsid w:val="00D44DB6"/>
    <w:rsid w:val="00D50119"/>
    <w:rsid w:val="00D501AD"/>
    <w:rsid w:val="00D540C1"/>
    <w:rsid w:val="00D54F9D"/>
    <w:rsid w:val="00D62726"/>
    <w:rsid w:val="00D65096"/>
    <w:rsid w:val="00D7292A"/>
    <w:rsid w:val="00D73AC1"/>
    <w:rsid w:val="00D76B73"/>
    <w:rsid w:val="00D7759A"/>
    <w:rsid w:val="00D82A43"/>
    <w:rsid w:val="00D830CF"/>
    <w:rsid w:val="00D83C21"/>
    <w:rsid w:val="00D83D7E"/>
    <w:rsid w:val="00D840CE"/>
    <w:rsid w:val="00D85C4E"/>
    <w:rsid w:val="00D85F5F"/>
    <w:rsid w:val="00D935C1"/>
    <w:rsid w:val="00D93B39"/>
    <w:rsid w:val="00DA4048"/>
    <w:rsid w:val="00DA4127"/>
    <w:rsid w:val="00DA4883"/>
    <w:rsid w:val="00DA7B5D"/>
    <w:rsid w:val="00DB2828"/>
    <w:rsid w:val="00DB59BF"/>
    <w:rsid w:val="00DB5C4C"/>
    <w:rsid w:val="00DC0C5F"/>
    <w:rsid w:val="00DC2023"/>
    <w:rsid w:val="00DC2320"/>
    <w:rsid w:val="00DC2425"/>
    <w:rsid w:val="00DC642D"/>
    <w:rsid w:val="00DC6D3F"/>
    <w:rsid w:val="00DC7406"/>
    <w:rsid w:val="00DE20B6"/>
    <w:rsid w:val="00DE26B9"/>
    <w:rsid w:val="00DE2886"/>
    <w:rsid w:val="00DE2B52"/>
    <w:rsid w:val="00DE582B"/>
    <w:rsid w:val="00DF2A0D"/>
    <w:rsid w:val="00DF43BA"/>
    <w:rsid w:val="00DF54BD"/>
    <w:rsid w:val="00DF58E7"/>
    <w:rsid w:val="00E01663"/>
    <w:rsid w:val="00E104A7"/>
    <w:rsid w:val="00E11876"/>
    <w:rsid w:val="00E11B41"/>
    <w:rsid w:val="00E11BFD"/>
    <w:rsid w:val="00E16B4C"/>
    <w:rsid w:val="00E171EF"/>
    <w:rsid w:val="00E22099"/>
    <w:rsid w:val="00E238F7"/>
    <w:rsid w:val="00E23CBB"/>
    <w:rsid w:val="00E261E9"/>
    <w:rsid w:val="00E27CD5"/>
    <w:rsid w:val="00E304AE"/>
    <w:rsid w:val="00E3282A"/>
    <w:rsid w:val="00E32FA0"/>
    <w:rsid w:val="00E36679"/>
    <w:rsid w:val="00E36E5D"/>
    <w:rsid w:val="00E37B59"/>
    <w:rsid w:val="00E40898"/>
    <w:rsid w:val="00E4273B"/>
    <w:rsid w:val="00E43363"/>
    <w:rsid w:val="00E43813"/>
    <w:rsid w:val="00E448E2"/>
    <w:rsid w:val="00E4575A"/>
    <w:rsid w:val="00E46AAD"/>
    <w:rsid w:val="00E471E0"/>
    <w:rsid w:val="00E53438"/>
    <w:rsid w:val="00E56740"/>
    <w:rsid w:val="00E56CFC"/>
    <w:rsid w:val="00E573DA"/>
    <w:rsid w:val="00E61297"/>
    <w:rsid w:val="00E6205A"/>
    <w:rsid w:val="00E711D6"/>
    <w:rsid w:val="00E725FC"/>
    <w:rsid w:val="00E76C5F"/>
    <w:rsid w:val="00E82F08"/>
    <w:rsid w:val="00E84E11"/>
    <w:rsid w:val="00E8535C"/>
    <w:rsid w:val="00E8597C"/>
    <w:rsid w:val="00E90411"/>
    <w:rsid w:val="00E91E64"/>
    <w:rsid w:val="00E93E0D"/>
    <w:rsid w:val="00E95632"/>
    <w:rsid w:val="00E96AB2"/>
    <w:rsid w:val="00EA146F"/>
    <w:rsid w:val="00EA24B3"/>
    <w:rsid w:val="00EA36C6"/>
    <w:rsid w:val="00EA4751"/>
    <w:rsid w:val="00EA476F"/>
    <w:rsid w:val="00EA71EC"/>
    <w:rsid w:val="00EA7451"/>
    <w:rsid w:val="00EB3085"/>
    <w:rsid w:val="00EB55FC"/>
    <w:rsid w:val="00EB689F"/>
    <w:rsid w:val="00EC30F9"/>
    <w:rsid w:val="00EC6257"/>
    <w:rsid w:val="00ED3175"/>
    <w:rsid w:val="00ED33F4"/>
    <w:rsid w:val="00ED5725"/>
    <w:rsid w:val="00ED6BE3"/>
    <w:rsid w:val="00ED7031"/>
    <w:rsid w:val="00EE0F02"/>
    <w:rsid w:val="00EE2BEC"/>
    <w:rsid w:val="00EE3060"/>
    <w:rsid w:val="00EE4315"/>
    <w:rsid w:val="00EE52C8"/>
    <w:rsid w:val="00EE792B"/>
    <w:rsid w:val="00EF0E87"/>
    <w:rsid w:val="00EF1778"/>
    <w:rsid w:val="00EF5BD3"/>
    <w:rsid w:val="00EF6925"/>
    <w:rsid w:val="00F03460"/>
    <w:rsid w:val="00F041DF"/>
    <w:rsid w:val="00F070E3"/>
    <w:rsid w:val="00F076A9"/>
    <w:rsid w:val="00F07F52"/>
    <w:rsid w:val="00F10DA9"/>
    <w:rsid w:val="00F142E9"/>
    <w:rsid w:val="00F25F77"/>
    <w:rsid w:val="00F26ED3"/>
    <w:rsid w:val="00F26F7E"/>
    <w:rsid w:val="00F3400D"/>
    <w:rsid w:val="00F35A0B"/>
    <w:rsid w:val="00F376EE"/>
    <w:rsid w:val="00F400AA"/>
    <w:rsid w:val="00F42172"/>
    <w:rsid w:val="00F476A5"/>
    <w:rsid w:val="00F51E97"/>
    <w:rsid w:val="00F52827"/>
    <w:rsid w:val="00F53BCD"/>
    <w:rsid w:val="00F6036C"/>
    <w:rsid w:val="00F60721"/>
    <w:rsid w:val="00F609EA"/>
    <w:rsid w:val="00F61802"/>
    <w:rsid w:val="00F62B7A"/>
    <w:rsid w:val="00F6397D"/>
    <w:rsid w:val="00F66510"/>
    <w:rsid w:val="00F7260A"/>
    <w:rsid w:val="00F7293E"/>
    <w:rsid w:val="00F739C9"/>
    <w:rsid w:val="00F74659"/>
    <w:rsid w:val="00F76650"/>
    <w:rsid w:val="00F77B81"/>
    <w:rsid w:val="00F77BD8"/>
    <w:rsid w:val="00F817D4"/>
    <w:rsid w:val="00F822C3"/>
    <w:rsid w:val="00F8312F"/>
    <w:rsid w:val="00F8359A"/>
    <w:rsid w:val="00F85C7C"/>
    <w:rsid w:val="00F87604"/>
    <w:rsid w:val="00F87BE3"/>
    <w:rsid w:val="00F9187B"/>
    <w:rsid w:val="00F92385"/>
    <w:rsid w:val="00F94B72"/>
    <w:rsid w:val="00F95251"/>
    <w:rsid w:val="00FA1B4F"/>
    <w:rsid w:val="00FA461A"/>
    <w:rsid w:val="00FB4455"/>
    <w:rsid w:val="00FB467D"/>
    <w:rsid w:val="00FB67E8"/>
    <w:rsid w:val="00FB76E1"/>
    <w:rsid w:val="00FB77DB"/>
    <w:rsid w:val="00FC15E2"/>
    <w:rsid w:val="00FC435C"/>
    <w:rsid w:val="00FC467E"/>
    <w:rsid w:val="00FC47F9"/>
    <w:rsid w:val="00FD7946"/>
    <w:rsid w:val="00FE2351"/>
    <w:rsid w:val="00FE2A25"/>
    <w:rsid w:val="00FE5580"/>
    <w:rsid w:val="00FE5F40"/>
    <w:rsid w:val="00FE673D"/>
    <w:rsid w:val="00FE7470"/>
    <w:rsid w:val="00FE7A21"/>
    <w:rsid w:val="00FF110C"/>
    <w:rsid w:val="00FF5273"/>
    <w:rsid w:val="00FF7DA2"/>
    <w:rsid w:val="015D1998"/>
    <w:rsid w:val="01A9CB3C"/>
    <w:rsid w:val="01C14F19"/>
    <w:rsid w:val="0216A29F"/>
    <w:rsid w:val="028037ED"/>
    <w:rsid w:val="030598CE"/>
    <w:rsid w:val="034BB1D2"/>
    <w:rsid w:val="03C17A2F"/>
    <w:rsid w:val="04029D32"/>
    <w:rsid w:val="049412F4"/>
    <w:rsid w:val="050D5C78"/>
    <w:rsid w:val="059C9369"/>
    <w:rsid w:val="062902D7"/>
    <w:rsid w:val="0630BD8C"/>
    <w:rsid w:val="063DC42D"/>
    <w:rsid w:val="068A102F"/>
    <w:rsid w:val="06AFC6E3"/>
    <w:rsid w:val="0786254F"/>
    <w:rsid w:val="0800E581"/>
    <w:rsid w:val="083555FA"/>
    <w:rsid w:val="0867A156"/>
    <w:rsid w:val="087443AA"/>
    <w:rsid w:val="08898F82"/>
    <w:rsid w:val="088A602A"/>
    <w:rsid w:val="09A1CAF9"/>
    <w:rsid w:val="0A82B4E6"/>
    <w:rsid w:val="0B55F96E"/>
    <w:rsid w:val="0CF6C56E"/>
    <w:rsid w:val="0D1ACC3D"/>
    <w:rsid w:val="0DCEC245"/>
    <w:rsid w:val="0E0DC4E7"/>
    <w:rsid w:val="0E6DB438"/>
    <w:rsid w:val="0E8D3589"/>
    <w:rsid w:val="0EB40BED"/>
    <w:rsid w:val="0F26005E"/>
    <w:rsid w:val="0F62C3FA"/>
    <w:rsid w:val="0F711E6B"/>
    <w:rsid w:val="0FB45E64"/>
    <w:rsid w:val="11AC4566"/>
    <w:rsid w:val="12412610"/>
    <w:rsid w:val="129AAB84"/>
    <w:rsid w:val="12D9AE26"/>
    <w:rsid w:val="135C89B0"/>
    <w:rsid w:val="136B23E8"/>
    <w:rsid w:val="1437313C"/>
    <w:rsid w:val="14D97038"/>
    <w:rsid w:val="1574C472"/>
    <w:rsid w:val="15CCD1A0"/>
    <w:rsid w:val="163586EA"/>
    <w:rsid w:val="17021C83"/>
    <w:rsid w:val="18250807"/>
    <w:rsid w:val="18BC7216"/>
    <w:rsid w:val="18FB74B8"/>
    <w:rsid w:val="194F489E"/>
    <w:rsid w:val="1950956D"/>
    <w:rsid w:val="1AB4FDA4"/>
    <w:rsid w:val="1ADF9FA4"/>
    <w:rsid w:val="1B4417E4"/>
    <w:rsid w:val="1C51FF53"/>
    <w:rsid w:val="1CDFD440"/>
    <w:rsid w:val="1E1B31DD"/>
    <w:rsid w:val="1E2CE794"/>
    <w:rsid w:val="1ED8445B"/>
    <w:rsid w:val="1ED9A521"/>
    <w:rsid w:val="1F24C32E"/>
    <w:rsid w:val="1FAB88E3"/>
    <w:rsid w:val="20100123"/>
    <w:rsid w:val="25136520"/>
    <w:rsid w:val="256DA2E3"/>
    <w:rsid w:val="257ADC55"/>
    <w:rsid w:val="258CFF54"/>
    <w:rsid w:val="271D05AA"/>
    <w:rsid w:val="27D67B99"/>
    <w:rsid w:val="27E628FB"/>
    <w:rsid w:val="27FAFA3F"/>
    <w:rsid w:val="2804CC0C"/>
    <w:rsid w:val="2851F64E"/>
    <w:rsid w:val="2974E1D2"/>
    <w:rsid w:val="2A48265A"/>
    <w:rsid w:val="2BB5FD1A"/>
    <w:rsid w:val="2BC659B1"/>
    <w:rsid w:val="2CE6E850"/>
    <w:rsid w:val="2D8556C2"/>
    <w:rsid w:val="2F323024"/>
    <w:rsid w:val="300574AC"/>
    <w:rsid w:val="30D739DF"/>
    <w:rsid w:val="3236479F"/>
    <w:rsid w:val="32514001"/>
    <w:rsid w:val="325BBD3D"/>
    <w:rsid w:val="32781665"/>
    <w:rsid w:val="33098C27"/>
    <w:rsid w:val="33219F15"/>
    <w:rsid w:val="3327ACB2"/>
    <w:rsid w:val="3354AA34"/>
    <w:rsid w:val="34E3630B"/>
    <w:rsid w:val="35808E96"/>
    <w:rsid w:val="35933C17"/>
    <w:rsid w:val="3619BF0D"/>
    <w:rsid w:val="362BC42D"/>
    <w:rsid w:val="365CEF94"/>
    <w:rsid w:val="375D45E0"/>
    <w:rsid w:val="38C6DA79"/>
    <w:rsid w:val="391DD688"/>
    <w:rsid w:val="39536DF5"/>
    <w:rsid w:val="39AF4C4A"/>
    <w:rsid w:val="3C860E9F"/>
    <w:rsid w:val="3DA4C8D8"/>
    <w:rsid w:val="3DBFC13A"/>
    <w:rsid w:val="3E31B5AB"/>
    <w:rsid w:val="3F129F98"/>
    <w:rsid w:val="3FE5E420"/>
    <w:rsid w:val="4051E444"/>
    <w:rsid w:val="40BC50D1"/>
    <w:rsid w:val="42DBB0BE"/>
    <w:rsid w:val="43741C4A"/>
    <w:rsid w:val="43B59627"/>
    <w:rsid w:val="4568EB90"/>
    <w:rsid w:val="460F3296"/>
    <w:rsid w:val="47BC0BF8"/>
    <w:rsid w:val="47BD0B0B"/>
    <w:rsid w:val="48DF155B"/>
    <w:rsid w:val="4AA6C940"/>
    <w:rsid w:val="4B383F02"/>
    <w:rsid w:val="4BBF04B7"/>
    <w:rsid w:val="4CDBC91D"/>
    <w:rsid w:val="4DA893C4"/>
    <w:rsid w:val="4E424ACA"/>
    <w:rsid w:val="4ED09863"/>
    <w:rsid w:val="4F2A3197"/>
    <w:rsid w:val="50704644"/>
    <w:rsid w:val="507C9385"/>
    <w:rsid w:val="52F8E7CF"/>
    <w:rsid w:val="5332F047"/>
    <w:rsid w:val="540E7613"/>
    <w:rsid w:val="5438C550"/>
    <w:rsid w:val="55138012"/>
    <w:rsid w:val="555837FB"/>
    <w:rsid w:val="564CC537"/>
    <w:rsid w:val="5661967B"/>
    <w:rsid w:val="56C60EBB"/>
    <w:rsid w:val="57128D8E"/>
    <w:rsid w:val="57C223DB"/>
    <w:rsid w:val="5880971F"/>
    <w:rsid w:val="5A76945A"/>
    <w:rsid w:val="5AE133B8"/>
    <w:rsid w:val="5B18F135"/>
    <w:rsid w:val="5D016251"/>
    <w:rsid w:val="5D67FB46"/>
    <w:rsid w:val="5D7356C2"/>
    <w:rsid w:val="5EBF15D7"/>
    <w:rsid w:val="5FCC9E48"/>
    <w:rsid w:val="5FF374AC"/>
    <w:rsid w:val="61609FFD"/>
    <w:rsid w:val="61ADCA3F"/>
    <w:rsid w:val="62003D5F"/>
    <w:rsid w:val="6246A63F"/>
    <w:rsid w:val="62AB9B25"/>
    <w:rsid w:val="62D6ECCF"/>
    <w:rsid w:val="63EF1858"/>
    <w:rsid w:val="6511D10B"/>
    <w:rsid w:val="6559E8DD"/>
    <w:rsid w:val="65C8EF3C"/>
    <w:rsid w:val="664FB4F1"/>
    <w:rsid w:val="6656EA68"/>
    <w:rsid w:val="67EF1222"/>
    <w:rsid w:val="688E0415"/>
    <w:rsid w:val="68BB0197"/>
    <w:rsid w:val="6ABBAEDF"/>
    <w:rsid w:val="6C2F471B"/>
    <w:rsid w:val="6D6EBE98"/>
    <w:rsid w:val="6DF8DF47"/>
    <w:rsid w:val="6EA9C168"/>
    <w:rsid w:val="6F0F1560"/>
    <w:rsid w:val="6F7592FE"/>
    <w:rsid w:val="70190DE0"/>
    <w:rsid w:val="7024F67A"/>
    <w:rsid w:val="70805244"/>
    <w:rsid w:val="70C54933"/>
    <w:rsid w:val="710A72F3"/>
    <w:rsid w:val="71A344F3"/>
    <w:rsid w:val="7279AA79"/>
    <w:rsid w:val="72FC8603"/>
    <w:rsid w:val="7328F903"/>
    <w:rsid w:val="74C5CE49"/>
    <w:rsid w:val="75D65C32"/>
    <w:rsid w:val="75DAF8FB"/>
    <w:rsid w:val="75E69AEA"/>
    <w:rsid w:val="76A9A0BA"/>
    <w:rsid w:val="76F20291"/>
    <w:rsid w:val="773E0AA6"/>
    <w:rsid w:val="774B7344"/>
    <w:rsid w:val="7762E79C"/>
    <w:rsid w:val="777A9C9F"/>
    <w:rsid w:val="77D7097A"/>
    <w:rsid w:val="78F29A8D"/>
    <w:rsid w:val="78F56C0F"/>
    <w:rsid w:val="78FFE94B"/>
    <w:rsid w:val="79676080"/>
    <w:rsid w:val="79ADB835"/>
    <w:rsid w:val="79CBD8C0"/>
    <w:rsid w:val="79D7CF7D"/>
    <w:rsid w:val="7B1B8EF5"/>
    <w:rsid w:val="7C5972DB"/>
    <w:rsid w:val="7CCFF03B"/>
    <w:rsid w:val="7D6165FD"/>
    <w:rsid w:val="7DF8D00C"/>
    <w:rsid w:val="7E3349BF"/>
    <w:rsid w:val="7E52C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3788"/>
  <w15:chartTrackingRefBased/>
  <w15:docId w15:val="{F666F032-1D5F-43E6-AC83-7A3DE2FF2BB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ind w:left="720" w:right="2160" w:hanging="720"/>
    </w:pPr>
    <w:rPr>
      <w:rFonts w:eastAsiaTheme="majorEastAsia" w:cstheme="majorBidi"/>
      <w:szCs w:val="32"/>
    </w:rPr>
  </w:style>
  <w:style w:type="paragraph" w:styleId="Heading2">
    <w:name w:val="heading 2"/>
    <w:basedOn w:val="Dummy"/>
    <w:next w:val="Standard"/>
    <w:link w:val="Heading2Char"/>
    <w:uiPriority w:val="4"/>
    <w:qFormat/>
    <w:rsid w:val="000E270A"/>
    <w:pPr>
      <w:tabs>
        <w:tab w:val="num" w:pos="1080"/>
      </w:tabs>
      <w:ind w:left="108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Style 3,Appel note de bas de p,Style 12,(NECG) Footnote Reference,Style 124,Style 13,FR,Style 17,Style 6,Footnote Reference/,Style 7,Style 4,Style 34,Style 9,Footnote Reference1"/>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character" w:styleId="CommentReference">
    <w:name w:val="annotation reference"/>
    <w:basedOn w:val="DefaultParagraphFont"/>
    <w:uiPriority w:val="99"/>
    <w:semiHidden/>
    <w:unhideWhenUsed/>
    <w:rsid w:val="00023F11"/>
    <w:rPr>
      <w:sz w:val="16"/>
      <w:szCs w:val="16"/>
    </w:rPr>
  </w:style>
  <w:style w:type="paragraph" w:styleId="CommentText">
    <w:name w:val="annotation text"/>
    <w:basedOn w:val="Normal"/>
    <w:link w:val="CommentTextChar"/>
    <w:uiPriority w:val="99"/>
    <w:semiHidden/>
    <w:unhideWhenUsed/>
    <w:rsid w:val="00023F11"/>
    <w:pPr>
      <w:spacing w:line="240" w:lineRule="auto"/>
    </w:pPr>
    <w:rPr>
      <w:sz w:val="20"/>
      <w:szCs w:val="20"/>
    </w:rPr>
  </w:style>
  <w:style w:type="character" w:customStyle="1" w:styleId="CommentTextChar">
    <w:name w:val="Comment Text Char"/>
    <w:basedOn w:val="DefaultParagraphFont"/>
    <w:link w:val="CommentText"/>
    <w:uiPriority w:val="99"/>
    <w:semiHidden/>
    <w:rsid w:val="00023F11"/>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023F11"/>
    <w:rPr>
      <w:b/>
      <w:bCs/>
    </w:rPr>
  </w:style>
  <w:style w:type="character" w:customStyle="1" w:styleId="CommentSubjectChar">
    <w:name w:val="Comment Subject Char"/>
    <w:basedOn w:val="CommentTextChar"/>
    <w:link w:val="CommentSubject"/>
    <w:uiPriority w:val="99"/>
    <w:semiHidden/>
    <w:rsid w:val="00023F11"/>
    <w:rPr>
      <w:rFonts w:ascii="Book Antiqua" w:hAnsi="Book Antiqua"/>
      <w:b/>
      <w:bCs/>
      <w:sz w:val="20"/>
      <w:szCs w:val="20"/>
    </w:rPr>
  </w:style>
  <w:style w:type="paragraph" w:customStyle="1" w:styleId="standard0">
    <w:name w:val="standard"/>
    <w:basedOn w:val="Normal"/>
    <w:link w:val="standardChar"/>
    <w:uiPriority w:val="99"/>
    <w:rsid w:val="00CA77E3"/>
    <w:rPr>
      <w:rFonts w:ascii="Palatino" w:eastAsia="Times New Roman" w:hAnsi="Palatino" w:cs="Times New Roman"/>
      <w:szCs w:val="20"/>
    </w:rPr>
  </w:style>
  <w:style w:type="character" w:customStyle="1" w:styleId="standardChar">
    <w:name w:val="standard Char"/>
    <w:link w:val="standard0"/>
    <w:uiPriority w:val="99"/>
    <w:rsid w:val="00CA77E3"/>
    <w:rPr>
      <w:rFonts w:ascii="Palatino" w:eastAsia="Times New Roman" w:hAnsi="Palatino" w:cs="Times New Roman"/>
      <w:sz w:val="26"/>
      <w:szCs w:val="20"/>
    </w:rPr>
  </w:style>
  <w:style w:type="character" w:customStyle="1" w:styleId="normaltextrun">
    <w:name w:val="normaltextrun"/>
    <w:basedOn w:val="DefaultParagraphFont"/>
    <w:rsid w:val="00D41D64"/>
  </w:style>
  <w:style w:type="character" w:customStyle="1" w:styleId="eop">
    <w:name w:val="eop"/>
    <w:basedOn w:val="DefaultParagraphFont"/>
    <w:rsid w:val="00D41D64"/>
  </w:style>
  <w:style w:type="paragraph" w:styleId="ListParagraph">
    <w:name w:val="List Paragraph"/>
    <w:basedOn w:val="Normal"/>
    <w:uiPriority w:val="34"/>
    <w:rsid w:val="00D76B73"/>
    <w:pPr>
      <w:ind w:left="720"/>
      <w:contextualSpacing/>
    </w:pPr>
  </w:style>
  <w:style w:type="character" w:styleId="UnresolvedMention">
    <w:name w:val="Unresolved Mention"/>
    <w:basedOn w:val="DefaultParagraphFont"/>
    <w:uiPriority w:val="99"/>
    <w:unhideWhenUsed/>
    <w:rsid w:val="00980954"/>
    <w:rPr>
      <w:color w:val="605E5C"/>
      <w:shd w:val="clear" w:color="auto" w:fill="E1DFDD"/>
    </w:rPr>
  </w:style>
  <w:style w:type="character" w:styleId="Mention">
    <w:name w:val="Mention"/>
    <w:basedOn w:val="DefaultParagraphFont"/>
    <w:uiPriority w:val="99"/>
    <w:unhideWhenUsed/>
    <w:rsid w:val="009809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6593">
      <w:bodyDiv w:val="1"/>
      <w:marLeft w:val="0"/>
      <w:marRight w:val="0"/>
      <w:marTop w:val="0"/>
      <w:marBottom w:val="0"/>
      <w:divBdr>
        <w:top w:val="none" w:sz="0" w:space="0" w:color="auto"/>
        <w:left w:val="none" w:sz="0" w:space="0" w:color="auto"/>
        <w:bottom w:val="none" w:sz="0" w:space="0" w:color="auto"/>
        <w:right w:val="none" w:sz="0" w:space="0" w:color="auto"/>
      </w:divBdr>
      <w:divsChild>
        <w:div w:id="991181592">
          <w:marLeft w:val="0"/>
          <w:marRight w:val="0"/>
          <w:marTop w:val="0"/>
          <w:marBottom w:val="0"/>
          <w:divBdr>
            <w:top w:val="none" w:sz="0" w:space="0" w:color="auto"/>
            <w:left w:val="none" w:sz="0" w:space="0" w:color="auto"/>
            <w:bottom w:val="none" w:sz="0" w:space="0" w:color="auto"/>
            <w:right w:val="none" w:sz="0" w:space="0" w:color="auto"/>
          </w:divBdr>
        </w:div>
      </w:divsChild>
    </w:div>
    <w:div w:id="1224945045">
      <w:bodyDiv w:val="1"/>
      <w:marLeft w:val="0"/>
      <w:marRight w:val="0"/>
      <w:marTop w:val="0"/>
      <w:marBottom w:val="0"/>
      <w:divBdr>
        <w:top w:val="none" w:sz="0" w:space="0" w:color="auto"/>
        <w:left w:val="none" w:sz="0" w:space="0" w:color="auto"/>
        <w:bottom w:val="none" w:sz="0" w:space="0" w:color="auto"/>
        <w:right w:val="none" w:sz="0" w:space="0" w:color="auto"/>
      </w:divBdr>
      <w:divsChild>
        <w:div w:id="134570300">
          <w:marLeft w:val="979"/>
          <w:marRight w:val="0"/>
          <w:marTop w:val="100"/>
          <w:marBottom w:val="0"/>
          <w:divBdr>
            <w:top w:val="none" w:sz="0" w:space="0" w:color="auto"/>
            <w:left w:val="none" w:sz="0" w:space="0" w:color="auto"/>
            <w:bottom w:val="none" w:sz="0" w:space="0" w:color="auto"/>
            <w:right w:val="none" w:sz="0" w:space="0" w:color="auto"/>
          </w:divBdr>
        </w:div>
        <w:div w:id="530260825">
          <w:marLeft w:val="979"/>
          <w:marRight w:val="0"/>
          <w:marTop w:val="100"/>
          <w:marBottom w:val="0"/>
          <w:divBdr>
            <w:top w:val="none" w:sz="0" w:space="0" w:color="auto"/>
            <w:left w:val="none" w:sz="0" w:space="0" w:color="auto"/>
            <w:bottom w:val="none" w:sz="0" w:space="0" w:color="auto"/>
            <w:right w:val="none" w:sz="0" w:space="0" w:color="auto"/>
          </w:divBdr>
        </w:div>
        <w:div w:id="560603278">
          <w:marLeft w:val="979"/>
          <w:marRight w:val="0"/>
          <w:marTop w:val="100"/>
          <w:marBottom w:val="0"/>
          <w:divBdr>
            <w:top w:val="none" w:sz="0" w:space="0" w:color="auto"/>
            <w:left w:val="none" w:sz="0" w:space="0" w:color="auto"/>
            <w:bottom w:val="none" w:sz="0" w:space="0" w:color="auto"/>
            <w:right w:val="none" w:sz="0" w:space="0" w:color="auto"/>
          </w:divBdr>
        </w:div>
        <w:div w:id="568927916">
          <w:marLeft w:val="979"/>
          <w:marRight w:val="0"/>
          <w:marTop w:val="100"/>
          <w:marBottom w:val="0"/>
          <w:divBdr>
            <w:top w:val="none" w:sz="0" w:space="0" w:color="auto"/>
            <w:left w:val="none" w:sz="0" w:space="0" w:color="auto"/>
            <w:bottom w:val="none" w:sz="0" w:space="0" w:color="auto"/>
            <w:right w:val="none" w:sz="0" w:space="0" w:color="auto"/>
          </w:divBdr>
        </w:div>
        <w:div w:id="628440756">
          <w:marLeft w:val="979"/>
          <w:marRight w:val="0"/>
          <w:marTop w:val="100"/>
          <w:marBottom w:val="0"/>
          <w:divBdr>
            <w:top w:val="none" w:sz="0" w:space="0" w:color="auto"/>
            <w:left w:val="none" w:sz="0" w:space="0" w:color="auto"/>
            <w:bottom w:val="none" w:sz="0" w:space="0" w:color="auto"/>
            <w:right w:val="none" w:sz="0" w:space="0" w:color="auto"/>
          </w:divBdr>
        </w:div>
        <w:div w:id="632177506">
          <w:marLeft w:val="979"/>
          <w:marRight w:val="0"/>
          <w:marTop w:val="100"/>
          <w:marBottom w:val="0"/>
          <w:divBdr>
            <w:top w:val="none" w:sz="0" w:space="0" w:color="auto"/>
            <w:left w:val="none" w:sz="0" w:space="0" w:color="auto"/>
            <w:bottom w:val="none" w:sz="0" w:space="0" w:color="auto"/>
            <w:right w:val="none" w:sz="0" w:space="0" w:color="auto"/>
          </w:divBdr>
        </w:div>
        <w:div w:id="879130829">
          <w:marLeft w:val="979"/>
          <w:marRight w:val="0"/>
          <w:marTop w:val="100"/>
          <w:marBottom w:val="0"/>
          <w:divBdr>
            <w:top w:val="none" w:sz="0" w:space="0" w:color="auto"/>
            <w:left w:val="none" w:sz="0" w:space="0" w:color="auto"/>
            <w:bottom w:val="none" w:sz="0" w:space="0" w:color="auto"/>
            <w:right w:val="none" w:sz="0" w:space="0" w:color="auto"/>
          </w:divBdr>
        </w:div>
        <w:div w:id="1165516705">
          <w:marLeft w:val="979"/>
          <w:marRight w:val="0"/>
          <w:marTop w:val="100"/>
          <w:marBottom w:val="0"/>
          <w:divBdr>
            <w:top w:val="none" w:sz="0" w:space="0" w:color="auto"/>
            <w:left w:val="none" w:sz="0" w:space="0" w:color="auto"/>
            <w:bottom w:val="none" w:sz="0" w:space="0" w:color="auto"/>
            <w:right w:val="none" w:sz="0" w:space="0" w:color="auto"/>
          </w:divBdr>
        </w:div>
        <w:div w:id="1396120100">
          <w:marLeft w:val="547"/>
          <w:marRight w:val="0"/>
          <w:marTop w:val="200"/>
          <w:marBottom w:val="0"/>
          <w:divBdr>
            <w:top w:val="none" w:sz="0" w:space="0" w:color="auto"/>
            <w:left w:val="none" w:sz="0" w:space="0" w:color="auto"/>
            <w:bottom w:val="none" w:sz="0" w:space="0" w:color="auto"/>
            <w:right w:val="none" w:sz="0" w:space="0" w:color="auto"/>
          </w:divBdr>
        </w:div>
        <w:div w:id="1521159664">
          <w:marLeft w:val="979"/>
          <w:marRight w:val="0"/>
          <w:marTop w:val="100"/>
          <w:marBottom w:val="0"/>
          <w:divBdr>
            <w:top w:val="none" w:sz="0" w:space="0" w:color="auto"/>
            <w:left w:val="none" w:sz="0" w:space="0" w:color="auto"/>
            <w:bottom w:val="none" w:sz="0" w:space="0" w:color="auto"/>
            <w:right w:val="none" w:sz="0" w:space="0" w:color="auto"/>
          </w:divBdr>
        </w:div>
        <w:div w:id="1956447850">
          <w:marLeft w:val="547"/>
          <w:marRight w:val="0"/>
          <w:marTop w:val="200"/>
          <w:marBottom w:val="0"/>
          <w:divBdr>
            <w:top w:val="none" w:sz="0" w:space="0" w:color="auto"/>
            <w:left w:val="none" w:sz="0" w:space="0" w:color="auto"/>
            <w:bottom w:val="none" w:sz="0" w:space="0" w:color="auto"/>
            <w:right w:val="none" w:sz="0" w:space="0" w:color="auto"/>
          </w:divBdr>
        </w:div>
        <w:div w:id="2133287155">
          <w:marLeft w:val="547"/>
          <w:marRight w:val="0"/>
          <w:marTop w:val="200"/>
          <w:marBottom w:val="0"/>
          <w:divBdr>
            <w:top w:val="none" w:sz="0" w:space="0" w:color="auto"/>
            <w:left w:val="none" w:sz="0" w:space="0" w:color="auto"/>
            <w:bottom w:val="none" w:sz="0" w:space="0" w:color="auto"/>
            <w:right w:val="none" w:sz="0" w:space="0" w:color="auto"/>
          </w:divBdr>
        </w:div>
      </w:divsChild>
    </w:div>
    <w:div w:id="1638216208">
      <w:bodyDiv w:val="1"/>
      <w:marLeft w:val="0"/>
      <w:marRight w:val="0"/>
      <w:marTop w:val="0"/>
      <w:marBottom w:val="0"/>
      <w:divBdr>
        <w:top w:val="none" w:sz="0" w:space="0" w:color="auto"/>
        <w:left w:val="none" w:sz="0" w:space="0" w:color="auto"/>
        <w:bottom w:val="none" w:sz="0" w:space="0" w:color="auto"/>
        <w:right w:val="none" w:sz="0" w:space="0" w:color="auto"/>
      </w:divBdr>
      <w:divsChild>
        <w:div w:id="178012644">
          <w:marLeft w:val="360"/>
          <w:marRight w:val="0"/>
          <w:marTop w:val="200"/>
          <w:marBottom w:val="0"/>
          <w:divBdr>
            <w:top w:val="none" w:sz="0" w:space="0" w:color="auto"/>
            <w:left w:val="none" w:sz="0" w:space="0" w:color="auto"/>
            <w:bottom w:val="none" w:sz="0" w:space="0" w:color="auto"/>
            <w:right w:val="none" w:sz="0" w:space="0" w:color="auto"/>
          </w:divBdr>
        </w:div>
        <w:div w:id="300156399">
          <w:marLeft w:val="360"/>
          <w:marRight w:val="0"/>
          <w:marTop w:val="200"/>
          <w:marBottom w:val="0"/>
          <w:divBdr>
            <w:top w:val="none" w:sz="0" w:space="0" w:color="auto"/>
            <w:left w:val="none" w:sz="0" w:space="0" w:color="auto"/>
            <w:bottom w:val="none" w:sz="0" w:space="0" w:color="auto"/>
            <w:right w:val="none" w:sz="0" w:space="0" w:color="auto"/>
          </w:divBdr>
        </w:div>
        <w:div w:id="406877407">
          <w:marLeft w:val="806"/>
          <w:marRight w:val="0"/>
          <w:marTop w:val="100"/>
          <w:marBottom w:val="0"/>
          <w:divBdr>
            <w:top w:val="none" w:sz="0" w:space="0" w:color="auto"/>
            <w:left w:val="none" w:sz="0" w:space="0" w:color="auto"/>
            <w:bottom w:val="none" w:sz="0" w:space="0" w:color="auto"/>
            <w:right w:val="none" w:sz="0" w:space="0" w:color="auto"/>
          </w:divBdr>
        </w:div>
        <w:div w:id="509637895">
          <w:marLeft w:val="806"/>
          <w:marRight w:val="0"/>
          <w:marTop w:val="100"/>
          <w:marBottom w:val="0"/>
          <w:divBdr>
            <w:top w:val="none" w:sz="0" w:space="0" w:color="auto"/>
            <w:left w:val="none" w:sz="0" w:space="0" w:color="auto"/>
            <w:bottom w:val="none" w:sz="0" w:space="0" w:color="auto"/>
            <w:right w:val="none" w:sz="0" w:space="0" w:color="auto"/>
          </w:divBdr>
        </w:div>
        <w:div w:id="697507373">
          <w:marLeft w:val="806"/>
          <w:marRight w:val="0"/>
          <w:marTop w:val="100"/>
          <w:marBottom w:val="0"/>
          <w:divBdr>
            <w:top w:val="none" w:sz="0" w:space="0" w:color="auto"/>
            <w:left w:val="none" w:sz="0" w:space="0" w:color="auto"/>
            <w:bottom w:val="none" w:sz="0" w:space="0" w:color="auto"/>
            <w:right w:val="none" w:sz="0" w:space="0" w:color="auto"/>
          </w:divBdr>
        </w:div>
        <w:div w:id="1529561645">
          <w:marLeft w:val="806"/>
          <w:marRight w:val="0"/>
          <w:marTop w:val="100"/>
          <w:marBottom w:val="0"/>
          <w:divBdr>
            <w:top w:val="none" w:sz="0" w:space="0" w:color="auto"/>
            <w:left w:val="none" w:sz="0" w:space="0" w:color="auto"/>
            <w:bottom w:val="none" w:sz="0" w:space="0" w:color="auto"/>
            <w:right w:val="none" w:sz="0" w:space="0" w:color="auto"/>
          </w:divBdr>
        </w:div>
        <w:div w:id="1547794231">
          <w:marLeft w:val="806"/>
          <w:marRight w:val="0"/>
          <w:marTop w:val="100"/>
          <w:marBottom w:val="0"/>
          <w:divBdr>
            <w:top w:val="none" w:sz="0" w:space="0" w:color="auto"/>
            <w:left w:val="none" w:sz="0" w:space="0" w:color="auto"/>
            <w:bottom w:val="none" w:sz="0" w:space="0" w:color="auto"/>
            <w:right w:val="none" w:sz="0" w:space="0" w:color="auto"/>
          </w:divBdr>
        </w:div>
        <w:div w:id="1704596590">
          <w:marLeft w:val="806"/>
          <w:marRight w:val="0"/>
          <w:marTop w:val="100"/>
          <w:marBottom w:val="0"/>
          <w:divBdr>
            <w:top w:val="none" w:sz="0" w:space="0" w:color="auto"/>
            <w:left w:val="none" w:sz="0" w:space="0" w:color="auto"/>
            <w:bottom w:val="none" w:sz="0" w:space="0" w:color="auto"/>
            <w:right w:val="none" w:sz="0" w:space="0" w:color="auto"/>
          </w:divBdr>
        </w:div>
        <w:div w:id="17786693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public.tableau.com/profile/c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A23110EFCFB44A0DD1723F423C5B9" ma:contentTypeVersion="5" ma:contentTypeDescription="Create a new document." ma:contentTypeScope="" ma:versionID="3417dae7a83fd52af9b717d339a8e784">
  <xsd:schema xmlns:xsd="http://www.w3.org/2001/XMLSchema" xmlns:xs="http://www.w3.org/2001/XMLSchema" xmlns:p="http://schemas.microsoft.com/office/2006/metadata/properties" xmlns:ns3="d7f6a029-0ec9-4e6b-a82b-732e986637c6" xmlns:ns4="ca646bdc-e648-4eeb-b885-474cb1039dde" targetNamespace="http://schemas.microsoft.com/office/2006/metadata/properties" ma:root="true" ma:fieldsID="15f0d0c3eeaf9d2153ef196c207c818d" ns3:_="" ns4:_="">
    <xsd:import namespace="d7f6a029-0ec9-4e6b-a82b-732e986637c6"/>
    <xsd:import namespace="ca646bdc-e648-4eeb-b885-474cb1039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a029-0ec9-4e6b-a82b-732e98663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646bdc-e648-4eeb-b885-474cb1039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E4663-EF0E-466B-AC03-0D48CC7672BB}">
  <ds:schemaRefs>
    <ds:schemaRef ds:uri="http://schemas.openxmlformats.org/officeDocument/2006/bibliography"/>
  </ds:schemaRefs>
</ds:datastoreItem>
</file>

<file path=customXml/itemProps2.xml><?xml version="1.0" encoding="utf-8"?>
<ds:datastoreItem xmlns:ds="http://schemas.openxmlformats.org/officeDocument/2006/customXml" ds:itemID="{4E0A1A6F-7918-440C-863C-518CA4F9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a029-0ec9-4e6b-a82b-732e986637c6"/>
    <ds:schemaRef ds:uri="ca646bdc-e648-4eeb-b885-474cb1039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7956F-B2AE-4190-BA53-CD030CE65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31D33-4ECF-415A-B4DF-4500B86DEBA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31</ap:Pages>
  <ap:Words>7028</ap:Words>
  <ap:Characters>40060</ap:Characters>
  <ap:Application>Microsoft Office Word</ap:Application>
  <ap:DocSecurity>0</ap:DocSecurity>
  <ap:Lines>333</ap:Lines>
  <ap:Paragraphs>93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46995</ap:CharactersWithSpaces>
  <ap:SharedDoc>false</ap:SharedDoc>
  <ap:HLinks>
    <vt:vector baseType="variant" size="114">
      <vt:variant>
        <vt:i4>1179702</vt:i4>
      </vt:variant>
      <vt:variant>
        <vt:i4>92</vt:i4>
      </vt:variant>
      <vt:variant>
        <vt:i4>0</vt:i4>
      </vt:variant>
      <vt:variant>
        <vt:i4>5</vt:i4>
      </vt:variant>
      <vt:variant>
        <vt:lpwstr/>
      </vt:variant>
      <vt:variant>
        <vt:lpwstr>_Toc12866697</vt:lpwstr>
      </vt:variant>
      <vt:variant>
        <vt:i4>1245238</vt:i4>
      </vt:variant>
      <vt:variant>
        <vt:i4>86</vt:i4>
      </vt:variant>
      <vt:variant>
        <vt:i4>0</vt:i4>
      </vt:variant>
      <vt:variant>
        <vt:i4>5</vt:i4>
      </vt:variant>
      <vt:variant>
        <vt:lpwstr/>
      </vt:variant>
      <vt:variant>
        <vt:lpwstr>_Toc12866696</vt:lpwstr>
      </vt:variant>
      <vt:variant>
        <vt:i4>1048630</vt:i4>
      </vt:variant>
      <vt:variant>
        <vt:i4>80</vt:i4>
      </vt:variant>
      <vt:variant>
        <vt:i4>0</vt:i4>
      </vt:variant>
      <vt:variant>
        <vt:i4>5</vt:i4>
      </vt:variant>
      <vt:variant>
        <vt:lpwstr/>
      </vt:variant>
      <vt:variant>
        <vt:lpwstr>_Toc12866695</vt:lpwstr>
      </vt:variant>
      <vt:variant>
        <vt:i4>1114166</vt:i4>
      </vt:variant>
      <vt:variant>
        <vt:i4>74</vt:i4>
      </vt:variant>
      <vt:variant>
        <vt:i4>0</vt:i4>
      </vt:variant>
      <vt:variant>
        <vt:i4>5</vt:i4>
      </vt:variant>
      <vt:variant>
        <vt:lpwstr/>
      </vt:variant>
      <vt:variant>
        <vt:lpwstr>_Toc12866694</vt:lpwstr>
      </vt:variant>
      <vt:variant>
        <vt:i4>1441846</vt:i4>
      </vt:variant>
      <vt:variant>
        <vt:i4>68</vt:i4>
      </vt:variant>
      <vt:variant>
        <vt:i4>0</vt:i4>
      </vt:variant>
      <vt:variant>
        <vt:i4>5</vt:i4>
      </vt:variant>
      <vt:variant>
        <vt:lpwstr/>
      </vt:variant>
      <vt:variant>
        <vt:lpwstr>_Toc12866693</vt:lpwstr>
      </vt:variant>
      <vt:variant>
        <vt:i4>1507382</vt:i4>
      </vt:variant>
      <vt:variant>
        <vt:i4>62</vt:i4>
      </vt:variant>
      <vt:variant>
        <vt:i4>0</vt:i4>
      </vt:variant>
      <vt:variant>
        <vt:i4>5</vt:i4>
      </vt:variant>
      <vt:variant>
        <vt:lpwstr/>
      </vt:variant>
      <vt:variant>
        <vt:lpwstr>_Toc12866692</vt:lpwstr>
      </vt:variant>
      <vt:variant>
        <vt:i4>1310774</vt:i4>
      </vt:variant>
      <vt:variant>
        <vt:i4>56</vt:i4>
      </vt:variant>
      <vt:variant>
        <vt:i4>0</vt:i4>
      </vt:variant>
      <vt:variant>
        <vt:i4>5</vt:i4>
      </vt:variant>
      <vt:variant>
        <vt:lpwstr/>
      </vt:variant>
      <vt:variant>
        <vt:lpwstr>_Toc12866691</vt:lpwstr>
      </vt:variant>
      <vt:variant>
        <vt:i4>1376310</vt:i4>
      </vt:variant>
      <vt:variant>
        <vt:i4>50</vt:i4>
      </vt:variant>
      <vt:variant>
        <vt:i4>0</vt:i4>
      </vt:variant>
      <vt:variant>
        <vt:i4>5</vt:i4>
      </vt:variant>
      <vt:variant>
        <vt:lpwstr/>
      </vt:variant>
      <vt:variant>
        <vt:lpwstr>_Toc12866690</vt:lpwstr>
      </vt:variant>
      <vt:variant>
        <vt:i4>1835063</vt:i4>
      </vt:variant>
      <vt:variant>
        <vt:i4>44</vt:i4>
      </vt:variant>
      <vt:variant>
        <vt:i4>0</vt:i4>
      </vt:variant>
      <vt:variant>
        <vt:i4>5</vt:i4>
      </vt:variant>
      <vt:variant>
        <vt:lpwstr/>
      </vt:variant>
      <vt:variant>
        <vt:lpwstr>_Toc12866689</vt:lpwstr>
      </vt:variant>
      <vt:variant>
        <vt:i4>1900599</vt:i4>
      </vt:variant>
      <vt:variant>
        <vt:i4>38</vt:i4>
      </vt:variant>
      <vt:variant>
        <vt:i4>0</vt:i4>
      </vt:variant>
      <vt:variant>
        <vt:i4>5</vt:i4>
      </vt:variant>
      <vt:variant>
        <vt:lpwstr/>
      </vt:variant>
      <vt:variant>
        <vt:lpwstr>_Toc12866688</vt:lpwstr>
      </vt:variant>
      <vt:variant>
        <vt:i4>1179703</vt:i4>
      </vt:variant>
      <vt:variant>
        <vt:i4>32</vt:i4>
      </vt:variant>
      <vt:variant>
        <vt:i4>0</vt:i4>
      </vt:variant>
      <vt:variant>
        <vt:i4>5</vt:i4>
      </vt:variant>
      <vt:variant>
        <vt:lpwstr/>
      </vt:variant>
      <vt:variant>
        <vt:lpwstr>_Toc12866687</vt:lpwstr>
      </vt:variant>
      <vt:variant>
        <vt:i4>1245239</vt:i4>
      </vt:variant>
      <vt:variant>
        <vt:i4>26</vt:i4>
      </vt:variant>
      <vt:variant>
        <vt:i4>0</vt:i4>
      </vt:variant>
      <vt:variant>
        <vt:i4>5</vt:i4>
      </vt:variant>
      <vt:variant>
        <vt:lpwstr/>
      </vt:variant>
      <vt:variant>
        <vt:lpwstr>_Toc12866686</vt:lpwstr>
      </vt:variant>
      <vt:variant>
        <vt:i4>1048631</vt:i4>
      </vt:variant>
      <vt:variant>
        <vt:i4>20</vt:i4>
      </vt:variant>
      <vt:variant>
        <vt:i4>0</vt:i4>
      </vt:variant>
      <vt:variant>
        <vt:i4>5</vt:i4>
      </vt:variant>
      <vt:variant>
        <vt:lpwstr/>
      </vt:variant>
      <vt:variant>
        <vt:lpwstr>_Toc12866685</vt:lpwstr>
      </vt:variant>
      <vt:variant>
        <vt:i4>1114167</vt:i4>
      </vt:variant>
      <vt:variant>
        <vt:i4>14</vt:i4>
      </vt:variant>
      <vt:variant>
        <vt:i4>0</vt:i4>
      </vt:variant>
      <vt:variant>
        <vt:i4>5</vt:i4>
      </vt:variant>
      <vt:variant>
        <vt:lpwstr/>
      </vt:variant>
      <vt:variant>
        <vt:lpwstr>_Toc12866684</vt:lpwstr>
      </vt:variant>
      <vt:variant>
        <vt:i4>1441847</vt:i4>
      </vt:variant>
      <vt:variant>
        <vt:i4>8</vt:i4>
      </vt:variant>
      <vt:variant>
        <vt:i4>0</vt:i4>
      </vt:variant>
      <vt:variant>
        <vt:i4>5</vt:i4>
      </vt:variant>
      <vt:variant>
        <vt:lpwstr/>
      </vt:variant>
      <vt:variant>
        <vt:lpwstr>_Toc12866683</vt:lpwstr>
      </vt:variant>
      <vt:variant>
        <vt:i4>1507383</vt:i4>
      </vt:variant>
      <vt:variant>
        <vt:i4>2</vt:i4>
      </vt:variant>
      <vt:variant>
        <vt:i4>0</vt:i4>
      </vt:variant>
      <vt:variant>
        <vt:i4>5</vt:i4>
      </vt:variant>
      <vt:variant>
        <vt:lpwstr/>
      </vt:variant>
      <vt:variant>
        <vt:lpwstr>_Toc12866682</vt:lpwstr>
      </vt:variant>
      <vt:variant>
        <vt:i4>6357089</vt:i4>
      </vt:variant>
      <vt:variant>
        <vt:i4>6</vt:i4>
      </vt:variant>
      <vt:variant>
        <vt:i4>0</vt:i4>
      </vt:variant>
      <vt:variant>
        <vt:i4>5</vt:i4>
      </vt:variant>
      <vt:variant>
        <vt:lpwstr>https://www.cpuc.ca.gov/ESJactionplan/</vt:lpwstr>
      </vt:variant>
      <vt:variant>
        <vt:lpwstr/>
      </vt:variant>
      <vt:variant>
        <vt:i4>1703937</vt:i4>
      </vt:variant>
      <vt:variant>
        <vt:i4>3</vt:i4>
      </vt:variant>
      <vt:variant>
        <vt:i4>0</vt:i4>
      </vt:variant>
      <vt:variant>
        <vt:i4>5</vt:i4>
      </vt:variant>
      <vt:variant>
        <vt:lpwstr>https://public.tableau.com/profile/cpuc</vt:lpwstr>
      </vt:variant>
      <vt:variant>
        <vt:lpwstr>!/vizhome/EOY2018BroadbandDeploymentbyHU-TribalLands/Dashboard</vt:lpwstr>
      </vt:variant>
      <vt:variant>
        <vt:i4>5111819</vt:i4>
      </vt:variant>
      <vt:variant>
        <vt:i4>0</vt:i4>
      </vt:variant>
      <vt:variant>
        <vt:i4>0</vt:i4>
      </vt:variant>
      <vt:variant>
        <vt:i4>5</vt:i4>
      </vt:variant>
      <vt:variant>
        <vt:lpwstr>https://public.tableau.com/profile/cpuc</vt:lpwstr>
      </vt:variant>
      <vt:variant>
        <vt:lpwstr>!/vizhome/EOY2018BroadbandAdoptionsbyHousingUnits/Adoption</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2021-09-16T22:17:00Z</cp:lastPrinted>
  <dcterms:created xsi:type="dcterms:W3CDTF">2021-10-25T09:46:44Z</dcterms:created>
  <dcterms:modified xsi:type="dcterms:W3CDTF">2021-10-25T09:46:44Z</dcterms:modified>
</cp:coreProperties>
</file>