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0E98" w:rsidR="00E50882" w:rsidP="00E50882" w:rsidRDefault="00E50882" w14:paraId="2D08F039" w14:textId="77777777">
      <w:pPr>
        <w:pBdr>
          <w:bottom w:val="double" w:color="auto" w:sz="6" w:space="1"/>
        </w:pBdr>
        <w:tabs>
          <w:tab w:val="right" w:pos="9630"/>
          <w:tab w:val="left" w:pos="9720"/>
        </w:tabs>
        <w:ind w:left="-450" w:right="-450"/>
        <w:rPr>
          <w:rFonts w:ascii="Book Antiqua" w:hAnsi="Book Antiqua"/>
          <w:i/>
          <w:sz w:val="26"/>
        </w:rPr>
      </w:pPr>
      <w:r w:rsidRPr="00550E98">
        <w:rPr>
          <w:rFonts w:ascii="Book Antiqua" w:hAnsi="Book Antiqua"/>
          <w:sz w:val="16"/>
        </w:rPr>
        <w:t>STATE OF CALIFORNIA</w:t>
      </w:r>
      <w:r w:rsidRPr="00550E98">
        <w:rPr>
          <w:rFonts w:ascii="Book Antiqua" w:hAnsi="Book Antiqua"/>
          <w:sz w:val="26"/>
        </w:rPr>
        <w:tab/>
      </w:r>
      <w:r w:rsidRPr="00550E98">
        <w:rPr>
          <w:rFonts w:ascii="Book Antiqua" w:hAnsi="Book Antiqua"/>
          <w:sz w:val="16"/>
          <w:szCs w:val="16"/>
        </w:rPr>
        <w:t>GAVIN NEWSOM.,</w:t>
      </w:r>
      <w:r w:rsidRPr="00550E98">
        <w:rPr>
          <w:rFonts w:ascii="Book Antiqua" w:hAnsi="Book Antiqua"/>
          <w:sz w:val="26"/>
        </w:rPr>
        <w:t xml:space="preserve"> </w:t>
      </w:r>
      <w:r w:rsidRPr="00550E98">
        <w:rPr>
          <w:rFonts w:ascii="Book Antiqua" w:hAnsi="Book Antiqua"/>
          <w:i/>
          <w:sz w:val="16"/>
        </w:rPr>
        <w:t>Governor</w:t>
      </w:r>
    </w:p>
    <w:p w:rsidRPr="00550E98" w:rsidR="00E50882" w:rsidP="00E50882" w:rsidRDefault="00E50882" w14:paraId="4AF48D21" w14:textId="77777777">
      <w:pPr>
        <w:tabs>
          <w:tab w:val="right" w:pos="11070"/>
        </w:tabs>
        <w:spacing w:before="80"/>
        <w:ind w:left="-450" w:right="-450"/>
        <w:rPr>
          <w:rFonts w:ascii="Book Antiqua" w:hAnsi="Book Antiqua"/>
          <w:sz w:val="26"/>
        </w:rPr>
      </w:pPr>
      <w:r w:rsidRPr="00550E98">
        <w:rPr>
          <w:rFonts w:ascii="Book Antiqua" w:hAnsi="Book Antiqua"/>
          <w:sz w:val="26"/>
        </w:rPr>
        <w:t>PUBLIC UTILITIES COMMISSION</w:t>
      </w:r>
    </w:p>
    <w:p w:rsidRPr="00550E98" w:rsidR="00E50882" w:rsidP="00E50882" w:rsidRDefault="00E50882" w14:paraId="22D6FD56" w14:textId="77777777">
      <w:pPr>
        <w:tabs>
          <w:tab w:val="right" w:pos="11070"/>
        </w:tabs>
        <w:spacing w:before="80"/>
        <w:ind w:left="-450" w:right="-450"/>
        <w:rPr>
          <w:rFonts w:ascii="Book Antiqua" w:hAnsi="Book Antiqua"/>
          <w:sz w:val="12"/>
        </w:rPr>
      </w:pPr>
      <w:r w:rsidRPr="00550E98">
        <w:rPr>
          <w:rFonts w:ascii="Book Antiqua" w:hAnsi="Book Antiqua"/>
          <w:sz w:val="12"/>
        </w:rPr>
        <w:t>505 VAN NESS AVENUE</w:t>
      </w:r>
    </w:p>
    <w:p w:rsidRPr="00550E98" w:rsidR="00E50882" w:rsidP="00E50882" w:rsidRDefault="00E50882" w14:paraId="2CC1979F" w14:textId="77777777">
      <w:pPr>
        <w:tabs>
          <w:tab w:val="right" w:pos="11070"/>
        </w:tabs>
        <w:spacing w:before="80"/>
        <w:ind w:left="-450" w:right="-450"/>
        <w:rPr>
          <w:rFonts w:ascii="Book Antiqua" w:hAnsi="Book Antiqua"/>
          <w:sz w:val="12"/>
        </w:rPr>
      </w:pPr>
      <w:r w:rsidRPr="00550E98">
        <w:rPr>
          <w:rFonts w:ascii="Book Antiqua" w:hAnsi="Book Antiqua"/>
          <w:sz w:val="12"/>
        </w:rPr>
        <w:t xml:space="preserve">SAN FRANCISCO, </w:t>
      </w:r>
      <w:smartTag w:uri="urn:schemas-microsoft-com:office:smarttags" w:element="State">
        <w:r w:rsidRPr="00550E98">
          <w:rPr>
            <w:rFonts w:ascii="Book Antiqua" w:hAnsi="Book Antiqua"/>
            <w:sz w:val="12"/>
          </w:rPr>
          <w:t>CA</w:t>
        </w:r>
      </w:smartTag>
      <w:r w:rsidRPr="00550E98">
        <w:rPr>
          <w:rFonts w:ascii="Book Antiqua" w:hAnsi="Book Antiqua"/>
          <w:sz w:val="12"/>
        </w:rPr>
        <w:t xml:space="preserve"> </w:t>
      </w:r>
      <w:smartTag w:uri="urn:schemas-microsoft-com:office:smarttags" w:element="PostalCode">
        <w:r w:rsidRPr="00550E98">
          <w:rPr>
            <w:rFonts w:ascii="Book Antiqua" w:hAnsi="Book Antiqua"/>
            <w:sz w:val="12"/>
          </w:rPr>
          <w:t>94102-3298</w:t>
        </w:r>
      </w:smartTag>
    </w:p>
    <w:p w:rsidRPr="00550E98" w:rsidR="00E50882" w:rsidP="00E50882" w:rsidRDefault="00E50882" w14:paraId="19E27E43" w14:textId="77777777">
      <w:pPr>
        <w:tabs>
          <w:tab w:val="left" w:pos="6930"/>
        </w:tabs>
        <w:ind w:left="547" w:right="1282"/>
        <w:rPr>
          <w:rFonts w:ascii="Book Antiqua" w:hAnsi="Book Antiqua"/>
          <w:sz w:val="16"/>
        </w:rPr>
      </w:pPr>
    </w:p>
    <w:p w:rsidRPr="00550E98" w:rsidR="00E50882" w:rsidP="00E50882" w:rsidRDefault="00E50882" w14:paraId="21129F77" w14:textId="77777777">
      <w:pPr>
        <w:tabs>
          <w:tab w:val="left" w:pos="6930"/>
        </w:tabs>
        <w:ind w:left="547" w:right="1282"/>
        <w:rPr>
          <w:rFonts w:ascii="Book Antiqua" w:hAnsi="Book Antiqua"/>
          <w:sz w:val="26"/>
        </w:rPr>
      </w:pPr>
    </w:p>
    <w:p w:rsidRPr="00550E98" w:rsidR="00E50882" w:rsidP="00E50882" w:rsidRDefault="00E50882" w14:paraId="627C6AE0" w14:textId="77777777">
      <w:pPr>
        <w:tabs>
          <w:tab w:val="left" w:pos="6930"/>
        </w:tabs>
        <w:ind w:left="547" w:right="1282"/>
        <w:rPr>
          <w:rFonts w:ascii="Book Antiqua" w:hAnsi="Book Antiqua"/>
          <w:sz w:val="26"/>
          <w:szCs w:val="26"/>
        </w:rPr>
      </w:pPr>
    </w:p>
    <w:p w:rsidRPr="00550E98" w:rsidR="00E50882" w:rsidP="00E50882" w:rsidRDefault="004C194E" w14:paraId="5A1CFAA0" w14:textId="6C692BAE">
      <w:pPr>
        <w:tabs>
          <w:tab w:val="right" w:pos="9180"/>
        </w:tabs>
        <w:rPr>
          <w:rFonts w:ascii="Book Antiqua" w:hAnsi="Book Antiqua"/>
          <w:sz w:val="26"/>
          <w:szCs w:val="26"/>
          <w:u w:val="single"/>
        </w:rPr>
      </w:pPr>
      <w:r>
        <w:rPr>
          <w:rFonts w:ascii="Book Antiqua" w:hAnsi="Book Antiqua"/>
          <w:sz w:val="26"/>
          <w:szCs w:val="26"/>
        </w:rPr>
        <w:t>November 12, 2021</w:t>
      </w:r>
      <w:r w:rsidRPr="00550E98" w:rsidR="00E50882">
        <w:rPr>
          <w:rFonts w:ascii="Book Antiqua" w:hAnsi="Book Antiqua"/>
          <w:sz w:val="26"/>
          <w:szCs w:val="26"/>
        </w:rPr>
        <w:tab/>
        <w:t>Agenda ID #</w:t>
      </w:r>
      <w:r>
        <w:rPr>
          <w:rFonts w:ascii="Book Antiqua" w:hAnsi="Book Antiqua"/>
          <w:sz w:val="26"/>
          <w:szCs w:val="26"/>
        </w:rPr>
        <w:t>20090</w:t>
      </w:r>
    </w:p>
    <w:p w:rsidRPr="00550E98" w:rsidR="00E50882" w:rsidP="00E50882" w:rsidRDefault="00E50882" w14:paraId="24C7B181" w14:textId="77777777">
      <w:pPr>
        <w:rPr>
          <w:rFonts w:ascii="Book Antiqua" w:hAnsi="Book Antiqua"/>
          <w:sz w:val="26"/>
          <w:szCs w:val="26"/>
        </w:rPr>
      </w:pPr>
    </w:p>
    <w:p w:rsidRPr="00550E98" w:rsidR="00E50882" w:rsidP="00E50882" w:rsidRDefault="00E50882" w14:paraId="1BF1727D" w14:textId="77777777">
      <w:pPr>
        <w:rPr>
          <w:rFonts w:ascii="Book Antiqua" w:hAnsi="Book Antiqua"/>
          <w:sz w:val="26"/>
          <w:szCs w:val="26"/>
        </w:rPr>
      </w:pPr>
    </w:p>
    <w:p w:rsidRPr="00550E98" w:rsidR="00E50882" w:rsidP="00E50882" w:rsidRDefault="00E50882" w14:paraId="18C1E9F9" w14:textId="77777777">
      <w:pPr>
        <w:rPr>
          <w:rFonts w:ascii="Book Antiqua" w:hAnsi="Book Antiqua"/>
          <w:sz w:val="26"/>
          <w:szCs w:val="26"/>
          <w:u w:val="single"/>
        </w:rPr>
      </w:pPr>
      <w:r w:rsidRPr="00550E98">
        <w:rPr>
          <w:rFonts w:ascii="Book Antiqua" w:hAnsi="Book Antiqua"/>
          <w:sz w:val="26"/>
          <w:szCs w:val="26"/>
        </w:rPr>
        <w:t>TO PARTIES OF RECORD IN DRAFT RESOLUTION ALJ-4</w:t>
      </w:r>
      <w:r w:rsidRPr="00550E98" w:rsidR="00D74210">
        <w:rPr>
          <w:rFonts w:ascii="Book Antiqua" w:hAnsi="Book Antiqua"/>
          <w:sz w:val="26"/>
          <w:szCs w:val="26"/>
        </w:rPr>
        <w:t>11</w:t>
      </w:r>
      <w:r w:rsidRPr="00550E98">
        <w:rPr>
          <w:rFonts w:ascii="Book Antiqua" w:hAnsi="Book Antiqua"/>
          <w:sz w:val="26"/>
          <w:szCs w:val="26"/>
        </w:rPr>
        <w:t>:</w:t>
      </w:r>
    </w:p>
    <w:p w:rsidRPr="00550E98" w:rsidR="00E50882" w:rsidP="00E50882" w:rsidRDefault="00E50882" w14:paraId="6239B0A6" w14:textId="77777777">
      <w:pPr>
        <w:rPr>
          <w:rFonts w:ascii="Book Antiqua" w:hAnsi="Book Antiqua"/>
          <w:sz w:val="26"/>
          <w:szCs w:val="26"/>
        </w:rPr>
      </w:pPr>
    </w:p>
    <w:p w:rsidRPr="00550E98" w:rsidR="00E50882" w:rsidP="00E50882" w:rsidRDefault="00E50882" w14:paraId="5A3ABD2D" w14:textId="290D9861">
      <w:pPr>
        <w:rPr>
          <w:rFonts w:ascii="Book Antiqua" w:hAnsi="Book Antiqua"/>
          <w:sz w:val="26"/>
          <w:szCs w:val="26"/>
        </w:rPr>
      </w:pPr>
      <w:r w:rsidRPr="00550E98">
        <w:rPr>
          <w:rFonts w:ascii="Book Antiqua" w:hAnsi="Book Antiqua"/>
          <w:sz w:val="26"/>
          <w:szCs w:val="26"/>
        </w:rPr>
        <w:t xml:space="preserve">This is the </w:t>
      </w:r>
      <w:r w:rsidRPr="00550E98" w:rsidR="00AF57A7">
        <w:rPr>
          <w:rFonts w:ascii="Book Antiqua" w:hAnsi="Book Antiqua"/>
          <w:sz w:val="26"/>
          <w:szCs w:val="26"/>
        </w:rPr>
        <w:t>d</w:t>
      </w:r>
      <w:r w:rsidRPr="00550E98">
        <w:rPr>
          <w:rFonts w:ascii="Book Antiqua" w:hAnsi="Book Antiqua"/>
          <w:sz w:val="26"/>
          <w:szCs w:val="26"/>
        </w:rPr>
        <w:t xml:space="preserve">raft </w:t>
      </w:r>
      <w:r w:rsidRPr="00550E98" w:rsidR="00AF57A7">
        <w:rPr>
          <w:rFonts w:ascii="Book Antiqua" w:hAnsi="Book Antiqua"/>
          <w:sz w:val="26"/>
          <w:szCs w:val="26"/>
        </w:rPr>
        <w:t>r</w:t>
      </w:r>
      <w:r w:rsidRPr="00550E98">
        <w:rPr>
          <w:rFonts w:ascii="Book Antiqua" w:hAnsi="Book Antiqua"/>
          <w:sz w:val="26"/>
          <w:szCs w:val="26"/>
        </w:rPr>
        <w:t xml:space="preserve">esolution of Administrative Law Judge (ALJ) </w:t>
      </w:r>
      <w:r w:rsidRPr="00550E98" w:rsidR="00D74210">
        <w:rPr>
          <w:rFonts w:ascii="Book Antiqua" w:hAnsi="Book Antiqua"/>
          <w:sz w:val="26"/>
          <w:szCs w:val="26"/>
        </w:rPr>
        <w:t>Regina DeAngelis</w:t>
      </w:r>
      <w:r w:rsidRPr="00550E98">
        <w:rPr>
          <w:rFonts w:ascii="Book Antiqua" w:hAnsi="Book Antiqua"/>
          <w:sz w:val="26"/>
          <w:szCs w:val="26"/>
        </w:rPr>
        <w:t xml:space="preserve"> </w:t>
      </w:r>
      <w:r w:rsidRPr="00550E98" w:rsidR="0078538B">
        <w:rPr>
          <w:rFonts w:ascii="Book Antiqua" w:hAnsi="Book Antiqua"/>
          <w:sz w:val="26"/>
          <w:szCs w:val="26"/>
        </w:rPr>
        <w:t>Resolving Notice of Appeal K.21-07-010 by Gekko Engineering Inc</w:t>
      </w:r>
      <w:r w:rsidRPr="00550E98">
        <w:rPr>
          <w:rFonts w:ascii="Book Antiqua" w:hAnsi="Book Antiqua"/>
          <w:sz w:val="26"/>
          <w:szCs w:val="26"/>
        </w:rPr>
        <w:t xml:space="preserve">.  It will not appear on the Commission’s agenda sooner than 30 days from the date it is mailed.  The Commission may act then, or it may postpone action until later. </w:t>
      </w:r>
    </w:p>
    <w:p w:rsidRPr="00550E98" w:rsidR="00E50882" w:rsidP="00E50882" w:rsidRDefault="00E50882" w14:paraId="1A783E44" w14:textId="77777777">
      <w:pPr>
        <w:rPr>
          <w:rFonts w:ascii="Book Antiqua" w:hAnsi="Book Antiqua"/>
          <w:sz w:val="26"/>
          <w:szCs w:val="26"/>
        </w:rPr>
      </w:pPr>
    </w:p>
    <w:p w:rsidRPr="00550E98" w:rsidR="00E50882" w:rsidP="00E50882" w:rsidRDefault="00E50882" w14:paraId="11F98528" w14:textId="77777777">
      <w:pPr>
        <w:rPr>
          <w:rFonts w:ascii="Book Antiqua" w:hAnsi="Book Antiqua"/>
          <w:sz w:val="26"/>
          <w:szCs w:val="26"/>
        </w:rPr>
      </w:pPr>
      <w:r w:rsidRPr="00550E98">
        <w:rPr>
          <w:rFonts w:ascii="Book Antiqua" w:hAnsi="Book Antiqua"/>
          <w:sz w:val="26"/>
          <w:szCs w:val="26"/>
        </w:rPr>
        <w:t>When the Commission acts on the draft resolution, it may adopt all or part of it as written, amend or modify it, or set it aside and prepare its own order.  Only when the Commission acts does the resolution become binding on the parties.</w:t>
      </w:r>
    </w:p>
    <w:p w:rsidRPr="00550E98" w:rsidR="00E50882" w:rsidP="00E50882" w:rsidRDefault="00E50882" w14:paraId="2C7609D4" w14:textId="77777777">
      <w:pPr>
        <w:rPr>
          <w:rFonts w:ascii="Book Antiqua" w:hAnsi="Book Antiqua"/>
          <w:sz w:val="26"/>
          <w:szCs w:val="26"/>
        </w:rPr>
      </w:pPr>
    </w:p>
    <w:p w:rsidRPr="00550E98" w:rsidR="00E50882" w:rsidP="00E50882" w:rsidRDefault="00486020" w14:paraId="4763C9A1" w14:textId="4FDF5FD1">
      <w:pPr>
        <w:rPr>
          <w:rFonts w:ascii="Book Antiqua" w:hAnsi="Book Antiqua" w:eastAsia="Calibri" w:cs="Book Antiqua"/>
          <w:color w:val="000000"/>
          <w:sz w:val="26"/>
          <w:szCs w:val="26"/>
        </w:rPr>
      </w:pPr>
      <w:r w:rsidRPr="00550E98">
        <w:rPr>
          <w:rFonts w:ascii="Book Antiqua" w:hAnsi="Book Antiqua" w:eastAsia="Calibri" w:cs="Book Antiqua"/>
          <w:color w:val="000000"/>
          <w:sz w:val="26"/>
          <w:szCs w:val="26"/>
        </w:rPr>
        <w:t>C</w:t>
      </w:r>
      <w:r w:rsidRPr="00550E98" w:rsidR="00E50882">
        <w:rPr>
          <w:rFonts w:ascii="Book Antiqua" w:hAnsi="Book Antiqua" w:eastAsia="Calibri" w:cs="Book Antiqua"/>
          <w:color w:val="000000"/>
          <w:sz w:val="26"/>
          <w:szCs w:val="26"/>
        </w:rPr>
        <w:t>omments</w:t>
      </w:r>
      <w:r w:rsidRPr="00550E98" w:rsidR="00FE268C">
        <w:rPr>
          <w:rFonts w:ascii="Book Antiqua" w:hAnsi="Book Antiqua" w:eastAsia="Calibri" w:cs="Book Antiqua"/>
          <w:color w:val="000000"/>
          <w:sz w:val="26"/>
          <w:szCs w:val="26"/>
        </w:rPr>
        <w:t xml:space="preserve"> </w:t>
      </w:r>
      <w:r w:rsidRPr="00550E98">
        <w:rPr>
          <w:rFonts w:ascii="Book Antiqua" w:hAnsi="Book Antiqua" w:eastAsia="Calibri" w:cs="Book Antiqua"/>
          <w:color w:val="000000"/>
          <w:sz w:val="26"/>
          <w:szCs w:val="26"/>
        </w:rPr>
        <w:t xml:space="preserve">may be filed </w:t>
      </w:r>
      <w:r w:rsidRPr="00550E98" w:rsidR="00E50882">
        <w:rPr>
          <w:rFonts w:ascii="Book Antiqua" w:hAnsi="Book Antiqua" w:eastAsia="Calibri" w:cs="Book Antiqua"/>
          <w:color w:val="000000"/>
          <w:sz w:val="26"/>
          <w:szCs w:val="26"/>
        </w:rPr>
        <w:t xml:space="preserve">on the draft </w:t>
      </w:r>
      <w:r w:rsidRPr="00550E98" w:rsidR="00213FDC">
        <w:rPr>
          <w:rFonts w:ascii="Book Antiqua" w:hAnsi="Book Antiqua" w:eastAsia="Calibri" w:cs="Book Antiqua"/>
          <w:color w:val="000000"/>
          <w:sz w:val="26"/>
          <w:szCs w:val="26"/>
        </w:rPr>
        <w:t>R</w:t>
      </w:r>
      <w:r w:rsidRPr="00550E98" w:rsidR="00E50882">
        <w:rPr>
          <w:rFonts w:ascii="Book Antiqua" w:hAnsi="Book Antiqua" w:eastAsia="Calibri" w:cs="Book Antiqua"/>
          <w:color w:val="000000"/>
          <w:sz w:val="26"/>
          <w:szCs w:val="26"/>
        </w:rPr>
        <w:t>esolution within 20 days of the date that the draft Resolution was</w:t>
      </w:r>
      <w:r w:rsidRPr="00550E98" w:rsidR="00213FDC">
        <w:rPr>
          <w:rFonts w:ascii="Book Antiqua" w:hAnsi="Book Antiqua" w:eastAsia="Calibri" w:cs="Book Antiqua"/>
          <w:color w:val="000000"/>
          <w:sz w:val="26"/>
          <w:szCs w:val="26"/>
        </w:rPr>
        <w:t xml:space="preserve"> served</w:t>
      </w:r>
      <w:r w:rsidRPr="00550E98" w:rsidR="00FE268C">
        <w:rPr>
          <w:rFonts w:ascii="Book Antiqua" w:hAnsi="Book Antiqua" w:eastAsia="Calibri" w:cs="Book Antiqua"/>
          <w:color w:val="000000"/>
          <w:sz w:val="26"/>
          <w:szCs w:val="26"/>
        </w:rPr>
        <w:t xml:space="preserve"> on parties.</w:t>
      </w:r>
      <w:r w:rsidRPr="00550E98" w:rsidR="00E50882">
        <w:rPr>
          <w:rFonts w:ascii="Book Antiqua" w:hAnsi="Book Antiqua" w:eastAsia="Calibri" w:cs="Book Antiqua"/>
          <w:color w:val="000000"/>
          <w:sz w:val="26"/>
          <w:szCs w:val="26"/>
        </w:rPr>
        <w:t xml:space="preserve"> </w:t>
      </w:r>
      <w:r w:rsidRPr="00550E98" w:rsidR="00FE268C">
        <w:rPr>
          <w:rFonts w:ascii="Book Antiqua" w:hAnsi="Book Antiqua" w:eastAsia="Calibri" w:cs="Book Antiqua"/>
          <w:color w:val="000000"/>
          <w:sz w:val="26"/>
          <w:szCs w:val="26"/>
        </w:rPr>
        <w:t>Replies to comments may be filed within five days after the last day for filing comments. All c</w:t>
      </w:r>
      <w:r w:rsidRPr="00550E98" w:rsidR="00E50882">
        <w:rPr>
          <w:rFonts w:ascii="Book Antiqua" w:hAnsi="Book Antiqua" w:eastAsia="Calibri" w:cs="Book Antiqua"/>
          <w:color w:val="000000"/>
          <w:sz w:val="26"/>
          <w:szCs w:val="26"/>
        </w:rPr>
        <w:t xml:space="preserve">omments shall be </w:t>
      </w:r>
      <w:r w:rsidRPr="00550E98" w:rsidR="00B07A8D">
        <w:rPr>
          <w:rFonts w:ascii="Book Antiqua" w:hAnsi="Book Antiqua" w:eastAsia="Calibri" w:cs="Book Antiqua"/>
          <w:color w:val="000000"/>
          <w:sz w:val="26"/>
          <w:szCs w:val="26"/>
        </w:rPr>
        <w:t xml:space="preserve">electronically </w:t>
      </w:r>
      <w:r w:rsidRPr="00550E98" w:rsidR="00E50882">
        <w:rPr>
          <w:rFonts w:ascii="Book Antiqua" w:hAnsi="Book Antiqua" w:eastAsia="Calibri" w:cs="Book Antiqua"/>
          <w:color w:val="000000"/>
          <w:sz w:val="26"/>
          <w:szCs w:val="26"/>
        </w:rPr>
        <w:t>served upon all p</w:t>
      </w:r>
      <w:r w:rsidRPr="00550E98" w:rsidR="00FE268C">
        <w:rPr>
          <w:rFonts w:ascii="Book Antiqua" w:hAnsi="Book Antiqua" w:eastAsia="Calibri" w:cs="Book Antiqua"/>
          <w:color w:val="000000"/>
          <w:sz w:val="26"/>
          <w:szCs w:val="26"/>
        </w:rPr>
        <w:t>arties</w:t>
      </w:r>
      <w:r w:rsidRPr="00550E98" w:rsidR="00E50882">
        <w:rPr>
          <w:rFonts w:ascii="Book Antiqua" w:hAnsi="Book Antiqua" w:eastAsia="Calibri" w:cs="Book Antiqua"/>
          <w:color w:val="000000"/>
          <w:sz w:val="26"/>
          <w:szCs w:val="26"/>
        </w:rPr>
        <w:t xml:space="preserve"> on this proceeding’s service list and on ALJ</w:t>
      </w:r>
      <w:r w:rsidRPr="00550E98" w:rsidR="00884E6F">
        <w:rPr>
          <w:rFonts w:ascii="Book Antiqua" w:hAnsi="Book Antiqua" w:eastAsia="Calibri" w:cs="Book Antiqua"/>
          <w:color w:val="000000"/>
          <w:sz w:val="26"/>
          <w:szCs w:val="26"/>
        </w:rPr>
        <w:t> </w:t>
      </w:r>
      <w:r w:rsidRPr="00550E98" w:rsidR="0078538B">
        <w:rPr>
          <w:rFonts w:ascii="Book Antiqua" w:hAnsi="Book Antiqua" w:eastAsia="Calibri" w:cs="Book Antiqua"/>
          <w:color w:val="000000"/>
          <w:sz w:val="26"/>
          <w:szCs w:val="26"/>
        </w:rPr>
        <w:t>DeAngelis</w:t>
      </w:r>
      <w:r w:rsidRPr="00550E98" w:rsidR="00E50882">
        <w:rPr>
          <w:rFonts w:ascii="Book Antiqua" w:hAnsi="Book Antiqua" w:eastAsia="Calibri" w:cs="Book Antiqua"/>
          <w:color w:val="000000"/>
          <w:sz w:val="26"/>
          <w:szCs w:val="26"/>
        </w:rPr>
        <w:t xml:space="preserve"> at </w:t>
      </w:r>
      <w:r w:rsidRPr="00550E98" w:rsidR="0078538B">
        <w:rPr>
          <w:rFonts w:ascii="Book Antiqua" w:hAnsi="Book Antiqua" w:eastAsia="Calibri" w:cs="Book Antiqua"/>
          <w:color w:val="000000"/>
          <w:sz w:val="26"/>
          <w:szCs w:val="26"/>
        </w:rPr>
        <w:t>rmd</w:t>
      </w:r>
      <w:r w:rsidRPr="00550E98" w:rsidR="00E50882">
        <w:rPr>
          <w:rFonts w:ascii="Book Antiqua" w:hAnsi="Book Antiqua" w:eastAsia="Calibri" w:cs="Book Antiqua"/>
          <w:color w:val="000000"/>
          <w:sz w:val="26"/>
          <w:szCs w:val="26"/>
        </w:rPr>
        <w:t>@cpuc.ca.gov.</w:t>
      </w:r>
    </w:p>
    <w:p w:rsidRPr="00550E98" w:rsidR="00E50882" w:rsidP="00E50882" w:rsidRDefault="00E50882" w14:paraId="5A3B077E" w14:textId="77777777">
      <w:pPr>
        <w:rPr>
          <w:rFonts w:ascii="Book Antiqua" w:hAnsi="Book Antiqua"/>
          <w:sz w:val="26"/>
          <w:szCs w:val="26"/>
        </w:rPr>
      </w:pPr>
    </w:p>
    <w:p w:rsidRPr="00550E98" w:rsidR="00E50882" w:rsidP="00E50882" w:rsidRDefault="00E50882" w14:paraId="259B5D18" w14:textId="77777777">
      <w:pPr>
        <w:rPr>
          <w:rFonts w:ascii="Book Antiqua" w:hAnsi="Book Antiqua"/>
          <w:sz w:val="26"/>
          <w:szCs w:val="26"/>
        </w:rPr>
      </w:pPr>
    </w:p>
    <w:p w:rsidRPr="00550E98" w:rsidR="00E50882" w:rsidP="00E50882" w:rsidRDefault="004C194E" w14:paraId="544F1FE9" w14:textId="2014C3DD">
      <w:pPr>
        <w:outlineLvl w:val="0"/>
        <w:rPr>
          <w:rFonts w:ascii="Book Antiqua" w:hAnsi="Book Antiqua"/>
          <w:sz w:val="26"/>
          <w:szCs w:val="26"/>
          <w:u w:val="single"/>
        </w:rPr>
      </w:pPr>
      <w:r>
        <w:rPr>
          <w:rFonts w:ascii="Book Antiqua" w:hAnsi="Book Antiqua"/>
          <w:sz w:val="26"/>
          <w:szCs w:val="26"/>
          <w:u w:val="single"/>
        </w:rPr>
        <w:t>/s/ ANNE E. SIMON</w:t>
      </w:r>
      <w:r>
        <w:rPr>
          <w:rFonts w:ascii="Book Antiqua" w:hAnsi="Book Antiqua"/>
          <w:sz w:val="26"/>
          <w:szCs w:val="26"/>
          <w:u w:val="single"/>
        </w:rPr>
        <w:tab/>
      </w:r>
    </w:p>
    <w:p w:rsidRPr="00550E98" w:rsidR="00E50882" w:rsidP="00E50882" w:rsidRDefault="00E50882" w14:paraId="7A87FE57" w14:textId="77777777">
      <w:pPr>
        <w:outlineLvl w:val="0"/>
        <w:rPr>
          <w:rFonts w:ascii="Book Antiqua" w:hAnsi="Book Antiqua"/>
          <w:sz w:val="26"/>
          <w:szCs w:val="26"/>
        </w:rPr>
      </w:pPr>
      <w:r w:rsidRPr="00550E98">
        <w:rPr>
          <w:rFonts w:ascii="Book Antiqua" w:hAnsi="Book Antiqua"/>
          <w:sz w:val="26"/>
          <w:szCs w:val="26"/>
        </w:rPr>
        <w:t>Anne E. Simon</w:t>
      </w:r>
      <w:r w:rsidRPr="00550E98">
        <w:rPr>
          <w:rFonts w:ascii="Book Antiqua" w:hAnsi="Book Antiqua"/>
          <w:sz w:val="26"/>
          <w:szCs w:val="26"/>
        </w:rPr>
        <w:br/>
        <w:t>Chief Administrative Law Judge</w:t>
      </w:r>
    </w:p>
    <w:p w:rsidRPr="00550E98" w:rsidR="00E50882" w:rsidP="00E50882" w:rsidRDefault="00E50882" w14:paraId="4E35417F" w14:textId="77777777">
      <w:pPr>
        <w:rPr>
          <w:rFonts w:ascii="Book Antiqua" w:hAnsi="Book Antiqua"/>
          <w:sz w:val="26"/>
          <w:szCs w:val="26"/>
        </w:rPr>
      </w:pPr>
    </w:p>
    <w:p w:rsidRPr="00550E98" w:rsidR="00E50882" w:rsidP="00E50882" w:rsidRDefault="00E50882" w14:paraId="6C1E8292" w14:textId="77777777">
      <w:pPr>
        <w:outlineLvl w:val="0"/>
        <w:rPr>
          <w:rFonts w:ascii="Book Antiqua" w:hAnsi="Book Antiqua"/>
          <w:sz w:val="26"/>
          <w:szCs w:val="26"/>
          <w:u w:val="single"/>
        </w:rPr>
      </w:pPr>
      <w:r w:rsidRPr="00550E98">
        <w:rPr>
          <w:rFonts w:ascii="Book Antiqua" w:hAnsi="Book Antiqua"/>
          <w:sz w:val="26"/>
          <w:szCs w:val="26"/>
        </w:rPr>
        <w:t>AES:sgu</w:t>
      </w:r>
    </w:p>
    <w:p w:rsidRPr="00550E98" w:rsidR="00E50882" w:rsidP="00E50882" w:rsidRDefault="00E50882" w14:paraId="69840848" w14:textId="77777777">
      <w:pPr>
        <w:outlineLvl w:val="0"/>
        <w:rPr>
          <w:rFonts w:ascii="Book Antiqua" w:hAnsi="Book Antiqua"/>
          <w:sz w:val="26"/>
          <w:szCs w:val="26"/>
        </w:rPr>
      </w:pPr>
    </w:p>
    <w:p w:rsidRPr="00550E98" w:rsidR="00C47C2A" w:rsidP="00E50882" w:rsidRDefault="00E50882" w14:paraId="093EAC11" w14:textId="77777777">
      <w:pPr>
        <w:rPr>
          <w:rFonts w:ascii="Book Antiqua" w:hAnsi="Book Antiqua"/>
          <w:sz w:val="26"/>
          <w:szCs w:val="26"/>
        </w:rPr>
      </w:pPr>
      <w:r w:rsidRPr="00550E98">
        <w:rPr>
          <w:rFonts w:ascii="Book Antiqua" w:hAnsi="Book Antiqua"/>
          <w:sz w:val="26"/>
          <w:szCs w:val="26"/>
        </w:rPr>
        <w:t>Attachment</w:t>
      </w:r>
    </w:p>
    <w:p w:rsidRPr="00550E98" w:rsidR="00E50882" w:rsidRDefault="00E50882" w14:paraId="445BCFF5" w14:textId="77777777">
      <w:pPr>
        <w:pStyle w:val="Title"/>
        <w:rPr>
          <w:rFonts w:ascii="Book Antiqua" w:hAnsi="Book Antiqua"/>
        </w:rPr>
        <w:sectPr w:rsidRPr="00550E98" w:rsidR="00E50882">
          <w:headerReference w:type="default" r:id="rId8"/>
          <w:footerReference w:type="default" r:id="rId9"/>
          <w:headerReference w:type="first" r:id="rId10"/>
          <w:pgSz w:w="12240" w:h="15840" w:code="1"/>
          <w:pgMar w:top="1440" w:right="1440" w:bottom="1440" w:left="1440" w:header="720" w:footer="720" w:gutter="0"/>
          <w:pgNumType w:start="1"/>
          <w:cols w:space="720"/>
          <w:titlePg/>
        </w:sectPr>
      </w:pPr>
    </w:p>
    <w:p w:rsidRPr="00550E98" w:rsidR="00C47C2A" w:rsidRDefault="00C47C2A" w14:paraId="1145C44C" w14:textId="77777777">
      <w:pPr>
        <w:pStyle w:val="Title"/>
        <w:rPr>
          <w:rFonts w:ascii="Book Antiqua" w:hAnsi="Book Antiqua"/>
        </w:rPr>
      </w:pPr>
      <w:r w:rsidRPr="00550E98">
        <w:rPr>
          <w:rFonts w:ascii="Book Antiqua" w:hAnsi="Book Antiqua"/>
        </w:rPr>
        <w:lastRenderedPageBreak/>
        <w:t>PUBLIC UTILITIES COMMISSION OF THE STATE OF CALIFORNIA</w:t>
      </w:r>
    </w:p>
    <w:p w:rsidRPr="00550E98" w:rsidR="00C47C2A" w:rsidRDefault="00C47C2A" w14:paraId="3C88465D" w14:textId="77777777">
      <w:pPr>
        <w:rPr>
          <w:rFonts w:ascii="Book Antiqua" w:hAnsi="Book Antiqua"/>
        </w:rPr>
      </w:pPr>
    </w:p>
    <w:p w:rsidRPr="00550E98" w:rsidR="00C47C2A" w:rsidRDefault="00C47C2A" w14:paraId="530044D0" w14:textId="77777777">
      <w:pPr>
        <w:rPr>
          <w:rFonts w:ascii="Book Antiqua" w:hAnsi="Book Antiqua"/>
        </w:rPr>
      </w:pPr>
      <w:r w:rsidRPr="00550E98">
        <w:rPr>
          <w:rFonts w:ascii="Book Antiqua" w:hAnsi="Book Antiqua"/>
        </w:rPr>
        <w:tab/>
      </w:r>
      <w:r w:rsidRPr="00550E98">
        <w:rPr>
          <w:rFonts w:ascii="Book Antiqua" w:hAnsi="Book Antiqua"/>
        </w:rPr>
        <w:tab/>
      </w:r>
      <w:r w:rsidRPr="00550E98">
        <w:rPr>
          <w:rFonts w:ascii="Book Antiqua" w:hAnsi="Book Antiqua"/>
        </w:rPr>
        <w:tab/>
      </w:r>
      <w:r w:rsidRPr="00550E98">
        <w:rPr>
          <w:rFonts w:ascii="Book Antiqua" w:hAnsi="Book Antiqua"/>
        </w:rPr>
        <w:tab/>
      </w:r>
      <w:r w:rsidRPr="00550E98">
        <w:rPr>
          <w:rFonts w:ascii="Book Antiqua" w:hAnsi="Book Antiqua"/>
        </w:rPr>
        <w:tab/>
        <w:t>Resolution ALJ-</w:t>
      </w:r>
      <w:r w:rsidRPr="00550E98" w:rsidR="00E50882">
        <w:rPr>
          <w:rFonts w:ascii="Book Antiqua" w:hAnsi="Book Antiqua"/>
        </w:rPr>
        <w:t>411</w:t>
      </w:r>
    </w:p>
    <w:p w:rsidRPr="00550E98" w:rsidR="00C47C2A" w:rsidRDefault="00C47C2A" w14:paraId="4C5CB009" w14:textId="77777777">
      <w:pPr>
        <w:rPr>
          <w:rFonts w:ascii="Book Antiqua" w:hAnsi="Book Antiqua"/>
        </w:rPr>
      </w:pPr>
      <w:r w:rsidRPr="00550E98">
        <w:rPr>
          <w:rFonts w:ascii="Book Antiqua" w:hAnsi="Book Antiqua"/>
        </w:rPr>
        <w:tab/>
      </w:r>
      <w:r w:rsidRPr="00550E98">
        <w:rPr>
          <w:rFonts w:ascii="Book Antiqua" w:hAnsi="Book Antiqua"/>
        </w:rPr>
        <w:tab/>
      </w:r>
      <w:r w:rsidRPr="00550E98">
        <w:rPr>
          <w:rFonts w:ascii="Book Antiqua" w:hAnsi="Book Antiqua"/>
        </w:rPr>
        <w:tab/>
      </w:r>
      <w:r w:rsidRPr="00550E98">
        <w:rPr>
          <w:rFonts w:ascii="Book Antiqua" w:hAnsi="Book Antiqua"/>
        </w:rPr>
        <w:tab/>
      </w:r>
      <w:r w:rsidRPr="00550E98">
        <w:rPr>
          <w:rFonts w:ascii="Book Antiqua" w:hAnsi="Book Antiqua"/>
        </w:rPr>
        <w:tab/>
        <w:t>Administrative Law Judge Division</w:t>
      </w:r>
    </w:p>
    <w:p w:rsidRPr="00550E98" w:rsidR="00C47C2A" w:rsidRDefault="00C47C2A" w14:paraId="1ADA2642" w14:textId="77777777">
      <w:pPr>
        <w:rPr>
          <w:rFonts w:ascii="Book Antiqua" w:hAnsi="Book Antiqua"/>
        </w:rPr>
      </w:pPr>
      <w:r w:rsidRPr="00550E98">
        <w:rPr>
          <w:rFonts w:ascii="Book Antiqua" w:hAnsi="Book Antiqua"/>
        </w:rPr>
        <w:tab/>
      </w:r>
      <w:r w:rsidRPr="00550E98">
        <w:rPr>
          <w:rFonts w:ascii="Book Antiqua" w:hAnsi="Book Antiqua"/>
        </w:rPr>
        <w:tab/>
      </w:r>
      <w:r w:rsidRPr="00550E98">
        <w:rPr>
          <w:rFonts w:ascii="Book Antiqua" w:hAnsi="Book Antiqua"/>
        </w:rPr>
        <w:tab/>
      </w:r>
      <w:r w:rsidRPr="00550E98">
        <w:rPr>
          <w:rFonts w:ascii="Book Antiqua" w:hAnsi="Book Antiqua"/>
        </w:rPr>
        <w:tab/>
      </w:r>
      <w:r w:rsidRPr="00550E98">
        <w:rPr>
          <w:rFonts w:ascii="Book Antiqua" w:hAnsi="Book Antiqua"/>
        </w:rPr>
        <w:tab/>
        <w:t>[Date]</w:t>
      </w:r>
    </w:p>
    <w:p w:rsidRPr="00550E98" w:rsidR="00C47C2A" w:rsidRDefault="00C47C2A" w14:paraId="3DFA756A" w14:textId="77777777">
      <w:pPr>
        <w:rPr>
          <w:rFonts w:ascii="Book Antiqua" w:hAnsi="Book Antiqua"/>
        </w:rPr>
      </w:pPr>
    </w:p>
    <w:p w:rsidRPr="00550E98" w:rsidR="00C47C2A" w:rsidRDefault="00C47C2A" w14:paraId="4C772944" w14:textId="77777777">
      <w:pPr>
        <w:rPr>
          <w:rFonts w:ascii="Book Antiqua" w:hAnsi="Book Antiqua"/>
        </w:rPr>
      </w:pPr>
    </w:p>
    <w:p w:rsidRPr="00550E98" w:rsidR="00C47C2A" w:rsidRDefault="00C47C2A" w14:paraId="1276F3AB" w14:textId="77777777">
      <w:pPr>
        <w:jc w:val="center"/>
        <w:rPr>
          <w:rFonts w:ascii="Book Antiqua" w:hAnsi="Book Antiqua"/>
          <w:b/>
          <w:u w:val="single"/>
        </w:rPr>
      </w:pPr>
      <w:r w:rsidRPr="00550E98">
        <w:rPr>
          <w:rFonts w:ascii="Book Antiqua" w:hAnsi="Book Antiqua"/>
          <w:b/>
          <w:u w:val="single"/>
        </w:rPr>
        <w:t>R</w:t>
      </w:r>
      <w:r w:rsidRPr="00550E98">
        <w:rPr>
          <w:rFonts w:ascii="Book Antiqua" w:hAnsi="Book Antiqua"/>
          <w:b/>
        </w:rPr>
        <w:t xml:space="preserve"> </w:t>
      </w:r>
      <w:r w:rsidRPr="00550E98">
        <w:rPr>
          <w:rFonts w:ascii="Book Antiqua" w:hAnsi="Book Antiqua"/>
          <w:b/>
          <w:u w:val="single"/>
        </w:rPr>
        <w:t>E</w:t>
      </w:r>
      <w:r w:rsidRPr="00550E98">
        <w:rPr>
          <w:rFonts w:ascii="Book Antiqua" w:hAnsi="Book Antiqua"/>
          <w:b/>
        </w:rPr>
        <w:t xml:space="preserve"> </w:t>
      </w:r>
      <w:r w:rsidRPr="00550E98">
        <w:rPr>
          <w:rFonts w:ascii="Book Antiqua" w:hAnsi="Book Antiqua"/>
          <w:b/>
          <w:u w:val="single"/>
        </w:rPr>
        <w:t>S</w:t>
      </w:r>
      <w:r w:rsidRPr="00550E98">
        <w:rPr>
          <w:rFonts w:ascii="Book Antiqua" w:hAnsi="Book Antiqua"/>
          <w:b/>
        </w:rPr>
        <w:t xml:space="preserve"> </w:t>
      </w:r>
      <w:r w:rsidRPr="00550E98">
        <w:rPr>
          <w:rFonts w:ascii="Book Antiqua" w:hAnsi="Book Antiqua"/>
          <w:b/>
          <w:u w:val="single"/>
        </w:rPr>
        <w:t>O</w:t>
      </w:r>
      <w:r w:rsidRPr="00550E98">
        <w:rPr>
          <w:rFonts w:ascii="Book Antiqua" w:hAnsi="Book Antiqua"/>
          <w:b/>
        </w:rPr>
        <w:t xml:space="preserve"> </w:t>
      </w:r>
      <w:r w:rsidRPr="00550E98">
        <w:rPr>
          <w:rFonts w:ascii="Book Antiqua" w:hAnsi="Book Antiqua"/>
          <w:b/>
          <w:u w:val="single"/>
        </w:rPr>
        <w:t>L</w:t>
      </w:r>
      <w:r w:rsidRPr="00550E98">
        <w:rPr>
          <w:rFonts w:ascii="Book Antiqua" w:hAnsi="Book Antiqua"/>
          <w:b/>
        </w:rPr>
        <w:t xml:space="preserve"> </w:t>
      </w:r>
      <w:r w:rsidRPr="00550E98">
        <w:rPr>
          <w:rFonts w:ascii="Book Antiqua" w:hAnsi="Book Antiqua"/>
          <w:b/>
          <w:u w:val="single"/>
        </w:rPr>
        <w:t>U</w:t>
      </w:r>
      <w:r w:rsidRPr="00550E98">
        <w:rPr>
          <w:rFonts w:ascii="Book Antiqua" w:hAnsi="Book Antiqua"/>
          <w:b/>
        </w:rPr>
        <w:t xml:space="preserve"> </w:t>
      </w:r>
      <w:r w:rsidRPr="00550E98">
        <w:rPr>
          <w:rFonts w:ascii="Book Antiqua" w:hAnsi="Book Antiqua"/>
          <w:b/>
          <w:u w:val="single"/>
        </w:rPr>
        <w:t>T</w:t>
      </w:r>
      <w:r w:rsidRPr="00550E98">
        <w:rPr>
          <w:rFonts w:ascii="Book Antiqua" w:hAnsi="Book Antiqua"/>
          <w:b/>
        </w:rPr>
        <w:t xml:space="preserve"> </w:t>
      </w:r>
      <w:r w:rsidRPr="00550E98">
        <w:rPr>
          <w:rFonts w:ascii="Book Antiqua" w:hAnsi="Book Antiqua"/>
          <w:b/>
          <w:u w:val="single"/>
        </w:rPr>
        <w:t>I</w:t>
      </w:r>
      <w:r w:rsidRPr="00550E98">
        <w:rPr>
          <w:rFonts w:ascii="Book Antiqua" w:hAnsi="Book Antiqua"/>
          <w:b/>
        </w:rPr>
        <w:t xml:space="preserve"> </w:t>
      </w:r>
      <w:r w:rsidRPr="00550E98">
        <w:rPr>
          <w:rFonts w:ascii="Book Antiqua" w:hAnsi="Book Antiqua"/>
          <w:b/>
          <w:u w:val="single"/>
        </w:rPr>
        <w:t>O</w:t>
      </w:r>
      <w:r w:rsidRPr="00550E98">
        <w:rPr>
          <w:rFonts w:ascii="Book Antiqua" w:hAnsi="Book Antiqua"/>
          <w:b/>
        </w:rPr>
        <w:t xml:space="preserve"> </w:t>
      </w:r>
      <w:r w:rsidRPr="00550E98">
        <w:rPr>
          <w:rFonts w:ascii="Book Antiqua" w:hAnsi="Book Antiqua"/>
          <w:b/>
          <w:u w:val="single"/>
        </w:rPr>
        <w:t>N</w:t>
      </w:r>
    </w:p>
    <w:p w:rsidRPr="00550E98" w:rsidR="00C47C2A" w:rsidP="00E50882" w:rsidRDefault="00C47C2A" w14:paraId="786E920D" w14:textId="77777777">
      <w:pPr>
        <w:ind w:right="720"/>
        <w:jc w:val="center"/>
        <w:rPr>
          <w:rFonts w:ascii="Book Antiqua" w:hAnsi="Book Antiqua"/>
          <w:b/>
        </w:rPr>
      </w:pPr>
    </w:p>
    <w:p w:rsidRPr="00550E98" w:rsidR="00C47C2A" w:rsidP="00E50882" w:rsidRDefault="00C47C2A" w14:paraId="44E5FFFF" w14:textId="77777777">
      <w:pPr>
        <w:ind w:right="720"/>
        <w:rPr>
          <w:rFonts w:ascii="Book Antiqua" w:hAnsi="Book Antiqua"/>
        </w:rPr>
      </w:pPr>
    </w:p>
    <w:p w:rsidRPr="00550E98" w:rsidR="00C47C2A" w:rsidP="00E50882" w:rsidRDefault="00C47C2A" w14:paraId="469ABC78" w14:textId="77777777">
      <w:pPr>
        <w:ind w:left="720" w:right="720"/>
        <w:rPr>
          <w:rFonts w:ascii="Book Antiqua" w:hAnsi="Book Antiqua"/>
        </w:rPr>
      </w:pPr>
      <w:r w:rsidRPr="00550E98">
        <w:rPr>
          <w:rFonts w:ascii="Book Antiqua" w:hAnsi="Book Antiqua"/>
        </w:rPr>
        <w:t>RESOLUTION ALJ-</w:t>
      </w:r>
      <w:r w:rsidRPr="00550E98" w:rsidR="00E50882">
        <w:rPr>
          <w:rFonts w:ascii="Book Antiqua" w:hAnsi="Book Antiqua"/>
        </w:rPr>
        <w:t>411</w:t>
      </w:r>
      <w:r w:rsidRPr="00550E98" w:rsidR="00A3456C">
        <w:rPr>
          <w:rFonts w:ascii="Book Antiqua" w:hAnsi="Book Antiqua"/>
        </w:rPr>
        <w:t xml:space="preserve"> </w:t>
      </w:r>
      <w:bookmarkStart w:name="_Hlk84329632" w:id="0"/>
      <w:r w:rsidRPr="00550E98" w:rsidR="00A3456C">
        <w:rPr>
          <w:rFonts w:ascii="Book Antiqua" w:hAnsi="Book Antiqua"/>
        </w:rPr>
        <w:t xml:space="preserve">Resolves </w:t>
      </w:r>
      <w:r w:rsidRPr="00550E98" w:rsidR="00505BC7">
        <w:rPr>
          <w:rFonts w:ascii="Book Antiqua" w:hAnsi="Book Antiqua"/>
        </w:rPr>
        <w:t xml:space="preserve">Notice of </w:t>
      </w:r>
      <w:r w:rsidRPr="00550E98" w:rsidR="00A3456C">
        <w:rPr>
          <w:rFonts w:ascii="Book Antiqua" w:hAnsi="Book Antiqua"/>
        </w:rPr>
        <w:t>Appeal K.21-07-010</w:t>
      </w:r>
      <w:r w:rsidRPr="00550E98" w:rsidR="00537856">
        <w:rPr>
          <w:rFonts w:ascii="Book Antiqua" w:hAnsi="Book Antiqua"/>
        </w:rPr>
        <w:t xml:space="preserve"> </w:t>
      </w:r>
      <w:r w:rsidRPr="00550E98" w:rsidR="00505BC7">
        <w:rPr>
          <w:rFonts w:ascii="Book Antiqua" w:hAnsi="Book Antiqua"/>
        </w:rPr>
        <w:t xml:space="preserve">by </w:t>
      </w:r>
      <w:r w:rsidRPr="00550E98" w:rsidR="00A3456C">
        <w:rPr>
          <w:rFonts w:ascii="Book Antiqua" w:hAnsi="Book Antiqua"/>
        </w:rPr>
        <w:t>Gekko</w:t>
      </w:r>
      <w:r w:rsidRPr="00550E98" w:rsidR="00221260">
        <w:rPr>
          <w:rFonts w:ascii="Book Antiqua" w:hAnsi="Book Antiqua"/>
        </w:rPr>
        <w:t> </w:t>
      </w:r>
      <w:r w:rsidRPr="00550E98" w:rsidR="00A3456C">
        <w:rPr>
          <w:rFonts w:ascii="Book Antiqua" w:hAnsi="Book Antiqua"/>
        </w:rPr>
        <w:t xml:space="preserve">Engineering Inc. </w:t>
      </w:r>
      <w:r w:rsidRPr="00550E98" w:rsidR="00537856">
        <w:rPr>
          <w:rFonts w:ascii="Book Antiqua" w:hAnsi="Book Antiqua"/>
        </w:rPr>
        <w:t xml:space="preserve">of Denial </w:t>
      </w:r>
      <w:r w:rsidRPr="00550E98" w:rsidR="0015066F">
        <w:rPr>
          <w:rFonts w:ascii="Book Antiqua" w:hAnsi="Book Antiqua"/>
        </w:rPr>
        <w:t xml:space="preserve">by Supplier Clearinghouse </w:t>
      </w:r>
      <w:r w:rsidRPr="00550E98" w:rsidR="00537856">
        <w:rPr>
          <w:rFonts w:ascii="Book Antiqua" w:hAnsi="Book Antiqua"/>
        </w:rPr>
        <w:t xml:space="preserve">of </w:t>
      </w:r>
      <w:r w:rsidRPr="00550E98" w:rsidR="00A3456C">
        <w:rPr>
          <w:rFonts w:ascii="Book Antiqua" w:hAnsi="Book Antiqua"/>
        </w:rPr>
        <w:t xml:space="preserve">Women Business Enterprise </w:t>
      </w:r>
      <w:r w:rsidRPr="00550E98" w:rsidR="00537856">
        <w:rPr>
          <w:rFonts w:ascii="Book Antiqua" w:hAnsi="Book Antiqua"/>
        </w:rPr>
        <w:t xml:space="preserve">Certification </w:t>
      </w:r>
      <w:bookmarkEnd w:id="0"/>
      <w:r w:rsidRPr="00550E98" w:rsidR="00816290">
        <w:rPr>
          <w:rFonts w:ascii="Book Antiqua" w:hAnsi="Book Antiqua"/>
        </w:rPr>
        <w:t>under Public Utilities Code §§ 8281-8286, as implemented in General Order 156 Supplier Diversity Program</w:t>
      </w:r>
      <w:r w:rsidRPr="00550E98" w:rsidR="0015066F">
        <w:rPr>
          <w:rFonts w:ascii="Book Antiqua" w:hAnsi="Book Antiqua"/>
        </w:rPr>
        <w:t>.</w:t>
      </w:r>
    </w:p>
    <w:p w:rsidRPr="00550E98" w:rsidR="00C47C2A" w:rsidRDefault="00C47C2A" w14:paraId="393D1179" w14:textId="77777777">
      <w:pPr>
        <w:rPr>
          <w:rFonts w:ascii="Book Antiqua" w:hAnsi="Book Antiqua"/>
        </w:rPr>
      </w:pPr>
    </w:p>
    <w:p w:rsidRPr="00550E98" w:rsidR="00E50882" w:rsidP="00E50882" w:rsidRDefault="00E50882" w14:paraId="76D42C8A" w14:textId="77777777">
      <w:pPr>
        <w:tabs>
          <w:tab w:val="right" w:pos="8550"/>
        </w:tabs>
        <w:ind w:left="720" w:right="720"/>
        <w:rPr>
          <w:rFonts w:ascii="Book Antiqua" w:hAnsi="Book Antiqua"/>
          <w:sz w:val="26"/>
          <w:szCs w:val="26"/>
        </w:rPr>
      </w:pPr>
      <w:r w:rsidRPr="00550E98">
        <w:rPr>
          <w:rFonts w:ascii="Book Antiqua" w:hAnsi="Book Antiqua"/>
          <w:sz w:val="26"/>
          <w:szCs w:val="26"/>
          <w:u w:val="single"/>
        </w:rPr>
        <w:tab/>
      </w:r>
    </w:p>
    <w:p w:rsidRPr="00550E98" w:rsidR="00E50882" w:rsidRDefault="00E50882" w14:paraId="44BDA551" w14:textId="77777777">
      <w:pPr>
        <w:rPr>
          <w:rFonts w:ascii="Book Antiqua" w:hAnsi="Book Antiqua"/>
        </w:rPr>
      </w:pPr>
    </w:p>
    <w:p w:rsidRPr="00550E98" w:rsidR="00C47C2A" w:rsidRDefault="00C47C2A" w14:paraId="3A7BDF94" w14:textId="77777777">
      <w:pPr>
        <w:rPr>
          <w:rFonts w:ascii="Book Antiqua" w:hAnsi="Book Antiqua"/>
          <w:b/>
          <w:u w:val="single"/>
        </w:rPr>
      </w:pPr>
      <w:r w:rsidRPr="00550E98">
        <w:rPr>
          <w:rFonts w:ascii="Book Antiqua" w:hAnsi="Book Antiqua"/>
          <w:b/>
          <w:u w:val="single"/>
        </w:rPr>
        <w:t>SUMMARY</w:t>
      </w:r>
    </w:p>
    <w:p w:rsidRPr="00550E98" w:rsidR="00C47C2A" w:rsidRDefault="00C47C2A" w14:paraId="3D3D11B9" w14:textId="77777777">
      <w:pPr>
        <w:rPr>
          <w:rFonts w:ascii="Book Antiqua" w:hAnsi="Book Antiqua"/>
        </w:rPr>
      </w:pPr>
    </w:p>
    <w:p w:rsidRPr="00550E98" w:rsidR="00A3456C" w:rsidP="00221260" w:rsidRDefault="00A3456C" w14:paraId="6ADDC1B1" w14:textId="154D997F">
      <w:pPr>
        <w:rPr>
          <w:rFonts w:ascii="Book Antiqua" w:hAnsi="Book Antiqua"/>
        </w:rPr>
      </w:pPr>
      <w:r w:rsidRPr="00550E98">
        <w:rPr>
          <w:rFonts w:ascii="Book Antiqua" w:hAnsi="Book Antiqua"/>
        </w:rPr>
        <w:t xml:space="preserve">This </w:t>
      </w:r>
      <w:r w:rsidRPr="00550E98" w:rsidR="00505BC7">
        <w:rPr>
          <w:rFonts w:ascii="Book Antiqua" w:hAnsi="Book Antiqua"/>
        </w:rPr>
        <w:t>R</w:t>
      </w:r>
      <w:r w:rsidRPr="00550E98">
        <w:rPr>
          <w:rFonts w:ascii="Book Antiqua" w:hAnsi="Book Antiqua"/>
        </w:rPr>
        <w:t xml:space="preserve">esolution </w:t>
      </w:r>
      <w:r w:rsidRPr="00550E98" w:rsidR="00B81433">
        <w:rPr>
          <w:rFonts w:ascii="Book Antiqua" w:hAnsi="Book Antiqua"/>
        </w:rPr>
        <w:t xml:space="preserve">resolves </w:t>
      </w:r>
      <w:r w:rsidRPr="00550E98">
        <w:rPr>
          <w:rFonts w:ascii="Book Antiqua" w:hAnsi="Book Antiqua"/>
        </w:rPr>
        <w:t xml:space="preserve">K.21-07-010, the </w:t>
      </w:r>
      <w:r w:rsidRPr="00550E98" w:rsidR="00505BC7">
        <w:rPr>
          <w:rFonts w:ascii="Book Antiqua" w:hAnsi="Book Antiqua"/>
        </w:rPr>
        <w:t xml:space="preserve">Notice of </w:t>
      </w:r>
      <w:r w:rsidRPr="00550E98">
        <w:rPr>
          <w:rFonts w:ascii="Book Antiqua" w:hAnsi="Book Antiqua"/>
        </w:rPr>
        <w:t xml:space="preserve">Appeal by Gekko Engineering Inc. (Appellant or Gekko Engineering) of the denial </w:t>
      </w:r>
      <w:r w:rsidRPr="00550E98" w:rsidR="00505BC7">
        <w:rPr>
          <w:rFonts w:ascii="Book Antiqua" w:hAnsi="Book Antiqua"/>
        </w:rPr>
        <w:t xml:space="preserve">by Supplier Clearinghouse </w:t>
      </w:r>
      <w:r w:rsidRPr="00550E98">
        <w:rPr>
          <w:rFonts w:ascii="Book Antiqua" w:hAnsi="Book Antiqua"/>
        </w:rPr>
        <w:t xml:space="preserve">of </w:t>
      </w:r>
      <w:r w:rsidRPr="00550E98" w:rsidR="00B81433">
        <w:rPr>
          <w:rFonts w:ascii="Book Antiqua" w:hAnsi="Book Antiqua"/>
        </w:rPr>
        <w:t xml:space="preserve">its </w:t>
      </w:r>
      <w:r w:rsidRPr="00550E98">
        <w:rPr>
          <w:rFonts w:ascii="Book Antiqua" w:hAnsi="Book Antiqua"/>
        </w:rPr>
        <w:t xml:space="preserve">certification as a Women Business Enterprise under </w:t>
      </w:r>
      <w:r w:rsidRPr="00550E98" w:rsidR="00200D20">
        <w:rPr>
          <w:rFonts w:ascii="Book Antiqua" w:hAnsi="Book Antiqua"/>
        </w:rPr>
        <w:t>Public Utilities</w:t>
      </w:r>
      <w:r w:rsidRPr="00550E98">
        <w:rPr>
          <w:rFonts w:ascii="Book Antiqua" w:hAnsi="Book Antiqua"/>
        </w:rPr>
        <w:t xml:space="preserve"> Code</w:t>
      </w:r>
      <w:r w:rsidRPr="00550E98" w:rsidR="00200D20">
        <w:rPr>
          <w:rFonts w:ascii="Book Antiqua" w:hAnsi="Book Antiqua"/>
        </w:rPr>
        <w:t xml:space="preserve"> </w:t>
      </w:r>
      <w:r w:rsidRPr="00550E98" w:rsidR="00505BC7">
        <w:rPr>
          <w:rFonts w:ascii="Book Antiqua" w:hAnsi="Book Antiqua"/>
        </w:rPr>
        <w:t>(Pub. Util. Code) §</w:t>
      </w:r>
      <w:r w:rsidRPr="00550E98" w:rsidR="00200D20">
        <w:rPr>
          <w:rFonts w:ascii="Book Antiqua" w:hAnsi="Book Antiqua"/>
        </w:rPr>
        <w:t xml:space="preserve"> </w:t>
      </w:r>
      <w:r w:rsidRPr="00550E98">
        <w:rPr>
          <w:rFonts w:ascii="Book Antiqua" w:hAnsi="Book Antiqua"/>
        </w:rPr>
        <w:t>8282 and General Order</w:t>
      </w:r>
      <w:r w:rsidRPr="00550E98" w:rsidR="00500520">
        <w:rPr>
          <w:rFonts w:ascii="Book Antiqua" w:hAnsi="Book Antiqua"/>
        </w:rPr>
        <w:t xml:space="preserve"> (GO)</w:t>
      </w:r>
      <w:r w:rsidRPr="00550E98">
        <w:rPr>
          <w:rFonts w:ascii="Book Antiqua" w:hAnsi="Book Antiqua"/>
        </w:rPr>
        <w:t xml:space="preserve"> 156</w:t>
      </w:r>
      <w:r w:rsidRPr="00550E98" w:rsidR="00B81433">
        <w:rPr>
          <w:rFonts w:ascii="Book Antiqua" w:hAnsi="Book Antiqua"/>
        </w:rPr>
        <w:t>.</w:t>
      </w:r>
      <w:r w:rsidRPr="00550E98" w:rsidR="00F877F6">
        <w:rPr>
          <w:rFonts w:ascii="Book Antiqua" w:hAnsi="Book Antiqua"/>
          <w:vertAlign w:val="superscript"/>
        </w:rPr>
        <w:footnoteReference w:id="1"/>
      </w:r>
      <w:r w:rsidRPr="00550E98" w:rsidR="00F877F6">
        <w:rPr>
          <w:rFonts w:ascii="Book Antiqua" w:hAnsi="Book Antiqua"/>
        </w:rPr>
        <w:t xml:space="preserve"> </w:t>
      </w:r>
      <w:r w:rsidRPr="00550E98" w:rsidR="00B81433">
        <w:rPr>
          <w:rFonts w:ascii="Book Antiqua" w:hAnsi="Book Antiqua"/>
        </w:rPr>
        <w:t xml:space="preserve"> This Resolution </w:t>
      </w:r>
      <w:r w:rsidRPr="00550E98">
        <w:rPr>
          <w:rFonts w:ascii="Book Antiqua" w:hAnsi="Book Antiqua"/>
        </w:rPr>
        <w:t xml:space="preserve">directs Supplier Clearinghouse to certify Gekko Engineering as a Women Business Enterprise under </w:t>
      </w:r>
      <w:r w:rsidRPr="00550E98" w:rsidR="00200D20">
        <w:rPr>
          <w:rFonts w:ascii="Book Antiqua" w:hAnsi="Book Antiqua"/>
        </w:rPr>
        <w:t>Pub</w:t>
      </w:r>
      <w:r w:rsidRPr="00550E98" w:rsidR="00505BC7">
        <w:rPr>
          <w:rFonts w:ascii="Book Antiqua" w:hAnsi="Book Antiqua"/>
        </w:rPr>
        <w:t>.</w:t>
      </w:r>
      <w:r w:rsidRPr="00550E98" w:rsidR="00200D20">
        <w:rPr>
          <w:rFonts w:ascii="Book Antiqua" w:hAnsi="Book Antiqua"/>
        </w:rPr>
        <w:t xml:space="preserve"> Util</w:t>
      </w:r>
      <w:r w:rsidRPr="00550E98" w:rsidR="00505BC7">
        <w:rPr>
          <w:rFonts w:ascii="Book Antiqua" w:hAnsi="Book Antiqua"/>
        </w:rPr>
        <w:t>.</w:t>
      </w:r>
      <w:r w:rsidRPr="00550E98" w:rsidR="00200D20">
        <w:rPr>
          <w:rFonts w:ascii="Book Antiqua" w:hAnsi="Book Antiqua"/>
        </w:rPr>
        <w:t xml:space="preserve"> Code</w:t>
      </w:r>
      <w:r w:rsidRPr="00550E98" w:rsidR="00221260">
        <w:rPr>
          <w:rFonts w:ascii="Book Antiqua" w:hAnsi="Book Antiqua"/>
        </w:rPr>
        <w:t> </w:t>
      </w:r>
      <w:r w:rsidRPr="00550E98" w:rsidR="00505BC7">
        <w:rPr>
          <w:rFonts w:ascii="Book Antiqua" w:hAnsi="Book Antiqua"/>
        </w:rPr>
        <w:t>§</w:t>
      </w:r>
      <w:r w:rsidRPr="00550E98" w:rsidR="00221260">
        <w:rPr>
          <w:rFonts w:ascii="Book Antiqua" w:hAnsi="Book Antiqua"/>
        </w:rPr>
        <w:t> </w:t>
      </w:r>
      <w:r w:rsidRPr="00550E98">
        <w:rPr>
          <w:rFonts w:ascii="Book Antiqua" w:hAnsi="Book Antiqua"/>
        </w:rPr>
        <w:t xml:space="preserve">8282, as implemented in Section 1.3.2. of </w:t>
      </w:r>
      <w:r w:rsidRPr="00550E98" w:rsidR="00500520">
        <w:rPr>
          <w:rFonts w:ascii="Book Antiqua" w:hAnsi="Book Antiqua"/>
        </w:rPr>
        <w:t>GO</w:t>
      </w:r>
      <w:r w:rsidRPr="00550E98">
        <w:rPr>
          <w:rFonts w:ascii="Book Antiqua" w:hAnsi="Book Antiqua"/>
        </w:rPr>
        <w:t xml:space="preserve"> 156; and reverse</w:t>
      </w:r>
      <w:r w:rsidRPr="00550E98" w:rsidR="00505BC7">
        <w:rPr>
          <w:rFonts w:ascii="Book Antiqua" w:hAnsi="Book Antiqua"/>
        </w:rPr>
        <w:t>s</w:t>
      </w:r>
      <w:r w:rsidRPr="00550E98">
        <w:rPr>
          <w:rFonts w:ascii="Book Antiqua" w:hAnsi="Book Antiqua"/>
        </w:rPr>
        <w:t xml:space="preserve"> the March</w:t>
      </w:r>
      <w:r w:rsidRPr="00550E98" w:rsidR="00221260">
        <w:rPr>
          <w:rFonts w:ascii="Book Antiqua" w:hAnsi="Book Antiqua"/>
        </w:rPr>
        <w:t> </w:t>
      </w:r>
      <w:r w:rsidRPr="00550E98">
        <w:rPr>
          <w:rFonts w:ascii="Book Antiqua" w:hAnsi="Book Antiqua"/>
        </w:rPr>
        <w:t>26,</w:t>
      </w:r>
      <w:r w:rsidRPr="00550E98" w:rsidR="00221260">
        <w:rPr>
          <w:rFonts w:ascii="Book Antiqua" w:hAnsi="Book Antiqua"/>
        </w:rPr>
        <w:t> </w:t>
      </w:r>
      <w:r w:rsidRPr="00550E98">
        <w:rPr>
          <w:rFonts w:ascii="Book Antiqua" w:hAnsi="Book Antiqua"/>
        </w:rPr>
        <w:t xml:space="preserve">2021 and June 25, </w:t>
      </w:r>
      <w:r w:rsidRPr="00550E98" w:rsidR="00FA266C">
        <w:rPr>
          <w:rFonts w:ascii="Book Antiqua" w:hAnsi="Book Antiqua"/>
        </w:rPr>
        <w:t>2021</w:t>
      </w:r>
      <w:r w:rsidRPr="00550E98">
        <w:rPr>
          <w:rFonts w:ascii="Book Antiqua" w:hAnsi="Book Antiqua"/>
        </w:rPr>
        <w:t xml:space="preserve"> determinations</w:t>
      </w:r>
      <w:r w:rsidRPr="00550E98" w:rsidR="00B81433">
        <w:rPr>
          <w:rFonts w:ascii="Book Antiqua" w:hAnsi="Book Antiqua"/>
        </w:rPr>
        <w:t xml:space="preserve"> </w:t>
      </w:r>
      <w:r w:rsidRPr="00550E98">
        <w:rPr>
          <w:rFonts w:ascii="Book Antiqua" w:hAnsi="Book Antiqua"/>
        </w:rPr>
        <w:t xml:space="preserve">by Supplier Clearinghouse denying </w:t>
      </w:r>
      <w:r w:rsidRPr="00550E98" w:rsidR="00B81433">
        <w:rPr>
          <w:rFonts w:ascii="Book Antiqua" w:hAnsi="Book Antiqua"/>
        </w:rPr>
        <w:t xml:space="preserve">such </w:t>
      </w:r>
      <w:r w:rsidRPr="00550E98">
        <w:rPr>
          <w:rFonts w:ascii="Book Antiqua" w:hAnsi="Book Antiqua"/>
        </w:rPr>
        <w:t xml:space="preserve">certification.  </w:t>
      </w:r>
      <w:bookmarkStart w:name="_Hlk58419804" w:id="1"/>
    </w:p>
    <w:p w:rsidRPr="00550E98" w:rsidR="00221260" w:rsidP="00221260" w:rsidRDefault="00221260" w14:paraId="585C9B2F" w14:textId="77777777">
      <w:pPr>
        <w:rPr>
          <w:rFonts w:ascii="Book Antiqua" w:hAnsi="Book Antiqua"/>
        </w:rPr>
      </w:pPr>
    </w:p>
    <w:p w:rsidRPr="00550E98" w:rsidR="008F0D2E" w:rsidP="00221260" w:rsidRDefault="00E50882" w14:paraId="73BA4BE3" w14:textId="77777777">
      <w:pPr>
        <w:rPr>
          <w:rFonts w:ascii="Book Antiqua" w:hAnsi="Book Antiqua"/>
        </w:rPr>
      </w:pPr>
      <w:r w:rsidRPr="00550E98">
        <w:rPr>
          <w:rFonts w:ascii="Book Antiqua" w:hAnsi="Book Antiqua"/>
        </w:rPr>
        <w:t>K.21-07-010</w:t>
      </w:r>
      <w:r w:rsidRPr="00550E98" w:rsidR="00A3456C">
        <w:rPr>
          <w:rFonts w:ascii="Book Antiqua" w:hAnsi="Book Antiqua"/>
        </w:rPr>
        <w:t xml:space="preserve"> is closed.</w:t>
      </w:r>
      <w:bookmarkEnd w:id="1"/>
    </w:p>
    <w:p w:rsidRPr="00550E98" w:rsidR="00221260" w:rsidP="00221260" w:rsidRDefault="00221260" w14:paraId="4CFE404C" w14:textId="77777777">
      <w:pPr>
        <w:rPr>
          <w:rFonts w:ascii="Book Antiqua" w:hAnsi="Book Antiqua"/>
        </w:rPr>
      </w:pPr>
    </w:p>
    <w:p w:rsidRPr="00550E98" w:rsidR="008F0D2E" w:rsidRDefault="00A25BD5" w14:paraId="50F56EC3" w14:textId="77777777">
      <w:pPr>
        <w:rPr>
          <w:rFonts w:ascii="Book Antiqua" w:hAnsi="Book Antiqua"/>
          <w:b/>
          <w:u w:val="single"/>
        </w:rPr>
      </w:pPr>
      <w:r w:rsidRPr="00550E98">
        <w:rPr>
          <w:rFonts w:ascii="Book Antiqua" w:hAnsi="Book Antiqua"/>
          <w:b/>
          <w:u w:val="single"/>
        </w:rPr>
        <w:t xml:space="preserve">PROCEDURAL </w:t>
      </w:r>
      <w:r w:rsidRPr="00550E98" w:rsidR="008F0D2E">
        <w:rPr>
          <w:rFonts w:ascii="Book Antiqua" w:hAnsi="Book Antiqua"/>
          <w:b/>
          <w:u w:val="single"/>
        </w:rPr>
        <w:t>BACKGROUND</w:t>
      </w:r>
    </w:p>
    <w:p w:rsidRPr="00550E98" w:rsidR="008F0D2E" w:rsidP="008F0D2E" w:rsidRDefault="008F0D2E" w14:paraId="72A70FCB" w14:textId="77777777">
      <w:pPr>
        <w:rPr>
          <w:rFonts w:ascii="Book Antiqua" w:hAnsi="Book Antiqua"/>
          <w:b/>
        </w:rPr>
      </w:pPr>
    </w:p>
    <w:p w:rsidRPr="00550E98" w:rsidR="00A25BD5" w:rsidP="00EF4627" w:rsidRDefault="0015066F" w14:paraId="0E15E09A" w14:textId="77777777">
      <w:pPr>
        <w:numPr>
          <w:ilvl w:val="0"/>
          <w:numId w:val="12"/>
        </w:numPr>
        <w:rPr>
          <w:rFonts w:ascii="Book Antiqua" w:hAnsi="Book Antiqua"/>
          <w:b/>
          <w:bCs/>
        </w:rPr>
      </w:pPr>
      <w:r w:rsidRPr="00550E98">
        <w:rPr>
          <w:rFonts w:ascii="Book Antiqua" w:hAnsi="Book Antiqua"/>
          <w:b/>
          <w:bCs/>
        </w:rPr>
        <w:t xml:space="preserve">Supplier Clearinghouse’s </w:t>
      </w:r>
      <w:r w:rsidRPr="00550E98" w:rsidR="008F0D2E">
        <w:rPr>
          <w:rFonts w:ascii="Book Antiqua" w:hAnsi="Book Antiqua"/>
          <w:b/>
          <w:bCs/>
        </w:rPr>
        <w:t>Internal Appeal Proces</w:t>
      </w:r>
      <w:r w:rsidRPr="00550E98">
        <w:rPr>
          <w:rFonts w:ascii="Book Antiqua" w:hAnsi="Book Antiqua"/>
          <w:b/>
          <w:bCs/>
        </w:rPr>
        <w:t>s</w:t>
      </w:r>
    </w:p>
    <w:p w:rsidRPr="00550E98" w:rsidR="00A25BD5" w:rsidP="008F0D2E" w:rsidRDefault="00A25BD5" w14:paraId="78561F2D" w14:textId="77777777">
      <w:pPr>
        <w:rPr>
          <w:rFonts w:ascii="Book Antiqua" w:hAnsi="Book Antiqua"/>
          <w:b/>
          <w:bCs/>
        </w:rPr>
      </w:pPr>
    </w:p>
    <w:p w:rsidRPr="00550E98" w:rsidR="008F0D2E" w:rsidP="008F0D2E" w:rsidRDefault="00505BC7" w14:paraId="1AF6FA22" w14:textId="77777777">
      <w:pPr>
        <w:rPr>
          <w:rFonts w:ascii="Book Antiqua" w:hAnsi="Book Antiqua"/>
        </w:rPr>
      </w:pPr>
      <w:r w:rsidRPr="00550E98">
        <w:rPr>
          <w:rFonts w:ascii="Book Antiqua" w:hAnsi="Book Antiqua"/>
        </w:rPr>
        <w:t xml:space="preserve">In accordance with Section 7 of </w:t>
      </w:r>
      <w:r w:rsidRPr="00550E98" w:rsidR="00500520">
        <w:rPr>
          <w:rFonts w:ascii="Book Antiqua" w:hAnsi="Book Antiqua"/>
        </w:rPr>
        <w:t>GO</w:t>
      </w:r>
      <w:r w:rsidRPr="00550E98">
        <w:rPr>
          <w:rFonts w:ascii="Book Antiqua" w:hAnsi="Book Antiqua"/>
        </w:rPr>
        <w:t xml:space="preserve"> 156, </w:t>
      </w:r>
      <w:r w:rsidRPr="00550E98" w:rsidR="008F0D2E">
        <w:rPr>
          <w:rFonts w:ascii="Book Antiqua" w:hAnsi="Book Antiqua"/>
        </w:rPr>
        <w:t>Gekko Engineering complied with</w:t>
      </w:r>
      <w:r w:rsidRPr="00550E98">
        <w:rPr>
          <w:rFonts w:ascii="Book Antiqua" w:hAnsi="Book Antiqua"/>
        </w:rPr>
        <w:t xml:space="preserve"> the required internal appeal process</w:t>
      </w:r>
      <w:r w:rsidRPr="00550E98" w:rsidR="008F0D2E">
        <w:rPr>
          <w:rFonts w:ascii="Book Antiqua" w:hAnsi="Book Antiqua"/>
        </w:rPr>
        <w:t xml:space="preserve"> </w:t>
      </w:r>
      <w:r w:rsidRPr="00550E98">
        <w:rPr>
          <w:rFonts w:ascii="Book Antiqua" w:hAnsi="Book Antiqua"/>
        </w:rPr>
        <w:t xml:space="preserve">within the </w:t>
      </w:r>
      <w:r w:rsidRPr="00550E98" w:rsidR="008F0D2E">
        <w:rPr>
          <w:rFonts w:ascii="Book Antiqua" w:hAnsi="Book Antiqua"/>
        </w:rPr>
        <w:t xml:space="preserve">Supplier Clearinghouse before filing </w:t>
      </w:r>
      <w:r w:rsidRPr="00550E98">
        <w:rPr>
          <w:rFonts w:ascii="Book Antiqua" w:hAnsi="Book Antiqua"/>
        </w:rPr>
        <w:t xml:space="preserve">this </w:t>
      </w:r>
      <w:r w:rsidRPr="00550E98" w:rsidR="008F0D2E">
        <w:rPr>
          <w:rFonts w:ascii="Book Antiqua" w:hAnsi="Book Antiqua"/>
        </w:rPr>
        <w:t xml:space="preserve">Notice of Appeal with the </w:t>
      </w:r>
      <w:r w:rsidRPr="00550E98" w:rsidR="00816CAB">
        <w:rPr>
          <w:rFonts w:ascii="Book Antiqua" w:hAnsi="Book Antiqua"/>
        </w:rPr>
        <w:t>California Public Utilities Commission (Commission)</w:t>
      </w:r>
      <w:r w:rsidRPr="00550E98" w:rsidR="00F877F6">
        <w:rPr>
          <w:rFonts w:ascii="Book Antiqua" w:hAnsi="Book Antiqua"/>
        </w:rPr>
        <w:t>.</w:t>
      </w:r>
    </w:p>
    <w:p w:rsidRPr="00550E98" w:rsidR="008F0D2E" w:rsidP="008F0D2E" w:rsidRDefault="008F0D2E" w14:paraId="0FE6BCB3" w14:textId="77777777">
      <w:pPr>
        <w:rPr>
          <w:rFonts w:ascii="Book Antiqua" w:hAnsi="Book Antiqua"/>
        </w:rPr>
      </w:pPr>
    </w:p>
    <w:p w:rsidRPr="00550E98" w:rsidR="008F0D2E" w:rsidP="008F0D2E" w:rsidRDefault="008F0D2E" w14:paraId="21E1EA68" w14:textId="77777777">
      <w:pPr>
        <w:rPr>
          <w:rFonts w:ascii="Book Antiqua" w:hAnsi="Book Antiqua"/>
        </w:rPr>
      </w:pPr>
      <w:r w:rsidRPr="00550E98">
        <w:rPr>
          <w:rFonts w:ascii="Book Antiqua" w:hAnsi="Book Antiqua"/>
        </w:rPr>
        <w:t xml:space="preserve">Section 7.2.1. of </w:t>
      </w:r>
      <w:r w:rsidRPr="00550E98" w:rsidR="00500520">
        <w:rPr>
          <w:rFonts w:ascii="Book Antiqua" w:hAnsi="Book Antiqua"/>
        </w:rPr>
        <w:t>GO</w:t>
      </w:r>
      <w:r w:rsidRPr="00550E98">
        <w:rPr>
          <w:rFonts w:ascii="Book Antiqua" w:hAnsi="Book Antiqua"/>
        </w:rPr>
        <w:t xml:space="preserve"> 156 provides that “Business enterprises [who have] …been denied [certification] by the Clearinghouse, or who have been deverified by the Clearinghouse, </w:t>
      </w:r>
      <w:r w:rsidRPr="00550E98">
        <w:rPr>
          <w:rFonts w:ascii="Book Antiqua" w:hAnsi="Book Antiqua"/>
        </w:rPr>
        <w:lastRenderedPageBreak/>
        <w:t xml:space="preserve">may appeal the decision to the Commission after exhausting their remedies under the internal appeal process implemented by the Clearinghouse,...” </w:t>
      </w:r>
    </w:p>
    <w:p w:rsidRPr="00550E98" w:rsidR="008F0D2E" w:rsidP="008F0D2E" w:rsidRDefault="008F0D2E" w14:paraId="72EA6747" w14:textId="77777777">
      <w:pPr>
        <w:rPr>
          <w:rFonts w:ascii="Book Antiqua" w:hAnsi="Book Antiqua"/>
        </w:rPr>
      </w:pPr>
    </w:p>
    <w:p w:rsidRPr="00550E98" w:rsidR="008F0D2E" w:rsidP="008F0D2E" w:rsidRDefault="00505BC7" w14:paraId="25890448" w14:textId="6FCF4BAB">
      <w:pPr>
        <w:rPr>
          <w:rFonts w:ascii="Book Antiqua" w:hAnsi="Book Antiqua"/>
        </w:rPr>
      </w:pPr>
      <w:r w:rsidRPr="00550E98">
        <w:rPr>
          <w:rFonts w:ascii="Book Antiqua" w:hAnsi="Book Antiqua"/>
        </w:rPr>
        <w:t>A</w:t>
      </w:r>
      <w:r w:rsidRPr="00550E98" w:rsidR="008F0D2E">
        <w:rPr>
          <w:rFonts w:ascii="Book Antiqua" w:hAnsi="Book Antiqua"/>
        </w:rPr>
        <w:t>fter Gekko Engineering received a letter dated March 26, 2021 from Supplier</w:t>
      </w:r>
      <w:r w:rsidR="00DC5D66">
        <w:rPr>
          <w:rFonts w:ascii="Book Antiqua" w:hAnsi="Book Antiqua"/>
        </w:rPr>
        <w:t> </w:t>
      </w:r>
      <w:r w:rsidRPr="00550E98" w:rsidR="008F0D2E">
        <w:rPr>
          <w:rFonts w:ascii="Book Antiqua" w:hAnsi="Book Antiqua"/>
        </w:rPr>
        <w:t>Clearinghouse denying its certification as a Women Business Enterprise, Gekko</w:t>
      </w:r>
      <w:r w:rsidRPr="00550E98" w:rsidR="00221260">
        <w:rPr>
          <w:rFonts w:ascii="Book Antiqua" w:hAnsi="Book Antiqua"/>
        </w:rPr>
        <w:t> </w:t>
      </w:r>
      <w:r w:rsidRPr="00550E98" w:rsidR="008F0D2E">
        <w:rPr>
          <w:rFonts w:ascii="Book Antiqua" w:hAnsi="Book Antiqua"/>
        </w:rPr>
        <w:t>Engineering submitted an internal appeal with Supplier Clearinghouse</w:t>
      </w:r>
      <w:r w:rsidRPr="00550E98" w:rsidR="004A5088">
        <w:rPr>
          <w:rFonts w:ascii="Book Antiqua" w:hAnsi="Book Antiqua"/>
        </w:rPr>
        <w:t xml:space="preserve"> on April</w:t>
      </w:r>
      <w:r w:rsidRPr="00550E98" w:rsidR="00221260">
        <w:rPr>
          <w:rFonts w:ascii="Book Antiqua" w:hAnsi="Book Antiqua"/>
        </w:rPr>
        <w:t> </w:t>
      </w:r>
      <w:r w:rsidRPr="00550E98" w:rsidR="004A5088">
        <w:rPr>
          <w:rFonts w:ascii="Book Antiqua" w:hAnsi="Book Antiqua"/>
        </w:rPr>
        <w:t>8, 2021</w:t>
      </w:r>
      <w:r w:rsidRPr="00550E98" w:rsidR="008F0D2E">
        <w:rPr>
          <w:rFonts w:ascii="Book Antiqua" w:hAnsi="Book Antiqua"/>
        </w:rPr>
        <w:t>.</w:t>
      </w:r>
      <w:r w:rsidRPr="00550E98" w:rsidR="008F0D2E">
        <w:rPr>
          <w:rFonts w:ascii="Book Antiqua" w:hAnsi="Book Antiqua"/>
          <w:vertAlign w:val="superscript"/>
        </w:rPr>
        <w:footnoteReference w:id="2"/>
      </w:r>
      <w:r w:rsidRPr="00550E98" w:rsidR="00703584">
        <w:rPr>
          <w:rFonts w:ascii="Book Antiqua" w:hAnsi="Book Antiqua"/>
        </w:rPr>
        <w:t xml:space="preserve">  </w:t>
      </w:r>
      <w:r w:rsidRPr="00550E98" w:rsidR="008F0D2E">
        <w:rPr>
          <w:rFonts w:ascii="Book Antiqua" w:hAnsi="Book Antiqua"/>
        </w:rPr>
        <w:t>Supplier Clearinghouse upheld the denial by letter to Gekko</w:t>
      </w:r>
      <w:r w:rsidRPr="00550E98" w:rsidR="00221260">
        <w:rPr>
          <w:rFonts w:ascii="Book Antiqua" w:hAnsi="Book Antiqua"/>
        </w:rPr>
        <w:t> </w:t>
      </w:r>
      <w:r w:rsidRPr="00550E98" w:rsidR="008F0D2E">
        <w:rPr>
          <w:rFonts w:ascii="Book Antiqua" w:hAnsi="Book Antiqua"/>
        </w:rPr>
        <w:t>Engineering dated June 25, 2021.</w:t>
      </w:r>
      <w:r w:rsidRPr="00550E98" w:rsidR="008F0D2E">
        <w:rPr>
          <w:rFonts w:ascii="Book Antiqua" w:hAnsi="Book Antiqua"/>
          <w:vertAlign w:val="superscript"/>
        </w:rPr>
        <w:footnoteReference w:id="3"/>
      </w:r>
      <w:r w:rsidRPr="00550E98" w:rsidR="008F0D2E">
        <w:rPr>
          <w:rFonts w:ascii="Book Antiqua" w:hAnsi="Book Antiqua"/>
        </w:rPr>
        <w:t xml:space="preserve"> </w:t>
      </w:r>
    </w:p>
    <w:p w:rsidRPr="00550E98" w:rsidR="008F0D2E" w:rsidP="008F0D2E" w:rsidRDefault="008F0D2E" w14:paraId="147610CE" w14:textId="77777777">
      <w:pPr>
        <w:rPr>
          <w:rFonts w:ascii="Book Antiqua" w:hAnsi="Book Antiqua"/>
        </w:rPr>
      </w:pPr>
    </w:p>
    <w:p w:rsidRPr="00550E98" w:rsidR="00F877F6" w:rsidP="00F877F6" w:rsidRDefault="00F877F6" w14:paraId="106F6FBA" w14:textId="77777777">
      <w:pPr>
        <w:numPr>
          <w:ilvl w:val="0"/>
          <w:numId w:val="12"/>
        </w:numPr>
        <w:rPr>
          <w:rFonts w:ascii="Book Antiqua" w:hAnsi="Book Antiqua"/>
          <w:b/>
          <w:bCs/>
        </w:rPr>
      </w:pPr>
      <w:r w:rsidRPr="00550E98">
        <w:rPr>
          <w:rFonts w:ascii="Book Antiqua" w:hAnsi="Book Antiqua"/>
          <w:b/>
          <w:bCs/>
        </w:rPr>
        <w:t>Notice of Appeal is Timely Filed with Commission</w:t>
      </w:r>
    </w:p>
    <w:p w:rsidRPr="00550E98" w:rsidR="00F877F6" w:rsidP="008F0D2E" w:rsidRDefault="00F877F6" w14:paraId="1E1DF196" w14:textId="77777777">
      <w:pPr>
        <w:rPr>
          <w:rFonts w:ascii="Book Antiqua" w:hAnsi="Book Antiqua"/>
        </w:rPr>
      </w:pPr>
    </w:p>
    <w:p w:rsidRPr="00550E98" w:rsidR="008F0D2E" w:rsidP="008F0D2E" w:rsidRDefault="008F0D2E" w14:paraId="7DC9D81D" w14:textId="77777777">
      <w:pPr>
        <w:rPr>
          <w:rFonts w:ascii="Book Antiqua" w:hAnsi="Book Antiqua"/>
        </w:rPr>
      </w:pPr>
      <w:r w:rsidRPr="00550E98">
        <w:rPr>
          <w:rFonts w:ascii="Book Antiqua" w:hAnsi="Book Antiqua"/>
        </w:rPr>
        <w:t xml:space="preserve">The next step in the appeal process </w:t>
      </w:r>
      <w:r w:rsidRPr="00550E98" w:rsidR="00505BC7">
        <w:rPr>
          <w:rFonts w:ascii="Book Antiqua" w:hAnsi="Book Antiqua"/>
        </w:rPr>
        <w:t>is</w:t>
      </w:r>
      <w:r w:rsidRPr="00550E98">
        <w:rPr>
          <w:rFonts w:ascii="Book Antiqua" w:hAnsi="Book Antiqua"/>
        </w:rPr>
        <w:t xml:space="preserve"> set forth in Section 7.3.1. of </w:t>
      </w:r>
      <w:r w:rsidRPr="00550E98" w:rsidR="00500520">
        <w:rPr>
          <w:rFonts w:ascii="Book Antiqua" w:hAnsi="Book Antiqua"/>
        </w:rPr>
        <w:t>GO</w:t>
      </w:r>
      <w:r w:rsidRPr="00550E98">
        <w:rPr>
          <w:rFonts w:ascii="Book Antiqua" w:hAnsi="Book Antiqua"/>
        </w:rPr>
        <w:t xml:space="preserve"> 156, which provides that the appellant, within 20 days after receipt of the final decision on the internal appeal by the Supplier Clearinghouse</w:t>
      </w:r>
      <w:r w:rsidRPr="00550E98" w:rsidR="004A5088">
        <w:rPr>
          <w:rFonts w:ascii="Book Antiqua" w:hAnsi="Book Antiqua"/>
        </w:rPr>
        <w:t>, may file a Notice of Appeal with the Commission.</w:t>
      </w:r>
      <w:r w:rsidRPr="00550E98" w:rsidR="00703584">
        <w:rPr>
          <w:rFonts w:ascii="Book Antiqua" w:hAnsi="Book Antiqua"/>
        </w:rPr>
        <w:t xml:space="preserve">  </w:t>
      </w:r>
      <w:r w:rsidRPr="00550E98" w:rsidR="00500520">
        <w:rPr>
          <w:rFonts w:ascii="Book Antiqua" w:hAnsi="Book Antiqua"/>
        </w:rPr>
        <w:t>GO</w:t>
      </w:r>
      <w:r w:rsidRPr="00550E98" w:rsidR="004A5088">
        <w:rPr>
          <w:rFonts w:ascii="Book Antiqua" w:hAnsi="Book Antiqua"/>
        </w:rPr>
        <w:t xml:space="preserve"> 156 provides that the appellant </w:t>
      </w:r>
      <w:r w:rsidRPr="00550E98">
        <w:rPr>
          <w:rFonts w:ascii="Book Antiqua" w:hAnsi="Book Antiqua"/>
        </w:rPr>
        <w:t>“may serve a Notice</w:t>
      </w:r>
      <w:r w:rsidRPr="00550E98" w:rsidR="00557099">
        <w:rPr>
          <w:rFonts w:ascii="Book Antiqua" w:hAnsi="Book Antiqua"/>
        </w:rPr>
        <w:t> </w:t>
      </w:r>
      <w:r w:rsidRPr="00550E98">
        <w:rPr>
          <w:rFonts w:ascii="Book Antiqua" w:hAnsi="Book Antiqua"/>
        </w:rPr>
        <w:t>of</w:t>
      </w:r>
      <w:r w:rsidRPr="00550E98" w:rsidR="00557099">
        <w:rPr>
          <w:rFonts w:ascii="Book Antiqua" w:hAnsi="Book Antiqua"/>
        </w:rPr>
        <w:t> </w:t>
      </w:r>
      <w:r w:rsidRPr="00550E98">
        <w:rPr>
          <w:rFonts w:ascii="Book Antiqua" w:hAnsi="Book Antiqua"/>
        </w:rPr>
        <w:t>Appeal on the Clearinghouse, indicating the grounds for the appeal….”</w:t>
      </w:r>
      <w:r w:rsidRPr="00550E98" w:rsidR="00703584">
        <w:rPr>
          <w:rFonts w:ascii="Book Antiqua" w:hAnsi="Book Antiqua"/>
        </w:rPr>
        <w:t xml:space="preserve">  </w:t>
      </w:r>
      <w:r w:rsidRPr="00550E98" w:rsidR="004A5088">
        <w:rPr>
          <w:rFonts w:ascii="Book Antiqua" w:hAnsi="Book Antiqua"/>
        </w:rPr>
        <w:t>T</w:t>
      </w:r>
      <w:r w:rsidRPr="00550E98">
        <w:rPr>
          <w:rFonts w:ascii="Book Antiqua" w:hAnsi="Book Antiqua"/>
        </w:rPr>
        <w:t>he Notice</w:t>
      </w:r>
      <w:r w:rsidRPr="00550E98" w:rsidR="00557099">
        <w:rPr>
          <w:rFonts w:ascii="Book Antiqua" w:hAnsi="Book Antiqua"/>
        </w:rPr>
        <w:t> </w:t>
      </w:r>
      <w:r w:rsidRPr="00550E98">
        <w:rPr>
          <w:rFonts w:ascii="Book Antiqua" w:hAnsi="Book Antiqua"/>
        </w:rPr>
        <w:t xml:space="preserve">of Appeal </w:t>
      </w:r>
      <w:r w:rsidRPr="00550E98" w:rsidR="004A5088">
        <w:rPr>
          <w:rFonts w:ascii="Book Antiqua" w:hAnsi="Book Antiqua"/>
        </w:rPr>
        <w:t xml:space="preserve">is </w:t>
      </w:r>
      <w:r w:rsidRPr="00550E98">
        <w:rPr>
          <w:rFonts w:ascii="Book Antiqua" w:hAnsi="Book Antiqua"/>
        </w:rPr>
        <w:t>docketed as a formal proceeding with the Commission.</w:t>
      </w:r>
      <w:r w:rsidRPr="00550E98">
        <w:rPr>
          <w:rFonts w:ascii="Book Antiqua" w:hAnsi="Book Antiqua"/>
          <w:vertAlign w:val="superscript"/>
        </w:rPr>
        <w:footnoteReference w:id="4"/>
      </w:r>
    </w:p>
    <w:p w:rsidRPr="00550E98" w:rsidR="008F0D2E" w:rsidP="008F0D2E" w:rsidRDefault="008F0D2E" w14:paraId="4374BB75" w14:textId="77777777">
      <w:pPr>
        <w:rPr>
          <w:rFonts w:ascii="Book Antiqua" w:hAnsi="Book Antiqua"/>
        </w:rPr>
      </w:pPr>
    </w:p>
    <w:p w:rsidRPr="00550E98" w:rsidR="00737CE1" w:rsidP="008F0D2E" w:rsidRDefault="008F0D2E" w14:paraId="70485922" w14:textId="071026D2">
      <w:pPr>
        <w:rPr>
          <w:rFonts w:ascii="Book Antiqua" w:hAnsi="Book Antiqua"/>
        </w:rPr>
      </w:pPr>
      <w:r w:rsidRPr="00550E98">
        <w:rPr>
          <w:rFonts w:ascii="Book Antiqua" w:hAnsi="Book Antiqua"/>
        </w:rPr>
        <w:t>Consistent with Section 7.3.1</w:t>
      </w:r>
      <w:r w:rsidRPr="00550E98" w:rsidR="00F877F6">
        <w:rPr>
          <w:rFonts w:ascii="Book Antiqua" w:hAnsi="Book Antiqua"/>
        </w:rPr>
        <w:t>.</w:t>
      </w:r>
      <w:r w:rsidRPr="00550E98">
        <w:rPr>
          <w:rFonts w:ascii="Book Antiqua" w:hAnsi="Book Antiqua"/>
        </w:rPr>
        <w:t xml:space="preserve"> of </w:t>
      </w:r>
      <w:r w:rsidRPr="00550E98" w:rsidR="00500520">
        <w:rPr>
          <w:rFonts w:ascii="Book Antiqua" w:hAnsi="Book Antiqua"/>
        </w:rPr>
        <w:t>GO</w:t>
      </w:r>
      <w:r w:rsidRPr="00550E98">
        <w:rPr>
          <w:rFonts w:ascii="Book Antiqua" w:hAnsi="Book Antiqua"/>
        </w:rPr>
        <w:t xml:space="preserve"> 156, within 20 days after receipt of the </w:t>
      </w:r>
      <w:r w:rsidRPr="00550E98" w:rsidR="00737CE1">
        <w:rPr>
          <w:rFonts w:ascii="Book Antiqua" w:hAnsi="Book Antiqua"/>
        </w:rPr>
        <w:t xml:space="preserve">June 25, 2021 decision by the </w:t>
      </w:r>
      <w:r w:rsidRPr="00550E98">
        <w:rPr>
          <w:rFonts w:ascii="Book Antiqua" w:hAnsi="Book Antiqua"/>
        </w:rPr>
        <w:t>Supplier Clearinghouse upholding the denial, Gekko</w:t>
      </w:r>
      <w:r w:rsidRPr="00550E98" w:rsidR="00221260">
        <w:rPr>
          <w:rFonts w:ascii="Book Antiqua" w:hAnsi="Book Antiqua"/>
        </w:rPr>
        <w:t> </w:t>
      </w:r>
      <w:r w:rsidRPr="00550E98">
        <w:rPr>
          <w:rFonts w:ascii="Book Antiqua" w:hAnsi="Book Antiqua"/>
        </w:rPr>
        <w:t xml:space="preserve">Engineering timely filed its Notice of Appeal on July 15, 2021.  </w:t>
      </w:r>
      <w:r w:rsidRPr="00550E98" w:rsidR="00505BC7">
        <w:rPr>
          <w:rFonts w:ascii="Book Antiqua" w:hAnsi="Book Antiqua"/>
        </w:rPr>
        <w:t xml:space="preserve">The </w:t>
      </w:r>
      <w:r w:rsidRPr="00550E98">
        <w:rPr>
          <w:rFonts w:ascii="Book Antiqua" w:hAnsi="Book Antiqua"/>
        </w:rPr>
        <w:t>Notice</w:t>
      </w:r>
      <w:r w:rsidRPr="00550E98" w:rsidR="00500520">
        <w:rPr>
          <w:rFonts w:ascii="Book Antiqua" w:hAnsi="Book Antiqua"/>
        </w:rPr>
        <w:t> </w:t>
      </w:r>
      <w:r w:rsidRPr="00550E98">
        <w:rPr>
          <w:rFonts w:ascii="Book Antiqua" w:hAnsi="Book Antiqua"/>
        </w:rPr>
        <w:t>of</w:t>
      </w:r>
      <w:r w:rsidRPr="00550E98" w:rsidR="00500520">
        <w:rPr>
          <w:rFonts w:ascii="Book Antiqua" w:hAnsi="Book Antiqua"/>
        </w:rPr>
        <w:t> </w:t>
      </w:r>
      <w:r w:rsidRPr="00550E98">
        <w:rPr>
          <w:rFonts w:ascii="Book Antiqua" w:hAnsi="Book Antiqua"/>
        </w:rPr>
        <w:t xml:space="preserve">Appeal conforms to the requirements of Resolution ALJ-377 (April </w:t>
      </w:r>
      <w:r w:rsidRPr="00550E98" w:rsidR="00F07016">
        <w:rPr>
          <w:rFonts w:ascii="Book Antiqua" w:hAnsi="Book Antiqua"/>
        </w:rPr>
        <w:t>28</w:t>
      </w:r>
      <w:r w:rsidRPr="00550E98">
        <w:rPr>
          <w:rFonts w:ascii="Book Antiqua" w:hAnsi="Book Antiqua"/>
        </w:rPr>
        <w:t xml:space="preserve">, 2020), which updated certain requirements for these filings.  </w:t>
      </w:r>
    </w:p>
    <w:p w:rsidRPr="00550E98" w:rsidR="00737CE1" w:rsidP="008F0D2E" w:rsidRDefault="00737CE1" w14:paraId="22906131" w14:textId="77777777">
      <w:pPr>
        <w:rPr>
          <w:rFonts w:ascii="Book Antiqua" w:hAnsi="Book Antiqua"/>
        </w:rPr>
      </w:pPr>
    </w:p>
    <w:p w:rsidRPr="00550E98" w:rsidR="008F0D2E" w:rsidP="008F0D2E" w:rsidRDefault="008F0D2E" w14:paraId="17ED67C0" w14:textId="77777777">
      <w:pPr>
        <w:rPr>
          <w:rFonts w:ascii="Book Antiqua" w:hAnsi="Book Antiqua"/>
        </w:rPr>
      </w:pPr>
      <w:r w:rsidRPr="00550E98">
        <w:rPr>
          <w:rFonts w:ascii="Book Antiqua" w:hAnsi="Book Antiqua"/>
        </w:rPr>
        <w:t xml:space="preserve">The Commission accepted the filing and docketed the matter as K.21-07-010.  </w:t>
      </w:r>
    </w:p>
    <w:p w:rsidRPr="00550E98" w:rsidR="008F0D2E" w:rsidP="008F0D2E" w:rsidRDefault="008F0D2E" w14:paraId="09B1E727" w14:textId="77777777">
      <w:pPr>
        <w:rPr>
          <w:rFonts w:ascii="Book Antiqua" w:hAnsi="Book Antiqua"/>
        </w:rPr>
      </w:pPr>
    </w:p>
    <w:p w:rsidRPr="00550E98" w:rsidR="00A25BD5" w:rsidP="005A647A" w:rsidRDefault="00A25BD5" w14:paraId="08FD71B4" w14:textId="77777777">
      <w:pPr>
        <w:keepNext/>
        <w:keepLines/>
        <w:numPr>
          <w:ilvl w:val="0"/>
          <w:numId w:val="12"/>
        </w:numPr>
        <w:rPr>
          <w:rFonts w:ascii="Book Antiqua" w:hAnsi="Book Antiqua"/>
          <w:b/>
          <w:bCs/>
        </w:rPr>
      </w:pPr>
      <w:r w:rsidRPr="00550E98">
        <w:rPr>
          <w:rFonts w:ascii="Book Antiqua" w:hAnsi="Book Antiqua"/>
          <w:b/>
          <w:bCs/>
        </w:rPr>
        <w:lastRenderedPageBreak/>
        <w:t>Burden of Proof for Notice of Appeals</w:t>
      </w:r>
    </w:p>
    <w:p w:rsidRPr="00550E98" w:rsidR="00A25BD5" w:rsidP="005A647A" w:rsidRDefault="00A25BD5" w14:paraId="7DFFB225" w14:textId="77777777">
      <w:pPr>
        <w:keepNext/>
        <w:keepLines/>
        <w:rPr>
          <w:rFonts w:ascii="Book Antiqua" w:hAnsi="Book Antiqua"/>
        </w:rPr>
      </w:pPr>
    </w:p>
    <w:p w:rsidRPr="00550E98" w:rsidR="00A25BD5" w:rsidP="005A647A" w:rsidRDefault="00A25BD5" w14:paraId="556238A4" w14:textId="77777777">
      <w:pPr>
        <w:keepNext/>
        <w:keepLines/>
        <w:rPr>
          <w:rFonts w:ascii="Book Antiqua" w:hAnsi="Book Antiqua"/>
        </w:rPr>
      </w:pPr>
      <w:r w:rsidRPr="00550E98">
        <w:rPr>
          <w:rFonts w:ascii="Book Antiqua" w:hAnsi="Book Antiqua"/>
        </w:rPr>
        <w:t xml:space="preserve">Section 7.3.9. of </w:t>
      </w:r>
      <w:r w:rsidRPr="00550E98" w:rsidR="001E56FA">
        <w:rPr>
          <w:rFonts w:ascii="Book Antiqua" w:hAnsi="Book Antiqua"/>
        </w:rPr>
        <w:t>GO</w:t>
      </w:r>
      <w:r w:rsidRPr="00550E98">
        <w:rPr>
          <w:rFonts w:ascii="Book Antiqua" w:hAnsi="Book Antiqua"/>
        </w:rPr>
        <w:t xml:space="preserve"> 156 provides that the appellant “shall open and close” the evidentiary hearing.</w:t>
      </w:r>
      <w:r w:rsidRPr="00550E98">
        <w:rPr>
          <w:rFonts w:ascii="Book Antiqua" w:hAnsi="Book Antiqua"/>
          <w:vertAlign w:val="superscript"/>
        </w:rPr>
        <w:footnoteReference w:id="5"/>
      </w:r>
      <w:r w:rsidRPr="00550E98">
        <w:rPr>
          <w:rFonts w:ascii="Book Antiqua" w:hAnsi="Book Antiqua"/>
        </w:rPr>
        <w:t xml:space="preserve">  Based on this directive, the Commission confirms that Gekko</w:t>
      </w:r>
      <w:r w:rsidRPr="00550E98" w:rsidR="00703584">
        <w:rPr>
          <w:rFonts w:ascii="Book Antiqua" w:hAnsi="Book Antiqua"/>
        </w:rPr>
        <w:t> </w:t>
      </w:r>
      <w:r w:rsidRPr="00550E98">
        <w:rPr>
          <w:rFonts w:ascii="Book Antiqua" w:hAnsi="Book Antiqua"/>
        </w:rPr>
        <w:t>Engineering carries the burden of proof in this proceeding.</w:t>
      </w:r>
    </w:p>
    <w:p w:rsidRPr="00550E98" w:rsidR="00A25BD5" w:rsidP="00A25BD5" w:rsidRDefault="00A25BD5" w14:paraId="3423C784" w14:textId="77777777">
      <w:pPr>
        <w:rPr>
          <w:rFonts w:ascii="Book Antiqua" w:hAnsi="Book Antiqua"/>
        </w:rPr>
      </w:pPr>
    </w:p>
    <w:p w:rsidRPr="00550E98" w:rsidR="00A25BD5" w:rsidP="00EF4627" w:rsidRDefault="00A25BD5" w14:paraId="5BA9E7EC" w14:textId="77777777">
      <w:pPr>
        <w:numPr>
          <w:ilvl w:val="0"/>
          <w:numId w:val="12"/>
        </w:numPr>
        <w:rPr>
          <w:rFonts w:ascii="Book Antiqua" w:hAnsi="Book Antiqua"/>
          <w:b/>
          <w:bCs/>
        </w:rPr>
      </w:pPr>
      <w:r w:rsidRPr="00550E98">
        <w:rPr>
          <w:rFonts w:ascii="Book Antiqua" w:hAnsi="Book Antiqua"/>
          <w:b/>
          <w:bCs/>
        </w:rPr>
        <w:t>Standard of Proof for Notice of Appeals</w:t>
      </w:r>
    </w:p>
    <w:p w:rsidRPr="00550E98" w:rsidR="00A25BD5" w:rsidP="00A25BD5" w:rsidRDefault="00A25BD5" w14:paraId="203321D4" w14:textId="77777777">
      <w:pPr>
        <w:rPr>
          <w:rFonts w:ascii="Book Antiqua" w:hAnsi="Book Antiqua"/>
        </w:rPr>
      </w:pPr>
    </w:p>
    <w:p w:rsidRPr="00550E98" w:rsidR="00A25BD5" w:rsidP="00A25BD5" w:rsidRDefault="00A25BD5" w14:paraId="64A5745E" w14:textId="77777777">
      <w:pPr>
        <w:rPr>
          <w:rFonts w:ascii="Book Antiqua" w:hAnsi="Book Antiqua"/>
        </w:rPr>
      </w:pPr>
      <w:r w:rsidRPr="00550E98">
        <w:rPr>
          <w:rFonts w:ascii="Book Antiqua" w:hAnsi="Book Antiqua"/>
        </w:rPr>
        <w:t>Resolution ALJ-377 (April 16, 2020) confirms that the standard of proof for this proceeding is preponderance of evidence.</w:t>
      </w:r>
      <w:r w:rsidRPr="00550E98">
        <w:rPr>
          <w:rFonts w:ascii="Book Antiqua" w:hAnsi="Book Antiqua"/>
          <w:vertAlign w:val="superscript"/>
        </w:rPr>
        <w:footnoteReference w:id="6"/>
      </w:r>
    </w:p>
    <w:p w:rsidRPr="00550E98" w:rsidR="00A25BD5" w:rsidP="00A25BD5" w:rsidRDefault="00A25BD5" w14:paraId="3A6E1663" w14:textId="77777777">
      <w:pPr>
        <w:rPr>
          <w:rFonts w:ascii="Book Antiqua" w:hAnsi="Book Antiqua"/>
        </w:rPr>
      </w:pPr>
    </w:p>
    <w:p w:rsidRPr="00550E98" w:rsidR="00A25BD5" w:rsidP="00EF4627" w:rsidRDefault="00A25BD5" w14:paraId="2C5D9E72" w14:textId="77777777">
      <w:pPr>
        <w:numPr>
          <w:ilvl w:val="0"/>
          <w:numId w:val="12"/>
        </w:numPr>
        <w:rPr>
          <w:rFonts w:ascii="Book Antiqua" w:hAnsi="Book Antiqua"/>
          <w:b/>
          <w:bCs/>
        </w:rPr>
      </w:pPr>
      <w:r w:rsidRPr="00550E98">
        <w:rPr>
          <w:rFonts w:ascii="Book Antiqua" w:hAnsi="Book Antiqua"/>
          <w:b/>
          <w:bCs/>
        </w:rPr>
        <w:t>Standard of Review for Notice of Appeal</w:t>
      </w:r>
    </w:p>
    <w:p w:rsidRPr="00550E98" w:rsidR="00A25BD5" w:rsidP="00A25BD5" w:rsidRDefault="00A25BD5" w14:paraId="1E944406" w14:textId="77777777">
      <w:pPr>
        <w:rPr>
          <w:rFonts w:ascii="Book Antiqua" w:hAnsi="Book Antiqua"/>
        </w:rPr>
      </w:pPr>
    </w:p>
    <w:p w:rsidRPr="00550E98" w:rsidR="00A25BD5" w:rsidP="00A25BD5" w:rsidRDefault="00A25BD5" w14:paraId="39024E08" w14:textId="77777777">
      <w:pPr>
        <w:rPr>
          <w:rFonts w:ascii="Book Antiqua" w:hAnsi="Book Antiqua"/>
        </w:rPr>
      </w:pPr>
      <w:r w:rsidRPr="00550E98">
        <w:rPr>
          <w:rFonts w:ascii="Book Antiqua" w:hAnsi="Book Antiqua"/>
        </w:rPr>
        <w:t>Section 7.3.9</w:t>
      </w:r>
      <w:r w:rsidRPr="00550E98" w:rsidR="00F877F6">
        <w:rPr>
          <w:rFonts w:ascii="Book Antiqua" w:hAnsi="Book Antiqua"/>
        </w:rPr>
        <w:t>.</w:t>
      </w:r>
      <w:r w:rsidRPr="00550E98">
        <w:rPr>
          <w:rFonts w:ascii="Book Antiqua" w:hAnsi="Book Antiqua"/>
        </w:rPr>
        <w:t xml:space="preserve"> of </w:t>
      </w:r>
      <w:r w:rsidRPr="00550E98" w:rsidR="001E56FA">
        <w:rPr>
          <w:rFonts w:ascii="Book Antiqua" w:hAnsi="Book Antiqua"/>
        </w:rPr>
        <w:t>GO</w:t>
      </w:r>
      <w:r w:rsidRPr="00550E98">
        <w:rPr>
          <w:rFonts w:ascii="Book Antiqua" w:hAnsi="Book Antiqua"/>
        </w:rPr>
        <w:t xml:space="preserve"> 156 provides that “all relevant and reliable evidence may be received in the discretion of the Administrative Law Judge</w:t>
      </w:r>
      <w:r w:rsidRPr="00550E98" w:rsidR="005B09E4">
        <w:rPr>
          <w:rFonts w:ascii="Book Antiqua" w:hAnsi="Book Antiqua"/>
        </w:rPr>
        <w:t xml:space="preserve"> (ALJ)</w:t>
      </w:r>
      <w:r w:rsidRPr="00550E98">
        <w:rPr>
          <w:rFonts w:ascii="Book Antiqua" w:hAnsi="Book Antiqua"/>
        </w:rPr>
        <w:t>.“</w:t>
      </w:r>
      <w:r w:rsidRPr="00550E98" w:rsidR="00703584">
        <w:rPr>
          <w:rFonts w:ascii="Book Antiqua" w:hAnsi="Book Antiqua"/>
        </w:rPr>
        <w:t xml:space="preserve">  </w:t>
      </w:r>
      <w:r w:rsidRPr="00550E98">
        <w:rPr>
          <w:rFonts w:ascii="Book Antiqua" w:hAnsi="Book Antiqua"/>
        </w:rPr>
        <w:t>Consistent with Section</w:t>
      </w:r>
      <w:r w:rsidRPr="00550E98" w:rsidR="00703584">
        <w:rPr>
          <w:rFonts w:ascii="Book Antiqua" w:hAnsi="Book Antiqua"/>
        </w:rPr>
        <w:t> </w:t>
      </w:r>
      <w:r w:rsidRPr="00550E98">
        <w:rPr>
          <w:rFonts w:ascii="Book Antiqua" w:hAnsi="Book Antiqua"/>
        </w:rPr>
        <w:t>7.3.9</w:t>
      </w:r>
      <w:r w:rsidRPr="00550E98" w:rsidR="00F877F6">
        <w:rPr>
          <w:rFonts w:ascii="Book Antiqua" w:hAnsi="Book Antiqua"/>
        </w:rPr>
        <w:t>.</w:t>
      </w:r>
      <w:r w:rsidRPr="00550E98">
        <w:rPr>
          <w:rFonts w:ascii="Book Antiqua" w:hAnsi="Book Antiqua"/>
        </w:rPr>
        <w:t xml:space="preserve"> of </w:t>
      </w:r>
      <w:r w:rsidRPr="00550E98" w:rsidR="001E56FA">
        <w:rPr>
          <w:rFonts w:ascii="Book Antiqua" w:hAnsi="Book Antiqua"/>
        </w:rPr>
        <w:t>GO</w:t>
      </w:r>
      <w:r w:rsidRPr="00550E98">
        <w:rPr>
          <w:rFonts w:ascii="Book Antiqua" w:hAnsi="Book Antiqua"/>
        </w:rPr>
        <w:t xml:space="preserve"> 156, parties in this proceeding were permitted the opportunity to offer new evidence at the August 23, 2021 evidentiary hearing, to the extent relevant and reliable.  In this respect, since new evidence was considered</w:t>
      </w:r>
      <w:r w:rsidRPr="00550E98" w:rsidR="00F877F6">
        <w:rPr>
          <w:rFonts w:ascii="Book Antiqua" w:hAnsi="Book Antiqua"/>
        </w:rPr>
        <w:t>,</w:t>
      </w:r>
      <w:r w:rsidRPr="00550E98">
        <w:rPr>
          <w:rFonts w:ascii="Book Antiqua" w:hAnsi="Book Antiqua"/>
        </w:rPr>
        <w:t xml:space="preserve"> </w:t>
      </w:r>
      <w:r w:rsidRPr="00550E98" w:rsidR="00F877F6">
        <w:rPr>
          <w:rFonts w:ascii="Book Antiqua" w:hAnsi="Book Antiqua"/>
        </w:rPr>
        <w:t>as permitted by</w:t>
      </w:r>
      <w:r w:rsidRPr="00550E98">
        <w:rPr>
          <w:rFonts w:ascii="Book Antiqua" w:hAnsi="Book Antiqua"/>
        </w:rPr>
        <w:t xml:space="preserve"> Section 7.3.9</w:t>
      </w:r>
      <w:r w:rsidRPr="00550E98" w:rsidR="00F877F6">
        <w:rPr>
          <w:rFonts w:ascii="Book Antiqua" w:hAnsi="Book Antiqua"/>
        </w:rPr>
        <w:t>.</w:t>
      </w:r>
      <w:r w:rsidRPr="00550E98">
        <w:rPr>
          <w:rFonts w:ascii="Book Antiqua" w:hAnsi="Book Antiqua"/>
        </w:rPr>
        <w:t xml:space="preserve"> of </w:t>
      </w:r>
      <w:r w:rsidRPr="00550E98" w:rsidR="007370C2">
        <w:rPr>
          <w:rFonts w:ascii="Book Antiqua" w:hAnsi="Book Antiqua"/>
        </w:rPr>
        <w:t>GO</w:t>
      </w:r>
      <w:r w:rsidRPr="00550E98">
        <w:rPr>
          <w:rFonts w:ascii="Book Antiqua" w:hAnsi="Book Antiqua"/>
        </w:rPr>
        <w:t xml:space="preserve"> 156, the standard of review in this proceeding is not the same as</w:t>
      </w:r>
      <w:r w:rsidRPr="00550E98" w:rsidR="00F877F6">
        <w:rPr>
          <w:rFonts w:ascii="Book Antiqua" w:hAnsi="Book Antiqua"/>
        </w:rPr>
        <w:t xml:space="preserve"> </w:t>
      </w:r>
      <w:r w:rsidRPr="00550E98">
        <w:rPr>
          <w:rFonts w:ascii="Book Antiqua" w:hAnsi="Book Antiqua"/>
        </w:rPr>
        <w:t xml:space="preserve">an appeal to state court under Pub. Util. Code § 1757.  </w:t>
      </w:r>
      <w:r w:rsidRPr="00550E98" w:rsidR="00F877F6">
        <w:rPr>
          <w:rFonts w:ascii="Book Antiqua" w:hAnsi="Book Antiqua"/>
        </w:rPr>
        <w:t>Therefore, t</w:t>
      </w:r>
      <w:r w:rsidRPr="00550E98">
        <w:rPr>
          <w:rFonts w:ascii="Book Antiqua" w:hAnsi="Book Antiqua"/>
        </w:rPr>
        <w:t>he Supplier Clearinghouse’s prior internal denials of Gekko</w:t>
      </w:r>
      <w:r w:rsidRPr="00550E98" w:rsidR="00221260">
        <w:rPr>
          <w:rFonts w:ascii="Book Antiqua" w:hAnsi="Book Antiqua"/>
        </w:rPr>
        <w:t> </w:t>
      </w:r>
      <w:r w:rsidRPr="00550E98">
        <w:rPr>
          <w:rFonts w:ascii="Book Antiqua" w:hAnsi="Book Antiqua"/>
        </w:rPr>
        <w:t>Engineering’s certification were not afforded deference upon review by the Commission in this proceeding.</w:t>
      </w:r>
    </w:p>
    <w:p w:rsidRPr="00550E98" w:rsidR="00A25BD5" w:rsidP="00A25BD5" w:rsidRDefault="00A25BD5" w14:paraId="2878570F" w14:textId="77777777">
      <w:pPr>
        <w:rPr>
          <w:rFonts w:ascii="Book Antiqua" w:hAnsi="Book Antiqua"/>
        </w:rPr>
      </w:pPr>
    </w:p>
    <w:p w:rsidRPr="00550E98" w:rsidR="00A25BD5" w:rsidP="00EF4627" w:rsidRDefault="00A25BD5" w14:paraId="2BB09F3C" w14:textId="77777777">
      <w:pPr>
        <w:numPr>
          <w:ilvl w:val="0"/>
          <w:numId w:val="12"/>
        </w:numPr>
        <w:rPr>
          <w:rFonts w:ascii="Book Antiqua" w:hAnsi="Book Antiqua"/>
          <w:b/>
          <w:bCs/>
        </w:rPr>
      </w:pPr>
      <w:bookmarkStart w:name="_Hlk84341124" w:id="3"/>
      <w:r w:rsidRPr="00550E98">
        <w:rPr>
          <w:rFonts w:ascii="Book Antiqua" w:hAnsi="Book Antiqua"/>
          <w:b/>
          <w:bCs/>
        </w:rPr>
        <w:t>Issuance of Draft Resolution</w:t>
      </w:r>
    </w:p>
    <w:p w:rsidRPr="00550E98" w:rsidR="00A25BD5" w:rsidP="00A25BD5" w:rsidRDefault="00A25BD5" w14:paraId="31D990E5" w14:textId="77777777">
      <w:pPr>
        <w:rPr>
          <w:rFonts w:ascii="Book Antiqua" w:hAnsi="Book Antiqua"/>
        </w:rPr>
      </w:pPr>
    </w:p>
    <w:p w:rsidRPr="00550E98" w:rsidR="00A25BD5" w:rsidP="00A25BD5" w:rsidRDefault="00A25BD5" w14:paraId="029881B4" w14:textId="11AE09A7">
      <w:pPr>
        <w:rPr>
          <w:rFonts w:ascii="Book Antiqua" w:hAnsi="Book Antiqua"/>
        </w:rPr>
      </w:pPr>
      <w:r w:rsidRPr="00550E98">
        <w:rPr>
          <w:rFonts w:ascii="Book Antiqua" w:hAnsi="Book Antiqua"/>
        </w:rPr>
        <w:t xml:space="preserve">Lastly, Resolution ALJ-377 (April </w:t>
      </w:r>
      <w:r w:rsidRPr="00550E98" w:rsidR="00B2383D">
        <w:rPr>
          <w:rFonts w:ascii="Book Antiqua" w:hAnsi="Book Antiqua"/>
        </w:rPr>
        <w:t>28</w:t>
      </w:r>
      <w:r w:rsidRPr="00550E98">
        <w:rPr>
          <w:rFonts w:ascii="Book Antiqua" w:hAnsi="Book Antiqua"/>
        </w:rPr>
        <w:t>, 2020) and Section 7.3.11</w:t>
      </w:r>
      <w:r w:rsidRPr="00550E98" w:rsidR="00F877F6">
        <w:rPr>
          <w:rFonts w:ascii="Book Antiqua" w:hAnsi="Book Antiqua"/>
        </w:rPr>
        <w:t>.</w:t>
      </w:r>
      <w:r w:rsidRPr="00550E98">
        <w:rPr>
          <w:rFonts w:ascii="Book Antiqua" w:hAnsi="Book Antiqua"/>
        </w:rPr>
        <w:t xml:space="preserve"> of </w:t>
      </w:r>
      <w:r w:rsidRPr="00550E98" w:rsidR="007370C2">
        <w:rPr>
          <w:rFonts w:ascii="Book Antiqua" w:hAnsi="Book Antiqua"/>
        </w:rPr>
        <w:t>GO</w:t>
      </w:r>
      <w:r w:rsidRPr="00550E98">
        <w:rPr>
          <w:rFonts w:ascii="Book Antiqua" w:hAnsi="Book Antiqua"/>
        </w:rPr>
        <w:t xml:space="preserve"> 156 provide that, for an appeal of a denial of certification, the draft resolution shall be issued no later than 30 days after the proceeding is submitted.</w:t>
      </w:r>
      <w:r w:rsidRPr="00550E98">
        <w:rPr>
          <w:rFonts w:ascii="Book Antiqua" w:hAnsi="Book Antiqua"/>
          <w:vertAlign w:val="superscript"/>
        </w:rPr>
        <w:footnoteReference w:id="7"/>
      </w:r>
      <w:r w:rsidRPr="00550E98">
        <w:rPr>
          <w:rFonts w:ascii="Book Antiqua" w:hAnsi="Book Antiqua"/>
        </w:rPr>
        <w:t xml:space="preserve">  The submission date in this proceeding was August 23, 2020, at the end of the evidentiary hearings.</w:t>
      </w:r>
      <w:r w:rsidRPr="00550E98">
        <w:rPr>
          <w:rFonts w:ascii="Book Antiqua" w:hAnsi="Book Antiqua"/>
          <w:vertAlign w:val="superscript"/>
        </w:rPr>
        <w:footnoteReference w:id="8"/>
      </w:r>
      <w:r w:rsidRPr="00550E98">
        <w:rPr>
          <w:rFonts w:ascii="Book Antiqua" w:hAnsi="Book Antiqua"/>
        </w:rPr>
        <w:t xml:space="preserve">  Typically, an official transcript for an evidentiary hearing is not available until approximately eight weeks after the </w:t>
      </w:r>
      <w:r w:rsidRPr="00550E98">
        <w:rPr>
          <w:rFonts w:ascii="Book Antiqua" w:hAnsi="Book Antiqua"/>
        </w:rPr>
        <w:lastRenderedPageBreak/>
        <w:t>submission date.</w:t>
      </w:r>
      <w:r w:rsidRPr="00550E98">
        <w:rPr>
          <w:rFonts w:ascii="Book Antiqua" w:hAnsi="Book Antiqua"/>
          <w:vertAlign w:val="superscript"/>
        </w:rPr>
        <w:footnoteReference w:id="9"/>
      </w:r>
      <w:r w:rsidRPr="00550E98">
        <w:rPr>
          <w:rFonts w:ascii="Book Antiqua" w:hAnsi="Book Antiqua"/>
        </w:rPr>
        <w:t xml:space="preserve">  Therefore, the issuance of the draft </w:t>
      </w:r>
      <w:r w:rsidRPr="00550E98" w:rsidR="00374774">
        <w:rPr>
          <w:rFonts w:ascii="Book Antiqua" w:hAnsi="Book Antiqua"/>
        </w:rPr>
        <w:t>R</w:t>
      </w:r>
      <w:r w:rsidRPr="00550E98">
        <w:rPr>
          <w:rFonts w:ascii="Book Antiqua" w:hAnsi="Book Antiqua"/>
        </w:rPr>
        <w:t>esolution in this proceeding was delayed beyond this 30 day period for receipt of the official transcript on October</w:t>
      </w:r>
      <w:r w:rsidRPr="00550E98" w:rsidR="007370C2">
        <w:rPr>
          <w:rFonts w:ascii="Book Antiqua" w:hAnsi="Book Antiqua"/>
        </w:rPr>
        <w:t> </w:t>
      </w:r>
      <w:r w:rsidRPr="00550E98">
        <w:rPr>
          <w:rFonts w:ascii="Book Antiqua" w:hAnsi="Book Antiqua"/>
        </w:rPr>
        <w:t>25,</w:t>
      </w:r>
      <w:r w:rsidRPr="00550E98" w:rsidR="007370C2">
        <w:rPr>
          <w:rFonts w:ascii="Book Antiqua" w:hAnsi="Book Antiqua"/>
        </w:rPr>
        <w:t> </w:t>
      </w:r>
      <w:r w:rsidRPr="00550E98">
        <w:rPr>
          <w:rFonts w:ascii="Book Antiqua" w:hAnsi="Book Antiqua"/>
        </w:rPr>
        <w:t>2021.</w:t>
      </w:r>
    </w:p>
    <w:bookmarkEnd w:id="3"/>
    <w:p w:rsidRPr="00550E98" w:rsidR="00A3456C" w:rsidP="00A3456C" w:rsidRDefault="00A3456C" w14:paraId="2FB48812" w14:textId="77777777">
      <w:pPr>
        <w:rPr>
          <w:rFonts w:ascii="Book Antiqua" w:hAnsi="Book Antiqua"/>
        </w:rPr>
      </w:pPr>
    </w:p>
    <w:p w:rsidRPr="00550E98" w:rsidR="00F73889" w:rsidP="00273662" w:rsidRDefault="00A25BD5" w14:paraId="3BD4DE6D" w14:textId="77777777">
      <w:pPr>
        <w:pStyle w:val="Heading2"/>
        <w:numPr>
          <w:ilvl w:val="0"/>
          <w:numId w:val="0"/>
        </w:numPr>
        <w:ind w:left="360" w:hanging="360"/>
        <w:rPr>
          <w:sz w:val="24"/>
          <w:szCs w:val="24"/>
          <w:u w:val="single"/>
        </w:rPr>
      </w:pPr>
      <w:bookmarkStart w:name="_Toc54358231" w:id="4"/>
      <w:bookmarkStart w:name="_Toc84329296" w:id="5"/>
      <w:r w:rsidRPr="00550E98">
        <w:rPr>
          <w:sz w:val="24"/>
          <w:szCs w:val="24"/>
          <w:u w:val="single"/>
        </w:rPr>
        <w:t>FACTUAL BACKGROUND</w:t>
      </w:r>
      <w:bookmarkEnd w:id="4"/>
      <w:bookmarkEnd w:id="5"/>
      <w:r w:rsidRPr="00550E98" w:rsidR="00F73889">
        <w:rPr>
          <w:sz w:val="24"/>
          <w:szCs w:val="24"/>
          <w:u w:val="single"/>
        </w:rPr>
        <w:t xml:space="preserve">   </w:t>
      </w:r>
    </w:p>
    <w:p w:rsidRPr="00550E98" w:rsidR="00F73889" w:rsidP="00F73889" w:rsidRDefault="00F73889" w14:paraId="7065DBCE" w14:textId="77777777">
      <w:pPr>
        <w:rPr>
          <w:rFonts w:ascii="Book Antiqua" w:hAnsi="Book Antiqua"/>
        </w:rPr>
      </w:pPr>
    </w:p>
    <w:p w:rsidRPr="00550E98" w:rsidR="00816290" w:rsidP="00816290" w:rsidRDefault="00F73889" w14:paraId="0EAE505F" w14:textId="77777777">
      <w:pPr>
        <w:rPr>
          <w:rFonts w:ascii="Book Antiqua" w:hAnsi="Book Antiqua"/>
          <w:bCs/>
        </w:rPr>
      </w:pPr>
      <w:r w:rsidRPr="00550E98">
        <w:rPr>
          <w:rFonts w:ascii="Book Antiqua" w:hAnsi="Book Antiqua"/>
        </w:rPr>
        <w:t>All facts set forth herein are based on the following</w:t>
      </w:r>
      <w:r w:rsidRPr="00550E98" w:rsidR="00737CE1">
        <w:rPr>
          <w:rFonts w:ascii="Book Antiqua" w:hAnsi="Book Antiqua"/>
        </w:rPr>
        <w:t xml:space="preserve"> exhibits or filed</w:t>
      </w:r>
      <w:r w:rsidRPr="00550E98">
        <w:rPr>
          <w:rFonts w:ascii="Book Antiqua" w:hAnsi="Book Antiqua"/>
        </w:rPr>
        <w:t xml:space="preserve"> documents </w:t>
      </w:r>
      <w:r w:rsidRPr="00550E98" w:rsidR="00737CE1">
        <w:rPr>
          <w:rFonts w:ascii="Book Antiqua" w:hAnsi="Book Antiqua"/>
        </w:rPr>
        <w:t>in this proceeding</w:t>
      </w:r>
      <w:r w:rsidRPr="00550E98">
        <w:rPr>
          <w:rFonts w:ascii="Book Antiqua" w:hAnsi="Book Antiqua"/>
        </w:rPr>
        <w:t xml:space="preserve">: </w:t>
      </w:r>
      <w:bookmarkStart w:name="_Hlk84435582" w:id="6"/>
      <w:r w:rsidRPr="00550E98">
        <w:rPr>
          <w:rFonts w:ascii="Book Antiqua" w:hAnsi="Book Antiqua"/>
        </w:rPr>
        <w:t xml:space="preserve">The </w:t>
      </w:r>
      <w:r w:rsidRPr="00550E98">
        <w:rPr>
          <w:rFonts w:ascii="Book Antiqua" w:hAnsi="Book Antiqua"/>
          <w:i/>
          <w:iCs/>
        </w:rPr>
        <w:t>Joint Statement of Undisputed Facts</w:t>
      </w:r>
      <w:bookmarkEnd w:id="6"/>
      <w:r w:rsidRPr="00550E98">
        <w:rPr>
          <w:rFonts w:ascii="Book Antiqua" w:hAnsi="Book Antiqua"/>
        </w:rPr>
        <w:t xml:space="preserve"> filed in this proceeding by Supplier Clearinghouse and Gekko Engineering on September 14, 2021; the January 20,</w:t>
      </w:r>
      <w:r w:rsidRPr="00550E98" w:rsidR="00500520">
        <w:rPr>
          <w:rFonts w:ascii="Book Antiqua" w:hAnsi="Book Antiqua"/>
        </w:rPr>
        <w:t> </w:t>
      </w:r>
      <w:r w:rsidRPr="00550E98" w:rsidR="00FA266C">
        <w:rPr>
          <w:rFonts w:ascii="Book Antiqua" w:hAnsi="Book Antiqua"/>
        </w:rPr>
        <w:t>2021,</w:t>
      </w:r>
      <w:r w:rsidRPr="00550E98">
        <w:rPr>
          <w:rFonts w:ascii="Book Antiqua" w:hAnsi="Book Antiqua"/>
        </w:rPr>
        <w:t xml:space="preserve"> Application by Gekko Engineering, and the statements made under penalty of perjury at the evidentiary hearing held remotely by the Commission on August 23, 2021.</w:t>
      </w:r>
      <w:r w:rsidRPr="00550E98">
        <w:rPr>
          <w:rStyle w:val="FootnoteReference"/>
          <w:rFonts w:ascii="Book Antiqua" w:hAnsi="Book Antiqua"/>
        </w:rPr>
        <w:footnoteReference w:id="10"/>
      </w:r>
      <w:r w:rsidRPr="00550E98">
        <w:rPr>
          <w:rFonts w:ascii="Book Antiqua" w:hAnsi="Book Antiqua"/>
        </w:rPr>
        <w:t xml:space="preserve">  </w:t>
      </w:r>
      <w:r w:rsidRPr="00550E98" w:rsidR="00816290">
        <w:rPr>
          <w:rFonts w:ascii="Book Antiqua" w:hAnsi="Book Antiqua"/>
          <w:bCs/>
        </w:rPr>
        <w:t>The Application by Gekko Engineering includes a sworn affidavit that all information is true and correct by Taylor Kayse.</w:t>
      </w:r>
      <w:r w:rsidRPr="00550E98" w:rsidR="00816290">
        <w:rPr>
          <w:rFonts w:ascii="Book Antiqua" w:hAnsi="Book Antiqua"/>
          <w:bCs/>
          <w:vertAlign w:val="superscript"/>
        </w:rPr>
        <w:footnoteReference w:id="11"/>
      </w:r>
    </w:p>
    <w:p w:rsidRPr="00550E98" w:rsidR="00F73889" w:rsidP="00F73889" w:rsidRDefault="00F73889" w14:paraId="504DFA98" w14:textId="77777777">
      <w:pPr>
        <w:rPr>
          <w:rFonts w:ascii="Book Antiqua" w:hAnsi="Book Antiqua"/>
        </w:rPr>
      </w:pPr>
    </w:p>
    <w:p w:rsidRPr="00550E98" w:rsidR="00F73889" w:rsidP="00F73889" w:rsidRDefault="00F73889" w14:paraId="5A9367E4" w14:textId="77777777">
      <w:pPr>
        <w:rPr>
          <w:rFonts w:ascii="Book Antiqua" w:hAnsi="Book Antiqua"/>
        </w:rPr>
      </w:pPr>
      <w:r w:rsidRPr="00550E98">
        <w:rPr>
          <w:rFonts w:ascii="Book Antiqua" w:hAnsi="Book Antiqua"/>
        </w:rPr>
        <w:t>Gekko Engineering is</w:t>
      </w:r>
      <w:r w:rsidRPr="00550E98">
        <w:rPr>
          <w:rFonts w:ascii="Book Antiqua" w:hAnsi="Book Antiqua"/>
          <w:bCs/>
          <w:szCs w:val="24"/>
        </w:rPr>
        <w:t xml:space="preserve"> located in Carson, California and incorporated in California.</w:t>
      </w:r>
      <w:r w:rsidRPr="00550E98">
        <w:rPr>
          <w:rStyle w:val="FootnoteReference"/>
          <w:rFonts w:ascii="Book Antiqua" w:hAnsi="Book Antiqua"/>
          <w:bCs/>
          <w:szCs w:val="24"/>
        </w:rPr>
        <w:footnoteReference w:id="12"/>
      </w:r>
      <w:r w:rsidRPr="00550E98">
        <w:rPr>
          <w:rFonts w:ascii="Book Antiqua" w:hAnsi="Book Antiqua"/>
        </w:rPr>
        <w:t xml:space="preserve"> </w:t>
      </w:r>
      <w:r w:rsidRPr="00550E98" w:rsidR="00816290">
        <w:rPr>
          <w:rFonts w:ascii="Book Antiqua" w:hAnsi="Book Antiqua"/>
        </w:rPr>
        <w:t>Gekko</w:t>
      </w:r>
      <w:r w:rsidRPr="00550E98" w:rsidR="00221260">
        <w:rPr>
          <w:rFonts w:ascii="Book Antiqua" w:hAnsi="Book Antiqua"/>
        </w:rPr>
        <w:t> </w:t>
      </w:r>
      <w:r w:rsidRPr="00550E98" w:rsidR="00816290">
        <w:rPr>
          <w:rFonts w:ascii="Book Antiqua" w:hAnsi="Book Antiqua"/>
        </w:rPr>
        <w:t>Engineering is an engineering and design firm that offers civil, structural, mechanical, electrical and other engineering and design services mainly to industrial clients.</w:t>
      </w:r>
      <w:r w:rsidRPr="00550E98" w:rsidR="00816290">
        <w:rPr>
          <w:rFonts w:ascii="Book Antiqua" w:hAnsi="Book Antiqua"/>
          <w:vertAlign w:val="superscript"/>
        </w:rPr>
        <w:footnoteReference w:id="13"/>
      </w:r>
      <w:r w:rsidRPr="00550E98" w:rsidR="00816290">
        <w:rPr>
          <w:rFonts w:ascii="Book Antiqua" w:hAnsi="Book Antiqua"/>
        </w:rPr>
        <w:t xml:space="preserve"> </w:t>
      </w:r>
      <w:r w:rsidRPr="00550E98" w:rsidR="00703584">
        <w:rPr>
          <w:rFonts w:ascii="Book Antiqua" w:hAnsi="Book Antiqua"/>
        </w:rPr>
        <w:t xml:space="preserve"> </w:t>
      </w:r>
      <w:r w:rsidRPr="00550E98">
        <w:rPr>
          <w:rFonts w:ascii="Book Antiqua" w:hAnsi="Book Antiqua"/>
        </w:rPr>
        <w:t xml:space="preserve">On </w:t>
      </w:r>
      <w:r w:rsidRPr="00550E98">
        <w:rPr>
          <w:rFonts w:ascii="Book Antiqua" w:hAnsi="Book Antiqua"/>
          <w:bCs/>
          <w:szCs w:val="24"/>
        </w:rPr>
        <w:t xml:space="preserve">January 20, 2021, </w:t>
      </w:r>
      <w:r w:rsidRPr="00550E98">
        <w:rPr>
          <w:rFonts w:ascii="Book Antiqua" w:hAnsi="Book Antiqua"/>
        </w:rPr>
        <w:t>Gekko Engineering submit an Application to the Supplier Clearinghouse for certification as a Women Business Enterprise</w:t>
      </w:r>
      <w:r w:rsidRPr="00550E98">
        <w:rPr>
          <w:rFonts w:ascii="Book Antiqua" w:hAnsi="Book Antiqua"/>
          <w:bCs/>
          <w:szCs w:val="24"/>
        </w:rPr>
        <w:t>.</w:t>
      </w:r>
      <w:r w:rsidRPr="00550E98">
        <w:rPr>
          <w:rStyle w:val="FootnoteReference"/>
          <w:rFonts w:ascii="Book Antiqua" w:hAnsi="Book Antiqua"/>
          <w:bCs/>
          <w:szCs w:val="24"/>
        </w:rPr>
        <w:footnoteReference w:id="14"/>
      </w:r>
      <w:r w:rsidRPr="00550E98">
        <w:rPr>
          <w:rFonts w:ascii="Book Antiqua" w:hAnsi="Book Antiqua"/>
        </w:rPr>
        <w:t xml:space="preserve">  </w:t>
      </w:r>
    </w:p>
    <w:p w:rsidRPr="00550E98" w:rsidR="00F73889" w:rsidP="00F73889" w:rsidRDefault="00F73889" w14:paraId="64058B64" w14:textId="77777777">
      <w:pPr>
        <w:rPr>
          <w:rFonts w:ascii="Book Antiqua" w:hAnsi="Book Antiqua"/>
        </w:rPr>
      </w:pPr>
    </w:p>
    <w:p w:rsidRPr="00550E98" w:rsidR="00F73889" w:rsidP="00F73889" w:rsidRDefault="00F73889" w14:paraId="43C154F1" w14:textId="77777777">
      <w:pPr>
        <w:rPr>
          <w:rFonts w:ascii="Book Antiqua" w:hAnsi="Book Antiqua"/>
        </w:rPr>
      </w:pPr>
      <w:r w:rsidRPr="00550E98">
        <w:rPr>
          <w:rFonts w:ascii="Book Antiqua" w:hAnsi="Book Antiqua"/>
        </w:rPr>
        <w:t xml:space="preserve">Gekko Engineering’s January 20, 2021 Application indicates that </w:t>
      </w:r>
      <w:r w:rsidRPr="00550E98">
        <w:rPr>
          <w:rFonts w:ascii="Book Antiqua" w:hAnsi="Book Antiqua"/>
          <w:bCs/>
          <w:szCs w:val="24"/>
        </w:rPr>
        <w:t>Taylor Kayse, a woman, is the President and Chief Executive Officer.</w:t>
      </w:r>
      <w:r w:rsidRPr="00550E98">
        <w:rPr>
          <w:rStyle w:val="FootnoteReference"/>
          <w:rFonts w:ascii="Book Antiqua" w:hAnsi="Book Antiqua"/>
          <w:bCs/>
          <w:szCs w:val="24"/>
        </w:rPr>
        <w:footnoteReference w:id="15"/>
      </w:r>
      <w:r w:rsidRPr="00550E98" w:rsidR="005B09E4">
        <w:rPr>
          <w:rFonts w:ascii="Book Antiqua" w:hAnsi="Book Antiqua"/>
        </w:rPr>
        <w:t xml:space="preserve">  </w:t>
      </w:r>
      <w:r w:rsidRPr="00550E98">
        <w:rPr>
          <w:rFonts w:ascii="Book Antiqua" w:hAnsi="Book Antiqua"/>
          <w:bCs/>
          <w:szCs w:val="24"/>
        </w:rPr>
        <w:t>Gekko Engineering’s Statement of Information filed with the California Secretary of State on December 30, 2020 shows Taylor Kayse is listed as Chief Executive Officer of Gekko Engineering.</w:t>
      </w:r>
      <w:r w:rsidRPr="00550E98">
        <w:rPr>
          <w:rStyle w:val="FootnoteReference"/>
          <w:rFonts w:ascii="Book Antiqua" w:hAnsi="Book Antiqua"/>
          <w:bCs/>
          <w:szCs w:val="24"/>
        </w:rPr>
        <w:footnoteReference w:id="16"/>
      </w:r>
      <w:r w:rsidRPr="00550E98">
        <w:rPr>
          <w:rFonts w:ascii="Book Antiqua" w:hAnsi="Book Antiqua"/>
        </w:rPr>
        <w:t xml:space="preserve"> </w:t>
      </w:r>
    </w:p>
    <w:p w:rsidRPr="00550E98" w:rsidR="00F73889" w:rsidP="00F73889" w:rsidRDefault="00F73889" w14:paraId="6AE484AE" w14:textId="77777777">
      <w:pPr>
        <w:rPr>
          <w:rFonts w:ascii="Book Antiqua" w:hAnsi="Book Antiqua"/>
        </w:rPr>
      </w:pPr>
    </w:p>
    <w:p w:rsidRPr="00550E98" w:rsidR="00F73889" w:rsidP="00F73889" w:rsidRDefault="00F73889" w14:paraId="5BC2ECF6" w14:textId="77777777">
      <w:pPr>
        <w:rPr>
          <w:rFonts w:ascii="Book Antiqua" w:hAnsi="Book Antiqua"/>
          <w:bCs/>
          <w:szCs w:val="24"/>
        </w:rPr>
      </w:pPr>
      <w:r w:rsidRPr="00550E98">
        <w:rPr>
          <w:rFonts w:ascii="Book Antiqua" w:hAnsi="Book Antiqua"/>
          <w:bCs/>
          <w:szCs w:val="24"/>
        </w:rPr>
        <w:lastRenderedPageBreak/>
        <w:t>Gekko Engineering has 10,000 total shares.</w:t>
      </w:r>
      <w:r w:rsidRPr="00550E98">
        <w:rPr>
          <w:rStyle w:val="FootnoteReference"/>
          <w:rFonts w:ascii="Book Antiqua" w:hAnsi="Book Antiqua"/>
          <w:bCs/>
          <w:szCs w:val="24"/>
        </w:rPr>
        <w:footnoteReference w:id="17"/>
      </w:r>
      <w:r w:rsidRPr="00550E98">
        <w:rPr>
          <w:rFonts w:ascii="Book Antiqua" w:hAnsi="Book Antiqua"/>
          <w:bCs/>
          <w:szCs w:val="24"/>
        </w:rPr>
        <w:t xml:space="preserve"> </w:t>
      </w:r>
      <w:r w:rsidRPr="00550E98" w:rsidR="007F2803">
        <w:rPr>
          <w:rFonts w:ascii="Book Antiqua" w:hAnsi="Book Antiqua"/>
          <w:bCs/>
          <w:szCs w:val="24"/>
        </w:rPr>
        <w:t xml:space="preserve"> </w:t>
      </w:r>
      <w:r w:rsidRPr="00550E98">
        <w:rPr>
          <w:rFonts w:ascii="Book Antiqua" w:hAnsi="Book Antiqua"/>
          <w:bCs/>
          <w:szCs w:val="24"/>
        </w:rPr>
        <w:t>The shareholders and their respective shares</w:t>
      </w:r>
      <w:r w:rsidRPr="00550E98" w:rsidR="00737CE1">
        <w:rPr>
          <w:rFonts w:ascii="Book Antiqua" w:hAnsi="Book Antiqua"/>
          <w:bCs/>
          <w:szCs w:val="24"/>
        </w:rPr>
        <w:t>,</w:t>
      </w:r>
      <w:r w:rsidRPr="00550E98">
        <w:rPr>
          <w:rFonts w:ascii="Book Antiqua" w:hAnsi="Book Antiqua"/>
          <w:bCs/>
          <w:szCs w:val="24"/>
        </w:rPr>
        <w:t xml:space="preserve"> as of January 20, 2021, the date of the Application, were as follows:  Taylor</w:t>
      </w:r>
      <w:r w:rsidRPr="00550E98" w:rsidR="00500520">
        <w:rPr>
          <w:rFonts w:ascii="Book Antiqua" w:hAnsi="Book Antiqua"/>
          <w:bCs/>
          <w:szCs w:val="24"/>
        </w:rPr>
        <w:t> </w:t>
      </w:r>
      <w:r w:rsidRPr="00550E98">
        <w:rPr>
          <w:rFonts w:ascii="Book Antiqua" w:hAnsi="Book Antiqua"/>
          <w:bCs/>
          <w:szCs w:val="24"/>
        </w:rPr>
        <w:t>Kayse, 7,000 shares;</w:t>
      </w:r>
      <w:r w:rsidRPr="00550E98">
        <w:rPr>
          <w:rFonts w:ascii="Book Antiqua" w:hAnsi="Book Antiqua"/>
        </w:rPr>
        <w:t xml:space="preserve"> </w:t>
      </w:r>
      <w:r w:rsidRPr="00550E98">
        <w:rPr>
          <w:rFonts w:ascii="Book Antiqua" w:hAnsi="Book Antiqua"/>
          <w:bCs/>
          <w:szCs w:val="24"/>
        </w:rPr>
        <w:t>Darius Vitkus, 2,000 shares; and Jordan Kayse, 1,000</w:t>
      </w:r>
      <w:r w:rsidRPr="00550E98" w:rsidR="00500520">
        <w:rPr>
          <w:rFonts w:ascii="Book Antiqua" w:hAnsi="Book Antiqua"/>
          <w:bCs/>
          <w:szCs w:val="24"/>
        </w:rPr>
        <w:t> </w:t>
      </w:r>
      <w:r w:rsidRPr="00550E98">
        <w:rPr>
          <w:rFonts w:ascii="Book Antiqua" w:hAnsi="Book Antiqua"/>
          <w:bCs/>
          <w:szCs w:val="24"/>
        </w:rPr>
        <w:t>shares.</w:t>
      </w:r>
      <w:r w:rsidRPr="00550E98">
        <w:rPr>
          <w:rStyle w:val="FootnoteReference"/>
          <w:rFonts w:ascii="Book Antiqua" w:hAnsi="Book Antiqua"/>
          <w:bCs/>
          <w:szCs w:val="24"/>
        </w:rPr>
        <w:footnoteReference w:id="18"/>
      </w:r>
      <w:r w:rsidRPr="00550E98">
        <w:rPr>
          <w:rFonts w:ascii="Book Antiqua" w:hAnsi="Book Antiqua"/>
          <w:bCs/>
          <w:szCs w:val="24"/>
        </w:rPr>
        <w:t xml:space="preserve"> </w:t>
      </w:r>
    </w:p>
    <w:p w:rsidRPr="00550E98" w:rsidR="00F73889" w:rsidP="00F73889" w:rsidRDefault="00F73889" w14:paraId="60098CFB" w14:textId="77777777">
      <w:pPr>
        <w:rPr>
          <w:rFonts w:ascii="Book Antiqua" w:hAnsi="Book Antiqua"/>
          <w:bCs/>
          <w:szCs w:val="24"/>
        </w:rPr>
      </w:pPr>
    </w:p>
    <w:p w:rsidRPr="00550E98" w:rsidR="00F73889" w:rsidP="00F73889" w:rsidRDefault="00F73889" w14:paraId="69725D6F" w14:textId="77777777">
      <w:pPr>
        <w:rPr>
          <w:rFonts w:ascii="Book Antiqua" w:hAnsi="Book Antiqua"/>
          <w:bCs/>
          <w:szCs w:val="24"/>
        </w:rPr>
      </w:pPr>
      <w:r w:rsidRPr="00550E98">
        <w:rPr>
          <w:rFonts w:ascii="Book Antiqua" w:hAnsi="Book Antiqua"/>
          <w:bCs/>
          <w:szCs w:val="24"/>
        </w:rPr>
        <w:t>Taylor Kayse’s resume s</w:t>
      </w:r>
      <w:r w:rsidRPr="00550E98" w:rsidR="00737CE1">
        <w:rPr>
          <w:rFonts w:ascii="Book Antiqua" w:hAnsi="Book Antiqua"/>
          <w:bCs/>
          <w:szCs w:val="24"/>
        </w:rPr>
        <w:t>tates</w:t>
      </w:r>
      <w:r w:rsidRPr="00550E98">
        <w:rPr>
          <w:rFonts w:ascii="Book Antiqua" w:hAnsi="Book Antiqua"/>
          <w:bCs/>
          <w:szCs w:val="24"/>
        </w:rPr>
        <w:t xml:space="preserve"> she has worked full</w:t>
      </w:r>
      <w:r w:rsidRPr="00550E98" w:rsidR="00737CE1">
        <w:rPr>
          <w:rFonts w:ascii="Book Antiqua" w:hAnsi="Book Antiqua"/>
          <w:bCs/>
          <w:szCs w:val="24"/>
        </w:rPr>
        <w:t>-</w:t>
      </w:r>
      <w:r w:rsidRPr="00550E98">
        <w:rPr>
          <w:rFonts w:ascii="Book Antiqua" w:hAnsi="Book Antiqua"/>
          <w:bCs/>
          <w:szCs w:val="24"/>
        </w:rPr>
        <w:t>time at Gekko Engineering since May</w:t>
      </w:r>
      <w:r w:rsidRPr="00550E98" w:rsidR="007F2803">
        <w:rPr>
          <w:rFonts w:ascii="Book Antiqua" w:hAnsi="Book Antiqua"/>
          <w:bCs/>
          <w:szCs w:val="24"/>
        </w:rPr>
        <w:t> </w:t>
      </w:r>
      <w:r w:rsidRPr="00550E98">
        <w:rPr>
          <w:rFonts w:ascii="Book Antiqua" w:hAnsi="Book Antiqua"/>
          <w:bCs/>
          <w:szCs w:val="24"/>
        </w:rPr>
        <w:t>2011.</w:t>
      </w:r>
      <w:r w:rsidRPr="00550E98">
        <w:rPr>
          <w:rStyle w:val="FootnoteReference"/>
          <w:rFonts w:ascii="Book Antiqua" w:hAnsi="Book Antiqua"/>
          <w:bCs/>
          <w:szCs w:val="24"/>
        </w:rPr>
        <w:footnoteReference w:id="19"/>
      </w:r>
      <w:r w:rsidRPr="00550E98">
        <w:rPr>
          <w:rFonts w:ascii="Book Antiqua" w:hAnsi="Book Antiqua"/>
          <w:bCs/>
          <w:szCs w:val="24"/>
        </w:rPr>
        <w:t xml:space="preserve">  She holds degrees in Marketing and International Business and French. </w:t>
      </w:r>
      <w:r w:rsidRPr="00550E98" w:rsidR="007F2803">
        <w:rPr>
          <w:rFonts w:ascii="Book Antiqua" w:hAnsi="Book Antiqua"/>
          <w:bCs/>
          <w:szCs w:val="24"/>
        </w:rPr>
        <w:t xml:space="preserve"> </w:t>
      </w:r>
      <w:r w:rsidRPr="00550E98">
        <w:rPr>
          <w:rFonts w:ascii="Book Antiqua" w:hAnsi="Book Antiqua"/>
          <w:bCs/>
          <w:szCs w:val="24"/>
        </w:rPr>
        <w:t xml:space="preserve">Her resume states, in part, that </w:t>
      </w:r>
      <w:bookmarkStart w:name="_Hlk84507767" w:id="8"/>
      <w:r w:rsidRPr="00550E98">
        <w:rPr>
          <w:rFonts w:ascii="Book Antiqua" w:hAnsi="Book Antiqua"/>
          <w:bCs/>
          <w:szCs w:val="24"/>
        </w:rPr>
        <w:t>as President and Chief Executive Officer, “Taylor is responsible for the general supervision, direction, and control of the business and affairs of Gekko.”</w:t>
      </w:r>
      <w:r w:rsidRPr="00550E98">
        <w:rPr>
          <w:rStyle w:val="FootnoteReference"/>
          <w:rFonts w:ascii="Book Antiqua" w:hAnsi="Book Antiqua"/>
          <w:bCs/>
          <w:szCs w:val="24"/>
        </w:rPr>
        <w:footnoteReference w:id="20"/>
      </w:r>
      <w:r w:rsidRPr="00550E98">
        <w:rPr>
          <w:rFonts w:ascii="Book Antiqua" w:hAnsi="Book Antiqua"/>
          <w:bCs/>
          <w:szCs w:val="24"/>
        </w:rPr>
        <w:t xml:space="preserve">  Gekko Engineering</w:t>
      </w:r>
      <w:r w:rsidRPr="00550E98" w:rsidR="00737CE1">
        <w:rPr>
          <w:rFonts w:ascii="Book Antiqua" w:hAnsi="Book Antiqua"/>
          <w:bCs/>
          <w:szCs w:val="24"/>
        </w:rPr>
        <w:t>’s Application</w:t>
      </w:r>
      <w:r w:rsidRPr="00550E98">
        <w:rPr>
          <w:rFonts w:ascii="Book Antiqua" w:hAnsi="Book Antiqua"/>
          <w:bCs/>
          <w:szCs w:val="24"/>
        </w:rPr>
        <w:t xml:space="preserve"> states Taylor Kayse is responsible for the day-to-day management and policy decision making of the following areas: finance, management, hiring</w:t>
      </w:r>
      <w:r w:rsidRPr="00550E98" w:rsidR="00737CE1">
        <w:rPr>
          <w:rFonts w:ascii="Book Antiqua" w:hAnsi="Book Antiqua"/>
          <w:bCs/>
          <w:szCs w:val="24"/>
        </w:rPr>
        <w:t xml:space="preserve">, </w:t>
      </w:r>
      <w:r w:rsidRPr="00550E98">
        <w:rPr>
          <w:rFonts w:ascii="Book Antiqua" w:hAnsi="Book Antiqua"/>
          <w:bCs/>
          <w:szCs w:val="24"/>
        </w:rPr>
        <w:t>firing</w:t>
      </w:r>
      <w:r w:rsidRPr="00550E98" w:rsidR="00737CE1">
        <w:rPr>
          <w:rFonts w:ascii="Book Antiqua" w:hAnsi="Book Antiqua"/>
          <w:bCs/>
          <w:szCs w:val="24"/>
        </w:rPr>
        <w:t xml:space="preserve">, </w:t>
      </w:r>
      <w:r w:rsidRPr="00550E98">
        <w:rPr>
          <w:rFonts w:ascii="Book Antiqua" w:hAnsi="Book Antiqua"/>
          <w:bCs/>
          <w:szCs w:val="24"/>
        </w:rPr>
        <w:t>marketing</w:t>
      </w:r>
      <w:r w:rsidRPr="00550E98" w:rsidR="00737CE1">
        <w:rPr>
          <w:rFonts w:ascii="Book Antiqua" w:hAnsi="Book Antiqua"/>
          <w:bCs/>
          <w:szCs w:val="24"/>
        </w:rPr>
        <w:t xml:space="preserve">, </w:t>
      </w:r>
      <w:r w:rsidRPr="00550E98">
        <w:rPr>
          <w:rFonts w:ascii="Book Antiqua" w:hAnsi="Book Antiqua"/>
          <w:bCs/>
          <w:szCs w:val="24"/>
        </w:rPr>
        <w:t xml:space="preserve">sales, </w:t>
      </w:r>
      <w:r w:rsidRPr="00550E98" w:rsidR="00737CE1">
        <w:rPr>
          <w:rFonts w:ascii="Book Antiqua" w:hAnsi="Book Antiqua"/>
          <w:bCs/>
          <w:szCs w:val="24"/>
        </w:rPr>
        <w:t xml:space="preserve">and </w:t>
      </w:r>
      <w:r w:rsidRPr="00550E98">
        <w:rPr>
          <w:rFonts w:ascii="Book Antiqua" w:hAnsi="Book Antiqua"/>
          <w:bCs/>
          <w:szCs w:val="24"/>
        </w:rPr>
        <w:t>equipment purchasing.</w:t>
      </w:r>
      <w:r w:rsidRPr="00550E98">
        <w:rPr>
          <w:rStyle w:val="FootnoteReference"/>
          <w:rFonts w:ascii="Book Antiqua" w:hAnsi="Book Antiqua"/>
          <w:bCs/>
          <w:szCs w:val="24"/>
        </w:rPr>
        <w:footnoteReference w:id="21"/>
      </w:r>
      <w:r w:rsidRPr="00550E98">
        <w:rPr>
          <w:rFonts w:ascii="Book Antiqua" w:hAnsi="Book Antiqua"/>
          <w:bCs/>
          <w:szCs w:val="24"/>
        </w:rPr>
        <w:t xml:space="preserve"> </w:t>
      </w:r>
      <w:bookmarkEnd w:id="8"/>
    </w:p>
    <w:p w:rsidRPr="00550E98" w:rsidR="00F73889" w:rsidP="00F73889" w:rsidRDefault="00F73889" w14:paraId="63776CE0" w14:textId="77777777">
      <w:pPr>
        <w:rPr>
          <w:rFonts w:ascii="Book Antiqua" w:hAnsi="Book Antiqua"/>
          <w:bCs/>
          <w:szCs w:val="24"/>
        </w:rPr>
      </w:pPr>
    </w:p>
    <w:p w:rsidRPr="00550E98" w:rsidR="00F73889" w:rsidP="00F73889" w:rsidRDefault="00F73889" w14:paraId="7798A962" w14:textId="77777777">
      <w:pPr>
        <w:rPr>
          <w:rFonts w:ascii="Book Antiqua" w:hAnsi="Book Antiqua"/>
          <w:bCs/>
          <w:szCs w:val="24"/>
        </w:rPr>
      </w:pPr>
      <w:r w:rsidRPr="00550E98">
        <w:rPr>
          <w:rFonts w:ascii="Book Antiqua" w:hAnsi="Book Antiqua"/>
          <w:bCs/>
          <w:szCs w:val="24"/>
        </w:rPr>
        <w:t>Taylor Kayse makes</w:t>
      </w:r>
      <w:r w:rsidRPr="00550E98" w:rsidR="00737CE1">
        <w:rPr>
          <w:rFonts w:ascii="Book Antiqua" w:hAnsi="Book Antiqua"/>
          <w:bCs/>
          <w:szCs w:val="24"/>
        </w:rPr>
        <w:t xml:space="preserve"> the</w:t>
      </w:r>
      <w:r w:rsidRPr="00550E98">
        <w:rPr>
          <w:rFonts w:ascii="Book Antiqua" w:hAnsi="Book Antiqua"/>
          <w:bCs/>
          <w:szCs w:val="24"/>
        </w:rPr>
        <w:t xml:space="preserve"> final decisions at Gekko Engineering.</w:t>
      </w:r>
      <w:r w:rsidRPr="00550E98">
        <w:rPr>
          <w:rStyle w:val="FootnoteReference"/>
          <w:rFonts w:ascii="Book Antiqua" w:hAnsi="Book Antiqua"/>
          <w:bCs/>
          <w:szCs w:val="24"/>
        </w:rPr>
        <w:footnoteReference w:id="22"/>
      </w:r>
      <w:r w:rsidRPr="00550E98" w:rsidR="007F2803">
        <w:rPr>
          <w:rFonts w:ascii="Book Antiqua" w:hAnsi="Book Antiqua"/>
          <w:bCs/>
          <w:szCs w:val="24"/>
        </w:rPr>
        <w:t xml:space="preserve">  </w:t>
      </w:r>
      <w:r w:rsidRPr="00550E98">
        <w:rPr>
          <w:rFonts w:ascii="Book Antiqua" w:hAnsi="Book Antiqua"/>
          <w:bCs/>
          <w:szCs w:val="24"/>
        </w:rPr>
        <w:t>Prior to becoming President and Chief Executive Officer, Ms. Kayse held the position of Chief</w:t>
      </w:r>
      <w:r w:rsidRPr="00550E98" w:rsidR="00500520">
        <w:rPr>
          <w:rFonts w:ascii="Book Antiqua" w:hAnsi="Book Antiqua"/>
          <w:bCs/>
          <w:szCs w:val="24"/>
        </w:rPr>
        <w:t> </w:t>
      </w:r>
      <w:r w:rsidRPr="00550E98">
        <w:rPr>
          <w:rFonts w:ascii="Book Antiqua" w:hAnsi="Book Antiqua"/>
          <w:bCs/>
          <w:szCs w:val="24"/>
        </w:rPr>
        <w:t>Financial</w:t>
      </w:r>
      <w:r w:rsidRPr="00550E98" w:rsidR="00500520">
        <w:rPr>
          <w:rFonts w:ascii="Book Antiqua" w:hAnsi="Book Antiqua"/>
          <w:bCs/>
          <w:szCs w:val="24"/>
        </w:rPr>
        <w:t> </w:t>
      </w:r>
      <w:r w:rsidRPr="00550E98">
        <w:rPr>
          <w:rFonts w:ascii="Book Antiqua" w:hAnsi="Book Antiqua"/>
          <w:bCs/>
          <w:szCs w:val="24"/>
        </w:rPr>
        <w:t>Officer for four years.</w:t>
      </w:r>
      <w:r w:rsidRPr="00550E98">
        <w:rPr>
          <w:rStyle w:val="FootnoteReference"/>
          <w:rFonts w:ascii="Book Antiqua" w:hAnsi="Book Antiqua"/>
          <w:bCs/>
          <w:szCs w:val="24"/>
        </w:rPr>
        <w:footnoteReference w:id="23"/>
      </w:r>
      <w:r w:rsidRPr="00550E98">
        <w:rPr>
          <w:rFonts w:ascii="Book Antiqua" w:hAnsi="Book Antiqua"/>
        </w:rPr>
        <w:t xml:space="preserve"> </w:t>
      </w:r>
      <w:r w:rsidRPr="00550E98" w:rsidR="007F2803">
        <w:rPr>
          <w:rFonts w:ascii="Book Antiqua" w:hAnsi="Book Antiqua"/>
        </w:rPr>
        <w:t xml:space="preserve"> </w:t>
      </w:r>
      <w:r w:rsidRPr="00550E98">
        <w:rPr>
          <w:rFonts w:ascii="Book Antiqua" w:hAnsi="Book Antiqua"/>
          <w:bCs/>
          <w:szCs w:val="24"/>
        </w:rPr>
        <w:t>Taylor Kayse is not a licensed engineer.</w:t>
      </w:r>
    </w:p>
    <w:p w:rsidRPr="00550E98" w:rsidR="008F0D2E" w:rsidP="008F0D2E" w:rsidRDefault="008F0D2E" w14:paraId="36A716E7" w14:textId="77777777">
      <w:pPr>
        <w:rPr>
          <w:rFonts w:ascii="Book Antiqua" w:hAnsi="Book Antiqua"/>
          <w:b/>
          <w:bCs/>
          <w:u w:val="single"/>
        </w:rPr>
      </w:pPr>
      <w:bookmarkStart w:name="_Hlk84339542" w:id="10"/>
    </w:p>
    <w:p w:rsidRPr="00550E98" w:rsidR="008F0D2E" w:rsidP="008F0D2E" w:rsidRDefault="008F0D2E" w14:paraId="432670F6" w14:textId="77777777">
      <w:pPr>
        <w:rPr>
          <w:rFonts w:ascii="Book Antiqua" w:hAnsi="Book Antiqua"/>
          <w:b/>
          <w:bCs/>
          <w:u w:val="single"/>
        </w:rPr>
      </w:pPr>
      <w:r w:rsidRPr="00550E98">
        <w:rPr>
          <w:rFonts w:ascii="Book Antiqua" w:hAnsi="Book Antiqua"/>
          <w:b/>
          <w:bCs/>
          <w:u w:val="single"/>
        </w:rPr>
        <w:t>APPLICABLE LAW</w:t>
      </w:r>
    </w:p>
    <w:p w:rsidRPr="00550E98" w:rsidR="008F0D2E" w:rsidP="008F0D2E" w:rsidRDefault="008F0D2E" w14:paraId="34C86D6D" w14:textId="77777777">
      <w:pPr>
        <w:rPr>
          <w:rFonts w:ascii="Book Antiqua" w:hAnsi="Book Antiqua"/>
          <w:b/>
          <w:bCs/>
        </w:rPr>
      </w:pPr>
    </w:p>
    <w:p w:rsidRPr="00550E98" w:rsidR="008F0D2E" w:rsidP="008F0D2E" w:rsidRDefault="008F0D2E" w14:paraId="081AC332" w14:textId="77777777">
      <w:pPr>
        <w:rPr>
          <w:rFonts w:ascii="Book Antiqua" w:hAnsi="Book Antiqua"/>
        </w:rPr>
      </w:pPr>
      <w:r w:rsidRPr="00550E98">
        <w:rPr>
          <w:rFonts w:ascii="Book Antiqua" w:hAnsi="Book Antiqua"/>
        </w:rPr>
        <w:t>Public Utilities Code</w:t>
      </w:r>
      <w:r w:rsidRPr="00550E98" w:rsidR="00F877F6">
        <w:rPr>
          <w:rFonts w:ascii="Book Antiqua" w:hAnsi="Book Antiqua"/>
        </w:rPr>
        <w:t xml:space="preserve"> </w:t>
      </w:r>
      <w:r w:rsidRPr="00550E98">
        <w:rPr>
          <w:rFonts w:ascii="Book Antiqua" w:hAnsi="Book Antiqua"/>
        </w:rPr>
        <w:t>§§ 8281-8286 (</w:t>
      </w:r>
      <w:r w:rsidRPr="00550E98">
        <w:rPr>
          <w:rFonts w:ascii="Book Antiqua" w:hAnsi="Book Antiqua"/>
          <w:i/>
          <w:iCs/>
          <w:lang w:val="en"/>
        </w:rPr>
        <w:t>Women, Minority, Disabled Veteran, and LGBT Business Enterprises</w:t>
      </w:r>
      <w:r w:rsidRPr="00550E98">
        <w:rPr>
          <w:rFonts w:ascii="Book Antiqua" w:hAnsi="Book Antiqua"/>
          <w:lang w:val="en"/>
        </w:rPr>
        <w:t>)</w:t>
      </w:r>
      <w:r w:rsidRPr="00550E98">
        <w:rPr>
          <w:rFonts w:ascii="Book Antiqua" w:hAnsi="Book Antiqua"/>
        </w:rPr>
        <w:t xml:space="preserve"> is well-established law and has been amended on numerous occasions.  The relevant law to this proceeding is as follows:  In 1986, the California Legislature enacted Assembly Bill 3678 (Moore, Stats. 1986, Ch. 1259) to encourage public utilities to award a proportionate share of total public utility procurement contracts to, as amended,</w:t>
      </w:r>
      <w:bookmarkStart w:name="_Hlk60046706" w:id="11"/>
      <w:r w:rsidRPr="00550E98">
        <w:rPr>
          <w:rFonts w:ascii="Book Antiqua" w:hAnsi="Book Antiqua"/>
        </w:rPr>
        <w:t xml:space="preserve"> women, minority, disabled veteran, and LGBT business enterprises</w:t>
      </w:r>
      <w:bookmarkEnd w:id="11"/>
      <w:r w:rsidRPr="00550E98">
        <w:rPr>
          <w:rFonts w:ascii="Book Antiqua" w:hAnsi="Book Antiqua"/>
        </w:rPr>
        <w:t>.</w:t>
      </w:r>
      <w:r w:rsidRPr="00550E98">
        <w:rPr>
          <w:rFonts w:ascii="Book Antiqua" w:hAnsi="Book Antiqua"/>
          <w:vertAlign w:val="superscript"/>
        </w:rPr>
        <w:footnoteReference w:id="24"/>
      </w:r>
      <w:r w:rsidRPr="00550E98">
        <w:rPr>
          <w:rFonts w:ascii="Book Antiqua" w:hAnsi="Book Antiqua"/>
        </w:rPr>
        <w:t xml:space="preserve"> </w:t>
      </w:r>
    </w:p>
    <w:p w:rsidRPr="00550E98" w:rsidR="008F0D2E" w:rsidP="008F0D2E" w:rsidRDefault="008F0D2E" w14:paraId="05BF0B6B" w14:textId="77777777">
      <w:pPr>
        <w:rPr>
          <w:rFonts w:ascii="Book Antiqua" w:hAnsi="Book Antiqua"/>
        </w:rPr>
      </w:pPr>
    </w:p>
    <w:p w:rsidRPr="00550E98" w:rsidR="008F0D2E" w:rsidP="008F0D2E" w:rsidRDefault="008F0D2E" w14:paraId="0D25A878" w14:textId="77777777">
      <w:pPr>
        <w:rPr>
          <w:rFonts w:ascii="Book Antiqua" w:hAnsi="Book Antiqua"/>
        </w:rPr>
      </w:pPr>
      <w:r w:rsidRPr="00550E98">
        <w:rPr>
          <w:rFonts w:ascii="Book Antiqua" w:hAnsi="Book Antiqua"/>
          <w:lang w:val="en"/>
        </w:rPr>
        <w:t xml:space="preserve">In defining women business enterprises, </w:t>
      </w:r>
      <w:bookmarkStart w:name="_Hlk84343292" w:id="12"/>
      <w:r w:rsidRPr="00550E98">
        <w:rPr>
          <w:rFonts w:ascii="Book Antiqua" w:hAnsi="Book Antiqua"/>
          <w:lang w:val="en"/>
        </w:rPr>
        <w:t xml:space="preserve">Pub. Util. Code § 8282 provides, in relevant part, that “‘Women business enterprise’ means a business enterprise that is at least </w:t>
      </w:r>
      <w:r w:rsidRPr="00550E98">
        <w:rPr>
          <w:rFonts w:ascii="Book Antiqua" w:hAnsi="Book Antiqua"/>
          <w:lang w:val="en"/>
        </w:rPr>
        <w:lastRenderedPageBreak/>
        <w:t>51</w:t>
      </w:r>
      <w:r w:rsidRPr="00550E98" w:rsidR="007F2803">
        <w:rPr>
          <w:rFonts w:ascii="Book Antiqua" w:hAnsi="Book Antiqua"/>
          <w:lang w:val="en"/>
        </w:rPr>
        <w:t> </w:t>
      </w:r>
      <w:r w:rsidRPr="00550E98">
        <w:rPr>
          <w:rFonts w:ascii="Book Antiqua" w:hAnsi="Book Antiqua"/>
          <w:lang w:val="en"/>
        </w:rPr>
        <w:t>percent owned by a woman or women…and whose management and daily business operations are controlled by one or more of those individuals.”</w:t>
      </w:r>
      <w:r w:rsidRPr="00550E98">
        <w:rPr>
          <w:rFonts w:ascii="Book Antiqua" w:hAnsi="Book Antiqua"/>
          <w:vertAlign w:val="superscript"/>
          <w:lang w:val="en"/>
        </w:rPr>
        <w:footnoteReference w:id="25"/>
      </w:r>
    </w:p>
    <w:p w:rsidRPr="00550E98" w:rsidR="008F0D2E" w:rsidP="008F0D2E" w:rsidRDefault="008F0D2E" w14:paraId="78BCB797" w14:textId="77777777">
      <w:pPr>
        <w:rPr>
          <w:rFonts w:ascii="Book Antiqua" w:hAnsi="Book Antiqua"/>
        </w:rPr>
      </w:pPr>
    </w:p>
    <w:p w:rsidRPr="00550E98" w:rsidR="008F0D2E" w:rsidP="008F0D2E" w:rsidRDefault="008F0D2E" w14:paraId="7ADC1E4D" w14:textId="77777777">
      <w:pPr>
        <w:rPr>
          <w:rFonts w:ascii="Book Antiqua" w:hAnsi="Book Antiqua"/>
        </w:rPr>
      </w:pPr>
      <w:r w:rsidRPr="00550E98">
        <w:rPr>
          <w:rFonts w:ascii="Book Antiqua" w:hAnsi="Book Antiqua"/>
        </w:rPr>
        <w:t xml:space="preserve">The Commission implemented Pub. Util. Code § 8282 in </w:t>
      </w:r>
      <w:r w:rsidRPr="00550E98" w:rsidR="007370C2">
        <w:rPr>
          <w:rFonts w:ascii="Book Antiqua" w:hAnsi="Book Antiqua"/>
        </w:rPr>
        <w:t>GO</w:t>
      </w:r>
      <w:r w:rsidRPr="00550E98">
        <w:rPr>
          <w:rFonts w:ascii="Book Antiqua" w:hAnsi="Book Antiqua"/>
        </w:rPr>
        <w:t xml:space="preserve"> 156, Section</w:t>
      </w:r>
      <w:r w:rsidRPr="00550E98" w:rsidR="007F2803">
        <w:rPr>
          <w:rFonts w:ascii="Book Antiqua" w:hAnsi="Book Antiqua"/>
        </w:rPr>
        <w:t> </w:t>
      </w:r>
      <w:r w:rsidRPr="00550E98">
        <w:rPr>
          <w:rFonts w:ascii="Book Antiqua" w:hAnsi="Book Antiqua"/>
        </w:rPr>
        <w:t>1.3.2</w:t>
      </w:r>
      <w:r w:rsidRPr="00550E98" w:rsidR="00F877F6">
        <w:rPr>
          <w:rFonts w:ascii="Book Antiqua" w:hAnsi="Book Antiqua"/>
        </w:rPr>
        <w:t>.</w:t>
      </w:r>
      <w:r w:rsidRPr="00550E98">
        <w:rPr>
          <w:rFonts w:ascii="Book Antiqua" w:hAnsi="Book Antiqua"/>
        </w:rPr>
        <w:t>, adopting the same language as the statute and providing, in relevant part, that " ‘Women-owned business’ means (1) a business enterprise …that is at least 51</w:t>
      </w:r>
      <w:r w:rsidRPr="00550E98" w:rsidR="007F2803">
        <w:rPr>
          <w:rFonts w:ascii="Book Antiqua" w:hAnsi="Book Antiqua"/>
        </w:rPr>
        <w:t> percent</w:t>
      </w:r>
      <w:r w:rsidRPr="00550E98">
        <w:rPr>
          <w:rFonts w:ascii="Book Antiqua" w:hAnsi="Book Antiqua"/>
        </w:rPr>
        <w:t xml:space="preserve"> owned by a woman or women… (2) whose management and daily business operations are controlled by one or more of those individuals.”</w:t>
      </w:r>
      <w:r w:rsidRPr="00550E98">
        <w:rPr>
          <w:rFonts w:ascii="Book Antiqua" w:hAnsi="Book Antiqua"/>
          <w:vertAlign w:val="superscript"/>
        </w:rPr>
        <w:footnoteReference w:id="26"/>
      </w:r>
    </w:p>
    <w:bookmarkEnd w:id="12"/>
    <w:p w:rsidRPr="00550E98" w:rsidR="008F0D2E" w:rsidP="008F0D2E" w:rsidRDefault="008F0D2E" w14:paraId="69837950" w14:textId="77777777">
      <w:pPr>
        <w:rPr>
          <w:rFonts w:ascii="Book Antiqua" w:hAnsi="Book Antiqua"/>
        </w:rPr>
      </w:pPr>
    </w:p>
    <w:p w:rsidRPr="00550E98" w:rsidR="008F0D2E" w:rsidP="008F0D2E" w:rsidRDefault="008F0D2E" w14:paraId="73D1F050" w14:textId="77777777">
      <w:pPr>
        <w:rPr>
          <w:rFonts w:ascii="Book Antiqua" w:hAnsi="Book Antiqua"/>
        </w:rPr>
      </w:pPr>
      <w:r w:rsidRPr="00550E98">
        <w:rPr>
          <w:rFonts w:ascii="Book Antiqua" w:hAnsi="Book Antiqua"/>
        </w:rPr>
        <w:t>The word “control,” as used above, is defined in Pub. Util. Code § 8282(a) and Section</w:t>
      </w:r>
      <w:r w:rsidRPr="00550E98" w:rsidR="00500520">
        <w:rPr>
          <w:rFonts w:ascii="Book Antiqua" w:hAnsi="Book Antiqua"/>
        </w:rPr>
        <w:t> </w:t>
      </w:r>
      <w:r w:rsidRPr="00550E98">
        <w:rPr>
          <w:rFonts w:ascii="Book Antiqua" w:hAnsi="Book Antiqua"/>
        </w:rPr>
        <w:t xml:space="preserve">1.3.14. of </w:t>
      </w:r>
      <w:r w:rsidRPr="00550E98" w:rsidR="007370C2">
        <w:rPr>
          <w:rFonts w:ascii="Book Antiqua" w:hAnsi="Book Antiqua"/>
        </w:rPr>
        <w:t>GO</w:t>
      </w:r>
      <w:r w:rsidRPr="00550E98">
        <w:rPr>
          <w:rFonts w:ascii="Book Antiqua" w:hAnsi="Book Antiqua"/>
        </w:rPr>
        <w:t xml:space="preserve"> 156 as “exercising the power to make policy decisions.”</w:t>
      </w:r>
      <w:r w:rsidRPr="00550E98" w:rsidR="005B09E4">
        <w:rPr>
          <w:rFonts w:ascii="Book Antiqua" w:hAnsi="Book Antiqua"/>
        </w:rPr>
        <w:t xml:space="preserve">  </w:t>
      </w:r>
      <w:r w:rsidRPr="00550E98">
        <w:rPr>
          <w:rFonts w:ascii="Book Antiqua" w:hAnsi="Book Antiqua"/>
        </w:rPr>
        <w:t xml:space="preserve">Pub. Util. Code § 8282(e) and Section 1.3.15. of </w:t>
      </w:r>
      <w:r w:rsidRPr="00550E98" w:rsidR="007370C2">
        <w:rPr>
          <w:rFonts w:ascii="Book Antiqua" w:hAnsi="Book Antiqua"/>
        </w:rPr>
        <w:t>GO</w:t>
      </w:r>
      <w:r w:rsidRPr="00550E98">
        <w:rPr>
          <w:rFonts w:ascii="Book Antiqua" w:hAnsi="Book Antiqua"/>
        </w:rPr>
        <w:t xml:space="preserve"> 156 include a definition of the word “operate” but th</w:t>
      </w:r>
      <w:r w:rsidRPr="00550E98" w:rsidR="006E5258">
        <w:rPr>
          <w:rFonts w:ascii="Book Antiqua" w:hAnsi="Book Antiqua"/>
        </w:rPr>
        <w:t>is</w:t>
      </w:r>
      <w:r w:rsidRPr="00550E98">
        <w:rPr>
          <w:rFonts w:ascii="Book Antiqua" w:hAnsi="Book Antiqua"/>
        </w:rPr>
        <w:t xml:space="preserve"> term is not used elsewhere in the statute or </w:t>
      </w:r>
      <w:r w:rsidRPr="00550E98" w:rsidR="007370C2">
        <w:rPr>
          <w:rFonts w:ascii="Book Antiqua" w:hAnsi="Book Antiqua"/>
        </w:rPr>
        <w:t>GO</w:t>
      </w:r>
      <w:r w:rsidRPr="00550E98" w:rsidR="00500520">
        <w:rPr>
          <w:rFonts w:ascii="Book Antiqua" w:hAnsi="Book Antiqua"/>
        </w:rPr>
        <w:t> </w:t>
      </w:r>
      <w:r w:rsidRPr="00550E98">
        <w:rPr>
          <w:rFonts w:ascii="Book Antiqua" w:hAnsi="Book Antiqua"/>
        </w:rPr>
        <w:t>156.</w:t>
      </w:r>
    </w:p>
    <w:p w:rsidRPr="00550E98" w:rsidR="008F0D2E" w:rsidP="008F0D2E" w:rsidRDefault="008F0D2E" w14:paraId="57FD2FBC" w14:textId="77777777">
      <w:pPr>
        <w:rPr>
          <w:rFonts w:ascii="Book Antiqua" w:hAnsi="Book Antiqua"/>
        </w:rPr>
      </w:pPr>
    </w:p>
    <w:p w:rsidRPr="00550E98" w:rsidR="008F0D2E" w:rsidP="008F0D2E" w:rsidRDefault="008F0D2E" w14:paraId="271D371C" w14:textId="77777777">
      <w:pPr>
        <w:rPr>
          <w:rFonts w:ascii="Book Antiqua" w:hAnsi="Book Antiqua"/>
        </w:rPr>
      </w:pPr>
      <w:r w:rsidRPr="00550E98">
        <w:rPr>
          <w:rFonts w:ascii="Book Antiqua" w:hAnsi="Book Antiqua"/>
        </w:rPr>
        <w:t>Pub. Util. Code § 8285 provides for penalties and imprisonment for falsely representing that a business is a Women Business Enterprise, stating, in relevant part, that any business which “</w:t>
      </w:r>
      <w:r w:rsidRPr="00550E98">
        <w:rPr>
          <w:rFonts w:ascii="Book Antiqua" w:hAnsi="Book Antiqua"/>
          <w:lang w:val="en"/>
        </w:rPr>
        <w:t>falsely represents a business as a women …business enterprise in the procurement of, or the attempt to procure, contracts from [certain public utilities] …shall be punished by a fine of not more than five thousand dollars ($5,000), by imprisonment in a county jail for not more than one year or in the state prison, or by both that fine and imprisonment.”</w:t>
      </w:r>
      <w:r w:rsidRPr="00550E98">
        <w:rPr>
          <w:rFonts w:ascii="Book Antiqua" w:hAnsi="Book Antiqua"/>
          <w:vertAlign w:val="superscript"/>
          <w:lang w:val="en"/>
        </w:rPr>
        <w:footnoteReference w:id="27"/>
      </w:r>
    </w:p>
    <w:p w:rsidRPr="00550E98" w:rsidR="008F0D2E" w:rsidP="008F0D2E" w:rsidRDefault="008F0D2E" w14:paraId="26D7F1A8" w14:textId="77777777">
      <w:pPr>
        <w:rPr>
          <w:rFonts w:ascii="Book Antiqua" w:hAnsi="Book Antiqua"/>
        </w:rPr>
      </w:pPr>
    </w:p>
    <w:p w:rsidRPr="00550E98" w:rsidR="008F0D2E" w:rsidP="008F0D2E" w:rsidRDefault="008F0D2E" w14:paraId="455E949F" w14:textId="0D896A9D">
      <w:pPr>
        <w:rPr>
          <w:rFonts w:ascii="Book Antiqua" w:hAnsi="Book Antiqua"/>
        </w:rPr>
      </w:pPr>
      <w:r w:rsidRPr="00550E98">
        <w:rPr>
          <w:rFonts w:ascii="Book Antiqua" w:hAnsi="Book Antiqua"/>
        </w:rPr>
        <w:t xml:space="preserve">Section 2.7. of </w:t>
      </w:r>
      <w:r w:rsidRPr="00550E98" w:rsidR="007370C2">
        <w:rPr>
          <w:rFonts w:ascii="Book Antiqua" w:hAnsi="Book Antiqua"/>
        </w:rPr>
        <w:t>GO</w:t>
      </w:r>
      <w:r w:rsidRPr="00550E98">
        <w:rPr>
          <w:rFonts w:ascii="Book Antiqua" w:hAnsi="Book Antiqua"/>
        </w:rPr>
        <w:t xml:space="preserve"> 156 provides for similar penalties, stating that “[f]alsification of information on the verification form is subject to the penalties provided by Public</w:t>
      </w:r>
      <w:r w:rsidR="00DC5D66">
        <w:rPr>
          <w:rFonts w:ascii="Book Antiqua" w:hAnsi="Book Antiqua"/>
        </w:rPr>
        <w:t> </w:t>
      </w:r>
      <w:r w:rsidRPr="00550E98">
        <w:rPr>
          <w:rFonts w:ascii="Book Antiqua" w:hAnsi="Book Antiqua"/>
        </w:rPr>
        <w:t xml:space="preserve">Utilities Code section 8285.” </w:t>
      </w:r>
    </w:p>
    <w:p w:rsidRPr="00550E98" w:rsidR="00F877F6" w:rsidP="008F0D2E" w:rsidRDefault="00F877F6" w14:paraId="58786264" w14:textId="77777777">
      <w:pPr>
        <w:rPr>
          <w:rFonts w:ascii="Book Antiqua" w:hAnsi="Book Antiqua"/>
        </w:rPr>
      </w:pPr>
    </w:p>
    <w:p w:rsidRPr="00550E98" w:rsidR="00F877F6" w:rsidP="008F0D2E" w:rsidRDefault="00F877F6" w14:paraId="1D636CDF" w14:textId="77777777">
      <w:pPr>
        <w:rPr>
          <w:rFonts w:ascii="Book Antiqua" w:hAnsi="Book Antiqua"/>
          <w:bCs/>
        </w:rPr>
      </w:pPr>
      <w:r w:rsidRPr="00550E98">
        <w:rPr>
          <w:rFonts w:ascii="Book Antiqua" w:hAnsi="Book Antiqua"/>
          <w:bCs/>
        </w:rPr>
        <w:t>The Supplier Clearinghouse has developed a document that appears to memorialize certain standards it relies upon to evaluate applications, referred to as Clearinghouse guidelines.</w:t>
      </w:r>
      <w:r w:rsidRPr="00550E98">
        <w:rPr>
          <w:rFonts w:ascii="Book Antiqua" w:hAnsi="Book Antiqua"/>
          <w:bCs/>
          <w:vertAlign w:val="superscript"/>
        </w:rPr>
        <w:footnoteReference w:id="28"/>
      </w:r>
      <w:r w:rsidRPr="00550E98">
        <w:rPr>
          <w:rFonts w:ascii="Book Antiqua" w:hAnsi="Book Antiqua"/>
          <w:bCs/>
        </w:rPr>
        <w:t xml:space="preserve"> </w:t>
      </w:r>
      <w:r w:rsidRPr="00550E98" w:rsidR="007F2803">
        <w:rPr>
          <w:rFonts w:ascii="Book Antiqua" w:hAnsi="Book Antiqua"/>
          <w:bCs/>
        </w:rPr>
        <w:t xml:space="preserve"> </w:t>
      </w:r>
      <w:r w:rsidRPr="00550E98">
        <w:rPr>
          <w:rFonts w:ascii="Book Antiqua" w:hAnsi="Book Antiqua"/>
          <w:bCs/>
        </w:rPr>
        <w:t>There is no record of Ms. Kayse having been provided with these guidelines.</w:t>
      </w:r>
      <w:r w:rsidRPr="00550E98">
        <w:rPr>
          <w:rFonts w:ascii="Book Antiqua" w:hAnsi="Book Antiqua"/>
          <w:bCs/>
          <w:vertAlign w:val="superscript"/>
        </w:rPr>
        <w:footnoteReference w:id="29"/>
      </w:r>
    </w:p>
    <w:p w:rsidRPr="00550E98" w:rsidR="008F0D2E" w:rsidP="008F0D2E" w:rsidRDefault="008F0D2E" w14:paraId="0A5478FD" w14:textId="77777777">
      <w:pPr>
        <w:rPr>
          <w:rFonts w:ascii="Book Antiqua" w:hAnsi="Book Antiqua"/>
          <w:b/>
          <w:bCs/>
          <w:u w:val="single"/>
        </w:rPr>
      </w:pPr>
    </w:p>
    <w:p w:rsidRPr="00550E98" w:rsidR="008F0D2E" w:rsidP="008F0D2E" w:rsidRDefault="008F0D2E" w14:paraId="65B22A72" w14:textId="77777777">
      <w:pPr>
        <w:rPr>
          <w:rFonts w:ascii="Book Antiqua" w:hAnsi="Book Antiqua"/>
          <w:b/>
          <w:bCs/>
          <w:u w:val="single"/>
        </w:rPr>
      </w:pPr>
      <w:r w:rsidRPr="00550E98">
        <w:rPr>
          <w:rFonts w:ascii="Book Antiqua" w:hAnsi="Book Antiqua"/>
          <w:b/>
          <w:bCs/>
          <w:u w:val="single"/>
        </w:rPr>
        <w:t>RESOLUTION OF APPEAL</w:t>
      </w:r>
    </w:p>
    <w:p w:rsidRPr="00550E98" w:rsidR="008F0D2E" w:rsidP="00A3456C" w:rsidRDefault="008F0D2E" w14:paraId="7F133B84" w14:textId="77777777">
      <w:pPr>
        <w:rPr>
          <w:rFonts w:ascii="Book Antiqua" w:hAnsi="Book Antiqua"/>
          <w:bCs/>
        </w:rPr>
      </w:pPr>
    </w:p>
    <w:p w:rsidRPr="00550E98" w:rsidR="00A3456C" w:rsidP="002F012C" w:rsidRDefault="00A3456C" w14:paraId="1FDF2A92" w14:textId="77777777">
      <w:pPr>
        <w:pStyle w:val="Heading2"/>
        <w:numPr>
          <w:ilvl w:val="0"/>
          <w:numId w:val="13"/>
        </w:numPr>
        <w:spacing w:before="0" w:after="0"/>
        <w:rPr>
          <w:sz w:val="24"/>
          <w:szCs w:val="24"/>
        </w:rPr>
      </w:pPr>
      <w:r w:rsidRPr="00550E98">
        <w:rPr>
          <w:sz w:val="24"/>
          <w:szCs w:val="24"/>
        </w:rPr>
        <w:t>Taylor Kayse, a woman, owns and controls Gekko Engineering as Women</w:t>
      </w:r>
      <w:r w:rsidRPr="00550E98" w:rsidR="002F012C">
        <w:rPr>
          <w:sz w:val="24"/>
          <w:szCs w:val="24"/>
        </w:rPr>
        <w:t> </w:t>
      </w:r>
      <w:r w:rsidRPr="00550E98">
        <w:rPr>
          <w:sz w:val="24"/>
          <w:szCs w:val="24"/>
        </w:rPr>
        <w:t xml:space="preserve">Business Enterprise under Pub. Util. Code § 8282 and </w:t>
      </w:r>
      <w:r w:rsidRPr="00550E98" w:rsidR="007370C2">
        <w:rPr>
          <w:sz w:val="24"/>
          <w:szCs w:val="24"/>
        </w:rPr>
        <w:t>GO</w:t>
      </w:r>
      <w:r w:rsidRPr="00550E98" w:rsidR="005B09E4">
        <w:rPr>
          <w:sz w:val="24"/>
          <w:szCs w:val="24"/>
        </w:rPr>
        <w:t> </w:t>
      </w:r>
      <w:r w:rsidRPr="00550E98">
        <w:rPr>
          <w:sz w:val="24"/>
          <w:szCs w:val="24"/>
        </w:rPr>
        <w:t>156, Section</w:t>
      </w:r>
      <w:r w:rsidRPr="00550E98" w:rsidR="007370C2">
        <w:rPr>
          <w:sz w:val="24"/>
          <w:szCs w:val="24"/>
        </w:rPr>
        <w:t> </w:t>
      </w:r>
      <w:r w:rsidRPr="00550E98">
        <w:rPr>
          <w:sz w:val="24"/>
          <w:szCs w:val="24"/>
        </w:rPr>
        <w:t>1.3.2.</w:t>
      </w:r>
    </w:p>
    <w:p w:rsidRPr="00550E98" w:rsidR="00A3456C" w:rsidP="00A3456C" w:rsidRDefault="00A3456C" w14:paraId="4F70E101" w14:textId="77777777">
      <w:pPr>
        <w:rPr>
          <w:rFonts w:ascii="Book Antiqua" w:hAnsi="Book Antiqua"/>
        </w:rPr>
      </w:pPr>
    </w:p>
    <w:p w:rsidRPr="00550E98" w:rsidR="00A3456C" w:rsidP="00A3456C" w:rsidRDefault="00A3456C" w14:paraId="3874C585" w14:textId="77777777">
      <w:pPr>
        <w:rPr>
          <w:rFonts w:ascii="Book Antiqua" w:hAnsi="Book Antiqua"/>
        </w:rPr>
      </w:pPr>
      <w:r w:rsidRPr="00550E98">
        <w:rPr>
          <w:rFonts w:ascii="Book Antiqua" w:hAnsi="Book Antiqua"/>
        </w:rPr>
        <w:t xml:space="preserve">Based on the above, the statutory provisions and </w:t>
      </w:r>
      <w:r w:rsidRPr="00550E98" w:rsidR="007370C2">
        <w:rPr>
          <w:rFonts w:ascii="Book Antiqua" w:hAnsi="Book Antiqua"/>
        </w:rPr>
        <w:t>GO</w:t>
      </w:r>
      <w:r w:rsidRPr="00550E98">
        <w:rPr>
          <w:rFonts w:ascii="Book Antiqua" w:hAnsi="Book Antiqua"/>
        </w:rPr>
        <w:t xml:space="preserve"> 156 set forth two</w:t>
      </w:r>
      <w:r w:rsidRPr="00550E98" w:rsidR="00AA090B">
        <w:rPr>
          <w:rFonts w:ascii="Book Antiqua" w:hAnsi="Book Antiqua"/>
        </w:rPr>
        <w:t xml:space="preserve"> basic requirements</w:t>
      </w:r>
      <w:r w:rsidRPr="00550E98">
        <w:rPr>
          <w:rFonts w:ascii="Book Antiqua" w:hAnsi="Book Antiqua"/>
        </w:rPr>
        <w:t xml:space="preserve"> to establish Gekko Engineering as a Women Business Enterprise.  Gekko</w:t>
      </w:r>
      <w:r w:rsidRPr="00550E98" w:rsidR="007F2803">
        <w:rPr>
          <w:rFonts w:ascii="Book Antiqua" w:hAnsi="Book Antiqua"/>
        </w:rPr>
        <w:t> </w:t>
      </w:r>
      <w:r w:rsidRPr="00550E98">
        <w:rPr>
          <w:rFonts w:ascii="Book Antiqua" w:hAnsi="Book Antiqua"/>
        </w:rPr>
        <w:t>Engineering must demonstrate that Taylor Kayse, a woman</w:t>
      </w:r>
      <w:bookmarkStart w:name="_Hlk84507551" w:id="13"/>
      <w:r w:rsidRPr="00550E98">
        <w:rPr>
          <w:rFonts w:ascii="Book Antiqua" w:hAnsi="Book Antiqua"/>
        </w:rPr>
        <w:t xml:space="preserve">, controls the “management and daily business operations,” including exercising the power </w:t>
      </w:r>
      <w:r w:rsidRPr="00550E98" w:rsidR="00031A21">
        <w:rPr>
          <w:rFonts w:ascii="Book Antiqua" w:hAnsi="Book Antiqua"/>
        </w:rPr>
        <w:t xml:space="preserve">to </w:t>
      </w:r>
      <w:r w:rsidRPr="00550E98">
        <w:rPr>
          <w:rFonts w:ascii="Book Antiqua" w:hAnsi="Book Antiqua"/>
        </w:rPr>
        <w:t>make policy decisions for Gekko Engineering.</w:t>
      </w:r>
      <w:bookmarkEnd w:id="13"/>
      <w:r w:rsidRPr="00550E98" w:rsidR="007F2803">
        <w:rPr>
          <w:rFonts w:ascii="Book Antiqua" w:hAnsi="Book Antiqua"/>
        </w:rPr>
        <w:t xml:space="preserve">  </w:t>
      </w:r>
      <w:r w:rsidRPr="00550E98">
        <w:rPr>
          <w:rFonts w:ascii="Book Antiqua" w:hAnsi="Book Antiqua"/>
        </w:rPr>
        <w:t xml:space="preserve">Gekko Engineering must also demonstrate that Taylor Kayse, a woman, owns at least 51% of Gekko Engineering.  </w:t>
      </w:r>
    </w:p>
    <w:p w:rsidRPr="00550E98" w:rsidR="00A3456C" w:rsidP="00A3456C" w:rsidRDefault="00A3456C" w14:paraId="72CA5734" w14:textId="77777777">
      <w:pPr>
        <w:rPr>
          <w:rFonts w:ascii="Book Antiqua" w:hAnsi="Book Antiqua"/>
        </w:rPr>
      </w:pPr>
    </w:p>
    <w:bookmarkEnd w:id="10"/>
    <w:p w:rsidRPr="00550E98" w:rsidR="00816CAB" w:rsidP="00A3456C" w:rsidRDefault="00A3456C" w14:paraId="57806890" w14:textId="77777777">
      <w:pPr>
        <w:autoSpaceDE w:val="0"/>
        <w:autoSpaceDN w:val="0"/>
        <w:adjustRightInd w:val="0"/>
        <w:rPr>
          <w:rFonts w:ascii="Book Antiqua" w:hAnsi="Book Antiqua"/>
          <w:szCs w:val="24"/>
        </w:rPr>
      </w:pPr>
      <w:r w:rsidRPr="00550E98">
        <w:rPr>
          <w:rFonts w:ascii="Book Antiqua" w:hAnsi="Book Antiqua"/>
          <w:szCs w:val="24"/>
        </w:rPr>
        <w:t>First, the explanation of the stock ownership in the January 20, 2021 Application of Gekko</w:t>
      </w:r>
      <w:r w:rsidRPr="00550E98" w:rsidR="00221260">
        <w:rPr>
          <w:rFonts w:ascii="Book Antiqua" w:hAnsi="Book Antiqua"/>
          <w:szCs w:val="24"/>
        </w:rPr>
        <w:t> </w:t>
      </w:r>
      <w:r w:rsidRPr="00550E98">
        <w:rPr>
          <w:rFonts w:ascii="Book Antiqua" w:hAnsi="Book Antiqua"/>
          <w:szCs w:val="24"/>
        </w:rPr>
        <w:t xml:space="preserve">Engineering indicates that Taylor Kayse, a woman, owns 7000 shares, at least 51% of the 10,000 total shares of Gekko Engineering. </w:t>
      </w:r>
      <w:r w:rsidRPr="00550E98" w:rsidR="00031A21">
        <w:rPr>
          <w:rFonts w:ascii="Book Antiqua" w:hAnsi="Book Antiqua"/>
          <w:szCs w:val="24"/>
        </w:rPr>
        <w:t xml:space="preserve"> </w:t>
      </w:r>
    </w:p>
    <w:p w:rsidRPr="00550E98" w:rsidR="00816CAB" w:rsidP="00A3456C" w:rsidRDefault="00816CAB" w14:paraId="7438541F" w14:textId="77777777">
      <w:pPr>
        <w:autoSpaceDE w:val="0"/>
        <w:autoSpaceDN w:val="0"/>
        <w:adjustRightInd w:val="0"/>
        <w:rPr>
          <w:rFonts w:ascii="Book Antiqua" w:hAnsi="Book Antiqua"/>
          <w:szCs w:val="24"/>
        </w:rPr>
      </w:pPr>
    </w:p>
    <w:p w:rsidRPr="00550E98" w:rsidR="00A3456C" w:rsidP="00A3456C" w:rsidRDefault="00A3456C" w14:paraId="3000141C" w14:textId="77777777">
      <w:pPr>
        <w:autoSpaceDE w:val="0"/>
        <w:autoSpaceDN w:val="0"/>
        <w:adjustRightInd w:val="0"/>
        <w:rPr>
          <w:rFonts w:ascii="Book Antiqua" w:hAnsi="Book Antiqua"/>
          <w:szCs w:val="24"/>
        </w:rPr>
      </w:pPr>
      <w:r w:rsidRPr="00550E98">
        <w:rPr>
          <w:rFonts w:ascii="Book Antiqua" w:hAnsi="Book Antiqua"/>
          <w:szCs w:val="24"/>
        </w:rPr>
        <w:t xml:space="preserve">Second, the January 20, 2021 Application, supporting documents, and the evidence provided at the August 23, 2021 evidentiary hearing, most notably </w:t>
      </w:r>
      <w:r w:rsidRPr="00550E98" w:rsidR="006E6D2D">
        <w:rPr>
          <w:rFonts w:ascii="Book Antiqua" w:hAnsi="Book Antiqua"/>
          <w:szCs w:val="24"/>
        </w:rPr>
        <w:t xml:space="preserve">that </w:t>
      </w:r>
      <w:r w:rsidRPr="00550E98">
        <w:rPr>
          <w:rFonts w:ascii="Book Antiqua" w:hAnsi="Book Antiqua"/>
          <w:szCs w:val="24"/>
        </w:rPr>
        <w:t xml:space="preserve">the </w:t>
      </w:r>
      <w:r w:rsidRPr="00550E98" w:rsidR="006E6D2D">
        <w:rPr>
          <w:rFonts w:ascii="Book Antiqua" w:hAnsi="Book Antiqua"/>
          <w:szCs w:val="24"/>
        </w:rPr>
        <w:t xml:space="preserve">parties both agree </w:t>
      </w:r>
      <w:r w:rsidRPr="00550E98">
        <w:rPr>
          <w:rFonts w:ascii="Book Antiqua" w:hAnsi="Book Antiqua"/>
          <w:szCs w:val="24"/>
        </w:rPr>
        <w:t xml:space="preserve">that Taylor Kayse, a woman, is </w:t>
      </w:r>
      <w:r w:rsidRPr="00550E98">
        <w:rPr>
          <w:rFonts w:ascii="Book Antiqua" w:hAnsi="Book Antiqua"/>
          <w:bCs/>
          <w:szCs w:val="24"/>
        </w:rPr>
        <w:t>President and Chief Executive Officer and is responsible for the general supervision, direction, and control of the business and affairs of Gekko Engineering.</w:t>
      </w:r>
      <w:r w:rsidRPr="00550E98">
        <w:rPr>
          <w:rFonts w:ascii="Book Antiqua" w:hAnsi="Book Antiqua"/>
          <w:bCs/>
          <w:szCs w:val="24"/>
          <w:vertAlign w:val="superscript"/>
        </w:rPr>
        <w:footnoteReference w:id="30"/>
      </w:r>
      <w:r w:rsidRPr="00550E98">
        <w:rPr>
          <w:rFonts w:ascii="Book Antiqua" w:hAnsi="Book Antiqua"/>
          <w:bCs/>
          <w:szCs w:val="24"/>
        </w:rPr>
        <w:t xml:space="preserve">  Taylor Kayse is further responsible for the day-to-day management and policy decision of Gekko Engineering in the following areas: finance, management, hiring/firing/marketing/sales, equipment purchasing.</w:t>
      </w:r>
      <w:r w:rsidRPr="00550E98">
        <w:rPr>
          <w:rFonts w:ascii="Book Antiqua" w:hAnsi="Book Antiqua"/>
          <w:bCs/>
          <w:szCs w:val="24"/>
          <w:vertAlign w:val="superscript"/>
        </w:rPr>
        <w:footnoteReference w:id="31"/>
      </w:r>
      <w:r w:rsidRPr="00550E98">
        <w:rPr>
          <w:rFonts w:ascii="Book Antiqua" w:hAnsi="Book Antiqua"/>
          <w:bCs/>
          <w:szCs w:val="24"/>
        </w:rPr>
        <w:t xml:space="preserve"> </w:t>
      </w:r>
      <w:r w:rsidRPr="00550E98" w:rsidR="00031A21">
        <w:rPr>
          <w:rFonts w:ascii="Book Antiqua" w:hAnsi="Book Antiqua"/>
          <w:bCs/>
          <w:szCs w:val="24"/>
        </w:rPr>
        <w:t xml:space="preserve"> </w:t>
      </w:r>
      <w:r w:rsidRPr="00550E98">
        <w:rPr>
          <w:rFonts w:ascii="Book Antiqua" w:hAnsi="Book Antiqua"/>
          <w:bCs/>
          <w:szCs w:val="24"/>
        </w:rPr>
        <w:t xml:space="preserve">These findings </w:t>
      </w:r>
      <w:r w:rsidRPr="00550E98">
        <w:rPr>
          <w:rFonts w:ascii="Book Antiqua" w:hAnsi="Book Antiqua"/>
          <w:szCs w:val="24"/>
        </w:rPr>
        <w:t xml:space="preserve">establish that Taylor Kayse controls the “management and daily business operations,” including exercising the power the make policy decisions for Gekko Engineering. </w:t>
      </w:r>
    </w:p>
    <w:p w:rsidRPr="00550E98" w:rsidR="00A3456C" w:rsidP="00A3456C" w:rsidRDefault="00A3456C" w14:paraId="0E1050EA" w14:textId="77777777">
      <w:pPr>
        <w:autoSpaceDE w:val="0"/>
        <w:autoSpaceDN w:val="0"/>
        <w:adjustRightInd w:val="0"/>
        <w:rPr>
          <w:rFonts w:ascii="Book Antiqua" w:hAnsi="Book Antiqua"/>
          <w:szCs w:val="24"/>
        </w:rPr>
      </w:pPr>
    </w:p>
    <w:p w:rsidRPr="00550E98" w:rsidR="00A3456C" w:rsidP="00A3456C" w:rsidRDefault="00A3456C" w14:paraId="22FCD336" w14:textId="77777777">
      <w:pPr>
        <w:keepNext/>
        <w:keepLines/>
        <w:autoSpaceDE w:val="0"/>
        <w:autoSpaceDN w:val="0"/>
        <w:adjustRightInd w:val="0"/>
        <w:rPr>
          <w:rFonts w:ascii="Book Antiqua" w:hAnsi="Book Antiqua"/>
          <w:szCs w:val="24"/>
        </w:rPr>
      </w:pPr>
      <w:r w:rsidRPr="00550E98">
        <w:rPr>
          <w:rFonts w:ascii="Book Antiqua" w:hAnsi="Book Antiqua"/>
          <w:szCs w:val="24"/>
        </w:rPr>
        <w:t xml:space="preserve">For these reasons, the Commission finds that Gekko Engineering is a Women Business Enterprise under Pub. Util. Code § 8282 in </w:t>
      </w:r>
      <w:r w:rsidRPr="00550E98" w:rsidR="007370C2">
        <w:rPr>
          <w:rFonts w:ascii="Book Antiqua" w:hAnsi="Book Antiqua"/>
          <w:szCs w:val="24"/>
        </w:rPr>
        <w:t>GO</w:t>
      </w:r>
      <w:r w:rsidRPr="00550E98">
        <w:rPr>
          <w:rFonts w:ascii="Book Antiqua" w:hAnsi="Book Antiqua"/>
          <w:szCs w:val="24"/>
        </w:rPr>
        <w:t xml:space="preserve"> 156, Section 1.3.2.  Gekko</w:t>
      </w:r>
      <w:r w:rsidRPr="00550E98" w:rsidR="007F2803">
        <w:rPr>
          <w:rFonts w:ascii="Book Antiqua" w:hAnsi="Book Antiqua"/>
          <w:szCs w:val="24"/>
        </w:rPr>
        <w:t> </w:t>
      </w:r>
      <w:r w:rsidRPr="00550E98">
        <w:rPr>
          <w:rFonts w:ascii="Book Antiqua" w:hAnsi="Book Antiqua"/>
          <w:szCs w:val="24"/>
        </w:rPr>
        <w:t xml:space="preserve">Engineering is a Women Business Enterprise under Pub. Util. Code §§ </w:t>
      </w:r>
      <w:bookmarkStart w:name="_Hlk84508023" w:id="14"/>
      <w:r w:rsidRPr="00550E98">
        <w:rPr>
          <w:rFonts w:ascii="Book Antiqua" w:hAnsi="Book Antiqua"/>
          <w:szCs w:val="24"/>
        </w:rPr>
        <w:t xml:space="preserve">8281-8286 </w:t>
      </w:r>
      <w:bookmarkEnd w:id="14"/>
      <w:r w:rsidRPr="00550E98">
        <w:rPr>
          <w:rFonts w:ascii="Book Antiqua" w:hAnsi="Book Antiqua"/>
          <w:szCs w:val="24"/>
        </w:rPr>
        <w:t xml:space="preserve">and </w:t>
      </w:r>
      <w:r w:rsidRPr="00550E98" w:rsidR="007370C2">
        <w:rPr>
          <w:rFonts w:ascii="Book Antiqua" w:hAnsi="Book Antiqua"/>
          <w:szCs w:val="24"/>
        </w:rPr>
        <w:t>GO</w:t>
      </w:r>
      <w:r w:rsidRPr="00550E98">
        <w:rPr>
          <w:rFonts w:ascii="Book Antiqua" w:hAnsi="Book Antiqua"/>
          <w:szCs w:val="24"/>
        </w:rPr>
        <w:t xml:space="preserve"> 156.  The Commission directs Supplier Clearinghouse to immediately certify Gekko Engineering as a Women Business Enterprise under Pub. Util. Code §§ 8281-8286 and </w:t>
      </w:r>
      <w:r w:rsidRPr="00550E98" w:rsidR="007370C2">
        <w:rPr>
          <w:rFonts w:ascii="Book Antiqua" w:hAnsi="Book Antiqua"/>
          <w:szCs w:val="24"/>
        </w:rPr>
        <w:t>GO</w:t>
      </w:r>
      <w:r w:rsidRPr="00550E98">
        <w:rPr>
          <w:rFonts w:ascii="Book Antiqua" w:hAnsi="Book Antiqua"/>
          <w:szCs w:val="24"/>
        </w:rPr>
        <w:t xml:space="preserve"> 156. </w:t>
      </w:r>
    </w:p>
    <w:p w:rsidRPr="00550E98" w:rsidR="00FA266C" w:rsidP="00FA266C" w:rsidRDefault="00FA266C" w14:paraId="583F8CEB" w14:textId="77777777">
      <w:pPr>
        <w:rPr>
          <w:rFonts w:ascii="Book Antiqua" w:hAnsi="Book Antiqua"/>
        </w:rPr>
      </w:pPr>
    </w:p>
    <w:p w:rsidRPr="00550E98" w:rsidR="00FA266C" w:rsidP="007370C2" w:rsidRDefault="00FA266C" w14:paraId="190DE618" w14:textId="77777777">
      <w:pPr>
        <w:pStyle w:val="Heading2"/>
        <w:keepNext/>
        <w:keepLines/>
        <w:numPr>
          <w:ilvl w:val="0"/>
          <w:numId w:val="13"/>
        </w:numPr>
        <w:spacing w:before="0" w:after="240"/>
        <w:rPr>
          <w:sz w:val="24"/>
          <w:szCs w:val="24"/>
        </w:rPr>
      </w:pPr>
      <w:r w:rsidRPr="00550E98">
        <w:rPr>
          <w:sz w:val="24"/>
          <w:szCs w:val="24"/>
        </w:rPr>
        <w:lastRenderedPageBreak/>
        <w:t>Motion for Leave to File Under Seal by Supplier Clearinghouse is Granted</w:t>
      </w:r>
    </w:p>
    <w:p w:rsidRPr="00550E98" w:rsidR="00FA266C" w:rsidP="002F012C" w:rsidRDefault="00FA266C" w14:paraId="4540EE93" w14:textId="625380AB">
      <w:pPr>
        <w:keepNext/>
        <w:keepLines/>
        <w:rPr>
          <w:rFonts w:ascii="Book Antiqua" w:hAnsi="Book Antiqua"/>
        </w:rPr>
      </w:pPr>
      <w:r w:rsidRPr="00550E98">
        <w:rPr>
          <w:rFonts w:ascii="Book Antiqua" w:hAnsi="Book Antiqua"/>
        </w:rPr>
        <w:t xml:space="preserve">Resolution ALJ-377 (April </w:t>
      </w:r>
      <w:r w:rsidRPr="00550E98" w:rsidR="00B2383D">
        <w:rPr>
          <w:rFonts w:ascii="Book Antiqua" w:hAnsi="Book Antiqua"/>
        </w:rPr>
        <w:t>28</w:t>
      </w:r>
      <w:r w:rsidRPr="00550E98">
        <w:rPr>
          <w:rFonts w:ascii="Book Antiqua" w:hAnsi="Book Antiqua"/>
        </w:rPr>
        <w:t>, 2020) requires the Supplier Clearinghouse to file a Compliance Filing within 14 days of a Notice of Appeal.</w:t>
      </w:r>
      <w:r w:rsidRPr="00550E98">
        <w:rPr>
          <w:rFonts w:ascii="Book Antiqua" w:hAnsi="Book Antiqua"/>
          <w:vertAlign w:val="superscript"/>
        </w:rPr>
        <w:footnoteReference w:id="32"/>
      </w:r>
      <w:r w:rsidRPr="00550E98">
        <w:rPr>
          <w:rFonts w:ascii="Book Antiqua" w:hAnsi="Book Antiqua"/>
        </w:rPr>
        <w:t xml:space="preserve">  This Compliance Filing </w:t>
      </w:r>
      <w:r w:rsidRPr="00550E98" w:rsidR="00816CAB">
        <w:rPr>
          <w:rFonts w:ascii="Book Antiqua" w:hAnsi="Book Antiqua"/>
        </w:rPr>
        <w:t xml:space="preserve">must </w:t>
      </w:r>
      <w:r w:rsidRPr="00550E98">
        <w:rPr>
          <w:rFonts w:ascii="Book Antiqua" w:hAnsi="Book Antiqua"/>
        </w:rPr>
        <w:t xml:space="preserve">include a complete copy of its determinations, including all attachments (such as the Application) subject to the Notice of Appeal.  The Compliance Filing </w:t>
      </w:r>
      <w:r w:rsidRPr="00550E98" w:rsidR="00816CAB">
        <w:rPr>
          <w:rFonts w:ascii="Book Antiqua" w:hAnsi="Book Antiqua"/>
        </w:rPr>
        <w:t xml:space="preserve">may </w:t>
      </w:r>
      <w:r w:rsidRPr="00550E98">
        <w:rPr>
          <w:rFonts w:ascii="Book Antiqua" w:hAnsi="Book Antiqua"/>
        </w:rPr>
        <w:t xml:space="preserve">contain potentially confidential and personal information of the appellant and persons associated with the appellant. </w:t>
      </w:r>
    </w:p>
    <w:p w:rsidRPr="00550E98" w:rsidR="00FA266C" w:rsidP="00FA266C" w:rsidRDefault="00FA266C" w14:paraId="670D5EA8" w14:textId="77777777">
      <w:pPr>
        <w:rPr>
          <w:rFonts w:ascii="Book Antiqua" w:hAnsi="Book Antiqua"/>
        </w:rPr>
      </w:pPr>
    </w:p>
    <w:p w:rsidRPr="00550E98" w:rsidR="00FA266C" w:rsidP="00FA266C" w:rsidRDefault="00FA266C" w14:paraId="06F54A65" w14:textId="77777777">
      <w:pPr>
        <w:rPr>
          <w:rFonts w:ascii="Book Antiqua" w:hAnsi="Book Antiqua"/>
        </w:rPr>
      </w:pPr>
      <w:r w:rsidRPr="00550E98">
        <w:rPr>
          <w:rFonts w:ascii="Book Antiqua" w:hAnsi="Book Antiqua"/>
        </w:rPr>
        <w:t xml:space="preserve">When Supplier Clearinghouse filed its Compliance Filing on July 26, 2021, it also filed a </w:t>
      </w:r>
      <w:r w:rsidRPr="00550E98">
        <w:rPr>
          <w:rFonts w:ascii="Book Antiqua" w:hAnsi="Book Antiqua"/>
          <w:i/>
          <w:iCs/>
        </w:rPr>
        <w:t>Motion for Leave to File Under Seal</w:t>
      </w:r>
      <w:r w:rsidRPr="00550E98">
        <w:rPr>
          <w:rFonts w:ascii="Book Antiqua" w:hAnsi="Book Antiqua"/>
        </w:rPr>
        <w:t xml:space="preserve"> seeking Commission permission to file the Compliance Filing, in its entirety, on a confidential basis.  Gekko Engineering supported this motion. </w:t>
      </w:r>
    </w:p>
    <w:p w:rsidRPr="00550E98" w:rsidR="00FA266C" w:rsidP="00FA266C" w:rsidRDefault="00FA266C" w14:paraId="0B33C5BC" w14:textId="77777777">
      <w:pPr>
        <w:rPr>
          <w:rFonts w:ascii="Book Antiqua" w:hAnsi="Book Antiqua"/>
        </w:rPr>
      </w:pPr>
    </w:p>
    <w:p w:rsidRPr="00550E98" w:rsidR="00FA266C" w:rsidP="00FA266C" w:rsidRDefault="00FA266C" w14:paraId="5C3563E2" w14:textId="77777777">
      <w:pPr>
        <w:rPr>
          <w:rFonts w:ascii="Book Antiqua" w:hAnsi="Book Antiqua"/>
        </w:rPr>
      </w:pPr>
      <w:r w:rsidRPr="00550E98">
        <w:rPr>
          <w:rFonts w:ascii="Book Antiqua" w:hAnsi="Book Antiqua"/>
        </w:rPr>
        <w:t>To protect the confidential and personal information in the Compliance Filing, the July</w:t>
      </w:r>
      <w:r w:rsidRPr="00550E98" w:rsidR="007F2803">
        <w:rPr>
          <w:rFonts w:ascii="Book Antiqua" w:hAnsi="Book Antiqua"/>
        </w:rPr>
        <w:t> </w:t>
      </w:r>
      <w:r w:rsidRPr="00550E98">
        <w:rPr>
          <w:rFonts w:ascii="Book Antiqua" w:hAnsi="Book Antiqua"/>
        </w:rPr>
        <w:t xml:space="preserve">26, 2021 </w:t>
      </w:r>
      <w:r w:rsidRPr="00550E98">
        <w:rPr>
          <w:rFonts w:ascii="Book Antiqua" w:hAnsi="Book Antiqua"/>
          <w:i/>
          <w:iCs/>
        </w:rPr>
        <w:t>Motion for Leave to File Under Seal</w:t>
      </w:r>
      <w:r w:rsidRPr="00550E98">
        <w:rPr>
          <w:rFonts w:ascii="Book Antiqua" w:hAnsi="Book Antiqua"/>
        </w:rPr>
        <w:t xml:space="preserve"> by the Supplier Clearinghouse is granted. </w:t>
      </w:r>
      <w:r w:rsidRPr="00550E98" w:rsidR="00AA090B">
        <w:rPr>
          <w:rFonts w:ascii="Book Antiqua" w:hAnsi="Book Antiqua"/>
        </w:rPr>
        <w:t xml:space="preserve">These documents shall remain under seal until otherwise designated by the Commission. </w:t>
      </w:r>
    </w:p>
    <w:p w:rsidRPr="00550E98" w:rsidR="00FA266C" w:rsidP="00FA266C" w:rsidRDefault="00FA266C" w14:paraId="0745C3D9" w14:textId="77777777">
      <w:pPr>
        <w:rPr>
          <w:rFonts w:ascii="Book Antiqua" w:hAnsi="Book Antiqua"/>
        </w:rPr>
      </w:pPr>
    </w:p>
    <w:p w:rsidRPr="00550E98" w:rsidR="00FA266C" w:rsidP="002F012C" w:rsidRDefault="00FA266C" w14:paraId="1A772125" w14:textId="77777777">
      <w:pPr>
        <w:pStyle w:val="Heading2"/>
        <w:numPr>
          <w:ilvl w:val="0"/>
          <w:numId w:val="13"/>
        </w:numPr>
        <w:spacing w:before="0" w:after="0"/>
        <w:rPr>
          <w:sz w:val="24"/>
          <w:szCs w:val="24"/>
        </w:rPr>
      </w:pPr>
      <w:r w:rsidRPr="00550E98">
        <w:rPr>
          <w:sz w:val="24"/>
          <w:szCs w:val="24"/>
        </w:rPr>
        <w:t xml:space="preserve">Motion to Enter </w:t>
      </w:r>
      <w:r w:rsidRPr="00550E98">
        <w:rPr>
          <w:i/>
          <w:iCs/>
          <w:sz w:val="24"/>
          <w:szCs w:val="24"/>
        </w:rPr>
        <w:t>Guidelines</w:t>
      </w:r>
      <w:r w:rsidRPr="00550E98">
        <w:rPr>
          <w:sz w:val="24"/>
          <w:szCs w:val="24"/>
        </w:rPr>
        <w:t xml:space="preserve"> in the Record by Supplier Clearinghouse is Granted, with Limitations</w:t>
      </w:r>
    </w:p>
    <w:p w:rsidRPr="00550E98" w:rsidR="00FA266C" w:rsidP="00FA266C" w:rsidRDefault="00FA266C" w14:paraId="673F3C97" w14:textId="77777777">
      <w:pPr>
        <w:rPr>
          <w:rFonts w:ascii="Book Antiqua" w:hAnsi="Book Antiqua"/>
          <w:bCs/>
        </w:rPr>
      </w:pPr>
    </w:p>
    <w:p w:rsidRPr="00550E98" w:rsidR="00FA266C" w:rsidP="00FA266C" w:rsidRDefault="00FA266C" w14:paraId="000456E2" w14:textId="77777777">
      <w:pPr>
        <w:rPr>
          <w:rFonts w:ascii="Book Antiqua" w:hAnsi="Book Antiqua"/>
          <w:bCs/>
        </w:rPr>
      </w:pPr>
      <w:r w:rsidRPr="00550E98">
        <w:rPr>
          <w:rFonts w:ascii="Book Antiqua" w:hAnsi="Book Antiqua"/>
          <w:bCs/>
        </w:rPr>
        <w:t xml:space="preserve">On September 7, 2021, Supplier Clearinghouse filed a </w:t>
      </w:r>
      <w:r w:rsidRPr="00550E98">
        <w:rPr>
          <w:rFonts w:ascii="Book Antiqua" w:hAnsi="Book Antiqua"/>
          <w:bCs/>
          <w:i/>
          <w:iCs/>
        </w:rPr>
        <w:t>Motion</w:t>
      </w:r>
      <w:r w:rsidRPr="00550E98">
        <w:rPr>
          <w:rFonts w:ascii="Book Antiqua" w:hAnsi="Book Antiqua"/>
          <w:i/>
          <w:iCs/>
        </w:rPr>
        <w:t xml:space="preserve"> t</w:t>
      </w:r>
      <w:r w:rsidRPr="00550E98">
        <w:rPr>
          <w:rFonts w:ascii="Book Antiqua" w:hAnsi="Book Antiqua"/>
          <w:bCs/>
          <w:i/>
          <w:iCs/>
        </w:rPr>
        <w:t xml:space="preserve">o Enter Supplier Clearinghouse Guidelines into Record.  </w:t>
      </w:r>
      <w:r w:rsidRPr="00550E98">
        <w:rPr>
          <w:rFonts w:ascii="Book Antiqua" w:hAnsi="Book Antiqua"/>
          <w:bCs/>
        </w:rPr>
        <w:t>These so-called guidelines were attached to the motion.  In support of its motion, Supplier Clearinghouse provides only that, “The Clearinghouse is herewith providing a copy of its eligibility standards seeking to enter into the record of this proceeding.”</w:t>
      </w:r>
      <w:r w:rsidRPr="00550E98" w:rsidR="007F2803">
        <w:rPr>
          <w:rFonts w:ascii="Book Antiqua" w:hAnsi="Book Antiqua"/>
          <w:bCs/>
        </w:rPr>
        <w:t xml:space="preserve">  </w:t>
      </w:r>
      <w:r w:rsidRPr="00550E98">
        <w:rPr>
          <w:rFonts w:ascii="Book Antiqua" w:hAnsi="Book Antiqua"/>
          <w:bCs/>
        </w:rPr>
        <w:t xml:space="preserve">On September 10, 2021, Gekko Engineering filed a response in opposition to this motion and stating, among other things, that, </w:t>
      </w:r>
    </w:p>
    <w:p w:rsidRPr="00550E98" w:rsidR="00FA266C" w:rsidP="00FA266C" w:rsidRDefault="00FA266C" w14:paraId="4185D067" w14:textId="77777777">
      <w:pPr>
        <w:rPr>
          <w:rFonts w:ascii="Book Antiqua" w:hAnsi="Book Antiqua"/>
          <w:bCs/>
        </w:rPr>
      </w:pPr>
    </w:p>
    <w:p w:rsidRPr="00550E98" w:rsidR="00FA266C" w:rsidP="00AF57A7" w:rsidRDefault="00FA266C" w14:paraId="4598D104" w14:textId="77777777">
      <w:pPr>
        <w:spacing w:after="120"/>
        <w:ind w:left="720" w:right="1440"/>
        <w:rPr>
          <w:rFonts w:ascii="Book Antiqua" w:hAnsi="Book Antiqua"/>
          <w:bCs/>
        </w:rPr>
      </w:pPr>
      <w:r w:rsidRPr="00550E98">
        <w:rPr>
          <w:rFonts w:ascii="Book Antiqua" w:hAnsi="Book Antiqua"/>
          <w:bCs/>
        </w:rPr>
        <w:t>“Neither in its motion nor during the hearing has the Supplier</w:t>
      </w:r>
      <w:r w:rsidRPr="00550E98" w:rsidR="007370C2">
        <w:rPr>
          <w:rFonts w:ascii="Book Antiqua" w:hAnsi="Book Antiqua"/>
          <w:bCs/>
        </w:rPr>
        <w:t> </w:t>
      </w:r>
      <w:r w:rsidRPr="00550E98">
        <w:rPr>
          <w:rFonts w:ascii="Book Antiqua" w:hAnsi="Book Antiqua"/>
          <w:bCs/>
        </w:rPr>
        <w:t xml:space="preserve">Clearinghouse provided any support for the legitimacy of this document. </w:t>
      </w:r>
      <w:r w:rsidRPr="00550E98" w:rsidR="007F2803">
        <w:rPr>
          <w:rFonts w:ascii="Book Antiqua" w:hAnsi="Book Antiqua"/>
          <w:bCs/>
        </w:rPr>
        <w:t xml:space="preserve"> </w:t>
      </w:r>
      <w:r w:rsidRPr="00550E98">
        <w:rPr>
          <w:rFonts w:ascii="Book Antiqua" w:hAnsi="Book Antiqua"/>
          <w:bCs/>
        </w:rPr>
        <w:t>During the hearing, it was established that this document is a compilation of text that was cut-and-pasted from pop-up windows on the Supplier Clearinghouse website…</w:t>
      </w:r>
      <w:r w:rsidRPr="00550E98" w:rsidR="007370C2">
        <w:rPr>
          <w:rFonts w:ascii="Book Antiqua" w:hAnsi="Book Antiqua"/>
          <w:bCs/>
        </w:rPr>
        <w:t xml:space="preserve"> </w:t>
      </w:r>
      <w:r w:rsidRPr="00550E98">
        <w:rPr>
          <w:rFonts w:ascii="Book Antiqua" w:hAnsi="Book Antiqua"/>
          <w:bCs/>
        </w:rPr>
        <w:t xml:space="preserve">Nowhere on the Supplier Clearinghouse’s website is this pop-up window text identified as ‘guidelines.’ </w:t>
      </w:r>
      <w:r w:rsidRPr="00550E98" w:rsidR="007F2803">
        <w:rPr>
          <w:rFonts w:ascii="Book Antiqua" w:hAnsi="Book Antiqua"/>
          <w:bCs/>
        </w:rPr>
        <w:t xml:space="preserve"> </w:t>
      </w:r>
      <w:r w:rsidRPr="00550E98">
        <w:rPr>
          <w:rFonts w:ascii="Book Antiqua" w:hAnsi="Book Antiqua"/>
          <w:bCs/>
        </w:rPr>
        <w:t xml:space="preserve">Neither in the text of these pop-up windows nor in the document that the Supplier </w:t>
      </w:r>
      <w:r w:rsidRPr="00550E98">
        <w:rPr>
          <w:rFonts w:ascii="Book Antiqua" w:hAnsi="Book Antiqua"/>
          <w:bCs/>
        </w:rPr>
        <w:lastRenderedPageBreak/>
        <w:t>Clearinghouse seeks to add to the record, is this information described as guidelines.”</w:t>
      </w:r>
      <w:r w:rsidRPr="00550E98">
        <w:rPr>
          <w:rStyle w:val="FootnoteReference"/>
          <w:rFonts w:ascii="Book Antiqua" w:hAnsi="Book Antiqua"/>
          <w:bCs/>
        </w:rPr>
        <w:footnoteReference w:id="33"/>
      </w:r>
    </w:p>
    <w:p w:rsidRPr="00550E98" w:rsidR="00FA266C" w:rsidP="00FA266C" w:rsidRDefault="00FA266C" w14:paraId="129766BD" w14:textId="77777777">
      <w:pPr>
        <w:rPr>
          <w:rFonts w:ascii="Book Antiqua" w:hAnsi="Book Antiqua"/>
          <w:bCs/>
        </w:rPr>
      </w:pPr>
      <w:r w:rsidRPr="00550E98">
        <w:rPr>
          <w:rFonts w:ascii="Book Antiqua" w:hAnsi="Book Antiqua"/>
          <w:bCs/>
        </w:rPr>
        <w:t xml:space="preserve">The Commission has not reviewed or approved these guidelines.  In addition, as pointed out by Gekko Engineering, above, the source of these guidelines is not provided.  Nevertheless, in past Resolutions reviewing denials of certifications, the Commission appears to have relied upon a document similar to these so-called guidelines now offered by the Supplier Clearinghouse to establish eligibility of businesses for certification under </w:t>
      </w:r>
      <w:r w:rsidRPr="00550E98" w:rsidR="007370C2">
        <w:rPr>
          <w:rFonts w:ascii="Book Antiqua" w:hAnsi="Book Antiqua"/>
          <w:bCs/>
        </w:rPr>
        <w:t>GO</w:t>
      </w:r>
      <w:r w:rsidRPr="00550E98">
        <w:rPr>
          <w:rFonts w:ascii="Book Antiqua" w:hAnsi="Book Antiqua"/>
          <w:bCs/>
        </w:rPr>
        <w:t xml:space="preserve"> 156.</w:t>
      </w:r>
      <w:r w:rsidRPr="00550E98">
        <w:rPr>
          <w:rStyle w:val="FootnoteReference"/>
          <w:rFonts w:ascii="Book Antiqua" w:hAnsi="Book Antiqua"/>
          <w:bCs/>
        </w:rPr>
        <w:footnoteReference w:id="34"/>
      </w:r>
      <w:r w:rsidRPr="00550E98">
        <w:rPr>
          <w:rFonts w:ascii="Book Antiqua" w:hAnsi="Book Antiqua"/>
          <w:bCs/>
        </w:rPr>
        <w:t xml:space="preserve">  We clarify now that these guidelines, to the extent they conflict with the statute or </w:t>
      </w:r>
      <w:r w:rsidRPr="00550E98" w:rsidR="007370C2">
        <w:rPr>
          <w:rFonts w:ascii="Book Antiqua" w:hAnsi="Book Antiqua"/>
          <w:bCs/>
        </w:rPr>
        <w:t>GO</w:t>
      </w:r>
      <w:r w:rsidRPr="00550E98">
        <w:rPr>
          <w:rFonts w:ascii="Book Antiqua" w:hAnsi="Book Antiqua"/>
          <w:bCs/>
        </w:rPr>
        <w:t xml:space="preserve"> 156, are not determinative of eligibility. </w:t>
      </w:r>
    </w:p>
    <w:p w:rsidRPr="00550E98" w:rsidR="00FA266C" w:rsidP="00FA266C" w:rsidRDefault="00FA266C" w14:paraId="554D23CC" w14:textId="77777777">
      <w:pPr>
        <w:rPr>
          <w:rFonts w:ascii="Book Antiqua" w:hAnsi="Book Antiqua"/>
          <w:bCs/>
        </w:rPr>
      </w:pPr>
    </w:p>
    <w:p w:rsidRPr="00550E98" w:rsidR="00FA266C" w:rsidP="00FA266C" w:rsidRDefault="00FA266C" w14:paraId="0B63195C" w14:textId="77777777">
      <w:pPr>
        <w:rPr>
          <w:rFonts w:ascii="Book Antiqua" w:hAnsi="Book Antiqua"/>
          <w:bCs/>
        </w:rPr>
      </w:pPr>
      <w:r w:rsidRPr="00550E98">
        <w:rPr>
          <w:rFonts w:ascii="Book Antiqua" w:hAnsi="Book Antiqua"/>
          <w:bCs/>
        </w:rPr>
        <w:t xml:space="preserve">With the clarification that these guidelines are not controlling, the September 7, 2021 motion by Supplier Clearinghouse is granted, and these guidelines, which are attached to the </w:t>
      </w:r>
      <w:bookmarkStart w:name="_Hlk84419053" w:id="15"/>
      <w:r w:rsidRPr="00550E98">
        <w:rPr>
          <w:rFonts w:ascii="Book Antiqua" w:hAnsi="Book Antiqua"/>
          <w:bCs/>
        </w:rPr>
        <w:t xml:space="preserve">September 7, 2021 </w:t>
      </w:r>
      <w:bookmarkEnd w:id="15"/>
      <w:r w:rsidRPr="00550E98">
        <w:rPr>
          <w:rFonts w:ascii="Book Antiqua" w:hAnsi="Book Antiqua"/>
          <w:bCs/>
        </w:rPr>
        <w:t xml:space="preserve">motion, are entered into the record for the purpose of memorializing the document.  The Notice of Appeal is reviewed and decided based on Pub. Util. Code §§ 8281-8286 and </w:t>
      </w:r>
      <w:r w:rsidRPr="00550E98" w:rsidR="007370C2">
        <w:rPr>
          <w:rFonts w:ascii="Book Antiqua" w:hAnsi="Book Antiqua"/>
          <w:bCs/>
        </w:rPr>
        <w:t>GO</w:t>
      </w:r>
      <w:r w:rsidRPr="00550E98">
        <w:rPr>
          <w:rFonts w:ascii="Book Antiqua" w:hAnsi="Book Antiqua"/>
          <w:bCs/>
        </w:rPr>
        <w:t xml:space="preserve"> 156. </w:t>
      </w:r>
    </w:p>
    <w:p w:rsidRPr="00550E98" w:rsidR="00FA266C" w:rsidP="00FA266C" w:rsidRDefault="00FA266C" w14:paraId="73D0A680" w14:textId="77777777">
      <w:pPr>
        <w:rPr>
          <w:rFonts w:ascii="Book Antiqua" w:hAnsi="Book Antiqua"/>
          <w:bCs/>
        </w:rPr>
      </w:pPr>
    </w:p>
    <w:p w:rsidRPr="00550E98" w:rsidR="00C47C2A" w:rsidRDefault="00C47C2A" w14:paraId="269072AA" w14:textId="77777777">
      <w:pPr>
        <w:rPr>
          <w:rFonts w:ascii="Book Antiqua" w:hAnsi="Book Antiqua"/>
          <w:b/>
          <w:u w:val="single"/>
        </w:rPr>
      </w:pPr>
      <w:r w:rsidRPr="00550E98">
        <w:rPr>
          <w:rFonts w:ascii="Book Antiqua" w:hAnsi="Book Antiqua"/>
          <w:b/>
          <w:u w:val="single"/>
        </w:rPr>
        <w:t>COMMENTS</w:t>
      </w:r>
    </w:p>
    <w:p w:rsidRPr="00550E98" w:rsidR="00A3456C" w:rsidP="00A3456C" w:rsidRDefault="00A3456C" w14:paraId="0E8BA878" w14:textId="77777777">
      <w:pPr>
        <w:rPr>
          <w:rFonts w:ascii="Book Antiqua" w:hAnsi="Book Antiqua"/>
        </w:rPr>
      </w:pPr>
    </w:p>
    <w:p w:rsidRPr="00550E98" w:rsidR="00C47C2A" w:rsidP="00A3456C" w:rsidRDefault="00A3456C" w14:paraId="1ECACCBA" w14:textId="1E000307">
      <w:pPr>
        <w:spacing w:after="240"/>
        <w:rPr>
          <w:rFonts w:ascii="Book Antiqua" w:hAnsi="Book Antiqua"/>
          <w:szCs w:val="24"/>
        </w:rPr>
      </w:pPr>
      <w:r w:rsidRPr="00550E98">
        <w:rPr>
          <w:rFonts w:ascii="Book Antiqua" w:hAnsi="Book Antiqua"/>
          <w:szCs w:val="24"/>
        </w:rPr>
        <w:t>Pub. Util. Code</w:t>
      </w:r>
      <w:bookmarkStart w:name="_Hlk46735593" w:id="16"/>
      <w:r w:rsidRPr="00550E98">
        <w:rPr>
          <w:rFonts w:ascii="Book Antiqua" w:hAnsi="Book Antiqua"/>
          <w:szCs w:val="24"/>
        </w:rPr>
        <w:t xml:space="preserve"> § </w:t>
      </w:r>
      <w:bookmarkEnd w:id="16"/>
      <w:r w:rsidRPr="00550E98">
        <w:rPr>
          <w:rFonts w:ascii="Book Antiqua" w:hAnsi="Book Antiqua"/>
          <w:szCs w:val="24"/>
        </w:rPr>
        <w:t xml:space="preserve">311(g)(1) requires that a draft resolution be served on all parties and be subject to a public review and comment period of 30 days or more, prior to a vote of the Commission on the resolution.  A </w:t>
      </w:r>
      <w:r w:rsidRPr="00550E98" w:rsidR="00213FDC">
        <w:rPr>
          <w:rFonts w:ascii="Book Antiqua" w:hAnsi="Book Antiqua"/>
          <w:szCs w:val="24"/>
        </w:rPr>
        <w:t>copy</w:t>
      </w:r>
      <w:r w:rsidRPr="00550E98">
        <w:rPr>
          <w:rFonts w:ascii="Book Antiqua" w:hAnsi="Book Antiqua"/>
          <w:szCs w:val="24"/>
        </w:rPr>
        <w:t xml:space="preserve"> of today’s </w:t>
      </w:r>
      <w:r w:rsidRPr="00550E98" w:rsidR="00213FDC">
        <w:rPr>
          <w:rFonts w:ascii="Book Antiqua" w:hAnsi="Book Antiqua"/>
          <w:szCs w:val="24"/>
        </w:rPr>
        <w:t>draft R</w:t>
      </w:r>
      <w:r w:rsidRPr="00550E98">
        <w:rPr>
          <w:rFonts w:ascii="Book Antiqua" w:hAnsi="Book Antiqua"/>
          <w:szCs w:val="24"/>
        </w:rPr>
        <w:t xml:space="preserve">esolution was distributed for comment to the </w:t>
      </w:r>
      <w:r w:rsidRPr="00550E98" w:rsidR="00213FDC">
        <w:rPr>
          <w:rFonts w:ascii="Book Antiqua" w:hAnsi="Book Antiqua"/>
          <w:szCs w:val="24"/>
        </w:rPr>
        <w:t>service list.</w:t>
      </w:r>
      <w:r w:rsidRPr="00550E98">
        <w:rPr>
          <w:rFonts w:ascii="Book Antiqua" w:hAnsi="Book Antiqua"/>
          <w:szCs w:val="24"/>
        </w:rPr>
        <w:t xml:space="preserve">.  </w:t>
      </w:r>
    </w:p>
    <w:p w:rsidRPr="00550E98" w:rsidR="006E6D2D" w:rsidP="006E6D2D" w:rsidRDefault="006E6D2D" w14:paraId="651CB9D5" w14:textId="77777777">
      <w:pPr>
        <w:spacing w:after="240"/>
        <w:rPr>
          <w:rFonts w:ascii="Book Antiqua" w:hAnsi="Book Antiqua"/>
          <w:szCs w:val="24"/>
        </w:rPr>
      </w:pPr>
      <w:r w:rsidRPr="00550E98">
        <w:rPr>
          <w:rFonts w:ascii="Book Antiqua" w:hAnsi="Book Antiqua"/>
          <w:szCs w:val="24"/>
        </w:rPr>
        <w:t xml:space="preserve">Pursuant to Rule 14.5, comments on this draft </w:t>
      </w:r>
      <w:r w:rsidRPr="00550E98" w:rsidR="00374774">
        <w:rPr>
          <w:rFonts w:ascii="Book Antiqua" w:hAnsi="Book Antiqua"/>
          <w:szCs w:val="24"/>
        </w:rPr>
        <w:t>R</w:t>
      </w:r>
      <w:r w:rsidRPr="00550E98">
        <w:rPr>
          <w:rFonts w:ascii="Book Antiqua" w:hAnsi="Book Antiqua"/>
          <w:szCs w:val="24"/>
        </w:rPr>
        <w:t xml:space="preserve">esolution are due within 20 days of the date notice this draft </w:t>
      </w:r>
      <w:r w:rsidRPr="00550E98" w:rsidR="00374774">
        <w:rPr>
          <w:rFonts w:ascii="Book Antiqua" w:hAnsi="Book Antiqua"/>
          <w:szCs w:val="24"/>
        </w:rPr>
        <w:t>R</w:t>
      </w:r>
      <w:r w:rsidRPr="00550E98">
        <w:rPr>
          <w:rFonts w:ascii="Book Antiqua" w:hAnsi="Book Antiqua"/>
          <w:szCs w:val="24"/>
        </w:rPr>
        <w:t>esolution was posted in the Commission’s Daily Calendar.</w:t>
      </w:r>
      <w:r w:rsidRPr="00550E98">
        <w:rPr>
          <w:rFonts w:ascii="Book Antiqua" w:hAnsi="Book Antiqua"/>
          <w:szCs w:val="24"/>
          <w:vertAlign w:val="superscript"/>
        </w:rPr>
        <w:footnoteReference w:id="35"/>
      </w:r>
      <w:r w:rsidRPr="00550E98">
        <w:rPr>
          <w:rFonts w:ascii="Book Antiqua" w:hAnsi="Book Antiqua"/>
          <w:szCs w:val="24"/>
        </w:rPr>
        <w:t xml:space="preserve"> </w:t>
      </w:r>
    </w:p>
    <w:p w:rsidRPr="00550E98" w:rsidR="006E6D2D" w:rsidP="00401D27" w:rsidRDefault="00AA090B" w14:paraId="1A121E69" w14:textId="77777777">
      <w:pPr>
        <w:rPr>
          <w:rFonts w:ascii="Book Antiqua" w:hAnsi="Book Antiqua"/>
          <w:szCs w:val="24"/>
        </w:rPr>
      </w:pPr>
      <w:r w:rsidRPr="00550E98">
        <w:rPr>
          <w:rFonts w:ascii="Book Antiqua" w:hAnsi="Book Antiqua"/>
          <w:szCs w:val="24"/>
        </w:rPr>
        <w:t xml:space="preserve">Parties </w:t>
      </w:r>
      <w:r w:rsidRPr="00550E98" w:rsidR="006E6D2D">
        <w:rPr>
          <w:rFonts w:ascii="Book Antiqua" w:hAnsi="Book Antiqua"/>
          <w:szCs w:val="24"/>
        </w:rPr>
        <w:t>are directed to file and serve their comments regarding th</w:t>
      </w:r>
      <w:r w:rsidRPr="00550E98" w:rsidR="00514676">
        <w:rPr>
          <w:rFonts w:ascii="Book Antiqua" w:hAnsi="Book Antiqua"/>
          <w:szCs w:val="24"/>
        </w:rPr>
        <w:t xml:space="preserve">e draft </w:t>
      </w:r>
      <w:r w:rsidRPr="00550E98" w:rsidR="00374774">
        <w:rPr>
          <w:rFonts w:ascii="Book Antiqua" w:hAnsi="Book Antiqua"/>
          <w:szCs w:val="24"/>
        </w:rPr>
        <w:t>R</w:t>
      </w:r>
      <w:r w:rsidRPr="00550E98" w:rsidR="00514676">
        <w:rPr>
          <w:rFonts w:ascii="Book Antiqua" w:hAnsi="Book Antiqua"/>
          <w:szCs w:val="24"/>
        </w:rPr>
        <w:t>esolution</w:t>
      </w:r>
      <w:r w:rsidRPr="00550E98" w:rsidR="006E6D2D">
        <w:rPr>
          <w:rFonts w:ascii="Book Antiqua" w:hAnsi="Book Antiqua"/>
          <w:szCs w:val="24"/>
        </w:rPr>
        <w:t xml:space="preserve"> on the service list for this proceeding.</w:t>
      </w:r>
    </w:p>
    <w:p w:rsidRPr="00550E98" w:rsidR="002C2E4F" w:rsidRDefault="002C2E4F" w14:paraId="4425698D" w14:textId="77777777">
      <w:pPr>
        <w:keepNext/>
        <w:rPr>
          <w:rFonts w:ascii="Book Antiqua" w:hAnsi="Book Antiqua"/>
          <w:b/>
          <w:u w:val="single"/>
        </w:rPr>
      </w:pPr>
    </w:p>
    <w:p w:rsidRPr="00550E98" w:rsidR="00C47C2A" w:rsidRDefault="00C47C2A" w14:paraId="6A4F2408" w14:textId="77777777">
      <w:pPr>
        <w:keepNext/>
        <w:rPr>
          <w:rFonts w:ascii="Book Antiqua" w:hAnsi="Book Antiqua"/>
          <w:b/>
          <w:u w:val="single"/>
        </w:rPr>
      </w:pPr>
      <w:r w:rsidRPr="00550E98">
        <w:rPr>
          <w:rFonts w:ascii="Book Antiqua" w:hAnsi="Book Antiqua"/>
          <w:b/>
          <w:u w:val="single"/>
        </w:rPr>
        <w:t>FINDINGS</w:t>
      </w:r>
      <w:r w:rsidRPr="00550E98" w:rsidR="0013688B">
        <w:rPr>
          <w:rFonts w:ascii="Book Antiqua" w:hAnsi="Book Antiqua"/>
          <w:b/>
          <w:u w:val="single"/>
        </w:rPr>
        <w:t xml:space="preserve"> AND CONCLUSIONS</w:t>
      </w:r>
    </w:p>
    <w:p w:rsidRPr="00550E98" w:rsidR="00C47C2A" w:rsidRDefault="00C47C2A" w14:paraId="792630A0" w14:textId="77777777">
      <w:pPr>
        <w:keepNext/>
        <w:rPr>
          <w:rFonts w:ascii="Book Antiqua" w:hAnsi="Book Antiqua"/>
        </w:rPr>
      </w:pPr>
    </w:p>
    <w:p w:rsidRPr="00550E98" w:rsidR="002C2E4F" w:rsidP="002C2E4F" w:rsidRDefault="002C2E4F" w14:paraId="492475A4" w14:textId="77777777">
      <w:pPr>
        <w:pStyle w:val="ListParagraph"/>
        <w:keepNext/>
        <w:keepLines/>
        <w:numPr>
          <w:ilvl w:val="0"/>
          <w:numId w:val="6"/>
        </w:numPr>
        <w:autoSpaceDE w:val="0"/>
        <w:autoSpaceDN w:val="0"/>
        <w:adjustRightInd w:val="0"/>
        <w:rPr>
          <w:rFonts w:ascii="Book Antiqua" w:hAnsi="Book Antiqua"/>
          <w:szCs w:val="24"/>
        </w:rPr>
      </w:pPr>
      <w:r w:rsidRPr="00550E98">
        <w:rPr>
          <w:rFonts w:ascii="Book Antiqua" w:hAnsi="Book Antiqua"/>
          <w:szCs w:val="24"/>
        </w:rPr>
        <w:t>Taylor Kayse, a woman, controls the “management and daily business operations,” including exercising the power the make policy decisions for Gekko</w:t>
      </w:r>
      <w:r w:rsidRPr="00550E98" w:rsidR="00221260">
        <w:rPr>
          <w:rFonts w:ascii="Book Antiqua" w:hAnsi="Book Antiqua"/>
          <w:szCs w:val="24"/>
        </w:rPr>
        <w:t> </w:t>
      </w:r>
      <w:r w:rsidRPr="00550E98">
        <w:rPr>
          <w:rFonts w:ascii="Book Antiqua" w:hAnsi="Book Antiqua"/>
          <w:szCs w:val="24"/>
        </w:rPr>
        <w:t xml:space="preserve">Engineering. </w:t>
      </w:r>
    </w:p>
    <w:p w:rsidRPr="00550E98" w:rsidR="002C2E4F" w:rsidP="002C2E4F" w:rsidRDefault="002C2E4F" w14:paraId="16C1F6D0" w14:textId="77777777">
      <w:pPr>
        <w:pStyle w:val="ListParagraph"/>
        <w:keepNext/>
        <w:keepLines/>
        <w:autoSpaceDE w:val="0"/>
        <w:autoSpaceDN w:val="0"/>
        <w:adjustRightInd w:val="0"/>
        <w:rPr>
          <w:rFonts w:ascii="Book Antiqua" w:hAnsi="Book Antiqua"/>
          <w:szCs w:val="24"/>
        </w:rPr>
      </w:pPr>
    </w:p>
    <w:p w:rsidRPr="00550E98" w:rsidR="002C2E4F" w:rsidP="002C2E4F" w:rsidRDefault="002C2E4F" w14:paraId="2A26420F" w14:textId="52807CDD">
      <w:pPr>
        <w:pStyle w:val="ListParagraph"/>
        <w:keepNext/>
        <w:keepLines/>
        <w:numPr>
          <w:ilvl w:val="0"/>
          <w:numId w:val="6"/>
        </w:numPr>
        <w:autoSpaceDE w:val="0"/>
        <w:autoSpaceDN w:val="0"/>
        <w:adjustRightInd w:val="0"/>
        <w:rPr>
          <w:rFonts w:ascii="Book Antiqua" w:hAnsi="Book Antiqua"/>
          <w:szCs w:val="24"/>
        </w:rPr>
      </w:pPr>
      <w:r w:rsidRPr="00550E98">
        <w:rPr>
          <w:rFonts w:ascii="Book Antiqua" w:hAnsi="Book Antiqua"/>
          <w:szCs w:val="24"/>
        </w:rPr>
        <w:t>Taylor Kayse, a woman, owns at least 51% of Gekko Engineering</w:t>
      </w:r>
      <w:r w:rsidRPr="00550E98" w:rsidR="003D6F06">
        <w:rPr>
          <w:rFonts w:ascii="Book Antiqua" w:hAnsi="Book Antiqua"/>
          <w:szCs w:val="24"/>
        </w:rPr>
        <w:t xml:space="preserve"> shares</w:t>
      </w:r>
      <w:r w:rsidRPr="00550E98">
        <w:rPr>
          <w:rFonts w:ascii="Book Antiqua" w:hAnsi="Book Antiqua"/>
          <w:szCs w:val="24"/>
        </w:rPr>
        <w:t xml:space="preserve">.  </w:t>
      </w:r>
    </w:p>
    <w:p w:rsidRPr="00550E98" w:rsidR="002C2E4F" w:rsidP="00212755" w:rsidRDefault="002C2E4F" w14:paraId="18C111A4" w14:textId="77777777">
      <w:pPr>
        <w:ind w:left="720"/>
        <w:rPr>
          <w:rFonts w:ascii="Book Antiqua" w:hAnsi="Book Antiqua"/>
          <w:szCs w:val="24"/>
        </w:rPr>
      </w:pPr>
    </w:p>
    <w:p w:rsidRPr="00550E98" w:rsidR="002C2E4F" w:rsidP="002C2E4F" w:rsidRDefault="002C2E4F" w14:paraId="41CE9266" w14:textId="77777777">
      <w:pPr>
        <w:numPr>
          <w:ilvl w:val="0"/>
          <w:numId w:val="6"/>
        </w:numPr>
        <w:spacing w:after="120"/>
        <w:rPr>
          <w:rFonts w:ascii="Book Antiqua" w:hAnsi="Book Antiqua"/>
          <w:szCs w:val="24"/>
        </w:rPr>
      </w:pPr>
      <w:r w:rsidRPr="00550E98">
        <w:rPr>
          <w:rFonts w:ascii="Book Antiqua" w:hAnsi="Book Antiqua"/>
          <w:szCs w:val="24"/>
        </w:rPr>
        <w:t>Taylor Kayse, a woman, owns and controls Gekko Engineering under Pub.</w:t>
      </w:r>
      <w:r w:rsidRPr="00550E98" w:rsidR="00D85A3D">
        <w:rPr>
          <w:rFonts w:ascii="Book Antiqua" w:hAnsi="Book Antiqua"/>
          <w:szCs w:val="24"/>
        </w:rPr>
        <w:t> </w:t>
      </w:r>
      <w:r w:rsidRPr="00550E98">
        <w:rPr>
          <w:rFonts w:ascii="Book Antiqua" w:hAnsi="Book Antiqua"/>
          <w:szCs w:val="24"/>
        </w:rPr>
        <w:t xml:space="preserve">Util. Code §§ 8281-8286 and </w:t>
      </w:r>
      <w:r w:rsidRPr="00550E98" w:rsidR="007370C2">
        <w:rPr>
          <w:rFonts w:ascii="Book Antiqua" w:hAnsi="Book Antiqua"/>
          <w:szCs w:val="24"/>
        </w:rPr>
        <w:t>GO</w:t>
      </w:r>
      <w:r w:rsidRPr="00550E98">
        <w:rPr>
          <w:rFonts w:ascii="Book Antiqua" w:hAnsi="Book Antiqua"/>
          <w:szCs w:val="24"/>
        </w:rPr>
        <w:t xml:space="preserve"> 156.</w:t>
      </w:r>
    </w:p>
    <w:p w:rsidRPr="00550E98" w:rsidR="002C2E4F" w:rsidP="002C2E4F" w:rsidRDefault="002C2E4F" w14:paraId="2CD33A62" w14:textId="77777777">
      <w:pPr>
        <w:numPr>
          <w:ilvl w:val="0"/>
          <w:numId w:val="6"/>
        </w:numPr>
        <w:spacing w:after="120"/>
        <w:rPr>
          <w:rFonts w:ascii="Book Antiqua" w:hAnsi="Book Antiqua"/>
          <w:szCs w:val="24"/>
        </w:rPr>
      </w:pPr>
      <w:r w:rsidRPr="00550E98">
        <w:rPr>
          <w:rFonts w:ascii="Book Antiqua" w:hAnsi="Book Antiqua"/>
          <w:szCs w:val="24"/>
        </w:rPr>
        <w:t xml:space="preserve">Gekko Engineering is a Woman Business Enterprise under </w:t>
      </w:r>
      <w:bookmarkStart w:name="_Hlk84429145" w:id="17"/>
      <w:r w:rsidRPr="00550E98">
        <w:rPr>
          <w:rFonts w:ascii="Book Antiqua" w:hAnsi="Book Antiqua"/>
          <w:szCs w:val="24"/>
        </w:rPr>
        <w:t>Pub. Util. Code</w:t>
      </w:r>
      <w:r w:rsidRPr="00550E98" w:rsidR="00703584">
        <w:rPr>
          <w:rFonts w:ascii="Book Antiqua" w:hAnsi="Book Antiqua"/>
          <w:szCs w:val="24"/>
        </w:rPr>
        <w:t> </w:t>
      </w:r>
      <w:r w:rsidRPr="00550E98">
        <w:rPr>
          <w:rFonts w:ascii="Book Antiqua" w:hAnsi="Book Antiqua"/>
          <w:szCs w:val="24"/>
        </w:rPr>
        <w:t>§§</w:t>
      </w:r>
      <w:r w:rsidRPr="00550E98" w:rsidR="008E25C7">
        <w:rPr>
          <w:rFonts w:ascii="Book Antiqua" w:hAnsi="Book Antiqua"/>
          <w:szCs w:val="24"/>
        </w:rPr>
        <w:t> </w:t>
      </w:r>
      <w:r w:rsidRPr="00550E98">
        <w:rPr>
          <w:rFonts w:ascii="Book Antiqua" w:hAnsi="Book Antiqua"/>
          <w:szCs w:val="24"/>
        </w:rPr>
        <w:t xml:space="preserve">8281-8286 and </w:t>
      </w:r>
      <w:r w:rsidRPr="00550E98" w:rsidR="007370C2">
        <w:rPr>
          <w:rFonts w:ascii="Book Antiqua" w:hAnsi="Book Antiqua"/>
          <w:szCs w:val="24"/>
        </w:rPr>
        <w:t>GO</w:t>
      </w:r>
      <w:r w:rsidRPr="00550E98">
        <w:rPr>
          <w:rFonts w:ascii="Book Antiqua" w:hAnsi="Book Antiqua"/>
          <w:szCs w:val="24"/>
        </w:rPr>
        <w:t xml:space="preserve"> 156.</w:t>
      </w:r>
    </w:p>
    <w:bookmarkEnd w:id="17"/>
    <w:p w:rsidRPr="00550E98" w:rsidR="002C2E4F" w:rsidP="002C2E4F" w:rsidRDefault="002C2E4F" w14:paraId="3E738796" w14:textId="77777777">
      <w:pPr>
        <w:numPr>
          <w:ilvl w:val="0"/>
          <w:numId w:val="6"/>
        </w:numPr>
        <w:spacing w:after="120"/>
        <w:rPr>
          <w:rFonts w:ascii="Book Antiqua" w:hAnsi="Book Antiqua"/>
          <w:szCs w:val="24"/>
        </w:rPr>
      </w:pPr>
      <w:r w:rsidRPr="00550E98">
        <w:rPr>
          <w:rFonts w:ascii="Book Antiqua" w:hAnsi="Book Antiqua"/>
          <w:szCs w:val="24"/>
        </w:rPr>
        <w:t xml:space="preserve">The July 26, 2012 motion filed by Supplier Clearinghouse to file certain material under seal set forth in its July 26, 2021 Compliance Filing will protect the confidential and personal information of Gekko Engineering and should be granted. </w:t>
      </w:r>
    </w:p>
    <w:p w:rsidRPr="00550E98" w:rsidR="00C47C2A" w:rsidP="002C2E4F" w:rsidRDefault="002C2E4F" w14:paraId="712551FE" w14:textId="77777777">
      <w:pPr>
        <w:numPr>
          <w:ilvl w:val="0"/>
          <w:numId w:val="6"/>
        </w:numPr>
        <w:spacing w:after="120"/>
        <w:rPr>
          <w:rFonts w:ascii="Book Antiqua" w:hAnsi="Book Antiqua"/>
          <w:szCs w:val="24"/>
        </w:rPr>
      </w:pPr>
      <w:bookmarkStart w:name="_Hlk84508785" w:id="18"/>
      <w:r w:rsidRPr="00550E98">
        <w:rPr>
          <w:rFonts w:ascii="Book Antiqua" w:hAnsi="Book Antiqua"/>
          <w:szCs w:val="24"/>
        </w:rPr>
        <w:t>The September 7, 2021 motion filed by Supplier Clearinghouse to enter the so</w:t>
      </w:r>
      <w:r w:rsidRPr="00550E98" w:rsidR="008E25C7">
        <w:rPr>
          <w:rFonts w:ascii="Book Antiqua" w:hAnsi="Book Antiqua"/>
          <w:szCs w:val="24"/>
        </w:rPr>
        <w:noBreakHyphen/>
      </w:r>
      <w:r w:rsidRPr="00550E98">
        <w:rPr>
          <w:rFonts w:ascii="Book Antiqua" w:hAnsi="Book Antiqua"/>
          <w:szCs w:val="24"/>
        </w:rPr>
        <w:t>called guidelines into the record of this proceeding is granted, with limitations.</w:t>
      </w:r>
      <w:bookmarkEnd w:id="18"/>
    </w:p>
    <w:p w:rsidRPr="00550E98" w:rsidR="00C47C2A" w:rsidRDefault="00C47C2A" w14:paraId="3FC76892" w14:textId="77777777">
      <w:pPr>
        <w:rPr>
          <w:rFonts w:ascii="Book Antiqua" w:hAnsi="Book Antiqua"/>
        </w:rPr>
      </w:pPr>
    </w:p>
    <w:p w:rsidRPr="00550E98" w:rsidR="00C47C2A" w:rsidRDefault="00C47C2A" w14:paraId="60038713" w14:textId="77777777">
      <w:pPr>
        <w:keepNext/>
        <w:rPr>
          <w:rFonts w:ascii="Book Antiqua" w:hAnsi="Book Antiqua"/>
        </w:rPr>
      </w:pPr>
      <w:r w:rsidRPr="00550E98">
        <w:rPr>
          <w:rFonts w:ascii="Book Antiqua" w:hAnsi="Book Antiqua"/>
          <w:b/>
        </w:rPr>
        <w:t>THEREFORE, IT IS ORDERED</w:t>
      </w:r>
      <w:r w:rsidRPr="00550E98">
        <w:rPr>
          <w:rFonts w:ascii="Book Antiqua" w:hAnsi="Book Antiqua"/>
        </w:rPr>
        <w:t xml:space="preserve"> that:</w:t>
      </w:r>
    </w:p>
    <w:p w:rsidRPr="00550E98" w:rsidR="00C47C2A" w:rsidRDefault="00C47C2A" w14:paraId="0261BC2C" w14:textId="77777777">
      <w:pPr>
        <w:rPr>
          <w:rFonts w:ascii="Book Antiqua" w:hAnsi="Book Antiqua"/>
        </w:rPr>
      </w:pPr>
    </w:p>
    <w:p w:rsidRPr="00550E98" w:rsidR="002C2E4F" w:rsidP="002C2E4F" w:rsidRDefault="002C2E4F" w14:paraId="7A7C9668" w14:textId="77777777">
      <w:pPr>
        <w:keepNext/>
        <w:numPr>
          <w:ilvl w:val="0"/>
          <w:numId w:val="2"/>
        </w:numPr>
        <w:rPr>
          <w:rFonts w:ascii="Book Antiqua" w:hAnsi="Book Antiqua"/>
          <w:szCs w:val="24"/>
        </w:rPr>
      </w:pPr>
      <w:r w:rsidRPr="00550E98">
        <w:rPr>
          <w:rFonts w:ascii="Book Antiqua" w:hAnsi="Book Antiqua"/>
          <w:szCs w:val="24"/>
        </w:rPr>
        <w:t>The Supplier Clearinghouse is directed to immediately certify Gekko</w:t>
      </w:r>
      <w:r w:rsidRPr="00550E98" w:rsidR="00221260">
        <w:rPr>
          <w:rFonts w:ascii="Book Antiqua" w:hAnsi="Book Antiqua"/>
          <w:szCs w:val="24"/>
        </w:rPr>
        <w:t> </w:t>
      </w:r>
      <w:r w:rsidRPr="00550E98">
        <w:rPr>
          <w:rFonts w:ascii="Book Antiqua" w:hAnsi="Book Antiqua"/>
          <w:szCs w:val="24"/>
        </w:rPr>
        <w:t>Engineering Inc. as a Woman Business Enterprise under Pub. Util. Code</w:t>
      </w:r>
      <w:r w:rsidRPr="00550E98" w:rsidR="00580CA9">
        <w:rPr>
          <w:rFonts w:ascii="Book Antiqua" w:hAnsi="Book Antiqua"/>
          <w:szCs w:val="24"/>
        </w:rPr>
        <w:t> </w:t>
      </w:r>
      <w:r w:rsidRPr="00550E98">
        <w:rPr>
          <w:rFonts w:ascii="Book Antiqua" w:hAnsi="Book Antiqua"/>
          <w:szCs w:val="24"/>
        </w:rPr>
        <w:t>§§</w:t>
      </w:r>
      <w:r w:rsidRPr="00550E98" w:rsidR="00580CA9">
        <w:rPr>
          <w:rFonts w:ascii="Book Antiqua" w:hAnsi="Book Antiqua"/>
          <w:szCs w:val="24"/>
        </w:rPr>
        <w:t> </w:t>
      </w:r>
      <w:r w:rsidRPr="00550E98">
        <w:rPr>
          <w:rFonts w:ascii="Book Antiqua" w:hAnsi="Book Antiqua"/>
          <w:szCs w:val="24"/>
        </w:rPr>
        <w:t>8281</w:t>
      </w:r>
      <w:r w:rsidRPr="00550E98" w:rsidR="00580CA9">
        <w:rPr>
          <w:rFonts w:ascii="Book Antiqua" w:hAnsi="Book Antiqua"/>
          <w:szCs w:val="24"/>
        </w:rPr>
        <w:noBreakHyphen/>
      </w:r>
      <w:r w:rsidRPr="00550E98">
        <w:rPr>
          <w:rFonts w:ascii="Book Antiqua" w:hAnsi="Book Antiqua"/>
          <w:szCs w:val="24"/>
        </w:rPr>
        <w:t xml:space="preserve">8286 and </w:t>
      </w:r>
      <w:r w:rsidRPr="00550E98" w:rsidR="007370C2">
        <w:rPr>
          <w:rFonts w:ascii="Book Antiqua" w:hAnsi="Book Antiqua"/>
          <w:szCs w:val="24"/>
        </w:rPr>
        <w:t>GO</w:t>
      </w:r>
      <w:r w:rsidRPr="00550E98">
        <w:rPr>
          <w:rFonts w:ascii="Book Antiqua" w:hAnsi="Book Antiqua"/>
          <w:szCs w:val="24"/>
        </w:rPr>
        <w:t xml:space="preserve"> 156.</w:t>
      </w:r>
    </w:p>
    <w:p w:rsidRPr="00550E98" w:rsidR="002C2E4F" w:rsidP="002C2E4F" w:rsidRDefault="002C2E4F" w14:paraId="18A31D5B" w14:textId="77777777">
      <w:pPr>
        <w:keepNext/>
        <w:ind w:left="360"/>
        <w:rPr>
          <w:rFonts w:ascii="Book Antiqua" w:hAnsi="Book Antiqua"/>
          <w:szCs w:val="24"/>
        </w:rPr>
      </w:pPr>
    </w:p>
    <w:p w:rsidRPr="00550E98" w:rsidR="002C2E4F" w:rsidP="002C2E4F" w:rsidRDefault="002C2E4F" w14:paraId="44A9E322" w14:textId="4B1EF632">
      <w:pPr>
        <w:keepNext/>
        <w:numPr>
          <w:ilvl w:val="0"/>
          <w:numId w:val="2"/>
        </w:numPr>
        <w:rPr>
          <w:rFonts w:ascii="Book Antiqua" w:hAnsi="Book Antiqua"/>
          <w:szCs w:val="24"/>
        </w:rPr>
      </w:pPr>
      <w:r w:rsidRPr="00550E98">
        <w:rPr>
          <w:rFonts w:ascii="Book Antiqua" w:hAnsi="Book Antiqua"/>
          <w:szCs w:val="24"/>
        </w:rPr>
        <w:t xml:space="preserve">The July 26, 2021 motion filed by Supplier Clearinghouse to submit certain material set forth in its July 26, 2021 Compliance Filing under seal is granted. </w:t>
      </w:r>
      <w:r w:rsidRPr="00550E98" w:rsidR="008E25C7">
        <w:rPr>
          <w:rFonts w:ascii="Book Antiqua" w:hAnsi="Book Antiqua"/>
          <w:szCs w:val="24"/>
        </w:rPr>
        <w:t xml:space="preserve"> </w:t>
      </w:r>
      <w:r w:rsidRPr="00550E98" w:rsidR="00AA090B">
        <w:rPr>
          <w:rFonts w:ascii="Book Antiqua" w:hAnsi="Book Antiqua"/>
          <w:szCs w:val="24"/>
        </w:rPr>
        <w:t>These documents shall remain under seal until other</w:t>
      </w:r>
      <w:r w:rsidRPr="00550E98" w:rsidR="005F6587">
        <w:rPr>
          <w:rFonts w:ascii="Book Antiqua" w:hAnsi="Book Antiqua"/>
          <w:szCs w:val="24"/>
        </w:rPr>
        <w:t>wise</w:t>
      </w:r>
      <w:r w:rsidRPr="00550E98" w:rsidR="00AA090B">
        <w:rPr>
          <w:rFonts w:ascii="Book Antiqua" w:hAnsi="Book Antiqua"/>
          <w:szCs w:val="24"/>
        </w:rPr>
        <w:t xml:space="preserve"> designated by the Commission.</w:t>
      </w:r>
    </w:p>
    <w:p w:rsidRPr="00550E98" w:rsidR="002C2E4F" w:rsidP="002C2E4F" w:rsidRDefault="002C2E4F" w14:paraId="447B563C" w14:textId="77777777">
      <w:pPr>
        <w:pStyle w:val="ListParagraph"/>
        <w:rPr>
          <w:rFonts w:ascii="Book Antiqua" w:hAnsi="Book Antiqua"/>
          <w:szCs w:val="24"/>
        </w:rPr>
      </w:pPr>
    </w:p>
    <w:p w:rsidRPr="00550E98" w:rsidR="002C2E4F" w:rsidP="00A51C28" w:rsidRDefault="002C2E4F" w14:paraId="4AA80F31" w14:textId="77777777">
      <w:pPr>
        <w:numPr>
          <w:ilvl w:val="0"/>
          <w:numId w:val="2"/>
        </w:numPr>
        <w:rPr>
          <w:rFonts w:ascii="Book Antiqua" w:hAnsi="Book Antiqua"/>
          <w:szCs w:val="24"/>
        </w:rPr>
      </w:pPr>
      <w:r w:rsidRPr="00550E98">
        <w:rPr>
          <w:rFonts w:ascii="Book Antiqua" w:hAnsi="Book Antiqua"/>
          <w:szCs w:val="24"/>
        </w:rPr>
        <w:t xml:space="preserve">The September 7, 2021 motion filed by Supplier Clearinghouse seeking to enter the so-called guidelines into the record of this proceeding is granted, with </w:t>
      </w:r>
      <w:r w:rsidRPr="00550E98" w:rsidR="00AA090B">
        <w:rPr>
          <w:rFonts w:ascii="Book Antiqua" w:hAnsi="Book Antiqua"/>
          <w:szCs w:val="24"/>
        </w:rPr>
        <w:t xml:space="preserve">the </w:t>
      </w:r>
      <w:r w:rsidRPr="00550E98">
        <w:rPr>
          <w:rFonts w:ascii="Book Antiqua" w:hAnsi="Book Antiqua"/>
          <w:szCs w:val="24"/>
        </w:rPr>
        <w:t>limitations</w:t>
      </w:r>
      <w:r w:rsidRPr="00550E98" w:rsidR="00AA090B">
        <w:rPr>
          <w:rFonts w:ascii="Book Antiqua" w:hAnsi="Book Antiqua"/>
          <w:szCs w:val="24"/>
        </w:rPr>
        <w:t xml:space="preserve"> herein</w:t>
      </w:r>
      <w:r w:rsidRPr="00550E98">
        <w:rPr>
          <w:rFonts w:ascii="Book Antiqua" w:hAnsi="Book Antiqua"/>
          <w:szCs w:val="24"/>
        </w:rPr>
        <w:t>.</w:t>
      </w:r>
      <w:r w:rsidRPr="00550E98">
        <w:rPr>
          <w:rFonts w:ascii="Book Antiqua" w:hAnsi="Book Antiqua"/>
          <w:szCs w:val="24"/>
        </w:rPr>
        <w:br/>
      </w:r>
    </w:p>
    <w:p w:rsidRPr="00550E98" w:rsidR="00C47C2A" w:rsidP="00A51C28" w:rsidRDefault="008012D1" w14:paraId="2C5BAB03" w14:textId="77777777">
      <w:pPr>
        <w:keepNext/>
        <w:keepLines/>
        <w:numPr>
          <w:ilvl w:val="0"/>
          <w:numId w:val="2"/>
        </w:numPr>
        <w:rPr>
          <w:rFonts w:ascii="Book Antiqua" w:hAnsi="Book Antiqua"/>
          <w:szCs w:val="24"/>
        </w:rPr>
      </w:pPr>
      <w:r w:rsidRPr="00550E98">
        <w:rPr>
          <w:rFonts w:ascii="Book Antiqua" w:hAnsi="Book Antiqua"/>
          <w:szCs w:val="24"/>
        </w:rPr>
        <w:lastRenderedPageBreak/>
        <w:t>This proceeding is closed.</w:t>
      </w:r>
    </w:p>
    <w:p w:rsidRPr="00550E98" w:rsidR="008012D1" w:rsidP="00A51C28" w:rsidRDefault="008012D1" w14:paraId="53BC4E42" w14:textId="77777777">
      <w:pPr>
        <w:keepNext/>
        <w:keepLines/>
        <w:ind w:left="360"/>
        <w:rPr>
          <w:rFonts w:ascii="Book Antiqua" w:hAnsi="Book Antiqua"/>
          <w:szCs w:val="24"/>
        </w:rPr>
      </w:pPr>
    </w:p>
    <w:p w:rsidRPr="00550E98" w:rsidR="00C47C2A" w:rsidP="00A51C28" w:rsidRDefault="00C47C2A" w14:paraId="7A130E58" w14:textId="77777777">
      <w:pPr>
        <w:keepNext/>
        <w:keepLines/>
        <w:ind w:firstLine="720"/>
        <w:rPr>
          <w:rFonts w:ascii="Book Antiqua" w:hAnsi="Book Antiqua"/>
          <w:szCs w:val="24"/>
        </w:rPr>
      </w:pPr>
      <w:r w:rsidRPr="00550E98">
        <w:rPr>
          <w:rFonts w:ascii="Book Antiqua" w:hAnsi="Book Antiqua"/>
          <w:szCs w:val="24"/>
        </w:rPr>
        <w:t xml:space="preserve">This </w:t>
      </w:r>
      <w:r w:rsidRPr="00550E98" w:rsidR="00374774">
        <w:rPr>
          <w:rFonts w:ascii="Book Antiqua" w:hAnsi="Book Antiqua"/>
          <w:szCs w:val="24"/>
        </w:rPr>
        <w:t>R</w:t>
      </w:r>
      <w:r w:rsidRPr="00550E98">
        <w:rPr>
          <w:rFonts w:ascii="Book Antiqua" w:hAnsi="Book Antiqua"/>
          <w:szCs w:val="24"/>
        </w:rPr>
        <w:t>esolution is effective today.</w:t>
      </w:r>
    </w:p>
    <w:p w:rsidRPr="00550E98" w:rsidR="00C47C2A" w:rsidP="00A51C28" w:rsidRDefault="00C47C2A" w14:paraId="481A340A" w14:textId="77777777">
      <w:pPr>
        <w:keepNext/>
        <w:keepLines/>
        <w:rPr>
          <w:rFonts w:ascii="Book Antiqua" w:hAnsi="Book Antiqua"/>
          <w:szCs w:val="24"/>
        </w:rPr>
      </w:pPr>
    </w:p>
    <w:p w:rsidRPr="00550E98" w:rsidR="00C47C2A" w:rsidP="00A51C28" w:rsidRDefault="00C47C2A" w14:paraId="304B3707" w14:textId="77777777">
      <w:pPr>
        <w:keepNext/>
        <w:keepLines/>
        <w:rPr>
          <w:rFonts w:ascii="Book Antiqua" w:hAnsi="Book Antiqua"/>
          <w:szCs w:val="24"/>
        </w:rPr>
      </w:pPr>
      <w:r w:rsidRPr="00550E98">
        <w:rPr>
          <w:rFonts w:ascii="Book Antiqua" w:hAnsi="Book Antiqua"/>
          <w:szCs w:val="24"/>
        </w:rPr>
        <w:t xml:space="preserve">I certify that the foregoing </w:t>
      </w:r>
      <w:r w:rsidRPr="00550E98" w:rsidR="00374774">
        <w:rPr>
          <w:rFonts w:ascii="Book Antiqua" w:hAnsi="Book Antiqua"/>
          <w:szCs w:val="24"/>
        </w:rPr>
        <w:t>R</w:t>
      </w:r>
      <w:r w:rsidRPr="00550E98">
        <w:rPr>
          <w:rFonts w:ascii="Book Antiqua" w:hAnsi="Book Antiqua"/>
          <w:szCs w:val="24"/>
        </w:rPr>
        <w:t>esolution was duly introduced, passed, and adopted at a conference of the Public Utilities Commission of the State of California held on _______________, the following Commissioners voting favorably thereon:</w:t>
      </w:r>
    </w:p>
    <w:p w:rsidRPr="00550E98" w:rsidR="00C47C2A" w:rsidP="00A51C28" w:rsidRDefault="00C47C2A" w14:paraId="508AE7C0" w14:textId="77777777">
      <w:pPr>
        <w:keepNext/>
        <w:keepLines/>
        <w:rPr>
          <w:rFonts w:ascii="Book Antiqua" w:hAnsi="Book Antiqua"/>
        </w:rPr>
      </w:pPr>
    </w:p>
    <w:p w:rsidRPr="00550E98" w:rsidR="00C47C2A" w:rsidP="00A51C28" w:rsidRDefault="00C47C2A" w14:paraId="7BE99347" w14:textId="77777777">
      <w:pPr>
        <w:keepNext/>
        <w:keepLines/>
        <w:rPr>
          <w:rFonts w:ascii="Book Antiqua" w:hAnsi="Book Antiqua"/>
        </w:rPr>
      </w:pPr>
    </w:p>
    <w:tbl>
      <w:tblPr>
        <w:tblW w:w="0" w:type="auto"/>
        <w:tblInd w:w="4428" w:type="dxa"/>
        <w:tblLayout w:type="fixed"/>
        <w:tblLook w:val="0000" w:firstRow="0" w:lastRow="0" w:firstColumn="0" w:lastColumn="0" w:noHBand="0" w:noVBand="0"/>
      </w:tblPr>
      <w:tblGrid>
        <w:gridCol w:w="3780"/>
      </w:tblGrid>
      <w:tr w:rsidRPr="00550E98" w:rsidR="00C47C2A" w14:paraId="5D14D3E6" w14:textId="77777777">
        <w:tc>
          <w:tcPr>
            <w:tcW w:w="3780" w:type="dxa"/>
            <w:tcBorders>
              <w:bottom w:val="single" w:color="auto" w:sz="6" w:space="0"/>
            </w:tcBorders>
          </w:tcPr>
          <w:p w:rsidRPr="00550E98" w:rsidR="00C47C2A" w:rsidP="00A51C28" w:rsidRDefault="00C47C2A" w14:paraId="4AC40586" w14:textId="77777777">
            <w:pPr>
              <w:keepNext/>
              <w:keepLines/>
              <w:jc w:val="center"/>
              <w:rPr>
                <w:rFonts w:ascii="Book Antiqua" w:hAnsi="Book Antiqua"/>
              </w:rPr>
            </w:pPr>
          </w:p>
        </w:tc>
      </w:tr>
      <w:tr w:rsidRPr="00550E98" w:rsidR="00C47C2A" w14:paraId="74E9185A" w14:textId="77777777">
        <w:tc>
          <w:tcPr>
            <w:tcW w:w="3780" w:type="dxa"/>
          </w:tcPr>
          <w:p w:rsidRPr="00550E98" w:rsidR="00C47C2A" w:rsidP="00A51C28" w:rsidRDefault="002C2E4F" w14:paraId="0311FFD1" w14:textId="77777777">
            <w:pPr>
              <w:keepNext/>
              <w:keepLines/>
              <w:spacing w:before="120"/>
              <w:jc w:val="center"/>
              <w:rPr>
                <w:rFonts w:ascii="Book Antiqua" w:hAnsi="Book Antiqua"/>
              </w:rPr>
            </w:pPr>
            <w:r w:rsidRPr="00550E98">
              <w:rPr>
                <w:rFonts w:ascii="Book Antiqua" w:hAnsi="Book Antiqua"/>
              </w:rPr>
              <w:t xml:space="preserve">Rachel Peterson </w:t>
            </w:r>
          </w:p>
          <w:p w:rsidRPr="00550E98" w:rsidR="00C47C2A" w:rsidP="00A51C28" w:rsidRDefault="00C47C2A" w14:paraId="648F9F8F" w14:textId="77777777">
            <w:pPr>
              <w:keepNext/>
              <w:keepLines/>
              <w:jc w:val="center"/>
              <w:rPr>
                <w:rFonts w:ascii="Book Antiqua" w:hAnsi="Book Antiqua"/>
              </w:rPr>
            </w:pPr>
            <w:r w:rsidRPr="00550E98">
              <w:rPr>
                <w:rFonts w:ascii="Book Antiqua" w:hAnsi="Book Antiqua"/>
              </w:rPr>
              <w:t>Executive Director</w:t>
            </w:r>
          </w:p>
        </w:tc>
      </w:tr>
    </w:tbl>
    <w:p w:rsidRPr="00550E98" w:rsidR="00C47C2A" w:rsidP="00732B81" w:rsidRDefault="00C47C2A" w14:paraId="2D5818A7" w14:textId="77777777">
      <w:pPr>
        <w:pStyle w:val="standard"/>
        <w:keepNext/>
        <w:keepLines/>
        <w:spacing w:line="240" w:lineRule="auto"/>
        <w:rPr>
          <w:rFonts w:ascii="Book Antiqua" w:hAnsi="Book Antiqua"/>
        </w:rPr>
      </w:pPr>
    </w:p>
    <w:p w:rsidRPr="00550E98" w:rsidR="006E5258" w:rsidP="00732B81" w:rsidRDefault="006E5258" w14:paraId="27B67E22" w14:textId="77777777">
      <w:pPr>
        <w:pStyle w:val="standard"/>
        <w:keepNext/>
        <w:keepLines/>
        <w:spacing w:line="240" w:lineRule="auto"/>
        <w:rPr>
          <w:rFonts w:ascii="Book Antiqua" w:hAnsi="Book Antiqua"/>
        </w:rPr>
      </w:pPr>
    </w:p>
    <w:p w:rsidRPr="00550E98" w:rsidR="00292759" w:rsidP="00732B81" w:rsidRDefault="006E5258" w14:paraId="48CDE5C2" w14:textId="77777777">
      <w:pPr>
        <w:pStyle w:val="standard"/>
        <w:keepNext/>
        <w:keepLines/>
        <w:spacing w:line="240" w:lineRule="auto"/>
        <w:rPr>
          <w:rFonts w:ascii="Book Antiqua" w:hAnsi="Book Antiqua"/>
        </w:rPr>
        <w:sectPr w:rsidRPr="00550E98" w:rsidR="00292759" w:rsidSect="00B81259">
          <w:headerReference w:type="first" r:id="rId11"/>
          <w:footerReference w:type="first" r:id="rId12"/>
          <w:pgSz w:w="12240" w:h="15840" w:code="1"/>
          <w:pgMar w:top="1440" w:right="1440" w:bottom="1440" w:left="1440" w:header="720" w:footer="720" w:gutter="0"/>
          <w:pgNumType w:fmt="numberInDash" w:start="1"/>
          <w:cols w:space="720"/>
          <w:titlePg/>
        </w:sectPr>
      </w:pPr>
      <w:r w:rsidRPr="00550E98">
        <w:rPr>
          <w:rFonts w:ascii="Book Antiqua" w:hAnsi="Book Antiqua"/>
        </w:rPr>
        <w:t>ATTACHMENT – Supplier Clearinghouse Guidelines</w:t>
      </w:r>
    </w:p>
    <w:p w:rsidRPr="00550E98" w:rsidR="00292759" w:rsidP="00292759" w:rsidRDefault="00292759" w14:paraId="1DF416B9" w14:textId="5BF1874F">
      <w:pPr>
        <w:widowControl w:val="0"/>
        <w:tabs>
          <w:tab w:val="center" w:pos="4320"/>
          <w:tab w:val="right" w:pos="8640"/>
        </w:tabs>
        <w:rPr>
          <w:rFonts w:ascii="Book Antiqua" w:hAnsi="Book Antiqua"/>
          <w:sz w:val="26"/>
        </w:rPr>
      </w:pPr>
      <w:r w:rsidRPr="00550E98">
        <w:rPr>
          <w:rFonts w:ascii="Book Antiqua" w:hAnsi="Book Antiqua"/>
          <w:sz w:val="26"/>
        </w:rPr>
        <w:lastRenderedPageBreak/>
        <w:t>ALJ/RMD/sgu</w:t>
      </w:r>
    </w:p>
    <w:p w:rsidRPr="00550E98" w:rsidR="00292759" w:rsidP="00292759" w:rsidRDefault="00292759" w14:paraId="3818897B" w14:textId="77777777">
      <w:pPr>
        <w:widowControl w:val="0"/>
        <w:tabs>
          <w:tab w:val="center" w:pos="4320"/>
          <w:tab w:val="right" w:pos="8640"/>
        </w:tabs>
        <w:rPr>
          <w:rFonts w:ascii="Book Antiqua" w:hAnsi="Book Antiqua"/>
          <w:sz w:val="26"/>
        </w:rPr>
      </w:pPr>
    </w:p>
    <w:p w:rsidRPr="00550E98" w:rsidR="00292759" w:rsidP="00292759" w:rsidRDefault="00292759" w14:paraId="205EF818" w14:textId="77777777">
      <w:pPr>
        <w:widowControl w:val="0"/>
        <w:tabs>
          <w:tab w:val="center" w:pos="4320"/>
          <w:tab w:val="right" w:pos="8640"/>
        </w:tabs>
        <w:rPr>
          <w:rFonts w:ascii="Book Antiqua" w:hAnsi="Book Antiqua"/>
          <w:sz w:val="26"/>
        </w:rPr>
      </w:pPr>
    </w:p>
    <w:p w:rsidRPr="00550E98" w:rsidR="00292759" w:rsidP="00292759" w:rsidRDefault="00292759" w14:paraId="76608456" w14:textId="77777777">
      <w:pPr>
        <w:suppressAutoHyphens/>
        <w:rPr>
          <w:rFonts w:ascii="Book Antiqua" w:hAnsi="Book Antiqua" w:cs="Arial"/>
          <w:b/>
        </w:rPr>
      </w:pPr>
      <w:r w:rsidRPr="00550E98">
        <w:rPr>
          <w:rFonts w:ascii="Book Antiqua" w:hAnsi="Book Antiqua" w:cs="Arial"/>
          <w:b/>
        </w:rPr>
        <w:t>BEFORE THE PUBLIC UTILITIES COMMISSION OF THE STATE OF CALIFORNIA</w:t>
      </w:r>
    </w:p>
    <w:p w:rsidRPr="00550E98" w:rsidR="00292759" w:rsidP="00292759" w:rsidRDefault="00292759" w14:paraId="6FC1CC5A" w14:textId="77777777">
      <w:pPr>
        <w:suppressAutoHyphens/>
        <w:rPr>
          <w:rFonts w:ascii="Book Antiqua" w:hAnsi="Book Antiqua"/>
          <w:sz w:val="26"/>
        </w:rPr>
      </w:pPr>
    </w:p>
    <w:p w:rsidRPr="00550E98" w:rsidR="00292759" w:rsidP="00292759" w:rsidRDefault="00292759" w14:paraId="3E2EF4A7" w14:textId="77777777">
      <w:pPr>
        <w:ind w:left="720" w:right="720"/>
        <w:rPr>
          <w:rFonts w:ascii="Book Antiqua" w:hAnsi="Book Antiqua"/>
        </w:rPr>
      </w:pPr>
      <w:r w:rsidRPr="00550E98">
        <w:rPr>
          <w:rFonts w:ascii="Book Antiqua" w:hAnsi="Book Antiqua"/>
        </w:rPr>
        <w:t>RESOLUTION ALJ-411 Resolves Notice of Appeal K.21-07-010 by Gekko Engineering Inc. of Denial by Supplier Clearinghouse of Women Business Enterprise Certification under Public Utilities Code §§ 8281-8286, as implemented in General Order 156 Supplier Diversity Program.</w:t>
      </w:r>
    </w:p>
    <w:p w:rsidRPr="00550E98" w:rsidR="00292759" w:rsidP="00292759" w:rsidRDefault="00292759" w14:paraId="68718782" w14:textId="77777777">
      <w:pPr>
        <w:suppressAutoHyphens/>
        <w:rPr>
          <w:rFonts w:ascii="Book Antiqua" w:hAnsi="Book Antiqua"/>
          <w:sz w:val="26"/>
        </w:rPr>
      </w:pPr>
    </w:p>
    <w:p w:rsidRPr="00550E98" w:rsidR="00292759" w:rsidP="00292759" w:rsidRDefault="00292759" w14:paraId="66686CA7" w14:textId="77777777">
      <w:pPr>
        <w:suppressAutoHyphens/>
        <w:rPr>
          <w:rFonts w:ascii="Book Antiqua" w:hAnsi="Book Antiqua"/>
          <w:sz w:val="26"/>
        </w:rPr>
      </w:pPr>
    </w:p>
    <w:p w:rsidRPr="00550E98" w:rsidR="00292759" w:rsidP="00292759" w:rsidRDefault="00292759" w14:paraId="4F1D281F" w14:textId="77777777">
      <w:pPr>
        <w:jc w:val="center"/>
        <w:rPr>
          <w:rFonts w:ascii="Book Antiqua" w:hAnsi="Book Antiqua" w:cs="Arial"/>
          <w:b/>
          <w:sz w:val="26"/>
          <w:szCs w:val="26"/>
        </w:rPr>
      </w:pPr>
      <w:r w:rsidRPr="00550E98">
        <w:rPr>
          <w:rFonts w:ascii="Book Antiqua" w:hAnsi="Book Antiqua" w:cs="Arial"/>
          <w:b/>
          <w:sz w:val="26"/>
          <w:szCs w:val="26"/>
        </w:rPr>
        <w:t>INFORMATION REGARDING SERVICE</w:t>
      </w:r>
    </w:p>
    <w:p w:rsidRPr="00550E98" w:rsidR="00292759" w:rsidP="00292759" w:rsidRDefault="00292759" w14:paraId="2C9904DB" w14:textId="77777777">
      <w:pPr>
        <w:suppressAutoHyphens/>
        <w:rPr>
          <w:rFonts w:ascii="Book Antiqua" w:hAnsi="Book Antiqua"/>
          <w:szCs w:val="24"/>
        </w:rPr>
      </w:pPr>
    </w:p>
    <w:p w:rsidRPr="00550E98" w:rsidR="00292759" w:rsidP="00292759" w:rsidRDefault="00292759" w14:paraId="055C0600" w14:textId="668829A8">
      <w:pPr>
        <w:spacing w:line="360" w:lineRule="auto"/>
        <w:ind w:firstLine="720"/>
        <w:rPr>
          <w:rFonts w:ascii="Book Antiqua" w:hAnsi="Book Antiqua"/>
          <w:szCs w:val="24"/>
        </w:rPr>
      </w:pPr>
      <w:r w:rsidRPr="00550E98">
        <w:rPr>
          <w:rFonts w:ascii="Book Antiqua" w:hAnsi="Book Antiqua"/>
          <w:szCs w:val="24"/>
        </w:rPr>
        <w:t>I have electronically served all persons on the attached official service list who have provided an e-mail address for K.21-07-010.</w:t>
      </w:r>
    </w:p>
    <w:p w:rsidRPr="00550E98" w:rsidR="00292759" w:rsidP="00292759" w:rsidRDefault="00292759" w14:paraId="365EE992" w14:textId="77777777">
      <w:pPr>
        <w:spacing w:line="360" w:lineRule="auto"/>
        <w:ind w:firstLine="720"/>
        <w:rPr>
          <w:rFonts w:ascii="Book Antiqua" w:hAnsi="Book Antiqua"/>
          <w:szCs w:val="24"/>
        </w:rPr>
      </w:pPr>
      <w:r w:rsidRPr="00550E98">
        <w:rPr>
          <w:rFonts w:ascii="Book Antiqua" w:hAnsi="Book Antiqua"/>
          <w:szCs w:val="24"/>
        </w:rPr>
        <w:t>Upon confirmation of this document’s acceptance for filing, I will cause a copy of the filed document to be served by U.S. mail on all parties listed in the “Party” category of the official service list for whom no e-mail address is provided.</w:t>
      </w:r>
    </w:p>
    <w:p w:rsidRPr="00550E98" w:rsidR="00292759" w:rsidP="00292759" w:rsidRDefault="00292759" w14:paraId="72334906" w14:textId="4A40B066">
      <w:pPr>
        <w:spacing w:line="360" w:lineRule="auto"/>
        <w:ind w:firstLine="720"/>
        <w:rPr>
          <w:rFonts w:ascii="Book Antiqua" w:hAnsi="Book Antiqua"/>
          <w:szCs w:val="24"/>
        </w:rPr>
      </w:pPr>
      <w:r w:rsidRPr="00550E98">
        <w:rPr>
          <w:rFonts w:ascii="Book Antiqua" w:hAnsi="Book Antiqua"/>
          <w:szCs w:val="24"/>
        </w:rPr>
        <w:t xml:space="preserve">Dated </w:t>
      </w:r>
      <w:r w:rsidR="004C194E">
        <w:rPr>
          <w:rFonts w:ascii="Book Antiqua" w:hAnsi="Book Antiqua"/>
          <w:szCs w:val="24"/>
        </w:rPr>
        <w:t>November 12, 2021</w:t>
      </w:r>
      <w:r w:rsidRPr="00550E98">
        <w:rPr>
          <w:rFonts w:ascii="Book Antiqua" w:hAnsi="Book Antiqua"/>
          <w:szCs w:val="24"/>
        </w:rPr>
        <w:t>, at San Francisco, California.</w:t>
      </w:r>
    </w:p>
    <w:p w:rsidRPr="00550E98" w:rsidR="00292759" w:rsidP="00292759" w:rsidRDefault="00292759" w14:paraId="348553DB" w14:textId="77777777">
      <w:pPr>
        <w:rPr>
          <w:rFonts w:ascii="Book Antiqua" w:hAnsi="Book Antiqua"/>
          <w:sz w:val="26"/>
        </w:rPr>
      </w:pPr>
    </w:p>
    <w:p w:rsidRPr="00550E98" w:rsidR="00292759" w:rsidP="00292759" w:rsidRDefault="00292759" w14:paraId="79EEC8F4" w14:textId="77777777">
      <w:pPr>
        <w:rPr>
          <w:rFonts w:ascii="Book Antiqua" w:hAnsi="Book Antiqua"/>
          <w:sz w:val="26"/>
        </w:rPr>
      </w:pPr>
    </w:p>
    <w:tbl>
      <w:tblPr>
        <w:tblW w:w="9918" w:type="dxa"/>
        <w:tblLayout w:type="fixed"/>
        <w:tblLook w:val="0000" w:firstRow="0" w:lastRow="0" w:firstColumn="0" w:lastColumn="0" w:noHBand="0" w:noVBand="0"/>
      </w:tblPr>
      <w:tblGrid>
        <w:gridCol w:w="4050"/>
        <w:gridCol w:w="1908"/>
        <w:gridCol w:w="3960"/>
      </w:tblGrid>
      <w:tr w:rsidRPr="00550E98" w:rsidR="00292759" w:rsidTr="00B547B7" w14:paraId="0F8B1D7B" w14:textId="77777777">
        <w:tc>
          <w:tcPr>
            <w:tcW w:w="4050" w:type="dxa"/>
          </w:tcPr>
          <w:p w:rsidRPr="00550E98" w:rsidR="00292759" w:rsidP="00B547B7" w:rsidRDefault="00292759" w14:paraId="58A03505" w14:textId="77777777">
            <w:pPr>
              <w:jc w:val="center"/>
              <w:rPr>
                <w:rFonts w:ascii="Book Antiqua" w:hAnsi="Book Antiqua"/>
                <w:sz w:val="26"/>
                <w:szCs w:val="26"/>
              </w:rPr>
            </w:pPr>
          </w:p>
        </w:tc>
        <w:tc>
          <w:tcPr>
            <w:tcW w:w="1908" w:type="dxa"/>
          </w:tcPr>
          <w:p w:rsidRPr="00550E98" w:rsidR="00292759" w:rsidP="00B547B7" w:rsidRDefault="00292759" w14:paraId="151EEEBD" w14:textId="77777777">
            <w:pPr>
              <w:jc w:val="center"/>
              <w:rPr>
                <w:rFonts w:ascii="Book Antiqua" w:hAnsi="Book Antiqua"/>
                <w:sz w:val="26"/>
                <w:szCs w:val="26"/>
              </w:rPr>
            </w:pPr>
          </w:p>
        </w:tc>
        <w:tc>
          <w:tcPr>
            <w:tcW w:w="3960" w:type="dxa"/>
            <w:tcBorders>
              <w:bottom w:val="single" w:color="auto" w:sz="4" w:space="0"/>
            </w:tcBorders>
          </w:tcPr>
          <w:p w:rsidRPr="00550E98" w:rsidR="00292759" w:rsidP="00B547B7" w:rsidRDefault="00292759" w14:paraId="5EB98E0B" w14:textId="77777777">
            <w:pPr>
              <w:jc w:val="center"/>
              <w:rPr>
                <w:rFonts w:ascii="Book Antiqua" w:hAnsi="Book Antiqua"/>
                <w:szCs w:val="24"/>
              </w:rPr>
            </w:pPr>
            <w:r w:rsidRPr="00550E98">
              <w:rPr>
                <w:rFonts w:ascii="Book Antiqua" w:hAnsi="Book Antiqua"/>
                <w:szCs w:val="24"/>
              </w:rPr>
              <w:t>/s/  SHANE GUTTO</w:t>
            </w:r>
          </w:p>
        </w:tc>
      </w:tr>
      <w:tr w:rsidRPr="00550E98" w:rsidR="00292759" w:rsidTr="00B547B7" w14:paraId="20800C0C" w14:textId="77777777">
        <w:trPr>
          <w:trHeight w:val="345"/>
        </w:trPr>
        <w:tc>
          <w:tcPr>
            <w:tcW w:w="4050" w:type="dxa"/>
          </w:tcPr>
          <w:p w:rsidRPr="00550E98" w:rsidR="00292759" w:rsidP="00B547B7" w:rsidRDefault="00292759" w14:paraId="66F6B739" w14:textId="77777777">
            <w:pPr>
              <w:jc w:val="center"/>
              <w:rPr>
                <w:rFonts w:ascii="Book Antiqua" w:hAnsi="Book Antiqua"/>
                <w:sz w:val="26"/>
                <w:szCs w:val="26"/>
              </w:rPr>
            </w:pPr>
          </w:p>
        </w:tc>
        <w:tc>
          <w:tcPr>
            <w:tcW w:w="1908" w:type="dxa"/>
          </w:tcPr>
          <w:p w:rsidRPr="00550E98" w:rsidR="00292759" w:rsidP="00B547B7" w:rsidRDefault="00292759" w14:paraId="21DFE0BF" w14:textId="77777777">
            <w:pPr>
              <w:jc w:val="center"/>
              <w:rPr>
                <w:rFonts w:ascii="Book Antiqua" w:hAnsi="Book Antiqua"/>
                <w:sz w:val="26"/>
                <w:szCs w:val="26"/>
              </w:rPr>
            </w:pPr>
          </w:p>
        </w:tc>
        <w:tc>
          <w:tcPr>
            <w:tcW w:w="3960" w:type="dxa"/>
            <w:tcBorders>
              <w:top w:val="single" w:color="auto" w:sz="4" w:space="0"/>
            </w:tcBorders>
          </w:tcPr>
          <w:p w:rsidRPr="00550E98" w:rsidR="00292759" w:rsidP="00B547B7" w:rsidRDefault="00292759" w14:paraId="24BDCD77" w14:textId="77777777">
            <w:pPr>
              <w:jc w:val="center"/>
              <w:rPr>
                <w:rFonts w:ascii="Book Antiqua" w:hAnsi="Book Antiqua"/>
                <w:szCs w:val="24"/>
              </w:rPr>
            </w:pPr>
            <w:r w:rsidRPr="00550E98">
              <w:rPr>
                <w:rFonts w:ascii="Book Antiqua" w:hAnsi="Book Antiqua"/>
                <w:szCs w:val="24"/>
              </w:rPr>
              <w:t xml:space="preserve">Shane Gutto </w:t>
            </w:r>
          </w:p>
        </w:tc>
      </w:tr>
    </w:tbl>
    <w:p w:rsidRPr="00550E98" w:rsidR="00292759" w:rsidP="00292759" w:rsidRDefault="00292759" w14:paraId="6B5AFC94" w14:textId="77777777">
      <w:pPr>
        <w:autoSpaceDE w:val="0"/>
        <w:autoSpaceDN w:val="0"/>
        <w:adjustRightInd w:val="0"/>
        <w:jc w:val="center"/>
        <w:rPr>
          <w:rFonts w:ascii="Book Antiqua" w:hAnsi="Book Antiqua" w:cs="Helvetica"/>
          <w:b/>
          <w:bCs/>
          <w:spacing w:val="120"/>
          <w:sz w:val="26"/>
          <w:szCs w:val="26"/>
        </w:rPr>
        <w:sectPr w:rsidRPr="00550E98" w:rsidR="00292759" w:rsidSect="001159C9">
          <w:headerReference w:type="default" r:id="rId13"/>
          <w:footerReference w:type="default" r:id="rId14"/>
          <w:headerReference w:type="first" r:id="rId15"/>
          <w:footerReference w:type="first" r:id="rId16"/>
          <w:pgSz w:w="12240" w:h="15840"/>
          <w:pgMar w:top="1728" w:right="1440" w:bottom="1440" w:left="1440" w:header="720" w:footer="720" w:gutter="0"/>
          <w:pgNumType w:fmt="numberInDash" w:start="2"/>
          <w:cols w:space="720"/>
          <w:titlePg/>
          <w:docGrid w:linePitch="360"/>
        </w:sectPr>
      </w:pPr>
    </w:p>
    <w:p w:rsidRPr="00550E98" w:rsidR="00292759" w:rsidP="00292759" w:rsidRDefault="00292759" w14:paraId="1C9899E7" w14:textId="77777777">
      <w:pPr>
        <w:autoSpaceDE w:val="0"/>
        <w:autoSpaceDN w:val="0"/>
        <w:adjustRightInd w:val="0"/>
        <w:jc w:val="center"/>
        <w:rPr>
          <w:rFonts w:ascii="Book Antiqua" w:hAnsi="Book Antiqua" w:cs="Helvetica"/>
          <w:b/>
          <w:bCs/>
          <w:spacing w:val="120"/>
          <w:sz w:val="26"/>
          <w:szCs w:val="26"/>
        </w:rPr>
        <w:sectPr w:rsidRPr="00550E98" w:rsidR="00292759" w:rsidSect="00FA0F86">
          <w:headerReference w:type="first" r:id="rId17"/>
          <w:footerReference w:type="first" r:id="rId18"/>
          <w:type w:val="continuous"/>
          <w:pgSz w:w="12240" w:h="15840"/>
          <w:pgMar w:top="1728" w:right="1440" w:bottom="1440" w:left="1440" w:header="720" w:footer="720" w:gutter="0"/>
          <w:pgNumType w:fmt="numberInDash" w:start="1"/>
          <w:cols w:space="720"/>
          <w:titlePg/>
          <w:docGrid w:linePitch="360"/>
        </w:sectPr>
      </w:pPr>
    </w:p>
    <w:p w:rsidRPr="00550E98" w:rsidR="00292759" w:rsidP="00292759" w:rsidRDefault="00292759" w14:paraId="2554E832" w14:textId="77777777">
      <w:pPr>
        <w:autoSpaceDE w:val="0"/>
        <w:autoSpaceDN w:val="0"/>
        <w:adjustRightInd w:val="0"/>
        <w:jc w:val="center"/>
        <w:rPr>
          <w:rFonts w:ascii="Book Antiqua" w:hAnsi="Book Antiqua" w:cs="Arial"/>
          <w:b/>
          <w:bCs/>
          <w:spacing w:val="120"/>
          <w:sz w:val="26"/>
          <w:szCs w:val="26"/>
        </w:rPr>
      </w:pPr>
      <w:r w:rsidRPr="00550E98">
        <w:rPr>
          <w:rFonts w:ascii="Book Antiqua" w:hAnsi="Book Antiqua" w:cs="Arial"/>
          <w:b/>
          <w:bCs/>
          <w:spacing w:val="120"/>
          <w:sz w:val="26"/>
          <w:szCs w:val="26"/>
        </w:rPr>
        <w:lastRenderedPageBreak/>
        <w:t>NOTICE</w:t>
      </w:r>
    </w:p>
    <w:p w:rsidRPr="00550E98" w:rsidR="00292759" w:rsidP="00292759" w:rsidRDefault="00292759" w14:paraId="455C7F42" w14:textId="77777777">
      <w:pPr>
        <w:autoSpaceDE w:val="0"/>
        <w:autoSpaceDN w:val="0"/>
        <w:adjustRightInd w:val="0"/>
        <w:rPr>
          <w:rFonts w:ascii="Book Antiqua" w:hAnsi="Book Antiqua" w:cs="Helvetica"/>
          <w:szCs w:val="24"/>
        </w:rPr>
      </w:pPr>
    </w:p>
    <w:p w:rsidRPr="00550E98" w:rsidR="00292759" w:rsidP="00292759" w:rsidRDefault="00292759" w14:paraId="088AF08E" w14:textId="77777777">
      <w:pPr>
        <w:tabs>
          <w:tab w:val="left" w:pos="0"/>
        </w:tabs>
        <w:autoSpaceDE w:val="0"/>
        <w:autoSpaceDN w:val="0"/>
        <w:adjustRightInd w:val="0"/>
        <w:ind w:left="720" w:right="1080"/>
        <w:rPr>
          <w:rFonts w:ascii="Book Antiqua" w:hAnsi="Book Antiqua" w:cs="Arial"/>
          <w:szCs w:val="24"/>
        </w:rPr>
      </w:pPr>
      <w:r w:rsidRPr="00550E98">
        <w:rPr>
          <w:rFonts w:ascii="Book Antiqua" w:hAnsi="Book Antiqua"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550E98" w:rsidR="00292759" w:rsidP="00292759" w:rsidRDefault="00292759" w14:paraId="553B2870" w14:textId="77777777">
      <w:pPr>
        <w:autoSpaceDE w:val="0"/>
        <w:autoSpaceDN w:val="0"/>
        <w:adjustRightInd w:val="0"/>
        <w:ind w:left="720" w:right="1080"/>
        <w:rPr>
          <w:rFonts w:ascii="Book Antiqua" w:hAnsi="Book Antiqua" w:cs="Arial"/>
          <w:szCs w:val="24"/>
        </w:rPr>
      </w:pPr>
    </w:p>
    <w:p w:rsidRPr="00550E98" w:rsidR="00292759" w:rsidP="00292759" w:rsidRDefault="00292759" w14:paraId="598B3B02" w14:textId="77777777">
      <w:pPr>
        <w:tabs>
          <w:tab w:val="left" w:pos="0"/>
        </w:tabs>
        <w:autoSpaceDE w:val="0"/>
        <w:autoSpaceDN w:val="0"/>
        <w:adjustRightInd w:val="0"/>
        <w:ind w:left="720" w:right="1080"/>
        <w:rPr>
          <w:rFonts w:ascii="Book Antiqua" w:hAnsi="Book Antiqua" w:cs="Arial"/>
          <w:szCs w:val="24"/>
        </w:rPr>
      </w:pPr>
      <w:r w:rsidRPr="00550E98">
        <w:rPr>
          <w:rFonts w:ascii="Book Antiqua" w:hAnsi="Book Antiqua" w:cs="Arial"/>
          <w:szCs w:val="24"/>
        </w:rPr>
        <w:t xml:space="preserve">* * * * * * * * * * * * * * * * * * * * * * * * * * * * * * * * * * * * * * * * * * * * * * </w:t>
      </w:r>
    </w:p>
    <w:p w:rsidRPr="00550E98" w:rsidR="00292759" w:rsidP="00292759" w:rsidRDefault="00292759" w14:paraId="4D63B243" w14:textId="77777777">
      <w:pPr>
        <w:tabs>
          <w:tab w:val="left" w:pos="0"/>
        </w:tabs>
        <w:autoSpaceDE w:val="0"/>
        <w:autoSpaceDN w:val="0"/>
        <w:adjustRightInd w:val="0"/>
        <w:ind w:left="720" w:right="1440"/>
        <w:rPr>
          <w:rFonts w:ascii="Book Antiqua" w:hAnsi="Book Antiqua" w:cs="Arial"/>
          <w:sz w:val="18"/>
          <w:szCs w:val="18"/>
        </w:rPr>
      </w:pPr>
    </w:p>
    <w:p w:rsidRPr="00550E98" w:rsidR="00292759" w:rsidP="00292759" w:rsidRDefault="00292759" w14:paraId="04BA9BD2" w14:textId="77777777">
      <w:pPr>
        <w:tabs>
          <w:tab w:val="left" w:pos="0"/>
        </w:tabs>
        <w:autoSpaceDE w:val="0"/>
        <w:autoSpaceDN w:val="0"/>
        <w:adjustRightInd w:val="0"/>
        <w:ind w:left="720" w:right="900"/>
        <w:rPr>
          <w:rFonts w:ascii="Book Antiqua" w:hAnsi="Book Antiqua" w:cs="Arial"/>
          <w:szCs w:val="24"/>
        </w:rPr>
      </w:pPr>
      <w:r w:rsidRPr="00550E98">
        <w:rPr>
          <w:rFonts w:ascii="Book Antiqua" w:hAnsi="Book Antiqua" w:cs="Arial"/>
          <w:szCs w:val="24"/>
        </w:rPr>
        <w:t>The Commission’s policy is to schedule hearings (meetings, workshops, etc.) in locations that are accessible to people with disabilities.  To verify that a particular location is accessible, call: Calendar Clerk (415) 703</w:t>
      </w:r>
      <w:r w:rsidRPr="00550E98">
        <w:rPr>
          <w:rFonts w:ascii="Book Antiqua" w:hAnsi="Book Antiqua" w:cs="Arial"/>
          <w:szCs w:val="24"/>
        </w:rPr>
        <w:noBreakHyphen/>
        <w:t>1203.</w:t>
      </w:r>
    </w:p>
    <w:p w:rsidRPr="00550E98" w:rsidR="00292759" w:rsidP="00292759" w:rsidRDefault="00292759" w14:paraId="05F874D9" w14:textId="77777777">
      <w:pPr>
        <w:tabs>
          <w:tab w:val="left" w:pos="0"/>
        </w:tabs>
        <w:autoSpaceDE w:val="0"/>
        <w:autoSpaceDN w:val="0"/>
        <w:adjustRightInd w:val="0"/>
        <w:ind w:left="720" w:right="900"/>
        <w:rPr>
          <w:rFonts w:ascii="Book Antiqua" w:hAnsi="Book Antiqua" w:cs="Arial"/>
          <w:szCs w:val="24"/>
        </w:rPr>
      </w:pPr>
    </w:p>
    <w:p w:rsidRPr="00550E98" w:rsidR="00292759" w:rsidP="00292759" w:rsidRDefault="00292759" w14:paraId="27A76D18" w14:textId="77777777">
      <w:pPr>
        <w:tabs>
          <w:tab w:val="left" w:pos="0"/>
        </w:tabs>
        <w:autoSpaceDE w:val="0"/>
        <w:autoSpaceDN w:val="0"/>
        <w:adjustRightInd w:val="0"/>
        <w:ind w:left="720" w:right="900"/>
        <w:rPr>
          <w:rFonts w:ascii="Book Antiqua" w:hAnsi="Book Antiqua" w:cs="Arial"/>
          <w:szCs w:val="24"/>
        </w:rPr>
        <w:sectPr w:rsidRPr="00550E98" w:rsidR="00292759" w:rsidSect="001159C9">
          <w:headerReference w:type="first" r:id="rId19"/>
          <w:footerReference w:type="first" r:id="rId20"/>
          <w:pgSz w:w="12240" w:h="15840"/>
          <w:pgMar w:top="1728" w:right="1440" w:bottom="1440" w:left="1440" w:header="720" w:footer="720" w:gutter="0"/>
          <w:pgNumType w:fmt="numberInDash" w:start="2"/>
          <w:cols w:space="720"/>
          <w:titlePg/>
          <w:docGrid w:linePitch="360"/>
        </w:sectPr>
      </w:pPr>
      <w:r w:rsidRPr="00550E98">
        <w:rPr>
          <w:rFonts w:ascii="Book Antiqua" w:hAnsi="Book Antiqua" w:cs="Arial"/>
          <w:szCs w:val="24"/>
        </w:rPr>
        <w:t>If specialized accommodations for the disabled are needed, e.g., sign language interpreters, those making the arrangements must call the Public Advisor at (415) 703</w:t>
      </w:r>
      <w:r w:rsidRPr="00550E98">
        <w:rPr>
          <w:rFonts w:ascii="Book Antiqua" w:hAnsi="Book Antiqua" w:cs="Arial"/>
          <w:szCs w:val="24"/>
        </w:rPr>
        <w:noBreakHyphen/>
        <w:t>2074 or TDD# (415) 703-2032 five working days in advance of the event.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4C194E" w:rsidTr="00506322" w14:paraId="254ED774" w14:textId="77777777">
        <w:tblPrEx>
          <w:tblCellMar>
            <w:top w:w="0" w:type="dxa"/>
            <w:bottom w:w="0" w:type="dxa"/>
          </w:tblCellMar>
        </w:tblPrEx>
        <w:tc>
          <w:tcPr>
            <w:tcW w:w="5400" w:type="dxa"/>
            <w:tcBorders>
              <w:top w:val="nil"/>
              <w:left w:val="nil"/>
              <w:bottom w:val="nil"/>
              <w:right w:val="nil"/>
            </w:tcBorders>
          </w:tcPr>
          <w:p w:rsidR="004C194E" w:rsidP="00506322" w:rsidRDefault="004C194E" w14:paraId="3CCE3539" w14:textId="77777777">
            <w:pPr>
              <w:rPr>
                <w:sz w:val="18"/>
                <w:szCs w:val="18"/>
              </w:rPr>
            </w:pPr>
            <w:r>
              <w:rPr>
                <w:b/>
                <w:bCs/>
                <w:sz w:val="18"/>
                <w:szCs w:val="18"/>
              </w:rPr>
              <w:lastRenderedPageBreak/>
              <w:t xml:space="preserve">************** PARTIES ************** </w:t>
            </w:r>
            <w:r>
              <w:rPr>
                <w:sz w:val="18"/>
                <w:szCs w:val="18"/>
              </w:rPr>
              <w:br/>
            </w:r>
            <w:r>
              <w:rPr>
                <w:sz w:val="18"/>
                <w:szCs w:val="18"/>
              </w:rPr>
              <w:br/>
              <w:t xml:space="preserve">Chase K. Maxwell                             </w:t>
            </w:r>
            <w:r>
              <w:rPr>
                <w:sz w:val="18"/>
                <w:szCs w:val="18"/>
              </w:rPr>
              <w:br/>
              <w:t xml:space="preserve">ELLISON SCHNEIDER HARRIS &amp; DONLAN, LLP       </w:t>
            </w:r>
            <w:r>
              <w:rPr>
                <w:sz w:val="18"/>
                <w:szCs w:val="18"/>
              </w:rPr>
              <w:br/>
              <w:t xml:space="preserve">2600 CAPITOL AVENUE, SUITE 400               </w:t>
            </w:r>
            <w:r>
              <w:rPr>
                <w:sz w:val="18"/>
                <w:szCs w:val="18"/>
              </w:rPr>
              <w:br/>
              <w:t xml:space="preserve">SACRAMENTO CA 95816                          </w:t>
            </w:r>
            <w:r>
              <w:rPr>
                <w:sz w:val="18"/>
                <w:szCs w:val="18"/>
              </w:rPr>
              <w:br/>
              <w:t xml:space="preserve">(916) 447-2166                               </w:t>
            </w:r>
            <w:r>
              <w:rPr>
                <w:sz w:val="18"/>
                <w:szCs w:val="18"/>
              </w:rPr>
              <w:br/>
              <w:t xml:space="preserve">ckm@eslawfirm.com                            </w:t>
            </w:r>
            <w:r>
              <w:rPr>
                <w:sz w:val="18"/>
                <w:szCs w:val="18"/>
              </w:rPr>
              <w:br/>
              <w:t xml:space="preserve">For: </w:t>
            </w:r>
            <w:proofErr w:type="spellStart"/>
            <w:r>
              <w:rPr>
                <w:sz w:val="18"/>
                <w:szCs w:val="18"/>
              </w:rPr>
              <w:t>Gekko</w:t>
            </w:r>
            <w:proofErr w:type="spellEnd"/>
            <w:r>
              <w:rPr>
                <w:sz w:val="18"/>
                <w:szCs w:val="18"/>
              </w:rPr>
              <w:t xml:space="preserve"> Engineering Inc                                                                                                                                                                                                                                                                                                                                                                                                                                                                                                                                                                                                                                                                                                                                                                                                      ____________________________________________</w:t>
            </w:r>
            <w:r>
              <w:rPr>
                <w:sz w:val="18"/>
                <w:szCs w:val="18"/>
              </w:rPr>
              <w:br/>
            </w:r>
            <w:r>
              <w:rPr>
                <w:sz w:val="18"/>
                <w:szCs w:val="18"/>
              </w:rPr>
              <w:br/>
              <w:t xml:space="preserve">Edward Salcedo                               </w:t>
            </w:r>
            <w:r>
              <w:rPr>
                <w:sz w:val="18"/>
                <w:szCs w:val="18"/>
              </w:rPr>
              <w:br/>
              <w:t xml:space="preserve">THE SUPPLIER CLEARNINGHOUSE                  </w:t>
            </w:r>
            <w:r>
              <w:rPr>
                <w:sz w:val="18"/>
                <w:szCs w:val="18"/>
              </w:rPr>
              <w:br/>
              <w:t xml:space="preserve">3525 HYLAND AVENUE, STE. 135                 </w:t>
            </w:r>
            <w:r>
              <w:rPr>
                <w:sz w:val="18"/>
                <w:szCs w:val="18"/>
              </w:rPr>
              <w:br/>
              <w:t xml:space="preserve">COSTA MESA CA 92626                          </w:t>
            </w:r>
            <w:r>
              <w:rPr>
                <w:sz w:val="18"/>
                <w:szCs w:val="18"/>
              </w:rPr>
              <w:br/>
              <w:t xml:space="preserve">(800) 359-7998                               </w:t>
            </w:r>
            <w:r>
              <w:rPr>
                <w:sz w:val="18"/>
                <w:szCs w:val="18"/>
              </w:rPr>
              <w:br/>
              <w:t xml:space="preserve">Info@TheSupplierClearinghouse.com            </w:t>
            </w:r>
            <w:r>
              <w:rPr>
                <w:sz w:val="18"/>
                <w:szCs w:val="18"/>
              </w:rPr>
              <w:br/>
              <w:t>For: The Supplier Clearinghouse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Christopher Clay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703-1123                               </w:t>
            </w:r>
            <w:r>
              <w:rPr>
                <w:sz w:val="18"/>
                <w:szCs w:val="18"/>
              </w:rPr>
              <w:br/>
              <w:t xml:space="preserve">cec@cpuc.ca.gov                              </w:t>
            </w:r>
            <w:r>
              <w:rPr>
                <w:sz w:val="18"/>
                <w:szCs w:val="18"/>
              </w:rPr>
              <w:br/>
            </w:r>
            <w:r>
              <w:rPr>
                <w:sz w:val="18"/>
                <w:szCs w:val="18"/>
              </w:rPr>
              <w:br/>
              <w:t xml:space="preserve">Regina DeAngelis                             </w:t>
            </w:r>
            <w:r>
              <w:rPr>
                <w:sz w:val="18"/>
                <w:szCs w:val="18"/>
              </w:rPr>
              <w:br/>
              <w:t xml:space="preserve">Administrative Law Judge Division            </w:t>
            </w:r>
            <w:r>
              <w:rPr>
                <w:sz w:val="18"/>
                <w:szCs w:val="18"/>
              </w:rPr>
              <w:br/>
              <w:t xml:space="preserve">RM. 5105                                     </w:t>
            </w:r>
            <w:r>
              <w:rPr>
                <w:sz w:val="18"/>
                <w:szCs w:val="18"/>
              </w:rPr>
              <w:br/>
              <w:t xml:space="preserve">505 Van Ness Avenue                          </w:t>
            </w:r>
            <w:r>
              <w:rPr>
                <w:sz w:val="18"/>
                <w:szCs w:val="18"/>
              </w:rPr>
              <w:br/>
              <w:t xml:space="preserve">San Francisco CA 94102 3298                  </w:t>
            </w:r>
            <w:r>
              <w:rPr>
                <w:sz w:val="18"/>
                <w:szCs w:val="18"/>
              </w:rPr>
              <w:br/>
              <w:t xml:space="preserve">(415) 703-2011                               </w:t>
            </w:r>
            <w:r>
              <w:rPr>
                <w:sz w:val="18"/>
                <w:szCs w:val="18"/>
              </w:rPr>
              <w:br/>
              <w:t xml:space="preserve">rmd@cpuc.ca.gov                              </w:t>
            </w:r>
            <w:r>
              <w:rPr>
                <w:sz w:val="18"/>
                <w:szCs w:val="18"/>
              </w:rPr>
              <w:br/>
            </w:r>
            <w:r>
              <w:rPr>
                <w:sz w:val="18"/>
                <w:szCs w:val="18"/>
              </w:rPr>
              <w:br/>
              <w:t xml:space="preserve">Christopher T. Ellison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cte@eslawfirm.com                            </w:t>
            </w:r>
            <w:r>
              <w:rPr>
                <w:sz w:val="18"/>
                <w:szCs w:val="18"/>
              </w:rPr>
              <w:br/>
            </w:r>
            <w:r>
              <w:rPr>
                <w:sz w:val="18"/>
                <w:szCs w:val="18"/>
              </w:rPr>
              <w:br/>
              <w:t xml:space="preserve">Taylor </w:t>
            </w:r>
            <w:proofErr w:type="spellStart"/>
            <w:r>
              <w:rPr>
                <w:sz w:val="18"/>
                <w:szCs w:val="18"/>
              </w:rPr>
              <w:t>Kayse</w:t>
            </w:r>
            <w:proofErr w:type="spellEnd"/>
            <w:r>
              <w:rPr>
                <w:sz w:val="18"/>
                <w:szCs w:val="18"/>
              </w:rPr>
              <w:t xml:space="preserve">                                 </w:t>
            </w:r>
            <w:r>
              <w:rPr>
                <w:sz w:val="18"/>
                <w:szCs w:val="18"/>
              </w:rPr>
              <w:br/>
              <w:t xml:space="preserve">GEKKO ENGINEERING INC.                       </w:t>
            </w:r>
            <w:r>
              <w:rPr>
                <w:sz w:val="18"/>
                <w:szCs w:val="18"/>
              </w:rPr>
              <w:br/>
              <w:t xml:space="preserve">1210 E 223RD STREET, SUITE 301               </w:t>
            </w:r>
            <w:r>
              <w:rPr>
                <w:sz w:val="18"/>
                <w:szCs w:val="18"/>
              </w:rPr>
              <w:br/>
              <w:t xml:space="preserve">CARSON CA 90745                              </w:t>
            </w:r>
            <w:r>
              <w:rPr>
                <w:sz w:val="18"/>
                <w:szCs w:val="18"/>
              </w:rPr>
              <w:br/>
              <w:t xml:space="preserve">(310) 513-0000                               </w:t>
            </w:r>
            <w:r>
              <w:rPr>
                <w:sz w:val="18"/>
                <w:szCs w:val="18"/>
              </w:rPr>
              <w:br/>
              <w:t xml:space="preserve">tkayse@gekkoeng.com                          </w:t>
            </w:r>
            <w:r>
              <w:rPr>
                <w:sz w:val="18"/>
                <w:szCs w:val="18"/>
              </w:rPr>
              <w:br/>
            </w:r>
            <w:r>
              <w:rPr>
                <w:sz w:val="18"/>
                <w:szCs w:val="18"/>
              </w:rPr>
              <w:br/>
            </w:r>
          </w:p>
        </w:tc>
        <w:tc>
          <w:tcPr>
            <w:tcW w:w="5400" w:type="dxa"/>
            <w:tcBorders>
              <w:top w:val="nil"/>
              <w:left w:val="nil"/>
              <w:bottom w:val="nil"/>
              <w:right w:val="nil"/>
            </w:tcBorders>
          </w:tcPr>
          <w:p w:rsidR="004C194E" w:rsidP="00506322" w:rsidRDefault="004C194E" w14:paraId="4DDCA911" w14:textId="77777777">
            <w:pPr>
              <w:rPr>
                <w:sz w:val="18"/>
                <w:szCs w:val="18"/>
              </w:rPr>
            </w:pPr>
            <w:r>
              <w:rPr>
                <w:sz w:val="18"/>
                <w:szCs w:val="18"/>
              </w:rPr>
              <w:t xml:space="preserve">Charlyn A. Hook                              </w:t>
            </w:r>
            <w:r>
              <w:rPr>
                <w:sz w:val="18"/>
                <w:szCs w:val="18"/>
              </w:rPr>
              <w:br/>
              <w:t xml:space="preserve">Legal Division                               </w:t>
            </w:r>
            <w:r>
              <w:rPr>
                <w:sz w:val="18"/>
                <w:szCs w:val="18"/>
              </w:rPr>
              <w:br/>
              <w:t xml:space="preserve">RM. 5123                                     </w:t>
            </w:r>
            <w:r>
              <w:rPr>
                <w:sz w:val="18"/>
                <w:szCs w:val="18"/>
              </w:rPr>
              <w:br/>
              <w:t xml:space="preserve">505 Van Ness Avenue                          </w:t>
            </w:r>
            <w:r>
              <w:rPr>
                <w:sz w:val="18"/>
                <w:szCs w:val="18"/>
              </w:rPr>
              <w:br/>
              <w:t xml:space="preserve">San Francisco CA 94102 3298                  </w:t>
            </w:r>
            <w:r>
              <w:rPr>
                <w:sz w:val="18"/>
                <w:szCs w:val="18"/>
              </w:rPr>
              <w:br/>
              <w:t xml:space="preserve">(415) 703-3050                               </w:t>
            </w:r>
            <w:r>
              <w:rPr>
                <w:sz w:val="18"/>
                <w:szCs w:val="18"/>
              </w:rPr>
              <w:br/>
              <w:t xml:space="preserve">chh@cpuc.ca.gov                              </w:t>
            </w:r>
            <w:r>
              <w:rPr>
                <w:sz w:val="18"/>
                <w:szCs w:val="18"/>
              </w:rPr>
              <w:br/>
            </w:r>
            <w:r>
              <w:rPr>
                <w:sz w:val="18"/>
                <w:szCs w:val="18"/>
              </w:rPr>
              <w:br/>
              <w:t xml:space="preserve">Suman Mathews                                </w:t>
            </w:r>
            <w:r>
              <w:rPr>
                <w:sz w:val="18"/>
                <w:szCs w:val="18"/>
              </w:rPr>
              <w:br/>
              <w:t xml:space="preserve">Administrative Law Judge Division            </w:t>
            </w:r>
            <w:r>
              <w:rPr>
                <w:sz w:val="18"/>
                <w:szCs w:val="18"/>
              </w:rPr>
              <w:br/>
              <w:t xml:space="preserve">505 Van Ness Avenue                          </w:t>
            </w:r>
            <w:r>
              <w:rPr>
                <w:sz w:val="18"/>
                <w:szCs w:val="18"/>
              </w:rPr>
              <w:br/>
              <w:t xml:space="preserve">San Francisco CA 94102 3298                  </w:t>
            </w:r>
            <w:r>
              <w:rPr>
                <w:sz w:val="18"/>
                <w:szCs w:val="18"/>
              </w:rPr>
              <w:br/>
              <w:t xml:space="preserve">(415) 703-1534                               </w:t>
            </w:r>
            <w:r>
              <w:rPr>
                <w:sz w:val="18"/>
                <w:szCs w:val="18"/>
              </w:rPr>
              <w:br/>
              <w:t xml:space="preserve">srm@cpuc.ca.gov                              </w:t>
            </w:r>
            <w:r>
              <w:rPr>
                <w:sz w:val="18"/>
                <w:szCs w:val="18"/>
              </w:rPr>
              <w:br/>
            </w:r>
            <w:r>
              <w:rPr>
                <w:sz w:val="18"/>
                <w:szCs w:val="18"/>
              </w:rPr>
              <w:br/>
              <w:t xml:space="preserve">Beckie Phanh                                 </w:t>
            </w:r>
            <w:r>
              <w:rPr>
                <w:sz w:val="18"/>
                <w:szCs w:val="18"/>
              </w:rPr>
              <w:br/>
              <w:t xml:space="preserve">Administrative Law Judge Division            </w:t>
            </w:r>
            <w:r>
              <w:rPr>
                <w:sz w:val="18"/>
                <w:szCs w:val="18"/>
              </w:rPr>
              <w:br/>
              <w:t xml:space="preserve">505 Van Ness Avenue                          </w:t>
            </w:r>
            <w:r>
              <w:rPr>
                <w:sz w:val="18"/>
                <w:szCs w:val="18"/>
              </w:rPr>
              <w:br/>
              <w:t xml:space="preserve">San Francisco CA 94102 3298                  </w:t>
            </w:r>
            <w:r>
              <w:rPr>
                <w:sz w:val="18"/>
                <w:szCs w:val="18"/>
              </w:rPr>
              <w:br/>
              <w:t xml:space="preserve">(415) 696-7352                               </w:t>
            </w:r>
            <w:r>
              <w:rPr>
                <w:sz w:val="18"/>
                <w:szCs w:val="18"/>
              </w:rPr>
              <w:br/>
              <w:t xml:space="preserve">bx1@cpuc.ca.gov                              </w:t>
            </w:r>
            <w:r>
              <w:rPr>
                <w:sz w:val="18"/>
                <w:szCs w:val="18"/>
              </w:rPr>
              <w:br/>
            </w:r>
            <w:r>
              <w:rPr>
                <w:sz w:val="18"/>
                <w:szCs w:val="18"/>
              </w:rPr>
              <w:br/>
            </w:r>
          </w:p>
        </w:tc>
      </w:tr>
    </w:tbl>
    <w:p w:rsidRPr="00550E98" w:rsidR="006E5258" w:rsidP="004C194E" w:rsidRDefault="006E5258" w14:paraId="1F11B26C" w14:textId="7E060A81">
      <w:pPr>
        <w:pStyle w:val="standard"/>
        <w:keepNext/>
        <w:keepLines/>
        <w:spacing w:line="240" w:lineRule="auto"/>
        <w:ind w:firstLine="0"/>
        <w:rPr>
          <w:rFonts w:ascii="Book Antiqua" w:hAnsi="Book Antiqua"/>
        </w:rPr>
      </w:pPr>
    </w:p>
    <w:sectPr w:rsidRPr="00550E98" w:rsidR="006E5258" w:rsidSect="00D62A9B">
      <w:pgSz w:w="12240" w:h="15840"/>
      <w:pgMar w:top="1440" w:right="1440" w:bottom="1440" w:left="1440" w:header="720" w:footer="720" w:gutter="0"/>
      <w:pgNumType w:fmt="numberInDash" w:start="1"/>
      <w:cols w:space="720"/>
      <w:docGrid w:linePitch="360"/>
    </w:sectPr>
    <w:p>
      <w:r>
        <w:t xml:space="preserve"/>
      </w:r>
    </w:p>
    <w:p>
      <w:r>
        <w:t xml:space="preserve">Attachment 1: </w:t>
      </w:r>
    </w:p>
    <w:p>
      <w:hyperlink w:history="true" r:id="R38c218e0d005490a">
        <w:r w:rsidRPr="00CB1292">
          <w:rPr>
            <w:rStyle w:val="Hyperlink"/>
            <w:color w:val="2E74B5" w:themeColor="accent1" w:themeShade="BF"/>
            <w:u w:val="single"/>
          </w:rPr>
          <w:t>Attachment to Resolution ALJ-411</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C775" w14:textId="77777777" w:rsidR="00D1336D" w:rsidRDefault="00D1336D">
      <w:r>
        <w:separator/>
      </w:r>
    </w:p>
  </w:endnote>
  <w:endnote w:type="continuationSeparator" w:id="0">
    <w:p w14:paraId="214CEE3E" w14:textId="77777777" w:rsidR="00D1336D" w:rsidRDefault="00D1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9B2D" w14:textId="3D64F815" w:rsidR="00C47C2A" w:rsidRDefault="00C47C2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F004B">
      <w:rPr>
        <w:rStyle w:val="PageNumber"/>
        <w:noProof/>
      </w:rPr>
      <w:t>2</w:t>
    </w:r>
    <w:r>
      <w:rPr>
        <w:rStyle w:val="PageNumber"/>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638E" w14:textId="77777777" w:rsidR="00CE54E9" w:rsidRDefault="00CE54E9">
    <w:pPr>
      <w:pStyle w:val="Footer"/>
    </w:pPr>
    <w:r w:rsidRPr="00CE54E9">
      <w:rPr>
        <w:sz w:val="16"/>
        <w:szCs w:val="16"/>
      </w:rPr>
      <w:t>420354209</w:t>
    </w:r>
    <w:r w:rsidRPr="00CE54E9">
      <w:tab/>
    </w:r>
    <w:sdt>
      <w:sdtPr>
        <w:id w:val="792560102"/>
        <w:docPartObj>
          <w:docPartGallery w:val="Page Numbers (Bottom of Page)"/>
          <w:docPartUnique/>
        </w:docPartObj>
      </w:sdtPr>
      <w:sdtEndPr>
        <w:rPr>
          <w:noProof/>
        </w:rPr>
      </w:sdtEndPr>
      <w:sdtContent>
        <w:r w:rsidRPr="00CE54E9">
          <w:fldChar w:fldCharType="begin"/>
        </w:r>
        <w:r w:rsidRPr="00CE54E9">
          <w:instrText xml:space="preserve"> PAGE   \* MERGEFORMAT </w:instrText>
        </w:r>
        <w:r w:rsidRPr="00CE54E9">
          <w:fldChar w:fldCharType="separate"/>
        </w:r>
        <w:r w:rsidRPr="00CE54E9">
          <w:rPr>
            <w:noProof/>
          </w:rPr>
          <w:t>2</w:t>
        </w:r>
        <w:r w:rsidRPr="00CE54E9">
          <w:rPr>
            <w:noProof/>
          </w:rPr>
          <w:fldChar w:fldCharType="end"/>
        </w:r>
      </w:sdtContent>
    </w:sdt>
  </w:p>
  <w:p w14:paraId="00920F83" w14:textId="77777777" w:rsidR="00CE54E9" w:rsidRDefault="00CE5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6FA9" w14:textId="77777777" w:rsidR="00292759" w:rsidRPr="00070884" w:rsidRDefault="00292759" w:rsidP="00070884">
    <w:pPr>
      <w:pStyle w:val="Footer"/>
      <w:jc w:val="center"/>
      <w:rPr>
        <w:rFonts w:ascii="Book Antiqua" w:hAnsi="Book Antiqua"/>
      </w:rPr>
    </w:pPr>
    <w:r w:rsidRPr="00070884">
      <w:rPr>
        <w:rFonts w:ascii="Book Antiqua" w:hAnsi="Book Antiqua"/>
      </w:rPr>
      <w:fldChar w:fldCharType="begin"/>
    </w:r>
    <w:r w:rsidRPr="00070884">
      <w:rPr>
        <w:rFonts w:ascii="Book Antiqua" w:hAnsi="Book Antiqua"/>
      </w:rPr>
      <w:instrText xml:space="preserve"> PAGE   \* MERGEFORMAT </w:instrText>
    </w:r>
    <w:r w:rsidRPr="00070884">
      <w:rPr>
        <w:rFonts w:ascii="Book Antiqua" w:hAnsi="Book Antiqua"/>
      </w:rPr>
      <w:fldChar w:fldCharType="separate"/>
    </w:r>
    <w:r w:rsidRPr="00070884">
      <w:rPr>
        <w:rFonts w:ascii="Book Antiqua" w:hAnsi="Book Antiqua"/>
        <w:noProof/>
      </w:rPr>
      <w:t>2</w:t>
    </w:r>
    <w:r w:rsidRPr="00070884">
      <w:rPr>
        <w:rFonts w:ascii="Book Antiqua" w:hAnsi="Book Antiqu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3ED7" w14:textId="77777777" w:rsidR="00292759" w:rsidRPr="00AF0F82" w:rsidRDefault="00292759" w:rsidP="00070884">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B169" w14:textId="77777777" w:rsidR="00292759" w:rsidRDefault="00292759" w:rsidP="002F4E62">
    <w:pPr>
      <w:pStyle w:val="Footer"/>
    </w:pPr>
    <w:r>
      <w:fldChar w:fldCharType="begin"/>
    </w:r>
    <w:r>
      <w:instrText xml:space="preserve"> PAGE   \* MERGEFORMAT </w:instrText>
    </w:r>
    <w:r>
      <w:fldChar w:fldCharType="separate"/>
    </w:r>
    <w:r>
      <w:rPr>
        <w:noProof/>
      </w:rPr>
      <w:t>- 1 -</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6D53" w14:textId="77777777" w:rsidR="00292759" w:rsidRPr="00AF0F82" w:rsidRDefault="00292759" w:rsidP="00070884">
    <w:pPr>
      <w:pStyle w:val="Footer"/>
      <w:jc w:val="center"/>
      <w:rPr>
        <w:rFonts w:ascii="Book Antiqua" w:hAnsi="Book Antiqua"/>
      </w:rPr>
    </w:pPr>
    <w:r w:rsidRPr="00AF0F82">
      <w:rPr>
        <w:rFonts w:ascii="Book Antiqua" w:hAnsi="Book Antiqua"/>
      </w:rPr>
      <w:fldChar w:fldCharType="begin"/>
    </w:r>
    <w:r w:rsidRPr="00AF0F82">
      <w:rPr>
        <w:rFonts w:ascii="Book Antiqua" w:hAnsi="Book Antiqua"/>
      </w:rPr>
      <w:instrText xml:space="preserve"> PAGE   \* MERGEFORMAT </w:instrText>
    </w:r>
    <w:r w:rsidRPr="00AF0F82">
      <w:rPr>
        <w:rFonts w:ascii="Book Antiqua" w:hAnsi="Book Antiqua"/>
      </w:rPr>
      <w:fldChar w:fldCharType="separate"/>
    </w:r>
    <w:r w:rsidRPr="00AF0F82">
      <w:rPr>
        <w:rFonts w:ascii="Book Antiqua" w:hAnsi="Book Antiqua"/>
        <w:noProof/>
      </w:rPr>
      <w:t>- 2 -</w:t>
    </w:r>
    <w:r w:rsidRPr="00AF0F82">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1C33" w14:textId="77777777" w:rsidR="00D1336D" w:rsidRDefault="00D1336D">
      <w:r>
        <w:separator/>
      </w:r>
    </w:p>
  </w:footnote>
  <w:footnote w:type="continuationSeparator" w:id="0">
    <w:p w14:paraId="09E937BC" w14:textId="77777777" w:rsidR="00D1336D" w:rsidRDefault="00D1336D">
      <w:r>
        <w:continuationSeparator/>
      </w:r>
    </w:p>
  </w:footnote>
  <w:footnote w:id="1">
    <w:p w14:paraId="1746B121" w14:textId="77777777" w:rsidR="00F877F6" w:rsidRPr="00F73889" w:rsidRDefault="00F877F6" w:rsidP="00F877F6">
      <w:pPr>
        <w:pStyle w:val="FootnoteText"/>
        <w:rPr>
          <w:rFonts w:ascii="Book Antiqua" w:hAnsi="Book Antiqua"/>
          <w:sz w:val="22"/>
          <w:szCs w:val="22"/>
        </w:rPr>
      </w:pPr>
      <w:r w:rsidRPr="00F73889">
        <w:rPr>
          <w:rStyle w:val="FootnoteReference"/>
          <w:rFonts w:ascii="Book Antiqua" w:hAnsi="Book Antiqua"/>
          <w:sz w:val="22"/>
          <w:szCs w:val="22"/>
        </w:rPr>
        <w:footnoteRef/>
      </w:r>
      <w:r w:rsidRPr="00F73889">
        <w:rPr>
          <w:rFonts w:ascii="Book Antiqua" w:hAnsi="Book Antiqua"/>
          <w:sz w:val="22"/>
          <w:szCs w:val="22"/>
        </w:rPr>
        <w:t xml:space="preserve"> </w:t>
      </w:r>
      <w:r>
        <w:rPr>
          <w:rFonts w:ascii="Book Antiqua" w:hAnsi="Book Antiqua"/>
          <w:sz w:val="22"/>
          <w:szCs w:val="22"/>
        </w:rPr>
        <w:t>A</w:t>
      </w:r>
      <w:r w:rsidRPr="00F73889">
        <w:rPr>
          <w:rFonts w:ascii="Book Antiqua" w:hAnsi="Book Antiqua"/>
          <w:sz w:val="22"/>
          <w:szCs w:val="22"/>
        </w:rPr>
        <w:t>ll</w:t>
      </w:r>
      <w:r>
        <w:rPr>
          <w:rFonts w:ascii="Book Antiqua" w:hAnsi="Book Antiqua"/>
          <w:sz w:val="22"/>
          <w:szCs w:val="22"/>
        </w:rPr>
        <w:t xml:space="preserve"> section references are to the</w:t>
      </w:r>
      <w:r w:rsidRPr="00F73889">
        <w:rPr>
          <w:rFonts w:ascii="Book Antiqua" w:hAnsi="Book Antiqua"/>
          <w:sz w:val="22"/>
          <w:szCs w:val="22"/>
        </w:rPr>
        <w:t xml:space="preserve"> </w:t>
      </w:r>
      <w:r>
        <w:rPr>
          <w:rFonts w:ascii="Book Antiqua" w:hAnsi="Book Antiqua"/>
          <w:sz w:val="22"/>
          <w:szCs w:val="22"/>
        </w:rPr>
        <w:t xml:space="preserve">California </w:t>
      </w:r>
      <w:r w:rsidRPr="00F73889">
        <w:rPr>
          <w:rFonts w:ascii="Book Antiqua" w:hAnsi="Book Antiqua"/>
          <w:sz w:val="22"/>
          <w:szCs w:val="22"/>
        </w:rPr>
        <w:t>Pub</w:t>
      </w:r>
      <w:r>
        <w:rPr>
          <w:rFonts w:ascii="Book Antiqua" w:hAnsi="Book Antiqua"/>
          <w:sz w:val="22"/>
          <w:szCs w:val="22"/>
        </w:rPr>
        <w:t>lic</w:t>
      </w:r>
      <w:r w:rsidRPr="00F73889">
        <w:rPr>
          <w:rFonts w:ascii="Book Antiqua" w:hAnsi="Book Antiqua"/>
          <w:sz w:val="22"/>
          <w:szCs w:val="22"/>
        </w:rPr>
        <w:t xml:space="preserve"> Util</w:t>
      </w:r>
      <w:r>
        <w:rPr>
          <w:rFonts w:ascii="Book Antiqua" w:hAnsi="Book Antiqua"/>
          <w:sz w:val="22"/>
          <w:szCs w:val="22"/>
        </w:rPr>
        <w:t xml:space="preserve">ities </w:t>
      </w:r>
      <w:r w:rsidRPr="00F73889">
        <w:rPr>
          <w:rFonts w:ascii="Book Antiqua" w:hAnsi="Book Antiqua"/>
          <w:sz w:val="22"/>
          <w:szCs w:val="22"/>
        </w:rPr>
        <w:t>Code</w:t>
      </w:r>
      <w:r>
        <w:rPr>
          <w:rFonts w:ascii="Book Antiqua" w:hAnsi="Book Antiqua"/>
          <w:sz w:val="22"/>
          <w:szCs w:val="22"/>
        </w:rPr>
        <w:t>,</w:t>
      </w:r>
      <w:r w:rsidRPr="00F73889">
        <w:rPr>
          <w:rFonts w:ascii="Book Antiqua" w:hAnsi="Book Antiqua"/>
          <w:sz w:val="22"/>
          <w:szCs w:val="22"/>
        </w:rPr>
        <w:t xml:space="preserve"> unless otherwise indicated. </w:t>
      </w:r>
    </w:p>
  </w:footnote>
  <w:footnote w:id="2">
    <w:p w14:paraId="0E0602CD" w14:textId="77777777" w:rsidR="008F0D2E" w:rsidRPr="006643E4" w:rsidRDefault="008F0D2E" w:rsidP="00E521A4">
      <w:pPr>
        <w:pStyle w:val="FootnoteText"/>
        <w:spacing w:after="120"/>
        <w:rPr>
          <w:rFonts w:ascii="Book Antiqua" w:hAnsi="Book Antiqua"/>
          <w:sz w:val="22"/>
          <w:szCs w:val="22"/>
        </w:rPr>
      </w:pPr>
      <w:r w:rsidRPr="00F73889">
        <w:rPr>
          <w:rStyle w:val="FootnoteReference"/>
          <w:rFonts w:ascii="Book Antiqua" w:hAnsi="Book Antiqua"/>
          <w:sz w:val="22"/>
          <w:szCs w:val="22"/>
        </w:rPr>
        <w:footnoteRef/>
      </w:r>
      <w:r w:rsidRPr="00F73889">
        <w:rPr>
          <w:rFonts w:ascii="Book Antiqua" w:hAnsi="Book Antiqua"/>
          <w:sz w:val="22"/>
          <w:szCs w:val="22"/>
        </w:rPr>
        <w:t xml:space="preserve"> </w:t>
      </w:r>
      <w:r w:rsidRPr="006643E4">
        <w:rPr>
          <w:rFonts w:ascii="Book Antiqua" w:hAnsi="Book Antiqua"/>
          <w:sz w:val="22"/>
          <w:szCs w:val="22"/>
        </w:rPr>
        <w:t xml:space="preserve">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3.</w:t>
      </w:r>
    </w:p>
  </w:footnote>
  <w:footnote w:id="3">
    <w:p w14:paraId="17A634B6" w14:textId="77777777" w:rsidR="008F0D2E" w:rsidRPr="006643E4" w:rsidRDefault="008F0D2E"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3.</w:t>
      </w:r>
    </w:p>
  </w:footnote>
  <w:footnote w:id="4">
    <w:p w14:paraId="5E40F378" w14:textId="7A61A328" w:rsidR="008F0D2E" w:rsidRDefault="008F0D2E" w:rsidP="008F0D2E">
      <w:pPr>
        <w:pStyle w:val="FootnoteText"/>
      </w:pPr>
      <w:r w:rsidRPr="006643E4">
        <w:rPr>
          <w:rStyle w:val="FootnoteReference"/>
          <w:rFonts w:ascii="Book Antiqua" w:hAnsi="Book Antiqua"/>
        </w:rPr>
        <w:footnoteRef/>
      </w:r>
      <w:r w:rsidRPr="006643E4">
        <w:rPr>
          <w:rFonts w:ascii="Book Antiqua" w:hAnsi="Book Antiqua"/>
        </w:rPr>
        <w:t xml:space="preserve"> </w:t>
      </w:r>
      <w:r w:rsidRPr="006643E4">
        <w:rPr>
          <w:rFonts w:ascii="Book Antiqua" w:hAnsi="Book Antiqua"/>
          <w:sz w:val="22"/>
          <w:szCs w:val="22"/>
        </w:rPr>
        <w:t xml:space="preserve">Resolution ALJ-377 (April </w:t>
      </w:r>
      <w:r w:rsidR="00F07016" w:rsidRPr="006643E4">
        <w:rPr>
          <w:rFonts w:ascii="Book Antiqua" w:hAnsi="Book Antiqua"/>
          <w:sz w:val="22"/>
          <w:szCs w:val="22"/>
        </w:rPr>
        <w:t>28</w:t>
      </w:r>
      <w:r w:rsidRPr="006643E4">
        <w:rPr>
          <w:rFonts w:ascii="Book Antiqua" w:hAnsi="Book Antiqua"/>
          <w:sz w:val="22"/>
          <w:szCs w:val="22"/>
        </w:rPr>
        <w:t xml:space="preserve">, 2020) at 4.  Section 7.3.1. of </w:t>
      </w:r>
      <w:r w:rsidR="00500520" w:rsidRPr="006643E4">
        <w:rPr>
          <w:rFonts w:ascii="Book Antiqua" w:hAnsi="Book Antiqua"/>
          <w:sz w:val="22"/>
          <w:szCs w:val="22"/>
        </w:rPr>
        <w:t>GO</w:t>
      </w:r>
      <w:r w:rsidRPr="006643E4">
        <w:rPr>
          <w:rFonts w:ascii="Book Antiqua" w:hAnsi="Book Antiqua"/>
          <w:sz w:val="22"/>
          <w:szCs w:val="22"/>
        </w:rPr>
        <w:t xml:space="preserve"> 156 indicates that a Notice of Appeal will </w:t>
      </w:r>
      <w:r w:rsidRPr="006643E4">
        <w:rPr>
          <w:rFonts w:ascii="Book Antiqua" w:hAnsi="Book Antiqua"/>
          <w:i/>
          <w:iCs/>
          <w:sz w:val="22"/>
          <w:szCs w:val="22"/>
        </w:rPr>
        <w:t>not</w:t>
      </w:r>
      <w:r w:rsidRPr="006643E4">
        <w:rPr>
          <w:rFonts w:ascii="Book Antiqua" w:hAnsi="Book Antiqua"/>
          <w:sz w:val="22"/>
          <w:szCs w:val="22"/>
        </w:rPr>
        <w:t xml:space="preserve"> be docketed with the Commission as formal proceedings.  This statement is incorrect.  The Commission now initiates formal proceedings upon receipt of a Notice of Appeal.  The Commission adopted this change in Resolution ALJ</w:t>
      </w:r>
      <w:r w:rsidR="00500520" w:rsidRPr="006643E4">
        <w:rPr>
          <w:rFonts w:ascii="Book Antiqua" w:hAnsi="Book Antiqua"/>
          <w:sz w:val="22"/>
          <w:szCs w:val="22"/>
        </w:rPr>
        <w:noBreakHyphen/>
      </w:r>
      <w:r w:rsidRPr="006643E4">
        <w:rPr>
          <w:rFonts w:ascii="Book Antiqua" w:hAnsi="Book Antiqua"/>
          <w:sz w:val="22"/>
          <w:szCs w:val="22"/>
        </w:rPr>
        <w:t xml:space="preserve">377 (April </w:t>
      </w:r>
      <w:r w:rsidR="00B2383D" w:rsidRPr="006643E4">
        <w:rPr>
          <w:rFonts w:ascii="Book Antiqua" w:hAnsi="Book Antiqua"/>
          <w:sz w:val="22"/>
          <w:szCs w:val="22"/>
        </w:rPr>
        <w:t>28</w:t>
      </w:r>
      <w:r w:rsidRPr="006643E4">
        <w:rPr>
          <w:rFonts w:ascii="Book Antiqua" w:hAnsi="Book Antiqua"/>
          <w:sz w:val="22"/>
          <w:szCs w:val="22"/>
        </w:rPr>
        <w:t>, 2020) and Resolution ALJ-299 (July 2, 20</w:t>
      </w:r>
      <w:r w:rsidR="00B2383D" w:rsidRPr="006643E4">
        <w:rPr>
          <w:rFonts w:ascii="Book Antiqua" w:hAnsi="Book Antiqua"/>
          <w:sz w:val="22"/>
          <w:szCs w:val="22"/>
        </w:rPr>
        <w:t>1</w:t>
      </w:r>
      <w:r w:rsidRPr="006643E4">
        <w:rPr>
          <w:rFonts w:ascii="Book Antiqua" w:hAnsi="Book Antiqua"/>
          <w:sz w:val="22"/>
          <w:szCs w:val="22"/>
        </w:rPr>
        <w:t xml:space="preserve">4) but has not revised </w:t>
      </w:r>
      <w:r w:rsidR="00F07016" w:rsidRPr="006643E4">
        <w:rPr>
          <w:rFonts w:ascii="Book Antiqua" w:hAnsi="Book Antiqua"/>
          <w:sz w:val="22"/>
          <w:szCs w:val="22"/>
        </w:rPr>
        <w:t xml:space="preserve">GO 156, </w:t>
      </w:r>
      <w:r w:rsidRPr="006643E4">
        <w:rPr>
          <w:rFonts w:ascii="Book Antiqua" w:hAnsi="Book Antiqua"/>
          <w:sz w:val="22"/>
          <w:szCs w:val="22"/>
        </w:rPr>
        <w:t>Section 7 to reflect these changes.  Resolution ALJ-377 explains that “Resolution</w:t>
      </w:r>
      <w:r w:rsidR="00500520" w:rsidRPr="006643E4">
        <w:rPr>
          <w:rFonts w:ascii="Book Antiqua" w:hAnsi="Book Antiqua"/>
          <w:sz w:val="22"/>
          <w:szCs w:val="22"/>
        </w:rPr>
        <w:t> </w:t>
      </w:r>
      <w:r w:rsidRPr="006643E4">
        <w:rPr>
          <w:rFonts w:ascii="Book Antiqua" w:hAnsi="Book Antiqua"/>
          <w:sz w:val="22"/>
          <w:szCs w:val="22"/>
        </w:rPr>
        <w:t>ALJ-299 required all citation appeals and GO</w:t>
      </w:r>
      <w:r w:rsidR="00DC5D66">
        <w:rPr>
          <w:rFonts w:ascii="Book Antiqua" w:hAnsi="Book Antiqua"/>
          <w:sz w:val="22"/>
          <w:szCs w:val="22"/>
        </w:rPr>
        <w:t> </w:t>
      </w:r>
      <w:r w:rsidRPr="006643E4">
        <w:rPr>
          <w:rFonts w:ascii="Book Antiqua" w:hAnsi="Book Antiqua"/>
          <w:sz w:val="22"/>
          <w:szCs w:val="22"/>
        </w:rPr>
        <w:t>156 appeals to be filed with the Commission’s Docket Office so as to establish a docket card and service list for each appeal.”</w:t>
      </w:r>
      <w:r w:rsidRPr="00B7482E">
        <w:t xml:space="preserve">  </w:t>
      </w:r>
    </w:p>
  </w:footnote>
  <w:footnote w:id="5">
    <w:p w14:paraId="7CC93C20" w14:textId="77777777" w:rsidR="00A25BD5" w:rsidRPr="006643E4" w:rsidRDefault="00A25BD5" w:rsidP="005A647A">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Section 7.3. of </w:t>
      </w:r>
      <w:r w:rsidR="007370C2" w:rsidRPr="006643E4">
        <w:rPr>
          <w:rFonts w:ascii="Book Antiqua" w:hAnsi="Book Antiqua"/>
          <w:sz w:val="22"/>
          <w:szCs w:val="22"/>
        </w:rPr>
        <w:t>GO</w:t>
      </w:r>
      <w:r w:rsidRPr="006643E4">
        <w:rPr>
          <w:rFonts w:ascii="Book Antiqua" w:hAnsi="Book Antiqua"/>
          <w:sz w:val="22"/>
          <w:szCs w:val="22"/>
        </w:rPr>
        <w:t xml:space="preserve"> 156 uses the word “complainant” to refer to the entity appealing the denial for certification from the Supplier Clearinghouse to the Commission.</w:t>
      </w:r>
      <w:r w:rsidR="005A647A" w:rsidRPr="006643E4">
        <w:rPr>
          <w:rFonts w:ascii="Book Antiqua" w:hAnsi="Book Antiqua"/>
          <w:sz w:val="22"/>
          <w:szCs w:val="22"/>
        </w:rPr>
        <w:t xml:space="preserve">  </w:t>
      </w:r>
      <w:r w:rsidRPr="006643E4">
        <w:rPr>
          <w:rFonts w:ascii="Book Antiqua" w:hAnsi="Book Antiqua"/>
          <w:sz w:val="22"/>
          <w:szCs w:val="22"/>
        </w:rPr>
        <w:t>The word “appellant” is used in this Resolution to reflect the fact that the applicant, Gekko Engineering, is appealing a denial from Supplier Clearinghouse, and not filing a complaint under Rules</w:t>
      </w:r>
      <w:r w:rsidR="00703584" w:rsidRPr="006643E4">
        <w:rPr>
          <w:rFonts w:ascii="Book Antiqua" w:hAnsi="Book Antiqua"/>
          <w:sz w:val="22"/>
          <w:szCs w:val="22"/>
        </w:rPr>
        <w:t> </w:t>
      </w:r>
      <w:r w:rsidRPr="006643E4">
        <w:rPr>
          <w:rFonts w:ascii="Book Antiqua" w:hAnsi="Book Antiqua"/>
          <w:sz w:val="22"/>
          <w:szCs w:val="22"/>
        </w:rPr>
        <w:t>4.1</w:t>
      </w:r>
      <w:r w:rsidR="00703584" w:rsidRPr="006643E4">
        <w:rPr>
          <w:rFonts w:ascii="Book Antiqua" w:hAnsi="Book Antiqua"/>
          <w:sz w:val="22"/>
          <w:szCs w:val="22"/>
        </w:rPr>
        <w:noBreakHyphen/>
      </w:r>
      <w:r w:rsidRPr="006643E4">
        <w:rPr>
          <w:rFonts w:ascii="Book Antiqua" w:hAnsi="Book Antiqua"/>
          <w:sz w:val="22"/>
          <w:szCs w:val="22"/>
        </w:rPr>
        <w:t>4.6 of the Commission’s Rules of Practice and Procedure.</w:t>
      </w:r>
      <w:r w:rsidR="00703584" w:rsidRPr="006643E4">
        <w:rPr>
          <w:rFonts w:ascii="Book Antiqua" w:hAnsi="Book Antiqua"/>
          <w:sz w:val="22"/>
          <w:szCs w:val="22"/>
        </w:rPr>
        <w:t xml:space="preserve">  </w:t>
      </w:r>
      <w:r w:rsidRPr="006643E4">
        <w:rPr>
          <w:rFonts w:ascii="Book Antiqua" w:hAnsi="Book Antiqua"/>
          <w:sz w:val="22"/>
          <w:szCs w:val="22"/>
        </w:rPr>
        <w:t xml:space="preserve">For this reason, Gekko Engineering is not characterized as a complainant. </w:t>
      </w:r>
    </w:p>
  </w:footnote>
  <w:footnote w:id="6">
    <w:p w14:paraId="4F14894A" w14:textId="6069E08A" w:rsidR="00A25BD5" w:rsidRPr="006643E4" w:rsidRDefault="00A25BD5" w:rsidP="005A647A">
      <w:pPr>
        <w:pStyle w:val="FootnoteText"/>
        <w:spacing w:after="120"/>
        <w:rPr>
          <w:rFonts w:ascii="Book Antiqua" w:hAnsi="Book Antiqua"/>
          <w:sz w:val="22"/>
          <w:szCs w:val="22"/>
        </w:rPr>
      </w:pPr>
      <w:r w:rsidRPr="00F53C8C">
        <w:rPr>
          <w:rStyle w:val="FootnoteReference"/>
          <w:sz w:val="22"/>
          <w:szCs w:val="22"/>
        </w:rPr>
        <w:footnoteRef/>
      </w:r>
      <w:r w:rsidRPr="00F53C8C">
        <w:rPr>
          <w:sz w:val="22"/>
          <w:szCs w:val="22"/>
        </w:rPr>
        <w:t xml:space="preserve"> </w:t>
      </w:r>
      <w:bookmarkStart w:id="2" w:name="_Hlk84421767"/>
      <w:r w:rsidRPr="006643E4">
        <w:rPr>
          <w:rFonts w:ascii="Book Antiqua" w:hAnsi="Book Antiqua"/>
          <w:sz w:val="22"/>
          <w:szCs w:val="22"/>
        </w:rPr>
        <w:t xml:space="preserve">Resolution ALJ-377 (April </w:t>
      </w:r>
      <w:r w:rsidR="00B2383D" w:rsidRPr="006643E4">
        <w:rPr>
          <w:rFonts w:ascii="Book Antiqua" w:hAnsi="Book Antiqua"/>
          <w:sz w:val="22"/>
          <w:szCs w:val="22"/>
        </w:rPr>
        <w:t>28</w:t>
      </w:r>
      <w:r w:rsidRPr="006643E4">
        <w:rPr>
          <w:rFonts w:ascii="Book Antiqua" w:hAnsi="Book Antiqua"/>
          <w:sz w:val="22"/>
          <w:szCs w:val="22"/>
        </w:rPr>
        <w:t xml:space="preserve">, 2020) </w:t>
      </w:r>
      <w:bookmarkEnd w:id="2"/>
      <w:r w:rsidRPr="006643E4">
        <w:rPr>
          <w:rFonts w:ascii="Book Antiqua" w:hAnsi="Book Antiqua"/>
          <w:sz w:val="22"/>
          <w:szCs w:val="22"/>
        </w:rPr>
        <w:t>at 15.</w:t>
      </w:r>
    </w:p>
  </w:footnote>
  <w:footnote w:id="7">
    <w:p w14:paraId="61E3CADA" w14:textId="58D7EE0A" w:rsidR="00A25BD5" w:rsidRPr="006643E4" w:rsidRDefault="00A25BD5" w:rsidP="005A647A">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Resolution ALJ-377 (April </w:t>
      </w:r>
      <w:r w:rsidR="00B2383D" w:rsidRPr="006643E4">
        <w:rPr>
          <w:rFonts w:ascii="Book Antiqua" w:hAnsi="Book Antiqua"/>
          <w:sz w:val="22"/>
          <w:szCs w:val="22"/>
        </w:rPr>
        <w:t>28</w:t>
      </w:r>
      <w:r w:rsidRPr="006643E4">
        <w:rPr>
          <w:rFonts w:ascii="Book Antiqua" w:hAnsi="Book Antiqua"/>
          <w:sz w:val="22"/>
          <w:szCs w:val="22"/>
        </w:rPr>
        <w:t>, 2020) Appendix B at 94.</w:t>
      </w:r>
    </w:p>
  </w:footnote>
  <w:footnote w:id="8">
    <w:p w14:paraId="7AE9E768" w14:textId="77777777" w:rsidR="00A25BD5" w:rsidRPr="00F53C8C" w:rsidRDefault="00A25BD5" w:rsidP="00A25BD5">
      <w:pPr>
        <w:pStyle w:val="FootnoteText"/>
        <w:rPr>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Section 7.3.10. of </w:t>
      </w:r>
      <w:r w:rsidR="007370C2" w:rsidRPr="006643E4">
        <w:rPr>
          <w:rFonts w:ascii="Book Antiqua" w:hAnsi="Book Antiqua"/>
          <w:sz w:val="22"/>
          <w:szCs w:val="22"/>
        </w:rPr>
        <w:t>GO</w:t>
      </w:r>
      <w:r w:rsidRPr="006643E4">
        <w:rPr>
          <w:rFonts w:ascii="Book Antiqua" w:hAnsi="Book Antiqua"/>
          <w:sz w:val="22"/>
          <w:szCs w:val="22"/>
        </w:rPr>
        <w:t xml:space="preserve"> 156 reflects the common practice at the Commission of submitting this type of proceeding soon after evidentiary hearings conclude, stating “Ordinarily, the appeal shall be submitted at the close of the hearing.”</w:t>
      </w:r>
    </w:p>
  </w:footnote>
  <w:footnote w:id="9">
    <w:p w14:paraId="7A5F754B" w14:textId="77777777" w:rsidR="00A25BD5" w:rsidRPr="006643E4" w:rsidRDefault="00A25BD5" w:rsidP="00E521A4">
      <w:pPr>
        <w:pStyle w:val="FootnoteText"/>
        <w:spacing w:after="120"/>
        <w:rPr>
          <w:rFonts w:ascii="Book Antiqua" w:hAnsi="Book Antiqua"/>
          <w:sz w:val="22"/>
          <w:szCs w:val="22"/>
        </w:rPr>
      </w:pPr>
      <w:r w:rsidRPr="00F53C8C">
        <w:rPr>
          <w:rStyle w:val="FootnoteReference"/>
          <w:sz w:val="22"/>
          <w:szCs w:val="22"/>
        </w:rPr>
        <w:footnoteRef/>
      </w:r>
      <w:r w:rsidRPr="00F53C8C">
        <w:rPr>
          <w:sz w:val="22"/>
          <w:szCs w:val="22"/>
        </w:rPr>
        <w:t xml:space="preserve"> </w:t>
      </w:r>
      <w:r w:rsidRPr="006643E4">
        <w:rPr>
          <w:rFonts w:ascii="Book Antiqua" w:hAnsi="Book Antiqua"/>
          <w:sz w:val="22"/>
          <w:szCs w:val="22"/>
        </w:rPr>
        <w:t xml:space="preserve">Section 7.3.11. of </w:t>
      </w:r>
      <w:r w:rsidR="007370C2" w:rsidRPr="006643E4">
        <w:rPr>
          <w:rFonts w:ascii="Book Antiqua" w:hAnsi="Book Antiqua"/>
          <w:sz w:val="22"/>
          <w:szCs w:val="22"/>
        </w:rPr>
        <w:t>GO</w:t>
      </w:r>
      <w:r w:rsidRPr="006643E4">
        <w:rPr>
          <w:rFonts w:ascii="Book Antiqua" w:hAnsi="Book Antiqua"/>
          <w:sz w:val="22"/>
          <w:szCs w:val="22"/>
        </w:rPr>
        <w:t xml:space="preserve"> 156 provides: “The </w:t>
      </w:r>
      <w:r w:rsidR="005B09E4" w:rsidRPr="006643E4">
        <w:rPr>
          <w:rFonts w:ascii="Book Antiqua" w:hAnsi="Book Antiqua"/>
          <w:sz w:val="22"/>
          <w:szCs w:val="22"/>
        </w:rPr>
        <w:t>ALJ</w:t>
      </w:r>
      <w:r w:rsidRPr="006643E4">
        <w:rPr>
          <w:rFonts w:ascii="Book Antiqua" w:hAnsi="Book Antiqua"/>
          <w:sz w:val="22"/>
          <w:szCs w:val="22"/>
        </w:rPr>
        <w:t xml:space="preserve"> shall issue an order resolving the appeal no later than 30 days after the appeal is submitted, and the order will be placed on the Commission’s first available agenda, consistent with the Commission’s applicable rules.”</w:t>
      </w:r>
    </w:p>
  </w:footnote>
  <w:footnote w:id="10">
    <w:p w14:paraId="3B23A978"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These documents are available on the Commission’s website at the </w:t>
      </w:r>
      <w:r w:rsidRPr="006643E4">
        <w:rPr>
          <w:rFonts w:ascii="Book Antiqua" w:hAnsi="Book Antiqua"/>
          <w:i/>
          <w:iCs/>
          <w:sz w:val="22"/>
          <w:szCs w:val="22"/>
        </w:rPr>
        <w:t>Docket Card</w:t>
      </w:r>
      <w:r w:rsidRPr="006643E4">
        <w:rPr>
          <w:rFonts w:ascii="Book Antiqua" w:hAnsi="Book Antiqua"/>
          <w:sz w:val="22"/>
          <w:szCs w:val="22"/>
        </w:rPr>
        <w:t xml:space="preserve"> for this proceeding, K.21-07-010. </w:t>
      </w:r>
      <w:r w:rsidR="007F2803" w:rsidRPr="006643E4">
        <w:rPr>
          <w:rFonts w:ascii="Book Antiqua" w:hAnsi="Book Antiqua"/>
          <w:sz w:val="22"/>
          <w:szCs w:val="22"/>
        </w:rPr>
        <w:t xml:space="preserve"> </w:t>
      </w:r>
      <w:r w:rsidRPr="006643E4">
        <w:rPr>
          <w:rFonts w:ascii="Book Antiqua" w:hAnsi="Book Antiqua"/>
          <w:sz w:val="22"/>
          <w:szCs w:val="22"/>
        </w:rPr>
        <w:t xml:space="preserve">The transcript of the August 23, 2021 evidentiary hearing is available at the </w:t>
      </w:r>
      <w:r w:rsidRPr="006643E4">
        <w:rPr>
          <w:rFonts w:ascii="Book Antiqua" w:hAnsi="Book Antiqua"/>
          <w:i/>
          <w:iCs/>
          <w:sz w:val="22"/>
          <w:szCs w:val="22"/>
        </w:rPr>
        <w:t>Docket Card</w:t>
      </w:r>
      <w:r w:rsidRPr="006643E4">
        <w:rPr>
          <w:rFonts w:ascii="Book Antiqua" w:hAnsi="Book Antiqua"/>
          <w:sz w:val="22"/>
          <w:szCs w:val="22"/>
        </w:rPr>
        <w:t xml:space="preserve"> for this proceeding on the Commission’s website.</w:t>
      </w:r>
    </w:p>
  </w:footnote>
  <w:footnote w:id="11">
    <w:p w14:paraId="622937BC" w14:textId="77777777" w:rsidR="00816290" w:rsidRPr="006643E4" w:rsidRDefault="00816290"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July 26, 2021 </w:t>
      </w:r>
      <w:r w:rsidRPr="006643E4">
        <w:rPr>
          <w:rFonts w:ascii="Book Antiqua" w:hAnsi="Book Antiqua"/>
          <w:i/>
          <w:iCs/>
          <w:sz w:val="22"/>
          <w:szCs w:val="22"/>
        </w:rPr>
        <w:t>Supplier Clearinghouse</w:t>
      </w:r>
      <w:r w:rsidRPr="006643E4">
        <w:rPr>
          <w:rFonts w:ascii="Book Antiqua" w:hAnsi="Book Antiqua"/>
          <w:sz w:val="22"/>
          <w:szCs w:val="22"/>
        </w:rPr>
        <w:t xml:space="preserve"> </w:t>
      </w:r>
      <w:r w:rsidRPr="006643E4">
        <w:rPr>
          <w:rFonts w:ascii="Book Antiqua" w:hAnsi="Book Antiqua"/>
          <w:bCs/>
          <w:i/>
          <w:iCs/>
          <w:sz w:val="22"/>
          <w:szCs w:val="22"/>
        </w:rPr>
        <w:t xml:space="preserve">Compliance Filing, </w:t>
      </w:r>
      <w:r w:rsidRPr="006643E4">
        <w:rPr>
          <w:rFonts w:ascii="Book Antiqua" w:hAnsi="Book Antiqua"/>
          <w:bCs/>
          <w:sz w:val="22"/>
          <w:szCs w:val="22"/>
        </w:rPr>
        <w:t xml:space="preserve">Application at 11-12. </w:t>
      </w:r>
    </w:p>
  </w:footnote>
  <w:footnote w:id="12">
    <w:p w14:paraId="624C0AA6"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w:t>
      </w:r>
      <w:bookmarkStart w:id="7" w:name="_Hlk84435628"/>
      <w:r w:rsidRPr="006643E4">
        <w:rPr>
          <w:rFonts w:ascii="Book Antiqua" w:hAnsi="Book Antiqua"/>
          <w:sz w:val="22"/>
          <w:szCs w:val="22"/>
        </w:rPr>
        <w:t xml:space="preserve">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1</w:t>
      </w:r>
      <w:r w:rsidRPr="006643E4">
        <w:rPr>
          <w:rFonts w:ascii="Book Antiqua" w:hAnsi="Book Antiqua"/>
          <w:i/>
          <w:iCs/>
          <w:sz w:val="22"/>
          <w:szCs w:val="22"/>
        </w:rPr>
        <w:t>.</w:t>
      </w:r>
      <w:bookmarkEnd w:id="7"/>
    </w:p>
  </w:footnote>
  <w:footnote w:id="13">
    <w:p w14:paraId="1A417CF7" w14:textId="77777777" w:rsidR="00816290" w:rsidRPr="006643E4" w:rsidRDefault="00816290"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1.</w:t>
      </w:r>
    </w:p>
  </w:footnote>
  <w:footnote w:id="14">
    <w:p w14:paraId="5D63D078"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1.</w:t>
      </w:r>
    </w:p>
  </w:footnote>
  <w:footnote w:id="15">
    <w:p w14:paraId="59416309"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1.</w:t>
      </w:r>
    </w:p>
  </w:footnote>
  <w:footnote w:id="16">
    <w:p w14:paraId="3C812923" w14:textId="77777777" w:rsidR="00F73889" w:rsidRDefault="00F73889" w:rsidP="00F73889">
      <w:pPr>
        <w:pStyle w:val="FootnoteText"/>
        <w:rPr>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2.</w:t>
      </w:r>
    </w:p>
  </w:footnote>
  <w:footnote w:id="17">
    <w:p w14:paraId="4213E786" w14:textId="77777777" w:rsidR="00F73889" w:rsidRPr="006643E4" w:rsidRDefault="00F73889" w:rsidP="00E521A4">
      <w:pPr>
        <w:pStyle w:val="FootnoteText"/>
        <w:spacing w:after="120"/>
        <w:rPr>
          <w:rFonts w:ascii="Book Antiqua" w:hAnsi="Book Antiqua"/>
          <w:sz w:val="22"/>
          <w:szCs w:val="22"/>
        </w:rPr>
      </w:pPr>
      <w:r>
        <w:rPr>
          <w:rStyle w:val="FootnoteReference"/>
          <w:sz w:val="22"/>
          <w:szCs w:val="22"/>
        </w:rPr>
        <w:footnoteRef/>
      </w:r>
      <w:r>
        <w:rPr>
          <w:sz w:val="22"/>
          <w:szCs w:val="22"/>
        </w:rPr>
        <w:t xml:space="preserve"> </w:t>
      </w:r>
      <w:r w:rsidRPr="006643E4">
        <w:rPr>
          <w:rFonts w:ascii="Book Antiqua" w:hAnsi="Book Antiqua"/>
          <w:sz w:val="22"/>
          <w:szCs w:val="22"/>
        </w:rPr>
        <w:t xml:space="preserve">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2.</w:t>
      </w:r>
    </w:p>
  </w:footnote>
  <w:footnote w:id="18">
    <w:p w14:paraId="10A5E848"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2-3.</w:t>
      </w:r>
    </w:p>
  </w:footnote>
  <w:footnote w:id="19">
    <w:p w14:paraId="47CCDB83"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4.</w:t>
      </w:r>
    </w:p>
  </w:footnote>
  <w:footnote w:id="20">
    <w:p w14:paraId="190E03C3"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Joint Statement of Undisputed Facts at 4.</w:t>
      </w:r>
    </w:p>
  </w:footnote>
  <w:footnote w:id="21">
    <w:p w14:paraId="49B31B24"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w:t>
      </w:r>
      <w:bookmarkStart w:id="9" w:name="_Hlk84502297"/>
      <w:r w:rsidRPr="006643E4">
        <w:rPr>
          <w:rFonts w:ascii="Book Antiqua" w:hAnsi="Book Antiqua"/>
          <w:sz w:val="22"/>
          <w:szCs w:val="22"/>
        </w:rPr>
        <w:t xml:space="preserve">July 26, 2021 </w:t>
      </w:r>
      <w:r w:rsidRPr="006643E4">
        <w:rPr>
          <w:rFonts w:ascii="Book Antiqua" w:hAnsi="Book Antiqua"/>
          <w:i/>
          <w:iCs/>
          <w:sz w:val="22"/>
          <w:szCs w:val="22"/>
        </w:rPr>
        <w:t>Supplier Clearinghouse</w:t>
      </w:r>
      <w:r w:rsidRPr="006643E4">
        <w:rPr>
          <w:rFonts w:ascii="Book Antiqua" w:hAnsi="Book Antiqua"/>
          <w:sz w:val="22"/>
          <w:szCs w:val="22"/>
        </w:rPr>
        <w:t xml:space="preserve"> </w:t>
      </w:r>
      <w:r w:rsidRPr="006643E4">
        <w:rPr>
          <w:rFonts w:ascii="Book Antiqua" w:hAnsi="Book Antiqua"/>
          <w:bCs/>
          <w:i/>
          <w:iCs/>
          <w:sz w:val="22"/>
          <w:szCs w:val="22"/>
        </w:rPr>
        <w:t xml:space="preserve">Compliance Filing </w:t>
      </w:r>
      <w:r w:rsidRPr="006643E4">
        <w:rPr>
          <w:rFonts w:ascii="Book Antiqua" w:hAnsi="Book Antiqua"/>
          <w:bCs/>
          <w:sz w:val="22"/>
          <w:szCs w:val="22"/>
        </w:rPr>
        <w:t>at Section 5.B</w:t>
      </w:r>
      <w:r w:rsidR="00F877F6" w:rsidRPr="006643E4">
        <w:rPr>
          <w:rFonts w:ascii="Book Antiqua" w:hAnsi="Book Antiqua"/>
          <w:bCs/>
          <w:sz w:val="22"/>
          <w:szCs w:val="22"/>
        </w:rPr>
        <w:t>.</w:t>
      </w:r>
      <w:r w:rsidRPr="006643E4">
        <w:rPr>
          <w:rFonts w:ascii="Book Antiqua" w:hAnsi="Book Antiqua"/>
          <w:bCs/>
          <w:sz w:val="22"/>
          <w:szCs w:val="22"/>
        </w:rPr>
        <w:t xml:space="preserve"> of Application</w:t>
      </w:r>
      <w:bookmarkEnd w:id="9"/>
      <w:r w:rsidR="008F0D2E" w:rsidRPr="006643E4">
        <w:rPr>
          <w:rFonts w:ascii="Book Antiqua" w:hAnsi="Book Antiqua"/>
          <w:bCs/>
          <w:sz w:val="22"/>
          <w:szCs w:val="22"/>
        </w:rPr>
        <w:t xml:space="preserve"> (</w:t>
      </w:r>
      <w:r w:rsidR="00A25BD5" w:rsidRPr="006643E4">
        <w:rPr>
          <w:rFonts w:ascii="Book Antiqua" w:hAnsi="Book Antiqua"/>
          <w:bCs/>
          <w:sz w:val="22"/>
          <w:szCs w:val="22"/>
        </w:rPr>
        <w:t>marked</w:t>
      </w:r>
      <w:r w:rsidR="007F2803" w:rsidRPr="006643E4">
        <w:rPr>
          <w:rFonts w:ascii="Book Antiqua" w:hAnsi="Book Antiqua"/>
          <w:bCs/>
          <w:sz w:val="22"/>
          <w:szCs w:val="22"/>
        </w:rPr>
        <w:t> </w:t>
      </w:r>
      <w:r w:rsidR="008F0D2E" w:rsidRPr="006643E4">
        <w:rPr>
          <w:rFonts w:ascii="Book Antiqua" w:hAnsi="Book Antiqua"/>
          <w:bCs/>
          <w:sz w:val="22"/>
          <w:szCs w:val="22"/>
        </w:rPr>
        <w:t>confidential)</w:t>
      </w:r>
      <w:r w:rsidRPr="006643E4">
        <w:rPr>
          <w:rFonts w:ascii="Book Antiqua" w:hAnsi="Book Antiqua"/>
          <w:bCs/>
          <w:sz w:val="22"/>
          <w:szCs w:val="22"/>
        </w:rPr>
        <w:t>.</w:t>
      </w:r>
    </w:p>
  </w:footnote>
  <w:footnote w:id="22">
    <w:p w14:paraId="772522F8"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4.</w:t>
      </w:r>
    </w:p>
  </w:footnote>
  <w:footnote w:id="23">
    <w:p w14:paraId="66BB7DB3" w14:textId="77777777" w:rsidR="00F73889" w:rsidRPr="006643E4" w:rsidRDefault="00F73889" w:rsidP="00E521A4">
      <w:pPr>
        <w:pStyle w:val="FootnoteText"/>
        <w:spacing w:after="120"/>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September 14, 2021 </w:t>
      </w:r>
      <w:r w:rsidRPr="006643E4">
        <w:rPr>
          <w:rFonts w:ascii="Book Antiqua" w:hAnsi="Book Antiqua"/>
          <w:i/>
          <w:iCs/>
          <w:sz w:val="22"/>
          <w:szCs w:val="22"/>
        </w:rPr>
        <w:t xml:space="preserve">Joint Statement of Undisputed Facts </w:t>
      </w:r>
      <w:r w:rsidRPr="006643E4">
        <w:rPr>
          <w:rFonts w:ascii="Book Antiqua" w:hAnsi="Book Antiqua"/>
          <w:sz w:val="22"/>
          <w:szCs w:val="22"/>
        </w:rPr>
        <w:t>at 4.</w:t>
      </w:r>
    </w:p>
  </w:footnote>
  <w:footnote w:id="24">
    <w:p w14:paraId="41D234BD" w14:textId="77777777" w:rsidR="008F0D2E" w:rsidRPr="00F73889" w:rsidRDefault="008F0D2E" w:rsidP="008F0D2E">
      <w:pPr>
        <w:pStyle w:val="FootnoteText"/>
        <w:rPr>
          <w:rFonts w:ascii="Book Antiqua" w:hAnsi="Book Antiqua"/>
          <w:sz w:val="22"/>
          <w:szCs w:val="22"/>
        </w:rPr>
      </w:pPr>
      <w:r w:rsidRPr="006643E4">
        <w:rPr>
          <w:rStyle w:val="FootnoteReference"/>
          <w:rFonts w:ascii="Book Antiqua" w:hAnsi="Book Antiqua"/>
          <w:sz w:val="22"/>
          <w:szCs w:val="22"/>
        </w:rPr>
        <w:footnoteRef/>
      </w:r>
      <w:r w:rsidRPr="006643E4">
        <w:rPr>
          <w:rFonts w:ascii="Book Antiqua" w:hAnsi="Book Antiqua"/>
          <w:sz w:val="22"/>
          <w:szCs w:val="22"/>
        </w:rPr>
        <w:t xml:space="preserve"> Pub. Util. Code § 8281(b)(2)(e). </w:t>
      </w:r>
      <w:r w:rsidR="007F2803" w:rsidRPr="006643E4">
        <w:rPr>
          <w:rFonts w:ascii="Book Antiqua" w:hAnsi="Book Antiqua"/>
          <w:sz w:val="22"/>
          <w:szCs w:val="22"/>
        </w:rPr>
        <w:t xml:space="preserve"> </w:t>
      </w:r>
      <w:r w:rsidRPr="006643E4">
        <w:rPr>
          <w:rFonts w:ascii="Book Antiqua" w:hAnsi="Book Antiqua"/>
          <w:sz w:val="22"/>
          <w:szCs w:val="22"/>
        </w:rPr>
        <w:t>Amended to include disabled veterans by</w:t>
      </w:r>
      <w:r w:rsidRPr="006643E4">
        <w:rPr>
          <w:rFonts w:ascii="Book Antiqua" w:eastAsia="Calibri" w:hAnsi="Book Antiqua"/>
          <w:sz w:val="22"/>
          <w:szCs w:val="22"/>
        </w:rPr>
        <w:t xml:space="preserve"> </w:t>
      </w:r>
      <w:r w:rsidRPr="006643E4">
        <w:rPr>
          <w:rFonts w:ascii="Book Antiqua" w:hAnsi="Book Antiqua"/>
          <w:sz w:val="22"/>
          <w:szCs w:val="22"/>
        </w:rPr>
        <w:t>Senate Bill 2398 (Dills, Stats.</w:t>
      </w:r>
      <w:r w:rsidR="007F2803" w:rsidRPr="006643E4">
        <w:rPr>
          <w:rFonts w:ascii="Book Antiqua" w:hAnsi="Book Antiqua"/>
          <w:sz w:val="22"/>
          <w:szCs w:val="22"/>
        </w:rPr>
        <w:t xml:space="preserve">  </w:t>
      </w:r>
      <w:r w:rsidRPr="006643E4">
        <w:rPr>
          <w:rFonts w:ascii="Book Antiqua" w:hAnsi="Book Antiqua"/>
          <w:sz w:val="22"/>
          <w:szCs w:val="22"/>
        </w:rPr>
        <w:t xml:space="preserve">1990, Ch. 516) effective January 1, 1991 and amended to include LGBT by </w:t>
      </w:r>
      <w:r w:rsidRPr="006643E4">
        <w:rPr>
          <w:rFonts w:ascii="Book Antiqua" w:hAnsi="Book Antiqua"/>
          <w:sz w:val="22"/>
          <w:szCs w:val="22"/>
          <w:lang w:val="en"/>
        </w:rPr>
        <w:t>Assembly Bill 1678 (</w:t>
      </w:r>
      <w:r w:rsidRPr="006643E4">
        <w:rPr>
          <w:rFonts w:ascii="Book Antiqua" w:hAnsi="Book Antiqua"/>
          <w:sz w:val="22"/>
          <w:szCs w:val="22"/>
        </w:rPr>
        <w:t>Gordon, Stats.</w:t>
      </w:r>
      <w:r w:rsidR="007F2803" w:rsidRPr="006643E4">
        <w:rPr>
          <w:rFonts w:ascii="Book Antiqua" w:hAnsi="Book Antiqua"/>
          <w:sz w:val="22"/>
          <w:szCs w:val="22"/>
        </w:rPr>
        <w:t xml:space="preserve"> </w:t>
      </w:r>
      <w:r w:rsidRPr="006643E4">
        <w:rPr>
          <w:rFonts w:ascii="Book Antiqua" w:hAnsi="Book Antiqua"/>
          <w:sz w:val="22"/>
          <w:szCs w:val="22"/>
        </w:rPr>
        <w:t>2014, Ch. 633)</w:t>
      </w:r>
      <w:r w:rsidRPr="006643E4">
        <w:rPr>
          <w:rFonts w:ascii="Book Antiqua" w:hAnsi="Book Antiqua"/>
          <w:sz w:val="22"/>
          <w:szCs w:val="22"/>
          <w:lang w:val="en"/>
        </w:rPr>
        <w:t>, effective January 1, 2015</w:t>
      </w:r>
      <w:r w:rsidRPr="006643E4">
        <w:rPr>
          <w:rFonts w:ascii="Book Antiqua" w:hAnsi="Book Antiqua"/>
          <w:sz w:val="22"/>
          <w:szCs w:val="22"/>
        </w:rPr>
        <w:t>.</w:t>
      </w:r>
    </w:p>
  </w:footnote>
  <w:footnote w:id="25">
    <w:p w14:paraId="383E020A" w14:textId="77777777" w:rsidR="008F0D2E" w:rsidRPr="00F73889" w:rsidRDefault="008F0D2E" w:rsidP="002F012C">
      <w:pPr>
        <w:pStyle w:val="FootnoteText"/>
        <w:spacing w:after="120"/>
        <w:rPr>
          <w:rFonts w:ascii="Book Antiqua" w:hAnsi="Book Antiqua"/>
          <w:sz w:val="22"/>
          <w:szCs w:val="22"/>
        </w:rPr>
      </w:pPr>
      <w:r w:rsidRPr="00F73889">
        <w:rPr>
          <w:rStyle w:val="FootnoteReference"/>
          <w:rFonts w:ascii="Book Antiqua" w:hAnsi="Book Antiqua"/>
          <w:sz w:val="22"/>
          <w:szCs w:val="22"/>
        </w:rPr>
        <w:footnoteRef/>
      </w:r>
      <w:r w:rsidRPr="00F73889">
        <w:rPr>
          <w:rFonts w:ascii="Book Antiqua" w:hAnsi="Book Antiqua"/>
          <w:sz w:val="22"/>
          <w:szCs w:val="22"/>
        </w:rPr>
        <w:t xml:space="preserve"> Pub. Util. Code § 8282(g).</w:t>
      </w:r>
    </w:p>
  </w:footnote>
  <w:footnote w:id="26">
    <w:p w14:paraId="3DE10922" w14:textId="77777777" w:rsidR="008F0D2E" w:rsidRPr="00F73889" w:rsidRDefault="008F0D2E" w:rsidP="002F012C">
      <w:pPr>
        <w:pStyle w:val="FootnoteText"/>
        <w:spacing w:after="120"/>
        <w:rPr>
          <w:rFonts w:ascii="Book Antiqua" w:hAnsi="Book Antiqua"/>
          <w:sz w:val="22"/>
          <w:szCs w:val="22"/>
        </w:rPr>
      </w:pPr>
      <w:r w:rsidRPr="00F73889">
        <w:rPr>
          <w:rStyle w:val="FootnoteReference"/>
          <w:rFonts w:ascii="Book Antiqua" w:hAnsi="Book Antiqua"/>
          <w:sz w:val="22"/>
          <w:szCs w:val="22"/>
        </w:rPr>
        <w:footnoteRef/>
      </w:r>
      <w:r w:rsidRPr="00F73889">
        <w:rPr>
          <w:rFonts w:ascii="Book Antiqua" w:hAnsi="Book Antiqua"/>
          <w:sz w:val="22"/>
          <w:szCs w:val="22"/>
        </w:rPr>
        <w:t xml:space="preserve"> The current version of </w:t>
      </w:r>
      <w:r w:rsidR="007370C2">
        <w:rPr>
          <w:rFonts w:ascii="Book Antiqua" w:hAnsi="Book Antiqua"/>
          <w:sz w:val="22"/>
          <w:szCs w:val="22"/>
        </w:rPr>
        <w:t>GO</w:t>
      </w:r>
      <w:r w:rsidRPr="00F73889">
        <w:rPr>
          <w:rFonts w:ascii="Book Antiqua" w:hAnsi="Book Antiqua"/>
          <w:sz w:val="22"/>
          <w:szCs w:val="22"/>
        </w:rPr>
        <w:t xml:space="preserve"> 156 is available</w:t>
      </w:r>
      <w:r>
        <w:rPr>
          <w:rFonts w:ascii="Book Antiqua" w:hAnsi="Book Antiqua"/>
          <w:sz w:val="22"/>
          <w:szCs w:val="22"/>
        </w:rPr>
        <w:t>, as of this writing,</w:t>
      </w:r>
      <w:r w:rsidRPr="00F73889">
        <w:rPr>
          <w:rFonts w:ascii="Book Antiqua" w:hAnsi="Book Antiqua"/>
          <w:sz w:val="22"/>
          <w:szCs w:val="22"/>
        </w:rPr>
        <w:t xml:space="preserve"> on the Commission’s website at: </w:t>
      </w:r>
      <w:r w:rsidR="005B09E4">
        <w:rPr>
          <w:rFonts w:ascii="Book Antiqua" w:hAnsi="Book Antiqua"/>
          <w:sz w:val="22"/>
          <w:szCs w:val="22"/>
        </w:rPr>
        <w:t xml:space="preserve"> </w:t>
      </w:r>
      <w:r w:rsidRPr="00F73889">
        <w:rPr>
          <w:rFonts w:ascii="Book Antiqua" w:hAnsi="Book Antiqua"/>
          <w:sz w:val="22"/>
          <w:szCs w:val="22"/>
        </w:rPr>
        <w:t xml:space="preserve">https://www.cpuc.ca.gov/proceedings-and-rulemaking/cpuc-general-orders. </w:t>
      </w:r>
      <w:r w:rsidR="007370C2">
        <w:rPr>
          <w:rFonts w:ascii="Book Antiqua" w:hAnsi="Book Antiqua"/>
          <w:sz w:val="22"/>
          <w:szCs w:val="22"/>
        </w:rPr>
        <w:t>GO</w:t>
      </w:r>
      <w:r w:rsidRPr="00F73889">
        <w:rPr>
          <w:rFonts w:ascii="Book Antiqua" w:hAnsi="Book Antiqua"/>
          <w:sz w:val="22"/>
          <w:szCs w:val="22"/>
        </w:rPr>
        <w:t xml:space="preserve"> 156 was updated in Decision 15-06-007 (June 11, 2015).</w:t>
      </w:r>
      <w:r>
        <w:rPr>
          <w:rFonts w:ascii="Book Antiqua" w:hAnsi="Book Antiqua"/>
          <w:sz w:val="22"/>
          <w:szCs w:val="22"/>
        </w:rPr>
        <w:t xml:space="preserve"> </w:t>
      </w:r>
    </w:p>
  </w:footnote>
  <w:footnote w:id="27">
    <w:p w14:paraId="7D282C79" w14:textId="77777777" w:rsidR="008F0D2E" w:rsidRPr="00F73889" w:rsidRDefault="008F0D2E" w:rsidP="002F012C">
      <w:pPr>
        <w:pStyle w:val="FootnoteText"/>
        <w:spacing w:after="120"/>
        <w:rPr>
          <w:rFonts w:ascii="Book Antiqua" w:hAnsi="Book Antiqua"/>
          <w:sz w:val="22"/>
          <w:szCs w:val="22"/>
        </w:rPr>
      </w:pPr>
      <w:r w:rsidRPr="00F73889">
        <w:rPr>
          <w:rStyle w:val="FootnoteReference"/>
          <w:rFonts w:ascii="Book Antiqua" w:hAnsi="Book Antiqua"/>
          <w:sz w:val="22"/>
          <w:szCs w:val="22"/>
        </w:rPr>
        <w:footnoteRef/>
      </w:r>
      <w:r w:rsidRPr="00F73889">
        <w:rPr>
          <w:rFonts w:ascii="Book Antiqua" w:hAnsi="Book Antiqua"/>
          <w:sz w:val="22"/>
          <w:szCs w:val="22"/>
        </w:rPr>
        <w:t xml:space="preserve"> Pub. Util. Code § 8285(a).</w:t>
      </w:r>
    </w:p>
  </w:footnote>
  <w:footnote w:id="28">
    <w:p w14:paraId="093F16F8" w14:textId="77777777" w:rsidR="00F877F6" w:rsidRPr="00AF57A7" w:rsidRDefault="00F877F6" w:rsidP="002F012C">
      <w:pPr>
        <w:pStyle w:val="FootnoteText"/>
        <w:spacing w:after="120"/>
        <w:rPr>
          <w:rFonts w:ascii="Book Antiqua" w:hAnsi="Book Antiqua"/>
          <w:sz w:val="22"/>
          <w:szCs w:val="22"/>
        </w:rPr>
      </w:pPr>
      <w:r w:rsidRPr="00AF57A7">
        <w:rPr>
          <w:rStyle w:val="FootnoteReference"/>
          <w:rFonts w:ascii="Book Antiqua" w:hAnsi="Book Antiqua"/>
          <w:sz w:val="22"/>
          <w:szCs w:val="22"/>
        </w:rPr>
        <w:footnoteRef/>
      </w:r>
      <w:r w:rsidRPr="00AF57A7">
        <w:rPr>
          <w:rFonts w:ascii="Book Antiqua" w:hAnsi="Book Antiqua"/>
          <w:sz w:val="22"/>
          <w:szCs w:val="22"/>
        </w:rPr>
        <w:t xml:space="preserve"> July 15, 2021 </w:t>
      </w:r>
      <w:r w:rsidRPr="00AF57A7">
        <w:rPr>
          <w:rFonts w:ascii="Book Antiqua" w:hAnsi="Book Antiqua"/>
          <w:i/>
          <w:iCs/>
          <w:sz w:val="22"/>
          <w:szCs w:val="22"/>
        </w:rPr>
        <w:t>Notice of Appeal by Gekko Engineering</w:t>
      </w:r>
      <w:r w:rsidRPr="00AF57A7">
        <w:rPr>
          <w:rFonts w:ascii="Book Antiqua" w:hAnsi="Book Antiqua"/>
          <w:sz w:val="22"/>
          <w:szCs w:val="22"/>
        </w:rPr>
        <w:t>.</w:t>
      </w:r>
    </w:p>
  </w:footnote>
  <w:footnote w:id="29">
    <w:p w14:paraId="5460E90E" w14:textId="77777777" w:rsidR="00F877F6" w:rsidRPr="00AF57A7" w:rsidRDefault="00F877F6" w:rsidP="00F877F6">
      <w:pPr>
        <w:pStyle w:val="FootnoteText"/>
        <w:rPr>
          <w:rFonts w:ascii="Book Antiqua" w:hAnsi="Book Antiqua"/>
          <w:sz w:val="22"/>
          <w:szCs w:val="22"/>
        </w:rPr>
      </w:pPr>
      <w:r w:rsidRPr="00AF57A7">
        <w:rPr>
          <w:rStyle w:val="FootnoteReference"/>
          <w:rFonts w:ascii="Book Antiqua" w:hAnsi="Book Antiqua"/>
          <w:sz w:val="22"/>
          <w:szCs w:val="22"/>
        </w:rPr>
        <w:footnoteRef/>
      </w:r>
      <w:r w:rsidRPr="00AF57A7">
        <w:rPr>
          <w:rFonts w:ascii="Book Antiqua" w:hAnsi="Book Antiqua"/>
          <w:sz w:val="22"/>
          <w:szCs w:val="22"/>
        </w:rPr>
        <w:t xml:space="preserve"> The guidelines used by the Supplier Clearinghouse, which have not been adopted by the Commission, are attached hereto.</w:t>
      </w:r>
      <w:r w:rsidR="007F2803" w:rsidRPr="00AF57A7">
        <w:rPr>
          <w:rFonts w:ascii="Book Antiqua" w:hAnsi="Book Antiqua"/>
          <w:sz w:val="22"/>
          <w:szCs w:val="22"/>
        </w:rPr>
        <w:t xml:space="preserve">  </w:t>
      </w:r>
      <w:r w:rsidRPr="00AF57A7">
        <w:rPr>
          <w:rFonts w:ascii="Book Antiqua" w:hAnsi="Book Antiqua"/>
          <w:sz w:val="22"/>
          <w:szCs w:val="22"/>
        </w:rPr>
        <w:t>The Supplier Clearinghouse relied upon these guidelines during the August 23, 2021 evidentiary hearing and filed a motion to submit these guidelines into the record of this proceeding on September 7, 2021.</w:t>
      </w:r>
      <w:r w:rsidR="007F2803" w:rsidRPr="00AF57A7">
        <w:rPr>
          <w:rFonts w:ascii="Book Antiqua" w:hAnsi="Book Antiqua"/>
          <w:sz w:val="22"/>
          <w:szCs w:val="22"/>
        </w:rPr>
        <w:t xml:space="preserve">  </w:t>
      </w:r>
      <w:r w:rsidRPr="00AF57A7">
        <w:rPr>
          <w:rFonts w:ascii="Book Antiqua" w:hAnsi="Book Antiqua"/>
          <w:sz w:val="22"/>
          <w:szCs w:val="22"/>
        </w:rPr>
        <w:t>The Commission addresses this motion in the Discussion section of this resolution.</w:t>
      </w:r>
    </w:p>
  </w:footnote>
  <w:footnote w:id="30">
    <w:p w14:paraId="24D9AA6F" w14:textId="77777777" w:rsidR="00A3456C" w:rsidRPr="00AF57A7" w:rsidRDefault="00A3456C" w:rsidP="002F012C">
      <w:pPr>
        <w:pStyle w:val="FootnoteText"/>
        <w:spacing w:after="120"/>
        <w:rPr>
          <w:rFonts w:ascii="Book Antiqua" w:hAnsi="Book Antiqua"/>
          <w:sz w:val="22"/>
          <w:szCs w:val="22"/>
        </w:rPr>
      </w:pPr>
      <w:r w:rsidRPr="00AF57A7">
        <w:rPr>
          <w:rStyle w:val="FootnoteReference"/>
          <w:rFonts w:ascii="Book Antiqua" w:hAnsi="Book Antiqua"/>
          <w:sz w:val="22"/>
          <w:szCs w:val="22"/>
        </w:rPr>
        <w:footnoteRef/>
      </w:r>
      <w:r w:rsidRPr="00AF57A7">
        <w:rPr>
          <w:rFonts w:ascii="Book Antiqua" w:hAnsi="Book Antiqua"/>
          <w:sz w:val="22"/>
          <w:szCs w:val="22"/>
        </w:rPr>
        <w:t xml:space="preserve"> September 14, 2021 </w:t>
      </w:r>
      <w:r w:rsidRPr="00AF57A7">
        <w:rPr>
          <w:rFonts w:ascii="Book Antiqua" w:hAnsi="Book Antiqua"/>
          <w:i/>
          <w:iCs/>
          <w:sz w:val="22"/>
          <w:szCs w:val="22"/>
        </w:rPr>
        <w:t>Joint Statement of Undisputed Facts at 4.</w:t>
      </w:r>
    </w:p>
  </w:footnote>
  <w:footnote w:id="31">
    <w:p w14:paraId="4D6C30D3" w14:textId="77777777" w:rsidR="00A3456C" w:rsidRPr="00AF57A7" w:rsidRDefault="00A3456C" w:rsidP="00A3456C">
      <w:pPr>
        <w:pStyle w:val="FootnoteText"/>
        <w:rPr>
          <w:rFonts w:ascii="Book Antiqua" w:hAnsi="Book Antiqua"/>
          <w:sz w:val="22"/>
          <w:szCs w:val="22"/>
        </w:rPr>
      </w:pPr>
      <w:r w:rsidRPr="00AF57A7">
        <w:rPr>
          <w:rStyle w:val="FootnoteReference"/>
          <w:rFonts w:ascii="Book Antiqua" w:hAnsi="Book Antiqua"/>
          <w:sz w:val="22"/>
          <w:szCs w:val="22"/>
        </w:rPr>
        <w:footnoteRef/>
      </w:r>
      <w:r w:rsidRPr="00AF57A7">
        <w:rPr>
          <w:rFonts w:ascii="Book Antiqua" w:hAnsi="Book Antiqua"/>
          <w:sz w:val="22"/>
          <w:szCs w:val="22"/>
        </w:rPr>
        <w:t xml:space="preserve"> July 26, 2021 </w:t>
      </w:r>
      <w:r w:rsidRPr="00AF57A7">
        <w:rPr>
          <w:rFonts w:ascii="Book Antiqua" w:hAnsi="Book Antiqua"/>
          <w:i/>
          <w:iCs/>
          <w:sz w:val="22"/>
          <w:szCs w:val="22"/>
        </w:rPr>
        <w:t>Supplier Clearinghouse</w:t>
      </w:r>
      <w:r w:rsidRPr="00AF57A7">
        <w:rPr>
          <w:rFonts w:ascii="Book Antiqua" w:hAnsi="Book Antiqua"/>
          <w:sz w:val="22"/>
          <w:szCs w:val="22"/>
        </w:rPr>
        <w:t xml:space="preserve"> </w:t>
      </w:r>
      <w:r w:rsidRPr="00AF57A7">
        <w:rPr>
          <w:rFonts w:ascii="Book Antiqua" w:hAnsi="Book Antiqua"/>
          <w:bCs/>
          <w:i/>
          <w:iCs/>
          <w:sz w:val="22"/>
          <w:szCs w:val="22"/>
        </w:rPr>
        <w:t xml:space="preserve">Compliance Filing </w:t>
      </w:r>
      <w:r w:rsidRPr="00AF57A7">
        <w:rPr>
          <w:rFonts w:ascii="Book Antiqua" w:hAnsi="Book Antiqua"/>
          <w:bCs/>
          <w:sz w:val="22"/>
          <w:szCs w:val="22"/>
        </w:rPr>
        <w:t>at Section 5.B</w:t>
      </w:r>
      <w:r w:rsidR="00F877F6" w:rsidRPr="00AF57A7">
        <w:rPr>
          <w:rFonts w:ascii="Book Antiqua" w:hAnsi="Book Antiqua"/>
          <w:bCs/>
          <w:sz w:val="22"/>
          <w:szCs w:val="22"/>
        </w:rPr>
        <w:t>.</w:t>
      </w:r>
      <w:r w:rsidRPr="00AF57A7">
        <w:rPr>
          <w:rFonts w:ascii="Book Antiqua" w:hAnsi="Book Antiqua"/>
          <w:bCs/>
          <w:sz w:val="22"/>
          <w:szCs w:val="22"/>
        </w:rPr>
        <w:t xml:space="preserve"> of Application</w:t>
      </w:r>
      <w:r w:rsidR="00B72CBC" w:rsidRPr="00AF57A7">
        <w:rPr>
          <w:rFonts w:ascii="Book Antiqua" w:hAnsi="Book Antiqua"/>
          <w:bCs/>
          <w:sz w:val="22"/>
          <w:szCs w:val="22"/>
        </w:rPr>
        <w:t xml:space="preserve"> (</w:t>
      </w:r>
      <w:r w:rsidR="001E11EB" w:rsidRPr="00AF57A7">
        <w:rPr>
          <w:rFonts w:ascii="Book Antiqua" w:hAnsi="Book Antiqua"/>
          <w:bCs/>
          <w:sz w:val="22"/>
          <w:szCs w:val="22"/>
        </w:rPr>
        <w:t>marked</w:t>
      </w:r>
      <w:r w:rsidR="005B09E4" w:rsidRPr="00AF57A7">
        <w:rPr>
          <w:rFonts w:ascii="Book Antiqua" w:hAnsi="Book Antiqua"/>
          <w:bCs/>
          <w:sz w:val="22"/>
          <w:szCs w:val="22"/>
        </w:rPr>
        <w:t> </w:t>
      </w:r>
      <w:r w:rsidR="001E11EB" w:rsidRPr="00AF57A7">
        <w:rPr>
          <w:rFonts w:ascii="Book Antiqua" w:hAnsi="Book Antiqua"/>
          <w:bCs/>
          <w:sz w:val="22"/>
          <w:szCs w:val="22"/>
        </w:rPr>
        <w:t>c</w:t>
      </w:r>
      <w:r w:rsidR="00B72CBC" w:rsidRPr="00AF57A7">
        <w:rPr>
          <w:rFonts w:ascii="Book Antiqua" w:hAnsi="Book Antiqua"/>
          <w:bCs/>
          <w:sz w:val="22"/>
          <w:szCs w:val="22"/>
        </w:rPr>
        <w:t>onfidential)</w:t>
      </w:r>
      <w:r w:rsidRPr="00AF57A7">
        <w:rPr>
          <w:rFonts w:ascii="Book Antiqua" w:hAnsi="Book Antiqua"/>
          <w:bCs/>
          <w:sz w:val="22"/>
          <w:szCs w:val="22"/>
        </w:rPr>
        <w:t>.</w:t>
      </w:r>
    </w:p>
  </w:footnote>
  <w:footnote w:id="32">
    <w:p w14:paraId="4A99F9F3" w14:textId="6ED3E2A7" w:rsidR="00FA266C" w:rsidRPr="00401D27" w:rsidRDefault="00FA266C" w:rsidP="00401D27">
      <w:pPr>
        <w:pStyle w:val="FootnoteText"/>
        <w:spacing w:after="120"/>
        <w:rPr>
          <w:rFonts w:ascii="Book Antiqua" w:hAnsi="Book Antiqua"/>
          <w:sz w:val="22"/>
          <w:szCs w:val="22"/>
        </w:rPr>
      </w:pPr>
      <w:r w:rsidRPr="00F73889">
        <w:rPr>
          <w:rStyle w:val="FootnoteReference"/>
          <w:rFonts w:ascii="Book Antiqua" w:hAnsi="Book Antiqua"/>
        </w:rPr>
        <w:footnoteRef/>
      </w:r>
      <w:r w:rsidRPr="00F73889">
        <w:rPr>
          <w:rFonts w:ascii="Book Antiqua" w:hAnsi="Book Antiqua"/>
        </w:rPr>
        <w:t xml:space="preserve"> </w:t>
      </w:r>
      <w:r w:rsidRPr="00401D27">
        <w:rPr>
          <w:rFonts w:ascii="Book Antiqua" w:hAnsi="Book Antiqua"/>
          <w:sz w:val="22"/>
          <w:szCs w:val="22"/>
        </w:rPr>
        <w:t xml:space="preserve">Resolution ALJ-377 (April </w:t>
      </w:r>
      <w:r w:rsidR="00B2383D">
        <w:rPr>
          <w:rFonts w:ascii="Book Antiqua" w:hAnsi="Book Antiqua"/>
          <w:sz w:val="22"/>
          <w:szCs w:val="22"/>
        </w:rPr>
        <w:t>28</w:t>
      </w:r>
      <w:r w:rsidRPr="00401D27">
        <w:rPr>
          <w:rFonts w:ascii="Book Antiqua" w:hAnsi="Book Antiqua"/>
          <w:sz w:val="22"/>
          <w:szCs w:val="22"/>
        </w:rPr>
        <w:t>, 2020) at 14.</w:t>
      </w:r>
    </w:p>
  </w:footnote>
  <w:footnote w:id="33">
    <w:p w14:paraId="1016BD51" w14:textId="77777777" w:rsidR="00FA266C" w:rsidRPr="006B69D4" w:rsidRDefault="00FA266C" w:rsidP="00FA266C">
      <w:pPr>
        <w:pStyle w:val="FootnoteText"/>
        <w:rPr>
          <w:rFonts w:ascii="Book Antiqua" w:hAnsi="Book Antiqua"/>
          <w:sz w:val="22"/>
          <w:szCs w:val="22"/>
        </w:rPr>
      </w:pPr>
      <w:r w:rsidRPr="00401D27">
        <w:rPr>
          <w:rStyle w:val="FootnoteReference"/>
          <w:rFonts w:ascii="Book Antiqua" w:hAnsi="Book Antiqua"/>
          <w:sz w:val="22"/>
          <w:szCs w:val="22"/>
        </w:rPr>
        <w:footnoteRef/>
      </w:r>
      <w:r w:rsidRPr="00401D27">
        <w:rPr>
          <w:rFonts w:ascii="Book Antiqua" w:hAnsi="Book Antiqua"/>
          <w:sz w:val="22"/>
          <w:szCs w:val="22"/>
        </w:rPr>
        <w:t xml:space="preserve"> </w:t>
      </w:r>
      <w:r w:rsidRPr="006B69D4">
        <w:rPr>
          <w:rFonts w:ascii="Book Antiqua" w:hAnsi="Book Antiqua"/>
          <w:sz w:val="22"/>
          <w:szCs w:val="22"/>
        </w:rPr>
        <w:t xml:space="preserve">September 10, 2021 </w:t>
      </w:r>
      <w:r w:rsidRPr="006B69D4">
        <w:rPr>
          <w:rFonts w:ascii="Book Antiqua" w:hAnsi="Book Antiqua"/>
          <w:i/>
          <w:iCs/>
          <w:sz w:val="22"/>
          <w:szCs w:val="22"/>
        </w:rPr>
        <w:t>Response of Gekko Engineering Inc. to Motion to Enter Supplier Clearinghouse Guidelines to Record</w:t>
      </w:r>
      <w:r w:rsidRPr="006B69D4">
        <w:rPr>
          <w:rFonts w:ascii="Book Antiqua" w:hAnsi="Book Antiqua"/>
          <w:sz w:val="22"/>
          <w:szCs w:val="22"/>
        </w:rPr>
        <w:t xml:space="preserve"> at 2.</w:t>
      </w:r>
    </w:p>
  </w:footnote>
  <w:footnote w:id="34">
    <w:p w14:paraId="53697E54" w14:textId="77777777" w:rsidR="00FA266C" w:rsidRPr="006B69D4" w:rsidRDefault="00FA266C" w:rsidP="00940006">
      <w:pPr>
        <w:pStyle w:val="FootnoteText"/>
        <w:spacing w:after="120"/>
        <w:rPr>
          <w:rFonts w:ascii="Book Antiqua" w:hAnsi="Book Antiqua"/>
          <w:sz w:val="22"/>
          <w:szCs w:val="22"/>
        </w:rPr>
      </w:pPr>
      <w:r w:rsidRPr="006B69D4">
        <w:rPr>
          <w:rStyle w:val="FootnoteReference"/>
          <w:rFonts w:ascii="Book Antiqua" w:hAnsi="Book Antiqua"/>
          <w:sz w:val="22"/>
          <w:szCs w:val="22"/>
        </w:rPr>
        <w:footnoteRef/>
      </w:r>
      <w:r w:rsidRPr="006B69D4">
        <w:rPr>
          <w:rFonts w:ascii="Book Antiqua" w:hAnsi="Book Antiqua"/>
          <w:sz w:val="22"/>
          <w:szCs w:val="22"/>
        </w:rPr>
        <w:t xml:space="preserve"> </w:t>
      </w:r>
      <w:r w:rsidRPr="006B69D4">
        <w:rPr>
          <w:rFonts w:ascii="Book Antiqua" w:hAnsi="Book Antiqua"/>
          <w:i/>
          <w:iCs/>
          <w:sz w:val="22"/>
          <w:szCs w:val="22"/>
        </w:rPr>
        <w:t>See, e.g.,</w:t>
      </w:r>
      <w:r w:rsidRPr="006B69D4">
        <w:rPr>
          <w:rFonts w:ascii="Book Antiqua" w:hAnsi="Book Antiqua"/>
          <w:sz w:val="22"/>
          <w:szCs w:val="22"/>
        </w:rPr>
        <w:t xml:space="preserve"> Resolution ALJ-245 (March 16, 2020) </w:t>
      </w:r>
      <w:r w:rsidRPr="006B69D4">
        <w:rPr>
          <w:rFonts w:ascii="Book Antiqua" w:hAnsi="Book Antiqua"/>
          <w:i/>
          <w:iCs/>
          <w:sz w:val="22"/>
          <w:szCs w:val="22"/>
        </w:rPr>
        <w:t xml:space="preserve">Denying the Appeal of Evans Industrial, Inc. Pursuant to Clearinghouse Determination of Status Under </w:t>
      </w:r>
      <w:r w:rsidR="007370C2" w:rsidRPr="006B69D4">
        <w:rPr>
          <w:rFonts w:ascii="Book Antiqua" w:hAnsi="Book Antiqua"/>
          <w:i/>
          <w:iCs/>
          <w:sz w:val="22"/>
          <w:szCs w:val="22"/>
        </w:rPr>
        <w:t>GO</w:t>
      </w:r>
      <w:r w:rsidRPr="006B69D4">
        <w:rPr>
          <w:rFonts w:ascii="Book Antiqua" w:hAnsi="Book Antiqua"/>
          <w:i/>
          <w:iCs/>
          <w:sz w:val="22"/>
          <w:szCs w:val="22"/>
        </w:rPr>
        <w:t xml:space="preserve"> 156 </w:t>
      </w:r>
      <w:r w:rsidRPr="006B69D4">
        <w:rPr>
          <w:rFonts w:ascii="Book Antiqua" w:hAnsi="Book Antiqua"/>
          <w:sz w:val="22"/>
          <w:szCs w:val="22"/>
        </w:rPr>
        <w:t>at 2, 9-10.</w:t>
      </w:r>
    </w:p>
  </w:footnote>
  <w:footnote w:id="35">
    <w:p w14:paraId="1120354F" w14:textId="77777777" w:rsidR="006E6D2D" w:rsidRDefault="006E6D2D" w:rsidP="006E6D2D">
      <w:pPr>
        <w:pStyle w:val="FootnoteText"/>
      </w:pPr>
      <w:r w:rsidRPr="006B69D4">
        <w:rPr>
          <w:rStyle w:val="FootnoteReference"/>
          <w:rFonts w:ascii="Book Antiqua" w:hAnsi="Book Antiqua"/>
          <w:sz w:val="22"/>
          <w:szCs w:val="22"/>
        </w:rPr>
        <w:footnoteRef/>
      </w:r>
      <w:r w:rsidRPr="006B69D4">
        <w:rPr>
          <w:rFonts w:ascii="Book Antiqua" w:hAnsi="Book Antiqua"/>
          <w:sz w:val="22"/>
          <w:szCs w:val="22"/>
        </w:rPr>
        <w:t xml:space="preserve"> The </w:t>
      </w:r>
      <w:r w:rsidR="00092480" w:rsidRPr="006B69D4">
        <w:rPr>
          <w:rFonts w:ascii="Book Antiqua" w:hAnsi="Book Antiqua"/>
          <w:sz w:val="22"/>
          <w:szCs w:val="22"/>
        </w:rPr>
        <w:t xml:space="preserve">Commission’s </w:t>
      </w:r>
      <w:r w:rsidRPr="006B69D4">
        <w:rPr>
          <w:rFonts w:ascii="Book Antiqua" w:hAnsi="Book Antiqua"/>
          <w:sz w:val="22"/>
          <w:szCs w:val="22"/>
        </w:rPr>
        <w:t>Daily Calendar is available on the Commission’s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DC00" w14:textId="77777777" w:rsidR="00C47C2A" w:rsidRDefault="00C47C2A">
    <w:pPr>
      <w:pStyle w:val="Header"/>
      <w:rPr>
        <w:b/>
        <w:szCs w:val="24"/>
      </w:rPr>
    </w:pPr>
    <w:r>
      <w:t>Resolution ALJ-</w:t>
    </w:r>
    <w:r w:rsidR="005A647A">
      <w:t>411</w:t>
    </w:r>
    <w:r>
      <w:t xml:space="preserve">  </w:t>
    </w:r>
    <w:r>
      <w:rPr>
        <w:szCs w:val="24"/>
      </w:rPr>
      <w:t>ALJ/</w:t>
    </w:r>
    <w:r w:rsidR="005A647A">
      <w:rPr>
        <w:szCs w:val="24"/>
      </w:rPr>
      <w:t>RMD/sgu</w:t>
    </w:r>
    <w:r>
      <w:rPr>
        <w:szCs w:val="24"/>
      </w:rPr>
      <w:tab/>
    </w:r>
    <w:r>
      <w:rPr>
        <w:szCs w:val="24"/>
      </w:rPr>
      <w:tab/>
    </w:r>
    <w:r>
      <w:rPr>
        <w:b/>
        <w:szCs w:val="24"/>
      </w:rPr>
      <w:t>DRAFT</w:t>
    </w:r>
  </w:p>
  <w:p w14:paraId="06649477" w14:textId="77777777" w:rsidR="00C47C2A" w:rsidRDefault="00C47C2A">
    <w:pPr>
      <w:pStyle w:val="Header"/>
    </w:pPr>
  </w:p>
  <w:p w14:paraId="5BA05000" w14:textId="77777777" w:rsidR="00C47C2A" w:rsidRDefault="00C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C5B3" w14:textId="77777777" w:rsidR="00C47C2A" w:rsidRDefault="00C47C2A">
    <w:pPr>
      <w:pStyle w:val="Header"/>
      <w:rPr>
        <w:b/>
        <w:szCs w:val="24"/>
      </w:rPr>
    </w:pPr>
  </w:p>
  <w:p w14:paraId="72B16474" w14:textId="77777777" w:rsidR="00C47C2A" w:rsidRDefault="00C47C2A">
    <w:pPr>
      <w:pStyle w:val="Header"/>
      <w:rPr>
        <w:b/>
        <w:szCs w:val="24"/>
      </w:rPr>
    </w:pPr>
  </w:p>
  <w:p w14:paraId="1A679CDF" w14:textId="77777777" w:rsidR="00C47C2A" w:rsidRDefault="00C47C2A">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ED03" w14:textId="52B344AF" w:rsidR="00E50882" w:rsidRDefault="00E50882">
    <w:pPr>
      <w:pStyle w:val="Header"/>
      <w:rPr>
        <w:b/>
        <w:szCs w:val="24"/>
      </w:rPr>
    </w:pPr>
    <w:r>
      <w:rPr>
        <w:szCs w:val="24"/>
      </w:rPr>
      <w:t>ALJ/RMD/sgu</w:t>
    </w:r>
    <w:r>
      <w:rPr>
        <w:szCs w:val="24"/>
      </w:rPr>
      <w:tab/>
    </w:r>
    <w:r>
      <w:rPr>
        <w:b/>
        <w:szCs w:val="24"/>
      </w:rPr>
      <w:t>DRAFT</w:t>
    </w:r>
    <w:r>
      <w:rPr>
        <w:b/>
        <w:szCs w:val="24"/>
      </w:rPr>
      <w:tab/>
      <w:t>Agenda ID #</w:t>
    </w:r>
    <w:r w:rsidR="004C194E">
      <w:rPr>
        <w:b/>
        <w:szCs w:val="24"/>
      </w:rPr>
      <w:t>20090</w:t>
    </w:r>
  </w:p>
  <w:p w14:paraId="581C7045" w14:textId="77777777" w:rsidR="00E50882" w:rsidRDefault="00E50882">
    <w:pPr>
      <w:pStyle w:val="Header"/>
      <w:rPr>
        <w:b/>
        <w:szCs w:val="24"/>
      </w:rPr>
    </w:pPr>
  </w:p>
  <w:p w14:paraId="560BDB5C" w14:textId="77777777" w:rsidR="00E50882" w:rsidRDefault="00E50882">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930" w14:textId="32A079E9" w:rsidR="00292759" w:rsidRPr="004C194E" w:rsidRDefault="004C194E" w:rsidP="00D71154">
    <w:pPr>
      <w:pStyle w:val="Header"/>
      <w:jc w:val="center"/>
      <w:rPr>
        <w:sz w:val="22"/>
        <w:szCs w:val="22"/>
      </w:rPr>
    </w:pPr>
    <w:r w:rsidRPr="004C194E">
      <w:rPr>
        <w:b/>
        <w:bCs/>
        <w:sz w:val="22"/>
        <w:szCs w:val="22"/>
      </w:rPr>
      <w:t>************ SERVICE LIST ***********</w:t>
    </w:r>
    <w:r w:rsidRPr="004C194E">
      <w:rPr>
        <w:b/>
        <w:bCs/>
        <w:sz w:val="22"/>
        <w:szCs w:val="22"/>
      </w:rPr>
      <w:br/>
      <w:t xml:space="preserve">Last Updated on 20-AUG-2021 by: AHB </w:t>
    </w:r>
    <w:r w:rsidRPr="004C194E">
      <w:rPr>
        <w:sz w:val="22"/>
        <w:szCs w:val="22"/>
      </w:rPr>
      <w:br/>
    </w:r>
    <w:r w:rsidRPr="004C194E">
      <w:rPr>
        <w:b/>
        <w:bCs/>
        <w:sz w:val="22"/>
        <w:szCs w:val="22"/>
      </w:rPr>
      <w:t>K2107010 LIST</w:t>
    </w:r>
    <w:r w:rsidR="00292759" w:rsidRPr="004C194E">
      <w:rPr>
        <w:rFonts w:ascii="Times New Roman" w:hAnsi="Times New Roman"/>
        <w:sz w:val="22"/>
        <w:szCs w:val="22"/>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39BF" w14:textId="77777777" w:rsidR="00292759" w:rsidRDefault="00292759">
    <w:pPr>
      <w:pStyle w:val="Header"/>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4D5" w14:textId="77777777" w:rsidR="00292759" w:rsidRDefault="002927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C1D8" w14:textId="36A3ADA0" w:rsidR="00292759" w:rsidRPr="00E064B2" w:rsidRDefault="00292759">
    <w:pPr>
      <w:pStyle w:val="Header"/>
      <w:rPr>
        <w:rFonts w:ascii="Book Antiqua" w:hAnsi="Book Antiqua"/>
      </w:rPr>
    </w:pPr>
    <w:r>
      <w:rPr>
        <w:rFonts w:ascii="Book Antiqua" w:hAnsi="Book Antiqua"/>
      </w:rPr>
      <w:t>Resolution ALJ-411  ALJ/RMD/sgu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415"/>
    <w:multiLevelType w:val="hybridMultilevel"/>
    <w:tmpl w:val="58E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40EA4"/>
    <w:multiLevelType w:val="hybridMultilevel"/>
    <w:tmpl w:val="13D431DA"/>
    <w:lvl w:ilvl="0" w:tplc="68642514">
      <w:start w:val="1"/>
      <w:numFmt w:val="decimal"/>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6259B"/>
    <w:multiLevelType w:val="hybridMultilevel"/>
    <w:tmpl w:val="909659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6AB9"/>
    <w:multiLevelType w:val="hybridMultilevel"/>
    <w:tmpl w:val="451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90918"/>
    <w:multiLevelType w:val="hybridMultilevel"/>
    <w:tmpl w:val="B246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9230D"/>
    <w:multiLevelType w:val="hybridMultilevel"/>
    <w:tmpl w:val="D1A07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D76B5"/>
    <w:multiLevelType w:val="hybridMultilevel"/>
    <w:tmpl w:val="AB58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A04EA"/>
    <w:multiLevelType w:val="hybridMultilevel"/>
    <w:tmpl w:val="46CC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241C7"/>
    <w:rsid w:val="00031A21"/>
    <w:rsid w:val="00073CBF"/>
    <w:rsid w:val="00092480"/>
    <w:rsid w:val="000C2706"/>
    <w:rsid w:val="000C6147"/>
    <w:rsid w:val="001149D1"/>
    <w:rsid w:val="00133BC3"/>
    <w:rsid w:val="0013688B"/>
    <w:rsid w:val="0015066F"/>
    <w:rsid w:val="00156B9C"/>
    <w:rsid w:val="001E11EB"/>
    <w:rsid w:val="001E56FA"/>
    <w:rsid w:val="001F34DE"/>
    <w:rsid w:val="00200D20"/>
    <w:rsid w:val="00211114"/>
    <w:rsid w:val="00212755"/>
    <w:rsid w:val="00213FDC"/>
    <w:rsid w:val="00221260"/>
    <w:rsid w:val="00273662"/>
    <w:rsid w:val="00292759"/>
    <w:rsid w:val="00295162"/>
    <w:rsid w:val="002C2E4F"/>
    <w:rsid w:val="002D66B0"/>
    <w:rsid w:val="002F012C"/>
    <w:rsid w:val="00310BF1"/>
    <w:rsid w:val="00374774"/>
    <w:rsid w:val="003C0E8B"/>
    <w:rsid w:val="003D6F06"/>
    <w:rsid w:val="003E1862"/>
    <w:rsid w:val="00401D27"/>
    <w:rsid w:val="00407CC1"/>
    <w:rsid w:val="004335D6"/>
    <w:rsid w:val="00437189"/>
    <w:rsid w:val="004628F9"/>
    <w:rsid w:val="00486020"/>
    <w:rsid w:val="004A5088"/>
    <w:rsid w:val="004C194E"/>
    <w:rsid w:val="004D6BA5"/>
    <w:rsid w:val="004E7748"/>
    <w:rsid w:val="00500520"/>
    <w:rsid w:val="00505BC7"/>
    <w:rsid w:val="00512598"/>
    <w:rsid w:val="00514676"/>
    <w:rsid w:val="0052309F"/>
    <w:rsid w:val="005241A7"/>
    <w:rsid w:val="00537856"/>
    <w:rsid w:val="00550E98"/>
    <w:rsid w:val="00557099"/>
    <w:rsid w:val="00564CAF"/>
    <w:rsid w:val="00580CA9"/>
    <w:rsid w:val="005A1119"/>
    <w:rsid w:val="005A4DBA"/>
    <w:rsid w:val="005A647A"/>
    <w:rsid w:val="005B09E4"/>
    <w:rsid w:val="005B587E"/>
    <w:rsid w:val="005F6587"/>
    <w:rsid w:val="006643E4"/>
    <w:rsid w:val="00666E1D"/>
    <w:rsid w:val="006B086F"/>
    <w:rsid w:val="006B69D4"/>
    <w:rsid w:val="006D3A95"/>
    <w:rsid w:val="006E3749"/>
    <w:rsid w:val="006E5258"/>
    <w:rsid w:val="006E6D2D"/>
    <w:rsid w:val="00703584"/>
    <w:rsid w:val="00721602"/>
    <w:rsid w:val="00732B81"/>
    <w:rsid w:val="007370C2"/>
    <w:rsid w:val="00737CE1"/>
    <w:rsid w:val="007454CB"/>
    <w:rsid w:val="0078538B"/>
    <w:rsid w:val="007948C4"/>
    <w:rsid w:val="007A05E6"/>
    <w:rsid w:val="007F2803"/>
    <w:rsid w:val="008012D1"/>
    <w:rsid w:val="00816290"/>
    <w:rsid w:val="00816CAB"/>
    <w:rsid w:val="00833858"/>
    <w:rsid w:val="00876D8F"/>
    <w:rsid w:val="00884E6F"/>
    <w:rsid w:val="008B54D6"/>
    <w:rsid w:val="008D61D0"/>
    <w:rsid w:val="008E25C7"/>
    <w:rsid w:val="008F0D2E"/>
    <w:rsid w:val="00940006"/>
    <w:rsid w:val="009C718D"/>
    <w:rsid w:val="009D3EC3"/>
    <w:rsid w:val="009F5F45"/>
    <w:rsid w:val="00A13286"/>
    <w:rsid w:val="00A25BD5"/>
    <w:rsid w:val="00A3456C"/>
    <w:rsid w:val="00A371A7"/>
    <w:rsid w:val="00A51C28"/>
    <w:rsid w:val="00A92D60"/>
    <w:rsid w:val="00AA090B"/>
    <w:rsid w:val="00AF57A7"/>
    <w:rsid w:val="00B03488"/>
    <w:rsid w:val="00B07A8D"/>
    <w:rsid w:val="00B17C3C"/>
    <w:rsid w:val="00B2383D"/>
    <w:rsid w:val="00B72CBC"/>
    <w:rsid w:val="00B81259"/>
    <w:rsid w:val="00B81433"/>
    <w:rsid w:val="00BA5EA0"/>
    <w:rsid w:val="00BB3FA9"/>
    <w:rsid w:val="00BF30C5"/>
    <w:rsid w:val="00C14DEC"/>
    <w:rsid w:val="00C47C2A"/>
    <w:rsid w:val="00CE54E9"/>
    <w:rsid w:val="00D1336D"/>
    <w:rsid w:val="00D74210"/>
    <w:rsid w:val="00D85A3D"/>
    <w:rsid w:val="00DA19AC"/>
    <w:rsid w:val="00DC5D66"/>
    <w:rsid w:val="00E26C46"/>
    <w:rsid w:val="00E42A87"/>
    <w:rsid w:val="00E50882"/>
    <w:rsid w:val="00E521A4"/>
    <w:rsid w:val="00EF4627"/>
    <w:rsid w:val="00F07016"/>
    <w:rsid w:val="00F304B4"/>
    <w:rsid w:val="00F5356F"/>
    <w:rsid w:val="00F64743"/>
    <w:rsid w:val="00F73889"/>
    <w:rsid w:val="00F877F6"/>
    <w:rsid w:val="00FA266C"/>
    <w:rsid w:val="00FE268C"/>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391A0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2">
    <w:name w:val="heading 2"/>
    <w:basedOn w:val="ListParagraph"/>
    <w:next w:val="Normal"/>
    <w:link w:val="Heading2Char"/>
    <w:qFormat/>
    <w:rsid w:val="00A3456C"/>
    <w:pPr>
      <w:numPr>
        <w:numId w:val="4"/>
      </w:numPr>
      <w:spacing w:before="120" w:after="120"/>
      <w:outlineLvl w:val="1"/>
    </w:pPr>
    <w:rPr>
      <w:rFonts w:ascii="Book Antiqua" w:hAnsi="Book Antiqu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aliases w:val="o,fr,o1,o2,o3,o4,o5,o6,o11,o21,o7,Style 3"/>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character" w:customStyle="1" w:styleId="Heading2Char">
    <w:name w:val="Heading 2 Char"/>
    <w:link w:val="Heading2"/>
    <w:rsid w:val="00A3456C"/>
    <w:rPr>
      <w:rFonts w:ascii="Book Antiqua" w:hAnsi="Book Antiqua"/>
      <w:b/>
      <w:bCs/>
      <w:sz w:val="26"/>
      <w:szCs w:val="26"/>
    </w:rPr>
  </w:style>
  <w:style w:type="character" w:customStyle="1" w:styleId="FootnoteTextChar">
    <w:name w:val="Footnote Text Char"/>
    <w:link w:val="FootnoteText"/>
    <w:uiPriority w:val="99"/>
    <w:semiHidden/>
    <w:rsid w:val="00A3456C"/>
    <w:rPr>
      <w:rFonts w:ascii="Palatino" w:hAnsi="Palatino"/>
      <w:sz w:val="24"/>
    </w:rPr>
  </w:style>
  <w:style w:type="paragraph" w:styleId="ListParagraph">
    <w:name w:val="List Paragraph"/>
    <w:basedOn w:val="Normal"/>
    <w:uiPriority w:val="72"/>
    <w:qFormat/>
    <w:rsid w:val="00A3456C"/>
    <w:pPr>
      <w:ind w:left="720"/>
    </w:pPr>
  </w:style>
  <w:style w:type="character" w:styleId="Hyperlink">
    <w:name w:val="Hyperlink"/>
    <w:rsid w:val="00A3456C"/>
    <w:rPr>
      <w:color w:val="0563C1"/>
      <w:u w:val="single"/>
    </w:rPr>
  </w:style>
  <w:style w:type="character" w:styleId="UnresolvedMention">
    <w:name w:val="Unresolved Mention"/>
    <w:uiPriority w:val="99"/>
    <w:semiHidden/>
    <w:unhideWhenUsed/>
    <w:rsid w:val="00A3456C"/>
    <w:rPr>
      <w:color w:val="605E5C"/>
      <w:shd w:val="clear" w:color="auto" w:fill="E1DFDD"/>
    </w:rPr>
  </w:style>
  <w:style w:type="character" w:styleId="CommentReference">
    <w:name w:val="annotation reference"/>
    <w:rsid w:val="001F34DE"/>
    <w:rPr>
      <w:sz w:val="16"/>
      <w:szCs w:val="16"/>
    </w:rPr>
  </w:style>
  <w:style w:type="paragraph" w:styleId="CommentText">
    <w:name w:val="annotation text"/>
    <w:basedOn w:val="Normal"/>
    <w:link w:val="CommentTextChar"/>
    <w:rsid w:val="001F34DE"/>
    <w:rPr>
      <w:sz w:val="20"/>
    </w:rPr>
  </w:style>
  <w:style w:type="character" w:customStyle="1" w:styleId="CommentTextChar">
    <w:name w:val="Comment Text Char"/>
    <w:link w:val="CommentText"/>
    <w:rsid w:val="001F34DE"/>
    <w:rPr>
      <w:rFonts w:ascii="Palatino" w:hAnsi="Palatino"/>
    </w:rPr>
  </w:style>
  <w:style w:type="paragraph" w:styleId="CommentSubject">
    <w:name w:val="annotation subject"/>
    <w:basedOn w:val="CommentText"/>
    <w:next w:val="CommentText"/>
    <w:link w:val="CommentSubjectChar"/>
    <w:rsid w:val="001F34DE"/>
    <w:rPr>
      <w:b/>
      <w:bCs/>
    </w:rPr>
  </w:style>
  <w:style w:type="character" w:customStyle="1" w:styleId="CommentSubjectChar">
    <w:name w:val="Comment Subject Char"/>
    <w:link w:val="CommentSubject"/>
    <w:rsid w:val="001F34DE"/>
    <w:rPr>
      <w:rFonts w:ascii="Palatino" w:hAnsi="Palatino"/>
      <w:b/>
      <w:bCs/>
    </w:rPr>
  </w:style>
  <w:style w:type="character" w:styleId="FollowedHyperlink">
    <w:name w:val="FollowedHyperlink"/>
    <w:rsid w:val="00833858"/>
    <w:rPr>
      <w:color w:val="954F72"/>
      <w:u w:val="single"/>
    </w:rPr>
  </w:style>
  <w:style w:type="character" w:customStyle="1" w:styleId="HeaderChar">
    <w:name w:val="Header Char"/>
    <w:link w:val="Header"/>
    <w:rsid w:val="00292759"/>
    <w:rPr>
      <w:rFonts w:ascii="Palatino" w:hAnsi="Palatino"/>
      <w:sz w:val="24"/>
    </w:rPr>
  </w:style>
  <w:style w:type="character" w:customStyle="1" w:styleId="FooterChar">
    <w:name w:val="Footer Char"/>
    <w:link w:val="Footer"/>
    <w:uiPriority w:val="99"/>
    <w:rsid w:val="00292759"/>
    <w:rPr>
      <w:rFonts w:ascii="Palatino" w:hAnsi="Palatino"/>
      <w:sz w:val="24"/>
    </w:rPr>
  </w:style>
  <w:style w:type="paragraph" w:styleId="Revision">
    <w:name w:val="Revision"/>
    <w:hidden/>
    <w:uiPriority w:val="99"/>
    <w:semiHidden/>
    <w:rsid w:val="00512598"/>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3567">
      <w:bodyDiv w:val="1"/>
      <w:marLeft w:val="0"/>
      <w:marRight w:val="0"/>
      <w:marTop w:val="0"/>
      <w:marBottom w:val="0"/>
      <w:divBdr>
        <w:top w:val="none" w:sz="0" w:space="0" w:color="auto"/>
        <w:left w:val="none" w:sz="0" w:space="0" w:color="auto"/>
        <w:bottom w:val="none" w:sz="0" w:space="0" w:color="auto"/>
        <w:right w:val="none" w:sz="0" w:space="0" w:color="auto"/>
      </w:divBdr>
    </w:div>
    <w:div w:id="596334452">
      <w:bodyDiv w:val="1"/>
      <w:marLeft w:val="0"/>
      <w:marRight w:val="0"/>
      <w:marTop w:val="0"/>
      <w:marBottom w:val="0"/>
      <w:divBdr>
        <w:top w:val="none" w:sz="0" w:space="0" w:color="auto"/>
        <w:left w:val="none" w:sz="0" w:space="0" w:color="auto"/>
        <w:bottom w:val="none" w:sz="0" w:space="0" w:color="auto"/>
        <w:right w:val="none" w:sz="0" w:space="0" w:color="auto"/>
      </w:divBdr>
    </w:div>
    <w:div w:id="614750793">
      <w:bodyDiv w:val="1"/>
      <w:marLeft w:val="0"/>
      <w:marRight w:val="0"/>
      <w:marTop w:val="0"/>
      <w:marBottom w:val="0"/>
      <w:divBdr>
        <w:top w:val="none" w:sz="0" w:space="0" w:color="auto"/>
        <w:left w:val="none" w:sz="0" w:space="0" w:color="auto"/>
        <w:bottom w:val="none" w:sz="0" w:space="0" w:color="auto"/>
        <w:right w:val="none" w:sz="0" w:space="0" w:color="auto"/>
      </w:divBdr>
    </w:div>
    <w:div w:id="637033042">
      <w:bodyDiv w:val="1"/>
      <w:marLeft w:val="0"/>
      <w:marRight w:val="0"/>
      <w:marTop w:val="0"/>
      <w:marBottom w:val="0"/>
      <w:divBdr>
        <w:top w:val="none" w:sz="0" w:space="0" w:color="auto"/>
        <w:left w:val="none" w:sz="0" w:space="0" w:color="auto"/>
        <w:bottom w:val="none" w:sz="0" w:space="0" w:color="auto"/>
        <w:right w:val="none" w:sz="0" w:space="0" w:color="auto"/>
      </w:divBdr>
    </w:div>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16739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6.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er" Target="footer6.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header" Target="header2.xml" Id="rId10" /><Relationship Type="http://schemas.openxmlformats.org/officeDocument/2006/relationships/header" Target="header7.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3.xml" Id="rId14" /><Relationship Type="http://schemas.openxmlformats.org/officeDocument/2006/relationships/theme" Target="theme/theme1.xml" Id="rId22" /><Relationship Type="http://schemas.openxmlformats.org/officeDocument/2006/relationships/hyperlink" Target="http://docs.cpuc.ca.gov/PublishedDocs/Published/G000/M422/K734/422734151.pdf" TargetMode="External" Id="R38c218e0d00549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F84D-B941-49F6-9005-A9873C41E9D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3719</ap:Words>
  <ap:Characters>21201</ap:Characters>
  <ap:Application>Microsoft Office Word</ap:Application>
  <ap:DocSecurity>0</ap:DocSecurity>
  <ap:Lines>176</ap:Lines>
  <ap:Paragraphs>49</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24871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2021-11-12T13:59:33Z</dcterms:created>
  <dcterms:modified xsi:type="dcterms:W3CDTF">2021-11-12T13:59:33Z</dcterms:modified>
</cp:coreProperties>
</file>