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421" w:rsidP="00BF754E" w:rsidRDefault="007D2E8E" w14:paraId="42A0C410" w14:textId="453B337C">
      <w:pPr>
        <w:tabs>
          <w:tab w:val="center" w:pos="4320"/>
          <w:tab w:val="right" w:pos="9360"/>
        </w:tabs>
        <w:rPr>
          <w:rFonts w:cs="Arial"/>
          <w:b/>
          <w:szCs w:val="26"/>
        </w:rPr>
      </w:pPr>
      <w:r>
        <w:rPr>
          <w:szCs w:val="26"/>
        </w:rPr>
        <w:t>COM/CR6/jnf</w:t>
      </w:r>
      <w:r w:rsidR="007E0FEE">
        <w:tab/>
      </w:r>
      <w:r w:rsidR="00656BD7">
        <w:rPr>
          <w:rFonts w:ascii="Arial" w:hAnsi="Arial" w:cs="Arial"/>
          <w:b/>
          <w:sz w:val="28"/>
          <w:szCs w:val="28"/>
        </w:rPr>
        <w:tab/>
      </w:r>
      <w:r w:rsidRPr="00656BD7" w:rsidR="00656BD7">
        <w:rPr>
          <w:rFonts w:cs="Arial"/>
          <w:b/>
          <w:szCs w:val="26"/>
        </w:rPr>
        <w:t>Date of Issuance 11/</w:t>
      </w:r>
      <w:r w:rsidR="005375A2">
        <w:rPr>
          <w:rFonts w:cs="Arial"/>
          <w:b/>
          <w:szCs w:val="26"/>
        </w:rPr>
        <w:t>9</w:t>
      </w:r>
      <w:r w:rsidRPr="00656BD7" w:rsidR="00656BD7">
        <w:rPr>
          <w:rFonts w:cs="Arial"/>
          <w:b/>
          <w:szCs w:val="26"/>
        </w:rPr>
        <w:t>/2021</w:t>
      </w:r>
    </w:p>
    <w:p w:rsidRPr="00656BD7" w:rsidR="00656BD7" w:rsidP="00656BD7" w:rsidRDefault="00656BD7" w14:paraId="5F350A45" w14:textId="77777777">
      <w:pPr>
        <w:spacing w:line="480" w:lineRule="auto"/>
        <w:ind w:left="1080" w:hanging="1080"/>
        <w:rPr>
          <w:szCs w:val="26"/>
        </w:rPr>
      </w:pPr>
    </w:p>
    <w:p w:rsidRPr="007D2E8E" w:rsidR="00DA7B5D" w:rsidP="00802742" w:rsidRDefault="00DA7B5D" w14:paraId="2D9846A5" w14:textId="1F29B5AC">
      <w:pPr>
        <w:spacing w:before="240"/>
        <w:ind w:left="1080" w:hanging="1080"/>
        <w:rPr>
          <w:szCs w:val="26"/>
        </w:rPr>
      </w:pPr>
      <w:r w:rsidRPr="007D2E8E">
        <w:rPr>
          <w:szCs w:val="26"/>
        </w:rPr>
        <w:t xml:space="preserve">Decision </w:t>
      </w:r>
      <w:r w:rsidR="00656BD7">
        <w:rPr>
          <w:szCs w:val="26"/>
        </w:rPr>
        <w:t>21-11-009  November 4, 2021</w:t>
      </w:r>
    </w:p>
    <w:p w:rsidRPr="00802742" w:rsidR="00DA7B5D" w:rsidP="00656BD7" w:rsidRDefault="00DA7B5D" w14:paraId="45DAE0D0" w14:textId="77777777">
      <w:pPr>
        <w:spacing w:line="360" w:lineRule="auto"/>
        <w:jc w:val="center"/>
        <w:rPr>
          <w:szCs w:val="26"/>
          <w:u w:val="single"/>
        </w:rPr>
      </w:pPr>
    </w:p>
    <w:p w:rsidR="00DA7B5D" w:rsidP="00BB0243" w:rsidRDefault="00DA7B5D" w14:paraId="78EF603A" w14:textId="41BBB417">
      <w:pPr>
        <w:jc w:val="center"/>
        <w:rPr>
          <w:rFonts w:ascii="Arial" w:hAnsi="Arial" w:cs="Arial"/>
        </w:rPr>
      </w:pPr>
      <w:r w:rsidRPr="00DA7B5D">
        <w:rPr>
          <w:rFonts w:ascii="Arial" w:hAnsi="Arial" w:cs="Arial"/>
          <w:b/>
        </w:rPr>
        <w:t>BEFORE THE PUBLIC UTILITIES COMMISSION OF THE STATE OF CALIFORNIA</w:t>
      </w:r>
    </w:p>
    <w:p w:rsidR="00DA7B5D" w:rsidP="008F0116" w:rsidRDefault="00EF7661" w14:paraId="124B9B04" w14:textId="38D91B63">
      <w:pPr>
        <w:rPr>
          <w:rFonts w:ascii="Arial" w:hAnsi="Arial" w:cs="Arial"/>
        </w:rPr>
      </w:pPr>
      <w:r>
        <w:rPr>
          <w:rFonts w:ascii="Arial" w:hAnsi="Arial" w:cs="Arial"/>
        </w:rPr>
        <w:t xml:space="preserve"> </w:t>
      </w: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5ADEE637" w14:textId="77777777">
        <w:trPr>
          <w:jc w:val="center"/>
        </w:trPr>
        <w:tc>
          <w:tcPr>
            <w:tcW w:w="5040" w:type="dxa"/>
            <w:tcBorders>
              <w:top w:val="nil"/>
              <w:left w:val="nil"/>
              <w:bottom w:val="single" w:color="auto" w:sz="4" w:space="0"/>
              <w:right w:val="single" w:color="auto" w:sz="4" w:space="0"/>
            </w:tcBorders>
          </w:tcPr>
          <w:p w:rsidRPr="008A1238" w:rsidR="00DA7B5D" w:rsidP="00C10B5F" w:rsidRDefault="00802742" w14:paraId="7986AB5C" w14:textId="2A746B06">
            <w:pPr>
              <w:rPr>
                <w:rFonts w:cs="Arial"/>
                <w:szCs w:val="26"/>
              </w:rPr>
            </w:pPr>
            <w:r w:rsidRPr="00802742">
              <w:rPr>
                <w:rFonts w:cs="Arial"/>
                <w:szCs w:val="26"/>
              </w:rPr>
              <w:t>Order Instituting Rulemaking to Further Develop a Risk-Based Decision-Making Framework for Electric and Gas Utilities.</w:t>
            </w:r>
            <w:r w:rsidRPr="008A1238" w:rsidR="00DA7B5D">
              <w:rPr>
                <w:rFonts w:cs="Arial"/>
                <w:szCs w:val="26"/>
              </w:rPr>
              <w:br/>
            </w:r>
          </w:p>
        </w:tc>
        <w:tc>
          <w:tcPr>
            <w:tcW w:w="5040" w:type="dxa"/>
            <w:tcBorders>
              <w:top w:val="nil"/>
              <w:left w:val="single" w:color="auto" w:sz="4" w:space="0"/>
              <w:bottom w:val="nil"/>
              <w:right w:val="nil"/>
            </w:tcBorders>
            <w:vAlign w:val="center"/>
          </w:tcPr>
          <w:p w:rsidRPr="008A1238" w:rsidR="00DA7B5D" w:rsidP="00412C83" w:rsidRDefault="009E3D7D" w14:paraId="3E68F07E" w14:textId="56B0E109">
            <w:pPr>
              <w:jc w:val="center"/>
              <w:rPr>
                <w:rFonts w:cs="Arial"/>
                <w:szCs w:val="26"/>
              </w:rPr>
            </w:pPr>
            <w:r w:rsidRPr="008A1238">
              <w:rPr>
                <w:rFonts w:cs="Arial"/>
                <w:szCs w:val="26"/>
              </w:rPr>
              <w:t>Rulemaking 20-07-013</w:t>
            </w:r>
          </w:p>
        </w:tc>
      </w:tr>
    </w:tbl>
    <w:p w:rsidR="00DA7B5D" w:rsidP="008F0116" w:rsidRDefault="00DA7B5D" w14:paraId="3432C105" w14:textId="77777777">
      <w:pPr>
        <w:rPr>
          <w:rFonts w:ascii="Arial" w:hAnsi="Arial" w:cs="Arial"/>
        </w:rPr>
      </w:pPr>
    </w:p>
    <w:p w:rsidR="00DA7B5D" w:rsidP="008F0116" w:rsidRDefault="00DA7B5D" w14:paraId="1A23AC05" w14:textId="77777777">
      <w:pPr>
        <w:rPr>
          <w:rFonts w:ascii="Arial" w:hAnsi="Arial" w:cs="Arial"/>
        </w:rPr>
      </w:pPr>
    </w:p>
    <w:p w:rsidR="00802742" w:rsidP="00802742" w:rsidRDefault="009E3D7D" w14:paraId="0C4D526D" w14:textId="63FDD5DF">
      <w:pPr>
        <w:pStyle w:val="Dummy"/>
        <w:jc w:val="center"/>
      </w:pPr>
      <w:bookmarkStart w:name="_Toc80890839" w:id="0"/>
      <w:bookmarkStart w:name="_Toc87361139" w:id="1"/>
      <w:r>
        <w:t>DECISION ADDRESSING PHASE I</w:t>
      </w:r>
      <w:r w:rsidR="00A5191B">
        <w:t>,</w:t>
      </w:r>
      <w:r>
        <w:t xml:space="preserve"> TRACK 1 AND 2 ISSUES</w:t>
      </w:r>
      <w:bookmarkEnd w:id="0"/>
      <w:bookmarkEnd w:id="1"/>
    </w:p>
    <w:p w:rsidR="00802742" w:rsidP="00802742" w:rsidRDefault="00802742" w14:paraId="334AADE2" w14:textId="77777777"/>
    <w:p w:rsidRPr="00802742" w:rsidR="00802742" w:rsidP="00802742" w:rsidRDefault="00802742" w14:paraId="658AEF11" w14:textId="0D5FE7C2">
      <w:pPr>
        <w:sectPr w:rsidRPr="00802742" w:rsidR="00802742" w:rsidSect="007A26F4">
          <w:headerReference w:type="even" r:id="rId11"/>
          <w:headerReference w:type="default" r:id="rId12"/>
          <w:footerReference w:type="even" r:id="rId13"/>
          <w:footerReference w:type="default" r:id="rId14"/>
          <w:headerReference w:type="first" r:id="rId15"/>
          <w:footerReference w:type="first" r:id="rId16"/>
          <w:pgSz w:w="12240" w:h="15840"/>
          <w:pgMar w:top="1728" w:right="1440" w:bottom="1440" w:left="1440" w:header="720" w:footer="720" w:gutter="0"/>
          <w:pgNumType w:start="1"/>
          <w:cols w:space="720"/>
          <w:titlePg/>
          <w:docGrid w:linePitch="360"/>
        </w:sectPr>
      </w:pPr>
    </w:p>
    <w:p w:rsidRPr="004A3998" w:rsidR="00D50119" w:rsidP="00F76650" w:rsidRDefault="00D50119" w14:paraId="1E02424F" w14:textId="77777777">
      <w:pPr>
        <w:pStyle w:val="Main"/>
        <w:rPr>
          <w:rFonts w:ascii="Book Antiqua" w:hAnsi="Book Antiqua"/>
          <w:szCs w:val="26"/>
        </w:rPr>
      </w:pPr>
      <w:r w:rsidRPr="004A3998">
        <w:rPr>
          <w:rFonts w:ascii="Book Antiqua" w:hAnsi="Book Antiqua"/>
          <w:szCs w:val="26"/>
        </w:rPr>
        <w:lastRenderedPageBreak/>
        <w:t>TABLE OF CONTENTS</w:t>
      </w:r>
    </w:p>
    <w:p w:rsidRPr="004A3998" w:rsidR="00D50119" w:rsidP="007E0FEE" w:rsidRDefault="00D50119" w14:paraId="57B69016" w14:textId="69C6424A">
      <w:pPr>
        <w:tabs>
          <w:tab w:val="right" w:pos="9360"/>
        </w:tabs>
        <w:rPr>
          <w:szCs w:val="26"/>
        </w:rPr>
      </w:pPr>
      <w:r w:rsidRPr="004A3998">
        <w:rPr>
          <w:b/>
          <w:szCs w:val="26"/>
        </w:rPr>
        <w:t>Title</w:t>
      </w:r>
      <w:r w:rsidRPr="004A3998">
        <w:rPr>
          <w:szCs w:val="26"/>
        </w:rPr>
        <w:tab/>
      </w:r>
      <w:r w:rsidRPr="004A3998">
        <w:rPr>
          <w:b/>
          <w:szCs w:val="26"/>
        </w:rPr>
        <w:t>Page</w:t>
      </w:r>
    </w:p>
    <w:sdt>
      <w:sdtPr>
        <w:rPr>
          <w:szCs w:val="26"/>
        </w:rPr>
        <w:id w:val="-1224440197"/>
        <w:docPartObj>
          <w:docPartGallery w:val="Table of Contents"/>
          <w:docPartUnique/>
        </w:docPartObj>
      </w:sdtPr>
      <w:sdtEndPr>
        <w:rPr>
          <w:b/>
          <w:bCs/>
          <w:noProof/>
        </w:rPr>
      </w:sdtEndPr>
      <w:sdtContent>
        <w:p w:rsidR="00C602B4" w:rsidRDefault="008C7413" w14:paraId="238EDA6E" w14:textId="5D903B12">
          <w:pPr>
            <w:pStyle w:val="TOC1"/>
            <w:tabs>
              <w:tab w:val="right" w:leader="dot" w:pos="9350"/>
            </w:tabs>
            <w:rPr>
              <w:rFonts w:asciiTheme="minorHAnsi" w:hAnsiTheme="minorHAnsi" w:cstheme="minorBidi"/>
              <w:noProof/>
              <w:sz w:val="22"/>
              <w:szCs w:val="22"/>
            </w:rPr>
          </w:pPr>
          <w:r w:rsidRPr="004A3998">
            <w:rPr>
              <w:szCs w:val="26"/>
            </w:rPr>
            <w:fldChar w:fldCharType="begin"/>
          </w:r>
          <w:r w:rsidRPr="004A3998">
            <w:rPr>
              <w:szCs w:val="26"/>
            </w:rPr>
            <w:instrText xml:space="preserve"> TOC \o "1-6" \h \z \u </w:instrText>
          </w:r>
          <w:r w:rsidRPr="004A3998">
            <w:rPr>
              <w:szCs w:val="26"/>
            </w:rPr>
            <w:fldChar w:fldCharType="separate"/>
          </w:r>
          <w:hyperlink w:history="1" w:anchor="_Toc87361139">
            <w:r w:rsidRPr="007F2417" w:rsidR="00C602B4">
              <w:rPr>
                <w:rStyle w:val="Hyperlink"/>
                <w:noProof/>
              </w:rPr>
              <w:t>DECISION ADDRESSING PHASE I, TRACK 1 AND 2 ISSUES</w:t>
            </w:r>
            <w:r w:rsidR="00C602B4">
              <w:rPr>
                <w:noProof/>
                <w:webHidden/>
              </w:rPr>
              <w:tab/>
            </w:r>
            <w:r w:rsidR="00C602B4">
              <w:rPr>
                <w:noProof/>
                <w:webHidden/>
              </w:rPr>
              <w:fldChar w:fldCharType="begin"/>
            </w:r>
            <w:r w:rsidR="00C602B4">
              <w:rPr>
                <w:noProof/>
                <w:webHidden/>
              </w:rPr>
              <w:instrText xml:space="preserve"> PAGEREF _Toc87361139 \h </w:instrText>
            </w:r>
            <w:r w:rsidR="00C602B4">
              <w:rPr>
                <w:noProof/>
                <w:webHidden/>
              </w:rPr>
            </w:r>
            <w:r w:rsidR="00C602B4">
              <w:rPr>
                <w:noProof/>
                <w:webHidden/>
              </w:rPr>
              <w:fldChar w:fldCharType="separate"/>
            </w:r>
            <w:r w:rsidR="00C602B4">
              <w:rPr>
                <w:noProof/>
                <w:webHidden/>
              </w:rPr>
              <w:t>1</w:t>
            </w:r>
            <w:r w:rsidR="00C602B4">
              <w:rPr>
                <w:noProof/>
                <w:webHidden/>
              </w:rPr>
              <w:fldChar w:fldCharType="end"/>
            </w:r>
          </w:hyperlink>
        </w:p>
        <w:p w:rsidR="00C602B4" w:rsidRDefault="00C602B4" w14:paraId="3A5E79DD" w14:textId="7CD502DC">
          <w:pPr>
            <w:pStyle w:val="TOC1"/>
            <w:tabs>
              <w:tab w:val="right" w:leader="dot" w:pos="9350"/>
            </w:tabs>
            <w:rPr>
              <w:rFonts w:asciiTheme="minorHAnsi" w:hAnsiTheme="minorHAnsi" w:cstheme="minorBidi"/>
              <w:noProof/>
              <w:sz w:val="22"/>
              <w:szCs w:val="22"/>
            </w:rPr>
          </w:pPr>
          <w:hyperlink w:history="1" w:anchor="_Toc87361140">
            <w:r w:rsidRPr="007F2417">
              <w:rPr>
                <w:rStyle w:val="Hyperlink"/>
                <w:noProof/>
              </w:rPr>
              <w:t>Summary</w:t>
            </w:r>
            <w:r>
              <w:rPr>
                <w:noProof/>
                <w:webHidden/>
              </w:rPr>
              <w:tab/>
            </w:r>
            <w:r>
              <w:rPr>
                <w:noProof/>
                <w:webHidden/>
              </w:rPr>
              <w:fldChar w:fldCharType="begin"/>
            </w:r>
            <w:r>
              <w:rPr>
                <w:noProof/>
                <w:webHidden/>
              </w:rPr>
              <w:instrText xml:space="preserve"> PAGEREF _Toc87361140 \h </w:instrText>
            </w:r>
            <w:r>
              <w:rPr>
                <w:noProof/>
                <w:webHidden/>
              </w:rPr>
            </w:r>
            <w:r>
              <w:rPr>
                <w:noProof/>
                <w:webHidden/>
              </w:rPr>
              <w:fldChar w:fldCharType="separate"/>
            </w:r>
            <w:r>
              <w:rPr>
                <w:noProof/>
                <w:webHidden/>
              </w:rPr>
              <w:t>2</w:t>
            </w:r>
            <w:r>
              <w:rPr>
                <w:noProof/>
                <w:webHidden/>
              </w:rPr>
              <w:fldChar w:fldCharType="end"/>
            </w:r>
          </w:hyperlink>
        </w:p>
        <w:p w:rsidR="00C602B4" w:rsidRDefault="00C602B4" w14:paraId="5575ED33" w14:textId="072EC5E5">
          <w:pPr>
            <w:pStyle w:val="TOC1"/>
            <w:tabs>
              <w:tab w:val="right" w:leader="dot" w:pos="9350"/>
            </w:tabs>
            <w:rPr>
              <w:rFonts w:asciiTheme="minorHAnsi" w:hAnsiTheme="minorHAnsi" w:cstheme="minorBidi"/>
              <w:noProof/>
              <w:sz w:val="22"/>
              <w:szCs w:val="22"/>
            </w:rPr>
          </w:pPr>
          <w:hyperlink w:history="1" w:anchor="_Toc87361141">
            <w:r w:rsidRPr="007F2417">
              <w:rPr>
                <w:rStyle w:val="Hyperlink"/>
                <w:noProof/>
              </w:rPr>
              <w:t>1.</w:t>
            </w:r>
            <w:r>
              <w:rPr>
                <w:rFonts w:asciiTheme="minorHAnsi" w:hAnsiTheme="minorHAnsi" w:cstheme="minorBidi"/>
                <w:noProof/>
                <w:sz w:val="22"/>
                <w:szCs w:val="22"/>
              </w:rPr>
              <w:tab/>
            </w:r>
            <w:r w:rsidRPr="007F2417">
              <w:rPr>
                <w:rStyle w:val="Hyperlink"/>
                <w:noProof/>
              </w:rPr>
              <w:t>Background</w:t>
            </w:r>
            <w:r>
              <w:rPr>
                <w:noProof/>
                <w:webHidden/>
              </w:rPr>
              <w:tab/>
            </w:r>
            <w:r>
              <w:rPr>
                <w:noProof/>
                <w:webHidden/>
              </w:rPr>
              <w:fldChar w:fldCharType="begin"/>
            </w:r>
            <w:r>
              <w:rPr>
                <w:noProof/>
                <w:webHidden/>
              </w:rPr>
              <w:instrText xml:space="preserve"> PAGEREF _Toc87361141 \h </w:instrText>
            </w:r>
            <w:r>
              <w:rPr>
                <w:noProof/>
                <w:webHidden/>
              </w:rPr>
            </w:r>
            <w:r>
              <w:rPr>
                <w:noProof/>
                <w:webHidden/>
              </w:rPr>
              <w:fldChar w:fldCharType="separate"/>
            </w:r>
            <w:r>
              <w:rPr>
                <w:noProof/>
                <w:webHidden/>
              </w:rPr>
              <w:t>3</w:t>
            </w:r>
            <w:r>
              <w:rPr>
                <w:noProof/>
                <w:webHidden/>
              </w:rPr>
              <w:fldChar w:fldCharType="end"/>
            </w:r>
          </w:hyperlink>
        </w:p>
        <w:p w:rsidR="00C602B4" w:rsidRDefault="00C602B4" w14:paraId="2819962B" w14:textId="21412FA4">
          <w:pPr>
            <w:pStyle w:val="TOC1"/>
            <w:tabs>
              <w:tab w:val="right" w:leader="dot" w:pos="9350"/>
            </w:tabs>
            <w:rPr>
              <w:rFonts w:asciiTheme="minorHAnsi" w:hAnsiTheme="minorHAnsi" w:cstheme="minorBidi"/>
              <w:noProof/>
              <w:sz w:val="22"/>
              <w:szCs w:val="22"/>
            </w:rPr>
          </w:pPr>
          <w:hyperlink w:history="1" w:anchor="_Toc87361142">
            <w:r w:rsidRPr="007F2417">
              <w:rPr>
                <w:rStyle w:val="Hyperlink"/>
                <w:noProof/>
              </w:rPr>
              <w:t>2.</w:t>
            </w:r>
            <w:r>
              <w:rPr>
                <w:rFonts w:asciiTheme="minorHAnsi" w:hAnsiTheme="minorHAnsi" w:cstheme="minorBidi"/>
                <w:noProof/>
                <w:sz w:val="22"/>
                <w:szCs w:val="22"/>
              </w:rPr>
              <w:tab/>
            </w:r>
            <w:r w:rsidRPr="007F2417">
              <w:rPr>
                <w:rStyle w:val="Hyperlink"/>
                <w:noProof/>
              </w:rPr>
              <w:t>Procedural Background</w:t>
            </w:r>
            <w:r>
              <w:rPr>
                <w:noProof/>
                <w:webHidden/>
              </w:rPr>
              <w:tab/>
            </w:r>
            <w:r>
              <w:rPr>
                <w:noProof/>
                <w:webHidden/>
              </w:rPr>
              <w:fldChar w:fldCharType="begin"/>
            </w:r>
            <w:r>
              <w:rPr>
                <w:noProof/>
                <w:webHidden/>
              </w:rPr>
              <w:instrText xml:space="preserve"> PAGEREF _Toc87361142 \h </w:instrText>
            </w:r>
            <w:r>
              <w:rPr>
                <w:noProof/>
                <w:webHidden/>
              </w:rPr>
            </w:r>
            <w:r>
              <w:rPr>
                <w:noProof/>
                <w:webHidden/>
              </w:rPr>
              <w:fldChar w:fldCharType="separate"/>
            </w:r>
            <w:r>
              <w:rPr>
                <w:noProof/>
                <w:webHidden/>
              </w:rPr>
              <w:t>6</w:t>
            </w:r>
            <w:r>
              <w:rPr>
                <w:noProof/>
                <w:webHidden/>
              </w:rPr>
              <w:fldChar w:fldCharType="end"/>
            </w:r>
          </w:hyperlink>
        </w:p>
        <w:p w:rsidR="00C602B4" w:rsidRDefault="00C602B4" w14:paraId="78A2C4E3" w14:textId="1C8B368D">
          <w:pPr>
            <w:pStyle w:val="TOC1"/>
            <w:tabs>
              <w:tab w:val="right" w:leader="dot" w:pos="9350"/>
            </w:tabs>
            <w:rPr>
              <w:rFonts w:asciiTheme="minorHAnsi" w:hAnsiTheme="minorHAnsi" w:cstheme="minorBidi"/>
              <w:noProof/>
              <w:sz w:val="22"/>
              <w:szCs w:val="22"/>
            </w:rPr>
          </w:pPr>
          <w:hyperlink w:history="1" w:anchor="_Toc87361143">
            <w:r w:rsidRPr="007F2417">
              <w:rPr>
                <w:rStyle w:val="Hyperlink"/>
                <w:noProof/>
              </w:rPr>
              <w:t>3.</w:t>
            </w:r>
            <w:r>
              <w:rPr>
                <w:rFonts w:asciiTheme="minorHAnsi" w:hAnsiTheme="minorHAnsi" w:cstheme="minorBidi"/>
                <w:noProof/>
                <w:sz w:val="22"/>
                <w:szCs w:val="22"/>
              </w:rPr>
              <w:tab/>
            </w:r>
            <w:r w:rsidRPr="007F2417">
              <w:rPr>
                <w:rStyle w:val="Hyperlink"/>
                <w:noProof/>
              </w:rPr>
              <w:t>Jurisdiction</w:t>
            </w:r>
            <w:r>
              <w:rPr>
                <w:noProof/>
                <w:webHidden/>
              </w:rPr>
              <w:tab/>
            </w:r>
            <w:r>
              <w:rPr>
                <w:noProof/>
                <w:webHidden/>
              </w:rPr>
              <w:fldChar w:fldCharType="begin"/>
            </w:r>
            <w:r>
              <w:rPr>
                <w:noProof/>
                <w:webHidden/>
              </w:rPr>
              <w:instrText xml:space="preserve"> PAGEREF _Toc87361143 \h </w:instrText>
            </w:r>
            <w:r>
              <w:rPr>
                <w:noProof/>
                <w:webHidden/>
              </w:rPr>
            </w:r>
            <w:r>
              <w:rPr>
                <w:noProof/>
                <w:webHidden/>
              </w:rPr>
              <w:fldChar w:fldCharType="separate"/>
            </w:r>
            <w:r>
              <w:rPr>
                <w:noProof/>
                <w:webHidden/>
              </w:rPr>
              <w:t>9</w:t>
            </w:r>
            <w:r>
              <w:rPr>
                <w:noProof/>
                <w:webHidden/>
              </w:rPr>
              <w:fldChar w:fldCharType="end"/>
            </w:r>
          </w:hyperlink>
        </w:p>
        <w:p w:rsidR="00C602B4" w:rsidRDefault="00C602B4" w14:paraId="17682D6E" w14:textId="5B129FDB">
          <w:pPr>
            <w:pStyle w:val="TOC1"/>
            <w:tabs>
              <w:tab w:val="right" w:leader="dot" w:pos="9350"/>
            </w:tabs>
            <w:rPr>
              <w:rFonts w:asciiTheme="minorHAnsi" w:hAnsiTheme="minorHAnsi" w:cstheme="minorBidi"/>
              <w:noProof/>
              <w:sz w:val="22"/>
              <w:szCs w:val="22"/>
            </w:rPr>
          </w:pPr>
          <w:hyperlink w:history="1" w:anchor="_Toc87361144">
            <w:r w:rsidRPr="007F2417">
              <w:rPr>
                <w:rStyle w:val="Hyperlink"/>
                <w:noProof/>
              </w:rPr>
              <w:t>4.</w:t>
            </w:r>
            <w:r>
              <w:rPr>
                <w:rFonts w:asciiTheme="minorHAnsi" w:hAnsiTheme="minorHAnsi" w:cstheme="minorBidi"/>
                <w:noProof/>
                <w:sz w:val="22"/>
                <w:szCs w:val="22"/>
              </w:rPr>
              <w:tab/>
            </w:r>
            <w:r w:rsidRPr="007F2417">
              <w:rPr>
                <w:rStyle w:val="Hyperlink"/>
                <w:noProof/>
              </w:rPr>
              <w:t>Issues Before the Commission</w:t>
            </w:r>
            <w:r>
              <w:rPr>
                <w:noProof/>
                <w:webHidden/>
              </w:rPr>
              <w:tab/>
            </w:r>
            <w:r>
              <w:rPr>
                <w:noProof/>
                <w:webHidden/>
              </w:rPr>
              <w:fldChar w:fldCharType="begin"/>
            </w:r>
            <w:r>
              <w:rPr>
                <w:noProof/>
                <w:webHidden/>
              </w:rPr>
              <w:instrText xml:space="preserve"> PAGEREF _Toc87361144 \h </w:instrText>
            </w:r>
            <w:r>
              <w:rPr>
                <w:noProof/>
                <w:webHidden/>
              </w:rPr>
            </w:r>
            <w:r>
              <w:rPr>
                <w:noProof/>
                <w:webHidden/>
              </w:rPr>
              <w:fldChar w:fldCharType="separate"/>
            </w:r>
            <w:r>
              <w:rPr>
                <w:noProof/>
                <w:webHidden/>
              </w:rPr>
              <w:t>10</w:t>
            </w:r>
            <w:r>
              <w:rPr>
                <w:noProof/>
                <w:webHidden/>
              </w:rPr>
              <w:fldChar w:fldCharType="end"/>
            </w:r>
          </w:hyperlink>
        </w:p>
        <w:p w:rsidR="00C602B4" w:rsidRDefault="00C602B4" w14:paraId="12A39D45" w14:textId="197F5737">
          <w:pPr>
            <w:pStyle w:val="TOC1"/>
            <w:tabs>
              <w:tab w:val="right" w:leader="dot" w:pos="9350"/>
            </w:tabs>
            <w:rPr>
              <w:rFonts w:asciiTheme="minorHAnsi" w:hAnsiTheme="minorHAnsi" w:cstheme="minorBidi"/>
              <w:noProof/>
              <w:sz w:val="22"/>
              <w:szCs w:val="22"/>
            </w:rPr>
          </w:pPr>
          <w:hyperlink w:history="1" w:anchor="_Toc87361145">
            <w:r w:rsidRPr="007F2417">
              <w:rPr>
                <w:rStyle w:val="Hyperlink"/>
                <w:noProof/>
              </w:rPr>
              <w:t>5.</w:t>
            </w:r>
            <w:r>
              <w:rPr>
                <w:rFonts w:asciiTheme="minorHAnsi" w:hAnsiTheme="minorHAnsi" w:cstheme="minorBidi"/>
                <w:noProof/>
                <w:sz w:val="22"/>
                <w:szCs w:val="22"/>
              </w:rPr>
              <w:tab/>
            </w:r>
            <w:r w:rsidRPr="007F2417">
              <w:rPr>
                <w:rStyle w:val="Hyperlink"/>
                <w:noProof/>
              </w:rPr>
              <w:t>Clarifying Guidance on “Controls”  and “Mitigations”</w:t>
            </w:r>
            <w:r>
              <w:rPr>
                <w:noProof/>
                <w:webHidden/>
              </w:rPr>
              <w:tab/>
            </w:r>
            <w:r>
              <w:rPr>
                <w:noProof/>
                <w:webHidden/>
              </w:rPr>
              <w:fldChar w:fldCharType="begin"/>
            </w:r>
            <w:r>
              <w:rPr>
                <w:noProof/>
                <w:webHidden/>
              </w:rPr>
              <w:instrText xml:space="preserve"> PAGEREF _Toc87361145 \h </w:instrText>
            </w:r>
            <w:r>
              <w:rPr>
                <w:noProof/>
                <w:webHidden/>
              </w:rPr>
            </w:r>
            <w:r>
              <w:rPr>
                <w:noProof/>
                <w:webHidden/>
              </w:rPr>
              <w:fldChar w:fldCharType="separate"/>
            </w:r>
            <w:r>
              <w:rPr>
                <w:noProof/>
                <w:webHidden/>
              </w:rPr>
              <w:t>11</w:t>
            </w:r>
            <w:r>
              <w:rPr>
                <w:noProof/>
                <w:webHidden/>
              </w:rPr>
              <w:fldChar w:fldCharType="end"/>
            </w:r>
          </w:hyperlink>
        </w:p>
        <w:p w:rsidR="00C602B4" w:rsidRDefault="00C602B4" w14:paraId="29D51E69" w14:textId="56B277B5">
          <w:pPr>
            <w:pStyle w:val="TOC2"/>
            <w:tabs>
              <w:tab w:val="right" w:leader="dot" w:pos="9350"/>
            </w:tabs>
            <w:rPr>
              <w:rFonts w:asciiTheme="minorHAnsi" w:hAnsiTheme="minorHAnsi" w:cstheme="minorBidi"/>
              <w:noProof/>
              <w:sz w:val="22"/>
              <w:szCs w:val="22"/>
            </w:rPr>
          </w:pPr>
          <w:hyperlink w:history="1" w:anchor="_Toc87361146">
            <w:r w:rsidRPr="007F2417">
              <w:rPr>
                <w:rStyle w:val="Hyperlink"/>
                <w:noProof/>
              </w:rPr>
              <w:t>5.1</w:t>
            </w:r>
            <w:r>
              <w:rPr>
                <w:rFonts w:asciiTheme="minorHAnsi" w:hAnsiTheme="minorHAnsi" w:cstheme="minorBidi"/>
                <w:noProof/>
                <w:sz w:val="22"/>
                <w:szCs w:val="22"/>
              </w:rPr>
              <w:tab/>
            </w:r>
            <w:r w:rsidRPr="007F2417">
              <w:rPr>
                <w:rStyle w:val="Hyperlink"/>
                <w:noProof/>
              </w:rPr>
              <w:t>Background</w:t>
            </w:r>
            <w:r>
              <w:rPr>
                <w:noProof/>
                <w:webHidden/>
              </w:rPr>
              <w:tab/>
            </w:r>
            <w:r>
              <w:rPr>
                <w:noProof/>
                <w:webHidden/>
              </w:rPr>
              <w:fldChar w:fldCharType="begin"/>
            </w:r>
            <w:r>
              <w:rPr>
                <w:noProof/>
                <w:webHidden/>
              </w:rPr>
              <w:instrText xml:space="preserve"> PAGEREF _Toc87361146 \h </w:instrText>
            </w:r>
            <w:r>
              <w:rPr>
                <w:noProof/>
                <w:webHidden/>
              </w:rPr>
            </w:r>
            <w:r>
              <w:rPr>
                <w:noProof/>
                <w:webHidden/>
              </w:rPr>
              <w:fldChar w:fldCharType="separate"/>
            </w:r>
            <w:r>
              <w:rPr>
                <w:noProof/>
                <w:webHidden/>
              </w:rPr>
              <w:t>12</w:t>
            </w:r>
            <w:r>
              <w:rPr>
                <w:noProof/>
                <w:webHidden/>
              </w:rPr>
              <w:fldChar w:fldCharType="end"/>
            </w:r>
          </w:hyperlink>
        </w:p>
        <w:p w:rsidR="00C602B4" w:rsidRDefault="00C602B4" w14:paraId="6FFC5A6A" w14:textId="4CBF56D6">
          <w:pPr>
            <w:pStyle w:val="TOC2"/>
            <w:tabs>
              <w:tab w:val="right" w:leader="dot" w:pos="9350"/>
            </w:tabs>
            <w:rPr>
              <w:rFonts w:asciiTheme="minorHAnsi" w:hAnsiTheme="minorHAnsi" w:cstheme="minorBidi"/>
              <w:noProof/>
              <w:sz w:val="22"/>
              <w:szCs w:val="22"/>
            </w:rPr>
          </w:pPr>
          <w:hyperlink w:history="1" w:anchor="_Toc87361147">
            <w:r w:rsidRPr="007F2417">
              <w:rPr>
                <w:rStyle w:val="Hyperlink"/>
                <w:noProof/>
              </w:rPr>
              <w:t>5.2</w:t>
            </w:r>
            <w:r>
              <w:rPr>
                <w:rFonts w:asciiTheme="minorHAnsi" w:hAnsiTheme="minorHAnsi" w:cstheme="minorBidi"/>
                <w:noProof/>
                <w:sz w:val="22"/>
                <w:szCs w:val="22"/>
              </w:rPr>
              <w:tab/>
            </w:r>
            <w:r w:rsidRPr="007F2417">
              <w:rPr>
                <w:rStyle w:val="Hyperlink"/>
                <w:noProof/>
              </w:rPr>
              <w:t>Staff Proposal</w:t>
            </w:r>
            <w:r>
              <w:rPr>
                <w:noProof/>
                <w:webHidden/>
              </w:rPr>
              <w:tab/>
            </w:r>
            <w:r>
              <w:rPr>
                <w:noProof/>
                <w:webHidden/>
              </w:rPr>
              <w:fldChar w:fldCharType="begin"/>
            </w:r>
            <w:r>
              <w:rPr>
                <w:noProof/>
                <w:webHidden/>
              </w:rPr>
              <w:instrText xml:space="preserve"> PAGEREF _Toc87361147 \h </w:instrText>
            </w:r>
            <w:r>
              <w:rPr>
                <w:noProof/>
                <w:webHidden/>
              </w:rPr>
            </w:r>
            <w:r>
              <w:rPr>
                <w:noProof/>
                <w:webHidden/>
              </w:rPr>
              <w:fldChar w:fldCharType="separate"/>
            </w:r>
            <w:r>
              <w:rPr>
                <w:noProof/>
                <w:webHidden/>
              </w:rPr>
              <w:t>13</w:t>
            </w:r>
            <w:r>
              <w:rPr>
                <w:noProof/>
                <w:webHidden/>
              </w:rPr>
              <w:fldChar w:fldCharType="end"/>
            </w:r>
          </w:hyperlink>
        </w:p>
        <w:p w:rsidR="00C602B4" w:rsidRDefault="00C602B4" w14:paraId="3F257E28" w14:textId="33C5F707">
          <w:pPr>
            <w:pStyle w:val="TOC2"/>
            <w:tabs>
              <w:tab w:val="right" w:leader="dot" w:pos="9350"/>
            </w:tabs>
            <w:rPr>
              <w:rFonts w:asciiTheme="minorHAnsi" w:hAnsiTheme="minorHAnsi" w:cstheme="minorBidi"/>
              <w:noProof/>
              <w:sz w:val="22"/>
              <w:szCs w:val="22"/>
            </w:rPr>
          </w:pPr>
          <w:hyperlink w:history="1" w:anchor="_Toc87361148">
            <w:r w:rsidRPr="007F2417">
              <w:rPr>
                <w:rStyle w:val="Hyperlink"/>
                <w:noProof/>
              </w:rPr>
              <w:t>5.3</w:t>
            </w:r>
            <w:r>
              <w:rPr>
                <w:rFonts w:asciiTheme="minorHAnsi" w:hAnsiTheme="minorHAnsi" w:cstheme="minorBidi"/>
                <w:noProof/>
                <w:sz w:val="22"/>
                <w:szCs w:val="22"/>
              </w:rPr>
              <w:tab/>
            </w:r>
            <w:r w:rsidRPr="007F2417">
              <w:rPr>
                <w:rStyle w:val="Hyperlink"/>
                <w:noProof/>
              </w:rPr>
              <w:t>Party Comments</w:t>
            </w:r>
            <w:r>
              <w:rPr>
                <w:noProof/>
                <w:webHidden/>
              </w:rPr>
              <w:tab/>
            </w:r>
            <w:r>
              <w:rPr>
                <w:noProof/>
                <w:webHidden/>
              </w:rPr>
              <w:fldChar w:fldCharType="begin"/>
            </w:r>
            <w:r>
              <w:rPr>
                <w:noProof/>
                <w:webHidden/>
              </w:rPr>
              <w:instrText xml:space="preserve"> PAGEREF _Toc87361148 \h </w:instrText>
            </w:r>
            <w:r>
              <w:rPr>
                <w:noProof/>
                <w:webHidden/>
              </w:rPr>
            </w:r>
            <w:r>
              <w:rPr>
                <w:noProof/>
                <w:webHidden/>
              </w:rPr>
              <w:fldChar w:fldCharType="separate"/>
            </w:r>
            <w:r>
              <w:rPr>
                <w:noProof/>
                <w:webHidden/>
              </w:rPr>
              <w:t>15</w:t>
            </w:r>
            <w:r>
              <w:rPr>
                <w:noProof/>
                <w:webHidden/>
              </w:rPr>
              <w:fldChar w:fldCharType="end"/>
            </w:r>
          </w:hyperlink>
        </w:p>
        <w:p w:rsidR="00C602B4" w:rsidRDefault="00C602B4" w14:paraId="1C65A2DE" w14:textId="3D57D25E">
          <w:pPr>
            <w:pStyle w:val="TOC2"/>
            <w:tabs>
              <w:tab w:val="right" w:leader="dot" w:pos="9350"/>
            </w:tabs>
            <w:rPr>
              <w:rFonts w:asciiTheme="minorHAnsi" w:hAnsiTheme="minorHAnsi" w:cstheme="minorBidi"/>
              <w:noProof/>
              <w:sz w:val="22"/>
              <w:szCs w:val="22"/>
            </w:rPr>
          </w:pPr>
          <w:hyperlink w:history="1" w:anchor="_Toc87361149">
            <w:r w:rsidRPr="007F2417">
              <w:rPr>
                <w:rStyle w:val="Hyperlink"/>
                <w:noProof/>
              </w:rPr>
              <w:t>5.4</w:t>
            </w:r>
            <w:r>
              <w:rPr>
                <w:rFonts w:asciiTheme="minorHAnsi" w:hAnsiTheme="minorHAnsi" w:cstheme="minorBidi"/>
                <w:noProof/>
                <w:sz w:val="22"/>
                <w:szCs w:val="22"/>
              </w:rPr>
              <w:tab/>
            </w:r>
            <w:r w:rsidRPr="007F2417">
              <w:rPr>
                <w:rStyle w:val="Hyperlink"/>
                <w:noProof/>
              </w:rPr>
              <w:t>Discussion</w:t>
            </w:r>
            <w:r>
              <w:rPr>
                <w:noProof/>
                <w:webHidden/>
              </w:rPr>
              <w:tab/>
            </w:r>
            <w:r>
              <w:rPr>
                <w:noProof/>
                <w:webHidden/>
              </w:rPr>
              <w:fldChar w:fldCharType="begin"/>
            </w:r>
            <w:r>
              <w:rPr>
                <w:noProof/>
                <w:webHidden/>
              </w:rPr>
              <w:instrText xml:space="preserve"> PAGEREF _Toc87361149 \h </w:instrText>
            </w:r>
            <w:r>
              <w:rPr>
                <w:noProof/>
                <w:webHidden/>
              </w:rPr>
            </w:r>
            <w:r>
              <w:rPr>
                <w:noProof/>
                <w:webHidden/>
              </w:rPr>
              <w:fldChar w:fldCharType="separate"/>
            </w:r>
            <w:r>
              <w:rPr>
                <w:noProof/>
                <w:webHidden/>
              </w:rPr>
              <w:t>17</w:t>
            </w:r>
            <w:r>
              <w:rPr>
                <w:noProof/>
                <w:webHidden/>
              </w:rPr>
              <w:fldChar w:fldCharType="end"/>
            </w:r>
          </w:hyperlink>
        </w:p>
        <w:p w:rsidR="00C602B4" w:rsidRDefault="00C602B4" w14:paraId="0225EC6E" w14:textId="08D48566">
          <w:pPr>
            <w:pStyle w:val="TOC1"/>
            <w:tabs>
              <w:tab w:val="right" w:leader="dot" w:pos="9350"/>
            </w:tabs>
            <w:rPr>
              <w:rFonts w:asciiTheme="minorHAnsi" w:hAnsiTheme="minorHAnsi" w:cstheme="minorBidi"/>
              <w:noProof/>
              <w:sz w:val="22"/>
              <w:szCs w:val="22"/>
            </w:rPr>
          </w:pPr>
          <w:hyperlink w:history="1" w:anchor="_Toc87361150">
            <w:r w:rsidRPr="007F2417">
              <w:rPr>
                <w:rStyle w:val="Hyperlink"/>
                <w:noProof/>
              </w:rPr>
              <w:t>6.</w:t>
            </w:r>
            <w:r>
              <w:rPr>
                <w:rFonts w:asciiTheme="minorHAnsi" w:hAnsiTheme="minorHAnsi" w:cstheme="minorBidi"/>
                <w:noProof/>
                <w:sz w:val="22"/>
                <w:szCs w:val="22"/>
              </w:rPr>
              <w:tab/>
            </w:r>
            <w:r w:rsidRPr="007F2417">
              <w:rPr>
                <w:rStyle w:val="Hyperlink"/>
                <w:noProof/>
              </w:rPr>
              <w:t>Treatment of Foundational  Programs &amp; Activities</w:t>
            </w:r>
            <w:r>
              <w:rPr>
                <w:noProof/>
                <w:webHidden/>
              </w:rPr>
              <w:tab/>
            </w:r>
            <w:r>
              <w:rPr>
                <w:noProof/>
                <w:webHidden/>
              </w:rPr>
              <w:fldChar w:fldCharType="begin"/>
            </w:r>
            <w:r>
              <w:rPr>
                <w:noProof/>
                <w:webHidden/>
              </w:rPr>
              <w:instrText xml:space="preserve"> PAGEREF _Toc87361150 \h </w:instrText>
            </w:r>
            <w:r>
              <w:rPr>
                <w:noProof/>
                <w:webHidden/>
              </w:rPr>
            </w:r>
            <w:r>
              <w:rPr>
                <w:noProof/>
                <w:webHidden/>
              </w:rPr>
              <w:fldChar w:fldCharType="separate"/>
            </w:r>
            <w:r>
              <w:rPr>
                <w:noProof/>
                <w:webHidden/>
              </w:rPr>
              <w:t>19</w:t>
            </w:r>
            <w:r>
              <w:rPr>
                <w:noProof/>
                <w:webHidden/>
              </w:rPr>
              <w:fldChar w:fldCharType="end"/>
            </w:r>
          </w:hyperlink>
        </w:p>
        <w:p w:rsidR="00C602B4" w:rsidRDefault="00C602B4" w14:paraId="03EBD9E8" w14:textId="56A6AC37">
          <w:pPr>
            <w:pStyle w:val="TOC2"/>
            <w:tabs>
              <w:tab w:val="right" w:leader="dot" w:pos="9350"/>
            </w:tabs>
            <w:rPr>
              <w:rFonts w:asciiTheme="minorHAnsi" w:hAnsiTheme="minorHAnsi" w:cstheme="minorBidi"/>
              <w:noProof/>
              <w:sz w:val="22"/>
              <w:szCs w:val="22"/>
            </w:rPr>
          </w:pPr>
          <w:hyperlink w:history="1" w:anchor="_Toc87361151">
            <w:r w:rsidRPr="007F2417">
              <w:rPr>
                <w:rStyle w:val="Hyperlink"/>
                <w:noProof/>
              </w:rPr>
              <w:t>6.1</w:t>
            </w:r>
            <w:r>
              <w:rPr>
                <w:rFonts w:asciiTheme="minorHAnsi" w:hAnsiTheme="minorHAnsi" w:cstheme="minorBidi"/>
                <w:noProof/>
                <w:sz w:val="22"/>
                <w:szCs w:val="22"/>
              </w:rPr>
              <w:tab/>
            </w:r>
            <w:r w:rsidRPr="007F2417">
              <w:rPr>
                <w:rStyle w:val="Hyperlink"/>
                <w:noProof/>
              </w:rPr>
              <w:t>Staff Proposal</w:t>
            </w:r>
            <w:r>
              <w:rPr>
                <w:noProof/>
                <w:webHidden/>
              </w:rPr>
              <w:tab/>
            </w:r>
            <w:r>
              <w:rPr>
                <w:noProof/>
                <w:webHidden/>
              </w:rPr>
              <w:fldChar w:fldCharType="begin"/>
            </w:r>
            <w:r>
              <w:rPr>
                <w:noProof/>
                <w:webHidden/>
              </w:rPr>
              <w:instrText xml:space="preserve"> PAGEREF _Toc87361151 \h </w:instrText>
            </w:r>
            <w:r>
              <w:rPr>
                <w:noProof/>
                <w:webHidden/>
              </w:rPr>
            </w:r>
            <w:r>
              <w:rPr>
                <w:noProof/>
                <w:webHidden/>
              </w:rPr>
              <w:fldChar w:fldCharType="separate"/>
            </w:r>
            <w:r>
              <w:rPr>
                <w:noProof/>
                <w:webHidden/>
              </w:rPr>
              <w:t>20</w:t>
            </w:r>
            <w:r>
              <w:rPr>
                <w:noProof/>
                <w:webHidden/>
              </w:rPr>
              <w:fldChar w:fldCharType="end"/>
            </w:r>
          </w:hyperlink>
        </w:p>
        <w:p w:rsidR="00C602B4" w:rsidRDefault="00C602B4" w14:paraId="0A1357A1" w14:textId="1ABD2EE4">
          <w:pPr>
            <w:pStyle w:val="TOC2"/>
            <w:tabs>
              <w:tab w:val="right" w:leader="dot" w:pos="9350"/>
            </w:tabs>
            <w:rPr>
              <w:rFonts w:asciiTheme="minorHAnsi" w:hAnsiTheme="minorHAnsi" w:cstheme="minorBidi"/>
              <w:noProof/>
              <w:sz w:val="22"/>
              <w:szCs w:val="22"/>
            </w:rPr>
          </w:pPr>
          <w:hyperlink w:history="1" w:anchor="_Toc87361152">
            <w:r w:rsidRPr="007F2417">
              <w:rPr>
                <w:rStyle w:val="Hyperlink"/>
                <w:noProof/>
              </w:rPr>
              <w:t>6.2</w:t>
            </w:r>
            <w:r>
              <w:rPr>
                <w:rFonts w:asciiTheme="minorHAnsi" w:hAnsiTheme="minorHAnsi" w:cstheme="minorBidi"/>
                <w:noProof/>
                <w:sz w:val="22"/>
                <w:szCs w:val="22"/>
              </w:rPr>
              <w:tab/>
            </w:r>
            <w:r w:rsidRPr="007F2417">
              <w:rPr>
                <w:rStyle w:val="Hyperlink"/>
                <w:noProof/>
              </w:rPr>
              <w:t>Party Comments</w:t>
            </w:r>
            <w:r>
              <w:rPr>
                <w:noProof/>
                <w:webHidden/>
              </w:rPr>
              <w:tab/>
            </w:r>
            <w:r>
              <w:rPr>
                <w:noProof/>
                <w:webHidden/>
              </w:rPr>
              <w:fldChar w:fldCharType="begin"/>
            </w:r>
            <w:r>
              <w:rPr>
                <w:noProof/>
                <w:webHidden/>
              </w:rPr>
              <w:instrText xml:space="preserve"> PAGEREF _Toc87361152 \h </w:instrText>
            </w:r>
            <w:r>
              <w:rPr>
                <w:noProof/>
                <w:webHidden/>
              </w:rPr>
            </w:r>
            <w:r>
              <w:rPr>
                <w:noProof/>
                <w:webHidden/>
              </w:rPr>
              <w:fldChar w:fldCharType="separate"/>
            </w:r>
            <w:r>
              <w:rPr>
                <w:noProof/>
                <w:webHidden/>
              </w:rPr>
              <w:t>20</w:t>
            </w:r>
            <w:r>
              <w:rPr>
                <w:noProof/>
                <w:webHidden/>
              </w:rPr>
              <w:fldChar w:fldCharType="end"/>
            </w:r>
          </w:hyperlink>
        </w:p>
        <w:p w:rsidR="00C602B4" w:rsidRDefault="00C602B4" w14:paraId="23156464" w14:textId="644A31B3">
          <w:pPr>
            <w:pStyle w:val="TOC2"/>
            <w:tabs>
              <w:tab w:val="right" w:leader="dot" w:pos="9350"/>
            </w:tabs>
            <w:rPr>
              <w:rFonts w:asciiTheme="minorHAnsi" w:hAnsiTheme="minorHAnsi" w:cstheme="minorBidi"/>
              <w:noProof/>
              <w:sz w:val="22"/>
              <w:szCs w:val="22"/>
            </w:rPr>
          </w:pPr>
          <w:hyperlink w:history="1" w:anchor="_Toc87361153">
            <w:r w:rsidRPr="007F2417">
              <w:rPr>
                <w:rStyle w:val="Hyperlink"/>
                <w:noProof/>
              </w:rPr>
              <w:t xml:space="preserve">6.3 </w:t>
            </w:r>
            <w:r>
              <w:rPr>
                <w:rFonts w:asciiTheme="minorHAnsi" w:hAnsiTheme="minorHAnsi" w:cstheme="minorBidi"/>
                <w:noProof/>
                <w:sz w:val="22"/>
                <w:szCs w:val="22"/>
              </w:rPr>
              <w:tab/>
            </w:r>
            <w:r w:rsidRPr="007F2417">
              <w:rPr>
                <w:rStyle w:val="Hyperlink"/>
                <w:noProof/>
              </w:rPr>
              <w:t>Discussion</w:t>
            </w:r>
            <w:r>
              <w:rPr>
                <w:noProof/>
                <w:webHidden/>
              </w:rPr>
              <w:tab/>
            </w:r>
            <w:r>
              <w:rPr>
                <w:noProof/>
                <w:webHidden/>
              </w:rPr>
              <w:fldChar w:fldCharType="begin"/>
            </w:r>
            <w:r>
              <w:rPr>
                <w:noProof/>
                <w:webHidden/>
              </w:rPr>
              <w:instrText xml:space="preserve"> PAGEREF _Toc87361153 \h </w:instrText>
            </w:r>
            <w:r>
              <w:rPr>
                <w:noProof/>
                <w:webHidden/>
              </w:rPr>
            </w:r>
            <w:r>
              <w:rPr>
                <w:noProof/>
                <w:webHidden/>
              </w:rPr>
              <w:fldChar w:fldCharType="separate"/>
            </w:r>
            <w:r>
              <w:rPr>
                <w:noProof/>
                <w:webHidden/>
              </w:rPr>
              <w:t>22</w:t>
            </w:r>
            <w:r>
              <w:rPr>
                <w:noProof/>
                <w:webHidden/>
              </w:rPr>
              <w:fldChar w:fldCharType="end"/>
            </w:r>
          </w:hyperlink>
        </w:p>
        <w:p w:rsidR="00C602B4" w:rsidRDefault="00C602B4" w14:paraId="06B921A8" w14:textId="218164C3">
          <w:pPr>
            <w:pStyle w:val="TOC1"/>
            <w:tabs>
              <w:tab w:val="right" w:leader="dot" w:pos="9350"/>
            </w:tabs>
            <w:rPr>
              <w:rFonts w:asciiTheme="minorHAnsi" w:hAnsiTheme="minorHAnsi" w:cstheme="minorBidi"/>
              <w:noProof/>
              <w:sz w:val="22"/>
              <w:szCs w:val="22"/>
            </w:rPr>
          </w:pPr>
          <w:hyperlink w:history="1" w:anchor="_Toc87361154">
            <w:r w:rsidRPr="007F2417">
              <w:rPr>
                <w:rStyle w:val="Hyperlink"/>
                <w:noProof/>
              </w:rPr>
              <w:t>7.</w:t>
            </w:r>
            <w:r>
              <w:rPr>
                <w:rFonts w:asciiTheme="minorHAnsi" w:hAnsiTheme="minorHAnsi" w:cstheme="minorBidi"/>
                <w:noProof/>
                <w:sz w:val="22"/>
                <w:szCs w:val="22"/>
              </w:rPr>
              <w:tab/>
            </w:r>
            <w:r w:rsidRPr="007F2417">
              <w:rPr>
                <w:rStyle w:val="Hyperlink"/>
                <w:noProof/>
              </w:rPr>
              <w:t>Requiring Modeling of PSPS Events  as Risk Events</w:t>
            </w:r>
            <w:r>
              <w:rPr>
                <w:noProof/>
                <w:webHidden/>
              </w:rPr>
              <w:tab/>
            </w:r>
            <w:r>
              <w:rPr>
                <w:noProof/>
                <w:webHidden/>
              </w:rPr>
              <w:fldChar w:fldCharType="begin"/>
            </w:r>
            <w:r>
              <w:rPr>
                <w:noProof/>
                <w:webHidden/>
              </w:rPr>
              <w:instrText xml:space="preserve"> PAGEREF _Toc87361154 \h </w:instrText>
            </w:r>
            <w:r>
              <w:rPr>
                <w:noProof/>
                <w:webHidden/>
              </w:rPr>
            </w:r>
            <w:r>
              <w:rPr>
                <w:noProof/>
                <w:webHidden/>
              </w:rPr>
              <w:fldChar w:fldCharType="separate"/>
            </w:r>
            <w:r>
              <w:rPr>
                <w:noProof/>
                <w:webHidden/>
              </w:rPr>
              <w:t>26</w:t>
            </w:r>
            <w:r>
              <w:rPr>
                <w:noProof/>
                <w:webHidden/>
              </w:rPr>
              <w:fldChar w:fldCharType="end"/>
            </w:r>
          </w:hyperlink>
        </w:p>
        <w:p w:rsidR="00C602B4" w:rsidRDefault="00C602B4" w14:paraId="074CE800" w14:textId="62BBB5BF">
          <w:pPr>
            <w:pStyle w:val="TOC2"/>
            <w:tabs>
              <w:tab w:val="right" w:leader="dot" w:pos="9350"/>
            </w:tabs>
            <w:rPr>
              <w:rFonts w:asciiTheme="minorHAnsi" w:hAnsiTheme="minorHAnsi" w:cstheme="minorBidi"/>
              <w:noProof/>
              <w:sz w:val="22"/>
              <w:szCs w:val="22"/>
            </w:rPr>
          </w:pPr>
          <w:hyperlink w:history="1" w:anchor="_Toc87361155">
            <w:r w:rsidRPr="007F2417">
              <w:rPr>
                <w:rStyle w:val="Hyperlink"/>
                <w:noProof/>
              </w:rPr>
              <w:t>7.1</w:t>
            </w:r>
            <w:r>
              <w:rPr>
                <w:rFonts w:asciiTheme="minorHAnsi" w:hAnsiTheme="minorHAnsi" w:cstheme="minorBidi"/>
                <w:noProof/>
                <w:sz w:val="22"/>
                <w:szCs w:val="22"/>
              </w:rPr>
              <w:tab/>
            </w:r>
            <w:r w:rsidRPr="007F2417">
              <w:rPr>
                <w:rStyle w:val="Hyperlink"/>
                <w:noProof/>
              </w:rPr>
              <w:t>Staff Proposal</w:t>
            </w:r>
            <w:r>
              <w:rPr>
                <w:noProof/>
                <w:webHidden/>
              </w:rPr>
              <w:tab/>
            </w:r>
            <w:r>
              <w:rPr>
                <w:noProof/>
                <w:webHidden/>
              </w:rPr>
              <w:fldChar w:fldCharType="begin"/>
            </w:r>
            <w:r>
              <w:rPr>
                <w:noProof/>
                <w:webHidden/>
              </w:rPr>
              <w:instrText xml:space="preserve"> PAGEREF _Toc87361155 \h </w:instrText>
            </w:r>
            <w:r>
              <w:rPr>
                <w:noProof/>
                <w:webHidden/>
              </w:rPr>
            </w:r>
            <w:r>
              <w:rPr>
                <w:noProof/>
                <w:webHidden/>
              </w:rPr>
              <w:fldChar w:fldCharType="separate"/>
            </w:r>
            <w:r>
              <w:rPr>
                <w:noProof/>
                <w:webHidden/>
              </w:rPr>
              <w:t>27</w:t>
            </w:r>
            <w:r>
              <w:rPr>
                <w:noProof/>
                <w:webHidden/>
              </w:rPr>
              <w:fldChar w:fldCharType="end"/>
            </w:r>
          </w:hyperlink>
        </w:p>
        <w:p w:rsidR="00C602B4" w:rsidRDefault="00C602B4" w14:paraId="2C6D03CB" w14:textId="30C31A99">
          <w:pPr>
            <w:pStyle w:val="TOC2"/>
            <w:tabs>
              <w:tab w:val="right" w:leader="dot" w:pos="9350"/>
            </w:tabs>
            <w:rPr>
              <w:rFonts w:asciiTheme="minorHAnsi" w:hAnsiTheme="minorHAnsi" w:cstheme="minorBidi"/>
              <w:noProof/>
              <w:sz w:val="22"/>
              <w:szCs w:val="22"/>
            </w:rPr>
          </w:pPr>
          <w:hyperlink w:history="1" w:anchor="_Toc87361156">
            <w:r w:rsidRPr="007F2417">
              <w:rPr>
                <w:rStyle w:val="Hyperlink"/>
                <w:noProof/>
              </w:rPr>
              <w:t>7.2</w:t>
            </w:r>
            <w:r>
              <w:rPr>
                <w:rFonts w:asciiTheme="minorHAnsi" w:hAnsiTheme="minorHAnsi" w:cstheme="minorBidi"/>
                <w:noProof/>
                <w:sz w:val="22"/>
                <w:szCs w:val="22"/>
              </w:rPr>
              <w:tab/>
            </w:r>
            <w:r w:rsidRPr="007F2417">
              <w:rPr>
                <w:rStyle w:val="Hyperlink"/>
                <w:noProof/>
              </w:rPr>
              <w:t>Party Comments</w:t>
            </w:r>
            <w:r>
              <w:rPr>
                <w:noProof/>
                <w:webHidden/>
              </w:rPr>
              <w:tab/>
            </w:r>
            <w:r>
              <w:rPr>
                <w:noProof/>
                <w:webHidden/>
              </w:rPr>
              <w:fldChar w:fldCharType="begin"/>
            </w:r>
            <w:r>
              <w:rPr>
                <w:noProof/>
                <w:webHidden/>
              </w:rPr>
              <w:instrText xml:space="preserve"> PAGEREF _Toc87361156 \h </w:instrText>
            </w:r>
            <w:r>
              <w:rPr>
                <w:noProof/>
                <w:webHidden/>
              </w:rPr>
            </w:r>
            <w:r>
              <w:rPr>
                <w:noProof/>
                <w:webHidden/>
              </w:rPr>
              <w:fldChar w:fldCharType="separate"/>
            </w:r>
            <w:r>
              <w:rPr>
                <w:noProof/>
                <w:webHidden/>
              </w:rPr>
              <w:t>27</w:t>
            </w:r>
            <w:r>
              <w:rPr>
                <w:noProof/>
                <w:webHidden/>
              </w:rPr>
              <w:fldChar w:fldCharType="end"/>
            </w:r>
          </w:hyperlink>
        </w:p>
        <w:p w:rsidR="00C602B4" w:rsidRDefault="00C602B4" w14:paraId="6D375AA2" w14:textId="38019A51">
          <w:pPr>
            <w:pStyle w:val="TOC2"/>
            <w:tabs>
              <w:tab w:val="right" w:leader="dot" w:pos="9350"/>
            </w:tabs>
            <w:rPr>
              <w:rFonts w:asciiTheme="minorHAnsi" w:hAnsiTheme="minorHAnsi" w:cstheme="minorBidi"/>
              <w:noProof/>
              <w:sz w:val="22"/>
              <w:szCs w:val="22"/>
            </w:rPr>
          </w:pPr>
          <w:hyperlink w:history="1" w:anchor="_Toc87361157">
            <w:r w:rsidRPr="007F2417">
              <w:rPr>
                <w:rStyle w:val="Hyperlink"/>
                <w:noProof/>
              </w:rPr>
              <w:t>7.3</w:t>
            </w:r>
            <w:r>
              <w:rPr>
                <w:rFonts w:asciiTheme="minorHAnsi" w:hAnsiTheme="minorHAnsi" w:cstheme="minorBidi"/>
                <w:noProof/>
                <w:sz w:val="22"/>
                <w:szCs w:val="22"/>
              </w:rPr>
              <w:tab/>
            </w:r>
            <w:r w:rsidRPr="007F2417">
              <w:rPr>
                <w:rStyle w:val="Hyperlink"/>
                <w:noProof/>
              </w:rPr>
              <w:t>Discussion</w:t>
            </w:r>
            <w:r>
              <w:rPr>
                <w:noProof/>
                <w:webHidden/>
              </w:rPr>
              <w:tab/>
            </w:r>
            <w:r>
              <w:rPr>
                <w:noProof/>
                <w:webHidden/>
              </w:rPr>
              <w:fldChar w:fldCharType="begin"/>
            </w:r>
            <w:r>
              <w:rPr>
                <w:noProof/>
                <w:webHidden/>
              </w:rPr>
              <w:instrText xml:space="preserve"> PAGEREF _Toc87361157 \h </w:instrText>
            </w:r>
            <w:r>
              <w:rPr>
                <w:noProof/>
                <w:webHidden/>
              </w:rPr>
            </w:r>
            <w:r>
              <w:rPr>
                <w:noProof/>
                <w:webHidden/>
              </w:rPr>
              <w:fldChar w:fldCharType="separate"/>
            </w:r>
            <w:r>
              <w:rPr>
                <w:noProof/>
                <w:webHidden/>
              </w:rPr>
              <w:t>28</w:t>
            </w:r>
            <w:r>
              <w:rPr>
                <w:noProof/>
                <w:webHidden/>
              </w:rPr>
              <w:fldChar w:fldCharType="end"/>
            </w:r>
          </w:hyperlink>
        </w:p>
        <w:p w:rsidR="00C602B4" w:rsidRDefault="00C602B4" w14:paraId="7F9CFB86" w14:textId="006F259D">
          <w:pPr>
            <w:pStyle w:val="TOC1"/>
            <w:tabs>
              <w:tab w:val="right" w:leader="dot" w:pos="9350"/>
            </w:tabs>
            <w:rPr>
              <w:rFonts w:asciiTheme="minorHAnsi" w:hAnsiTheme="minorHAnsi" w:cstheme="minorBidi"/>
              <w:noProof/>
              <w:sz w:val="22"/>
              <w:szCs w:val="22"/>
            </w:rPr>
          </w:pPr>
          <w:hyperlink w:history="1" w:anchor="_Toc87361158">
            <w:r w:rsidRPr="007F2417">
              <w:rPr>
                <w:rStyle w:val="Hyperlink"/>
                <w:noProof/>
              </w:rPr>
              <w:t>8.</w:t>
            </w:r>
            <w:r>
              <w:rPr>
                <w:rFonts w:asciiTheme="minorHAnsi" w:hAnsiTheme="minorHAnsi" w:cstheme="minorBidi"/>
                <w:noProof/>
                <w:sz w:val="22"/>
                <w:szCs w:val="22"/>
              </w:rPr>
              <w:tab/>
            </w:r>
            <w:r w:rsidRPr="007F2417">
              <w:rPr>
                <w:rStyle w:val="Hyperlink"/>
                <w:noProof/>
              </w:rPr>
              <w:t>Deferring Action on Best Practices  for Modeling Wildfire Risk</w:t>
            </w:r>
            <w:r>
              <w:rPr>
                <w:noProof/>
                <w:webHidden/>
              </w:rPr>
              <w:tab/>
            </w:r>
            <w:r>
              <w:rPr>
                <w:noProof/>
                <w:webHidden/>
              </w:rPr>
              <w:fldChar w:fldCharType="begin"/>
            </w:r>
            <w:r>
              <w:rPr>
                <w:noProof/>
                <w:webHidden/>
              </w:rPr>
              <w:instrText xml:space="preserve"> PAGEREF _Toc87361158 \h </w:instrText>
            </w:r>
            <w:r>
              <w:rPr>
                <w:noProof/>
                <w:webHidden/>
              </w:rPr>
            </w:r>
            <w:r>
              <w:rPr>
                <w:noProof/>
                <w:webHidden/>
              </w:rPr>
              <w:fldChar w:fldCharType="separate"/>
            </w:r>
            <w:r>
              <w:rPr>
                <w:noProof/>
                <w:webHidden/>
              </w:rPr>
              <w:t>30</w:t>
            </w:r>
            <w:r>
              <w:rPr>
                <w:noProof/>
                <w:webHidden/>
              </w:rPr>
              <w:fldChar w:fldCharType="end"/>
            </w:r>
          </w:hyperlink>
        </w:p>
        <w:p w:rsidR="00C602B4" w:rsidRDefault="00C602B4" w14:paraId="446A3B7D" w14:textId="40E6E0C2">
          <w:pPr>
            <w:pStyle w:val="TOC2"/>
            <w:tabs>
              <w:tab w:val="right" w:leader="dot" w:pos="9350"/>
            </w:tabs>
            <w:rPr>
              <w:rFonts w:asciiTheme="minorHAnsi" w:hAnsiTheme="minorHAnsi" w:cstheme="minorBidi"/>
              <w:noProof/>
              <w:sz w:val="22"/>
              <w:szCs w:val="22"/>
            </w:rPr>
          </w:pPr>
          <w:hyperlink w:history="1" w:anchor="_Toc87361159">
            <w:r w:rsidRPr="007F2417">
              <w:rPr>
                <w:rStyle w:val="Hyperlink"/>
                <w:noProof/>
              </w:rPr>
              <w:t>8.1</w:t>
            </w:r>
            <w:r>
              <w:rPr>
                <w:rFonts w:asciiTheme="minorHAnsi" w:hAnsiTheme="minorHAnsi" w:cstheme="minorBidi"/>
                <w:noProof/>
                <w:sz w:val="22"/>
                <w:szCs w:val="22"/>
              </w:rPr>
              <w:tab/>
            </w:r>
            <w:r w:rsidRPr="007F2417">
              <w:rPr>
                <w:rStyle w:val="Hyperlink"/>
                <w:noProof/>
              </w:rPr>
              <w:t>Staff Proposal</w:t>
            </w:r>
            <w:r>
              <w:rPr>
                <w:noProof/>
                <w:webHidden/>
              </w:rPr>
              <w:tab/>
            </w:r>
            <w:r>
              <w:rPr>
                <w:noProof/>
                <w:webHidden/>
              </w:rPr>
              <w:fldChar w:fldCharType="begin"/>
            </w:r>
            <w:r>
              <w:rPr>
                <w:noProof/>
                <w:webHidden/>
              </w:rPr>
              <w:instrText xml:space="preserve"> PAGEREF _Toc87361159 \h </w:instrText>
            </w:r>
            <w:r>
              <w:rPr>
                <w:noProof/>
                <w:webHidden/>
              </w:rPr>
            </w:r>
            <w:r>
              <w:rPr>
                <w:noProof/>
                <w:webHidden/>
              </w:rPr>
              <w:fldChar w:fldCharType="separate"/>
            </w:r>
            <w:r>
              <w:rPr>
                <w:noProof/>
                <w:webHidden/>
              </w:rPr>
              <w:t>31</w:t>
            </w:r>
            <w:r>
              <w:rPr>
                <w:noProof/>
                <w:webHidden/>
              </w:rPr>
              <w:fldChar w:fldCharType="end"/>
            </w:r>
          </w:hyperlink>
        </w:p>
        <w:p w:rsidR="00C602B4" w:rsidRDefault="00C602B4" w14:paraId="3A791555" w14:textId="342B70CE">
          <w:pPr>
            <w:pStyle w:val="TOC2"/>
            <w:tabs>
              <w:tab w:val="right" w:leader="dot" w:pos="9350"/>
            </w:tabs>
            <w:rPr>
              <w:rFonts w:asciiTheme="minorHAnsi" w:hAnsiTheme="minorHAnsi" w:cstheme="minorBidi"/>
              <w:noProof/>
              <w:sz w:val="22"/>
              <w:szCs w:val="22"/>
            </w:rPr>
          </w:pPr>
          <w:hyperlink w:history="1" w:anchor="_Toc87361160">
            <w:r w:rsidRPr="007F2417">
              <w:rPr>
                <w:rStyle w:val="Hyperlink"/>
                <w:noProof/>
              </w:rPr>
              <w:t>8.2</w:t>
            </w:r>
            <w:r>
              <w:rPr>
                <w:rFonts w:asciiTheme="minorHAnsi" w:hAnsiTheme="minorHAnsi" w:cstheme="minorBidi"/>
                <w:noProof/>
                <w:sz w:val="22"/>
                <w:szCs w:val="22"/>
              </w:rPr>
              <w:tab/>
            </w:r>
            <w:r w:rsidRPr="007F2417">
              <w:rPr>
                <w:rStyle w:val="Hyperlink"/>
                <w:noProof/>
              </w:rPr>
              <w:t>Party Comments</w:t>
            </w:r>
            <w:r>
              <w:rPr>
                <w:noProof/>
                <w:webHidden/>
              </w:rPr>
              <w:tab/>
            </w:r>
            <w:r>
              <w:rPr>
                <w:noProof/>
                <w:webHidden/>
              </w:rPr>
              <w:fldChar w:fldCharType="begin"/>
            </w:r>
            <w:r>
              <w:rPr>
                <w:noProof/>
                <w:webHidden/>
              </w:rPr>
              <w:instrText xml:space="preserve"> PAGEREF _Toc87361160 \h </w:instrText>
            </w:r>
            <w:r>
              <w:rPr>
                <w:noProof/>
                <w:webHidden/>
              </w:rPr>
            </w:r>
            <w:r>
              <w:rPr>
                <w:noProof/>
                <w:webHidden/>
              </w:rPr>
              <w:fldChar w:fldCharType="separate"/>
            </w:r>
            <w:r>
              <w:rPr>
                <w:noProof/>
                <w:webHidden/>
              </w:rPr>
              <w:t>32</w:t>
            </w:r>
            <w:r>
              <w:rPr>
                <w:noProof/>
                <w:webHidden/>
              </w:rPr>
              <w:fldChar w:fldCharType="end"/>
            </w:r>
          </w:hyperlink>
        </w:p>
        <w:p w:rsidR="00C602B4" w:rsidRDefault="00C602B4" w14:paraId="52343F6F" w14:textId="60B39F12">
          <w:pPr>
            <w:pStyle w:val="TOC2"/>
            <w:tabs>
              <w:tab w:val="right" w:leader="dot" w:pos="9350"/>
            </w:tabs>
            <w:rPr>
              <w:rFonts w:asciiTheme="minorHAnsi" w:hAnsiTheme="minorHAnsi" w:cstheme="minorBidi"/>
              <w:noProof/>
              <w:sz w:val="22"/>
              <w:szCs w:val="22"/>
            </w:rPr>
          </w:pPr>
          <w:hyperlink w:history="1" w:anchor="_Toc87361161">
            <w:r w:rsidRPr="007F2417">
              <w:rPr>
                <w:rStyle w:val="Hyperlink"/>
                <w:noProof/>
              </w:rPr>
              <w:t>8.3</w:t>
            </w:r>
            <w:r>
              <w:rPr>
                <w:rFonts w:asciiTheme="minorHAnsi" w:hAnsiTheme="minorHAnsi" w:cstheme="minorBidi"/>
                <w:noProof/>
                <w:sz w:val="22"/>
                <w:szCs w:val="22"/>
              </w:rPr>
              <w:tab/>
            </w:r>
            <w:r w:rsidRPr="007F2417">
              <w:rPr>
                <w:rStyle w:val="Hyperlink"/>
                <w:noProof/>
              </w:rPr>
              <w:t>Discussion</w:t>
            </w:r>
            <w:r>
              <w:rPr>
                <w:noProof/>
                <w:webHidden/>
              </w:rPr>
              <w:tab/>
            </w:r>
            <w:r>
              <w:rPr>
                <w:noProof/>
                <w:webHidden/>
              </w:rPr>
              <w:fldChar w:fldCharType="begin"/>
            </w:r>
            <w:r>
              <w:rPr>
                <w:noProof/>
                <w:webHidden/>
              </w:rPr>
              <w:instrText xml:space="preserve"> PAGEREF _Toc87361161 \h </w:instrText>
            </w:r>
            <w:r>
              <w:rPr>
                <w:noProof/>
                <w:webHidden/>
              </w:rPr>
            </w:r>
            <w:r>
              <w:rPr>
                <w:noProof/>
                <w:webHidden/>
              </w:rPr>
              <w:fldChar w:fldCharType="separate"/>
            </w:r>
            <w:r>
              <w:rPr>
                <w:noProof/>
                <w:webHidden/>
              </w:rPr>
              <w:t>33</w:t>
            </w:r>
            <w:r>
              <w:rPr>
                <w:noProof/>
                <w:webHidden/>
              </w:rPr>
              <w:fldChar w:fldCharType="end"/>
            </w:r>
          </w:hyperlink>
        </w:p>
        <w:p w:rsidR="00C602B4" w:rsidRDefault="00C602B4" w14:paraId="39727232" w14:textId="64B83BDF">
          <w:pPr>
            <w:pStyle w:val="TOC1"/>
            <w:tabs>
              <w:tab w:val="right" w:leader="dot" w:pos="9350"/>
            </w:tabs>
            <w:rPr>
              <w:rFonts w:asciiTheme="minorHAnsi" w:hAnsiTheme="minorHAnsi" w:cstheme="minorBidi"/>
              <w:noProof/>
              <w:sz w:val="22"/>
              <w:szCs w:val="22"/>
            </w:rPr>
          </w:pPr>
          <w:hyperlink w:history="1" w:anchor="_Toc87361162">
            <w:r w:rsidRPr="007F2417">
              <w:rPr>
                <w:rStyle w:val="Hyperlink"/>
                <w:noProof/>
              </w:rPr>
              <w:t>9</w:t>
            </w:r>
            <w:r>
              <w:rPr>
                <w:rFonts w:asciiTheme="minorHAnsi" w:hAnsiTheme="minorHAnsi" w:cstheme="minorBidi"/>
                <w:noProof/>
                <w:sz w:val="22"/>
                <w:szCs w:val="22"/>
              </w:rPr>
              <w:tab/>
            </w:r>
            <w:r w:rsidRPr="007F2417">
              <w:rPr>
                <w:rStyle w:val="Hyperlink"/>
                <w:noProof/>
              </w:rPr>
              <w:t>Related Clarifications</w:t>
            </w:r>
            <w:r>
              <w:rPr>
                <w:noProof/>
                <w:webHidden/>
              </w:rPr>
              <w:tab/>
            </w:r>
            <w:r>
              <w:rPr>
                <w:noProof/>
                <w:webHidden/>
              </w:rPr>
              <w:fldChar w:fldCharType="begin"/>
            </w:r>
            <w:r>
              <w:rPr>
                <w:noProof/>
                <w:webHidden/>
              </w:rPr>
              <w:instrText xml:space="preserve"> PAGEREF _Toc87361162 \h </w:instrText>
            </w:r>
            <w:r>
              <w:rPr>
                <w:noProof/>
                <w:webHidden/>
              </w:rPr>
            </w:r>
            <w:r>
              <w:rPr>
                <w:noProof/>
                <w:webHidden/>
              </w:rPr>
              <w:fldChar w:fldCharType="separate"/>
            </w:r>
            <w:r>
              <w:rPr>
                <w:noProof/>
                <w:webHidden/>
              </w:rPr>
              <w:t>34</w:t>
            </w:r>
            <w:r>
              <w:rPr>
                <w:noProof/>
                <w:webHidden/>
              </w:rPr>
              <w:fldChar w:fldCharType="end"/>
            </w:r>
          </w:hyperlink>
        </w:p>
        <w:p w:rsidR="00C602B4" w:rsidRDefault="00C602B4" w14:paraId="7693BF14" w14:textId="7A02CE4D">
          <w:pPr>
            <w:pStyle w:val="TOC2"/>
            <w:tabs>
              <w:tab w:val="right" w:leader="dot" w:pos="9350"/>
            </w:tabs>
            <w:rPr>
              <w:rFonts w:asciiTheme="minorHAnsi" w:hAnsiTheme="minorHAnsi" w:cstheme="minorBidi"/>
              <w:noProof/>
              <w:sz w:val="22"/>
              <w:szCs w:val="22"/>
            </w:rPr>
          </w:pPr>
          <w:hyperlink w:history="1" w:anchor="_Toc87361163">
            <w:r w:rsidRPr="007F2417">
              <w:rPr>
                <w:rStyle w:val="Hyperlink"/>
                <w:noProof/>
              </w:rPr>
              <w:t>9.1</w:t>
            </w:r>
            <w:r>
              <w:rPr>
                <w:rFonts w:asciiTheme="minorHAnsi" w:hAnsiTheme="minorHAnsi" w:cstheme="minorBidi"/>
                <w:noProof/>
                <w:sz w:val="22"/>
                <w:szCs w:val="22"/>
              </w:rPr>
              <w:tab/>
            </w:r>
            <w:r w:rsidRPr="007F2417">
              <w:rPr>
                <w:rStyle w:val="Hyperlink"/>
                <w:noProof/>
              </w:rPr>
              <w:t>Transparency in RAMP Filings</w:t>
            </w:r>
            <w:r>
              <w:rPr>
                <w:noProof/>
                <w:webHidden/>
              </w:rPr>
              <w:tab/>
            </w:r>
            <w:r>
              <w:rPr>
                <w:noProof/>
                <w:webHidden/>
              </w:rPr>
              <w:fldChar w:fldCharType="begin"/>
            </w:r>
            <w:r>
              <w:rPr>
                <w:noProof/>
                <w:webHidden/>
              </w:rPr>
              <w:instrText xml:space="preserve"> PAGEREF _Toc87361163 \h </w:instrText>
            </w:r>
            <w:r>
              <w:rPr>
                <w:noProof/>
                <w:webHidden/>
              </w:rPr>
            </w:r>
            <w:r>
              <w:rPr>
                <w:noProof/>
                <w:webHidden/>
              </w:rPr>
              <w:fldChar w:fldCharType="separate"/>
            </w:r>
            <w:r>
              <w:rPr>
                <w:noProof/>
                <w:webHidden/>
              </w:rPr>
              <w:t>34</w:t>
            </w:r>
            <w:r>
              <w:rPr>
                <w:noProof/>
                <w:webHidden/>
              </w:rPr>
              <w:fldChar w:fldCharType="end"/>
            </w:r>
          </w:hyperlink>
        </w:p>
        <w:p w:rsidR="00C602B4" w:rsidRDefault="00C602B4" w14:paraId="1D165715" w14:textId="3F23D571">
          <w:pPr>
            <w:pStyle w:val="TOC3"/>
            <w:tabs>
              <w:tab w:val="left" w:pos="1296"/>
              <w:tab w:val="right" w:leader="dot" w:pos="9350"/>
            </w:tabs>
            <w:rPr>
              <w:rFonts w:asciiTheme="minorHAnsi" w:hAnsiTheme="minorHAnsi" w:cstheme="minorBidi"/>
              <w:noProof/>
              <w:sz w:val="22"/>
              <w:szCs w:val="22"/>
            </w:rPr>
          </w:pPr>
          <w:hyperlink w:history="1" w:anchor="_Toc87361164">
            <w:r w:rsidRPr="007F2417">
              <w:rPr>
                <w:rStyle w:val="Hyperlink"/>
                <w:noProof/>
              </w:rPr>
              <w:t>9.1.1</w:t>
            </w:r>
            <w:r>
              <w:rPr>
                <w:rFonts w:asciiTheme="minorHAnsi" w:hAnsiTheme="minorHAnsi" w:cstheme="minorBidi"/>
                <w:noProof/>
                <w:sz w:val="22"/>
                <w:szCs w:val="22"/>
              </w:rPr>
              <w:tab/>
            </w:r>
            <w:r w:rsidRPr="007F2417">
              <w:rPr>
                <w:rStyle w:val="Hyperlink"/>
                <w:noProof/>
              </w:rPr>
              <w:t>PG&amp;E Transparency Proposal</w:t>
            </w:r>
            <w:r>
              <w:rPr>
                <w:noProof/>
                <w:webHidden/>
              </w:rPr>
              <w:tab/>
            </w:r>
            <w:r>
              <w:rPr>
                <w:noProof/>
                <w:webHidden/>
              </w:rPr>
              <w:fldChar w:fldCharType="begin"/>
            </w:r>
            <w:r>
              <w:rPr>
                <w:noProof/>
                <w:webHidden/>
              </w:rPr>
              <w:instrText xml:space="preserve"> PAGEREF _Toc87361164 \h </w:instrText>
            </w:r>
            <w:r>
              <w:rPr>
                <w:noProof/>
                <w:webHidden/>
              </w:rPr>
            </w:r>
            <w:r>
              <w:rPr>
                <w:noProof/>
                <w:webHidden/>
              </w:rPr>
              <w:fldChar w:fldCharType="separate"/>
            </w:r>
            <w:r>
              <w:rPr>
                <w:noProof/>
                <w:webHidden/>
              </w:rPr>
              <w:t>36</w:t>
            </w:r>
            <w:r>
              <w:rPr>
                <w:noProof/>
                <w:webHidden/>
              </w:rPr>
              <w:fldChar w:fldCharType="end"/>
            </w:r>
          </w:hyperlink>
        </w:p>
        <w:p w:rsidR="00C602B4" w:rsidRDefault="00C602B4" w14:paraId="7D177AFF" w14:textId="6E798F97">
          <w:pPr>
            <w:pStyle w:val="TOC3"/>
            <w:tabs>
              <w:tab w:val="left" w:pos="1296"/>
              <w:tab w:val="right" w:leader="dot" w:pos="9350"/>
            </w:tabs>
            <w:rPr>
              <w:rFonts w:asciiTheme="minorHAnsi" w:hAnsiTheme="minorHAnsi" w:cstheme="minorBidi"/>
              <w:noProof/>
              <w:sz w:val="22"/>
              <w:szCs w:val="22"/>
            </w:rPr>
          </w:pPr>
          <w:hyperlink w:history="1" w:anchor="_Toc87361165">
            <w:r w:rsidRPr="007F2417">
              <w:rPr>
                <w:rStyle w:val="Hyperlink"/>
                <w:noProof/>
              </w:rPr>
              <w:t>9.1.2</w:t>
            </w:r>
            <w:r>
              <w:rPr>
                <w:rFonts w:asciiTheme="minorHAnsi" w:hAnsiTheme="minorHAnsi" w:cstheme="minorBidi"/>
                <w:noProof/>
                <w:sz w:val="22"/>
                <w:szCs w:val="22"/>
              </w:rPr>
              <w:tab/>
            </w:r>
            <w:r w:rsidRPr="007F2417">
              <w:rPr>
                <w:rStyle w:val="Hyperlink"/>
                <w:noProof/>
              </w:rPr>
              <w:t>Staff Recommendation</w:t>
            </w:r>
            <w:r>
              <w:rPr>
                <w:noProof/>
                <w:webHidden/>
              </w:rPr>
              <w:tab/>
            </w:r>
            <w:r>
              <w:rPr>
                <w:noProof/>
                <w:webHidden/>
              </w:rPr>
              <w:fldChar w:fldCharType="begin"/>
            </w:r>
            <w:r>
              <w:rPr>
                <w:noProof/>
                <w:webHidden/>
              </w:rPr>
              <w:instrText xml:space="preserve"> PAGEREF _Toc87361165 \h </w:instrText>
            </w:r>
            <w:r>
              <w:rPr>
                <w:noProof/>
                <w:webHidden/>
              </w:rPr>
            </w:r>
            <w:r>
              <w:rPr>
                <w:noProof/>
                <w:webHidden/>
              </w:rPr>
              <w:fldChar w:fldCharType="separate"/>
            </w:r>
            <w:r>
              <w:rPr>
                <w:noProof/>
                <w:webHidden/>
              </w:rPr>
              <w:t>36</w:t>
            </w:r>
            <w:r>
              <w:rPr>
                <w:noProof/>
                <w:webHidden/>
              </w:rPr>
              <w:fldChar w:fldCharType="end"/>
            </w:r>
          </w:hyperlink>
        </w:p>
        <w:p w:rsidR="00C602B4" w:rsidRDefault="00C602B4" w14:paraId="08D67596" w14:textId="71B39419">
          <w:pPr>
            <w:pStyle w:val="TOC3"/>
            <w:tabs>
              <w:tab w:val="left" w:pos="1296"/>
              <w:tab w:val="right" w:leader="dot" w:pos="9350"/>
            </w:tabs>
            <w:rPr>
              <w:rFonts w:asciiTheme="minorHAnsi" w:hAnsiTheme="minorHAnsi" w:cstheme="minorBidi"/>
              <w:noProof/>
              <w:sz w:val="22"/>
              <w:szCs w:val="22"/>
            </w:rPr>
          </w:pPr>
          <w:hyperlink w:history="1" w:anchor="_Toc87361166">
            <w:r w:rsidRPr="007F2417">
              <w:rPr>
                <w:rStyle w:val="Hyperlink"/>
                <w:noProof/>
              </w:rPr>
              <w:t>9.1.3</w:t>
            </w:r>
            <w:r>
              <w:rPr>
                <w:rFonts w:asciiTheme="minorHAnsi" w:hAnsiTheme="minorHAnsi" w:cstheme="minorBidi"/>
                <w:noProof/>
                <w:sz w:val="22"/>
                <w:szCs w:val="22"/>
              </w:rPr>
              <w:tab/>
            </w:r>
            <w:r w:rsidRPr="007F2417">
              <w:rPr>
                <w:rStyle w:val="Hyperlink"/>
                <w:noProof/>
              </w:rPr>
              <w:t>Party Comments</w:t>
            </w:r>
            <w:r>
              <w:rPr>
                <w:noProof/>
                <w:webHidden/>
              </w:rPr>
              <w:tab/>
            </w:r>
            <w:r>
              <w:rPr>
                <w:noProof/>
                <w:webHidden/>
              </w:rPr>
              <w:fldChar w:fldCharType="begin"/>
            </w:r>
            <w:r>
              <w:rPr>
                <w:noProof/>
                <w:webHidden/>
              </w:rPr>
              <w:instrText xml:space="preserve"> PAGEREF _Toc87361166 \h </w:instrText>
            </w:r>
            <w:r>
              <w:rPr>
                <w:noProof/>
                <w:webHidden/>
              </w:rPr>
            </w:r>
            <w:r>
              <w:rPr>
                <w:noProof/>
                <w:webHidden/>
              </w:rPr>
              <w:fldChar w:fldCharType="separate"/>
            </w:r>
            <w:r>
              <w:rPr>
                <w:noProof/>
                <w:webHidden/>
              </w:rPr>
              <w:t>38</w:t>
            </w:r>
            <w:r>
              <w:rPr>
                <w:noProof/>
                <w:webHidden/>
              </w:rPr>
              <w:fldChar w:fldCharType="end"/>
            </w:r>
          </w:hyperlink>
        </w:p>
        <w:p w:rsidR="00C602B4" w:rsidRDefault="00C602B4" w14:paraId="2669B32A" w14:textId="12225125">
          <w:pPr>
            <w:pStyle w:val="TOC3"/>
            <w:tabs>
              <w:tab w:val="left" w:pos="1296"/>
              <w:tab w:val="right" w:leader="dot" w:pos="9350"/>
            </w:tabs>
            <w:rPr>
              <w:rFonts w:asciiTheme="minorHAnsi" w:hAnsiTheme="minorHAnsi" w:cstheme="minorBidi"/>
              <w:noProof/>
              <w:sz w:val="22"/>
              <w:szCs w:val="22"/>
            </w:rPr>
          </w:pPr>
          <w:hyperlink w:history="1" w:anchor="_Toc87361167">
            <w:r w:rsidRPr="007F2417">
              <w:rPr>
                <w:rStyle w:val="Hyperlink"/>
                <w:noProof/>
              </w:rPr>
              <w:t>9.1.4</w:t>
            </w:r>
            <w:r>
              <w:rPr>
                <w:rFonts w:asciiTheme="minorHAnsi" w:hAnsiTheme="minorHAnsi" w:cstheme="minorBidi"/>
                <w:noProof/>
                <w:sz w:val="22"/>
                <w:szCs w:val="22"/>
              </w:rPr>
              <w:tab/>
            </w:r>
            <w:r w:rsidRPr="007F2417">
              <w:rPr>
                <w:rStyle w:val="Hyperlink"/>
                <w:noProof/>
              </w:rPr>
              <w:t>Discussion</w:t>
            </w:r>
            <w:r>
              <w:rPr>
                <w:noProof/>
                <w:webHidden/>
              </w:rPr>
              <w:tab/>
            </w:r>
            <w:r>
              <w:rPr>
                <w:noProof/>
                <w:webHidden/>
              </w:rPr>
              <w:fldChar w:fldCharType="begin"/>
            </w:r>
            <w:r>
              <w:rPr>
                <w:noProof/>
                <w:webHidden/>
              </w:rPr>
              <w:instrText xml:space="preserve"> PAGEREF _Toc87361167 \h </w:instrText>
            </w:r>
            <w:r>
              <w:rPr>
                <w:noProof/>
                <w:webHidden/>
              </w:rPr>
            </w:r>
            <w:r>
              <w:rPr>
                <w:noProof/>
                <w:webHidden/>
              </w:rPr>
              <w:fldChar w:fldCharType="separate"/>
            </w:r>
            <w:r>
              <w:rPr>
                <w:noProof/>
                <w:webHidden/>
              </w:rPr>
              <w:t>40</w:t>
            </w:r>
            <w:r>
              <w:rPr>
                <w:noProof/>
                <w:webHidden/>
              </w:rPr>
              <w:fldChar w:fldCharType="end"/>
            </w:r>
          </w:hyperlink>
        </w:p>
        <w:p w:rsidR="00C602B4" w:rsidRDefault="00C602B4" w14:paraId="400B2A86" w14:textId="5CB70DAD">
          <w:pPr>
            <w:pStyle w:val="TOC2"/>
            <w:tabs>
              <w:tab w:val="right" w:leader="dot" w:pos="9350"/>
            </w:tabs>
            <w:rPr>
              <w:rFonts w:asciiTheme="minorHAnsi" w:hAnsiTheme="minorHAnsi" w:cstheme="minorBidi"/>
              <w:noProof/>
              <w:sz w:val="22"/>
              <w:szCs w:val="22"/>
            </w:rPr>
          </w:pPr>
          <w:hyperlink w:history="1" w:anchor="_Toc87361168">
            <w:r w:rsidRPr="007F2417">
              <w:rPr>
                <w:rStyle w:val="Hyperlink"/>
                <w:noProof/>
              </w:rPr>
              <w:t>9.2</w:t>
            </w:r>
            <w:r>
              <w:rPr>
                <w:rFonts w:asciiTheme="minorHAnsi" w:hAnsiTheme="minorHAnsi" w:cstheme="minorBidi"/>
                <w:noProof/>
                <w:sz w:val="22"/>
                <w:szCs w:val="22"/>
              </w:rPr>
              <w:tab/>
            </w:r>
            <w:r w:rsidRPr="007F2417">
              <w:rPr>
                <w:rStyle w:val="Hyperlink"/>
                <w:noProof/>
              </w:rPr>
              <w:t>Staff Proposal to Consider Climate Change Impacts in Phase II</w:t>
            </w:r>
            <w:r>
              <w:rPr>
                <w:noProof/>
                <w:webHidden/>
              </w:rPr>
              <w:tab/>
            </w:r>
            <w:r>
              <w:rPr>
                <w:noProof/>
                <w:webHidden/>
              </w:rPr>
              <w:fldChar w:fldCharType="begin"/>
            </w:r>
            <w:r>
              <w:rPr>
                <w:noProof/>
                <w:webHidden/>
              </w:rPr>
              <w:instrText xml:space="preserve"> PAGEREF _Toc87361168 \h </w:instrText>
            </w:r>
            <w:r>
              <w:rPr>
                <w:noProof/>
                <w:webHidden/>
              </w:rPr>
            </w:r>
            <w:r>
              <w:rPr>
                <w:noProof/>
                <w:webHidden/>
              </w:rPr>
              <w:fldChar w:fldCharType="separate"/>
            </w:r>
            <w:r>
              <w:rPr>
                <w:noProof/>
                <w:webHidden/>
              </w:rPr>
              <w:t>42</w:t>
            </w:r>
            <w:r>
              <w:rPr>
                <w:noProof/>
                <w:webHidden/>
              </w:rPr>
              <w:fldChar w:fldCharType="end"/>
            </w:r>
          </w:hyperlink>
        </w:p>
        <w:p w:rsidR="00C602B4" w:rsidRDefault="00C602B4" w14:paraId="076B2F79" w14:textId="65172050">
          <w:pPr>
            <w:pStyle w:val="TOC3"/>
            <w:tabs>
              <w:tab w:val="left" w:pos="1296"/>
              <w:tab w:val="right" w:leader="dot" w:pos="9350"/>
            </w:tabs>
            <w:rPr>
              <w:rFonts w:asciiTheme="minorHAnsi" w:hAnsiTheme="minorHAnsi" w:cstheme="minorBidi"/>
              <w:noProof/>
              <w:sz w:val="22"/>
              <w:szCs w:val="22"/>
            </w:rPr>
          </w:pPr>
          <w:hyperlink w:history="1" w:anchor="_Toc87361169">
            <w:r w:rsidRPr="007F2417">
              <w:rPr>
                <w:rStyle w:val="Hyperlink"/>
                <w:noProof/>
              </w:rPr>
              <w:t>9.2.1</w:t>
            </w:r>
            <w:r>
              <w:rPr>
                <w:rFonts w:asciiTheme="minorHAnsi" w:hAnsiTheme="minorHAnsi" w:cstheme="minorBidi"/>
                <w:noProof/>
                <w:sz w:val="22"/>
                <w:szCs w:val="22"/>
              </w:rPr>
              <w:tab/>
            </w:r>
            <w:r w:rsidRPr="007F2417">
              <w:rPr>
                <w:rStyle w:val="Hyperlink"/>
                <w:noProof/>
              </w:rPr>
              <w:t>Party Comments</w:t>
            </w:r>
            <w:r>
              <w:rPr>
                <w:noProof/>
                <w:webHidden/>
              </w:rPr>
              <w:tab/>
            </w:r>
            <w:r>
              <w:rPr>
                <w:noProof/>
                <w:webHidden/>
              </w:rPr>
              <w:fldChar w:fldCharType="begin"/>
            </w:r>
            <w:r>
              <w:rPr>
                <w:noProof/>
                <w:webHidden/>
              </w:rPr>
              <w:instrText xml:space="preserve"> PAGEREF _Toc87361169 \h </w:instrText>
            </w:r>
            <w:r>
              <w:rPr>
                <w:noProof/>
                <w:webHidden/>
              </w:rPr>
            </w:r>
            <w:r>
              <w:rPr>
                <w:noProof/>
                <w:webHidden/>
              </w:rPr>
              <w:fldChar w:fldCharType="separate"/>
            </w:r>
            <w:r>
              <w:rPr>
                <w:noProof/>
                <w:webHidden/>
              </w:rPr>
              <w:t>43</w:t>
            </w:r>
            <w:r>
              <w:rPr>
                <w:noProof/>
                <w:webHidden/>
              </w:rPr>
              <w:fldChar w:fldCharType="end"/>
            </w:r>
          </w:hyperlink>
        </w:p>
        <w:p w:rsidR="00C602B4" w:rsidRDefault="00C602B4" w14:paraId="3608F1CD" w14:textId="0044F719">
          <w:pPr>
            <w:pStyle w:val="TOC3"/>
            <w:tabs>
              <w:tab w:val="left" w:pos="1296"/>
              <w:tab w:val="right" w:leader="dot" w:pos="9350"/>
            </w:tabs>
            <w:rPr>
              <w:rFonts w:asciiTheme="minorHAnsi" w:hAnsiTheme="minorHAnsi" w:cstheme="minorBidi"/>
              <w:noProof/>
              <w:sz w:val="22"/>
              <w:szCs w:val="22"/>
            </w:rPr>
          </w:pPr>
          <w:hyperlink w:history="1" w:anchor="_Toc87361170">
            <w:r w:rsidRPr="007F2417">
              <w:rPr>
                <w:rStyle w:val="Hyperlink"/>
                <w:noProof/>
              </w:rPr>
              <w:t>9.2.2</w:t>
            </w:r>
            <w:r>
              <w:rPr>
                <w:rFonts w:asciiTheme="minorHAnsi" w:hAnsiTheme="minorHAnsi" w:cstheme="minorBidi"/>
                <w:noProof/>
                <w:sz w:val="22"/>
                <w:szCs w:val="22"/>
              </w:rPr>
              <w:tab/>
            </w:r>
            <w:r w:rsidRPr="007F2417">
              <w:rPr>
                <w:rStyle w:val="Hyperlink"/>
                <w:noProof/>
              </w:rPr>
              <w:t>Discussion</w:t>
            </w:r>
            <w:r>
              <w:rPr>
                <w:noProof/>
                <w:webHidden/>
              </w:rPr>
              <w:tab/>
            </w:r>
            <w:r>
              <w:rPr>
                <w:noProof/>
                <w:webHidden/>
              </w:rPr>
              <w:fldChar w:fldCharType="begin"/>
            </w:r>
            <w:r>
              <w:rPr>
                <w:noProof/>
                <w:webHidden/>
              </w:rPr>
              <w:instrText xml:space="preserve"> PAGEREF _Toc87361170 \h </w:instrText>
            </w:r>
            <w:r>
              <w:rPr>
                <w:noProof/>
                <w:webHidden/>
              </w:rPr>
            </w:r>
            <w:r>
              <w:rPr>
                <w:noProof/>
                <w:webHidden/>
              </w:rPr>
              <w:fldChar w:fldCharType="separate"/>
            </w:r>
            <w:r>
              <w:rPr>
                <w:noProof/>
                <w:webHidden/>
              </w:rPr>
              <w:t>44</w:t>
            </w:r>
            <w:r>
              <w:rPr>
                <w:noProof/>
                <w:webHidden/>
              </w:rPr>
              <w:fldChar w:fldCharType="end"/>
            </w:r>
          </w:hyperlink>
        </w:p>
        <w:p w:rsidR="00C602B4" w:rsidRDefault="00C602B4" w14:paraId="10310BD5" w14:textId="0368F9D2">
          <w:pPr>
            <w:pStyle w:val="TOC1"/>
            <w:tabs>
              <w:tab w:val="right" w:leader="dot" w:pos="9350"/>
            </w:tabs>
            <w:rPr>
              <w:rFonts w:asciiTheme="minorHAnsi" w:hAnsiTheme="minorHAnsi" w:cstheme="minorBidi"/>
              <w:noProof/>
              <w:sz w:val="22"/>
              <w:szCs w:val="22"/>
            </w:rPr>
          </w:pPr>
          <w:hyperlink w:history="1" w:anchor="_Toc87361171">
            <w:r w:rsidRPr="007F2417">
              <w:rPr>
                <w:rStyle w:val="Hyperlink"/>
                <w:noProof/>
              </w:rPr>
              <w:t>10.</w:t>
            </w:r>
            <w:r>
              <w:rPr>
                <w:rFonts w:asciiTheme="minorHAnsi" w:hAnsiTheme="minorHAnsi" w:cstheme="minorBidi"/>
                <w:noProof/>
                <w:sz w:val="22"/>
                <w:szCs w:val="22"/>
              </w:rPr>
              <w:tab/>
            </w:r>
            <w:r w:rsidRPr="007F2417">
              <w:rPr>
                <w:rStyle w:val="Hyperlink"/>
                <w:noProof/>
              </w:rPr>
              <w:t>PG&amp;E Safety and Operational Metrics</w:t>
            </w:r>
            <w:r>
              <w:rPr>
                <w:noProof/>
                <w:webHidden/>
              </w:rPr>
              <w:tab/>
            </w:r>
            <w:r>
              <w:rPr>
                <w:noProof/>
                <w:webHidden/>
              </w:rPr>
              <w:fldChar w:fldCharType="begin"/>
            </w:r>
            <w:r>
              <w:rPr>
                <w:noProof/>
                <w:webHidden/>
              </w:rPr>
              <w:instrText xml:space="preserve"> PAGEREF _Toc87361171 \h </w:instrText>
            </w:r>
            <w:r>
              <w:rPr>
                <w:noProof/>
                <w:webHidden/>
              </w:rPr>
            </w:r>
            <w:r>
              <w:rPr>
                <w:noProof/>
                <w:webHidden/>
              </w:rPr>
              <w:fldChar w:fldCharType="separate"/>
            </w:r>
            <w:r>
              <w:rPr>
                <w:noProof/>
                <w:webHidden/>
              </w:rPr>
              <w:t>45</w:t>
            </w:r>
            <w:r>
              <w:rPr>
                <w:noProof/>
                <w:webHidden/>
              </w:rPr>
              <w:fldChar w:fldCharType="end"/>
            </w:r>
          </w:hyperlink>
        </w:p>
        <w:p w:rsidR="00C602B4" w:rsidRDefault="00C602B4" w14:paraId="449FB35C" w14:textId="3EA6E612">
          <w:pPr>
            <w:pStyle w:val="TOC2"/>
            <w:tabs>
              <w:tab w:val="left" w:pos="1296"/>
              <w:tab w:val="right" w:leader="dot" w:pos="9350"/>
            </w:tabs>
            <w:rPr>
              <w:rFonts w:asciiTheme="minorHAnsi" w:hAnsiTheme="minorHAnsi" w:cstheme="minorBidi"/>
              <w:noProof/>
              <w:sz w:val="22"/>
              <w:szCs w:val="22"/>
            </w:rPr>
          </w:pPr>
          <w:hyperlink w:history="1" w:anchor="_Toc87361172">
            <w:r w:rsidRPr="007F2417">
              <w:rPr>
                <w:rStyle w:val="Hyperlink"/>
                <w:noProof/>
              </w:rPr>
              <w:t>10.1</w:t>
            </w:r>
            <w:r>
              <w:rPr>
                <w:rFonts w:asciiTheme="minorHAnsi" w:hAnsiTheme="minorHAnsi" w:cstheme="minorBidi"/>
                <w:noProof/>
                <w:sz w:val="22"/>
                <w:szCs w:val="22"/>
              </w:rPr>
              <w:tab/>
            </w:r>
            <w:r w:rsidRPr="007F2417">
              <w:rPr>
                <w:rStyle w:val="Hyperlink"/>
                <w:noProof/>
              </w:rPr>
              <w:t>PG&amp;E Enhanced Oversight  and Enforcement Process</w:t>
            </w:r>
            <w:r>
              <w:rPr>
                <w:noProof/>
                <w:webHidden/>
              </w:rPr>
              <w:tab/>
            </w:r>
            <w:r>
              <w:rPr>
                <w:noProof/>
                <w:webHidden/>
              </w:rPr>
              <w:fldChar w:fldCharType="begin"/>
            </w:r>
            <w:r>
              <w:rPr>
                <w:noProof/>
                <w:webHidden/>
              </w:rPr>
              <w:instrText xml:space="preserve"> PAGEREF _Toc87361172 \h </w:instrText>
            </w:r>
            <w:r>
              <w:rPr>
                <w:noProof/>
                <w:webHidden/>
              </w:rPr>
            </w:r>
            <w:r>
              <w:rPr>
                <w:noProof/>
                <w:webHidden/>
              </w:rPr>
              <w:fldChar w:fldCharType="separate"/>
            </w:r>
            <w:r>
              <w:rPr>
                <w:noProof/>
                <w:webHidden/>
              </w:rPr>
              <w:t>45</w:t>
            </w:r>
            <w:r>
              <w:rPr>
                <w:noProof/>
                <w:webHidden/>
              </w:rPr>
              <w:fldChar w:fldCharType="end"/>
            </w:r>
          </w:hyperlink>
        </w:p>
        <w:p w:rsidR="00C602B4" w:rsidRDefault="00C602B4" w14:paraId="3DB0A71D" w14:textId="0386C2B9">
          <w:pPr>
            <w:pStyle w:val="TOC2"/>
            <w:tabs>
              <w:tab w:val="left" w:pos="1296"/>
              <w:tab w:val="right" w:leader="dot" w:pos="9350"/>
            </w:tabs>
            <w:rPr>
              <w:rFonts w:asciiTheme="minorHAnsi" w:hAnsiTheme="minorHAnsi" w:cstheme="minorBidi"/>
              <w:noProof/>
              <w:sz w:val="22"/>
              <w:szCs w:val="22"/>
            </w:rPr>
          </w:pPr>
          <w:hyperlink w:history="1" w:anchor="_Toc87361173">
            <w:r w:rsidRPr="007F2417">
              <w:rPr>
                <w:rStyle w:val="Hyperlink"/>
                <w:noProof/>
              </w:rPr>
              <w:t>10.2</w:t>
            </w:r>
            <w:r>
              <w:rPr>
                <w:rFonts w:asciiTheme="minorHAnsi" w:hAnsiTheme="minorHAnsi" w:cstheme="minorBidi"/>
                <w:noProof/>
                <w:sz w:val="22"/>
                <w:szCs w:val="22"/>
              </w:rPr>
              <w:tab/>
            </w:r>
            <w:r w:rsidRPr="007F2417">
              <w:rPr>
                <w:rStyle w:val="Hyperlink"/>
                <w:noProof/>
              </w:rPr>
              <w:t>Questions on SOMs in Assigned Commissioner’s Rulings</w:t>
            </w:r>
            <w:r>
              <w:rPr>
                <w:noProof/>
                <w:webHidden/>
              </w:rPr>
              <w:tab/>
            </w:r>
            <w:r>
              <w:rPr>
                <w:noProof/>
                <w:webHidden/>
              </w:rPr>
              <w:fldChar w:fldCharType="begin"/>
            </w:r>
            <w:r>
              <w:rPr>
                <w:noProof/>
                <w:webHidden/>
              </w:rPr>
              <w:instrText xml:space="preserve"> PAGEREF _Toc87361173 \h </w:instrText>
            </w:r>
            <w:r>
              <w:rPr>
                <w:noProof/>
                <w:webHidden/>
              </w:rPr>
            </w:r>
            <w:r>
              <w:rPr>
                <w:noProof/>
                <w:webHidden/>
              </w:rPr>
              <w:fldChar w:fldCharType="separate"/>
            </w:r>
            <w:r>
              <w:rPr>
                <w:noProof/>
                <w:webHidden/>
              </w:rPr>
              <w:t>48</w:t>
            </w:r>
            <w:r>
              <w:rPr>
                <w:noProof/>
                <w:webHidden/>
              </w:rPr>
              <w:fldChar w:fldCharType="end"/>
            </w:r>
          </w:hyperlink>
        </w:p>
        <w:p w:rsidR="00C602B4" w:rsidRDefault="00C602B4" w14:paraId="3D07E372" w14:textId="06E07710">
          <w:pPr>
            <w:pStyle w:val="TOC2"/>
            <w:tabs>
              <w:tab w:val="left" w:pos="1296"/>
              <w:tab w:val="right" w:leader="dot" w:pos="9350"/>
            </w:tabs>
            <w:rPr>
              <w:rFonts w:asciiTheme="minorHAnsi" w:hAnsiTheme="minorHAnsi" w:cstheme="minorBidi"/>
              <w:noProof/>
              <w:sz w:val="22"/>
              <w:szCs w:val="22"/>
            </w:rPr>
          </w:pPr>
          <w:hyperlink w:history="1" w:anchor="_Toc87361174">
            <w:r w:rsidRPr="007F2417">
              <w:rPr>
                <w:rStyle w:val="Hyperlink"/>
                <w:noProof/>
              </w:rPr>
              <w:t>10.3</w:t>
            </w:r>
            <w:r>
              <w:rPr>
                <w:rFonts w:asciiTheme="minorHAnsi" w:hAnsiTheme="minorHAnsi" w:cstheme="minorBidi"/>
                <w:noProof/>
                <w:sz w:val="22"/>
                <w:szCs w:val="22"/>
              </w:rPr>
              <w:tab/>
            </w:r>
            <w:r w:rsidRPr="007F2417">
              <w:rPr>
                <w:rStyle w:val="Hyperlink"/>
                <w:noProof/>
              </w:rPr>
              <w:t>PG&amp;E SOMs Proposal</w:t>
            </w:r>
            <w:r>
              <w:rPr>
                <w:noProof/>
                <w:webHidden/>
              </w:rPr>
              <w:tab/>
            </w:r>
            <w:r>
              <w:rPr>
                <w:noProof/>
                <w:webHidden/>
              </w:rPr>
              <w:fldChar w:fldCharType="begin"/>
            </w:r>
            <w:r>
              <w:rPr>
                <w:noProof/>
                <w:webHidden/>
              </w:rPr>
              <w:instrText xml:space="preserve"> PAGEREF _Toc87361174 \h </w:instrText>
            </w:r>
            <w:r>
              <w:rPr>
                <w:noProof/>
                <w:webHidden/>
              </w:rPr>
            </w:r>
            <w:r>
              <w:rPr>
                <w:noProof/>
                <w:webHidden/>
              </w:rPr>
              <w:fldChar w:fldCharType="separate"/>
            </w:r>
            <w:r>
              <w:rPr>
                <w:noProof/>
                <w:webHidden/>
              </w:rPr>
              <w:t>51</w:t>
            </w:r>
            <w:r>
              <w:rPr>
                <w:noProof/>
                <w:webHidden/>
              </w:rPr>
              <w:fldChar w:fldCharType="end"/>
            </w:r>
          </w:hyperlink>
        </w:p>
        <w:p w:rsidR="00C602B4" w:rsidRDefault="00C602B4" w14:paraId="72AD5312" w14:textId="0AC52692">
          <w:pPr>
            <w:pStyle w:val="TOC3"/>
            <w:tabs>
              <w:tab w:val="left" w:pos="1728"/>
              <w:tab w:val="right" w:leader="dot" w:pos="9350"/>
            </w:tabs>
            <w:rPr>
              <w:rFonts w:asciiTheme="minorHAnsi" w:hAnsiTheme="minorHAnsi" w:cstheme="minorBidi"/>
              <w:noProof/>
              <w:sz w:val="22"/>
              <w:szCs w:val="22"/>
            </w:rPr>
          </w:pPr>
          <w:hyperlink w:history="1" w:anchor="_Toc87361175">
            <w:r w:rsidRPr="007F2417">
              <w:rPr>
                <w:rStyle w:val="Hyperlink"/>
                <w:noProof/>
              </w:rPr>
              <w:t>10.3.1</w:t>
            </w:r>
            <w:r>
              <w:rPr>
                <w:rFonts w:asciiTheme="minorHAnsi" w:hAnsiTheme="minorHAnsi" w:cstheme="minorBidi"/>
                <w:noProof/>
                <w:sz w:val="22"/>
                <w:szCs w:val="22"/>
              </w:rPr>
              <w:tab/>
            </w:r>
            <w:r w:rsidRPr="007F2417">
              <w:rPr>
                <w:rStyle w:val="Hyperlink"/>
                <w:noProof/>
              </w:rPr>
              <w:t>Party Comments on PG&amp;E’s  Proposed SOMs</w:t>
            </w:r>
            <w:r>
              <w:rPr>
                <w:noProof/>
                <w:webHidden/>
              </w:rPr>
              <w:tab/>
            </w:r>
            <w:r>
              <w:rPr>
                <w:noProof/>
                <w:webHidden/>
              </w:rPr>
              <w:fldChar w:fldCharType="begin"/>
            </w:r>
            <w:r>
              <w:rPr>
                <w:noProof/>
                <w:webHidden/>
              </w:rPr>
              <w:instrText xml:space="preserve"> PAGEREF _Toc87361175 \h </w:instrText>
            </w:r>
            <w:r>
              <w:rPr>
                <w:noProof/>
                <w:webHidden/>
              </w:rPr>
            </w:r>
            <w:r>
              <w:rPr>
                <w:noProof/>
                <w:webHidden/>
              </w:rPr>
              <w:fldChar w:fldCharType="separate"/>
            </w:r>
            <w:r>
              <w:rPr>
                <w:noProof/>
                <w:webHidden/>
              </w:rPr>
              <w:t>53</w:t>
            </w:r>
            <w:r>
              <w:rPr>
                <w:noProof/>
                <w:webHidden/>
              </w:rPr>
              <w:fldChar w:fldCharType="end"/>
            </w:r>
          </w:hyperlink>
        </w:p>
        <w:p w:rsidR="00C602B4" w:rsidRDefault="00C602B4" w14:paraId="7E58BE64" w14:textId="5C8B0DCD">
          <w:pPr>
            <w:pStyle w:val="TOC3"/>
            <w:tabs>
              <w:tab w:val="left" w:pos="1728"/>
              <w:tab w:val="right" w:leader="dot" w:pos="9350"/>
            </w:tabs>
            <w:rPr>
              <w:rFonts w:asciiTheme="minorHAnsi" w:hAnsiTheme="minorHAnsi" w:cstheme="minorBidi"/>
              <w:noProof/>
              <w:sz w:val="22"/>
              <w:szCs w:val="22"/>
            </w:rPr>
          </w:pPr>
          <w:hyperlink w:history="1" w:anchor="_Toc87361176">
            <w:r w:rsidRPr="007F2417">
              <w:rPr>
                <w:rStyle w:val="Hyperlink"/>
                <w:noProof/>
              </w:rPr>
              <w:t>10.3.2</w:t>
            </w:r>
            <w:r>
              <w:rPr>
                <w:rFonts w:asciiTheme="minorHAnsi" w:hAnsiTheme="minorHAnsi" w:cstheme="minorBidi"/>
                <w:noProof/>
                <w:sz w:val="22"/>
                <w:szCs w:val="22"/>
              </w:rPr>
              <w:tab/>
            </w:r>
            <w:r w:rsidRPr="007F2417">
              <w:rPr>
                <w:rStyle w:val="Hyperlink"/>
                <w:noProof/>
              </w:rPr>
              <w:t>Discussion</w:t>
            </w:r>
            <w:r>
              <w:rPr>
                <w:noProof/>
                <w:webHidden/>
              </w:rPr>
              <w:tab/>
            </w:r>
            <w:r>
              <w:rPr>
                <w:noProof/>
                <w:webHidden/>
              </w:rPr>
              <w:fldChar w:fldCharType="begin"/>
            </w:r>
            <w:r>
              <w:rPr>
                <w:noProof/>
                <w:webHidden/>
              </w:rPr>
              <w:instrText xml:space="preserve"> PAGEREF _Toc87361176 \h </w:instrText>
            </w:r>
            <w:r>
              <w:rPr>
                <w:noProof/>
                <w:webHidden/>
              </w:rPr>
            </w:r>
            <w:r>
              <w:rPr>
                <w:noProof/>
                <w:webHidden/>
              </w:rPr>
              <w:fldChar w:fldCharType="separate"/>
            </w:r>
            <w:r>
              <w:rPr>
                <w:noProof/>
                <w:webHidden/>
              </w:rPr>
              <w:t>54</w:t>
            </w:r>
            <w:r>
              <w:rPr>
                <w:noProof/>
                <w:webHidden/>
              </w:rPr>
              <w:fldChar w:fldCharType="end"/>
            </w:r>
          </w:hyperlink>
        </w:p>
        <w:p w:rsidR="00C602B4" w:rsidRDefault="00C602B4" w14:paraId="2D8CEF0D" w14:textId="16465148">
          <w:pPr>
            <w:pStyle w:val="TOC2"/>
            <w:tabs>
              <w:tab w:val="left" w:pos="1296"/>
              <w:tab w:val="right" w:leader="dot" w:pos="9350"/>
            </w:tabs>
            <w:rPr>
              <w:rFonts w:asciiTheme="minorHAnsi" w:hAnsiTheme="minorHAnsi" w:cstheme="minorBidi"/>
              <w:noProof/>
              <w:sz w:val="22"/>
              <w:szCs w:val="22"/>
            </w:rPr>
          </w:pPr>
          <w:hyperlink w:history="1" w:anchor="_Toc87361177">
            <w:r w:rsidRPr="007F2417">
              <w:rPr>
                <w:rStyle w:val="Hyperlink"/>
                <w:noProof/>
              </w:rPr>
              <w:t>10.4</w:t>
            </w:r>
            <w:r>
              <w:rPr>
                <w:rFonts w:asciiTheme="minorHAnsi" w:hAnsiTheme="minorHAnsi" w:cstheme="minorBidi"/>
                <w:noProof/>
                <w:sz w:val="22"/>
                <w:szCs w:val="22"/>
              </w:rPr>
              <w:tab/>
            </w:r>
            <w:r w:rsidRPr="007F2417">
              <w:rPr>
                <w:rStyle w:val="Hyperlink"/>
                <w:noProof/>
              </w:rPr>
              <w:t>Staff’s High Level SOMs Proposal</w:t>
            </w:r>
            <w:r>
              <w:rPr>
                <w:noProof/>
                <w:webHidden/>
              </w:rPr>
              <w:tab/>
            </w:r>
            <w:r>
              <w:rPr>
                <w:noProof/>
                <w:webHidden/>
              </w:rPr>
              <w:fldChar w:fldCharType="begin"/>
            </w:r>
            <w:r>
              <w:rPr>
                <w:noProof/>
                <w:webHidden/>
              </w:rPr>
              <w:instrText xml:space="preserve"> PAGEREF _Toc87361177 \h </w:instrText>
            </w:r>
            <w:r>
              <w:rPr>
                <w:noProof/>
                <w:webHidden/>
              </w:rPr>
            </w:r>
            <w:r>
              <w:rPr>
                <w:noProof/>
                <w:webHidden/>
              </w:rPr>
              <w:fldChar w:fldCharType="separate"/>
            </w:r>
            <w:r>
              <w:rPr>
                <w:noProof/>
                <w:webHidden/>
              </w:rPr>
              <w:t>54</w:t>
            </w:r>
            <w:r>
              <w:rPr>
                <w:noProof/>
                <w:webHidden/>
              </w:rPr>
              <w:fldChar w:fldCharType="end"/>
            </w:r>
          </w:hyperlink>
        </w:p>
        <w:p w:rsidR="00C602B4" w:rsidRDefault="00C602B4" w14:paraId="12BB8EC8" w14:textId="3013C667">
          <w:pPr>
            <w:pStyle w:val="TOC3"/>
            <w:tabs>
              <w:tab w:val="left" w:pos="1728"/>
              <w:tab w:val="right" w:leader="dot" w:pos="9350"/>
            </w:tabs>
            <w:rPr>
              <w:rFonts w:asciiTheme="minorHAnsi" w:hAnsiTheme="minorHAnsi" w:cstheme="minorBidi"/>
              <w:noProof/>
              <w:sz w:val="22"/>
              <w:szCs w:val="22"/>
            </w:rPr>
          </w:pPr>
          <w:hyperlink w:history="1" w:anchor="_Toc87361178">
            <w:r w:rsidRPr="007F2417">
              <w:rPr>
                <w:rStyle w:val="Hyperlink"/>
                <w:noProof/>
              </w:rPr>
              <w:t>10.4.1</w:t>
            </w:r>
            <w:r>
              <w:rPr>
                <w:rFonts w:asciiTheme="minorHAnsi" w:hAnsiTheme="minorHAnsi" w:cstheme="minorBidi"/>
                <w:noProof/>
                <w:sz w:val="22"/>
                <w:szCs w:val="22"/>
              </w:rPr>
              <w:tab/>
            </w:r>
            <w:r w:rsidRPr="007F2417">
              <w:rPr>
                <w:rStyle w:val="Hyperlink"/>
                <w:noProof/>
              </w:rPr>
              <w:t>Staff’s General Approach</w:t>
            </w:r>
            <w:r>
              <w:rPr>
                <w:noProof/>
                <w:webHidden/>
              </w:rPr>
              <w:tab/>
            </w:r>
            <w:r>
              <w:rPr>
                <w:noProof/>
                <w:webHidden/>
              </w:rPr>
              <w:fldChar w:fldCharType="begin"/>
            </w:r>
            <w:r>
              <w:rPr>
                <w:noProof/>
                <w:webHidden/>
              </w:rPr>
              <w:instrText xml:space="preserve"> PAGEREF _Toc87361178 \h </w:instrText>
            </w:r>
            <w:r>
              <w:rPr>
                <w:noProof/>
                <w:webHidden/>
              </w:rPr>
            </w:r>
            <w:r>
              <w:rPr>
                <w:noProof/>
                <w:webHidden/>
              </w:rPr>
              <w:fldChar w:fldCharType="separate"/>
            </w:r>
            <w:r>
              <w:rPr>
                <w:noProof/>
                <w:webHidden/>
              </w:rPr>
              <w:t>55</w:t>
            </w:r>
            <w:r>
              <w:rPr>
                <w:noProof/>
                <w:webHidden/>
              </w:rPr>
              <w:fldChar w:fldCharType="end"/>
            </w:r>
          </w:hyperlink>
        </w:p>
        <w:p w:rsidR="00C602B4" w:rsidRDefault="00C602B4" w14:paraId="406145F4" w14:textId="4EDE95C7">
          <w:pPr>
            <w:pStyle w:val="TOC3"/>
            <w:tabs>
              <w:tab w:val="left" w:pos="1728"/>
              <w:tab w:val="right" w:leader="dot" w:pos="9350"/>
            </w:tabs>
            <w:rPr>
              <w:rFonts w:asciiTheme="minorHAnsi" w:hAnsiTheme="minorHAnsi" w:cstheme="minorBidi"/>
              <w:noProof/>
              <w:sz w:val="22"/>
              <w:szCs w:val="22"/>
            </w:rPr>
          </w:pPr>
          <w:hyperlink w:history="1" w:anchor="_Toc87361179">
            <w:r w:rsidRPr="007F2417">
              <w:rPr>
                <w:rStyle w:val="Hyperlink"/>
                <w:noProof/>
              </w:rPr>
              <w:t>10.4.2</w:t>
            </w:r>
            <w:r>
              <w:rPr>
                <w:rFonts w:asciiTheme="minorHAnsi" w:hAnsiTheme="minorHAnsi" w:cstheme="minorBidi"/>
                <w:noProof/>
                <w:sz w:val="22"/>
                <w:szCs w:val="22"/>
              </w:rPr>
              <w:tab/>
            </w:r>
            <w:r w:rsidRPr="007F2417">
              <w:rPr>
                <w:rStyle w:val="Hyperlink"/>
                <w:noProof/>
              </w:rPr>
              <w:t>Staff’s Proposed Reporting Requirements and Review Methods</w:t>
            </w:r>
            <w:r>
              <w:rPr>
                <w:noProof/>
                <w:webHidden/>
              </w:rPr>
              <w:tab/>
            </w:r>
            <w:r>
              <w:rPr>
                <w:noProof/>
                <w:webHidden/>
              </w:rPr>
              <w:fldChar w:fldCharType="begin"/>
            </w:r>
            <w:r>
              <w:rPr>
                <w:noProof/>
                <w:webHidden/>
              </w:rPr>
              <w:instrText xml:space="preserve"> PAGEREF _Toc87361179 \h </w:instrText>
            </w:r>
            <w:r>
              <w:rPr>
                <w:noProof/>
                <w:webHidden/>
              </w:rPr>
            </w:r>
            <w:r>
              <w:rPr>
                <w:noProof/>
                <w:webHidden/>
              </w:rPr>
              <w:fldChar w:fldCharType="separate"/>
            </w:r>
            <w:r>
              <w:rPr>
                <w:noProof/>
                <w:webHidden/>
              </w:rPr>
              <w:t>56</w:t>
            </w:r>
            <w:r>
              <w:rPr>
                <w:noProof/>
                <w:webHidden/>
              </w:rPr>
              <w:fldChar w:fldCharType="end"/>
            </w:r>
          </w:hyperlink>
        </w:p>
        <w:p w:rsidR="00C602B4" w:rsidRDefault="00C602B4" w14:paraId="6EC57D6D" w14:textId="32E25A07">
          <w:pPr>
            <w:pStyle w:val="TOC3"/>
            <w:tabs>
              <w:tab w:val="left" w:pos="1728"/>
              <w:tab w:val="right" w:leader="dot" w:pos="9350"/>
            </w:tabs>
            <w:rPr>
              <w:rFonts w:asciiTheme="minorHAnsi" w:hAnsiTheme="minorHAnsi" w:cstheme="minorBidi"/>
              <w:noProof/>
              <w:sz w:val="22"/>
              <w:szCs w:val="22"/>
            </w:rPr>
          </w:pPr>
          <w:hyperlink w:history="1" w:anchor="_Toc87361180">
            <w:r w:rsidRPr="007F2417">
              <w:rPr>
                <w:rStyle w:val="Hyperlink"/>
                <w:noProof/>
              </w:rPr>
              <w:t>10.4.3</w:t>
            </w:r>
            <w:r>
              <w:rPr>
                <w:rFonts w:asciiTheme="minorHAnsi" w:hAnsiTheme="minorHAnsi" w:cstheme="minorBidi"/>
                <w:noProof/>
                <w:sz w:val="22"/>
                <w:szCs w:val="22"/>
              </w:rPr>
              <w:tab/>
            </w:r>
            <w:r w:rsidRPr="007F2417">
              <w:rPr>
                <w:rStyle w:val="Hyperlink"/>
                <w:noProof/>
              </w:rPr>
              <w:t>Party Comments</w:t>
            </w:r>
            <w:r>
              <w:rPr>
                <w:noProof/>
                <w:webHidden/>
              </w:rPr>
              <w:tab/>
            </w:r>
            <w:r>
              <w:rPr>
                <w:noProof/>
                <w:webHidden/>
              </w:rPr>
              <w:fldChar w:fldCharType="begin"/>
            </w:r>
            <w:r>
              <w:rPr>
                <w:noProof/>
                <w:webHidden/>
              </w:rPr>
              <w:instrText xml:space="preserve"> PAGEREF _Toc87361180 \h </w:instrText>
            </w:r>
            <w:r>
              <w:rPr>
                <w:noProof/>
                <w:webHidden/>
              </w:rPr>
            </w:r>
            <w:r>
              <w:rPr>
                <w:noProof/>
                <w:webHidden/>
              </w:rPr>
              <w:fldChar w:fldCharType="separate"/>
            </w:r>
            <w:r>
              <w:rPr>
                <w:noProof/>
                <w:webHidden/>
              </w:rPr>
              <w:t>58</w:t>
            </w:r>
            <w:r>
              <w:rPr>
                <w:noProof/>
                <w:webHidden/>
              </w:rPr>
              <w:fldChar w:fldCharType="end"/>
            </w:r>
          </w:hyperlink>
        </w:p>
        <w:p w:rsidR="00C602B4" w:rsidRDefault="00C602B4" w14:paraId="2969ABFF" w14:textId="39388D69">
          <w:pPr>
            <w:pStyle w:val="TOC3"/>
            <w:tabs>
              <w:tab w:val="left" w:pos="1728"/>
              <w:tab w:val="right" w:leader="dot" w:pos="9350"/>
            </w:tabs>
            <w:rPr>
              <w:rFonts w:asciiTheme="minorHAnsi" w:hAnsiTheme="minorHAnsi" w:cstheme="minorBidi"/>
              <w:noProof/>
              <w:sz w:val="22"/>
              <w:szCs w:val="22"/>
            </w:rPr>
          </w:pPr>
          <w:hyperlink w:history="1" w:anchor="_Toc87361181">
            <w:r w:rsidRPr="007F2417">
              <w:rPr>
                <w:rStyle w:val="Hyperlink"/>
                <w:noProof/>
              </w:rPr>
              <w:t>10.4.4</w:t>
            </w:r>
            <w:r>
              <w:rPr>
                <w:rFonts w:asciiTheme="minorHAnsi" w:hAnsiTheme="minorHAnsi" w:cstheme="minorBidi"/>
                <w:noProof/>
                <w:sz w:val="22"/>
                <w:szCs w:val="22"/>
              </w:rPr>
              <w:tab/>
            </w:r>
            <w:r w:rsidRPr="007F2417">
              <w:rPr>
                <w:rStyle w:val="Hyperlink"/>
                <w:noProof/>
              </w:rPr>
              <w:t>Discussion</w:t>
            </w:r>
            <w:r>
              <w:rPr>
                <w:noProof/>
                <w:webHidden/>
              </w:rPr>
              <w:tab/>
            </w:r>
            <w:r>
              <w:rPr>
                <w:noProof/>
                <w:webHidden/>
              </w:rPr>
              <w:fldChar w:fldCharType="begin"/>
            </w:r>
            <w:r>
              <w:rPr>
                <w:noProof/>
                <w:webHidden/>
              </w:rPr>
              <w:instrText xml:space="preserve"> PAGEREF _Toc87361181 \h </w:instrText>
            </w:r>
            <w:r>
              <w:rPr>
                <w:noProof/>
                <w:webHidden/>
              </w:rPr>
            </w:r>
            <w:r>
              <w:rPr>
                <w:noProof/>
                <w:webHidden/>
              </w:rPr>
              <w:fldChar w:fldCharType="separate"/>
            </w:r>
            <w:r>
              <w:rPr>
                <w:noProof/>
                <w:webHidden/>
              </w:rPr>
              <w:t>59</w:t>
            </w:r>
            <w:r>
              <w:rPr>
                <w:noProof/>
                <w:webHidden/>
              </w:rPr>
              <w:fldChar w:fldCharType="end"/>
            </w:r>
          </w:hyperlink>
        </w:p>
        <w:p w:rsidR="00C602B4" w:rsidRDefault="00C602B4" w14:paraId="55F8109B" w14:textId="718678FF">
          <w:pPr>
            <w:pStyle w:val="TOC2"/>
            <w:tabs>
              <w:tab w:val="left" w:pos="1296"/>
              <w:tab w:val="right" w:leader="dot" w:pos="9350"/>
            </w:tabs>
            <w:rPr>
              <w:rFonts w:asciiTheme="minorHAnsi" w:hAnsiTheme="minorHAnsi" w:cstheme="minorBidi"/>
              <w:noProof/>
              <w:sz w:val="22"/>
              <w:szCs w:val="22"/>
            </w:rPr>
          </w:pPr>
          <w:hyperlink w:history="1" w:anchor="_Toc87361182">
            <w:r w:rsidRPr="007F2417">
              <w:rPr>
                <w:rStyle w:val="Hyperlink"/>
                <w:noProof/>
              </w:rPr>
              <w:t>10.5</w:t>
            </w:r>
            <w:r>
              <w:rPr>
                <w:rFonts w:asciiTheme="minorHAnsi" w:hAnsiTheme="minorHAnsi" w:cstheme="minorBidi"/>
                <w:noProof/>
                <w:sz w:val="22"/>
                <w:szCs w:val="22"/>
              </w:rPr>
              <w:tab/>
            </w:r>
            <w:r w:rsidRPr="007F2417">
              <w:rPr>
                <w:rStyle w:val="Hyperlink"/>
                <w:noProof/>
              </w:rPr>
              <w:t>Staff’s Detailed SOMs Proposal</w:t>
            </w:r>
            <w:r>
              <w:rPr>
                <w:noProof/>
                <w:webHidden/>
              </w:rPr>
              <w:tab/>
            </w:r>
            <w:r>
              <w:rPr>
                <w:noProof/>
                <w:webHidden/>
              </w:rPr>
              <w:fldChar w:fldCharType="begin"/>
            </w:r>
            <w:r>
              <w:rPr>
                <w:noProof/>
                <w:webHidden/>
              </w:rPr>
              <w:instrText xml:space="preserve"> PAGEREF _Toc87361182 \h </w:instrText>
            </w:r>
            <w:r>
              <w:rPr>
                <w:noProof/>
                <w:webHidden/>
              </w:rPr>
            </w:r>
            <w:r>
              <w:rPr>
                <w:noProof/>
                <w:webHidden/>
              </w:rPr>
              <w:fldChar w:fldCharType="separate"/>
            </w:r>
            <w:r>
              <w:rPr>
                <w:noProof/>
                <w:webHidden/>
              </w:rPr>
              <w:t>61</w:t>
            </w:r>
            <w:r>
              <w:rPr>
                <w:noProof/>
                <w:webHidden/>
              </w:rPr>
              <w:fldChar w:fldCharType="end"/>
            </w:r>
          </w:hyperlink>
        </w:p>
        <w:p w:rsidR="00C602B4" w:rsidRDefault="00C602B4" w14:paraId="28A1E247" w14:textId="37D237B6">
          <w:pPr>
            <w:pStyle w:val="TOC3"/>
            <w:tabs>
              <w:tab w:val="left" w:pos="1728"/>
              <w:tab w:val="right" w:leader="dot" w:pos="9350"/>
            </w:tabs>
            <w:rPr>
              <w:rFonts w:asciiTheme="minorHAnsi" w:hAnsiTheme="minorHAnsi" w:cstheme="minorBidi"/>
              <w:noProof/>
              <w:sz w:val="22"/>
              <w:szCs w:val="22"/>
            </w:rPr>
          </w:pPr>
          <w:hyperlink w:history="1" w:anchor="_Toc87361183">
            <w:r w:rsidRPr="007F2417">
              <w:rPr>
                <w:rStyle w:val="Hyperlink"/>
                <w:noProof/>
              </w:rPr>
              <w:t>10.5.1</w:t>
            </w:r>
            <w:r>
              <w:rPr>
                <w:rFonts w:asciiTheme="minorHAnsi" w:hAnsiTheme="minorHAnsi" w:cstheme="minorBidi"/>
                <w:noProof/>
                <w:sz w:val="22"/>
                <w:szCs w:val="22"/>
              </w:rPr>
              <w:tab/>
            </w:r>
            <w:r w:rsidRPr="007F2417">
              <w:rPr>
                <w:rStyle w:val="Hyperlink"/>
                <w:noProof/>
              </w:rPr>
              <w:t>SIF Related SOMs (#s 1.1 – 1.4)</w:t>
            </w:r>
            <w:r>
              <w:rPr>
                <w:noProof/>
                <w:webHidden/>
              </w:rPr>
              <w:tab/>
            </w:r>
            <w:r>
              <w:rPr>
                <w:noProof/>
                <w:webHidden/>
              </w:rPr>
              <w:fldChar w:fldCharType="begin"/>
            </w:r>
            <w:r>
              <w:rPr>
                <w:noProof/>
                <w:webHidden/>
              </w:rPr>
              <w:instrText xml:space="preserve"> PAGEREF _Toc87361183 \h </w:instrText>
            </w:r>
            <w:r>
              <w:rPr>
                <w:noProof/>
                <w:webHidden/>
              </w:rPr>
            </w:r>
            <w:r>
              <w:rPr>
                <w:noProof/>
                <w:webHidden/>
              </w:rPr>
              <w:fldChar w:fldCharType="separate"/>
            </w:r>
            <w:r>
              <w:rPr>
                <w:noProof/>
                <w:webHidden/>
              </w:rPr>
              <w:t>62</w:t>
            </w:r>
            <w:r>
              <w:rPr>
                <w:noProof/>
                <w:webHidden/>
              </w:rPr>
              <w:fldChar w:fldCharType="end"/>
            </w:r>
          </w:hyperlink>
        </w:p>
        <w:p w:rsidR="00C602B4" w:rsidRDefault="00C602B4" w14:paraId="65727AB5" w14:textId="14CEF8AF">
          <w:pPr>
            <w:pStyle w:val="TOC4"/>
            <w:tabs>
              <w:tab w:val="left" w:pos="1728"/>
              <w:tab w:val="right" w:leader="dot" w:pos="9350"/>
            </w:tabs>
            <w:rPr>
              <w:rFonts w:asciiTheme="minorHAnsi" w:hAnsiTheme="minorHAnsi" w:eastAsiaTheme="minorEastAsia" w:cstheme="minorBidi"/>
              <w:noProof/>
              <w:sz w:val="22"/>
              <w:szCs w:val="22"/>
            </w:rPr>
          </w:pPr>
          <w:hyperlink w:history="1" w:anchor="_Toc87361184">
            <w:r w:rsidRPr="007F2417">
              <w:rPr>
                <w:rStyle w:val="Hyperlink"/>
                <w:rFonts w:eastAsiaTheme="majorEastAsia"/>
                <w:noProof/>
              </w:rPr>
              <w:t>10.5.1.1</w:t>
            </w:r>
            <w:r>
              <w:rPr>
                <w:rFonts w:asciiTheme="minorHAnsi" w:hAnsiTheme="minorHAnsi" w:eastAsiaTheme="minorEastAsia" w:cstheme="minorBidi"/>
                <w:noProof/>
                <w:sz w:val="22"/>
                <w:szCs w:val="22"/>
              </w:rPr>
              <w:tab/>
            </w:r>
            <w:r w:rsidRPr="007F2417">
              <w:rPr>
                <w:rStyle w:val="Hyperlink"/>
                <w:rFonts w:eastAsiaTheme="majorEastAsia"/>
                <w:noProof/>
              </w:rPr>
              <w:t>Party Comments</w:t>
            </w:r>
            <w:r>
              <w:rPr>
                <w:noProof/>
                <w:webHidden/>
              </w:rPr>
              <w:tab/>
            </w:r>
            <w:r>
              <w:rPr>
                <w:noProof/>
                <w:webHidden/>
              </w:rPr>
              <w:fldChar w:fldCharType="begin"/>
            </w:r>
            <w:r>
              <w:rPr>
                <w:noProof/>
                <w:webHidden/>
              </w:rPr>
              <w:instrText xml:space="preserve"> PAGEREF _Toc87361184 \h </w:instrText>
            </w:r>
            <w:r>
              <w:rPr>
                <w:noProof/>
                <w:webHidden/>
              </w:rPr>
            </w:r>
            <w:r>
              <w:rPr>
                <w:noProof/>
                <w:webHidden/>
              </w:rPr>
              <w:fldChar w:fldCharType="separate"/>
            </w:r>
            <w:r>
              <w:rPr>
                <w:noProof/>
                <w:webHidden/>
              </w:rPr>
              <w:t>63</w:t>
            </w:r>
            <w:r>
              <w:rPr>
                <w:noProof/>
                <w:webHidden/>
              </w:rPr>
              <w:fldChar w:fldCharType="end"/>
            </w:r>
          </w:hyperlink>
        </w:p>
        <w:p w:rsidR="00C602B4" w:rsidRDefault="00C602B4" w14:paraId="73DA6571" w14:textId="40DDE6A8">
          <w:pPr>
            <w:pStyle w:val="TOC4"/>
            <w:tabs>
              <w:tab w:val="left" w:pos="1728"/>
              <w:tab w:val="right" w:leader="dot" w:pos="9350"/>
            </w:tabs>
            <w:rPr>
              <w:rFonts w:asciiTheme="minorHAnsi" w:hAnsiTheme="minorHAnsi" w:eastAsiaTheme="minorEastAsia" w:cstheme="minorBidi"/>
              <w:noProof/>
              <w:sz w:val="22"/>
              <w:szCs w:val="22"/>
            </w:rPr>
          </w:pPr>
          <w:hyperlink w:history="1" w:anchor="_Toc87361185">
            <w:r w:rsidRPr="007F2417">
              <w:rPr>
                <w:rStyle w:val="Hyperlink"/>
                <w:rFonts w:eastAsiaTheme="majorEastAsia"/>
                <w:noProof/>
              </w:rPr>
              <w:t>10.5.1.2</w:t>
            </w:r>
            <w:r>
              <w:rPr>
                <w:rFonts w:asciiTheme="minorHAnsi" w:hAnsiTheme="minorHAnsi" w:eastAsiaTheme="minorEastAsia" w:cstheme="minorBidi"/>
                <w:noProof/>
                <w:sz w:val="22"/>
                <w:szCs w:val="22"/>
              </w:rPr>
              <w:tab/>
            </w:r>
            <w:r w:rsidRPr="007F2417">
              <w:rPr>
                <w:rStyle w:val="Hyperlink"/>
                <w:rFonts w:eastAsiaTheme="majorEastAsia"/>
                <w:noProof/>
              </w:rPr>
              <w:t>Discussion</w:t>
            </w:r>
            <w:r>
              <w:rPr>
                <w:noProof/>
                <w:webHidden/>
              </w:rPr>
              <w:tab/>
            </w:r>
            <w:r>
              <w:rPr>
                <w:noProof/>
                <w:webHidden/>
              </w:rPr>
              <w:fldChar w:fldCharType="begin"/>
            </w:r>
            <w:r>
              <w:rPr>
                <w:noProof/>
                <w:webHidden/>
              </w:rPr>
              <w:instrText xml:space="preserve"> PAGEREF _Toc87361185 \h </w:instrText>
            </w:r>
            <w:r>
              <w:rPr>
                <w:noProof/>
                <w:webHidden/>
              </w:rPr>
            </w:r>
            <w:r>
              <w:rPr>
                <w:noProof/>
                <w:webHidden/>
              </w:rPr>
              <w:fldChar w:fldCharType="separate"/>
            </w:r>
            <w:r>
              <w:rPr>
                <w:noProof/>
                <w:webHidden/>
              </w:rPr>
              <w:t>64</w:t>
            </w:r>
            <w:r>
              <w:rPr>
                <w:noProof/>
                <w:webHidden/>
              </w:rPr>
              <w:fldChar w:fldCharType="end"/>
            </w:r>
          </w:hyperlink>
        </w:p>
        <w:p w:rsidR="00C602B4" w:rsidRDefault="00C602B4" w14:paraId="1C728B47" w14:textId="340155F4">
          <w:pPr>
            <w:pStyle w:val="TOC3"/>
            <w:tabs>
              <w:tab w:val="left" w:pos="1728"/>
              <w:tab w:val="right" w:leader="dot" w:pos="9350"/>
            </w:tabs>
            <w:rPr>
              <w:rFonts w:asciiTheme="minorHAnsi" w:hAnsiTheme="minorHAnsi" w:cstheme="minorBidi"/>
              <w:noProof/>
              <w:sz w:val="22"/>
              <w:szCs w:val="22"/>
            </w:rPr>
          </w:pPr>
          <w:hyperlink w:history="1" w:anchor="_Toc87361186">
            <w:r w:rsidRPr="007F2417">
              <w:rPr>
                <w:rStyle w:val="Hyperlink"/>
                <w:noProof/>
              </w:rPr>
              <w:t>10.5.2</w:t>
            </w:r>
            <w:r>
              <w:rPr>
                <w:rFonts w:asciiTheme="minorHAnsi" w:hAnsiTheme="minorHAnsi" w:cstheme="minorBidi"/>
                <w:noProof/>
                <w:sz w:val="22"/>
                <w:szCs w:val="22"/>
              </w:rPr>
              <w:tab/>
            </w:r>
            <w:r w:rsidRPr="007F2417">
              <w:rPr>
                <w:rStyle w:val="Hyperlink"/>
                <w:noProof/>
              </w:rPr>
              <w:t>Reliability Related SOMs  (#s 2.1 – 2.12)</w:t>
            </w:r>
            <w:r>
              <w:rPr>
                <w:noProof/>
                <w:webHidden/>
              </w:rPr>
              <w:tab/>
            </w:r>
            <w:r>
              <w:rPr>
                <w:noProof/>
                <w:webHidden/>
              </w:rPr>
              <w:fldChar w:fldCharType="begin"/>
            </w:r>
            <w:r>
              <w:rPr>
                <w:noProof/>
                <w:webHidden/>
              </w:rPr>
              <w:instrText xml:space="preserve"> PAGEREF _Toc87361186 \h </w:instrText>
            </w:r>
            <w:r>
              <w:rPr>
                <w:noProof/>
                <w:webHidden/>
              </w:rPr>
            </w:r>
            <w:r>
              <w:rPr>
                <w:noProof/>
                <w:webHidden/>
              </w:rPr>
              <w:fldChar w:fldCharType="separate"/>
            </w:r>
            <w:r>
              <w:rPr>
                <w:noProof/>
                <w:webHidden/>
              </w:rPr>
              <w:t>65</w:t>
            </w:r>
            <w:r>
              <w:rPr>
                <w:noProof/>
                <w:webHidden/>
              </w:rPr>
              <w:fldChar w:fldCharType="end"/>
            </w:r>
          </w:hyperlink>
        </w:p>
        <w:p w:rsidR="00C602B4" w:rsidRDefault="00C602B4" w14:paraId="7155D392" w14:textId="594BBAE5">
          <w:pPr>
            <w:pStyle w:val="TOC4"/>
            <w:tabs>
              <w:tab w:val="left" w:pos="1728"/>
              <w:tab w:val="right" w:leader="dot" w:pos="9350"/>
            </w:tabs>
            <w:rPr>
              <w:rFonts w:asciiTheme="minorHAnsi" w:hAnsiTheme="minorHAnsi" w:eastAsiaTheme="minorEastAsia" w:cstheme="minorBidi"/>
              <w:noProof/>
              <w:sz w:val="22"/>
              <w:szCs w:val="22"/>
            </w:rPr>
          </w:pPr>
          <w:hyperlink w:history="1" w:anchor="_Toc87361187">
            <w:r w:rsidRPr="007F2417">
              <w:rPr>
                <w:rStyle w:val="Hyperlink"/>
                <w:rFonts w:eastAsiaTheme="majorEastAsia"/>
                <w:noProof/>
              </w:rPr>
              <w:t>10.5.2.1</w:t>
            </w:r>
            <w:r>
              <w:rPr>
                <w:rFonts w:asciiTheme="minorHAnsi" w:hAnsiTheme="minorHAnsi" w:eastAsiaTheme="minorEastAsia" w:cstheme="minorBidi"/>
                <w:noProof/>
                <w:sz w:val="22"/>
                <w:szCs w:val="22"/>
              </w:rPr>
              <w:tab/>
            </w:r>
            <w:r w:rsidRPr="007F2417">
              <w:rPr>
                <w:rStyle w:val="Hyperlink"/>
                <w:rFonts w:eastAsiaTheme="majorEastAsia"/>
                <w:noProof/>
              </w:rPr>
              <w:t>SAIDI, SAIFI, and CAIDI Related SOMs (#s 2.1 – 2.7)</w:t>
            </w:r>
            <w:r>
              <w:rPr>
                <w:noProof/>
                <w:webHidden/>
              </w:rPr>
              <w:tab/>
            </w:r>
            <w:r>
              <w:rPr>
                <w:noProof/>
                <w:webHidden/>
              </w:rPr>
              <w:fldChar w:fldCharType="begin"/>
            </w:r>
            <w:r>
              <w:rPr>
                <w:noProof/>
                <w:webHidden/>
              </w:rPr>
              <w:instrText xml:space="preserve"> PAGEREF _Toc87361187 \h </w:instrText>
            </w:r>
            <w:r>
              <w:rPr>
                <w:noProof/>
                <w:webHidden/>
              </w:rPr>
            </w:r>
            <w:r>
              <w:rPr>
                <w:noProof/>
                <w:webHidden/>
              </w:rPr>
              <w:fldChar w:fldCharType="separate"/>
            </w:r>
            <w:r>
              <w:rPr>
                <w:noProof/>
                <w:webHidden/>
              </w:rPr>
              <w:t>66</w:t>
            </w:r>
            <w:r>
              <w:rPr>
                <w:noProof/>
                <w:webHidden/>
              </w:rPr>
              <w:fldChar w:fldCharType="end"/>
            </w:r>
          </w:hyperlink>
        </w:p>
        <w:p w:rsidR="00C602B4" w:rsidRDefault="00C602B4" w14:paraId="04A26B66" w14:textId="74F8B313">
          <w:pPr>
            <w:pStyle w:val="TOC5"/>
            <w:tabs>
              <w:tab w:val="left" w:pos="2160"/>
              <w:tab w:val="right" w:leader="dot" w:pos="9350"/>
            </w:tabs>
            <w:rPr>
              <w:rFonts w:asciiTheme="minorHAnsi" w:hAnsiTheme="minorHAnsi" w:eastAsiaTheme="minorEastAsia" w:cstheme="minorBidi"/>
              <w:noProof/>
              <w:sz w:val="22"/>
              <w:szCs w:val="22"/>
            </w:rPr>
          </w:pPr>
          <w:hyperlink w:history="1" w:anchor="_Toc87361188">
            <w:r w:rsidRPr="007F2417">
              <w:rPr>
                <w:rStyle w:val="Hyperlink"/>
                <w:rFonts w:eastAsiaTheme="majorEastAsia"/>
                <w:noProof/>
              </w:rPr>
              <w:t>10.5.2.1.1</w:t>
            </w:r>
            <w:r>
              <w:rPr>
                <w:rFonts w:asciiTheme="minorHAnsi" w:hAnsiTheme="minorHAnsi" w:eastAsiaTheme="minorEastAsia" w:cstheme="minorBidi"/>
                <w:noProof/>
                <w:sz w:val="22"/>
                <w:szCs w:val="22"/>
              </w:rPr>
              <w:tab/>
            </w:r>
            <w:r w:rsidRPr="007F2417">
              <w:rPr>
                <w:rStyle w:val="Hyperlink"/>
                <w:rFonts w:eastAsiaTheme="majorEastAsia"/>
                <w:noProof/>
              </w:rPr>
              <w:t>Staff Proposal</w:t>
            </w:r>
            <w:r>
              <w:rPr>
                <w:noProof/>
                <w:webHidden/>
              </w:rPr>
              <w:tab/>
            </w:r>
            <w:r>
              <w:rPr>
                <w:noProof/>
                <w:webHidden/>
              </w:rPr>
              <w:fldChar w:fldCharType="begin"/>
            </w:r>
            <w:r>
              <w:rPr>
                <w:noProof/>
                <w:webHidden/>
              </w:rPr>
              <w:instrText xml:space="preserve"> PAGEREF _Toc87361188 \h </w:instrText>
            </w:r>
            <w:r>
              <w:rPr>
                <w:noProof/>
                <w:webHidden/>
              </w:rPr>
            </w:r>
            <w:r>
              <w:rPr>
                <w:noProof/>
                <w:webHidden/>
              </w:rPr>
              <w:fldChar w:fldCharType="separate"/>
            </w:r>
            <w:r>
              <w:rPr>
                <w:noProof/>
                <w:webHidden/>
              </w:rPr>
              <w:t>66</w:t>
            </w:r>
            <w:r>
              <w:rPr>
                <w:noProof/>
                <w:webHidden/>
              </w:rPr>
              <w:fldChar w:fldCharType="end"/>
            </w:r>
          </w:hyperlink>
        </w:p>
        <w:p w:rsidR="00C602B4" w:rsidRDefault="00C602B4" w14:paraId="65FED622" w14:textId="685C69F7">
          <w:pPr>
            <w:pStyle w:val="TOC5"/>
            <w:tabs>
              <w:tab w:val="left" w:pos="2160"/>
              <w:tab w:val="right" w:leader="dot" w:pos="9350"/>
            </w:tabs>
            <w:rPr>
              <w:rFonts w:asciiTheme="minorHAnsi" w:hAnsiTheme="minorHAnsi" w:eastAsiaTheme="minorEastAsia" w:cstheme="minorBidi"/>
              <w:noProof/>
              <w:sz w:val="22"/>
              <w:szCs w:val="22"/>
            </w:rPr>
          </w:pPr>
          <w:hyperlink w:history="1" w:anchor="_Toc87361189">
            <w:r w:rsidRPr="007F2417">
              <w:rPr>
                <w:rStyle w:val="Hyperlink"/>
                <w:rFonts w:eastAsiaTheme="majorEastAsia"/>
                <w:noProof/>
              </w:rPr>
              <w:t>10.5.2.1.2</w:t>
            </w:r>
            <w:r>
              <w:rPr>
                <w:rFonts w:asciiTheme="minorHAnsi" w:hAnsiTheme="minorHAnsi" w:eastAsiaTheme="minorEastAsia" w:cstheme="minorBidi"/>
                <w:noProof/>
                <w:sz w:val="22"/>
                <w:szCs w:val="22"/>
              </w:rPr>
              <w:tab/>
            </w:r>
            <w:r w:rsidRPr="007F2417">
              <w:rPr>
                <w:rStyle w:val="Hyperlink"/>
                <w:rFonts w:eastAsiaTheme="majorEastAsia"/>
                <w:noProof/>
              </w:rPr>
              <w:t>Party Comments</w:t>
            </w:r>
            <w:r>
              <w:rPr>
                <w:noProof/>
                <w:webHidden/>
              </w:rPr>
              <w:tab/>
            </w:r>
            <w:r>
              <w:rPr>
                <w:noProof/>
                <w:webHidden/>
              </w:rPr>
              <w:fldChar w:fldCharType="begin"/>
            </w:r>
            <w:r>
              <w:rPr>
                <w:noProof/>
                <w:webHidden/>
              </w:rPr>
              <w:instrText xml:space="preserve"> PAGEREF _Toc87361189 \h </w:instrText>
            </w:r>
            <w:r>
              <w:rPr>
                <w:noProof/>
                <w:webHidden/>
              </w:rPr>
            </w:r>
            <w:r>
              <w:rPr>
                <w:noProof/>
                <w:webHidden/>
              </w:rPr>
              <w:fldChar w:fldCharType="separate"/>
            </w:r>
            <w:r>
              <w:rPr>
                <w:noProof/>
                <w:webHidden/>
              </w:rPr>
              <w:t>68</w:t>
            </w:r>
            <w:r>
              <w:rPr>
                <w:noProof/>
                <w:webHidden/>
              </w:rPr>
              <w:fldChar w:fldCharType="end"/>
            </w:r>
          </w:hyperlink>
        </w:p>
        <w:p w:rsidR="00C602B4" w:rsidRDefault="00C602B4" w14:paraId="7C69CB63" w14:textId="381409B9">
          <w:pPr>
            <w:pStyle w:val="TOC5"/>
            <w:tabs>
              <w:tab w:val="left" w:pos="2160"/>
              <w:tab w:val="right" w:leader="dot" w:pos="9350"/>
            </w:tabs>
            <w:rPr>
              <w:rFonts w:asciiTheme="minorHAnsi" w:hAnsiTheme="minorHAnsi" w:eastAsiaTheme="minorEastAsia" w:cstheme="minorBidi"/>
              <w:noProof/>
              <w:sz w:val="22"/>
              <w:szCs w:val="22"/>
            </w:rPr>
          </w:pPr>
          <w:hyperlink w:history="1" w:anchor="_Toc87361190">
            <w:r w:rsidRPr="007F2417">
              <w:rPr>
                <w:rStyle w:val="Hyperlink"/>
                <w:rFonts w:eastAsiaTheme="majorEastAsia"/>
                <w:noProof/>
              </w:rPr>
              <w:t>10.5.2.1.3</w:t>
            </w:r>
            <w:r>
              <w:rPr>
                <w:rFonts w:asciiTheme="minorHAnsi" w:hAnsiTheme="minorHAnsi" w:eastAsiaTheme="minorEastAsia" w:cstheme="minorBidi"/>
                <w:noProof/>
                <w:sz w:val="22"/>
                <w:szCs w:val="22"/>
              </w:rPr>
              <w:tab/>
            </w:r>
            <w:r w:rsidRPr="007F2417">
              <w:rPr>
                <w:rStyle w:val="Hyperlink"/>
                <w:rFonts w:eastAsiaTheme="majorEastAsia"/>
                <w:noProof/>
              </w:rPr>
              <w:t>Discussion</w:t>
            </w:r>
            <w:r>
              <w:rPr>
                <w:noProof/>
                <w:webHidden/>
              </w:rPr>
              <w:tab/>
            </w:r>
            <w:r>
              <w:rPr>
                <w:noProof/>
                <w:webHidden/>
              </w:rPr>
              <w:fldChar w:fldCharType="begin"/>
            </w:r>
            <w:r>
              <w:rPr>
                <w:noProof/>
                <w:webHidden/>
              </w:rPr>
              <w:instrText xml:space="preserve"> PAGEREF _Toc87361190 \h </w:instrText>
            </w:r>
            <w:r>
              <w:rPr>
                <w:noProof/>
                <w:webHidden/>
              </w:rPr>
            </w:r>
            <w:r>
              <w:rPr>
                <w:noProof/>
                <w:webHidden/>
              </w:rPr>
              <w:fldChar w:fldCharType="separate"/>
            </w:r>
            <w:r>
              <w:rPr>
                <w:noProof/>
                <w:webHidden/>
              </w:rPr>
              <w:t>69</w:t>
            </w:r>
            <w:r>
              <w:rPr>
                <w:noProof/>
                <w:webHidden/>
              </w:rPr>
              <w:fldChar w:fldCharType="end"/>
            </w:r>
          </w:hyperlink>
        </w:p>
        <w:p w:rsidR="00C602B4" w:rsidRDefault="00C602B4" w14:paraId="01AC8A88" w14:textId="5FBE9922">
          <w:pPr>
            <w:pStyle w:val="TOC4"/>
            <w:tabs>
              <w:tab w:val="left" w:pos="2160"/>
              <w:tab w:val="right" w:leader="dot" w:pos="9350"/>
            </w:tabs>
            <w:rPr>
              <w:rFonts w:asciiTheme="minorHAnsi" w:hAnsiTheme="minorHAnsi" w:eastAsiaTheme="minorEastAsia" w:cstheme="minorBidi"/>
              <w:noProof/>
              <w:sz w:val="22"/>
              <w:szCs w:val="22"/>
            </w:rPr>
          </w:pPr>
          <w:hyperlink w:history="1" w:anchor="_Toc87361191">
            <w:r w:rsidRPr="007F2417">
              <w:rPr>
                <w:rStyle w:val="Hyperlink"/>
                <w:rFonts w:eastAsiaTheme="majorEastAsia"/>
                <w:noProof/>
              </w:rPr>
              <w:t>10.5.2.2.</w:t>
            </w:r>
            <w:r>
              <w:rPr>
                <w:rFonts w:asciiTheme="minorHAnsi" w:hAnsiTheme="minorHAnsi" w:eastAsiaTheme="minorEastAsia" w:cstheme="minorBidi"/>
                <w:noProof/>
                <w:sz w:val="22"/>
                <w:szCs w:val="22"/>
              </w:rPr>
              <w:tab/>
            </w:r>
            <w:r w:rsidRPr="007F2417">
              <w:rPr>
                <w:rStyle w:val="Hyperlink"/>
                <w:rFonts w:eastAsiaTheme="majorEastAsia"/>
                <w:noProof/>
              </w:rPr>
              <w:t>PSPS Related SOMs (#s 2.8 – 2.10)</w:t>
            </w:r>
            <w:r>
              <w:rPr>
                <w:noProof/>
                <w:webHidden/>
              </w:rPr>
              <w:tab/>
            </w:r>
            <w:r>
              <w:rPr>
                <w:noProof/>
                <w:webHidden/>
              </w:rPr>
              <w:fldChar w:fldCharType="begin"/>
            </w:r>
            <w:r>
              <w:rPr>
                <w:noProof/>
                <w:webHidden/>
              </w:rPr>
              <w:instrText xml:space="preserve"> PAGEREF _Toc87361191 \h </w:instrText>
            </w:r>
            <w:r>
              <w:rPr>
                <w:noProof/>
                <w:webHidden/>
              </w:rPr>
            </w:r>
            <w:r>
              <w:rPr>
                <w:noProof/>
                <w:webHidden/>
              </w:rPr>
              <w:fldChar w:fldCharType="separate"/>
            </w:r>
            <w:r>
              <w:rPr>
                <w:noProof/>
                <w:webHidden/>
              </w:rPr>
              <w:t>70</w:t>
            </w:r>
            <w:r>
              <w:rPr>
                <w:noProof/>
                <w:webHidden/>
              </w:rPr>
              <w:fldChar w:fldCharType="end"/>
            </w:r>
          </w:hyperlink>
        </w:p>
        <w:p w:rsidR="00C602B4" w:rsidRDefault="00C602B4" w14:paraId="534B36BB" w14:textId="679B6571">
          <w:pPr>
            <w:pStyle w:val="TOC5"/>
            <w:tabs>
              <w:tab w:val="left" w:pos="2160"/>
              <w:tab w:val="right" w:leader="dot" w:pos="9350"/>
            </w:tabs>
            <w:rPr>
              <w:rFonts w:asciiTheme="minorHAnsi" w:hAnsiTheme="minorHAnsi" w:eastAsiaTheme="minorEastAsia" w:cstheme="minorBidi"/>
              <w:noProof/>
              <w:sz w:val="22"/>
              <w:szCs w:val="22"/>
            </w:rPr>
          </w:pPr>
          <w:hyperlink w:history="1" w:anchor="_Toc87361192">
            <w:r w:rsidRPr="007F2417">
              <w:rPr>
                <w:rStyle w:val="Hyperlink"/>
                <w:rFonts w:eastAsiaTheme="majorEastAsia"/>
                <w:noProof/>
              </w:rPr>
              <w:t>10.5.2.2.1</w:t>
            </w:r>
            <w:r>
              <w:rPr>
                <w:rFonts w:asciiTheme="minorHAnsi" w:hAnsiTheme="minorHAnsi" w:eastAsiaTheme="minorEastAsia" w:cstheme="minorBidi"/>
                <w:noProof/>
                <w:sz w:val="22"/>
                <w:szCs w:val="22"/>
              </w:rPr>
              <w:tab/>
            </w:r>
            <w:r w:rsidRPr="007F2417">
              <w:rPr>
                <w:rStyle w:val="Hyperlink"/>
                <w:rFonts w:eastAsiaTheme="majorEastAsia"/>
                <w:noProof/>
              </w:rPr>
              <w:t>Staff Proposal</w:t>
            </w:r>
            <w:r>
              <w:rPr>
                <w:noProof/>
                <w:webHidden/>
              </w:rPr>
              <w:tab/>
            </w:r>
            <w:r>
              <w:rPr>
                <w:noProof/>
                <w:webHidden/>
              </w:rPr>
              <w:fldChar w:fldCharType="begin"/>
            </w:r>
            <w:r>
              <w:rPr>
                <w:noProof/>
                <w:webHidden/>
              </w:rPr>
              <w:instrText xml:space="preserve"> PAGEREF _Toc87361192 \h </w:instrText>
            </w:r>
            <w:r>
              <w:rPr>
                <w:noProof/>
                <w:webHidden/>
              </w:rPr>
            </w:r>
            <w:r>
              <w:rPr>
                <w:noProof/>
                <w:webHidden/>
              </w:rPr>
              <w:fldChar w:fldCharType="separate"/>
            </w:r>
            <w:r>
              <w:rPr>
                <w:noProof/>
                <w:webHidden/>
              </w:rPr>
              <w:t>71</w:t>
            </w:r>
            <w:r>
              <w:rPr>
                <w:noProof/>
                <w:webHidden/>
              </w:rPr>
              <w:fldChar w:fldCharType="end"/>
            </w:r>
          </w:hyperlink>
        </w:p>
        <w:p w:rsidR="00C602B4" w:rsidRDefault="00C602B4" w14:paraId="077F8E0A" w14:textId="05376575">
          <w:pPr>
            <w:pStyle w:val="TOC5"/>
            <w:tabs>
              <w:tab w:val="left" w:pos="2160"/>
              <w:tab w:val="right" w:leader="dot" w:pos="9350"/>
            </w:tabs>
            <w:rPr>
              <w:rFonts w:asciiTheme="minorHAnsi" w:hAnsiTheme="minorHAnsi" w:eastAsiaTheme="minorEastAsia" w:cstheme="minorBidi"/>
              <w:noProof/>
              <w:sz w:val="22"/>
              <w:szCs w:val="22"/>
            </w:rPr>
          </w:pPr>
          <w:hyperlink w:history="1" w:anchor="_Toc87361193">
            <w:r w:rsidRPr="007F2417">
              <w:rPr>
                <w:rStyle w:val="Hyperlink"/>
                <w:rFonts w:eastAsiaTheme="majorEastAsia"/>
                <w:noProof/>
              </w:rPr>
              <w:t>10.5.2.2.2</w:t>
            </w:r>
            <w:r>
              <w:rPr>
                <w:rFonts w:asciiTheme="minorHAnsi" w:hAnsiTheme="minorHAnsi" w:eastAsiaTheme="minorEastAsia" w:cstheme="minorBidi"/>
                <w:noProof/>
                <w:sz w:val="22"/>
                <w:szCs w:val="22"/>
              </w:rPr>
              <w:tab/>
            </w:r>
            <w:r w:rsidRPr="007F2417">
              <w:rPr>
                <w:rStyle w:val="Hyperlink"/>
                <w:rFonts w:eastAsiaTheme="majorEastAsia"/>
                <w:noProof/>
              </w:rPr>
              <w:t>Party Comments</w:t>
            </w:r>
            <w:r>
              <w:rPr>
                <w:noProof/>
                <w:webHidden/>
              </w:rPr>
              <w:tab/>
            </w:r>
            <w:r>
              <w:rPr>
                <w:noProof/>
                <w:webHidden/>
              </w:rPr>
              <w:fldChar w:fldCharType="begin"/>
            </w:r>
            <w:r>
              <w:rPr>
                <w:noProof/>
                <w:webHidden/>
              </w:rPr>
              <w:instrText xml:space="preserve"> PAGEREF _Toc87361193 \h </w:instrText>
            </w:r>
            <w:r>
              <w:rPr>
                <w:noProof/>
                <w:webHidden/>
              </w:rPr>
            </w:r>
            <w:r>
              <w:rPr>
                <w:noProof/>
                <w:webHidden/>
              </w:rPr>
              <w:fldChar w:fldCharType="separate"/>
            </w:r>
            <w:r>
              <w:rPr>
                <w:noProof/>
                <w:webHidden/>
              </w:rPr>
              <w:t>71</w:t>
            </w:r>
            <w:r>
              <w:rPr>
                <w:noProof/>
                <w:webHidden/>
              </w:rPr>
              <w:fldChar w:fldCharType="end"/>
            </w:r>
          </w:hyperlink>
        </w:p>
        <w:p w:rsidR="00C602B4" w:rsidRDefault="00C602B4" w14:paraId="4378C18A" w14:textId="20EC2ECD">
          <w:pPr>
            <w:pStyle w:val="TOC5"/>
            <w:tabs>
              <w:tab w:val="left" w:pos="2160"/>
              <w:tab w:val="right" w:leader="dot" w:pos="9350"/>
            </w:tabs>
            <w:rPr>
              <w:rFonts w:asciiTheme="minorHAnsi" w:hAnsiTheme="minorHAnsi" w:eastAsiaTheme="minorEastAsia" w:cstheme="minorBidi"/>
              <w:noProof/>
              <w:sz w:val="22"/>
              <w:szCs w:val="22"/>
            </w:rPr>
          </w:pPr>
          <w:hyperlink w:history="1" w:anchor="_Toc87361194">
            <w:r w:rsidRPr="007F2417">
              <w:rPr>
                <w:rStyle w:val="Hyperlink"/>
                <w:rFonts w:eastAsiaTheme="majorEastAsia"/>
                <w:noProof/>
              </w:rPr>
              <w:t>10.5.2.2.3</w:t>
            </w:r>
            <w:r>
              <w:rPr>
                <w:rFonts w:asciiTheme="minorHAnsi" w:hAnsiTheme="minorHAnsi" w:eastAsiaTheme="minorEastAsia" w:cstheme="minorBidi"/>
                <w:noProof/>
                <w:sz w:val="22"/>
                <w:szCs w:val="22"/>
              </w:rPr>
              <w:tab/>
            </w:r>
            <w:r w:rsidRPr="007F2417">
              <w:rPr>
                <w:rStyle w:val="Hyperlink"/>
                <w:rFonts w:eastAsiaTheme="majorEastAsia"/>
                <w:noProof/>
              </w:rPr>
              <w:t>Discussion</w:t>
            </w:r>
            <w:r>
              <w:rPr>
                <w:noProof/>
                <w:webHidden/>
              </w:rPr>
              <w:tab/>
            </w:r>
            <w:r>
              <w:rPr>
                <w:noProof/>
                <w:webHidden/>
              </w:rPr>
              <w:fldChar w:fldCharType="begin"/>
            </w:r>
            <w:r>
              <w:rPr>
                <w:noProof/>
                <w:webHidden/>
              </w:rPr>
              <w:instrText xml:space="preserve"> PAGEREF _Toc87361194 \h </w:instrText>
            </w:r>
            <w:r>
              <w:rPr>
                <w:noProof/>
                <w:webHidden/>
              </w:rPr>
            </w:r>
            <w:r>
              <w:rPr>
                <w:noProof/>
                <w:webHidden/>
              </w:rPr>
              <w:fldChar w:fldCharType="separate"/>
            </w:r>
            <w:r>
              <w:rPr>
                <w:noProof/>
                <w:webHidden/>
              </w:rPr>
              <w:t>72</w:t>
            </w:r>
            <w:r>
              <w:rPr>
                <w:noProof/>
                <w:webHidden/>
              </w:rPr>
              <w:fldChar w:fldCharType="end"/>
            </w:r>
          </w:hyperlink>
        </w:p>
        <w:p w:rsidR="00C602B4" w:rsidRDefault="00C602B4" w14:paraId="0AA5B5E9" w14:textId="0FE3B3E5">
          <w:pPr>
            <w:pStyle w:val="TOC4"/>
            <w:tabs>
              <w:tab w:val="left" w:pos="1728"/>
              <w:tab w:val="right" w:leader="dot" w:pos="9350"/>
            </w:tabs>
            <w:rPr>
              <w:rFonts w:asciiTheme="minorHAnsi" w:hAnsiTheme="minorHAnsi" w:eastAsiaTheme="minorEastAsia" w:cstheme="minorBidi"/>
              <w:noProof/>
              <w:sz w:val="22"/>
              <w:szCs w:val="22"/>
            </w:rPr>
          </w:pPr>
          <w:hyperlink w:history="1" w:anchor="_Toc87361195">
            <w:r w:rsidRPr="007F2417">
              <w:rPr>
                <w:rStyle w:val="Hyperlink"/>
                <w:rFonts w:eastAsiaTheme="majorEastAsia"/>
                <w:noProof/>
              </w:rPr>
              <w:t>10.5.2.3</w:t>
            </w:r>
            <w:r>
              <w:rPr>
                <w:rFonts w:asciiTheme="minorHAnsi" w:hAnsiTheme="minorHAnsi" w:eastAsiaTheme="minorEastAsia" w:cstheme="minorBidi"/>
                <w:noProof/>
                <w:sz w:val="22"/>
                <w:szCs w:val="22"/>
              </w:rPr>
              <w:tab/>
            </w:r>
            <w:r w:rsidRPr="007F2417">
              <w:rPr>
                <w:rStyle w:val="Hyperlink"/>
                <w:rFonts w:eastAsiaTheme="majorEastAsia"/>
                <w:noProof/>
              </w:rPr>
              <w:t>SOMs on Outages in HFTDs (#s 2.11 – 2.12)</w:t>
            </w:r>
            <w:r>
              <w:rPr>
                <w:noProof/>
                <w:webHidden/>
              </w:rPr>
              <w:tab/>
            </w:r>
            <w:r>
              <w:rPr>
                <w:noProof/>
                <w:webHidden/>
              </w:rPr>
              <w:fldChar w:fldCharType="begin"/>
            </w:r>
            <w:r>
              <w:rPr>
                <w:noProof/>
                <w:webHidden/>
              </w:rPr>
              <w:instrText xml:space="preserve"> PAGEREF _Toc87361195 \h </w:instrText>
            </w:r>
            <w:r>
              <w:rPr>
                <w:noProof/>
                <w:webHidden/>
              </w:rPr>
            </w:r>
            <w:r>
              <w:rPr>
                <w:noProof/>
                <w:webHidden/>
              </w:rPr>
              <w:fldChar w:fldCharType="separate"/>
            </w:r>
            <w:r>
              <w:rPr>
                <w:noProof/>
                <w:webHidden/>
              </w:rPr>
              <w:t>75</w:t>
            </w:r>
            <w:r>
              <w:rPr>
                <w:noProof/>
                <w:webHidden/>
              </w:rPr>
              <w:fldChar w:fldCharType="end"/>
            </w:r>
          </w:hyperlink>
        </w:p>
        <w:p w:rsidR="00C602B4" w:rsidRDefault="00C602B4" w14:paraId="124058E8" w14:textId="60CB3460">
          <w:pPr>
            <w:pStyle w:val="TOC5"/>
            <w:tabs>
              <w:tab w:val="left" w:pos="2160"/>
              <w:tab w:val="right" w:leader="dot" w:pos="9350"/>
            </w:tabs>
            <w:rPr>
              <w:rFonts w:asciiTheme="minorHAnsi" w:hAnsiTheme="minorHAnsi" w:eastAsiaTheme="minorEastAsia" w:cstheme="minorBidi"/>
              <w:noProof/>
              <w:sz w:val="22"/>
              <w:szCs w:val="22"/>
            </w:rPr>
          </w:pPr>
          <w:hyperlink w:history="1" w:anchor="_Toc87361196">
            <w:r w:rsidRPr="007F2417">
              <w:rPr>
                <w:rStyle w:val="Hyperlink"/>
                <w:rFonts w:eastAsiaTheme="majorEastAsia"/>
                <w:noProof/>
              </w:rPr>
              <w:t>10.5.2.3.1</w:t>
            </w:r>
            <w:r>
              <w:rPr>
                <w:rFonts w:asciiTheme="minorHAnsi" w:hAnsiTheme="minorHAnsi" w:eastAsiaTheme="minorEastAsia" w:cstheme="minorBidi"/>
                <w:noProof/>
                <w:sz w:val="22"/>
                <w:szCs w:val="22"/>
              </w:rPr>
              <w:tab/>
            </w:r>
            <w:r w:rsidRPr="007F2417">
              <w:rPr>
                <w:rStyle w:val="Hyperlink"/>
                <w:rFonts w:eastAsiaTheme="majorEastAsia"/>
                <w:noProof/>
              </w:rPr>
              <w:t>Staff Proposal</w:t>
            </w:r>
            <w:r>
              <w:rPr>
                <w:noProof/>
                <w:webHidden/>
              </w:rPr>
              <w:tab/>
            </w:r>
            <w:r>
              <w:rPr>
                <w:noProof/>
                <w:webHidden/>
              </w:rPr>
              <w:fldChar w:fldCharType="begin"/>
            </w:r>
            <w:r>
              <w:rPr>
                <w:noProof/>
                <w:webHidden/>
              </w:rPr>
              <w:instrText xml:space="preserve"> PAGEREF _Toc87361196 \h </w:instrText>
            </w:r>
            <w:r>
              <w:rPr>
                <w:noProof/>
                <w:webHidden/>
              </w:rPr>
            </w:r>
            <w:r>
              <w:rPr>
                <w:noProof/>
                <w:webHidden/>
              </w:rPr>
              <w:fldChar w:fldCharType="separate"/>
            </w:r>
            <w:r>
              <w:rPr>
                <w:noProof/>
                <w:webHidden/>
              </w:rPr>
              <w:t>75</w:t>
            </w:r>
            <w:r>
              <w:rPr>
                <w:noProof/>
                <w:webHidden/>
              </w:rPr>
              <w:fldChar w:fldCharType="end"/>
            </w:r>
          </w:hyperlink>
        </w:p>
        <w:p w:rsidR="00C602B4" w:rsidRDefault="00C602B4" w14:paraId="499F64AB" w14:textId="72A8D763">
          <w:pPr>
            <w:pStyle w:val="TOC5"/>
            <w:tabs>
              <w:tab w:val="left" w:pos="2160"/>
              <w:tab w:val="right" w:leader="dot" w:pos="9350"/>
            </w:tabs>
            <w:rPr>
              <w:rFonts w:asciiTheme="minorHAnsi" w:hAnsiTheme="minorHAnsi" w:eastAsiaTheme="minorEastAsia" w:cstheme="minorBidi"/>
              <w:noProof/>
              <w:sz w:val="22"/>
              <w:szCs w:val="22"/>
            </w:rPr>
          </w:pPr>
          <w:hyperlink w:history="1" w:anchor="_Toc87361197">
            <w:r w:rsidRPr="007F2417">
              <w:rPr>
                <w:rStyle w:val="Hyperlink"/>
                <w:rFonts w:eastAsiaTheme="majorEastAsia"/>
                <w:noProof/>
              </w:rPr>
              <w:t>10.5.2.</w:t>
            </w:r>
            <w:r w:rsidRPr="007F2417">
              <w:rPr>
                <w:rStyle w:val="Hyperlink"/>
                <w:rFonts w:eastAsiaTheme="minorHAnsi"/>
                <w:noProof/>
              </w:rPr>
              <w:t>3.2</w:t>
            </w:r>
            <w:r>
              <w:rPr>
                <w:rFonts w:asciiTheme="minorHAnsi" w:hAnsiTheme="minorHAnsi" w:eastAsiaTheme="minorEastAsia" w:cstheme="minorBidi"/>
                <w:noProof/>
                <w:sz w:val="22"/>
                <w:szCs w:val="22"/>
              </w:rPr>
              <w:tab/>
            </w:r>
            <w:r w:rsidRPr="007F2417">
              <w:rPr>
                <w:rStyle w:val="Hyperlink"/>
                <w:rFonts w:eastAsiaTheme="minorHAnsi"/>
                <w:noProof/>
              </w:rPr>
              <w:t>Party Comments</w:t>
            </w:r>
            <w:r>
              <w:rPr>
                <w:noProof/>
                <w:webHidden/>
              </w:rPr>
              <w:tab/>
            </w:r>
            <w:r>
              <w:rPr>
                <w:noProof/>
                <w:webHidden/>
              </w:rPr>
              <w:fldChar w:fldCharType="begin"/>
            </w:r>
            <w:r>
              <w:rPr>
                <w:noProof/>
                <w:webHidden/>
              </w:rPr>
              <w:instrText xml:space="preserve"> PAGEREF _Toc87361197 \h </w:instrText>
            </w:r>
            <w:r>
              <w:rPr>
                <w:noProof/>
                <w:webHidden/>
              </w:rPr>
            </w:r>
            <w:r>
              <w:rPr>
                <w:noProof/>
                <w:webHidden/>
              </w:rPr>
              <w:fldChar w:fldCharType="separate"/>
            </w:r>
            <w:r>
              <w:rPr>
                <w:noProof/>
                <w:webHidden/>
              </w:rPr>
              <w:t>76</w:t>
            </w:r>
            <w:r>
              <w:rPr>
                <w:noProof/>
                <w:webHidden/>
              </w:rPr>
              <w:fldChar w:fldCharType="end"/>
            </w:r>
          </w:hyperlink>
        </w:p>
        <w:p w:rsidR="00C602B4" w:rsidRDefault="00C602B4" w14:paraId="02E5CA4B" w14:textId="50D26B5D">
          <w:pPr>
            <w:pStyle w:val="TOC5"/>
            <w:tabs>
              <w:tab w:val="left" w:pos="2160"/>
              <w:tab w:val="right" w:leader="dot" w:pos="9350"/>
            </w:tabs>
            <w:rPr>
              <w:rFonts w:asciiTheme="minorHAnsi" w:hAnsiTheme="minorHAnsi" w:eastAsiaTheme="minorEastAsia" w:cstheme="minorBidi"/>
              <w:noProof/>
              <w:sz w:val="22"/>
              <w:szCs w:val="22"/>
            </w:rPr>
          </w:pPr>
          <w:hyperlink w:history="1" w:anchor="_Toc87361198">
            <w:r w:rsidRPr="007F2417">
              <w:rPr>
                <w:rStyle w:val="Hyperlink"/>
                <w:rFonts w:eastAsiaTheme="majorEastAsia"/>
                <w:noProof/>
              </w:rPr>
              <w:t>10.5.2.</w:t>
            </w:r>
            <w:r w:rsidRPr="007F2417">
              <w:rPr>
                <w:rStyle w:val="Hyperlink"/>
                <w:rFonts w:eastAsiaTheme="minorHAnsi"/>
                <w:noProof/>
              </w:rPr>
              <w:t>3.3</w:t>
            </w:r>
            <w:r>
              <w:rPr>
                <w:rFonts w:asciiTheme="minorHAnsi" w:hAnsiTheme="minorHAnsi" w:eastAsiaTheme="minorEastAsia" w:cstheme="minorBidi"/>
                <w:noProof/>
                <w:sz w:val="22"/>
                <w:szCs w:val="22"/>
              </w:rPr>
              <w:tab/>
            </w:r>
            <w:r w:rsidRPr="007F2417">
              <w:rPr>
                <w:rStyle w:val="Hyperlink"/>
                <w:rFonts w:eastAsiaTheme="minorHAnsi"/>
                <w:noProof/>
              </w:rPr>
              <w:t>Discussion</w:t>
            </w:r>
            <w:r>
              <w:rPr>
                <w:noProof/>
                <w:webHidden/>
              </w:rPr>
              <w:tab/>
            </w:r>
            <w:r>
              <w:rPr>
                <w:noProof/>
                <w:webHidden/>
              </w:rPr>
              <w:fldChar w:fldCharType="begin"/>
            </w:r>
            <w:r>
              <w:rPr>
                <w:noProof/>
                <w:webHidden/>
              </w:rPr>
              <w:instrText xml:space="preserve"> PAGEREF _Toc87361198 \h </w:instrText>
            </w:r>
            <w:r>
              <w:rPr>
                <w:noProof/>
                <w:webHidden/>
              </w:rPr>
            </w:r>
            <w:r>
              <w:rPr>
                <w:noProof/>
                <w:webHidden/>
              </w:rPr>
              <w:fldChar w:fldCharType="separate"/>
            </w:r>
            <w:r>
              <w:rPr>
                <w:noProof/>
                <w:webHidden/>
              </w:rPr>
              <w:t>78</w:t>
            </w:r>
            <w:r>
              <w:rPr>
                <w:noProof/>
                <w:webHidden/>
              </w:rPr>
              <w:fldChar w:fldCharType="end"/>
            </w:r>
          </w:hyperlink>
        </w:p>
        <w:p w:rsidR="00C602B4" w:rsidRDefault="00C602B4" w14:paraId="448E4E60" w14:textId="74AFDBEE">
          <w:pPr>
            <w:pStyle w:val="TOC3"/>
            <w:tabs>
              <w:tab w:val="left" w:pos="1728"/>
              <w:tab w:val="right" w:leader="dot" w:pos="9350"/>
            </w:tabs>
            <w:rPr>
              <w:rFonts w:asciiTheme="minorHAnsi" w:hAnsiTheme="minorHAnsi" w:cstheme="minorBidi"/>
              <w:noProof/>
              <w:sz w:val="22"/>
              <w:szCs w:val="22"/>
            </w:rPr>
          </w:pPr>
          <w:hyperlink w:history="1" w:anchor="_Toc87361199">
            <w:r w:rsidRPr="007F2417">
              <w:rPr>
                <w:rStyle w:val="Hyperlink"/>
                <w:noProof/>
              </w:rPr>
              <w:t>10.5.3</w:t>
            </w:r>
            <w:r>
              <w:rPr>
                <w:rFonts w:asciiTheme="minorHAnsi" w:hAnsiTheme="minorHAnsi" w:cstheme="minorBidi"/>
                <w:noProof/>
                <w:sz w:val="22"/>
                <w:szCs w:val="22"/>
              </w:rPr>
              <w:tab/>
            </w:r>
            <w:r w:rsidRPr="007F2417">
              <w:rPr>
                <w:rStyle w:val="Hyperlink"/>
                <w:noProof/>
              </w:rPr>
              <w:t>Electricity Related SOMs (#s 3.1 – 3.15)</w:t>
            </w:r>
            <w:r>
              <w:rPr>
                <w:noProof/>
                <w:webHidden/>
              </w:rPr>
              <w:tab/>
            </w:r>
            <w:r>
              <w:rPr>
                <w:noProof/>
                <w:webHidden/>
              </w:rPr>
              <w:fldChar w:fldCharType="begin"/>
            </w:r>
            <w:r>
              <w:rPr>
                <w:noProof/>
                <w:webHidden/>
              </w:rPr>
              <w:instrText xml:space="preserve"> PAGEREF _Toc87361199 \h </w:instrText>
            </w:r>
            <w:r>
              <w:rPr>
                <w:noProof/>
                <w:webHidden/>
              </w:rPr>
            </w:r>
            <w:r>
              <w:rPr>
                <w:noProof/>
                <w:webHidden/>
              </w:rPr>
              <w:fldChar w:fldCharType="separate"/>
            </w:r>
            <w:r>
              <w:rPr>
                <w:noProof/>
                <w:webHidden/>
              </w:rPr>
              <w:t>80</w:t>
            </w:r>
            <w:r>
              <w:rPr>
                <w:noProof/>
                <w:webHidden/>
              </w:rPr>
              <w:fldChar w:fldCharType="end"/>
            </w:r>
          </w:hyperlink>
        </w:p>
        <w:p w:rsidR="00C602B4" w:rsidRDefault="00C602B4" w14:paraId="22619C62" w14:textId="7F538190">
          <w:pPr>
            <w:pStyle w:val="TOC4"/>
            <w:tabs>
              <w:tab w:val="left" w:pos="1728"/>
              <w:tab w:val="right" w:leader="dot" w:pos="9350"/>
            </w:tabs>
            <w:rPr>
              <w:rFonts w:asciiTheme="minorHAnsi" w:hAnsiTheme="minorHAnsi" w:eastAsiaTheme="minorEastAsia" w:cstheme="minorBidi"/>
              <w:noProof/>
              <w:sz w:val="22"/>
              <w:szCs w:val="22"/>
            </w:rPr>
          </w:pPr>
          <w:hyperlink w:history="1" w:anchor="_Toc87361200">
            <w:r w:rsidRPr="007F2417">
              <w:rPr>
                <w:rStyle w:val="Hyperlink"/>
                <w:rFonts w:eastAsiaTheme="majorEastAsia"/>
                <w:noProof/>
              </w:rPr>
              <w:t>10.5.3.1</w:t>
            </w:r>
            <w:r>
              <w:rPr>
                <w:rFonts w:asciiTheme="minorHAnsi" w:hAnsiTheme="minorHAnsi" w:eastAsiaTheme="minorEastAsia" w:cstheme="minorBidi"/>
                <w:noProof/>
                <w:sz w:val="22"/>
                <w:szCs w:val="22"/>
              </w:rPr>
              <w:tab/>
            </w:r>
            <w:r w:rsidRPr="007F2417">
              <w:rPr>
                <w:rStyle w:val="Hyperlink"/>
                <w:rFonts w:eastAsiaTheme="majorEastAsia"/>
                <w:noProof/>
              </w:rPr>
              <w:t>SOMs Related to Wires Down Events (#s 3.1 – 3.3)</w:t>
            </w:r>
            <w:r>
              <w:rPr>
                <w:noProof/>
                <w:webHidden/>
              </w:rPr>
              <w:tab/>
            </w:r>
            <w:r>
              <w:rPr>
                <w:noProof/>
                <w:webHidden/>
              </w:rPr>
              <w:fldChar w:fldCharType="begin"/>
            </w:r>
            <w:r>
              <w:rPr>
                <w:noProof/>
                <w:webHidden/>
              </w:rPr>
              <w:instrText xml:space="preserve"> PAGEREF _Toc87361200 \h </w:instrText>
            </w:r>
            <w:r>
              <w:rPr>
                <w:noProof/>
                <w:webHidden/>
              </w:rPr>
            </w:r>
            <w:r>
              <w:rPr>
                <w:noProof/>
                <w:webHidden/>
              </w:rPr>
              <w:fldChar w:fldCharType="separate"/>
            </w:r>
            <w:r>
              <w:rPr>
                <w:noProof/>
                <w:webHidden/>
              </w:rPr>
              <w:t>81</w:t>
            </w:r>
            <w:r>
              <w:rPr>
                <w:noProof/>
                <w:webHidden/>
              </w:rPr>
              <w:fldChar w:fldCharType="end"/>
            </w:r>
          </w:hyperlink>
        </w:p>
        <w:p w:rsidR="00C602B4" w:rsidRDefault="00C602B4" w14:paraId="15B92E7A" w14:textId="0F772FE3">
          <w:pPr>
            <w:pStyle w:val="TOC5"/>
            <w:tabs>
              <w:tab w:val="left" w:pos="2160"/>
              <w:tab w:val="right" w:leader="dot" w:pos="9350"/>
            </w:tabs>
            <w:rPr>
              <w:rFonts w:asciiTheme="minorHAnsi" w:hAnsiTheme="minorHAnsi" w:eastAsiaTheme="minorEastAsia" w:cstheme="minorBidi"/>
              <w:noProof/>
              <w:sz w:val="22"/>
              <w:szCs w:val="22"/>
            </w:rPr>
          </w:pPr>
          <w:hyperlink w:history="1" w:anchor="_Toc87361201">
            <w:r w:rsidRPr="007F2417">
              <w:rPr>
                <w:rStyle w:val="Hyperlink"/>
                <w:rFonts w:eastAsiaTheme="majorEastAsia"/>
                <w:noProof/>
              </w:rPr>
              <w:t>10.5.3.1.1</w:t>
            </w:r>
            <w:r>
              <w:rPr>
                <w:rFonts w:asciiTheme="minorHAnsi" w:hAnsiTheme="minorHAnsi" w:eastAsiaTheme="minorEastAsia" w:cstheme="minorBidi"/>
                <w:noProof/>
                <w:sz w:val="22"/>
                <w:szCs w:val="22"/>
              </w:rPr>
              <w:tab/>
            </w:r>
            <w:r w:rsidRPr="007F2417">
              <w:rPr>
                <w:rStyle w:val="Hyperlink"/>
                <w:rFonts w:eastAsiaTheme="majorEastAsia"/>
                <w:noProof/>
              </w:rPr>
              <w:t>Staff Proposal</w:t>
            </w:r>
            <w:r>
              <w:rPr>
                <w:noProof/>
                <w:webHidden/>
              </w:rPr>
              <w:tab/>
            </w:r>
            <w:r>
              <w:rPr>
                <w:noProof/>
                <w:webHidden/>
              </w:rPr>
              <w:fldChar w:fldCharType="begin"/>
            </w:r>
            <w:r>
              <w:rPr>
                <w:noProof/>
                <w:webHidden/>
              </w:rPr>
              <w:instrText xml:space="preserve"> PAGEREF _Toc87361201 \h </w:instrText>
            </w:r>
            <w:r>
              <w:rPr>
                <w:noProof/>
                <w:webHidden/>
              </w:rPr>
            </w:r>
            <w:r>
              <w:rPr>
                <w:noProof/>
                <w:webHidden/>
              </w:rPr>
              <w:fldChar w:fldCharType="separate"/>
            </w:r>
            <w:r>
              <w:rPr>
                <w:noProof/>
                <w:webHidden/>
              </w:rPr>
              <w:t>81</w:t>
            </w:r>
            <w:r>
              <w:rPr>
                <w:noProof/>
                <w:webHidden/>
              </w:rPr>
              <w:fldChar w:fldCharType="end"/>
            </w:r>
          </w:hyperlink>
        </w:p>
        <w:p w:rsidR="00C602B4" w:rsidRDefault="00C602B4" w14:paraId="7C38ADBF" w14:textId="0885185B">
          <w:pPr>
            <w:pStyle w:val="TOC5"/>
            <w:tabs>
              <w:tab w:val="left" w:pos="2160"/>
              <w:tab w:val="right" w:leader="dot" w:pos="9350"/>
            </w:tabs>
            <w:rPr>
              <w:rFonts w:asciiTheme="minorHAnsi" w:hAnsiTheme="minorHAnsi" w:eastAsiaTheme="minorEastAsia" w:cstheme="minorBidi"/>
              <w:noProof/>
              <w:sz w:val="22"/>
              <w:szCs w:val="22"/>
            </w:rPr>
          </w:pPr>
          <w:hyperlink w:history="1" w:anchor="_Toc87361202">
            <w:r w:rsidRPr="007F2417">
              <w:rPr>
                <w:rStyle w:val="Hyperlink"/>
                <w:rFonts w:eastAsiaTheme="majorEastAsia"/>
                <w:noProof/>
              </w:rPr>
              <w:t>10.5.3.1.2</w:t>
            </w:r>
            <w:r>
              <w:rPr>
                <w:rFonts w:asciiTheme="minorHAnsi" w:hAnsiTheme="minorHAnsi" w:eastAsiaTheme="minorEastAsia" w:cstheme="minorBidi"/>
                <w:noProof/>
                <w:sz w:val="22"/>
                <w:szCs w:val="22"/>
              </w:rPr>
              <w:tab/>
            </w:r>
            <w:r w:rsidRPr="007F2417">
              <w:rPr>
                <w:rStyle w:val="Hyperlink"/>
                <w:rFonts w:eastAsiaTheme="majorEastAsia"/>
                <w:noProof/>
              </w:rPr>
              <w:t>Party Comments</w:t>
            </w:r>
            <w:r>
              <w:rPr>
                <w:noProof/>
                <w:webHidden/>
              </w:rPr>
              <w:tab/>
            </w:r>
            <w:r>
              <w:rPr>
                <w:noProof/>
                <w:webHidden/>
              </w:rPr>
              <w:fldChar w:fldCharType="begin"/>
            </w:r>
            <w:r>
              <w:rPr>
                <w:noProof/>
                <w:webHidden/>
              </w:rPr>
              <w:instrText xml:space="preserve"> PAGEREF _Toc87361202 \h </w:instrText>
            </w:r>
            <w:r>
              <w:rPr>
                <w:noProof/>
                <w:webHidden/>
              </w:rPr>
            </w:r>
            <w:r>
              <w:rPr>
                <w:noProof/>
                <w:webHidden/>
              </w:rPr>
              <w:fldChar w:fldCharType="separate"/>
            </w:r>
            <w:r>
              <w:rPr>
                <w:noProof/>
                <w:webHidden/>
              </w:rPr>
              <w:t>83</w:t>
            </w:r>
            <w:r>
              <w:rPr>
                <w:noProof/>
                <w:webHidden/>
              </w:rPr>
              <w:fldChar w:fldCharType="end"/>
            </w:r>
          </w:hyperlink>
        </w:p>
        <w:p w:rsidR="00C602B4" w:rsidRDefault="00C602B4" w14:paraId="256E77C4" w14:textId="007AC2D8">
          <w:pPr>
            <w:pStyle w:val="TOC5"/>
            <w:tabs>
              <w:tab w:val="left" w:pos="2160"/>
              <w:tab w:val="right" w:leader="dot" w:pos="9350"/>
            </w:tabs>
            <w:rPr>
              <w:rFonts w:asciiTheme="minorHAnsi" w:hAnsiTheme="minorHAnsi" w:eastAsiaTheme="minorEastAsia" w:cstheme="minorBidi"/>
              <w:noProof/>
              <w:sz w:val="22"/>
              <w:szCs w:val="22"/>
            </w:rPr>
          </w:pPr>
          <w:hyperlink w:history="1" w:anchor="_Toc87361203">
            <w:r w:rsidRPr="007F2417">
              <w:rPr>
                <w:rStyle w:val="Hyperlink"/>
                <w:rFonts w:eastAsiaTheme="majorEastAsia"/>
                <w:noProof/>
              </w:rPr>
              <w:t>10.5.3.1.3</w:t>
            </w:r>
            <w:r>
              <w:rPr>
                <w:rFonts w:asciiTheme="minorHAnsi" w:hAnsiTheme="minorHAnsi" w:eastAsiaTheme="minorEastAsia" w:cstheme="minorBidi"/>
                <w:noProof/>
                <w:sz w:val="22"/>
                <w:szCs w:val="22"/>
              </w:rPr>
              <w:tab/>
            </w:r>
            <w:r w:rsidRPr="007F2417">
              <w:rPr>
                <w:rStyle w:val="Hyperlink"/>
                <w:rFonts w:eastAsiaTheme="majorEastAsia"/>
                <w:noProof/>
              </w:rPr>
              <w:t>Discussion</w:t>
            </w:r>
            <w:r>
              <w:rPr>
                <w:noProof/>
                <w:webHidden/>
              </w:rPr>
              <w:tab/>
            </w:r>
            <w:r>
              <w:rPr>
                <w:noProof/>
                <w:webHidden/>
              </w:rPr>
              <w:fldChar w:fldCharType="begin"/>
            </w:r>
            <w:r>
              <w:rPr>
                <w:noProof/>
                <w:webHidden/>
              </w:rPr>
              <w:instrText xml:space="preserve"> PAGEREF _Toc87361203 \h </w:instrText>
            </w:r>
            <w:r>
              <w:rPr>
                <w:noProof/>
                <w:webHidden/>
              </w:rPr>
            </w:r>
            <w:r>
              <w:rPr>
                <w:noProof/>
                <w:webHidden/>
              </w:rPr>
              <w:fldChar w:fldCharType="separate"/>
            </w:r>
            <w:r>
              <w:rPr>
                <w:noProof/>
                <w:webHidden/>
              </w:rPr>
              <w:t>84</w:t>
            </w:r>
            <w:r>
              <w:rPr>
                <w:noProof/>
                <w:webHidden/>
              </w:rPr>
              <w:fldChar w:fldCharType="end"/>
            </w:r>
          </w:hyperlink>
        </w:p>
        <w:p w:rsidR="00C602B4" w:rsidRDefault="00C602B4" w14:paraId="19F56BF4" w14:textId="3032AB2D">
          <w:pPr>
            <w:pStyle w:val="TOC4"/>
            <w:tabs>
              <w:tab w:val="left" w:pos="1728"/>
              <w:tab w:val="right" w:leader="dot" w:pos="9350"/>
            </w:tabs>
            <w:rPr>
              <w:rFonts w:asciiTheme="minorHAnsi" w:hAnsiTheme="minorHAnsi" w:eastAsiaTheme="minorEastAsia" w:cstheme="minorBidi"/>
              <w:noProof/>
              <w:sz w:val="22"/>
              <w:szCs w:val="22"/>
            </w:rPr>
          </w:pPr>
          <w:hyperlink w:history="1" w:anchor="_Toc87361204">
            <w:r w:rsidRPr="007F2417">
              <w:rPr>
                <w:rStyle w:val="Hyperlink"/>
                <w:rFonts w:eastAsiaTheme="majorEastAsia"/>
                <w:noProof/>
              </w:rPr>
              <w:t>10.5.3.2</w:t>
            </w:r>
            <w:r>
              <w:rPr>
                <w:rFonts w:asciiTheme="minorHAnsi" w:hAnsiTheme="minorHAnsi" w:eastAsiaTheme="minorEastAsia" w:cstheme="minorBidi"/>
                <w:noProof/>
                <w:sz w:val="22"/>
                <w:szCs w:val="22"/>
              </w:rPr>
              <w:tab/>
            </w:r>
            <w:r w:rsidRPr="007F2417">
              <w:rPr>
                <w:rStyle w:val="Hyperlink"/>
                <w:rFonts w:eastAsiaTheme="majorEastAsia"/>
                <w:noProof/>
              </w:rPr>
              <w:t>SOMs Related to Patrols, Inspections and Compliance (#s 3.4 – 3.11)</w:t>
            </w:r>
            <w:r>
              <w:rPr>
                <w:noProof/>
                <w:webHidden/>
              </w:rPr>
              <w:tab/>
            </w:r>
            <w:r>
              <w:rPr>
                <w:noProof/>
                <w:webHidden/>
              </w:rPr>
              <w:fldChar w:fldCharType="begin"/>
            </w:r>
            <w:r>
              <w:rPr>
                <w:noProof/>
                <w:webHidden/>
              </w:rPr>
              <w:instrText xml:space="preserve"> PAGEREF _Toc87361204 \h </w:instrText>
            </w:r>
            <w:r>
              <w:rPr>
                <w:noProof/>
                <w:webHidden/>
              </w:rPr>
            </w:r>
            <w:r>
              <w:rPr>
                <w:noProof/>
                <w:webHidden/>
              </w:rPr>
              <w:fldChar w:fldCharType="separate"/>
            </w:r>
            <w:r>
              <w:rPr>
                <w:noProof/>
                <w:webHidden/>
              </w:rPr>
              <w:t>86</w:t>
            </w:r>
            <w:r>
              <w:rPr>
                <w:noProof/>
                <w:webHidden/>
              </w:rPr>
              <w:fldChar w:fldCharType="end"/>
            </w:r>
          </w:hyperlink>
        </w:p>
        <w:p w:rsidR="00C602B4" w:rsidRDefault="00C602B4" w14:paraId="773B29A2" w14:textId="0C2FA18F">
          <w:pPr>
            <w:pStyle w:val="TOC5"/>
            <w:tabs>
              <w:tab w:val="left" w:pos="2160"/>
              <w:tab w:val="right" w:leader="dot" w:pos="9350"/>
            </w:tabs>
            <w:rPr>
              <w:rFonts w:asciiTheme="minorHAnsi" w:hAnsiTheme="minorHAnsi" w:eastAsiaTheme="minorEastAsia" w:cstheme="minorBidi"/>
              <w:noProof/>
              <w:sz w:val="22"/>
              <w:szCs w:val="22"/>
            </w:rPr>
          </w:pPr>
          <w:hyperlink w:history="1" w:anchor="_Toc87361205">
            <w:r w:rsidRPr="007F2417">
              <w:rPr>
                <w:rStyle w:val="Hyperlink"/>
                <w:rFonts w:eastAsiaTheme="majorEastAsia"/>
                <w:noProof/>
              </w:rPr>
              <w:t>10.5.3.2.1</w:t>
            </w:r>
            <w:r>
              <w:rPr>
                <w:rFonts w:asciiTheme="minorHAnsi" w:hAnsiTheme="minorHAnsi" w:eastAsiaTheme="minorEastAsia" w:cstheme="minorBidi"/>
                <w:noProof/>
                <w:sz w:val="22"/>
                <w:szCs w:val="22"/>
              </w:rPr>
              <w:tab/>
            </w:r>
            <w:r w:rsidRPr="007F2417">
              <w:rPr>
                <w:rStyle w:val="Hyperlink"/>
                <w:rFonts w:eastAsiaTheme="majorEastAsia"/>
                <w:noProof/>
              </w:rPr>
              <w:t>Staff Proposal</w:t>
            </w:r>
            <w:r>
              <w:rPr>
                <w:noProof/>
                <w:webHidden/>
              </w:rPr>
              <w:tab/>
            </w:r>
            <w:r>
              <w:rPr>
                <w:noProof/>
                <w:webHidden/>
              </w:rPr>
              <w:fldChar w:fldCharType="begin"/>
            </w:r>
            <w:r>
              <w:rPr>
                <w:noProof/>
                <w:webHidden/>
              </w:rPr>
              <w:instrText xml:space="preserve"> PAGEREF _Toc87361205 \h </w:instrText>
            </w:r>
            <w:r>
              <w:rPr>
                <w:noProof/>
                <w:webHidden/>
              </w:rPr>
            </w:r>
            <w:r>
              <w:rPr>
                <w:noProof/>
                <w:webHidden/>
              </w:rPr>
              <w:fldChar w:fldCharType="separate"/>
            </w:r>
            <w:r>
              <w:rPr>
                <w:noProof/>
                <w:webHidden/>
              </w:rPr>
              <w:t>86</w:t>
            </w:r>
            <w:r>
              <w:rPr>
                <w:noProof/>
                <w:webHidden/>
              </w:rPr>
              <w:fldChar w:fldCharType="end"/>
            </w:r>
          </w:hyperlink>
        </w:p>
        <w:p w:rsidR="00C602B4" w:rsidRDefault="00C602B4" w14:paraId="33B91C52" w14:textId="6A7D74F7">
          <w:pPr>
            <w:pStyle w:val="TOC5"/>
            <w:tabs>
              <w:tab w:val="left" w:pos="2160"/>
              <w:tab w:val="right" w:leader="dot" w:pos="9350"/>
            </w:tabs>
            <w:rPr>
              <w:rFonts w:asciiTheme="minorHAnsi" w:hAnsiTheme="minorHAnsi" w:eastAsiaTheme="minorEastAsia" w:cstheme="minorBidi"/>
              <w:noProof/>
              <w:sz w:val="22"/>
              <w:szCs w:val="22"/>
            </w:rPr>
          </w:pPr>
          <w:hyperlink w:history="1" w:anchor="_Toc87361206">
            <w:r w:rsidRPr="007F2417">
              <w:rPr>
                <w:rStyle w:val="Hyperlink"/>
                <w:rFonts w:eastAsiaTheme="majorEastAsia"/>
                <w:noProof/>
              </w:rPr>
              <w:t>10.5.3.2.2</w:t>
            </w:r>
            <w:r>
              <w:rPr>
                <w:rFonts w:asciiTheme="minorHAnsi" w:hAnsiTheme="minorHAnsi" w:eastAsiaTheme="minorEastAsia" w:cstheme="minorBidi"/>
                <w:noProof/>
                <w:sz w:val="22"/>
                <w:szCs w:val="22"/>
              </w:rPr>
              <w:tab/>
            </w:r>
            <w:r w:rsidRPr="007F2417">
              <w:rPr>
                <w:rStyle w:val="Hyperlink"/>
                <w:rFonts w:eastAsiaTheme="majorEastAsia"/>
                <w:noProof/>
              </w:rPr>
              <w:t>Party Comments</w:t>
            </w:r>
            <w:r>
              <w:rPr>
                <w:noProof/>
                <w:webHidden/>
              </w:rPr>
              <w:tab/>
            </w:r>
            <w:r>
              <w:rPr>
                <w:noProof/>
                <w:webHidden/>
              </w:rPr>
              <w:fldChar w:fldCharType="begin"/>
            </w:r>
            <w:r>
              <w:rPr>
                <w:noProof/>
                <w:webHidden/>
              </w:rPr>
              <w:instrText xml:space="preserve"> PAGEREF _Toc87361206 \h </w:instrText>
            </w:r>
            <w:r>
              <w:rPr>
                <w:noProof/>
                <w:webHidden/>
              </w:rPr>
            </w:r>
            <w:r>
              <w:rPr>
                <w:noProof/>
                <w:webHidden/>
              </w:rPr>
              <w:fldChar w:fldCharType="separate"/>
            </w:r>
            <w:r>
              <w:rPr>
                <w:noProof/>
                <w:webHidden/>
              </w:rPr>
              <w:t>88</w:t>
            </w:r>
            <w:r>
              <w:rPr>
                <w:noProof/>
                <w:webHidden/>
              </w:rPr>
              <w:fldChar w:fldCharType="end"/>
            </w:r>
          </w:hyperlink>
        </w:p>
        <w:p w:rsidR="00C602B4" w:rsidRDefault="00C602B4" w14:paraId="5F8041FD" w14:textId="1B151852">
          <w:pPr>
            <w:pStyle w:val="TOC5"/>
            <w:tabs>
              <w:tab w:val="left" w:pos="2160"/>
              <w:tab w:val="right" w:leader="dot" w:pos="9350"/>
            </w:tabs>
            <w:rPr>
              <w:rFonts w:asciiTheme="minorHAnsi" w:hAnsiTheme="minorHAnsi" w:eastAsiaTheme="minorEastAsia" w:cstheme="minorBidi"/>
              <w:noProof/>
              <w:sz w:val="22"/>
              <w:szCs w:val="22"/>
            </w:rPr>
          </w:pPr>
          <w:hyperlink w:history="1" w:anchor="_Toc87361207">
            <w:r w:rsidRPr="007F2417">
              <w:rPr>
                <w:rStyle w:val="Hyperlink"/>
                <w:rFonts w:eastAsiaTheme="majorEastAsia"/>
                <w:noProof/>
              </w:rPr>
              <w:t>10.5.3.2.3</w:t>
            </w:r>
            <w:r>
              <w:rPr>
                <w:rFonts w:asciiTheme="minorHAnsi" w:hAnsiTheme="minorHAnsi" w:eastAsiaTheme="minorEastAsia" w:cstheme="minorBidi"/>
                <w:noProof/>
                <w:sz w:val="22"/>
                <w:szCs w:val="22"/>
              </w:rPr>
              <w:tab/>
            </w:r>
            <w:r w:rsidRPr="007F2417">
              <w:rPr>
                <w:rStyle w:val="Hyperlink"/>
                <w:rFonts w:eastAsiaTheme="majorEastAsia"/>
                <w:noProof/>
              </w:rPr>
              <w:t>Discussion</w:t>
            </w:r>
            <w:r>
              <w:rPr>
                <w:noProof/>
                <w:webHidden/>
              </w:rPr>
              <w:tab/>
            </w:r>
            <w:r>
              <w:rPr>
                <w:noProof/>
                <w:webHidden/>
              </w:rPr>
              <w:fldChar w:fldCharType="begin"/>
            </w:r>
            <w:r>
              <w:rPr>
                <w:noProof/>
                <w:webHidden/>
              </w:rPr>
              <w:instrText xml:space="preserve"> PAGEREF _Toc87361207 \h </w:instrText>
            </w:r>
            <w:r>
              <w:rPr>
                <w:noProof/>
                <w:webHidden/>
              </w:rPr>
            </w:r>
            <w:r>
              <w:rPr>
                <w:noProof/>
                <w:webHidden/>
              </w:rPr>
              <w:fldChar w:fldCharType="separate"/>
            </w:r>
            <w:r>
              <w:rPr>
                <w:noProof/>
                <w:webHidden/>
              </w:rPr>
              <w:t>89</w:t>
            </w:r>
            <w:r>
              <w:rPr>
                <w:noProof/>
                <w:webHidden/>
              </w:rPr>
              <w:fldChar w:fldCharType="end"/>
            </w:r>
          </w:hyperlink>
        </w:p>
        <w:p w:rsidR="00C602B4" w:rsidRDefault="00C602B4" w14:paraId="56707CB2" w14:textId="616A4DF9">
          <w:pPr>
            <w:pStyle w:val="TOC4"/>
            <w:tabs>
              <w:tab w:val="left" w:pos="1728"/>
              <w:tab w:val="right" w:leader="dot" w:pos="9350"/>
            </w:tabs>
            <w:rPr>
              <w:rFonts w:asciiTheme="minorHAnsi" w:hAnsiTheme="minorHAnsi" w:eastAsiaTheme="minorEastAsia" w:cstheme="minorBidi"/>
              <w:noProof/>
              <w:sz w:val="22"/>
              <w:szCs w:val="22"/>
            </w:rPr>
          </w:pPr>
          <w:hyperlink w:history="1" w:anchor="_Toc87361208">
            <w:r w:rsidRPr="007F2417">
              <w:rPr>
                <w:rStyle w:val="Hyperlink"/>
                <w:rFonts w:eastAsiaTheme="majorEastAsia"/>
                <w:noProof/>
              </w:rPr>
              <w:t>10.5.3.3</w:t>
            </w:r>
            <w:r>
              <w:rPr>
                <w:rFonts w:asciiTheme="minorHAnsi" w:hAnsiTheme="minorHAnsi" w:eastAsiaTheme="minorEastAsia" w:cstheme="minorBidi"/>
                <w:noProof/>
                <w:sz w:val="22"/>
                <w:szCs w:val="22"/>
              </w:rPr>
              <w:tab/>
            </w:r>
            <w:r w:rsidRPr="007F2417">
              <w:rPr>
                <w:rStyle w:val="Hyperlink"/>
                <w:rFonts w:eastAsiaTheme="majorEastAsia"/>
                <w:noProof/>
              </w:rPr>
              <w:t>SOMs Related to Ignitions  and Wildfires (#s 3.12 – 3.15)</w:t>
            </w:r>
            <w:r>
              <w:rPr>
                <w:noProof/>
                <w:webHidden/>
              </w:rPr>
              <w:tab/>
            </w:r>
            <w:r>
              <w:rPr>
                <w:noProof/>
                <w:webHidden/>
              </w:rPr>
              <w:fldChar w:fldCharType="begin"/>
            </w:r>
            <w:r>
              <w:rPr>
                <w:noProof/>
                <w:webHidden/>
              </w:rPr>
              <w:instrText xml:space="preserve"> PAGEREF _Toc87361208 \h </w:instrText>
            </w:r>
            <w:r>
              <w:rPr>
                <w:noProof/>
                <w:webHidden/>
              </w:rPr>
            </w:r>
            <w:r>
              <w:rPr>
                <w:noProof/>
                <w:webHidden/>
              </w:rPr>
              <w:fldChar w:fldCharType="separate"/>
            </w:r>
            <w:r>
              <w:rPr>
                <w:noProof/>
                <w:webHidden/>
              </w:rPr>
              <w:t>91</w:t>
            </w:r>
            <w:r>
              <w:rPr>
                <w:noProof/>
                <w:webHidden/>
              </w:rPr>
              <w:fldChar w:fldCharType="end"/>
            </w:r>
          </w:hyperlink>
        </w:p>
        <w:p w:rsidR="00C602B4" w:rsidRDefault="00C602B4" w14:paraId="346CA72F" w14:textId="3B060144">
          <w:pPr>
            <w:pStyle w:val="TOC5"/>
            <w:tabs>
              <w:tab w:val="left" w:pos="2160"/>
              <w:tab w:val="right" w:leader="dot" w:pos="9350"/>
            </w:tabs>
            <w:rPr>
              <w:rFonts w:asciiTheme="minorHAnsi" w:hAnsiTheme="minorHAnsi" w:eastAsiaTheme="minorEastAsia" w:cstheme="minorBidi"/>
              <w:noProof/>
              <w:sz w:val="22"/>
              <w:szCs w:val="22"/>
            </w:rPr>
          </w:pPr>
          <w:hyperlink w:history="1" w:anchor="_Toc87361209">
            <w:r w:rsidRPr="007F2417">
              <w:rPr>
                <w:rStyle w:val="Hyperlink"/>
                <w:rFonts w:eastAsiaTheme="majorEastAsia"/>
                <w:noProof/>
              </w:rPr>
              <w:t>10.5.3.3.1</w:t>
            </w:r>
            <w:r>
              <w:rPr>
                <w:rFonts w:asciiTheme="minorHAnsi" w:hAnsiTheme="minorHAnsi" w:eastAsiaTheme="minorEastAsia" w:cstheme="minorBidi"/>
                <w:noProof/>
                <w:sz w:val="22"/>
                <w:szCs w:val="22"/>
              </w:rPr>
              <w:tab/>
            </w:r>
            <w:r w:rsidRPr="007F2417">
              <w:rPr>
                <w:rStyle w:val="Hyperlink"/>
                <w:rFonts w:eastAsiaTheme="majorEastAsia"/>
                <w:noProof/>
              </w:rPr>
              <w:t>Staff Proposal</w:t>
            </w:r>
            <w:r>
              <w:rPr>
                <w:noProof/>
                <w:webHidden/>
              </w:rPr>
              <w:tab/>
            </w:r>
            <w:r>
              <w:rPr>
                <w:noProof/>
                <w:webHidden/>
              </w:rPr>
              <w:fldChar w:fldCharType="begin"/>
            </w:r>
            <w:r>
              <w:rPr>
                <w:noProof/>
                <w:webHidden/>
              </w:rPr>
              <w:instrText xml:space="preserve"> PAGEREF _Toc87361209 \h </w:instrText>
            </w:r>
            <w:r>
              <w:rPr>
                <w:noProof/>
                <w:webHidden/>
              </w:rPr>
            </w:r>
            <w:r>
              <w:rPr>
                <w:noProof/>
                <w:webHidden/>
              </w:rPr>
              <w:fldChar w:fldCharType="separate"/>
            </w:r>
            <w:r>
              <w:rPr>
                <w:noProof/>
                <w:webHidden/>
              </w:rPr>
              <w:t>91</w:t>
            </w:r>
            <w:r>
              <w:rPr>
                <w:noProof/>
                <w:webHidden/>
              </w:rPr>
              <w:fldChar w:fldCharType="end"/>
            </w:r>
          </w:hyperlink>
        </w:p>
        <w:p w:rsidR="00C602B4" w:rsidRDefault="00C602B4" w14:paraId="47568CD7" w14:textId="608C421E">
          <w:pPr>
            <w:pStyle w:val="TOC5"/>
            <w:tabs>
              <w:tab w:val="left" w:pos="2160"/>
              <w:tab w:val="right" w:leader="dot" w:pos="9350"/>
            </w:tabs>
            <w:rPr>
              <w:rFonts w:asciiTheme="minorHAnsi" w:hAnsiTheme="minorHAnsi" w:eastAsiaTheme="minorEastAsia" w:cstheme="minorBidi"/>
              <w:noProof/>
              <w:sz w:val="22"/>
              <w:szCs w:val="22"/>
            </w:rPr>
          </w:pPr>
          <w:hyperlink w:history="1" w:anchor="_Toc87361210">
            <w:r w:rsidRPr="007F2417">
              <w:rPr>
                <w:rStyle w:val="Hyperlink"/>
                <w:rFonts w:eastAsiaTheme="majorEastAsia"/>
                <w:noProof/>
              </w:rPr>
              <w:t>10.5.3.3.2</w:t>
            </w:r>
            <w:r>
              <w:rPr>
                <w:rFonts w:asciiTheme="minorHAnsi" w:hAnsiTheme="minorHAnsi" w:eastAsiaTheme="minorEastAsia" w:cstheme="minorBidi"/>
                <w:noProof/>
                <w:sz w:val="22"/>
                <w:szCs w:val="22"/>
              </w:rPr>
              <w:tab/>
            </w:r>
            <w:r w:rsidRPr="007F2417">
              <w:rPr>
                <w:rStyle w:val="Hyperlink"/>
                <w:rFonts w:eastAsiaTheme="majorEastAsia"/>
                <w:noProof/>
              </w:rPr>
              <w:t>Party Comments</w:t>
            </w:r>
            <w:r>
              <w:rPr>
                <w:noProof/>
                <w:webHidden/>
              </w:rPr>
              <w:tab/>
            </w:r>
            <w:r>
              <w:rPr>
                <w:noProof/>
                <w:webHidden/>
              </w:rPr>
              <w:fldChar w:fldCharType="begin"/>
            </w:r>
            <w:r>
              <w:rPr>
                <w:noProof/>
                <w:webHidden/>
              </w:rPr>
              <w:instrText xml:space="preserve"> PAGEREF _Toc87361210 \h </w:instrText>
            </w:r>
            <w:r>
              <w:rPr>
                <w:noProof/>
                <w:webHidden/>
              </w:rPr>
            </w:r>
            <w:r>
              <w:rPr>
                <w:noProof/>
                <w:webHidden/>
              </w:rPr>
              <w:fldChar w:fldCharType="separate"/>
            </w:r>
            <w:r>
              <w:rPr>
                <w:noProof/>
                <w:webHidden/>
              </w:rPr>
              <w:t>93</w:t>
            </w:r>
            <w:r>
              <w:rPr>
                <w:noProof/>
                <w:webHidden/>
              </w:rPr>
              <w:fldChar w:fldCharType="end"/>
            </w:r>
          </w:hyperlink>
        </w:p>
        <w:p w:rsidR="00C602B4" w:rsidRDefault="00C602B4" w14:paraId="5E65FAFB" w14:textId="7337853A">
          <w:pPr>
            <w:pStyle w:val="TOC5"/>
            <w:tabs>
              <w:tab w:val="left" w:pos="2160"/>
              <w:tab w:val="right" w:leader="dot" w:pos="9350"/>
            </w:tabs>
            <w:rPr>
              <w:rFonts w:asciiTheme="minorHAnsi" w:hAnsiTheme="minorHAnsi" w:eastAsiaTheme="minorEastAsia" w:cstheme="minorBidi"/>
              <w:noProof/>
              <w:sz w:val="22"/>
              <w:szCs w:val="22"/>
            </w:rPr>
          </w:pPr>
          <w:hyperlink w:history="1" w:anchor="_Toc87361211">
            <w:r w:rsidRPr="007F2417">
              <w:rPr>
                <w:rStyle w:val="Hyperlink"/>
                <w:rFonts w:eastAsiaTheme="majorEastAsia"/>
                <w:noProof/>
              </w:rPr>
              <w:t>10.5.3.3.3</w:t>
            </w:r>
            <w:r>
              <w:rPr>
                <w:rFonts w:asciiTheme="minorHAnsi" w:hAnsiTheme="minorHAnsi" w:eastAsiaTheme="minorEastAsia" w:cstheme="minorBidi"/>
                <w:noProof/>
                <w:sz w:val="22"/>
                <w:szCs w:val="22"/>
              </w:rPr>
              <w:tab/>
            </w:r>
            <w:r w:rsidRPr="007F2417">
              <w:rPr>
                <w:rStyle w:val="Hyperlink"/>
                <w:rFonts w:eastAsiaTheme="majorEastAsia"/>
                <w:noProof/>
              </w:rPr>
              <w:t>Discussion</w:t>
            </w:r>
            <w:r>
              <w:rPr>
                <w:noProof/>
                <w:webHidden/>
              </w:rPr>
              <w:tab/>
            </w:r>
            <w:r>
              <w:rPr>
                <w:noProof/>
                <w:webHidden/>
              </w:rPr>
              <w:fldChar w:fldCharType="begin"/>
            </w:r>
            <w:r>
              <w:rPr>
                <w:noProof/>
                <w:webHidden/>
              </w:rPr>
              <w:instrText xml:space="preserve"> PAGEREF _Toc87361211 \h </w:instrText>
            </w:r>
            <w:r>
              <w:rPr>
                <w:noProof/>
                <w:webHidden/>
              </w:rPr>
            </w:r>
            <w:r>
              <w:rPr>
                <w:noProof/>
                <w:webHidden/>
              </w:rPr>
              <w:fldChar w:fldCharType="separate"/>
            </w:r>
            <w:r>
              <w:rPr>
                <w:noProof/>
                <w:webHidden/>
              </w:rPr>
              <w:t>93</w:t>
            </w:r>
            <w:r>
              <w:rPr>
                <w:noProof/>
                <w:webHidden/>
              </w:rPr>
              <w:fldChar w:fldCharType="end"/>
            </w:r>
          </w:hyperlink>
        </w:p>
        <w:p w:rsidR="00C602B4" w:rsidRDefault="00C602B4" w14:paraId="095A5816" w14:textId="3C74E292">
          <w:pPr>
            <w:pStyle w:val="TOC3"/>
            <w:tabs>
              <w:tab w:val="left" w:pos="1728"/>
              <w:tab w:val="right" w:leader="dot" w:pos="9350"/>
            </w:tabs>
            <w:rPr>
              <w:rFonts w:asciiTheme="minorHAnsi" w:hAnsiTheme="minorHAnsi" w:cstheme="minorBidi"/>
              <w:noProof/>
              <w:sz w:val="22"/>
              <w:szCs w:val="22"/>
            </w:rPr>
          </w:pPr>
          <w:hyperlink w:history="1" w:anchor="_Toc87361212">
            <w:r w:rsidRPr="007F2417">
              <w:rPr>
                <w:rStyle w:val="Hyperlink"/>
                <w:noProof/>
              </w:rPr>
              <w:t>10.5.4</w:t>
            </w:r>
            <w:r>
              <w:rPr>
                <w:rFonts w:asciiTheme="minorHAnsi" w:hAnsiTheme="minorHAnsi" w:cstheme="minorBidi"/>
                <w:noProof/>
                <w:sz w:val="22"/>
                <w:szCs w:val="22"/>
              </w:rPr>
              <w:tab/>
            </w:r>
            <w:r w:rsidRPr="007F2417">
              <w:rPr>
                <w:rStyle w:val="Hyperlink"/>
                <w:noProof/>
              </w:rPr>
              <w:t>Natural Gas Related SOMs (#s 4.1 – 4.8)</w:t>
            </w:r>
            <w:r>
              <w:rPr>
                <w:noProof/>
                <w:webHidden/>
              </w:rPr>
              <w:tab/>
            </w:r>
            <w:r>
              <w:rPr>
                <w:noProof/>
                <w:webHidden/>
              </w:rPr>
              <w:fldChar w:fldCharType="begin"/>
            </w:r>
            <w:r>
              <w:rPr>
                <w:noProof/>
                <w:webHidden/>
              </w:rPr>
              <w:instrText xml:space="preserve"> PAGEREF _Toc87361212 \h </w:instrText>
            </w:r>
            <w:r>
              <w:rPr>
                <w:noProof/>
                <w:webHidden/>
              </w:rPr>
            </w:r>
            <w:r>
              <w:rPr>
                <w:noProof/>
                <w:webHidden/>
              </w:rPr>
              <w:fldChar w:fldCharType="separate"/>
            </w:r>
            <w:r>
              <w:rPr>
                <w:noProof/>
                <w:webHidden/>
              </w:rPr>
              <w:t>93</w:t>
            </w:r>
            <w:r>
              <w:rPr>
                <w:noProof/>
                <w:webHidden/>
              </w:rPr>
              <w:fldChar w:fldCharType="end"/>
            </w:r>
          </w:hyperlink>
        </w:p>
        <w:p w:rsidR="00C602B4" w:rsidRDefault="00C602B4" w14:paraId="69F202DB" w14:textId="4B64F694">
          <w:pPr>
            <w:pStyle w:val="TOC4"/>
            <w:tabs>
              <w:tab w:val="left" w:pos="1728"/>
              <w:tab w:val="right" w:leader="dot" w:pos="9350"/>
            </w:tabs>
            <w:rPr>
              <w:rFonts w:asciiTheme="minorHAnsi" w:hAnsiTheme="minorHAnsi" w:eastAsiaTheme="minorEastAsia" w:cstheme="minorBidi"/>
              <w:noProof/>
              <w:sz w:val="22"/>
              <w:szCs w:val="22"/>
            </w:rPr>
          </w:pPr>
          <w:hyperlink w:history="1" w:anchor="_Toc87361213">
            <w:r w:rsidRPr="007F2417">
              <w:rPr>
                <w:rStyle w:val="Hyperlink"/>
                <w:rFonts w:eastAsiaTheme="majorEastAsia"/>
                <w:noProof/>
              </w:rPr>
              <w:t>10.5.4.1</w:t>
            </w:r>
            <w:r>
              <w:rPr>
                <w:rFonts w:asciiTheme="minorHAnsi" w:hAnsiTheme="minorHAnsi" w:eastAsiaTheme="minorEastAsia" w:cstheme="minorBidi"/>
                <w:noProof/>
                <w:sz w:val="22"/>
                <w:szCs w:val="22"/>
              </w:rPr>
              <w:tab/>
            </w:r>
            <w:r w:rsidRPr="007F2417">
              <w:rPr>
                <w:rStyle w:val="Hyperlink"/>
                <w:rFonts w:eastAsiaTheme="majorEastAsia"/>
                <w:noProof/>
              </w:rPr>
              <w:t>Party Comments</w:t>
            </w:r>
            <w:r>
              <w:rPr>
                <w:noProof/>
                <w:webHidden/>
              </w:rPr>
              <w:tab/>
            </w:r>
            <w:r>
              <w:rPr>
                <w:noProof/>
                <w:webHidden/>
              </w:rPr>
              <w:fldChar w:fldCharType="begin"/>
            </w:r>
            <w:r>
              <w:rPr>
                <w:noProof/>
                <w:webHidden/>
              </w:rPr>
              <w:instrText xml:space="preserve"> PAGEREF _Toc87361213 \h </w:instrText>
            </w:r>
            <w:r>
              <w:rPr>
                <w:noProof/>
                <w:webHidden/>
              </w:rPr>
            </w:r>
            <w:r>
              <w:rPr>
                <w:noProof/>
                <w:webHidden/>
              </w:rPr>
              <w:fldChar w:fldCharType="separate"/>
            </w:r>
            <w:r>
              <w:rPr>
                <w:noProof/>
                <w:webHidden/>
              </w:rPr>
              <w:t>94</w:t>
            </w:r>
            <w:r>
              <w:rPr>
                <w:noProof/>
                <w:webHidden/>
              </w:rPr>
              <w:fldChar w:fldCharType="end"/>
            </w:r>
          </w:hyperlink>
        </w:p>
        <w:p w:rsidR="00C602B4" w:rsidRDefault="00C602B4" w14:paraId="0464749D" w14:textId="7A555EB4">
          <w:pPr>
            <w:pStyle w:val="TOC4"/>
            <w:tabs>
              <w:tab w:val="left" w:pos="1728"/>
              <w:tab w:val="right" w:leader="dot" w:pos="9350"/>
            </w:tabs>
            <w:rPr>
              <w:rFonts w:asciiTheme="minorHAnsi" w:hAnsiTheme="minorHAnsi" w:eastAsiaTheme="minorEastAsia" w:cstheme="minorBidi"/>
              <w:noProof/>
              <w:sz w:val="22"/>
              <w:szCs w:val="22"/>
            </w:rPr>
          </w:pPr>
          <w:hyperlink w:history="1" w:anchor="_Toc87361214">
            <w:r w:rsidRPr="007F2417">
              <w:rPr>
                <w:rStyle w:val="Hyperlink"/>
                <w:rFonts w:eastAsiaTheme="majorEastAsia"/>
                <w:noProof/>
              </w:rPr>
              <w:t>10.5.4.2</w:t>
            </w:r>
            <w:r>
              <w:rPr>
                <w:rFonts w:asciiTheme="minorHAnsi" w:hAnsiTheme="minorHAnsi" w:eastAsiaTheme="minorEastAsia" w:cstheme="minorBidi"/>
                <w:noProof/>
                <w:sz w:val="22"/>
                <w:szCs w:val="22"/>
              </w:rPr>
              <w:tab/>
            </w:r>
            <w:r w:rsidRPr="007F2417">
              <w:rPr>
                <w:rStyle w:val="Hyperlink"/>
                <w:rFonts w:eastAsiaTheme="majorEastAsia"/>
                <w:noProof/>
              </w:rPr>
              <w:t>Discussion</w:t>
            </w:r>
            <w:r>
              <w:rPr>
                <w:noProof/>
                <w:webHidden/>
              </w:rPr>
              <w:tab/>
            </w:r>
            <w:r>
              <w:rPr>
                <w:noProof/>
                <w:webHidden/>
              </w:rPr>
              <w:fldChar w:fldCharType="begin"/>
            </w:r>
            <w:r>
              <w:rPr>
                <w:noProof/>
                <w:webHidden/>
              </w:rPr>
              <w:instrText xml:space="preserve"> PAGEREF _Toc87361214 \h </w:instrText>
            </w:r>
            <w:r>
              <w:rPr>
                <w:noProof/>
                <w:webHidden/>
              </w:rPr>
            </w:r>
            <w:r>
              <w:rPr>
                <w:noProof/>
                <w:webHidden/>
              </w:rPr>
              <w:fldChar w:fldCharType="separate"/>
            </w:r>
            <w:r>
              <w:rPr>
                <w:noProof/>
                <w:webHidden/>
              </w:rPr>
              <w:t>94</w:t>
            </w:r>
            <w:r>
              <w:rPr>
                <w:noProof/>
                <w:webHidden/>
              </w:rPr>
              <w:fldChar w:fldCharType="end"/>
            </w:r>
          </w:hyperlink>
        </w:p>
        <w:p w:rsidR="00C602B4" w:rsidRDefault="00C602B4" w14:paraId="1CDA517A" w14:textId="5E62ABA3">
          <w:pPr>
            <w:pStyle w:val="TOC3"/>
            <w:tabs>
              <w:tab w:val="left" w:pos="1728"/>
              <w:tab w:val="right" w:leader="dot" w:pos="9350"/>
            </w:tabs>
            <w:rPr>
              <w:rFonts w:asciiTheme="minorHAnsi" w:hAnsiTheme="minorHAnsi" w:cstheme="minorBidi"/>
              <w:noProof/>
              <w:sz w:val="22"/>
              <w:szCs w:val="22"/>
            </w:rPr>
          </w:pPr>
          <w:hyperlink w:history="1" w:anchor="_Toc87361215">
            <w:r w:rsidRPr="007F2417">
              <w:rPr>
                <w:rStyle w:val="Hyperlink"/>
                <w:noProof/>
              </w:rPr>
              <w:t>10.5.5</w:t>
            </w:r>
            <w:r>
              <w:rPr>
                <w:rFonts w:asciiTheme="minorHAnsi" w:hAnsiTheme="minorHAnsi" w:cstheme="minorBidi"/>
                <w:noProof/>
                <w:sz w:val="22"/>
                <w:szCs w:val="22"/>
              </w:rPr>
              <w:tab/>
            </w:r>
            <w:r w:rsidRPr="007F2417">
              <w:rPr>
                <w:rStyle w:val="Hyperlink"/>
                <w:noProof/>
              </w:rPr>
              <w:t>Quality of Service and Management,  Affordability, and Risk-Driven Investments</w:t>
            </w:r>
            <w:r>
              <w:rPr>
                <w:noProof/>
                <w:webHidden/>
              </w:rPr>
              <w:tab/>
            </w:r>
            <w:r>
              <w:rPr>
                <w:noProof/>
                <w:webHidden/>
              </w:rPr>
              <w:fldChar w:fldCharType="begin"/>
            </w:r>
            <w:r>
              <w:rPr>
                <w:noProof/>
                <w:webHidden/>
              </w:rPr>
              <w:instrText xml:space="preserve"> PAGEREF _Toc87361215 \h </w:instrText>
            </w:r>
            <w:r>
              <w:rPr>
                <w:noProof/>
                <w:webHidden/>
              </w:rPr>
            </w:r>
            <w:r>
              <w:rPr>
                <w:noProof/>
                <w:webHidden/>
              </w:rPr>
              <w:fldChar w:fldCharType="separate"/>
            </w:r>
            <w:r>
              <w:rPr>
                <w:noProof/>
                <w:webHidden/>
              </w:rPr>
              <w:t>95</w:t>
            </w:r>
            <w:r>
              <w:rPr>
                <w:noProof/>
                <w:webHidden/>
              </w:rPr>
              <w:fldChar w:fldCharType="end"/>
            </w:r>
          </w:hyperlink>
        </w:p>
        <w:p w:rsidR="00C602B4" w:rsidRDefault="00C602B4" w14:paraId="7E746FC3" w14:textId="7917A512">
          <w:pPr>
            <w:pStyle w:val="TOC4"/>
            <w:tabs>
              <w:tab w:val="left" w:pos="1728"/>
              <w:tab w:val="right" w:leader="dot" w:pos="9350"/>
            </w:tabs>
            <w:rPr>
              <w:rFonts w:asciiTheme="minorHAnsi" w:hAnsiTheme="minorHAnsi" w:eastAsiaTheme="minorEastAsia" w:cstheme="minorBidi"/>
              <w:noProof/>
              <w:sz w:val="22"/>
              <w:szCs w:val="22"/>
            </w:rPr>
          </w:pPr>
          <w:hyperlink w:history="1" w:anchor="_Toc87361216">
            <w:r w:rsidRPr="007F2417">
              <w:rPr>
                <w:rStyle w:val="Hyperlink"/>
                <w:rFonts w:eastAsiaTheme="majorEastAsia"/>
                <w:noProof/>
              </w:rPr>
              <w:t>10.5.5.1</w:t>
            </w:r>
            <w:r>
              <w:rPr>
                <w:rFonts w:asciiTheme="minorHAnsi" w:hAnsiTheme="minorHAnsi" w:eastAsiaTheme="minorEastAsia" w:cstheme="minorBidi"/>
                <w:noProof/>
                <w:sz w:val="22"/>
                <w:szCs w:val="22"/>
              </w:rPr>
              <w:tab/>
            </w:r>
            <w:r w:rsidRPr="007F2417">
              <w:rPr>
                <w:rStyle w:val="Hyperlink"/>
                <w:rFonts w:eastAsiaTheme="majorEastAsia"/>
                <w:noProof/>
              </w:rPr>
              <w:t>Staff Proposals</w:t>
            </w:r>
            <w:r>
              <w:rPr>
                <w:noProof/>
                <w:webHidden/>
              </w:rPr>
              <w:tab/>
            </w:r>
            <w:r>
              <w:rPr>
                <w:noProof/>
                <w:webHidden/>
              </w:rPr>
              <w:fldChar w:fldCharType="begin"/>
            </w:r>
            <w:r>
              <w:rPr>
                <w:noProof/>
                <w:webHidden/>
              </w:rPr>
              <w:instrText xml:space="preserve"> PAGEREF _Toc87361216 \h </w:instrText>
            </w:r>
            <w:r>
              <w:rPr>
                <w:noProof/>
                <w:webHidden/>
              </w:rPr>
            </w:r>
            <w:r>
              <w:rPr>
                <w:noProof/>
                <w:webHidden/>
              </w:rPr>
              <w:fldChar w:fldCharType="separate"/>
            </w:r>
            <w:r>
              <w:rPr>
                <w:noProof/>
                <w:webHidden/>
              </w:rPr>
              <w:t>96</w:t>
            </w:r>
            <w:r>
              <w:rPr>
                <w:noProof/>
                <w:webHidden/>
              </w:rPr>
              <w:fldChar w:fldCharType="end"/>
            </w:r>
          </w:hyperlink>
        </w:p>
        <w:p w:rsidR="00C602B4" w:rsidRDefault="00C602B4" w14:paraId="53F07FC1" w14:textId="4A5CBA4A">
          <w:pPr>
            <w:pStyle w:val="TOC4"/>
            <w:tabs>
              <w:tab w:val="left" w:pos="1728"/>
              <w:tab w:val="right" w:leader="dot" w:pos="9350"/>
            </w:tabs>
            <w:rPr>
              <w:rFonts w:asciiTheme="minorHAnsi" w:hAnsiTheme="minorHAnsi" w:eastAsiaTheme="minorEastAsia" w:cstheme="minorBidi"/>
              <w:noProof/>
              <w:sz w:val="22"/>
              <w:szCs w:val="22"/>
            </w:rPr>
          </w:pPr>
          <w:hyperlink w:history="1" w:anchor="_Toc87361217">
            <w:r w:rsidRPr="007F2417">
              <w:rPr>
                <w:rStyle w:val="Hyperlink"/>
                <w:rFonts w:eastAsiaTheme="majorEastAsia"/>
                <w:noProof/>
              </w:rPr>
              <w:t>10.5.5.2</w:t>
            </w:r>
            <w:r>
              <w:rPr>
                <w:rFonts w:asciiTheme="minorHAnsi" w:hAnsiTheme="minorHAnsi" w:eastAsiaTheme="minorEastAsia" w:cstheme="minorBidi"/>
                <w:noProof/>
                <w:sz w:val="22"/>
                <w:szCs w:val="22"/>
              </w:rPr>
              <w:tab/>
            </w:r>
            <w:r w:rsidRPr="007F2417">
              <w:rPr>
                <w:rStyle w:val="Hyperlink"/>
                <w:rFonts w:eastAsiaTheme="majorEastAsia"/>
                <w:noProof/>
              </w:rPr>
              <w:t>Discussion</w:t>
            </w:r>
            <w:r>
              <w:rPr>
                <w:noProof/>
                <w:webHidden/>
              </w:rPr>
              <w:tab/>
            </w:r>
            <w:r>
              <w:rPr>
                <w:noProof/>
                <w:webHidden/>
              </w:rPr>
              <w:fldChar w:fldCharType="begin"/>
            </w:r>
            <w:r>
              <w:rPr>
                <w:noProof/>
                <w:webHidden/>
              </w:rPr>
              <w:instrText xml:space="preserve"> PAGEREF _Toc87361217 \h </w:instrText>
            </w:r>
            <w:r>
              <w:rPr>
                <w:noProof/>
                <w:webHidden/>
              </w:rPr>
            </w:r>
            <w:r>
              <w:rPr>
                <w:noProof/>
                <w:webHidden/>
              </w:rPr>
              <w:fldChar w:fldCharType="separate"/>
            </w:r>
            <w:r>
              <w:rPr>
                <w:noProof/>
                <w:webHidden/>
              </w:rPr>
              <w:t>97</w:t>
            </w:r>
            <w:r>
              <w:rPr>
                <w:noProof/>
                <w:webHidden/>
              </w:rPr>
              <w:fldChar w:fldCharType="end"/>
            </w:r>
          </w:hyperlink>
        </w:p>
        <w:p w:rsidR="00C602B4" w:rsidRDefault="00C602B4" w14:paraId="4C61E8F4" w14:textId="1E4C356E">
          <w:pPr>
            <w:pStyle w:val="TOC3"/>
            <w:tabs>
              <w:tab w:val="left" w:pos="1728"/>
              <w:tab w:val="right" w:leader="dot" w:pos="9350"/>
            </w:tabs>
            <w:rPr>
              <w:rFonts w:asciiTheme="minorHAnsi" w:hAnsiTheme="minorHAnsi" w:cstheme="minorBidi"/>
              <w:noProof/>
              <w:sz w:val="22"/>
              <w:szCs w:val="22"/>
            </w:rPr>
          </w:pPr>
          <w:hyperlink w:history="1" w:anchor="_Toc87361218">
            <w:r w:rsidRPr="007F2417">
              <w:rPr>
                <w:rStyle w:val="Hyperlink"/>
                <w:noProof/>
              </w:rPr>
              <w:t>10.5.6</w:t>
            </w:r>
            <w:r>
              <w:rPr>
                <w:rFonts w:asciiTheme="minorHAnsi" w:hAnsiTheme="minorHAnsi" w:cstheme="minorBidi"/>
                <w:noProof/>
                <w:sz w:val="22"/>
                <w:szCs w:val="22"/>
              </w:rPr>
              <w:tab/>
            </w:r>
            <w:r w:rsidRPr="007F2417">
              <w:rPr>
                <w:rStyle w:val="Hyperlink"/>
                <w:noProof/>
              </w:rPr>
              <w:t>Clean Energy Related SOM (# 5.1)</w:t>
            </w:r>
            <w:r>
              <w:rPr>
                <w:noProof/>
                <w:webHidden/>
              </w:rPr>
              <w:tab/>
            </w:r>
            <w:r>
              <w:rPr>
                <w:noProof/>
                <w:webHidden/>
              </w:rPr>
              <w:fldChar w:fldCharType="begin"/>
            </w:r>
            <w:r>
              <w:rPr>
                <w:noProof/>
                <w:webHidden/>
              </w:rPr>
              <w:instrText xml:space="preserve"> PAGEREF _Toc87361218 \h </w:instrText>
            </w:r>
            <w:r>
              <w:rPr>
                <w:noProof/>
                <w:webHidden/>
              </w:rPr>
            </w:r>
            <w:r>
              <w:rPr>
                <w:noProof/>
                <w:webHidden/>
              </w:rPr>
              <w:fldChar w:fldCharType="separate"/>
            </w:r>
            <w:r>
              <w:rPr>
                <w:noProof/>
                <w:webHidden/>
              </w:rPr>
              <w:t>98</w:t>
            </w:r>
            <w:r>
              <w:rPr>
                <w:noProof/>
                <w:webHidden/>
              </w:rPr>
              <w:fldChar w:fldCharType="end"/>
            </w:r>
          </w:hyperlink>
        </w:p>
        <w:p w:rsidR="00C602B4" w:rsidRDefault="00C602B4" w14:paraId="6332AA50" w14:textId="511DBD32">
          <w:pPr>
            <w:pStyle w:val="TOC4"/>
            <w:tabs>
              <w:tab w:val="left" w:pos="1728"/>
              <w:tab w:val="right" w:leader="dot" w:pos="9350"/>
            </w:tabs>
            <w:rPr>
              <w:rFonts w:asciiTheme="minorHAnsi" w:hAnsiTheme="minorHAnsi" w:eastAsiaTheme="minorEastAsia" w:cstheme="minorBidi"/>
              <w:noProof/>
              <w:sz w:val="22"/>
              <w:szCs w:val="22"/>
            </w:rPr>
          </w:pPr>
          <w:hyperlink w:history="1" w:anchor="_Toc87361219">
            <w:r w:rsidRPr="007F2417">
              <w:rPr>
                <w:rStyle w:val="Hyperlink"/>
                <w:rFonts w:eastAsiaTheme="majorEastAsia"/>
                <w:noProof/>
              </w:rPr>
              <w:t>10.5.6.1</w:t>
            </w:r>
            <w:r>
              <w:rPr>
                <w:rFonts w:asciiTheme="minorHAnsi" w:hAnsiTheme="minorHAnsi" w:eastAsiaTheme="minorEastAsia" w:cstheme="minorBidi"/>
                <w:noProof/>
                <w:sz w:val="22"/>
                <w:szCs w:val="22"/>
              </w:rPr>
              <w:tab/>
            </w:r>
            <w:r w:rsidRPr="007F2417">
              <w:rPr>
                <w:rStyle w:val="Hyperlink"/>
                <w:rFonts w:eastAsiaTheme="majorEastAsia"/>
                <w:noProof/>
              </w:rPr>
              <w:t>Party Comments</w:t>
            </w:r>
            <w:r>
              <w:rPr>
                <w:noProof/>
                <w:webHidden/>
              </w:rPr>
              <w:tab/>
            </w:r>
            <w:r>
              <w:rPr>
                <w:noProof/>
                <w:webHidden/>
              </w:rPr>
              <w:fldChar w:fldCharType="begin"/>
            </w:r>
            <w:r>
              <w:rPr>
                <w:noProof/>
                <w:webHidden/>
              </w:rPr>
              <w:instrText xml:space="preserve"> PAGEREF _Toc87361219 \h </w:instrText>
            </w:r>
            <w:r>
              <w:rPr>
                <w:noProof/>
                <w:webHidden/>
              </w:rPr>
            </w:r>
            <w:r>
              <w:rPr>
                <w:noProof/>
                <w:webHidden/>
              </w:rPr>
              <w:fldChar w:fldCharType="separate"/>
            </w:r>
            <w:r>
              <w:rPr>
                <w:noProof/>
                <w:webHidden/>
              </w:rPr>
              <w:t>98</w:t>
            </w:r>
            <w:r>
              <w:rPr>
                <w:noProof/>
                <w:webHidden/>
              </w:rPr>
              <w:fldChar w:fldCharType="end"/>
            </w:r>
          </w:hyperlink>
        </w:p>
        <w:p w:rsidR="00C602B4" w:rsidRDefault="00C602B4" w14:paraId="29BC9874" w14:textId="33304B63">
          <w:pPr>
            <w:pStyle w:val="TOC4"/>
            <w:tabs>
              <w:tab w:val="left" w:pos="1728"/>
              <w:tab w:val="right" w:leader="dot" w:pos="9350"/>
            </w:tabs>
            <w:rPr>
              <w:rFonts w:asciiTheme="minorHAnsi" w:hAnsiTheme="minorHAnsi" w:eastAsiaTheme="minorEastAsia" w:cstheme="minorBidi"/>
              <w:noProof/>
              <w:sz w:val="22"/>
              <w:szCs w:val="22"/>
            </w:rPr>
          </w:pPr>
          <w:hyperlink w:history="1" w:anchor="_Toc87361220">
            <w:r w:rsidRPr="007F2417">
              <w:rPr>
                <w:rStyle w:val="Hyperlink"/>
                <w:rFonts w:eastAsiaTheme="majorEastAsia"/>
                <w:noProof/>
              </w:rPr>
              <w:t>10.5.6.1</w:t>
            </w:r>
            <w:r>
              <w:rPr>
                <w:rFonts w:asciiTheme="minorHAnsi" w:hAnsiTheme="minorHAnsi" w:eastAsiaTheme="minorEastAsia" w:cstheme="minorBidi"/>
                <w:noProof/>
                <w:sz w:val="22"/>
                <w:szCs w:val="22"/>
              </w:rPr>
              <w:tab/>
            </w:r>
            <w:r w:rsidRPr="007F2417">
              <w:rPr>
                <w:rStyle w:val="Hyperlink"/>
                <w:rFonts w:eastAsiaTheme="majorEastAsia"/>
                <w:noProof/>
              </w:rPr>
              <w:t>Discussion</w:t>
            </w:r>
            <w:r>
              <w:rPr>
                <w:noProof/>
                <w:webHidden/>
              </w:rPr>
              <w:tab/>
            </w:r>
            <w:r>
              <w:rPr>
                <w:noProof/>
                <w:webHidden/>
              </w:rPr>
              <w:fldChar w:fldCharType="begin"/>
            </w:r>
            <w:r>
              <w:rPr>
                <w:noProof/>
                <w:webHidden/>
              </w:rPr>
              <w:instrText xml:space="preserve"> PAGEREF _Toc87361220 \h </w:instrText>
            </w:r>
            <w:r>
              <w:rPr>
                <w:noProof/>
                <w:webHidden/>
              </w:rPr>
            </w:r>
            <w:r>
              <w:rPr>
                <w:noProof/>
                <w:webHidden/>
              </w:rPr>
              <w:fldChar w:fldCharType="separate"/>
            </w:r>
            <w:r>
              <w:rPr>
                <w:noProof/>
                <w:webHidden/>
              </w:rPr>
              <w:t>99</w:t>
            </w:r>
            <w:r>
              <w:rPr>
                <w:noProof/>
                <w:webHidden/>
              </w:rPr>
              <w:fldChar w:fldCharType="end"/>
            </w:r>
          </w:hyperlink>
        </w:p>
        <w:p w:rsidR="00C602B4" w:rsidRDefault="00C602B4" w14:paraId="4331685E" w14:textId="5EB019EC">
          <w:pPr>
            <w:pStyle w:val="TOC1"/>
            <w:tabs>
              <w:tab w:val="right" w:leader="dot" w:pos="9350"/>
            </w:tabs>
            <w:rPr>
              <w:rFonts w:asciiTheme="minorHAnsi" w:hAnsiTheme="minorHAnsi" w:cstheme="minorBidi"/>
              <w:noProof/>
              <w:sz w:val="22"/>
              <w:szCs w:val="22"/>
            </w:rPr>
          </w:pPr>
          <w:hyperlink w:history="1" w:anchor="_Toc87361221">
            <w:r w:rsidRPr="007F2417">
              <w:rPr>
                <w:rStyle w:val="Hyperlink"/>
                <w:noProof/>
              </w:rPr>
              <w:t>11.</w:t>
            </w:r>
            <w:r>
              <w:rPr>
                <w:rFonts w:asciiTheme="minorHAnsi" w:hAnsiTheme="minorHAnsi" w:cstheme="minorBidi"/>
                <w:noProof/>
                <w:sz w:val="22"/>
                <w:szCs w:val="22"/>
              </w:rPr>
              <w:tab/>
            </w:r>
            <w:r w:rsidRPr="007F2417">
              <w:rPr>
                <w:rStyle w:val="Hyperlink"/>
                <w:noProof/>
              </w:rPr>
              <w:t>Safety and Performance Metrics</w:t>
            </w:r>
            <w:r>
              <w:rPr>
                <w:noProof/>
                <w:webHidden/>
              </w:rPr>
              <w:tab/>
            </w:r>
            <w:r>
              <w:rPr>
                <w:noProof/>
                <w:webHidden/>
              </w:rPr>
              <w:fldChar w:fldCharType="begin"/>
            </w:r>
            <w:r>
              <w:rPr>
                <w:noProof/>
                <w:webHidden/>
              </w:rPr>
              <w:instrText xml:space="preserve"> PAGEREF _Toc87361221 \h </w:instrText>
            </w:r>
            <w:r>
              <w:rPr>
                <w:noProof/>
                <w:webHidden/>
              </w:rPr>
            </w:r>
            <w:r>
              <w:rPr>
                <w:noProof/>
                <w:webHidden/>
              </w:rPr>
              <w:fldChar w:fldCharType="separate"/>
            </w:r>
            <w:r>
              <w:rPr>
                <w:noProof/>
                <w:webHidden/>
              </w:rPr>
              <w:t>101</w:t>
            </w:r>
            <w:r>
              <w:rPr>
                <w:noProof/>
                <w:webHidden/>
              </w:rPr>
              <w:fldChar w:fldCharType="end"/>
            </w:r>
          </w:hyperlink>
        </w:p>
        <w:p w:rsidR="00C602B4" w:rsidRDefault="00C602B4" w14:paraId="597DA9E6" w14:textId="2EF27E8F">
          <w:pPr>
            <w:pStyle w:val="TOC2"/>
            <w:tabs>
              <w:tab w:val="left" w:pos="1296"/>
              <w:tab w:val="right" w:leader="dot" w:pos="9350"/>
            </w:tabs>
            <w:rPr>
              <w:rFonts w:asciiTheme="minorHAnsi" w:hAnsiTheme="minorHAnsi" w:cstheme="minorBidi"/>
              <w:noProof/>
              <w:sz w:val="22"/>
              <w:szCs w:val="22"/>
            </w:rPr>
          </w:pPr>
          <w:hyperlink w:history="1" w:anchor="_Toc87361222">
            <w:r w:rsidRPr="007F2417">
              <w:rPr>
                <w:rStyle w:val="Hyperlink"/>
                <w:noProof/>
              </w:rPr>
              <w:t>11.1</w:t>
            </w:r>
            <w:r>
              <w:rPr>
                <w:rFonts w:asciiTheme="minorHAnsi" w:hAnsiTheme="minorHAnsi" w:cstheme="minorBidi"/>
                <w:noProof/>
                <w:sz w:val="22"/>
                <w:szCs w:val="22"/>
              </w:rPr>
              <w:tab/>
            </w:r>
            <w:r w:rsidRPr="007F2417">
              <w:rPr>
                <w:rStyle w:val="Hyperlink"/>
                <w:noProof/>
              </w:rPr>
              <w:t>Background on SPMs</w:t>
            </w:r>
            <w:r>
              <w:rPr>
                <w:noProof/>
                <w:webHidden/>
              </w:rPr>
              <w:tab/>
            </w:r>
            <w:r>
              <w:rPr>
                <w:noProof/>
                <w:webHidden/>
              </w:rPr>
              <w:fldChar w:fldCharType="begin"/>
            </w:r>
            <w:r>
              <w:rPr>
                <w:noProof/>
                <w:webHidden/>
              </w:rPr>
              <w:instrText xml:space="preserve"> PAGEREF _Toc87361222 \h </w:instrText>
            </w:r>
            <w:r>
              <w:rPr>
                <w:noProof/>
                <w:webHidden/>
              </w:rPr>
            </w:r>
            <w:r>
              <w:rPr>
                <w:noProof/>
                <w:webHidden/>
              </w:rPr>
              <w:fldChar w:fldCharType="separate"/>
            </w:r>
            <w:r>
              <w:rPr>
                <w:noProof/>
                <w:webHidden/>
              </w:rPr>
              <w:t>101</w:t>
            </w:r>
            <w:r>
              <w:rPr>
                <w:noProof/>
                <w:webHidden/>
              </w:rPr>
              <w:fldChar w:fldCharType="end"/>
            </w:r>
          </w:hyperlink>
        </w:p>
        <w:p w:rsidR="00C602B4" w:rsidRDefault="00C602B4" w14:paraId="44EBCEE5" w14:textId="23AC12F9">
          <w:pPr>
            <w:pStyle w:val="TOC2"/>
            <w:tabs>
              <w:tab w:val="left" w:pos="1296"/>
              <w:tab w:val="right" w:leader="dot" w:pos="9350"/>
            </w:tabs>
            <w:rPr>
              <w:rFonts w:asciiTheme="minorHAnsi" w:hAnsiTheme="minorHAnsi" w:cstheme="minorBidi"/>
              <w:noProof/>
              <w:sz w:val="22"/>
              <w:szCs w:val="22"/>
            </w:rPr>
          </w:pPr>
          <w:hyperlink w:history="1" w:anchor="_Toc87361223">
            <w:r w:rsidRPr="007F2417">
              <w:rPr>
                <w:rStyle w:val="Hyperlink"/>
                <w:noProof/>
              </w:rPr>
              <w:t>11.2</w:t>
            </w:r>
            <w:r>
              <w:rPr>
                <w:rFonts w:asciiTheme="minorHAnsi" w:hAnsiTheme="minorHAnsi" w:cstheme="minorBidi"/>
                <w:noProof/>
                <w:sz w:val="22"/>
                <w:szCs w:val="22"/>
              </w:rPr>
              <w:tab/>
            </w:r>
            <w:r w:rsidRPr="007F2417">
              <w:rPr>
                <w:rStyle w:val="Hyperlink"/>
                <w:noProof/>
              </w:rPr>
              <w:t>Staff’s SPM Proposal</w:t>
            </w:r>
            <w:r>
              <w:rPr>
                <w:noProof/>
                <w:webHidden/>
              </w:rPr>
              <w:tab/>
            </w:r>
            <w:r>
              <w:rPr>
                <w:noProof/>
                <w:webHidden/>
              </w:rPr>
              <w:fldChar w:fldCharType="begin"/>
            </w:r>
            <w:r>
              <w:rPr>
                <w:noProof/>
                <w:webHidden/>
              </w:rPr>
              <w:instrText xml:space="preserve"> PAGEREF _Toc87361223 \h </w:instrText>
            </w:r>
            <w:r>
              <w:rPr>
                <w:noProof/>
                <w:webHidden/>
              </w:rPr>
            </w:r>
            <w:r>
              <w:rPr>
                <w:noProof/>
                <w:webHidden/>
              </w:rPr>
              <w:fldChar w:fldCharType="separate"/>
            </w:r>
            <w:r>
              <w:rPr>
                <w:noProof/>
                <w:webHidden/>
              </w:rPr>
              <w:t>104</w:t>
            </w:r>
            <w:r>
              <w:rPr>
                <w:noProof/>
                <w:webHidden/>
              </w:rPr>
              <w:fldChar w:fldCharType="end"/>
            </w:r>
          </w:hyperlink>
        </w:p>
        <w:p w:rsidR="00C602B4" w:rsidRDefault="00C602B4" w14:paraId="256D0813" w14:textId="2CDFAA90">
          <w:pPr>
            <w:pStyle w:val="TOC2"/>
            <w:tabs>
              <w:tab w:val="left" w:pos="1296"/>
              <w:tab w:val="right" w:leader="dot" w:pos="9350"/>
            </w:tabs>
            <w:rPr>
              <w:rFonts w:asciiTheme="minorHAnsi" w:hAnsiTheme="minorHAnsi" w:cstheme="minorBidi"/>
              <w:noProof/>
              <w:sz w:val="22"/>
              <w:szCs w:val="22"/>
            </w:rPr>
          </w:pPr>
          <w:hyperlink w:history="1" w:anchor="_Toc87361224">
            <w:r w:rsidRPr="007F2417">
              <w:rPr>
                <w:rStyle w:val="Hyperlink"/>
                <w:noProof/>
              </w:rPr>
              <w:t xml:space="preserve">11.3 </w:t>
            </w:r>
            <w:r>
              <w:rPr>
                <w:rFonts w:asciiTheme="minorHAnsi" w:hAnsiTheme="minorHAnsi" w:cstheme="minorBidi"/>
                <w:noProof/>
                <w:sz w:val="22"/>
                <w:szCs w:val="22"/>
              </w:rPr>
              <w:tab/>
            </w:r>
            <w:r w:rsidRPr="007F2417">
              <w:rPr>
                <w:rStyle w:val="Hyperlink"/>
                <w:noProof/>
              </w:rPr>
              <w:t>Staff’s Proposed Revisions  to Existing SPMs</w:t>
            </w:r>
            <w:r>
              <w:rPr>
                <w:noProof/>
                <w:webHidden/>
              </w:rPr>
              <w:tab/>
            </w:r>
            <w:r>
              <w:rPr>
                <w:noProof/>
                <w:webHidden/>
              </w:rPr>
              <w:fldChar w:fldCharType="begin"/>
            </w:r>
            <w:r>
              <w:rPr>
                <w:noProof/>
                <w:webHidden/>
              </w:rPr>
              <w:instrText xml:space="preserve"> PAGEREF _Toc87361224 \h </w:instrText>
            </w:r>
            <w:r>
              <w:rPr>
                <w:noProof/>
                <w:webHidden/>
              </w:rPr>
            </w:r>
            <w:r>
              <w:rPr>
                <w:noProof/>
                <w:webHidden/>
              </w:rPr>
              <w:fldChar w:fldCharType="separate"/>
            </w:r>
            <w:r>
              <w:rPr>
                <w:noProof/>
                <w:webHidden/>
              </w:rPr>
              <w:t>104</w:t>
            </w:r>
            <w:r>
              <w:rPr>
                <w:noProof/>
                <w:webHidden/>
              </w:rPr>
              <w:fldChar w:fldCharType="end"/>
            </w:r>
          </w:hyperlink>
        </w:p>
        <w:p w:rsidR="00C602B4" w:rsidRDefault="00C602B4" w14:paraId="62DB956B" w14:textId="4EE2DD21">
          <w:pPr>
            <w:pStyle w:val="TOC3"/>
            <w:tabs>
              <w:tab w:val="left" w:pos="1728"/>
              <w:tab w:val="right" w:leader="dot" w:pos="9350"/>
            </w:tabs>
            <w:rPr>
              <w:rFonts w:asciiTheme="minorHAnsi" w:hAnsiTheme="minorHAnsi" w:cstheme="minorBidi"/>
              <w:noProof/>
              <w:sz w:val="22"/>
              <w:szCs w:val="22"/>
            </w:rPr>
          </w:pPr>
          <w:hyperlink w:history="1" w:anchor="_Toc87361225">
            <w:r w:rsidRPr="007F2417">
              <w:rPr>
                <w:rStyle w:val="Hyperlink"/>
                <w:noProof/>
              </w:rPr>
              <w:t>11.3.1</w:t>
            </w:r>
            <w:r>
              <w:rPr>
                <w:rFonts w:asciiTheme="minorHAnsi" w:hAnsiTheme="minorHAnsi" w:cstheme="minorBidi"/>
                <w:noProof/>
                <w:sz w:val="22"/>
                <w:szCs w:val="22"/>
              </w:rPr>
              <w:tab/>
            </w:r>
            <w:r w:rsidRPr="007F2417">
              <w:rPr>
                <w:rStyle w:val="Hyperlink"/>
                <w:noProof/>
              </w:rPr>
              <w:t>Party Comments on Staff’s Proposed Changes to Existing SPMs</w:t>
            </w:r>
            <w:r>
              <w:rPr>
                <w:noProof/>
                <w:webHidden/>
              </w:rPr>
              <w:tab/>
            </w:r>
            <w:r>
              <w:rPr>
                <w:noProof/>
                <w:webHidden/>
              </w:rPr>
              <w:fldChar w:fldCharType="begin"/>
            </w:r>
            <w:r>
              <w:rPr>
                <w:noProof/>
                <w:webHidden/>
              </w:rPr>
              <w:instrText xml:space="preserve"> PAGEREF _Toc87361225 \h </w:instrText>
            </w:r>
            <w:r>
              <w:rPr>
                <w:noProof/>
                <w:webHidden/>
              </w:rPr>
            </w:r>
            <w:r>
              <w:rPr>
                <w:noProof/>
                <w:webHidden/>
              </w:rPr>
              <w:fldChar w:fldCharType="separate"/>
            </w:r>
            <w:r>
              <w:rPr>
                <w:noProof/>
                <w:webHidden/>
              </w:rPr>
              <w:t>105</w:t>
            </w:r>
            <w:r>
              <w:rPr>
                <w:noProof/>
                <w:webHidden/>
              </w:rPr>
              <w:fldChar w:fldCharType="end"/>
            </w:r>
          </w:hyperlink>
        </w:p>
        <w:p w:rsidR="00C602B4" w:rsidRDefault="00C602B4" w14:paraId="1D0025E1" w14:textId="0021672F">
          <w:pPr>
            <w:pStyle w:val="TOC3"/>
            <w:tabs>
              <w:tab w:val="left" w:pos="1728"/>
              <w:tab w:val="right" w:leader="dot" w:pos="9350"/>
            </w:tabs>
            <w:rPr>
              <w:rFonts w:asciiTheme="minorHAnsi" w:hAnsiTheme="minorHAnsi" w:cstheme="minorBidi"/>
              <w:noProof/>
              <w:sz w:val="22"/>
              <w:szCs w:val="22"/>
            </w:rPr>
          </w:pPr>
          <w:hyperlink w:history="1" w:anchor="_Toc87361226">
            <w:r w:rsidRPr="007F2417">
              <w:rPr>
                <w:rStyle w:val="Hyperlink"/>
                <w:noProof/>
              </w:rPr>
              <w:t>11.3.2</w:t>
            </w:r>
            <w:r>
              <w:rPr>
                <w:rFonts w:asciiTheme="minorHAnsi" w:hAnsiTheme="minorHAnsi" w:cstheme="minorBidi"/>
                <w:noProof/>
                <w:sz w:val="22"/>
                <w:szCs w:val="22"/>
              </w:rPr>
              <w:tab/>
            </w:r>
            <w:r w:rsidRPr="007F2417">
              <w:rPr>
                <w:rStyle w:val="Hyperlink"/>
                <w:noProof/>
              </w:rPr>
              <w:t>Discussion</w:t>
            </w:r>
            <w:r>
              <w:rPr>
                <w:noProof/>
                <w:webHidden/>
              </w:rPr>
              <w:tab/>
            </w:r>
            <w:r>
              <w:rPr>
                <w:noProof/>
                <w:webHidden/>
              </w:rPr>
              <w:fldChar w:fldCharType="begin"/>
            </w:r>
            <w:r>
              <w:rPr>
                <w:noProof/>
                <w:webHidden/>
              </w:rPr>
              <w:instrText xml:space="preserve"> PAGEREF _Toc87361226 \h </w:instrText>
            </w:r>
            <w:r>
              <w:rPr>
                <w:noProof/>
                <w:webHidden/>
              </w:rPr>
            </w:r>
            <w:r>
              <w:rPr>
                <w:noProof/>
                <w:webHidden/>
              </w:rPr>
              <w:fldChar w:fldCharType="separate"/>
            </w:r>
            <w:r>
              <w:rPr>
                <w:noProof/>
                <w:webHidden/>
              </w:rPr>
              <w:t>108</w:t>
            </w:r>
            <w:r>
              <w:rPr>
                <w:noProof/>
                <w:webHidden/>
              </w:rPr>
              <w:fldChar w:fldCharType="end"/>
            </w:r>
          </w:hyperlink>
        </w:p>
        <w:p w:rsidR="00C602B4" w:rsidRDefault="00C602B4" w14:paraId="29B9F3D1" w14:textId="0B65DE84">
          <w:pPr>
            <w:pStyle w:val="TOC2"/>
            <w:tabs>
              <w:tab w:val="left" w:pos="1296"/>
              <w:tab w:val="right" w:leader="dot" w:pos="9350"/>
            </w:tabs>
            <w:rPr>
              <w:rFonts w:asciiTheme="minorHAnsi" w:hAnsiTheme="minorHAnsi" w:cstheme="minorBidi"/>
              <w:noProof/>
              <w:sz w:val="22"/>
              <w:szCs w:val="22"/>
            </w:rPr>
          </w:pPr>
          <w:hyperlink w:history="1" w:anchor="_Toc87361227">
            <w:r w:rsidRPr="007F2417">
              <w:rPr>
                <w:rStyle w:val="Hyperlink"/>
                <w:noProof/>
              </w:rPr>
              <w:t>11.4</w:t>
            </w:r>
            <w:r>
              <w:rPr>
                <w:rFonts w:asciiTheme="minorHAnsi" w:hAnsiTheme="minorHAnsi" w:cstheme="minorBidi"/>
                <w:noProof/>
                <w:sz w:val="22"/>
                <w:szCs w:val="22"/>
              </w:rPr>
              <w:tab/>
            </w:r>
            <w:r w:rsidRPr="007F2417">
              <w:rPr>
                <w:rStyle w:val="Hyperlink"/>
                <w:noProof/>
              </w:rPr>
              <w:t>Staff’s Proposed New SPMs.</w:t>
            </w:r>
            <w:r>
              <w:rPr>
                <w:noProof/>
                <w:webHidden/>
              </w:rPr>
              <w:tab/>
            </w:r>
            <w:r>
              <w:rPr>
                <w:noProof/>
                <w:webHidden/>
              </w:rPr>
              <w:fldChar w:fldCharType="begin"/>
            </w:r>
            <w:r>
              <w:rPr>
                <w:noProof/>
                <w:webHidden/>
              </w:rPr>
              <w:instrText xml:space="preserve"> PAGEREF _Toc87361227 \h </w:instrText>
            </w:r>
            <w:r>
              <w:rPr>
                <w:noProof/>
                <w:webHidden/>
              </w:rPr>
            </w:r>
            <w:r>
              <w:rPr>
                <w:noProof/>
                <w:webHidden/>
              </w:rPr>
              <w:fldChar w:fldCharType="separate"/>
            </w:r>
            <w:r>
              <w:rPr>
                <w:noProof/>
                <w:webHidden/>
              </w:rPr>
              <w:t>114</w:t>
            </w:r>
            <w:r>
              <w:rPr>
                <w:noProof/>
                <w:webHidden/>
              </w:rPr>
              <w:fldChar w:fldCharType="end"/>
            </w:r>
          </w:hyperlink>
        </w:p>
        <w:p w:rsidR="00C602B4" w:rsidRDefault="00C602B4" w14:paraId="5DCB72EA" w14:textId="018B25C7">
          <w:pPr>
            <w:pStyle w:val="TOC3"/>
            <w:tabs>
              <w:tab w:val="left" w:pos="1728"/>
              <w:tab w:val="right" w:leader="dot" w:pos="9350"/>
            </w:tabs>
            <w:rPr>
              <w:rFonts w:asciiTheme="minorHAnsi" w:hAnsiTheme="minorHAnsi" w:cstheme="minorBidi"/>
              <w:noProof/>
              <w:sz w:val="22"/>
              <w:szCs w:val="22"/>
            </w:rPr>
          </w:pPr>
          <w:hyperlink w:history="1" w:anchor="_Toc87361228">
            <w:r w:rsidRPr="007F2417">
              <w:rPr>
                <w:rStyle w:val="Hyperlink"/>
                <w:noProof/>
              </w:rPr>
              <w:t>11.4.1</w:t>
            </w:r>
            <w:r>
              <w:rPr>
                <w:rFonts w:asciiTheme="minorHAnsi" w:hAnsiTheme="minorHAnsi" w:cstheme="minorBidi"/>
                <w:noProof/>
                <w:sz w:val="22"/>
                <w:szCs w:val="22"/>
              </w:rPr>
              <w:tab/>
            </w:r>
            <w:r w:rsidRPr="007F2417">
              <w:rPr>
                <w:rStyle w:val="Hyperlink"/>
                <w:noProof/>
              </w:rPr>
              <w:t>Party Comments on Staff’s  Proposed New SPMs</w:t>
            </w:r>
            <w:r>
              <w:rPr>
                <w:noProof/>
                <w:webHidden/>
              </w:rPr>
              <w:tab/>
            </w:r>
            <w:r>
              <w:rPr>
                <w:noProof/>
                <w:webHidden/>
              </w:rPr>
              <w:fldChar w:fldCharType="begin"/>
            </w:r>
            <w:r>
              <w:rPr>
                <w:noProof/>
                <w:webHidden/>
              </w:rPr>
              <w:instrText xml:space="preserve"> PAGEREF _Toc87361228 \h </w:instrText>
            </w:r>
            <w:r>
              <w:rPr>
                <w:noProof/>
                <w:webHidden/>
              </w:rPr>
            </w:r>
            <w:r>
              <w:rPr>
                <w:noProof/>
                <w:webHidden/>
              </w:rPr>
              <w:fldChar w:fldCharType="separate"/>
            </w:r>
            <w:r>
              <w:rPr>
                <w:noProof/>
                <w:webHidden/>
              </w:rPr>
              <w:t>115</w:t>
            </w:r>
            <w:r>
              <w:rPr>
                <w:noProof/>
                <w:webHidden/>
              </w:rPr>
              <w:fldChar w:fldCharType="end"/>
            </w:r>
          </w:hyperlink>
        </w:p>
        <w:p w:rsidR="00C602B4" w:rsidRDefault="00C602B4" w14:paraId="61045A9D" w14:textId="025B4995">
          <w:pPr>
            <w:pStyle w:val="TOC3"/>
            <w:tabs>
              <w:tab w:val="left" w:pos="1728"/>
              <w:tab w:val="right" w:leader="dot" w:pos="9350"/>
            </w:tabs>
            <w:rPr>
              <w:rFonts w:asciiTheme="minorHAnsi" w:hAnsiTheme="minorHAnsi" w:cstheme="minorBidi"/>
              <w:noProof/>
              <w:sz w:val="22"/>
              <w:szCs w:val="22"/>
            </w:rPr>
          </w:pPr>
          <w:hyperlink w:history="1" w:anchor="_Toc87361229">
            <w:r w:rsidRPr="007F2417">
              <w:rPr>
                <w:rStyle w:val="Hyperlink"/>
                <w:noProof/>
              </w:rPr>
              <w:t>11.4.2</w:t>
            </w:r>
            <w:r>
              <w:rPr>
                <w:rFonts w:asciiTheme="minorHAnsi" w:hAnsiTheme="minorHAnsi" w:cstheme="minorBidi"/>
                <w:noProof/>
                <w:sz w:val="22"/>
                <w:szCs w:val="22"/>
              </w:rPr>
              <w:tab/>
            </w:r>
            <w:r w:rsidRPr="007F2417">
              <w:rPr>
                <w:rStyle w:val="Hyperlink"/>
                <w:noProof/>
              </w:rPr>
              <w:t>Discussion</w:t>
            </w:r>
            <w:r>
              <w:rPr>
                <w:noProof/>
                <w:webHidden/>
              </w:rPr>
              <w:tab/>
            </w:r>
            <w:r>
              <w:rPr>
                <w:noProof/>
                <w:webHidden/>
              </w:rPr>
              <w:fldChar w:fldCharType="begin"/>
            </w:r>
            <w:r>
              <w:rPr>
                <w:noProof/>
                <w:webHidden/>
              </w:rPr>
              <w:instrText xml:space="preserve"> PAGEREF _Toc87361229 \h </w:instrText>
            </w:r>
            <w:r>
              <w:rPr>
                <w:noProof/>
                <w:webHidden/>
              </w:rPr>
            </w:r>
            <w:r>
              <w:rPr>
                <w:noProof/>
                <w:webHidden/>
              </w:rPr>
              <w:fldChar w:fldCharType="separate"/>
            </w:r>
            <w:r>
              <w:rPr>
                <w:noProof/>
                <w:webHidden/>
              </w:rPr>
              <w:t>117</w:t>
            </w:r>
            <w:r>
              <w:rPr>
                <w:noProof/>
                <w:webHidden/>
              </w:rPr>
              <w:fldChar w:fldCharType="end"/>
            </w:r>
          </w:hyperlink>
        </w:p>
        <w:p w:rsidR="00C602B4" w:rsidRDefault="00C602B4" w14:paraId="7F15308B" w14:textId="632A380E">
          <w:pPr>
            <w:pStyle w:val="TOC1"/>
            <w:tabs>
              <w:tab w:val="right" w:leader="dot" w:pos="9350"/>
            </w:tabs>
            <w:rPr>
              <w:rFonts w:asciiTheme="minorHAnsi" w:hAnsiTheme="minorHAnsi" w:cstheme="minorBidi"/>
              <w:noProof/>
              <w:sz w:val="22"/>
              <w:szCs w:val="22"/>
            </w:rPr>
          </w:pPr>
          <w:hyperlink w:history="1" w:anchor="_Toc87361230">
            <w:r w:rsidRPr="007F2417">
              <w:rPr>
                <w:rStyle w:val="Hyperlink"/>
                <w:noProof/>
              </w:rPr>
              <w:t>12.</w:t>
            </w:r>
            <w:r>
              <w:rPr>
                <w:rFonts w:asciiTheme="minorHAnsi" w:hAnsiTheme="minorHAnsi" w:cstheme="minorBidi"/>
                <w:noProof/>
                <w:sz w:val="22"/>
                <w:szCs w:val="22"/>
              </w:rPr>
              <w:tab/>
            </w:r>
            <w:r w:rsidRPr="007F2417">
              <w:rPr>
                <w:rStyle w:val="Hyperlink"/>
                <w:noProof/>
              </w:rPr>
              <w:t>R.20-07-013 Technical Working Group</w:t>
            </w:r>
            <w:r>
              <w:rPr>
                <w:noProof/>
                <w:webHidden/>
              </w:rPr>
              <w:tab/>
            </w:r>
            <w:r>
              <w:rPr>
                <w:noProof/>
                <w:webHidden/>
              </w:rPr>
              <w:fldChar w:fldCharType="begin"/>
            </w:r>
            <w:r>
              <w:rPr>
                <w:noProof/>
                <w:webHidden/>
              </w:rPr>
              <w:instrText xml:space="preserve"> PAGEREF _Toc87361230 \h </w:instrText>
            </w:r>
            <w:r>
              <w:rPr>
                <w:noProof/>
                <w:webHidden/>
              </w:rPr>
            </w:r>
            <w:r>
              <w:rPr>
                <w:noProof/>
                <w:webHidden/>
              </w:rPr>
              <w:fldChar w:fldCharType="separate"/>
            </w:r>
            <w:r>
              <w:rPr>
                <w:noProof/>
                <w:webHidden/>
              </w:rPr>
              <w:t>121</w:t>
            </w:r>
            <w:r>
              <w:rPr>
                <w:noProof/>
                <w:webHidden/>
              </w:rPr>
              <w:fldChar w:fldCharType="end"/>
            </w:r>
          </w:hyperlink>
        </w:p>
        <w:p w:rsidR="00C602B4" w:rsidRDefault="00C602B4" w14:paraId="6AF439D5" w14:textId="073ACDF4">
          <w:pPr>
            <w:pStyle w:val="TOC1"/>
            <w:tabs>
              <w:tab w:val="right" w:leader="dot" w:pos="9350"/>
            </w:tabs>
            <w:rPr>
              <w:rFonts w:asciiTheme="minorHAnsi" w:hAnsiTheme="minorHAnsi" w:cstheme="minorBidi"/>
              <w:noProof/>
              <w:sz w:val="22"/>
              <w:szCs w:val="22"/>
            </w:rPr>
          </w:pPr>
          <w:hyperlink w:history="1" w:anchor="_Toc87361231">
            <w:r w:rsidRPr="007F2417">
              <w:rPr>
                <w:rStyle w:val="Hyperlink"/>
                <w:noProof/>
              </w:rPr>
              <w:t>13.</w:t>
            </w:r>
            <w:r>
              <w:rPr>
                <w:rFonts w:asciiTheme="minorHAnsi" w:hAnsiTheme="minorHAnsi" w:cstheme="minorBidi"/>
                <w:noProof/>
                <w:sz w:val="22"/>
                <w:szCs w:val="22"/>
              </w:rPr>
              <w:tab/>
            </w:r>
            <w:r w:rsidRPr="007F2417">
              <w:rPr>
                <w:rStyle w:val="Hyperlink"/>
                <w:noProof/>
              </w:rPr>
              <w:t>Environmental and Social Justice Action Plan</w:t>
            </w:r>
            <w:r>
              <w:rPr>
                <w:noProof/>
                <w:webHidden/>
              </w:rPr>
              <w:tab/>
            </w:r>
            <w:r>
              <w:rPr>
                <w:noProof/>
                <w:webHidden/>
              </w:rPr>
              <w:fldChar w:fldCharType="begin"/>
            </w:r>
            <w:r>
              <w:rPr>
                <w:noProof/>
                <w:webHidden/>
              </w:rPr>
              <w:instrText xml:space="preserve"> PAGEREF _Toc87361231 \h </w:instrText>
            </w:r>
            <w:r>
              <w:rPr>
                <w:noProof/>
                <w:webHidden/>
              </w:rPr>
            </w:r>
            <w:r>
              <w:rPr>
                <w:noProof/>
                <w:webHidden/>
              </w:rPr>
              <w:fldChar w:fldCharType="separate"/>
            </w:r>
            <w:r>
              <w:rPr>
                <w:noProof/>
                <w:webHidden/>
              </w:rPr>
              <w:t>124</w:t>
            </w:r>
            <w:r>
              <w:rPr>
                <w:noProof/>
                <w:webHidden/>
              </w:rPr>
              <w:fldChar w:fldCharType="end"/>
            </w:r>
          </w:hyperlink>
        </w:p>
        <w:p w:rsidR="00C602B4" w:rsidRDefault="00C602B4" w14:paraId="365B8B9A" w14:textId="76F5F250">
          <w:pPr>
            <w:pStyle w:val="TOC1"/>
            <w:tabs>
              <w:tab w:val="right" w:leader="dot" w:pos="9350"/>
            </w:tabs>
            <w:rPr>
              <w:rFonts w:asciiTheme="minorHAnsi" w:hAnsiTheme="minorHAnsi" w:cstheme="minorBidi"/>
              <w:noProof/>
              <w:sz w:val="22"/>
              <w:szCs w:val="22"/>
            </w:rPr>
          </w:pPr>
          <w:hyperlink w:history="1" w:anchor="_Toc87361232">
            <w:r w:rsidRPr="007F2417">
              <w:rPr>
                <w:rStyle w:val="Hyperlink"/>
                <w:noProof/>
              </w:rPr>
              <w:t>14.</w:t>
            </w:r>
            <w:r>
              <w:rPr>
                <w:rFonts w:asciiTheme="minorHAnsi" w:hAnsiTheme="minorHAnsi" w:cstheme="minorBidi"/>
                <w:noProof/>
                <w:sz w:val="22"/>
                <w:szCs w:val="22"/>
              </w:rPr>
              <w:tab/>
            </w:r>
            <w:r w:rsidRPr="007F2417">
              <w:rPr>
                <w:rStyle w:val="Hyperlink"/>
                <w:noProof/>
              </w:rPr>
              <w:t>Comments on Proposed Decision</w:t>
            </w:r>
            <w:r>
              <w:rPr>
                <w:noProof/>
                <w:webHidden/>
              </w:rPr>
              <w:tab/>
            </w:r>
            <w:r>
              <w:rPr>
                <w:noProof/>
                <w:webHidden/>
              </w:rPr>
              <w:fldChar w:fldCharType="begin"/>
            </w:r>
            <w:r>
              <w:rPr>
                <w:noProof/>
                <w:webHidden/>
              </w:rPr>
              <w:instrText xml:space="preserve"> PAGEREF _Toc87361232 \h </w:instrText>
            </w:r>
            <w:r>
              <w:rPr>
                <w:noProof/>
                <w:webHidden/>
              </w:rPr>
            </w:r>
            <w:r>
              <w:rPr>
                <w:noProof/>
                <w:webHidden/>
              </w:rPr>
              <w:fldChar w:fldCharType="separate"/>
            </w:r>
            <w:r>
              <w:rPr>
                <w:noProof/>
                <w:webHidden/>
              </w:rPr>
              <w:t>126</w:t>
            </w:r>
            <w:r>
              <w:rPr>
                <w:noProof/>
                <w:webHidden/>
              </w:rPr>
              <w:fldChar w:fldCharType="end"/>
            </w:r>
          </w:hyperlink>
        </w:p>
        <w:p w:rsidR="00C602B4" w:rsidRDefault="00C602B4" w14:paraId="71076A16" w14:textId="73C2DEE9">
          <w:pPr>
            <w:pStyle w:val="TOC1"/>
            <w:tabs>
              <w:tab w:val="right" w:leader="dot" w:pos="9350"/>
            </w:tabs>
            <w:rPr>
              <w:rFonts w:asciiTheme="minorHAnsi" w:hAnsiTheme="minorHAnsi" w:cstheme="minorBidi"/>
              <w:noProof/>
              <w:sz w:val="22"/>
              <w:szCs w:val="22"/>
            </w:rPr>
          </w:pPr>
          <w:hyperlink w:history="1" w:anchor="_Toc87361233">
            <w:r w:rsidRPr="007F2417">
              <w:rPr>
                <w:rStyle w:val="Hyperlink"/>
                <w:noProof/>
              </w:rPr>
              <w:t>15.</w:t>
            </w:r>
            <w:r>
              <w:rPr>
                <w:rFonts w:asciiTheme="minorHAnsi" w:hAnsiTheme="minorHAnsi" w:cstheme="minorBidi"/>
                <w:noProof/>
                <w:sz w:val="22"/>
                <w:szCs w:val="22"/>
              </w:rPr>
              <w:tab/>
            </w:r>
            <w:r w:rsidRPr="007F2417">
              <w:rPr>
                <w:rStyle w:val="Hyperlink"/>
                <w:noProof/>
              </w:rPr>
              <w:t>Assignment of Proceeding</w:t>
            </w:r>
            <w:r>
              <w:rPr>
                <w:noProof/>
                <w:webHidden/>
              </w:rPr>
              <w:tab/>
            </w:r>
            <w:r>
              <w:rPr>
                <w:noProof/>
                <w:webHidden/>
              </w:rPr>
              <w:fldChar w:fldCharType="begin"/>
            </w:r>
            <w:r>
              <w:rPr>
                <w:noProof/>
                <w:webHidden/>
              </w:rPr>
              <w:instrText xml:space="preserve"> PAGEREF _Toc87361233 \h </w:instrText>
            </w:r>
            <w:r>
              <w:rPr>
                <w:noProof/>
                <w:webHidden/>
              </w:rPr>
            </w:r>
            <w:r>
              <w:rPr>
                <w:noProof/>
                <w:webHidden/>
              </w:rPr>
              <w:fldChar w:fldCharType="separate"/>
            </w:r>
            <w:r>
              <w:rPr>
                <w:noProof/>
                <w:webHidden/>
              </w:rPr>
              <w:t>131</w:t>
            </w:r>
            <w:r>
              <w:rPr>
                <w:noProof/>
                <w:webHidden/>
              </w:rPr>
              <w:fldChar w:fldCharType="end"/>
            </w:r>
          </w:hyperlink>
        </w:p>
        <w:p w:rsidR="00C602B4" w:rsidRDefault="00C602B4" w14:paraId="447DB159" w14:textId="3B6CDA9C">
          <w:pPr>
            <w:pStyle w:val="TOC1"/>
            <w:tabs>
              <w:tab w:val="right" w:leader="dot" w:pos="9350"/>
            </w:tabs>
            <w:rPr>
              <w:rFonts w:asciiTheme="minorHAnsi" w:hAnsiTheme="minorHAnsi" w:cstheme="minorBidi"/>
              <w:noProof/>
              <w:sz w:val="22"/>
              <w:szCs w:val="22"/>
            </w:rPr>
          </w:pPr>
          <w:hyperlink w:history="1" w:anchor="_Toc87361234">
            <w:r w:rsidRPr="007F2417">
              <w:rPr>
                <w:rStyle w:val="Hyperlink"/>
                <w:noProof/>
              </w:rPr>
              <w:t>Findings of Fact</w:t>
            </w:r>
            <w:r>
              <w:rPr>
                <w:noProof/>
                <w:webHidden/>
              </w:rPr>
              <w:tab/>
            </w:r>
            <w:r>
              <w:rPr>
                <w:noProof/>
                <w:webHidden/>
              </w:rPr>
              <w:fldChar w:fldCharType="begin"/>
            </w:r>
            <w:r>
              <w:rPr>
                <w:noProof/>
                <w:webHidden/>
              </w:rPr>
              <w:instrText xml:space="preserve"> PAGEREF _Toc87361234 \h </w:instrText>
            </w:r>
            <w:r>
              <w:rPr>
                <w:noProof/>
                <w:webHidden/>
              </w:rPr>
            </w:r>
            <w:r>
              <w:rPr>
                <w:noProof/>
                <w:webHidden/>
              </w:rPr>
              <w:fldChar w:fldCharType="separate"/>
            </w:r>
            <w:r>
              <w:rPr>
                <w:noProof/>
                <w:webHidden/>
              </w:rPr>
              <w:t>131</w:t>
            </w:r>
            <w:r>
              <w:rPr>
                <w:noProof/>
                <w:webHidden/>
              </w:rPr>
              <w:fldChar w:fldCharType="end"/>
            </w:r>
          </w:hyperlink>
        </w:p>
        <w:p w:rsidR="00C602B4" w:rsidRDefault="00C602B4" w14:paraId="250977C7" w14:textId="40AEDBF4">
          <w:pPr>
            <w:pStyle w:val="TOC1"/>
            <w:tabs>
              <w:tab w:val="right" w:leader="dot" w:pos="9350"/>
            </w:tabs>
            <w:rPr>
              <w:rFonts w:asciiTheme="minorHAnsi" w:hAnsiTheme="minorHAnsi" w:cstheme="minorBidi"/>
              <w:noProof/>
              <w:sz w:val="22"/>
              <w:szCs w:val="22"/>
            </w:rPr>
          </w:pPr>
          <w:hyperlink w:history="1" w:anchor="_Toc87361235">
            <w:r w:rsidRPr="007F2417">
              <w:rPr>
                <w:rStyle w:val="Hyperlink"/>
                <w:noProof/>
              </w:rPr>
              <w:t>Conclusions of Law</w:t>
            </w:r>
            <w:r>
              <w:rPr>
                <w:noProof/>
                <w:webHidden/>
              </w:rPr>
              <w:tab/>
            </w:r>
            <w:r>
              <w:rPr>
                <w:noProof/>
                <w:webHidden/>
              </w:rPr>
              <w:fldChar w:fldCharType="begin"/>
            </w:r>
            <w:r>
              <w:rPr>
                <w:noProof/>
                <w:webHidden/>
              </w:rPr>
              <w:instrText xml:space="preserve"> PAGEREF _Toc87361235 \h </w:instrText>
            </w:r>
            <w:r>
              <w:rPr>
                <w:noProof/>
                <w:webHidden/>
              </w:rPr>
            </w:r>
            <w:r>
              <w:rPr>
                <w:noProof/>
                <w:webHidden/>
              </w:rPr>
              <w:fldChar w:fldCharType="separate"/>
            </w:r>
            <w:r>
              <w:rPr>
                <w:noProof/>
                <w:webHidden/>
              </w:rPr>
              <w:t>135</w:t>
            </w:r>
            <w:r>
              <w:rPr>
                <w:noProof/>
                <w:webHidden/>
              </w:rPr>
              <w:fldChar w:fldCharType="end"/>
            </w:r>
          </w:hyperlink>
        </w:p>
        <w:p w:rsidR="00C602B4" w:rsidRDefault="00C602B4" w14:paraId="7744DBF7" w14:textId="028A33D3">
          <w:pPr>
            <w:pStyle w:val="TOC1"/>
            <w:tabs>
              <w:tab w:val="right" w:leader="dot" w:pos="9350"/>
            </w:tabs>
            <w:rPr>
              <w:rFonts w:asciiTheme="minorHAnsi" w:hAnsiTheme="minorHAnsi" w:cstheme="minorBidi"/>
              <w:noProof/>
              <w:sz w:val="22"/>
              <w:szCs w:val="22"/>
            </w:rPr>
          </w:pPr>
          <w:hyperlink w:history="1" w:anchor="_Toc87361236">
            <w:r w:rsidRPr="007F2417">
              <w:rPr>
                <w:rStyle w:val="Hyperlink"/>
                <w:noProof/>
              </w:rPr>
              <w:t>ORDER</w:t>
            </w:r>
            <w:r>
              <w:rPr>
                <w:noProof/>
                <w:webHidden/>
              </w:rPr>
              <w:tab/>
            </w:r>
            <w:r>
              <w:rPr>
                <w:noProof/>
                <w:webHidden/>
              </w:rPr>
              <w:fldChar w:fldCharType="begin"/>
            </w:r>
            <w:r>
              <w:rPr>
                <w:noProof/>
                <w:webHidden/>
              </w:rPr>
              <w:instrText xml:space="preserve"> PAGEREF _Toc87361236 \h </w:instrText>
            </w:r>
            <w:r>
              <w:rPr>
                <w:noProof/>
                <w:webHidden/>
              </w:rPr>
            </w:r>
            <w:r>
              <w:rPr>
                <w:noProof/>
                <w:webHidden/>
              </w:rPr>
              <w:fldChar w:fldCharType="separate"/>
            </w:r>
            <w:r>
              <w:rPr>
                <w:noProof/>
                <w:webHidden/>
              </w:rPr>
              <w:t>140</w:t>
            </w:r>
            <w:r>
              <w:rPr>
                <w:noProof/>
                <w:webHidden/>
              </w:rPr>
              <w:fldChar w:fldCharType="end"/>
            </w:r>
          </w:hyperlink>
        </w:p>
        <w:p w:rsidR="00D82A43" w:rsidP="008C7413" w:rsidRDefault="008C7413" w14:paraId="74A99101" w14:textId="27B7884B">
          <w:pPr>
            <w:pStyle w:val="TOC1"/>
            <w:tabs>
              <w:tab w:val="right" w:leader="dot" w:pos="9350"/>
            </w:tabs>
            <w:rPr>
              <w:b/>
              <w:bCs/>
              <w:noProof/>
              <w:szCs w:val="26"/>
            </w:rPr>
          </w:pPr>
          <w:r w:rsidRPr="004A3998">
            <w:rPr>
              <w:szCs w:val="26"/>
            </w:rPr>
            <w:fldChar w:fldCharType="end"/>
          </w:r>
        </w:p>
      </w:sdtContent>
    </w:sdt>
    <w:p w:rsidR="004A3998" w:rsidP="004A3998" w:rsidRDefault="004A3998" w14:paraId="42375683" w14:textId="2BCCF4ED">
      <w:pPr>
        <w:rPr>
          <w:rFonts w:cs="Arial"/>
          <w:szCs w:val="26"/>
        </w:rPr>
      </w:pPr>
      <w:bookmarkStart w:name="_Hlk82080583" w:id="2"/>
      <w:r w:rsidRPr="004A3998">
        <w:rPr>
          <w:rFonts w:cs="Arial"/>
          <w:b/>
          <w:szCs w:val="26"/>
        </w:rPr>
        <w:t>A</w:t>
      </w:r>
      <w:r>
        <w:rPr>
          <w:rFonts w:cs="Arial"/>
          <w:b/>
          <w:szCs w:val="26"/>
        </w:rPr>
        <w:t>ppendix A</w:t>
      </w:r>
      <w:r w:rsidRPr="004A3998">
        <w:rPr>
          <w:rFonts w:cs="Arial"/>
          <w:szCs w:val="26"/>
        </w:rPr>
        <w:t xml:space="preserve"> – </w:t>
      </w:r>
      <w:r w:rsidR="008216CA">
        <w:rPr>
          <w:rFonts w:cs="Arial"/>
          <w:szCs w:val="26"/>
        </w:rPr>
        <w:t xml:space="preserve">Adopted </w:t>
      </w:r>
      <w:r w:rsidRPr="004A3998">
        <w:rPr>
          <w:rFonts w:cs="Arial"/>
          <w:szCs w:val="26"/>
        </w:rPr>
        <w:t>Safety and Operational Metrics for Application to P</w:t>
      </w:r>
      <w:r>
        <w:rPr>
          <w:rFonts w:cs="Arial"/>
          <w:szCs w:val="26"/>
        </w:rPr>
        <w:t>G&amp;E</w:t>
      </w:r>
    </w:p>
    <w:bookmarkEnd w:id="2"/>
    <w:p w:rsidR="004A3998" w:rsidP="004A3998" w:rsidRDefault="004A3998" w14:paraId="5D2F2499" w14:textId="45137245">
      <w:pPr>
        <w:rPr>
          <w:rFonts w:cs="Arial"/>
          <w:szCs w:val="26"/>
        </w:rPr>
      </w:pPr>
      <w:r>
        <w:rPr>
          <w:rFonts w:cs="Arial"/>
          <w:b/>
          <w:bCs/>
          <w:iCs/>
          <w:szCs w:val="26"/>
        </w:rPr>
        <w:t xml:space="preserve">Appendix B </w:t>
      </w:r>
      <w:r w:rsidRPr="004A3998">
        <w:rPr>
          <w:rFonts w:cs="Arial"/>
          <w:szCs w:val="26"/>
        </w:rPr>
        <w:t>–</w:t>
      </w:r>
      <w:r>
        <w:rPr>
          <w:rFonts w:cs="Arial"/>
          <w:szCs w:val="26"/>
        </w:rPr>
        <w:t xml:space="preserve"> </w:t>
      </w:r>
      <w:r w:rsidR="006E1150">
        <w:t xml:space="preserve">Adopted </w:t>
      </w:r>
      <w:r w:rsidRPr="004B2414" w:rsidR="0096256D">
        <w:t xml:space="preserve">Safety </w:t>
      </w:r>
      <w:r w:rsidR="006E1150">
        <w:t xml:space="preserve">Performance </w:t>
      </w:r>
      <w:r w:rsidRPr="004B2414" w:rsidR="0096256D">
        <w:t>Metrics</w:t>
      </w:r>
    </w:p>
    <w:p w:rsidRPr="004A3998" w:rsidR="004A3998" w:rsidP="004A3998" w:rsidRDefault="004A3998" w14:paraId="419AEB17" w14:textId="16138DF2">
      <w:pPr>
        <w:rPr>
          <w:rFonts w:cs="Arial"/>
          <w:szCs w:val="26"/>
        </w:rPr>
      </w:pPr>
      <w:r w:rsidRPr="004A3998">
        <w:rPr>
          <w:rFonts w:cs="Arial"/>
          <w:b/>
          <w:bCs/>
          <w:szCs w:val="26"/>
        </w:rPr>
        <w:t>Appendix C</w:t>
      </w:r>
      <w:r w:rsidRPr="004A3998">
        <w:rPr>
          <w:rFonts w:cs="Arial"/>
          <w:szCs w:val="26"/>
        </w:rPr>
        <w:t xml:space="preserve"> – </w:t>
      </w:r>
      <w:r w:rsidR="00457351">
        <w:t>PG&amp;E Transparency Proposal as Modified</w:t>
      </w:r>
    </w:p>
    <w:p w:rsidRPr="004A3998" w:rsidR="004A3998" w:rsidP="004A3998" w:rsidRDefault="004A3998" w14:paraId="4E320E01" w14:textId="40FA5139">
      <w:pPr>
        <w:rPr>
          <w:rFonts w:cs="Arial"/>
          <w:iCs/>
          <w:szCs w:val="26"/>
        </w:rPr>
      </w:pPr>
      <w:r w:rsidRPr="004A3998">
        <w:rPr>
          <w:rFonts w:cs="Arial"/>
          <w:b/>
          <w:bCs/>
          <w:iCs/>
          <w:szCs w:val="26"/>
        </w:rPr>
        <w:t>Appendix D</w:t>
      </w:r>
      <w:r>
        <w:rPr>
          <w:rFonts w:cs="Arial"/>
          <w:iCs/>
          <w:szCs w:val="26"/>
        </w:rPr>
        <w:t xml:space="preserve"> </w:t>
      </w:r>
      <w:r w:rsidRPr="004A3998">
        <w:rPr>
          <w:rFonts w:cs="Arial"/>
          <w:szCs w:val="26"/>
        </w:rPr>
        <w:t>–</w:t>
      </w:r>
      <w:r>
        <w:rPr>
          <w:rFonts w:cs="Arial"/>
          <w:szCs w:val="26"/>
        </w:rPr>
        <w:t xml:space="preserve"> </w:t>
      </w:r>
      <w:r w:rsidR="00D90C4D">
        <w:rPr>
          <w:rFonts w:cs="Arial"/>
          <w:szCs w:val="26"/>
        </w:rPr>
        <w:t xml:space="preserve">2021 </w:t>
      </w:r>
      <w:r>
        <w:rPr>
          <w:rFonts w:cs="Arial"/>
          <w:szCs w:val="26"/>
        </w:rPr>
        <w:t xml:space="preserve">S-MAP </w:t>
      </w:r>
      <w:r>
        <w:rPr>
          <w:rFonts w:cs="Arial"/>
          <w:iCs/>
          <w:szCs w:val="26"/>
        </w:rPr>
        <w:t>Revised Lexicon</w:t>
      </w:r>
    </w:p>
    <w:p w:rsidR="004A3998" w:rsidP="004A3998" w:rsidRDefault="004A3998" w14:paraId="33E4A175" w14:textId="07393E55">
      <w:pPr>
        <w:rPr>
          <w:szCs w:val="26"/>
        </w:rPr>
      </w:pPr>
      <w:r w:rsidRPr="004A3998">
        <w:rPr>
          <w:b/>
          <w:bCs/>
          <w:szCs w:val="26"/>
        </w:rPr>
        <w:t>Appendix E</w:t>
      </w:r>
      <w:r>
        <w:rPr>
          <w:szCs w:val="26"/>
        </w:rPr>
        <w:t xml:space="preserve"> </w:t>
      </w:r>
      <w:r w:rsidRPr="004A3998">
        <w:rPr>
          <w:rFonts w:cs="Arial"/>
          <w:szCs w:val="26"/>
        </w:rPr>
        <w:t>–</w:t>
      </w:r>
      <w:r>
        <w:rPr>
          <w:szCs w:val="26"/>
        </w:rPr>
        <w:t xml:space="preserve"> </w:t>
      </w:r>
      <w:r w:rsidRPr="004A3998">
        <w:rPr>
          <w:szCs w:val="26"/>
        </w:rPr>
        <w:t>Safety and Operational Metrics for Application to PG</w:t>
      </w:r>
      <w:r>
        <w:rPr>
          <w:szCs w:val="26"/>
        </w:rPr>
        <w:t>&amp;E</w:t>
      </w:r>
      <w:r w:rsidR="00CD1B9A">
        <w:rPr>
          <w:szCs w:val="26"/>
        </w:rPr>
        <w:t xml:space="preserve">, </w:t>
      </w:r>
      <w:r>
        <w:rPr>
          <w:szCs w:val="26"/>
        </w:rPr>
        <w:t>Redline</w:t>
      </w:r>
    </w:p>
    <w:p w:rsidR="004A3998" w:rsidP="004A3998" w:rsidRDefault="004A3998" w14:paraId="0DC15657" w14:textId="3A18E5F2">
      <w:pPr>
        <w:rPr>
          <w:szCs w:val="26"/>
        </w:rPr>
      </w:pPr>
      <w:r w:rsidRPr="004A3998">
        <w:rPr>
          <w:b/>
          <w:bCs/>
          <w:szCs w:val="26"/>
        </w:rPr>
        <w:t>Appendix F</w:t>
      </w:r>
      <w:r>
        <w:rPr>
          <w:szCs w:val="26"/>
        </w:rPr>
        <w:t xml:space="preserve"> </w:t>
      </w:r>
      <w:r w:rsidRPr="004A3998">
        <w:rPr>
          <w:rFonts w:cs="Arial"/>
          <w:szCs w:val="26"/>
        </w:rPr>
        <w:t>–</w:t>
      </w:r>
      <w:r>
        <w:rPr>
          <w:rFonts w:cs="Arial"/>
          <w:szCs w:val="26"/>
        </w:rPr>
        <w:t xml:space="preserve"> </w:t>
      </w:r>
      <w:r w:rsidRPr="004A3998">
        <w:rPr>
          <w:szCs w:val="26"/>
        </w:rPr>
        <w:t>Safety Performance Metrics</w:t>
      </w:r>
      <w:r w:rsidR="00CD1B9A">
        <w:rPr>
          <w:szCs w:val="26"/>
        </w:rPr>
        <w:t xml:space="preserve">, </w:t>
      </w:r>
      <w:r w:rsidRPr="004A3998">
        <w:rPr>
          <w:szCs w:val="26"/>
        </w:rPr>
        <w:t>Redline</w:t>
      </w:r>
    </w:p>
    <w:p w:rsidRPr="004A3998" w:rsidR="00932539" w:rsidP="004A3998" w:rsidRDefault="00932539" w14:paraId="6B8F8640" w14:textId="029E8684">
      <w:pPr>
        <w:rPr>
          <w:szCs w:val="26"/>
        </w:rPr>
      </w:pPr>
      <w:r w:rsidRPr="00A30E71">
        <w:rPr>
          <w:b/>
          <w:bCs/>
          <w:szCs w:val="26"/>
        </w:rPr>
        <w:t>Appendix G</w:t>
      </w:r>
      <w:r>
        <w:rPr>
          <w:szCs w:val="26"/>
        </w:rPr>
        <w:t xml:space="preserve"> – Glossary of Terms</w:t>
      </w:r>
    </w:p>
    <w:p w:rsidR="00D44DB6" w:rsidP="00D44DB6" w:rsidRDefault="00D44DB6" w14:paraId="64269C25" w14:textId="77777777">
      <w:pPr>
        <w:rPr>
          <w:rFonts w:cs="Arial"/>
          <w:i/>
        </w:rPr>
      </w:pPr>
    </w:p>
    <w:p w:rsidRPr="00D44DB6" w:rsidR="004A3998" w:rsidP="00D44DB6" w:rsidRDefault="004A3998" w14:paraId="7FAD0806" w14:textId="1024859D">
      <w:pPr>
        <w:rPr>
          <w:rFonts w:cs="Arial"/>
          <w:i/>
        </w:rPr>
        <w:sectPr w:rsidRPr="00D44DB6" w:rsidR="004A3998" w:rsidSect="00D44DB6">
          <w:headerReference w:type="default" r:id="rId17"/>
          <w:footerReference w:type="default" r:id="rId18"/>
          <w:pgSz w:w="12240" w:h="15840"/>
          <w:pgMar w:top="1728" w:right="1440" w:bottom="1440" w:left="1440" w:header="720" w:footer="720" w:gutter="0"/>
          <w:pgNumType w:fmt="lowerRoman" w:start="1"/>
          <w:cols w:space="720"/>
          <w:docGrid w:linePitch="360"/>
        </w:sectPr>
      </w:pPr>
    </w:p>
    <w:p w:rsidR="0098655A" w:rsidP="00D82A43" w:rsidRDefault="009E3D7D" w14:paraId="2C19C325" w14:textId="7991BB40">
      <w:pPr>
        <w:pStyle w:val="Main"/>
        <w:spacing w:after="240"/>
      </w:pPr>
      <w:r>
        <w:lastRenderedPageBreak/>
        <w:t>DECISION ADDRESSING PHASE I, TRACK 1 AND 2 ISSUES</w:t>
      </w:r>
    </w:p>
    <w:p w:rsidR="005A148C" w:rsidP="005A148C" w:rsidRDefault="005A148C" w14:paraId="73602ABF" w14:textId="77777777">
      <w:pPr>
        <w:pStyle w:val="Dummy"/>
      </w:pPr>
      <w:bookmarkStart w:name="_Toc8123714" w:id="4"/>
      <w:bookmarkStart w:name="_Toc80890840" w:id="5"/>
      <w:bookmarkStart w:name="_Toc87361140" w:id="6"/>
      <w:r>
        <w:t>Summary</w:t>
      </w:r>
      <w:bookmarkEnd w:id="4"/>
      <w:bookmarkEnd w:id="5"/>
      <w:bookmarkEnd w:id="6"/>
    </w:p>
    <w:p w:rsidR="009D6238" w:rsidP="004F4A56" w:rsidRDefault="005A148C" w14:paraId="485E181D" w14:textId="5CD2D762">
      <w:pPr>
        <w:pStyle w:val="Standard"/>
      </w:pPr>
      <w:r>
        <w:t>Th</w:t>
      </w:r>
      <w:r w:rsidR="00B74C07">
        <w:t xml:space="preserve">is decision addresses Phase I, Track 1 and 2 issues.  </w:t>
      </w:r>
      <w:r w:rsidR="003066ED">
        <w:t xml:space="preserve">We adopt 32 </w:t>
      </w:r>
      <w:r w:rsidR="00B74C07">
        <w:t>Safety and Operational Metrics for Pacific Gas and Electric Company</w:t>
      </w:r>
      <w:r w:rsidR="00C40BDB">
        <w:t xml:space="preserve"> (PG&amp;E)</w:t>
      </w:r>
      <w:r w:rsidR="00B74C07">
        <w:t xml:space="preserve">, </w:t>
      </w:r>
      <w:r w:rsidR="00BA0AAD">
        <w:t xml:space="preserve">to </w:t>
      </w:r>
      <w:r w:rsidR="00B74C07">
        <w:t xml:space="preserve">be used in accordance with Decision </w:t>
      </w:r>
      <w:r w:rsidR="00E91A88">
        <w:t xml:space="preserve">(D.) </w:t>
      </w:r>
      <w:r w:rsidR="006C505E">
        <w:t>20-05-0</w:t>
      </w:r>
      <w:r w:rsidR="00B672DF">
        <w:t>53</w:t>
      </w:r>
      <w:r w:rsidR="00C40BDB">
        <w:t>, which approved PG&amp;E’s post</w:t>
      </w:r>
      <w:r w:rsidR="001C7F04">
        <w:noBreakHyphen/>
      </w:r>
      <w:r w:rsidR="00C40BDB">
        <w:t xml:space="preserve">bankruptcy </w:t>
      </w:r>
      <w:r w:rsidR="006407AA">
        <w:t>r</w:t>
      </w:r>
      <w:r w:rsidR="00C40BDB">
        <w:t>eorganization</w:t>
      </w:r>
      <w:r w:rsidR="006407AA">
        <w:t xml:space="preserve"> plan.</w:t>
      </w:r>
      <w:r w:rsidR="00C40BDB">
        <w:t xml:space="preserve">  </w:t>
      </w:r>
      <w:r w:rsidR="00D619E6">
        <w:t xml:space="preserve">We require PG&amp;E to report on these Safety and Operational Metrics </w:t>
      </w:r>
      <w:r w:rsidR="003309DE">
        <w:t>every six months starting March 31, 2022</w:t>
      </w:r>
      <w:r w:rsidR="00D619E6">
        <w:t xml:space="preserve">.  </w:t>
      </w:r>
      <w:r w:rsidR="009D6238">
        <w:t>The</w:t>
      </w:r>
      <w:r w:rsidR="00565EC7">
        <w:t xml:space="preserve"> metrics </w:t>
      </w:r>
      <w:r w:rsidR="009D6238">
        <w:t xml:space="preserve">are included in Appendix A. </w:t>
      </w:r>
    </w:p>
    <w:p w:rsidR="009D6238" w:rsidP="004F4A56" w:rsidRDefault="003066ED" w14:paraId="4F0DC8BE" w14:textId="6657E588">
      <w:pPr>
        <w:pStyle w:val="Standard"/>
      </w:pPr>
      <w:r>
        <w:t>We a</w:t>
      </w:r>
      <w:r w:rsidR="008940AA">
        <w:t>dopt</w:t>
      </w:r>
      <w:r w:rsidR="00991BEC">
        <w:t xml:space="preserve"> 10 </w:t>
      </w:r>
      <w:r w:rsidR="00EC33C0">
        <w:t>new Safety Performance Metrics</w:t>
      </w:r>
      <w:r w:rsidR="00AA5F3C">
        <w:t xml:space="preserve"> (SPMs)</w:t>
      </w:r>
      <w:r w:rsidR="00E91A88">
        <w:t>, building on those adopted in D.</w:t>
      </w:r>
      <w:r w:rsidR="00911FAB">
        <w:t>19-04-020</w:t>
      </w:r>
      <w:r w:rsidR="00EC33C0">
        <w:t>, fo</w:t>
      </w:r>
      <w:r w:rsidR="00F1754E">
        <w:t>r application to PG&amp;E, Southern California Edison Company</w:t>
      </w:r>
      <w:r w:rsidR="000F062B">
        <w:t xml:space="preserve"> (SCE)</w:t>
      </w:r>
      <w:r w:rsidR="00F1754E">
        <w:t>, Southern California Gas Company, and San Diego Gas &amp; Electric Company</w:t>
      </w:r>
      <w:r w:rsidR="004B6A9E">
        <w:t xml:space="preserve">.  We </w:t>
      </w:r>
      <w:r w:rsidR="003309DE">
        <w:t xml:space="preserve">delete four and </w:t>
      </w:r>
      <w:r w:rsidR="004174A0">
        <w:t>modif</w:t>
      </w:r>
      <w:r w:rsidR="002B3D8B">
        <w:t>y 1</w:t>
      </w:r>
      <w:r w:rsidR="00952A7A">
        <w:t>9</w:t>
      </w:r>
      <w:r w:rsidR="002B3D8B">
        <w:t xml:space="preserve"> </w:t>
      </w:r>
      <w:r w:rsidR="003309DE">
        <w:t xml:space="preserve">of 26 </w:t>
      </w:r>
      <w:r w:rsidR="00AA5F3C">
        <w:t>existing SPMs</w:t>
      </w:r>
      <w:r w:rsidR="002B3D8B">
        <w:t xml:space="preserve"> for a total </w:t>
      </w:r>
      <w:r w:rsidRPr="00267198" w:rsidR="002B3D8B">
        <w:t xml:space="preserve">of </w:t>
      </w:r>
      <w:r w:rsidRPr="00767508" w:rsidR="00267198">
        <w:t>32</w:t>
      </w:r>
      <w:r w:rsidR="001C7F04">
        <w:t> </w:t>
      </w:r>
      <w:r w:rsidRPr="00267198" w:rsidR="002B3D8B">
        <w:t>SPMs</w:t>
      </w:r>
      <w:r w:rsidR="00F1754E">
        <w:t xml:space="preserve">. </w:t>
      </w:r>
      <w:r w:rsidR="001C7F04">
        <w:t xml:space="preserve"> </w:t>
      </w:r>
      <w:r w:rsidR="009D6238">
        <w:t xml:space="preserve">These are included in Appendix B. </w:t>
      </w:r>
    </w:p>
    <w:p w:rsidR="003B3F44" w:rsidP="004F4A56" w:rsidRDefault="003B3F44" w14:paraId="60A7D0B9" w14:textId="440C8B47">
      <w:pPr>
        <w:pStyle w:val="Standard"/>
      </w:pPr>
      <w:r>
        <w:t xml:space="preserve">We </w:t>
      </w:r>
      <w:r w:rsidR="00035BF2">
        <w:t>m</w:t>
      </w:r>
      <w:r w:rsidR="00377097">
        <w:t>odif</w:t>
      </w:r>
      <w:r w:rsidR="00035BF2">
        <w:t>y</w:t>
      </w:r>
      <w:r w:rsidR="00377097">
        <w:t xml:space="preserve"> </w:t>
      </w:r>
      <w:r w:rsidR="00EB5584">
        <w:t>the</w:t>
      </w:r>
      <w:r w:rsidR="00377097">
        <w:t xml:space="preserve"> </w:t>
      </w:r>
      <w:r w:rsidR="00511EEF">
        <w:t xml:space="preserve">“Transparency Guidelines” </w:t>
      </w:r>
      <w:r w:rsidR="64786316">
        <w:t xml:space="preserve">proposed </w:t>
      </w:r>
      <w:r w:rsidR="00511EEF">
        <w:t>by PG&amp;E</w:t>
      </w:r>
      <w:r w:rsidR="000F062B">
        <w:t xml:space="preserve"> and require SCE to </w:t>
      </w:r>
      <w:r w:rsidR="00AF78EF">
        <w:t xml:space="preserve">test these and </w:t>
      </w:r>
      <w:r w:rsidR="00F65281">
        <w:t xml:space="preserve">serve </w:t>
      </w:r>
      <w:r w:rsidR="00521186">
        <w:t xml:space="preserve">the </w:t>
      </w:r>
      <w:r w:rsidR="00A66C42">
        <w:t xml:space="preserve">completed test </w:t>
      </w:r>
      <w:r w:rsidR="00AF78EF">
        <w:t xml:space="preserve">documents </w:t>
      </w:r>
      <w:r w:rsidR="00F65281">
        <w:t xml:space="preserve">to the SCE 2022 Risk Assessment and Mitigation Phase (RAMP) proceeding service </w:t>
      </w:r>
      <w:r w:rsidR="003F567A">
        <w:t xml:space="preserve">list </w:t>
      </w:r>
      <w:r w:rsidR="00F65281">
        <w:t xml:space="preserve">no later than </w:t>
      </w:r>
      <w:r w:rsidR="00BF5E1E">
        <w:t>60 days</w:t>
      </w:r>
      <w:r w:rsidR="00842FCD">
        <w:t xml:space="preserve"> </w:t>
      </w:r>
      <w:r w:rsidR="00F65281">
        <w:t>from fil</w:t>
      </w:r>
      <w:r w:rsidR="00C9184A">
        <w:t xml:space="preserve">ing </w:t>
      </w:r>
      <w:r w:rsidR="00BE5CB2">
        <w:t xml:space="preserve">its </w:t>
      </w:r>
      <w:r w:rsidR="000F062B">
        <w:t>2022</w:t>
      </w:r>
      <w:r w:rsidR="001C7F04">
        <w:t> </w:t>
      </w:r>
      <w:r w:rsidR="000F062B">
        <w:t>R</w:t>
      </w:r>
      <w:r w:rsidR="00F65281">
        <w:t xml:space="preserve">AMP </w:t>
      </w:r>
      <w:r w:rsidR="00C9184A">
        <w:t>report</w:t>
      </w:r>
      <w:r w:rsidR="000F062B">
        <w:t xml:space="preserve">.  We will consider formally adopting these guidelines in a subsequent decision.  The </w:t>
      </w:r>
      <w:r w:rsidR="16BAFB0B">
        <w:t>Transparency</w:t>
      </w:r>
      <w:r w:rsidR="000F062B">
        <w:t xml:space="preserve"> Guidelines</w:t>
      </w:r>
      <w:r w:rsidR="00AC1E56">
        <w:t xml:space="preserve"> </w:t>
      </w:r>
      <w:r w:rsidR="00A4617F">
        <w:t xml:space="preserve">as modified in this decision </w:t>
      </w:r>
      <w:r w:rsidR="00AC1E56">
        <w:t>are contained in Appendix C.</w:t>
      </w:r>
    </w:p>
    <w:p w:rsidR="00C01069" w:rsidP="004F4A56" w:rsidRDefault="00637D73" w14:paraId="737C6D82" w14:textId="25D8907B">
      <w:pPr>
        <w:pStyle w:val="Standard"/>
      </w:pPr>
      <w:r>
        <w:t>We</w:t>
      </w:r>
      <w:r w:rsidR="00A0105E">
        <w:t xml:space="preserve"> approve </w:t>
      </w:r>
      <w:r w:rsidR="00B53A7B">
        <w:t xml:space="preserve">minor technical clarifications to the Risk-Based Decision-Making Framework </w:t>
      </w:r>
      <w:r w:rsidR="00072243">
        <w:t>adopted in D.18-12-014</w:t>
      </w:r>
      <w:r w:rsidR="00A24A62">
        <w:t xml:space="preserve">.  We </w:t>
      </w:r>
      <w:r w:rsidR="00AC1E56">
        <w:t xml:space="preserve">adopt a 2021 Safety Model Assessment Proceeding (S-MAP) Revised Lexicon, </w:t>
      </w:r>
      <w:r w:rsidR="00B47742">
        <w:t>included</w:t>
      </w:r>
      <w:r w:rsidR="00896F32">
        <w:t xml:space="preserve"> </w:t>
      </w:r>
      <w:r w:rsidR="00AC1E56">
        <w:t>in Appendix D</w:t>
      </w:r>
      <w:r w:rsidR="009D6C60">
        <w:t xml:space="preserve">.  Finally, </w:t>
      </w:r>
      <w:r w:rsidR="00A50CEF">
        <w:t xml:space="preserve">we </w:t>
      </w:r>
      <w:r w:rsidR="00FD4460">
        <w:t xml:space="preserve">formally establish a Technical Working Group for this proceeding and identify </w:t>
      </w:r>
      <w:r w:rsidR="00E40019">
        <w:t>issues in scope for this grou</w:t>
      </w:r>
      <w:r w:rsidR="00FA474A">
        <w:t xml:space="preserve">p, including developing an updated </w:t>
      </w:r>
      <w:r w:rsidR="00A308AA">
        <w:t>S</w:t>
      </w:r>
      <w:r w:rsidR="003C306D">
        <w:noBreakHyphen/>
      </w:r>
      <w:r w:rsidR="00A308AA">
        <w:t xml:space="preserve">MAP </w:t>
      </w:r>
      <w:r w:rsidR="00FA474A">
        <w:t xml:space="preserve">Roadmap to help guide Phase II of this proceeding. </w:t>
      </w:r>
      <w:r w:rsidR="00397D70">
        <w:t xml:space="preserve"> A glossary of terms used in this decision is included in Appendix G.</w:t>
      </w:r>
    </w:p>
    <w:p w:rsidR="00AA495B" w:rsidP="0014274D" w:rsidRDefault="00C01069" w14:paraId="3653A64D" w14:textId="50998469">
      <w:pPr>
        <w:pStyle w:val="Standard"/>
      </w:pPr>
      <w:r>
        <w:lastRenderedPageBreak/>
        <w:t>This proceeding remains open</w:t>
      </w:r>
      <w:r w:rsidR="0073353F">
        <w:t>.</w:t>
      </w:r>
    </w:p>
    <w:p w:rsidRPr="00121089" w:rsidR="005A148C" w:rsidP="00F46BA8" w:rsidRDefault="002C7FE9" w14:paraId="6821A122" w14:textId="294B4350">
      <w:pPr>
        <w:pStyle w:val="Heading1"/>
        <w:numPr>
          <w:ilvl w:val="0"/>
          <w:numId w:val="7"/>
        </w:numPr>
        <w:ind w:hanging="720"/>
      </w:pPr>
      <w:bookmarkStart w:name="_Toc8123715" w:id="7"/>
      <w:bookmarkStart w:name="_Toc80890841" w:id="8"/>
      <w:bookmarkStart w:name="_Toc87361141" w:id="9"/>
      <w:r w:rsidRPr="00121089">
        <w:t>Background</w:t>
      </w:r>
      <w:bookmarkEnd w:id="7"/>
      <w:bookmarkEnd w:id="8"/>
      <w:bookmarkEnd w:id="9"/>
    </w:p>
    <w:p w:rsidR="00135D0D" w:rsidP="004F4A56" w:rsidRDefault="006A02B6" w14:paraId="2C2892E7" w14:textId="0F9B9030">
      <w:pPr>
        <w:pStyle w:val="Standard"/>
      </w:pPr>
      <w:r w:rsidRPr="006A02B6">
        <w:t xml:space="preserve">On November 14, 2013, the California Public Utilities Commission (Commission) opened Rulemaking (R.) 13-11-006 </w:t>
      </w:r>
      <w:r w:rsidRPr="008C3BD2">
        <w:rPr>
          <w:i/>
          <w:iCs/>
        </w:rPr>
        <w:t>Order Instituting Rulemaking to Develop a Risk-Based Decision-Making Framework to Evaluate Safety and Reliability Improvements and Revise the Rate Case Plan for Energy Utilities</w:t>
      </w:r>
      <w:r w:rsidRPr="006A02B6">
        <w:t xml:space="preserve"> (Risk </w:t>
      </w:r>
      <w:r w:rsidR="00E757C7">
        <w:t>Rulemaking</w:t>
      </w:r>
      <w:r w:rsidRPr="006A02B6">
        <w:t>). The purpose of th</w:t>
      </w:r>
      <w:r w:rsidR="008C3BD2">
        <w:t xml:space="preserve">e Risk </w:t>
      </w:r>
      <w:r w:rsidR="00E757C7">
        <w:t>Rulemaking</w:t>
      </w:r>
      <w:r w:rsidR="008C3BD2">
        <w:t xml:space="preserve"> </w:t>
      </w:r>
      <w:r w:rsidRPr="006A02B6">
        <w:t xml:space="preserve">was to incorporate a risk-based decision-making framework into the Rate Case Plan (RCP) for the energy utilities’ General Rate Cases (GRCs), in which utilities request funding for safety-related activities.  The RCP guides utilities on the type of information that is presented and the procedural schedule to be followed to address revenue requests in their GRCs. </w:t>
      </w:r>
      <w:r w:rsidR="00CC6424">
        <w:t xml:space="preserve"> </w:t>
      </w:r>
    </w:p>
    <w:p w:rsidR="00C72067" w:rsidP="004F4A56" w:rsidRDefault="00CC6424" w14:paraId="4B78C9F6" w14:textId="393CA418">
      <w:pPr>
        <w:pStyle w:val="Standard"/>
      </w:pPr>
      <w:r w:rsidRPr="00CC6424">
        <w:t xml:space="preserve">In response to the Risk </w:t>
      </w:r>
      <w:r w:rsidR="00E757C7">
        <w:t>Rulemaking</w:t>
      </w:r>
      <w:r w:rsidRPr="00CC6424">
        <w:t>, and as a result of Senate Bill (SB) 705, and its emphasis on making natural gas safety a top priority</w:t>
      </w:r>
      <w:r w:rsidR="00802BD3">
        <w:t xml:space="preserve">, the Commission modified the </w:t>
      </w:r>
      <w:r w:rsidRPr="00CC6424">
        <w:t xml:space="preserve">RCP framework in Decision (D.) 14-12-025 </w:t>
      </w:r>
      <w:r w:rsidRPr="0030206C" w:rsidR="0030206C">
        <w:rPr>
          <w:i/>
          <w:iCs/>
        </w:rPr>
        <w:t>I</w:t>
      </w:r>
      <w:r w:rsidRPr="0030206C">
        <w:rPr>
          <w:i/>
          <w:iCs/>
        </w:rPr>
        <w:t>ncorporat</w:t>
      </w:r>
      <w:r w:rsidRPr="0030206C" w:rsidR="0030206C">
        <w:rPr>
          <w:i/>
          <w:iCs/>
        </w:rPr>
        <w:t>ing a R</w:t>
      </w:r>
      <w:r w:rsidRPr="0030206C">
        <w:rPr>
          <w:i/>
          <w:iCs/>
        </w:rPr>
        <w:t>isk-</w:t>
      </w:r>
      <w:r w:rsidRPr="0030206C" w:rsidR="0030206C">
        <w:rPr>
          <w:i/>
          <w:iCs/>
        </w:rPr>
        <w:t>B</w:t>
      </w:r>
      <w:r w:rsidRPr="0030206C">
        <w:rPr>
          <w:i/>
          <w:iCs/>
        </w:rPr>
        <w:t xml:space="preserve">ased </w:t>
      </w:r>
      <w:r w:rsidRPr="0030206C" w:rsidR="0030206C">
        <w:rPr>
          <w:i/>
          <w:iCs/>
        </w:rPr>
        <w:t>D</w:t>
      </w:r>
      <w:r w:rsidRPr="0030206C">
        <w:rPr>
          <w:i/>
          <w:iCs/>
        </w:rPr>
        <w:t>ecision</w:t>
      </w:r>
      <w:r w:rsidRPr="0030206C" w:rsidR="00AD5509">
        <w:rPr>
          <w:i/>
          <w:iCs/>
        </w:rPr>
        <w:t>-</w:t>
      </w:r>
      <w:r w:rsidRPr="0030206C" w:rsidR="0030206C">
        <w:rPr>
          <w:i/>
          <w:iCs/>
        </w:rPr>
        <w:t>Making Framework into the Rate Case Plan</w:t>
      </w:r>
      <w:r w:rsidRPr="00CC6424">
        <w:t xml:space="preserve"> </w:t>
      </w:r>
      <w:r w:rsidR="00D72F86">
        <w:t xml:space="preserve">(Risk Decision).  The Risk Decision </w:t>
      </w:r>
      <w:r w:rsidR="00135D0D">
        <w:t>establishes</w:t>
      </w:r>
      <w:r w:rsidR="00602238">
        <w:t xml:space="preserve"> the basic parameters and process for integrating risk assessments </w:t>
      </w:r>
      <w:r w:rsidRPr="00CC6424">
        <w:t xml:space="preserve">into </w:t>
      </w:r>
      <w:r w:rsidR="00602238">
        <w:t xml:space="preserve">the </w:t>
      </w:r>
      <w:r w:rsidRPr="00CC6424">
        <w:t xml:space="preserve">GRCs </w:t>
      </w:r>
      <w:r w:rsidR="00602238">
        <w:t xml:space="preserve">of </w:t>
      </w:r>
      <w:r w:rsidRPr="00CC6424">
        <w:t xml:space="preserve">the large </w:t>
      </w:r>
      <w:r w:rsidR="00602238">
        <w:t xml:space="preserve">investor-owned </w:t>
      </w:r>
      <w:r w:rsidRPr="00CC6424">
        <w:t xml:space="preserve">utilities </w:t>
      </w:r>
      <w:r w:rsidR="001806BF">
        <w:t xml:space="preserve">(IOUs) </w:t>
      </w:r>
      <w:r w:rsidRPr="00CC6424">
        <w:t xml:space="preserve">including Pacific Gas and Electric Company (PG&amp;E), Southern California Gas Company (SoCalGas), </w:t>
      </w:r>
      <w:r w:rsidR="00E15C5D">
        <w:t xml:space="preserve">Southern California Edison Company (SCE), </w:t>
      </w:r>
      <w:r w:rsidRPr="00CC6424">
        <w:t>and San Diego Gas &amp; Electric Company (SDG&amp;E)</w:t>
      </w:r>
      <w:r w:rsidR="0063491C">
        <w:t>.</w:t>
      </w:r>
      <w:r w:rsidR="00AD5509">
        <w:t xml:space="preserve"> </w:t>
      </w:r>
      <w:r w:rsidR="00914D69">
        <w:t xml:space="preserve"> </w:t>
      </w:r>
      <w:r w:rsidR="00845502">
        <w:t xml:space="preserve">Transparent </w:t>
      </w:r>
      <w:r w:rsidR="00C72067">
        <w:t>risk</w:t>
      </w:r>
      <w:r w:rsidR="001C7F04">
        <w:noBreakHyphen/>
      </w:r>
      <w:r w:rsidR="00C72067">
        <w:t>based decision-making approach</w:t>
      </w:r>
      <w:r w:rsidR="001806BF">
        <w:t xml:space="preserve">es </w:t>
      </w:r>
      <w:r w:rsidR="00C72067">
        <w:t xml:space="preserve">and </w:t>
      </w:r>
      <w:r w:rsidRPr="00914D69" w:rsidR="00914D69">
        <w:t xml:space="preserve">associated parameters assist </w:t>
      </w:r>
      <w:r w:rsidR="007C31B1">
        <w:t xml:space="preserve">the Commission and </w:t>
      </w:r>
      <w:r w:rsidRPr="00914D69" w:rsidR="00914D69">
        <w:t>interested parties in evaluating how energy utilities assess</w:t>
      </w:r>
      <w:r w:rsidR="007C31B1">
        <w:t xml:space="preserve">, </w:t>
      </w:r>
      <w:r w:rsidRPr="00914D69" w:rsidR="00914D69">
        <w:t>manag</w:t>
      </w:r>
      <w:r w:rsidR="00C72067">
        <w:t>e</w:t>
      </w:r>
      <w:r w:rsidRPr="00914D69" w:rsidR="00914D69">
        <w:t>, mitigat</w:t>
      </w:r>
      <w:r w:rsidR="00C72067">
        <w:t>e</w:t>
      </w:r>
      <w:r w:rsidR="000D57D4">
        <w:t>,</w:t>
      </w:r>
      <w:r w:rsidRPr="00914D69" w:rsidR="00914D69">
        <w:t xml:space="preserve"> and minimiz</w:t>
      </w:r>
      <w:r w:rsidR="00C72067">
        <w:t>e</w:t>
      </w:r>
      <w:r w:rsidRPr="00914D69" w:rsidR="00914D69">
        <w:t xml:space="preserve"> </w:t>
      </w:r>
      <w:r w:rsidR="007C31B1">
        <w:t xml:space="preserve">safety </w:t>
      </w:r>
      <w:r w:rsidRPr="00914D69" w:rsidR="00914D69">
        <w:t xml:space="preserve">risks. </w:t>
      </w:r>
    </w:p>
    <w:p w:rsidR="002C7FE9" w:rsidP="004F4A56" w:rsidRDefault="0062231C" w14:paraId="74D9B7FB" w14:textId="6A70292D">
      <w:pPr>
        <w:pStyle w:val="Standard"/>
      </w:pPr>
      <w:r>
        <w:t xml:space="preserve">The Commission in </w:t>
      </w:r>
      <w:r w:rsidRPr="00914D69" w:rsidR="00914D69">
        <w:t xml:space="preserve">D.14-12-025 recognized it </w:t>
      </w:r>
      <w:r w:rsidR="00C15D1A">
        <w:t xml:space="preserve">would </w:t>
      </w:r>
      <w:r w:rsidRPr="00914D69" w:rsidR="00914D69">
        <w:t xml:space="preserve">take time to </w:t>
      </w:r>
      <w:r w:rsidR="00111F00">
        <w:t xml:space="preserve">fully </w:t>
      </w:r>
      <w:r w:rsidR="006058CA">
        <w:t xml:space="preserve">develop a risk-based decision-making approach.  To assist with this process, </w:t>
      </w:r>
      <w:r>
        <w:t>D.14-12-025 direct</w:t>
      </w:r>
      <w:r w:rsidR="00AD05EE">
        <w:t>s</w:t>
      </w:r>
      <w:r w:rsidR="0051178D">
        <w:t xml:space="preserve"> </w:t>
      </w:r>
      <w:r w:rsidR="00AD05EE">
        <w:t xml:space="preserve">the IOUs </w:t>
      </w:r>
      <w:r w:rsidR="00354C76">
        <w:t xml:space="preserve">to present their risk-based decision-making models </w:t>
      </w:r>
      <w:r w:rsidR="00354C76">
        <w:lastRenderedPageBreak/>
        <w:t>in a “</w:t>
      </w:r>
      <w:r w:rsidRPr="00914D69" w:rsidR="00914D69">
        <w:t>Safety Model Assessment Proceeding (S-MAP)</w:t>
      </w:r>
      <w:r w:rsidR="00354C76">
        <w:t>”</w:t>
      </w:r>
      <w:r w:rsidR="00B569C8">
        <w:t xml:space="preserve">in 2015 and every </w:t>
      </w:r>
      <w:r w:rsidR="00767CA6">
        <w:t>three years thereafter.  D.14-12-025 also orders</w:t>
      </w:r>
      <w:r w:rsidR="00AD05EE">
        <w:t xml:space="preserve"> </w:t>
      </w:r>
      <w:r w:rsidR="00767CA6">
        <w:t xml:space="preserve">the IOUs to file </w:t>
      </w:r>
      <w:r w:rsidR="00DC4ED6">
        <w:t>a summary of their risk</w:t>
      </w:r>
      <w:r w:rsidR="001C7F04">
        <w:noBreakHyphen/>
      </w:r>
      <w:r w:rsidR="00DC4ED6">
        <w:t xml:space="preserve">based decision-making processes </w:t>
      </w:r>
      <w:r w:rsidR="004069CA">
        <w:t xml:space="preserve">and risk mitigation plans </w:t>
      </w:r>
      <w:r w:rsidR="00DC4ED6">
        <w:t>in a “</w:t>
      </w:r>
      <w:r w:rsidRPr="00914D69" w:rsidR="00914D69">
        <w:t>Risk Assessment and Mitigation Phase</w:t>
      </w:r>
      <w:r w:rsidR="00DC4ED6">
        <w:t xml:space="preserve"> </w:t>
      </w:r>
      <w:r w:rsidRPr="00914D69" w:rsidR="00914D69">
        <w:t>(RAMP)</w:t>
      </w:r>
      <w:r w:rsidR="00DC4ED6">
        <w:t>” report</w:t>
      </w:r>
      <w:r w:rsidR="004069CA">
        <w:t>, filed one year before each IOU’s GRC application</w:t>
      </w:r>
      <w:r w:rsidR="00032484">
        <w:t xml:space="preserve">, for review by stakeholders and Commission </w:t>
      </w:r>
      <w:r w:rsidR="002C6C7E">
        <w:t>Staff</w:t>
      </w:r>
      <w:r w:rsidR="004069CA">
        <w:t>.</w:t>
      </w:r>
    </w:p>
    <w:p w:rsidR="007C31B1" w:rsidP="003C306D" w:rsidRDefault="007C31B1" w14:paraId="070AB779" w14:textId="068CBCA9">
      <w:pPr>
        <w:pStyle w:val="Standard"/>
        <w:ind w:right="-90"/>
      </w:pPr>
      <w:r>
        <w:t xml:space="preserve">On May 15, 2015, the IOUs each filed </w:t>
      </w:r>
      <w:r w:rsidR="00212778">
        <w:t>an S-MAP application</w:t>
      </w:r>
      <w:r w:rsidR="004F6F4C">
        <w:t xml:space="preserve">, establishing the Application (A.) 15-05-002 </w:t>
      </w:r>
      <w:r w:rsidRPr="004F6F4C" w:rsidR="004F6F4C">
        <w:rPr>
          <w:i/>
          <w:iCs/>
        </w:rPr>
        <w:t>et al</w:t>
      </w:r>
      <w:r w:rsidR="004F6F4C">
        <w:t xml:space="preserve"> proceeding</w:t>
      </w:r>
      <w:r w:rsidR="00714E05">
        <w:t xml:space="preserve"> (S-MAP </w:t>
      </w:r>
      <w:r w:rsidR="00BE448D">
        <w:t>p</w:t>
      </w:r>
      <w:r w:rsidR="00714E05">
        <w:t>roceeding)</w:t>
      </w:r>
      <w:r w:rsidR="00212778">
        <w:t xml:space="preserve">.  </w:t>
      </w:r>
      <w:r w:rsidR="00CF0F92">
        <w:t>On August</w:t>
      </w:r>
      <w:r w:rsidR="001C7F04">
        <w:t> </w:t>
      </w:r>
      <w:r w:rsidR="00CF0F92">
        <w:t>18,</w:t>
      </w:r>
      <w:r w:rsidR="001C7F04">
        <w:t> </w:t>
      </w:r>
      <w:r w:rsidR="00CF0F92">
        <w:t xml:space="preserve">2016, the Commission </w:t>
      </w:r>
      <w:r w:rsidRPr="005E12DE" w:rsidR="005E12DE">
        <w:t>a</w:t>
      </w:r>
      <w:r w:rsidR="005E12DE">
        <w:t>dopted</w:t>
      </w:r>
      <w:r w:rsidRPr="005E12DE" w:rsidR="005E12DE">
        <w:t xml:space="preserve"> D.16-08-018 </w:t>
      </w:r>
      <w:r w:rsidRPr="005E12DE" w:rsidR="005E12DE">
        <w:rPr>
          <w:i/>
          <w:iCs/>
        </w:rPr>
        <w:t>Interim Decision Adopting Multi-Attribute Approach (Or Utility Equivalent Features) and Directing Utilities to Take Steps Toward a More Uniform Risk Management Framewor</w:t>
      </w:r>
      <w:r w:rsidR="005E12DE">
        <w:rPr>
          <w:i/>
          <w:iCs/>
        </w:rPr>
        <w:t>k</w:t>
      </w:r>
      <w:r w:rsidR="00C358FA">
        <w:rPr>
          <w:i/>
          <w:iCs/>
        </w:rPr>
        <w:t xml:space="preserve"> </w:t>
      </w:r>
      <w:r w:rsidRPr="00C358FA" w:rsidR="00C358FA">
        <w:t>(Interim Decision).</w:t>
      </w:r>
      <w:r w:rsidR="00C358FA">
        <w:rPr>
          <w:i/>
          <w:iCs/>
        </w:rPr>
        <w:t xml:space="preserve"> </w:t>
      </w:r>
      <w:r w:rsidR="00C358FA">
        <w:t xml:space="preserve"> The Interim Decision </w:t>
      </w:r>
      <w:r w:rsidR="009B6FC0">
        <w:t>direct</w:t>
      </w:r>
      <w:r w:rsidR="0070653B">
        <w:t>s</w:t>
      </w:r>
      <w:r w:rsidR="009B6FC0">
        <w:t xml:space="preserve"> the IOUs to take steps to develop a more uniform approach to risk management and to test an approach proposed by intervenors towards this end. </w:t>
      </w:r>
      <w:r w:rsidR="00122138">
        <w:t xml:space="preserve"> The Interim Decision adopt</w:t>
      </w:r>
      <w:r w:rsidR="00885CD5">
        <w:t>s</w:t>
      </w:r>
      <w:r w:rsidR="00122138">
        <w:t xml:space="preserve"> minimum requirements for</w:t>
      </w:r>
      <w:r w:rsidR="003C306D">
        <w:br/>
      </w:r>
      <w:r w:rsidR="00122138">
        <w:t xml:space="preserve">RAMP filings, an initial </w:t>
      </w:r>
      <w:r w:rsidR="00885CD5">
        <w:t>“</w:t>
      </w:r>
      <w:r w:rsidR="00797050">
        <w:t>L</w:t>
      </w:r>
      <w:r w:rsidR="00122138">
        <w:t>exicon</w:t>
      </w:r>
      <w:r w:rsidR="00885CD5">
        <w:t>”</w:t>
      </w:r>
      <w:r w:rsidR="00122138">
        <w:t xml:space="preserve"> of terms</w:t>
      </w:r>
      <w:r w:rsidR="000F59C2">
        <w:t xml:space="preserve"> relating to the S-MAP and RAMP framework</w:t>
      </w:r>
      <w:r w:rsidR="00FA137F">
        <w:t>s</w:t>
      </w:r>
      <w:r w:rsidR="00E063D1">
        <w:t>, emphasize</w:t>
      </w:r>
      <w:r w:rsidR="00885CD5">
        <w:t xml:space="preserve">s </w:t>
      </w:r>
      <w:r w:rsidR="00E063D1">
        <w:t>the importance of risk-spend efficiency (RSE) calculations</w:t>
      </w:r>
      <w:r w:rsidR="00275757">
        <w:t xml:space="preserve"> in ranking risks</w:t>
      </w:r>
      <w:r w:rsidR="00E063D1">
        <w:t>, and adopt</w:t>
      </w:r>
      <w:r w:rsidR="00885CD5">
        <w:t>s</w:t>
      </w:r>
      <w:r w:rsidR="00E063D1">
        <w:t xml:space="preserve"> an interim </w:t>
      </w:r>
      <w:r w:rsidR="0063192C">
        <w:t xml:space="preserve">S-MAP </w:t>
      </w:r>
      <w:r w:rsidR="00E063D1">
        <w:t>Road</w:t>
      </w:r>
      <w:r w:rsidR="00230BD8">
        <w:t>m</w:t>
      </w:r>
      <w:r w:rsidR="00E063D1">
        <w:t xml:space="preserve">ap </w:t>
      </w:r>
      <w:r w:rsidR="00A02192">
        <w:t xml:space="preserve">to move from the relative risk scoring frameworks contained in the IOUs’ May 2015 filings to more quantified methods for optimized risk mitigation.  </w:t>
      </w:r>
    </w:p>
    <w:p w:rsidR="00BD4F15" w:rsidP="004F4A56" w:rsidRDefault="00BD4F15" w14:paraId="203203CD" w14:textId="0C87E7F7">
      <w:pPr>
        <w:pStyle w:val="Standard"/>
      </w:pPr>
      <w:r>
        <w:t>On December 13, 2018, the Commission adopted D.18-12-014</w:t>
      </w:r>
      <w:r w:rsidRPr="00415D86">
        <w:rPr>
          <w:i/>
          <w:iCs/>
        </w:rPr>
        <w:t xml:space="preserve">, </w:t>
      </w:r>
      <w:r w:rsidRPr="00415D86" w:rsidR="00415D86">
        <w:rPr>
          <w:i/>
          <w:iCs/>
        </w:rPr>
        <w:t>Phase Two Decision Adopting Safety Model Assessment Proceeding Settlement Agreement with Modifications</w:t>
      </w:r>
      <w:r w:rsidR="00415D86">
        <w:rPr>
          <w:i/>
          <w:iCs/>
        </w:rPr>
        <w:t xml:space="preserve"> </w:t>
      </w:r>
      <w:r w:rsidRPr="00415D86" w:rsidR="00415D86">
        <w:t>(SA Decision)</w:t>
      </w:r>
      <w:r w:rsidR="00B06202">
        <w:t xml:space="preserve"> in the S-MAP </w:t>
      </w:r>
      <w:r w:rsidR="00BE448D">
        <w:t>p</w:t>
      </w:r>
      <w:r w:rsidR="00B06202">
        <w:t>roceeding</w:t>
      </w:r>
      <w:r w:rsidRPr="00415D86" w:rsidR="00415D86">
        <w:t>.</w:t>
      </w:r>
      <w:r w:rsidR="00415D86">
        <w:t xml:space="preserve">  </w:t>
      </w:r>
      <w:r w:rsidR="004E4551">
        <w:t>T</w:t>
      </w:r>
      <w:r w:rsidR="00415D86">
        <w:t>he SA Decision</w:t>
      </w:r>
      <w:r w:rsidR="00412F8B">
        <w:t xml:space="preserve"> adopts requirements for</w:t>
      </w:r>
      <w:r w:rsidR="00415D86">
        <w:t xml:space="preserve"> a </w:t>
      </w:r>
      <w:r w:rsidR="00B92DEC">
        <w:t>Risk-Based Decision-Making Framework (RDF)</w:t>
      </w:r>
      <w:r w:rsidR="00BE448D">
        <w:t xml:space="preserve"> </w:t>
      </w:r>
      <w:r w:rsidR="00B92DEC">
        <w:t xml:space="preserve">proposed in a </w:t>
      </w:r>
      <w:r w:rsidR="00BE448D">
        <w:t>S</w:t>
      </w:r>
      <w:r w:rsidR="00415D86">
        <w:t xml:space="preserve">ettlement </w:t>
      </w:r>
      <w:r w:rsidR="00BE448D">
        <w:t>A</w:t>
      </w:r>
      <w:r w:rsidR="00415D86">
        <w:t xml:space="preserve">greement developed by </w:t>
      </w:r>
      <w:r w:rsidR="00B06202">
        <w:t xml:space="preserve">most </w:t>
      </w:r>
      <w:r w:rsidR="00415D86">
        <w:t>parties</w:t>
      </w:r>
      <w:r w:rsidR="00412F8B">
        <w:t xml:space="preserve"> and additionally </w:t>
      </w:r>
      <w:r w:rsidR="003C1EEB">
        <w:t xml:space="preserve">requires a minimum 40 percent weighting to safety issues when </w:t>
      </w:r>
      <w:r w:rsidR="00895FCF">
        <w:t xml:space="preserve">implemented. </w:t>
      </w:r>
      <w:r w:rsidR="00412F8B">
        <w:t xml:space="preserve"> The SA Decision </w:t>
      </w:r>
      <w:r w:rsidR="00BE448D">
        <w:t xml:space="preserve">adopts </w:t>
      </w:r>
      <w:r w:rsidR="00412F8B">
        <w:t>a</w:t>
      </w:r>
      <w:r w:rsidR="00D35D2B">
        <w:t xml:space="preserve"> </w:t>
      </w:r>
      <w:r w:rsidR="0087059C">
        <w:t xml:space="preserve">2018 </w:t>
      </w:r>
      <w:r w:rsidR="00D35D2B">
        <w:t>Revised</w:t>
      </w:r>
      <w:r w:rsidR="00412F8B">
        <w:t xml:space="preserve"> </w:t>
      </w:r>
      <w:r w:rsidR="005B79B3">
        <w:t xml:space="preserve">S-MAP </w:t>
      </w:r>
      <w:r w:rsidR="00412F8B">
        <w:t xml:space="preserve">Lexicon and an updated </w:t>
      </w:r>
      <w:r w:rsidR="00BE448D">
        <w:t xml:space="preserve">S-MAP </w:t>
      </w:r>
      <w:r w:rsidR="00412F8B">
        <w:t>Road</w:t>
      </w:r>
      <w:r w:rsidR="00230BD8">
        <w:t>m</w:t>
      </w:r>
      <w:r w:rsidR="00412F8B">
        <w:t xml:space="preserve">ap.  </w:t>
      </w:r>
    </w:p>
    <w:p w:rsidR="00895FCF" w:rsidP="004254E2" w:rsidRDefault="00895FCF" w14:paraId="53D8711D" w14:textId="4D8E7604">
      <w:pPr>
        <w:pStyle w:val="Standard"/>
        <w:keepNext/>
      </w:pPr>
      <w:r>
        <w:lastRenderedPageBreak/>
        <w:t>In brief, t</w:t>
      </w:r>
      <w:r w:rsidR="00873B23">
        <w:t xml:space="preserve">he RDF </w:t>
      </w:r>
      <w:r w:rsidR="00412F8B">
        <w:t xml:space="preserve">adopted in the SA Decision </w:t>
      </w:r>
      <w:r w:rsidR="00873B23">
        <w:t xml:space="preserve">requires </w:t>
      </w:r>
      <w:r w:rsidR="00D00E65">
        <w:t xml:space="preserve">IOUs to: </w:t>
      </w:r>
    </w:p>
    <w:p w:rsidR="00895FCF" w:rsidP="004254E2" w:rsidRDefault="00895FCF" w14:paraId="657EEFAF" w14:textId="77777777">
      <w:pPr>
        <w:pStyle w:val="ListBullet"/>
        <w:keepNext/>
        <w:ind w:left="1080" w:right="1440"/>
      </w:pPr>
      <w:r w:rsidRPr="00895FCF">
        <w:t xml:space="preserve">Employ consistent methods to identify and prioritize risks; </w:t>
      </w:r>
    </w:p>
    <w:p w:rsidR="00895FCF" w:rsidP="004254E2" w:rsidRDefault="00895FCF" w14:paraId="18248863" w14:textId="7D0C7F74">
      <w:pPr>
        <w:pStyle w:val="ListBullet"/>
        <w:ind w:left="1080" w:right="1440"/>
      </w:pPr>
      <w:r w:rsidRPr="00895FCF">
        <w:t xml:space="preserve">Model risk impacts </w:t>
      </w:r>
      <w:r w:rsidR="00C71D6A">
        <w:t>in a</w:t>
      </w:r>
      <w:r w:rsidR="004B4ED9">
        <w:t xml:space="preserve"> “Multi-Attribute Value Function” (MAVF) </w:t>
      </w:r>
      <w:r w:rsidRPr="00895FCF">
        <w:t>across three required risk categories (safety, financial, reliability)</w:t>
      </w:r>
      <w:r w:rsidR="007636B4">
        <w:t>,</w:t>
      </w:r>
      <w:r w:rsidRPr="00895FCF">
        <w:t xml:space="preserve"> and other categories as desired, and assign a weight to the</w:t>
      </w:r>
      <w:r w:rsidR="00C71D6A">
        <w:t xml:space="preserve"> </w:t>
      </w:r>
      <w:r w:rsidRPr="00895FCF">
        <w:t>categories;</w:t>
      </w:r>
    </w:p>
    <w:p w:rsidR="00095514" w:rsidP="004254E2" w:rsidRDefault="00895FCF" w14:paraId="3A355D0F" w14:textId="77777777">
      <w:pPr>
        <w:pStyle w:val="ListBullet"/>
        <w:ind w:left="1080" w:right="1440"/>
      </w:pPr>
      <w:r w:rsidRPr="00895FCF">
        <w:t>Assign a minimum 40 percent weight to the category of safety impacts;</w:t>
      </w:r>
    </w:p>
    <w:p w:rsidR="00095514" w:rsidP="004254E2" w:rsidRDefault="00095514" w14:paraId="1AABFFEA" w14:textId="77777777">
      <w:pPr>
        <w:pStyle w:val="ListBullet"/>
        <w:ind w:left="1080" w:right="1440"/>
      </w:pPr>
      <w:r w:rsidRPr="00095514">
        <w:t xml:space="preserve">For risks representing the top 40 percent of safety impacts greater than zero, use a probabilistic, quantitative approach to estimate the likelihood and consequences of risk events across the required and optional risk impact categories; </w:t>
      </w:r>
    </w:p>
    <w:p w:rsidRPr="00AB46BA" w:rsidR="00095514" w:rsidP="004254E2" w:rsidRDefault="00095514" w14:paraId="1A313552" w14:textId="41B494AE">
      <w:pPr>
        <w:pStyle w:val="ListBullet"/>
        <w:ind w:left="1080" w:right="1440"/>
      </w:pPr>
      <w:r w:rsidRPr="009A7352">
        <w:t xml:space="preserve">Translate all </w:t>
      </w:r>
      <w:r w:rsidRPr="005F6BC9">
        <w:t xml:space="preserve">impacts </w:t>
      </w:r>
      <w:r w:rsidRPr="005A6CB6" w:rsidR="00552DB7">
        <w:t xml:space="preserve">of risk events </w:t>
      </w:r>
      <w:r w:rsidRPr="00AB46BA">
        <w:t xml:space="preserve">into </w:t>
      </w:r>
      <w:r w:rsidRPr="00F77317" w:rsidDel="004D6AF0">
        <w:t xml:space="preserve">a 100-unit </w:t>
      </w:r>
      <w:r w:rsidRPr="00656BD7" w:rsidR="00F75FA9">
        <w:t>scale</w:t>
      </w:r>
      <w:r w:rsidRPr="005F6BC9">
        <w:t>;</w:t>
      </w:r>
      <w:r w:rsidRPr="005A6CB6">
        <w:t xml:space="preserve"> </w:t>
      </w:r>
    </w:p>
    <w:p w:rsidRPr="00AB46BA" w:rsidR="00072510" w:rsidP="002E336A" w:rsidRDefault="00095514" w14:paraId="03F906B7" w14:textId="3D90FA61">
      <w:pPr>
        <w:pStyle w:val="ListBullet"/>
        <w:ind w:left="1080" w:right="1440"/>
      </w:pPr>
      <w:r w:rsidRPr="00F77317">
        <w:t>Include a bow tie</w:t>
      </w:r>
      <w:r w:rsidRPr="005F6BC9" w:rsidR="00AC4C04">
        <w:rPr>
          <w:rStyle w:val="FootnoteReference"/>
        </w:rPr>
        <w:footnoteReference w:id="2"/>
      </w:r>
      <w:r w:rsidRPr="005F6BC9">
        <w:t xml:space="preserve"> illus</w:t>
      </w:r>
      <w:r w:rsidRPr="00870ED8">
        <w:t>tration for each risk and each mitigation, and identify which element(s) of its associated bow t</w:t>
      </w:r>
      <w:r w:rsidRPr="005A6CB6">
        <w:t>ie the mitigation addresses;</w:t>
      </w:r>
    </w:p>
    <w:p w:rsidR="00095514" w:rsidP="004254E2" w:rsidRDefault="00686CAB" w14:paraId="0FF7FC5E" w14:textId="470FB18C">
      <w:pPr>
        <w:pStyle w:val="ListBullet"/>
        <w:ind w:left="1080" w:right="1440"/>
      </w:pPr>
      <w:r w:rsidRPr="00656BD7">
        <w:t xml:space="preserve">Include </w:t>
      </w:r>
      <w:r w:rsidRPr="00656BD7" w:rsidR="00BA6D60">
        <w:t>in the RAMP</w:t>
      </w:r>
      <w:r w:rsidRPr="00656BD7" w:rsidR="007D3DA6">
        <w:t xml:space="preserve"> </w:t>
      </w:r>
      <w:r w:rsidRPr="00656BD7" w:rsidR="00097701">
        <w:t>the top 40</w:t>
      </w:r>
      <w:r w:rsidRPr="00656BD7">
        <w:t xml:space="preserve"> percent</w:t>
      </w:r>
      <w:r w:rsidRPr="00656BD7" w:rsidR="00097701">
        <w:t xml:space="preserve"> </w:t>
      </w:r>
      <w:r w:rsidRPr="00656BD7" w:rsidR="00E64919">
        <w:t xml:space="preserve">of </w:t>
      </w:r>
      <w:r w:rsidRPr="00656BD7" w:rsidR="006E2585">
        <w:t xml:space="preserve">risk events </w:t>
      </w:r>
      <w:r w:rsidRPr="00656BD7" w:rsidR="004513E8">
        <w:t xml:space="preserve">as ranked </w:t>
      </w:r>
      <w:r w:rsidRPr="00656BD7" w:rsidR="00902504">
        <w:t xml:space="preserve">by </w:t>
      </w:r>
      <w:r w:rsidRPr="00656BD7" w:rsidR="0094715F">
        <w:t>safety</w:t>
      </w:r>
      <w:r w:rsidRPr="00656BD7" w:rsidR="0019330E">
        <w:t xml:space="preserve"> </w:t>
      </w:r>
      <w:r w:rsidRPr="00656BD7" w:rsidR="00E4045F">
        <w:t>category</w:t>
      </w:r>
      <w:r w:rsidRPr="00656BD7" w:rsidR="00902504">
        <w:t xml:space="preserve"> </w:t>
      </w:r>
      <w:r w:rsidRPr="00656BD7" w:rsidR="0094715F">
        <w:t xml:space="preserve">risk </w:t>
      </w:r>
      <w:r w:rsidRPr="00656BD7" w:rsidR="00007A0A">
        <w:t>score</w:t>
      </w:r>
      <w:r w:rsidRPr="00656BD7" w:rsidR="00231391">
        <w:t>s</w:t>
      </w:r>
      <w:r w:rsidRPr="00656BD7" w:rsidR="00902504">
        <w:t xml:space="preserve"> only, </w:t>
      </w:r>
      <w:r w:rsidRPr="00656BD7" w:rsidR="0000774A">
        <w:t xml:space="preserve">computed </w:t>
      </w:r>
      <w:r w:rsidRPr="00656BD7" w:rsidR="0019330E">
        <w:t>using the</w:t>
      </w:r>
      <w:r w:rsidRPr="00656BD7" w:rsidR="0038729C">
        <w:t xml:space="preserve"> MAVF</w:t>
      </w:r>
      <w:r w:rsidR="003F567A">
        <w:t>, a</w:t>
      </w:r>
      <w:r w:rsidRPr="00352F78" w:rsidR="00D13FEA">
        <w:t>nalyze</w:t>
      </w:r>
      <w:r w:rsidRPr="00656BD7" w:rsidR="00FF05BF">
        <w:t xml:space="preserve"> these risks using the </w:t>
      </w:r>
      <w:r w:rsidRPr="00656BD7" w:rsidR="002249E5">
        <w:t xml:space="preserve">full </w:t>
      </w:r>
      <w:r w:rsidRPr="00656BD7" w:rsidR="0038729C">
        <w:t>MAVF</w:t>
      </w:r>
      <w:r w:rsidRPr="00656BD7" w:rsidR="003A46EB">
        <w:t xml:space="preserve">, including </w:t>
      </w:r>
      <w:r w:rsidRPr="00656BD7" w:rsidR="0038729C">
        <w:t xml:space="preserve">all </w:t>
      </w:r>
      <w:r w:rsidRPr="00656BD7" w:rsidR="00F74BA5">
        <w:t xml:space="preserve">risk </w:t>
      </w:r>
      <w:r w:rsidRPr="00656BD7" w:rsidR="00E4045F">
        <w:t>impact categories</w:t>
      </w:r>
      <w:r w:rsidRPr="00656BD7" w:rsidR="003A46EB">
        <w:t>,</w:t>
      </w:r>
      <w:r w:rsidRPr="00656BD7" w:rsidR="00331C6D">
        <w:t xml:space="preserve"> and compute RSE scores</w:t>
      </w:r>
      <w:r w:rsidRPr="00656BD7" w:rsidR="002A4539">
        <w:t xml:space="preserve"> for </w:t>
      </w:r>
      <w:r w:rsidRPr="00656BD7" w:rsidR="002E34DC">
        <w:t>all mitigations</w:t>
      </w:r>
      <w:r w:rsidRPr="005F6BC9" w:rsidR="00095514">
        <w:t xml:space="preserve">; </w:t>
      </w:r>
      <w:r w:rsidRPr="00095514" w:rsidR="00095514">
        <w:t xml:space="preserve">and, </w:t>
      </w:r>
    </w:p>
    <w:p w:rsidR="00095514" w:rsidP="004254E2" w:rsidRDefault="00095514" w14:paraId="28D9D916" w14:textId="120BA4A3">
      <w:pPr>
        <w:pStyle w:val="ListBullet"/>
        <w:ind w:left="1080" w:right="1440"/>
      </w:pPr>
      <w:r w:rsidRPr="00095514">
        <w:t>Rank (prioritize) all mitigation options by RSE scores.</w:t>
      </w:r>
    </w:p>
    <w:p w:rsidR="00DC0333" w:rsidP="004F4A56" w:rsidRDefault="00347A24" w14:paraId="63B7CA58" w14:textId="2D3AEBB5">
      <w:pPr>
        <w:pStyle w:val="Standard"/>
      </w:pPr>
      <w:r>
        <w:t>D.19-04-020</w:t>
      </w:r>
      <w:r w:rsidR="00EF4DA4">
        <w:t xml:space="preserve"> </w:t>
      </w:r>
      <w:r w:rsidR="00A924E5">
        <w:t xml:space="preserve">subsequently </w:t>
      </w:r>
      <w:r w:rsidRPr="00347A24">
        <w:t>adopt</w:t>
      </w:r>
      <w:r w:rsidR="00A924E5">
        <w:t>ed</w:t>
      </w:r>
      <w:r w:rsidRPr="00347A24">
        <w:t xml:space="preserve"> 26 </w:t>
      </w:r>
      <w:r>
        <w:t>S</w:t>
      </w:r>
      <w:r w:rsidRPr="00347A24">
        <w:t xml:space="preserve">afety </w:t>
      </w:r>
      <w:r>
        <w:t>P</w:t>
      </w:r>
      <w:r w:rsidRPr="00347A24">
        <w:t xml:space="preserve">erformance </w:t>
      </w:r>
      <w:r>
        <w:t>M</w:t>
      </w:r>
      <w:r w:rsidRPr="00347A24">
        <w:t xml:space="preserve">etrics </w:t>
      </w:r>
      <w:r>
        <w:t xml:space="preserve">(SPMs) </w:t>
      </w:r>
      <w:r w:rsidR="00EF4DA4">
        <w:t xml:space="preserve">to apply to all four IOUs.  D.19-04-020 </w:t>
      </w:r>
      <w:r w:rsidRPr="00347A24">
        <w:t>require</w:t>
      </w:r>
      <w:r w:rsidR="00992784">
        <w:t>s</w:t>
      </w:r>
      <w:r w:rsidRPr="00347A24">
        <w:t xml:space="preserve"> IOUs to annually file SPM reports in their respective open or most recent GRC proceeding</w:t>
      </w:r>
      <w:r w:rsidR="00797050">
        <w:t>.</w:t>
      </w:r>
      <w:r w:rsidR="00BF390C">
        <w:t xml:space="preserve">  </w:t>
      </w:r>
      <w:r w:rsidR="00A924E5">
        <w:t xml:space="preserve">D.19-04-020 closed </w:t>
      </w:r>
      <w:r w:rsidR="00F40BCC">
        <w:t xml:space="preserve">the S-MAP Proceeding </w:t>
      </w:r>
      <w:r w:rsidR="00A924E5">
        <w:t xml:space="preserve">and indicated the Commission would open a rulemaking to </w:t>
      </w:r>
      <w:r w:rsidR="00A924E5">
        <w:lastRenderedPageBreak/>
        <w:t xml:space="preserve">consider additional risk-based decision-making </w:t>
      </w:r>
      <w:r w:rsidR="00EF08E2">
        <w:t xml:space="preserve">questions </w:t>
      </w:r>
      <w:r w:rsidR="004F73EE">
        <w:t xml:space="preserve">instead of requiring a second </w:t>
      </w:r>
      <w:r w:rsidR="00C14973">
        <w:t xml:space="preserve">IOU </w:t>
      </w:r>
      <w:r w:rsidR="004F73EE">
        <w:t>S-MAP filling</w:t>
      </w:r>
      <w:r w:rsidR="00C14973">
        <w:t xml:space="preserve"> as envisioned in </w:t>
      </w:r>
      <w:r w:rsidR="00F40BCC">
        <w:t>the Risk Decision</w:t>
      </w:r>
      <w:r w:rsidR="00C14973">
        <w:t xml:space="preserve">.  </w:t>
      </w:r>
    </w:p>
    <w:p w:rsidR="008D0716" w:rsidP="004F4A56" w:rsidRDefault="00D57CDD" w14:paraId="7C8B9B11" w14:textId="1EEB0F4E">
      <w:pPr>
        <w:pStyle w:val="Standard"/>
      </w:pPr>
      <w:r>
        <w:t xml:space="preserve">On </w:t>
      </w:r>
      <w:r w:rsidR="00985D60">
        <w:t>May 28, 2020</w:t>
      </w:r>
      <w:r>
        <w:t>, the Commission adopted D.20-05-053 in I</w:t>
      </w:r>
      <w:r w:rsidR="00985D60">
        <w:t>nvestigation (I</w:t>
      </w:r>
      <w:r>
        <w:t>.</w:t>
      </w:r>
      <w:r w:rsidR="00985D60">
        <w:t>)</w:t>
      </w:r>
      <w:r w:rsidR="004254E2">
        <w:t> </w:t>
      </w:r>
      <w:r w:rsidR="00985D60">
        <w:t>19-09-016</w:t>
      </w:r>
      <w:r w:rsidR="0072603C">
        <w:t>.</w:t>
      </w:r>
      <w:r w:rsidR="0072603C">
        <w:rPr>
          <w:rStyle w:val="FootnoteReference"/>
        </w:rPr>
        <w:footnoteReference w:id="3"/>
      </w:r>
      <w:r>
        <w:t xml:space="preserve">  </w:t>
      </w:r>
      <w:r w:rsidR="0072603C">
        <w:t>D.20-05-053 approve</w:t>
      </w:r>
      <w:r w:rsidR="004D334C">
        <w:t>d</w:t>
      </w:r>
      <w:r w:rsidR="0072603C">
        <w:t xml:space="preserve"> a reorganization plan for PG&amp;E subsequent to that utility’s declaration of ba</w:t>
      </w:r>
      <w:r w:rsidR="00FA1A0B">
        <w:t>n</w:t>
      </w:r>
      <w:r w:rsidR="0072603C">
        <w:t xml:space="preserve">kruptcy </w:t>
      </w:r>
      <w:r w:rsidR="00FA1A0B">
        <w:t>in January 2019.  D.20</w:t>
      </w:r>
      <w:r w:rsidR="004254E2">
        <w:noBreakHyphen/>
      </w:r>
      <w:r w:rsidR="00FA1A0B">
        <w:t>05</w:t>
      </w:r>
      <w:r w:rsidR="004254E2">
        <w:noBreakHyphen/>
      </w:r>
      <w:r w:rsidR="00FA1A0B">
        <w:t>053 call</w:t>
      </w:r>
      <w:r w:rsidR="00C51291">
        <w:t>s</w:t>
      </w:r>
      <w:r w:rsidR="00FA1A0B">
        <w:t xml:space="preserve"> for the development of Safety and Operational Metrics (SOMs) </w:t>
      </w:r>
      <w:r w:rsidR="00C51291">
        <w:t>applicable t</w:t>
      </w:r>
      <w:r w:rsidR="00FA1A0B">
        <w:t xml:space="preserve">o PG&amp;E to be used </w:t>
      </w:r>
      <w:r w:rsidR="00BE5478">
        <w:t xml:space="preserve">in </w:t>
      </w:r>
      <w:r w:rsidR="00C51291">
        <w:t xml:space="preserve">conjunction with </w:t>
      </w:r>
      <w:r w:rsidR="00BE5478">
        <w:t xml:space="preserve">the Enhanced Oversight and Enforcement </w:t>
      </w:r>
      <w:r w:rsidR="00B7766B">
        <w:t>Process (EOE</w:t>
      </w:r>
      <w:r w:rsidR="00642571">
        <w:t xml:space="preserve"> </w:t>
      </w:r>
      <w:r w:rsidR="00B7766B">
        <w:t>P</w:t>
      </w:r>
      <w:r w:rsidR="00642571">
        <w:t>rocess</w:t>
      </w:r>
      <w:r w:rsidR="00B7766B">
        <w:t>) adopted</w:t>
      </w:r>
      <w:r w:rsidR="00F40397">
        <w:t xml:space="preserve"> </w:t>
      </w:r>
      <w:r w:rsidR="004F1C49">
        <w:t xml:space="preserve">in that </w:t>
      </w:r>
      <w:r w:rsidRPr="00775D74" w:rsidR="004F1C49">
        <w:t>decision</w:t>
      </w:r>
      <w:r w:rsidRPr="00775D74" w:rsidR="00F40397">
        <w:t>.</w:t>
      </w:r>
      <w:r w:rsidRPr="00775D74" w:rsidR="00507F99">
        <w:t xml:space="preserve"> </w:t>
      </w:r>
      <w:r w:rsidRPr="00775D74" w:rsidR="005C18AE">
        <w:t xml:space="preserve"> </w:t>
      </w:r>
      <w:r w:rsidRPr="00775D74" w:rsidR="00507F99">
        <w:t>As described</w:t>
      </w:r>
      <w:r w:rsidR="00507F99">
        <w:t xml:space="preserve"> in later sections of this decision, the EOE </w:t>
      </w:r>
      <w:r w:rsidR="00507F99">
        <w:rPr>
          <w:iCs/>
        </w:rPr>
        <w:t>P</w:t>
      </w:r>
      <w:r w:rsidRPr="004563CE" w:rsidR="00507F99">
        <w:rPr>
          <w:iCs/>
        </w:rPr>
        <w:t xml:space="preserve">rocess </w:t>
      </w:r>
      <w:r w:rsidR="00507F99">
        <w:rPr>
          <w:iCs/>
        </w:rPr>
        <w:t xml:space="preserve">is designed to </w:t>
      </w:r>
      <w:r w:rsidRPr="004563CE" w:rsidR="00507F99">
        <w:rPr>
          <w:iCs/>
        </w:rPr>
        <w:t xml:space="preserve">ensure </w:t>
      </w:r>
      <w:r w:rsidR="00507F99">
        <w:rPr>
          <w:iCs/>
        </w:rPr>
        <w:t xml:space="preserve">that </w:t>
      </w:r>
      <w:r w:rsidRPr="004563CE" w:rsidR="00507F99">
        <w:rPr>
          <w:iCs/>
        </w:rPr>
        <w:t>PG&amp;E is improving its safety and operational performance</w:t>
      </w:r>
      <w:r w:rsidR="00241DB6">
        <w:rPr>
          <w:iCs/>
        </w:rPr>
        <w:t xml:space="preserve"> and provides for enhanced reporting by PG&amp;E and expanded Commission oversight in the event that PG&amp;E’s performance is unsatisfactory</w:t>
      </w:r>
      <w:r w:rsidR="00507F99">
        <w:rPr>
          <w:iCs/>
        </w:rPr>
        <w:t xml:space="preserve">.  </w:t>
      </w:r>
      <w:r w:rsidR="00BE0DED">
        <w:rPr>
          <w:iCs/>
        </w:rPr>
        <w:t xml:space="preserve"> </w:t>
      </w:r>
    </w:p>
    <w:p w:rsidR="0063491C" w:rsidP="00213D7A" w:rsidRDefault="00213D7A" w14:paraId="188E40E3" w14:textId="7211DF10">
      <w:pPr>
        <w:pStyle w:val="Heading1"/>
      </w:pPr>
      <w:bookmarkStart w:name="_Toc8123717" w:id="10"/>
      <w:bookmarkStart w:name="_Toc80890842" w:id="11"/>
      <w:bookmarkStart w:name="_Toc87361142" w:id="12"/>
      <w:r>
        <w:t>2.</w:t>
      </w:r>
      <w:r>
        <w:tab/>
      </w:r>
      <w:r w:rsidR="0063491C">
        <w:t>Procedural Background</w:t>
      </w:r>
      <w:bookmarkEnd w:id="10"/>
      <w:bookmarkEnd w:id="11"/>
      <w:bookmarkEnd w:id="12"/>
    </w:p>
    <w:p w:rsidR="00B70ACE" w:rsidP="004F4A56" w:rsidRDefault="00B70ACE" w14:paraId="6A4B02ED" w14:textId="17668CAE">
      <w:pPr>
        <w:pStyle w:val="Standard"/>
      </w:pPr>
      <w:r>
        <w:t xml:space="preserve">On July 16, 2020, the Commission opened </w:t>
      </w:r>
      <w:r w:rsidR="00A07BFF">
        <w:t xml:space="preserve">Rulemaking (R.) 20-07-013 in an </w:t>
      </w:r>
      <w:r w:rsidRPr="006375BD" w:rsidR="00A07BFF">
        <w:t xml:space="preserve">Order Instituting Rulemaking </w:t>
      </w:r>
      <w:r w:rsidRPr="006375BD" w:rsidR="006375BD">
        <w:t>(OIR)</w:t>
      </w:r>
      <w:r w:rsidR="006375BD">
        <w:rPr>
          <w:i/>
          <w:iCs/>
        </w:rPr>
        <w:t xml:space="preserve"> </w:t>
      </w:r>
      <w:r w:rsidRPr="00A07BFF" w:rsidR="00A07BFF">
        <w:rPr>
          <w:i/>
          <w:iCs/>
        </w:rPr>
        <w:t>to</w:t>
      </w:r>
      <w:r w:rsidRPr="00E757C7">
        <w:rPr>
          <w:i/>
          <w:iCs/>
        </w:rPr>
        <w:t xml:space="preserve"> Further Develop A Risk-Based Decision-Making Framework for Electric and Gas Utilities</w:t>
      </w:r>
      <w:r>
        <w:rPr>
          <w:i/>
          <w:iCs/>
        </w:rPr>
        <w:t xml:space="preserve"> </w:t>
      </w:r>
      <w:r w:rsidRPr="00E757C7">
        <w:t xml:space="preserve">(RDF </w:t>
      </w:r>
      <w:r w:rsidR="00037CB3">
        <w:t>Proceeding</w:t>
      </w:r>
      <w:r>
        <w:t>).</w:t>
      </w:r>
      <w:r w:rsidR="00037CB3">
        <w:t xml:space="preserve">  </w:t>
      </w:r>
      <w:r>
        <w:t xml:space="preserve">The </w:t>
      </w:r>
      <w:r w:rsidR="006375BD">
        <w:t xml:space="preserve">OIR </w:t>
      </w:r>
      <w:r>
        <w:t xml:space="preserve">sets forth an ambitious set of issues to </w:t>
      </w:r>
      <w:r w:rsidRPr="002623F5">
        <w:t xml:space="preserve">further </w:t>
      </w:r>
      <w:r w:rsidRPr="002623F5" w:rsidR="72210258">
        <w:t xml:space="preserve">refine our regulatory tools </w:t>
      </w:r>
      <w:r w:rsidR="006C47F0">
        <w:t xml:space="preserve">to promote the </w:t>
      </w:r>
      <w:r w:rsidR="00DC240F">
        <w:t xml:space="preserve">highest degree of safety </w:t>
      </w:r>
      <w:r w:rsidR="00D33B44">
        <w:t>performance</w:t>
      </w:r>
      <w:r w:rsidR="00653A7C">
        <w:t xml:space="preserve"> from </w:t>
      </w:r>
      <w:r w:rsidRPr="002623F5">
        <w:t>electric and gas utilities</w:t>
      </w:r>
      <w:r w:rsidR="006375BD">
        <w:t>,</w:t>
      </w:r>
      <w:r>
        <w:t xml:space="preserve"> consistent with Public Utilities Code Section 451 requirements to ensure just and reasonable rates.</w:t>
      </w:r>
      <w:r w:rsidR="00D1711B">
        <w:rPr>
          <w:rStyle w:val="FootnoteReference"/>
        </w:rPr>
        <w:footnoteReference w:id="4"/>
      </w:r>
      <w:r>
        <w:t xml:space="preserve">  </w:t>
      </w:r>
    </w:p>
    <w:p w:rsidRPr="006661C9" w:rsidR="005C4D56" w:rsidP="004F4A56" w:rsidRDefault="00D5007C" w14:paraId="1359C651" w14:textId="35D3920B">
      <w:pPr>
        <w:pStyle w:val="Standard"/>
      </w:pPr>
      <w:r>
        <w:lastRenderedPageBreak/>
        <w:t xml:space="preserve">The </w:t>
      </w:r>
      <w:r w:rsidR="00241D2F">
        <w:t>A</w:t>
      </w:r>
      <w:r>
        <w:t xml:space="preserve">ssigned Administrative Law Judge (ALJ) held a prehearing conference on September 15, 2020.  </w:t>
      </w:r>
      <w:r w:rsidR="00B70ACE">
        <w:t xml:space="preserve">On November 2, 2020, the </w:t>
      </w:r>
      <w:r w:rsidR="00001ADE">
        <w:t>Assigned Commissioner</w:t>
      </w:r>
      <w:r w:rsidR="00B70ACE">
        <w:t xml:space="preserve"> issued a Scoping Memo and Ruling (Scoping Memo) that </w:t>
      </w:r>
      <w:r w:rsidR="00C876AB">
        <w:t xml:space="preserve">identifies </w:t>
      </w:r>
      <w:r w:rsidR="00F67605">
        <w:t>i</w:t>
      </w:r>
      <w:r w:rsidR="00C876AB">
        <w:t xml:space="preserve">ssues in scope and adopts a </w:t>
      </w:r>
      <w:r w:rsidR="00B70ACE">
        <w:t xml:space="preserve">schedule </w:t>
      </w:r>
      <w:r w:rsidR="00C876AB">
        <w:t xml:space="preserve">for </w:t>
      </w:r>
      <w:r w:rsidR="00B70ACE">
        <w:t>rulemaking</w:t>
      </w:r>
      <w:r w:rsidR="00C876AB">
        <w:t>, to be addressed in</w:t>
      </w:r>
      <w:r w:rsidR="00B70ACE">
        <w:t xml:space="preserve"> two phases. </w:t>
      </w:r>
      <w:bookmarkStart w:name="_Toc8123718" w:id="13"/>
      <w:r w:rsidR="005A3F6C">
        <w:t xml:space="preserve"> </w:t>
      </w:r>
      <w:r w:rsidRPr="006661C9" w:rsidR="005C4D56">
        <w:t>The Scoping Memo identifies the following issues for Phase I of this proceeding:</w:t>
      </w:r>
    </w:p>
    <w:p w:rsidRPr="006661C9" w:rsidR="005C4D56" w:rsidP="005A3F6C" w:rsidRDefault="005C4D56" w14:paraId="7619BB15" w14:textId="41820D9B">
      <w:pPr>
        <w:pStyle w:val="ListBullet"/>
        <w:ind w:left="1080" w:right="1350"/>
      </w:pPr>
      <w:r w:rsidRPr="006661C9">
        <w:rPr>
          <w:b/>
          <w:bCs/>
        </w:rPr>
        <w:t xml:space="preserve">Track 1:  Clarifying RDF Technical </w:t>
      </w:r>
      <w:r w:rsidRPr="00775D74">
        <w:rPr>
          <w:b/>
          <w:bCs/>
        </w:rPr>
        <w:t>Requirements</w:t>
      </w:r>
      <w:r w:rsidRPr="00775D74">
        <w:t>:</w:t>
      </w:r>
      <w:r w:rsidRPr="00775D74" w:rsidR="005C18AE">
        <w:t xml:space="preserve"> </w:t>
      </w:r>
      <w:r w:rsidRPr="00775D74">
        <w:t xml:space="preserve"> Track</w:t>
      </w:r>
      <w:r w:rsidRPr="006661C9">
        <w:t xml:space="preserve"> 1 considers whether there are discrete technical questions regarding the RDF that the Commission should clarify in the short term (with larger, more substantive revisions to the RDF to be considered in Phase II).</w:t>
      </w:r>
    </w:p>
    <w:p w:rsidRPr="006661C9" w:rsidR="005C4D56" w:rsidP="004254E2" w:rsidRDefault="005C4D56" w14:paraId="542B1488" w14:textId="1F019EB2">
      <w:pPr>
        <w:pStyle w:val="ListBullet"/>
        <w:ind w:left="1080" w:right="1440"/>
      </w:pPr>
      <w:r w:rsidRPr="006661C9">
        <w:rPr>
          <w:b/>
          <w:bCs/>
        </w:rPr>
        <w:t xml:space="preserve">Track 2: </w:t>
      </w:r>
      <w:r w:rsidR="004254E2">
        <w:rPr>
          <w:b/>
          <w:bCs/>
        </w:rPr>
        <w:t xml:space="preserve"> </w:t>
      </w:r>
      <w:r w:rsidRPr="006661C9">
        <w:rPr>
          <w:b/>
          <w:bCs/>
        </w:rPr>
        <w:t xml:space="preserve">Safety and Operational </w:t>
      </w:r>
      <w:r w:rsidR="00E968AB">
        <w:rPr>
          <w:b/>
          <w:bCs/>
        </w:rPr>
        <w:t xml:space="preserve">Performance </w:t>
      </w:r>
      <w:r w:rsidRPr="006661C9">
        <w:rPr>
          <w:b/>
          <w:bCs/>
        </w:rPr>
        <w:t>Metrics:</w:t>
      </w:r>
      <w:r w:rsidRPr="006661C9">
        <w:t xml:space="preserve">  Track 2 considers </w:t>
      </w:r>
      <w:r w:rsidR="00E968AB">
        <w:t>s</w:t>
      </w:r>
      <w:r w:rsidRPr="006661C9">
        <w:t xml:space="preserve">afety and </w:t>
      </w:r>
      <w:r w:rsidR="00E968AB">
        <w:t>o</w:t>
      </w:r>
      <w:r w:rsidRPr="006661C9">
        <w:t xml:space="preserve">perational </w:t>
      </w:r>
      <w:r w:rsidR="00E968AB">
        <w:t>p</w:t>
      </w:r>
      <w:r w:rsidRPr="006661C9">
        <w:t xml:space="preserve">erformance </w:t>
      </w:r>
      <w:r w:rsidR="00E968AB">
        <w:t>m</w:t>
      </w:r>
      <w:r w:rsidRPr="006661C9">
        <w:t>etrics and their application broadly.  This work addresses development of S</w:t>
      </w:r>
      <w:r w:rsidR="00E968AB">
        <w:t>OMs</w:t>
      </w:r>
      <w:r w:rsidRPr="006661C9">
        <w:t xml:space="preserve"> for PG&amp;E as directed in D.20-05-053</w:t>
      </w:r>
      <w:r w:rsidR="00F811AF">
        <w:t>. This track will also</w:t>
      </w:r>
      <w:r w:rsidR="009F0000">
        <w:t xml:space="preserve"> consider</w:t>
      </w:r>
      <w:r w:rsidR="00143DB9">
        <w:t xml:space="preserve"> </w:t>
      </w:r>
      <w:r w:rsidR="009F0000">
        <w:t>the need for new SPMs or revisions to existing</w:t>
      </w:r>
      <w:r w:rsidR="00143DB9">
        <w:t xml:space="preserve"> SPMs adopted in D.19-04-020.</w:t>
      </w:r>
    </w:p>
    <w:p w:rsidR="005C4D56" w:rsidP="004254E2" w:rsidRDefault="005C4D56" w14:paraId="79575F1D" w14:textId="583F6E01">
      <w:pPr>
        <w:pStyle w:val="ListBullet"/>
        <w:ind w:left="1080" w:right="1440"/>
      </w:pPr>
      <w:r w:rsidRPr="006661C9">
        <w:rPr>
          <w:b/>
          <w:bCs/>
        </w:rPr>
        <w:t>Track 3:  Refining RAMP and Related Procedural Requirements:</w:t>
      </w:r>
      <w:r w:rsidRPr="006661C9">
        <w:t xml:space="preserve"> </w:t>
      </w:r>
      <w:r w:rsidR="005A3F6C">
        <w:t xml:space="preserve"> </w:t>
      </w:r>
      <w:r w:rsidRPr="006661C9">
        <w:t>Track 3 focuses on whether there are RAMP, GRC and Risk Spending Accountability Report (RSAR) procedural or definitional requirements that the Commission should refine or clarify.</w:t>
      </w:r>
    </w:p>
    <w:p w:rsidR="00143DB9" w:rsidP="004254E2" w:rsidRDefault="00D80C7F" w14:paraId="5E881D19" w14:textId="1C31DCEC">
      <w:pPr>
        <w:pStyle w:val="ListBullet"/>
        <w:ind w:left="1080" w:right="1440"/>
      </w:pPr>
      <w:r>
        <w:rPr>
          <w:b/>
          <w:bCs/>
        </w:rPr>
        <w:t>Track 4:</w:t>
      </w:r>
      <w:r>
        <w:t xml:space="preserve"> </w:t>
      </w:r>
      <w:r w:rsidR="004254E2">
        <w:t xml:space="preserve"> </w:t>
      </w:r>
      <w:r w:rsidRPr="00E866DB">
        <w:rPr>
          <w:b/>
        </w:rPr>
        <w:t>Small and Multijurisdictional Utilities (SMJUs)</w:t>
      </w:r>
      <w:r>
        <w:t xml:space="preserve">:  Track 4 focuses on whether the </w:t>
      </w:r>
      <w:r w:rsidRPr="00C962CC">
        <w:t>Commission</w:t>
      </w:r>
      <w:r>
        <w:t xml:space="preserve"> should review and/or update the SMJU Voluntary Agreement included in D.19-04-020</w:t>
      </w:r>
      <w:r w:rsidR="001F5129">
        <w:t xml:space="preserve">, and/or adopt RAMP, RSAR or other related requirements for the SMJUs. </w:t>
      </w:r>
    </w:p>
    <w:p w:rsidR="00BA2A80" w:rsidP="004F4A56" w:rsidRDefault="00BA2A80" w14:paraId="7E9C4D19" w14:textId="39925D99">
      <w:pPr>
        <w:pStyle w:val="Standard"/>
      </w:pPr>
      <w:r>
        <w:t>The Scoping Memo indicate</w:t>
      </w:r>
      <w:r w:rsidR="00143DB9">
        <w:t xml:space="preserve">s </w:t>
      </w:r>
      <w:r>
        <w:t xml:space="preserve">that </w:t>
      </w:r>
      <w:r w:rsidR="0051391F">
        <w:t>work in each of the tracks would be conducted in working groups</w:t>
      </w:r>
      <w:r w:rsidR="006E39EF">
        <w:t xml:space="preserve"> led by </w:t>
      </w:r>
      <w:r>
        <w:t>Commission Staff</w:t>
      </w:r>
      <w:r w:rsidR="006E39EF">
        <w:t>.</w:t>
      </w:r>
    </w:p>
    <w:p w:rsidR="008450C5" w:rsidP="005A3F6C" w:rsidRDefault="00E42EDE" w14:paraId="0F00FE37" w14:textId="146C13A7">
      <w:pPr>
        <w:pStyle w:val="Standard"/>
        <w:ind w:right="-90"/>
      </w:pPr>
      <w:r>
        <w:t xml:space="preserve">On November 17, 2020, the </w:t>
      </w:r>
      <w:r w:rsidR="00001ADE">
        <w:t>Assigned Commissioner</w:t>
      </w:r>
      <w:r>
        <w:t xml:space="preserve"> issued a </w:t>
      </w:r>
      <w:r w:rsidRPr="00D04895" w:rsidR="00D04895">
        <w:rPr>
          <w:i/>
          <w:iCs/>
        </w:rPr>
        <w:t>Ruling Regarding Development of Safety and Operational Metrics</w:t>
      </w:r>
      <w:r w:rsidR="00D04895">
        <w:rPr>
          <w:i/>
          <w:iCs/>
        </w:rPr>
        <w:t xml:space="preserve"> </w:t>
      </w:r>
      <w:r w:rsidRPr="00D04895" w:rsidR="00D04895">
        <w:t>(SOMs Ruling)</w:t>
      </w:r>
      <w:r w:rsidR="004C143C">
        <w:t xml:space="preserve"> to advance Track 2 issues</w:t>
      </w:r>
      <w:r w:rsidRPr="00D04895" w:rsidR="00D04895">
        <w:t>.</w:t>
      </w:r>
      <w:r w:rsidR="00D04895">
        <w:t xml:space="preserve">  </w:t>
      </w:r>
      <w:r w:rsidR="007030F6">
        <w:t xml:space="preserve">Commission Staff convened a </w:t>
      </w:r>
      <w:r w:rsidR="00166B63">
        <w:t xml:space="preserve">workshop to </w:t>
      </w:r>
      <w:r w:rsidR="007030F6">
        <w:t xml:space="preserve">discuss Track 1 issues </w:t>
      </w:r>
      <w:r w:rsidR="007030F6">
        <w:lastRenderedPageBreak/>
        <w:t xml:space="preserve">on December 15, 2020.  </w:t>
      </w:r>
      <w:r w:rsidR="007E529A">
        <w:t>On January 15, 2021, PG&amp;E filed a set of proposed SOMs in response to the SOMs Ruling</w:t>
      </w:r>
      <w:r w:rsidR="00D93559">
        <w:t xml:space="preserve"> (Track 2)</w:t>
      </w:r>
      <w:r w:rsidR="007E529A">
        <w:t xml:space="preserve">.  </w:t>
      </w:r>
      <w:r w:rsidR="00EB2178">
        <w:t>On January 25, 2021, the Utility Reform Network (TURN), the Public Advocates Office (Cal Advocates), SCE, and SDG&amp;E</w:t>
      </w:r>
      <w:r w:rsidR="00166B63">
        <w:t xml:space="preserve"> </w:t>
      </w:r>
      <w:r w:rsidR="00330253">
        <w:t xml:space="preserve">and SoCalGas (SDG&amp;E/SoCalGas) </w:t>
      </w:r>
      <w:r w:rsidR="00EB2178">
        <w:t xml:space="preserve">filed </w:t>
      </w:r>
      <w:r w:rsidR="00DF16D1">
        <w:t>comments on PG&amp;E’s proposed SOMs</w:t>
      </w:r>
      <w:r w:rsidR="00D93559">
        <w:t xml:space="preserve"> (Track 2)</w:t>
      </w:r>
      <w:r w:rsidR="00DF16D1">
        <w:t>.  On January</w:t>
      </w:r>
      <w:r w:rsidR="005A3F6C">
        <w:t> </w:t>
      </w:r>
      <w:r w:rsidR="00DF16D1">
        <w:t xml:space="preserve">28, 2021, Commission Staff convened a </w:t>
      </w:r>
      <w:r w:rsidR="00D93559">
        <w:t xml:space="preserve">Track 2 </w:t>
      </w:r>
      <w:r w:rsidR="00DF16D1">
        <w:t>workshop to discuss PG&amp;E’s proposed SOMs and parties</w:t>
      </w:r>
      <w:r w:rsidR="00A75732">
        <w:t>’</w:t>
      </w:r>
      <w:r w:rsidR="00DF16D1">
        <w:t xml:space="preserve"> comments on the proposed SOMs. </w:t>
      </w:r>
      <w:r w:rsidR="00D53788">
        <w:t xml:space="preserve"> </w:t>
      </w:r>
      <w:r w:rsidR="00C4491E">
        <w:t>Mussey Grade Road Alliance (MGRA) filed authorized late</w:t>
      </w:r>
      <w:r w:rsidR="003D53B1">
        <w:t>-filed</w:t>
      </w:r>
      <w:r w:rsidR="00C4491E">
        <w:t xml:space="preserve"> comments on PG&amp;E’s proposed SOMs on February 17, 2021.  </w:t>
      </w:r>
    </w:p>
    <w:p w:rsidR="00890F09" w:rsidP="004F4A56" w:rsidRDefault="00D53788" w14:paraId="75D0171A" w14:textId="36384AF1">
      <w:pPr>
        <w:pStyle w:val="Standard"/>
      </w:pPr>
      <w:r>
        <w:t xml:space="preserve">On February 1, 2021, the </w:t>
      </w:r>
      <w:r w:rsidR="00001ADE">
        <w:t>Assigned ALJ</w:t>
      </w:r>
      <w:r>
        <w:t xml:space="preserve"> issued a</w:t>
      </w:r>
      <w:r w:rsidRPr="00D53788">
        <w:rPr>
          <w:i/>
          <w:iCs/>
        </w:rPr>
        <w:t xml:space="preserve"> Ruling Requesting Additional Information and Party Comments</w:t>
      </w:r>
      <w:r w:rsidR="00D93559">
        <w:rPr>
          <w:i/>
          <w:iCs/>
        </w:rPr>
        <w:t xml:space="preserve"> </w:t>
      </w:r>
      <w:r w:rsidRPr="00D93559" w:rsidR="00D93559">
        <w:t>regarding Track 2 issues.</w:t>
      </w:r>
      <w:r w:rsidRPr="00D53788">
        <w:rPr>
          <w:i/>
          <w:iCs/>
        </w:rPr>
        <w:t xml:space="preserve"> </w:t>
      </w:r>
      <w:r>
        <w:rPr>
          <w:i/>
          <w:iCs/>
        </w:rPr>
        <w:t xml:space="preserve"> </w:t>
      </w:r>
      <w:r>
        <w:t>On February</w:t>
      </w:r>
      <w:r w:rsidR="0034192D">
        <w:t> </w:t>
      </w:r>
      <w:r w:rsidR="00722B8C">
        <w:t>12,</w:t>
      </w:r>
      <w:r w:rsidR="0034192D">
        <w:t> </w:t>
      </w:r>
      <w:r w:rsidR="00722B8C">
        <w:t xml:space="preserve">2021, PG&amp;E filed a response to the ALJ’s February </w:t>
      </w:r>
      <w:r w:rsidR="00A75732">
        <w:t>1, 2021</w:t>
      </w:r>
      <w:r w:rsidR="00722B8C">
        <w:t xml:space="preserve"> ruling</w:t>
      </w:r>
      <w:r w:rsidR="0064727E">
        <w:t xml:space="preserve"> regarding Track 2 issues</w:t>
      </w:r>
      <w:r w:rsidR="00722B8C">
        <w:t xml:space="preserve">.  </w:t>
      </w:r>
      <w:r w:rsidR="003D53B1">
        <w:t xml:space="preserve">On March 1, 2021, </w:t>
      </w:r>
      <w:r w:rsidR="00BB69AA">
        <w:t>PG&amp;E, Cal Advocates, TURN, SCE, SDG&amp;E</w:t>
      </w:r>
      <w:r w:rsidR="00500B1C">
        <w:t>/SoCalGas</w:t>
      </w:r>
      <w:r w:rsidR="00BB69AA">
        <w:t>, MGRA, and the Protect Our Communi</w:t>
      </w:r>
      <w:r w:rsidR="004D2975">
        <w:t>ties</w:t>
      </w:r>
      <w:r w:rsidR="00BB69AA">
        <w:t xml:space="preserve"> Foundation (PFC) filed comments in response to the </w:t>
      </w:r>
      <w:r w:rsidR="00001ADE">
        <w:t>Assigned ALJ</w:t>
      </w:r>
      <w:r w:rsidR="00335FA8">
        <w:t>’</w:t>
      </w:r>
      <w:r w:rsidR="00BB69AA">
        <w:t>s February 1</w:t>
      </w:r>
      <w:r w:rsidR="00A75732">
        <w:t>, 2021</w:t>
      </w:r>
      <w:r w:rsidR="00BB69AA">
        <w:t xml:space="preserve"> ruling</w:t>
      </w:r>
      <w:r w:rsidR="0064727E">
        <w:t xml:space="preserve"> regarding Track 2 issues</w:t>
      </w:r>
      <w:r w:rsidR="00BB69AA">
        <w:t xml:space="preserve">.  </w:t>
      </w:r>
      <w:r w:rsidR="006C1F37">
        <w:t xml:space="preserve">On March </w:t>
      </w:r>
      <w:r w:rsidR="0097611A">
        <w:t xml:space="preserve">29, 2021, the </w:t>
      </w:r>
      <w:r w:rsidR="00001ADE">
        <w:t>Assigned ALJ</w:t>
      </w:r>
      <w:r w:rsidR="0097611A">
        <w:t xml:space="preserve"> issued a ruling updating the procedural schedule.  </w:t>
      </w:r>
    </w:p>
    <w:p w:rsidR="00C95B80" w:rsidP="00C95B80" w:rsidRDefault="00C32797" w14:paraId="6803F244" w14:textId="338B27BD">
      <w:pPr>
        <w:pStyle w:val="Standard"/>
      </w:pPr>
      <w:r>
        <w:t xml:space="preserve">Commission Staff convened </w:t>
      </w:r>
      <w:r w:rsidR="00D97675">
        <w:t xml:space="preserve">eight </w:t>
      </w:r>
      <w:r w:rsidR="00261C8C">
        <w:t xml:space="preserve">Track 1 working group </w:t>
      </w:r>
      <w:r>
        <w:t xml:space="preserve">meetings </w:t>
      </w:r>
      <w:r w:rsidR="00D97675">
        <w:t>between February 2021 and August 2021</w:t>
      </w:r>
      <w:r w:rsidRPr="00DA23D3" w:rsidR="00C95D7B">
        <w:t>.</w:t>
      </w:r>
      <w:r w:rsidRPr="00DA23D3" w:rsidR="00C95D7B">
        <w:rPr>
          <w:rStyle w:val="FootnoteReference"/>
        </w:rPr>
        <w:footnoteReference w:id="5"/>
      </w:r>
      <w:r w:rsidRPr="00DA23D3" w:rsidR="00C95D7B">
        <w:t xml:space="preserve">  </w:t>
      </w:r>
      <w:r w:rsidRPr="00D97675" w:rsidR="0064727E">
        <w:t xml:space="preserve">Between </w:t>
      </w:r>
      <w:r w:rsidRPr="00D97675" w:rsidR="000B2EE6">
        <w:t xml:space="preserve">April </w:t>
      </w:r>
      <w:r w:rsidRPr="00D97675" w:rsidR="00EE7071">
        <w:t>2021</w:t>
      </w:r>
      <w:r w:rsidRPr="00D97675" w:rsidR="0064727E">
        <w:t xml:space="preserve"> and </w:t>
      </w:r>
      <w:r w:rsidRPr="00D97675" w:rsidR="00837988">
        <w:t xml:space="preserve">August </w:t>
      </w:r>
      <w:r w:rsidRPr="00D97675" w:rsidR="00EE7071">
        <w:t>2021</w:t>
      </w:r>
      <w:r w:rsidRPr="00D97675" w:rsidR="0008446A">
        <w:t xml:space="preserve"> </w:t>
      </w:r>
      <w:r w:rsidRPr="00D97675" w:rsidR="0064727E">
        <w:t xml:space="preserve">Commission Staff convened </w:t>
      </w:r>
      <w:r w:rsidR="00D97675">
        <w:t xml:space="preserve">three </w:t>
      </w:r>
      <w:r w:rsidRPr="00DA23D3" w:rsidR="0064727E">
        <w:t>meetings o</w:t>
      </w:r>
      <w:r w:rsidR="0064727E">
        <w:t>f the Track 2 working group.</w:t>
      </w:r>
      <w:r w:rsidR="0064727E">
        <w:rPr>
          <w:rStyle w:val="FootnoteReference"/>
        </w:rPr>
        <w:footnoteReference w:id="6"/>
      </w:r>
      <w:r w:rsidR="0064727E">
        <w:t xml:space="preserve">  Commission Staff noticed all working group meetings to the Service List of R.20</w:t>
      </w:r>
      <w:r w:rsidR="005A3F6C">
        <w:noBreakHyphen/>
      </w:r>
      <w:r w:rsidR="0064727E">
        <w:t xml:space="preserve">07-013 and to the Commission’s Daily Calendar.  </w:t>
      </w:r>
    </w:p>
    <w:p w:rsidR="00D56EB1" w:rsidP="00C95B80" w:rsidRDefault="00890F09" w14:paraId="2C307D5B" w14:textId="4158ABED">
      <w:pPr>
        <w:pStyle w:val="Standard"/>
      </w:pPr>
      <w:r>
        <w:t xml:space="preserve">On June 4, 2021, </w:t>
      </w:r>
      <w:r w:rsidR="00ED4525">
        <w:t xml:space="preserve">the </w:t>
      </w:r>
      <w:r w:rsidR="00001ADE">
        <w:t>Assigned ALJ</w:t>
      </w:r>
      <w:r w:rsidR="00ED4525">
        <w:t xml:space="preserve"> issued a </w:t>
      </w:r>
      <w:r w:rsidRPr="00ED4525" w:rsidR="00ED4525">
        <w:rPr>
          <w:i/>
          <w:iCs/>
        </w:rPr>
        <w:t>Ruling Providing Staff Recommendations for Comment</w:t>
      </w:r>
      <w:r w:rsidR="001254C6">
        <w:rPr>
          <w:i/>
          <w:iCs/>
        </w:rPr>
        <w:t xml:space="preserve">.  </w:t>
      </w:r>
      <w:r w:rsidR="001254C6">
        <w:t xml:space="preserve">The ruling </w:t>
      </w:r>
      <w:r w:rsidR="00F36345">
        <w:t xml:space="preserve">appended </w:t>
      </w:r>
      <w:r w:rsidR="00C95B80">
        <w:t xml:space="preserve">Safety and Policy Division </w:t>
      </w:r>
      <w:r w:rsidR="00C95B80">
        <w:lastRenderedPageBreak/>
        <w:t>(</w:t>
      </w:r>
      <w:r w:rsidR="001254C6">
        <w:t>SPD</w:t>
      </w:r>
      <w:r w:rsidR="00C95B80">
        <w:t>)</w:t>
      </w:r>
      <w:r w:rsidR="001254C6">
        <w:t xml:space="preserve"> Staff’s </w:t>
      </w:r>
      <w:r w:rsidR="00F36345">
        <w:t>r</w:t>
      </w:r>
      <w:r w:rsidR="001254C6">
        <w:t>ecommendations on Track 1 and Track 2 issues</w:t>
      </w:r>
      <w:r w:rsidR="00722AC0">
        <w:t xml:space="preserve"> (Staff </w:t>
      </w:r>
      <w:r w:rsidR="009A7C06">
        <w:t>Proposal</w:t>
      </w:r>
      <w:r w:rsidR="002831BD">
        <w:t>)</w:t>
      </w:r>
      <w:r w:rsidR="004B2414">
        <w:t xml:space="preserve"> </w:t>
      </w:r>
      <w:r w:rsidR="00F36345">
        <w:t>and requested party comments</w:t>
      </w:r>
      <w:r w:rsidR="004B2414">
        <w:t xml:space="preserve">.  </w:t>
      </w:r>
      <w:r w:rsidR="00207F13">
        <w:t xml:space="preserve">On June </w:t>
      </w:r>
      <w:r w:rsidR="00026B77">
        <w:t>29, 2021, PG&amp;E, SCE, SDG&amp;E</w:t>
      </w:r>
      <w:r w:rsidR="00500B1C">
        <w:t>/</w:t>
      </w:r>
      <w:r w:rsidR="00026B77">
        <w:t xml:space="preserve">SoCalGas, TURN, PCF, Cal Advocates, MGRA, and the Utility Consumer’s Action Network (UCAN) filed comments on the </w:t>
      </w:r>
      <w:r w:rsidR="002831BD">
        <w:t>Staff</w:t>
      </w:r>
      <w:r w:rsidR="004B2414">
        <w:t xml:space="preserve"> Proposal</w:t>
      </w:r>
      <w:r w:rsidR="002831BD">
        <w:t xml:space="preserve">. </w:t>
      </w:r>
      <w:r w:rsidR="0034192D">
        <w:t xml:space="preserve"> </w:t>
      </w:r>
      <w:r w:rsidR="002831BD">
        <w:t>On June 30, 2021, SDG&amp;E</w:t>
      </w:r>
      <w:r w:rsidR="00500B1C">
        <w:t>/</w:t>
      </w:r>
      <w:r w:rsidR="002831BD">
        <w:t xml:space="preserve">SoCalGas filed an amendment to </w:t>
      </w:r>
      <w:r w:rsidR="0018367F">
        <w:t xml:space="preserve">Table 1 of </w:t>
      </w:r>
      <w:r w:rsidR="002831BD">
        <w:t>their June</w:t>
      </w:r>
      <w:r w:rsidR="0034192D">
        <w:t> </w:t>
      </w:r>
      <w:r w:rsidR="002831BD">
        <w:t>29</w:t>
      </w:r>
      <w:r w:rsidR="0034192D">
        <w:t> </w:t>
      </w:r>
      <w:r w:rsidR="002831BD">
        <w:t xml:space="preserve">comments.   </w:t>
      </w:r>
    </w:p>
    <w:p w:rsidRPr="001254C6" w:rsidR="00207F13" w:rsidP="004F4A56" w:rsidRDefault="002831BD" w14:paraId="26CBE10C" w14:textId="2C404FA0">
      <w:pPr>
        <w:pStyle w:val="Standard"/>
      </w:pPr>
      <w:r>
        <w:t xml:space="preserve">On </w:t>
      </w:r>
      <w:r w:rsidR="00D56EB1">
        <w:t>July 9, 2021,</w:t>
      </w:r>
      <w:r w:rsidR="00D1711B">
        <w:t xml:space="preserve"> MGRA, Cal Advocates, UCAN, PCF, TURN, SCE, PG&amp;E, and SDG&amp;E/SoCalGas </w:t>
      </w:r>
      <w:r w:rsidR="00D56EB1">
        <w:t>filed reply comments</w:t>
      </w:r>
      <w:r w:rsidR="00D1711B">
        <w:t xml:space="preserve"> on the Staff Proposal.</w:t>
      </w:r>
    </w:p>
    <w:p w:rsidR="005A148C" w:rsidP="006661C9" w:rsidRDefault="00213D7A" w14:paraId="79715121" w14:textId="72D323E3">
      <w:pPr>
        <w:pStyle w:val="Heading1"/>
      </w:pPr>
      <w:bookmarkStart w:name="_Toc80890843" w:id="14"/>
      <w:bookmarkStart w:name="_Toc87361143" w:id="15"/>
      <w:r>
        <w:t>3.</w:t>
      </w:r>
      <w:r>
        <w:tab/>
      </w:r>
      <w:r w:rsidR="0063491C">
        <w:t>Jurisdiction</w:t>
      </w:r>
      <w:bookmarkEnd w:id="13"/>
      <w:bookmarkEnd w:id="14"/>
      <w:bookmarkEnd w:id="15"/>
    </w:p>
    <w:p w:rsidR="00141568" w:rsidP="005A3F6C" w:rsidRDefault="00141568" w14:paraId="739A87E1" w14:textId="092C7238">
      <w:pPr>
        <w:pStyle w:val="Standard"/>
        <w:ind w:right="-360"/>
      </w:pPr>
      <w:r w:rsidRPr="00141568">
        <w:t xml:space="preserve">Section 963(b)(3) states that it is the policy of the state of California that the Commission and each gas corporation place safety of the public and gas corporation employees as the top priority and that the Commission shall take all reasonable and appropriate actions necessary to carry out a safety priority policy consistent with the principle of just and reasonable cost-based rates. </w:t>
      </w:r>
      <w:r w:rsidR="005A3F6C">
        <w:t xml:space="preserve"> </w:t>
      </w:r>
      <w:r w:rsidRPr="00141568">
        <w:t>Section</w:t>
      </w:r>
      <w:r w:rsidR="005A3F6C">
        <w:t xml:space="preserve"> </w:t>
      </w:r>
      <w:r w:rsidRPr="00141568">
        <w:t xml:space="preserve">961(b)(1) requires gas corporations to develop plans for the safe and reliable operation of facilities that implement Section 963(b)(3) requirements. </w:t>
      </w:r>
    </w:p>
    <w:p w:rsidR="00141568" w:rsidP="00550D6F" w:rsidRDefault="00141568" w14:paraId="33298BD7" w14:textId="673C70E0">
      <w:pPr>
        <w:pStyle w:val="Standard"/>
      </w:pPr>
      <w:r w:rsidRPr="00141568">
        <w:t xml:space="preserve">Section 750 requires the Commission to develop formal procedures to consider safety in a rate case application by an electrical corporation or gas corporation which must include a means by which safety information acquired by the Commission through monitoring, data tracking and analysis, accident investigations, and audits of an applicant’s safety programs may inform consideration of the application. </w:t>
      </w:r>
      <w:r w:rsidR="005A3F6C">
        <w:t xml:space="preserve"> </w:t>
      </w:r>
      <w:r w:rsidRPr="00141568">
        <w:t xml:space="preserve">Section 321.1(a) requires the Commission to assess and mitigate the impacts of its decisions on customer, public and employee safety. </w:t>
      </w:r>
    </w:p>
    <w:p w:rsidRPr="0063491C" w:rsidR="0063491C" w:rsidP="004F4A56" w:rsidRDefault="00141568" w14:paraId="0B4264E4" w14:textId="275632BB">
      <w:pPr>
        <w:pStyle w:val="Standard"/>
      </w:pPr>
      <w:r w:rsidRPr="00141568">
        <w:t>Section 451 requires the Commission to ensure that electric and gas utilities adopt just and reasonable rate</w:t>
      </w:r>
      <w:r>
        <w:t xml:space="preserve">s. </w:t>
      </w:r>
    </w:p>
    <w:p w:rsidR="005A148C" w:rsidP="005939A5" w:rsidRDefault="00213D7A" w14:paraId="0D2522B9" w14:textId="5CBA7144">
      <w:pPr>
        <w:pStyle w:val="Heading1"/>
      </w:pPr>
      <w:bookmarkStart w:name="_Toc8123719" w:id="16"/>
      <w:bookmarkStart w:name="_Toc80890844" w:id="17"/>
      <w:bookmarkStart w:name="_Toc87361144" w:id="18"/>
      <w:r>
        <w:lastRenderedPageBreak/>
        <w:t>4.</w:t>
      </w:r>
      <w:r>
        <w:tab/>
      </w:r>
      <w:r w:rsidR="005939A5">
        <w:t>Issues Before the Commission</w:t>
      </w:r>
      <w:bookmarkEnd w:id="16"/>
      <w:bookmarkEnd w:id="17"/>
      <w:bookmarkEnd w:id="18"/>
    </w:p>
    <w:p w:rsidR="00717253" w:rsidP="008F49AF" w:rsidRDefault="00717253" w14:paraId="1C72E2E4" w14:textId="77226002">
      <w:pPr>
        <w:pStyle w:val="Standard"/>
      </w:pPr>
      <w:r>
        <w:t>Th</w:t>
      </w:r>
      <w:r w:rsidR="00A35840">
        <w:t>is decision addresses Phase I, Track 1 and Track 2 issues</w:t>
      </w:r>
      <w:r w:rsidR="00F25D38">
        <w:t xml:space="preserve"> as identified in the</w:t>
      </w:r>
      <w:r>
        <w:t xml:space="preserve"> Scoping Memo</w:t>
      </w:r>
      <w:r w:rsidR="00F25D38">
        <w:t>.</w:t>
      </w:r>
      <w:r w:rsidR="00701493">
        <w:t xml:space="preserve">  Phase I, Track 3 and Track 4 issues will be addressed in subsequent decision(s). </w:t>
      </w:r>
    </w:p>
    <w:p w:rsidRPr="00717253" w:rsidR="00717253" w:rsidP="00D62B95" w:rsidRDefault="00717253" w14:paraId="354E97F1" w14:textId="30E13D4D">
      <w:pPr>
        <w:pStyle w:val="Standard"/>
        <w:rPr>
          <w:b/>
          <w:bCs/>
        </w:rPr>
      </w:pPr>
      <w:r w:rsidRPr="00717253">
        <w:rPr>
          <w:b/>
          <w:bCs/>
        </w:rPr>
        <w:t xml:space="preserve">Track 1: </w:t>
      </w:r>
      <w:r w:rsidR="005A3F6C">
        <w:rPr>
          <w:b/>
          <w:bCs/>
        </w:rPr>
        <w:t xml:space="preserve"> </w:t>
      </w:r>
      <w:r w:rsidRPr="00717253">
        <w:rPr>
          <w:b/>
          <w:bCs/>
        </w:rPr>
        <w:t xml:space="preserve">Clarifying RDF Technical Requirements </w:t>
      </w:r>
    </w:p>
    <w:p w:rsidR="00C67184" w:rsidP="008F49AF" w:rsidRDefault="00717253" w14:paraId="7B20D389" w14:textId="7C01C65D">
      <w:pPr>
        <w:pStyle w:val="Standard"/>
      </w:pPr>
      <w:r w:rsidRPr="00717253">
        <w:t xml:space="preserve">Should the Commission clarify aspects of the RDF adopted in D.18-12-014: </w:t>
      </w:r>
    </w:p>
    <w:p w:rsidR="00C67184" w:rsidP="004254E2" w:rsidRDefault="00717253" w14:paraId="36AEF3F4" w14:textId="77777777">
      <w:pPr>
        <w:pStyle w:val="ListAlpha"/>
        <w:numPr>
          <w:ilvl w:val="0"/>
          <w:numId w:val="8"/>
        </w:numPr>
        <w:spacing w:line="240" w:lineRule="auto"/>
        <w:ind w:left="1080" w:right="1440"/>
      </w:pPr>
      <w:r w:rsidRPr="00717253">
        <w:t>Do the terms “mitigations” and “controls” need to be defined? Should “mitigations” and “controls” be treated in the RDF using the same methodology?</w:t>
      </w:r>
    </w:p>
    <w:p w:rsidR="00C67184" w:rsidP="004254E2" w:rsidRDefault="00717253" w14:paraId="1C0556D8" w14:textId="7FCD05DE">
      <w:pPr>
        <w:pStyle w:val="ListAlpha"/>
        <w:numPr>
          <w:ilvl w:val="0"/>
          <w:numId w:val="8"/>
        </w:numPr>
        <w:spacing w:line="240" w:lineRule="auto"/>
        <w:ind w:left="1080" w:right="1440"/>
      </w:pPr>
      <w:r w:rsidRPr="00717253">
        <w:t xml:space="preserve">How should public safety power shutoff </w:t>
      </w:r>
      <w:r w:rsidR="00602CB8">
        <w:t xml:space="preserve">(PSPS) </w:t>
      </w:r>
      <w:r w:rsidRPr="00717253">
        <w:t xml:space="preserve">events and other utility activities with high customer impacts be treated in the RDF? </w:t>
      </w:r>
    </w:p>
    <w:p w:rsidR="007F5C88" w:rsidP="004254E2" w:rsidRDefault="00717253" w14:paraId="1C1FBBDF" w14:textId="6C6E5546">
      <w:pPr>
        <w:pStyle w:val="ListAlpha"/>
        <w:numPr>
          <w:ilvl w:val="0"/>
          <w:numId w:val="8"/>
        </w:numPr>
        <w:spacing w:line="240" w:lineRule="auto"/>
        <w:ind w:left="1080" w:right="1440"/>
      </w:pPr>
      <w:r w:rsidRPr="00717253">
        <w:t>Can the Commission identify any guiding principles, best practices, aspirational characteristics and/or minimum requirements for developing a</w:t>
      </w:r>
      <w:r w:rsidR="000D3ED7">
        <w:t xml:space="preserve"> MAVF</w:t>
      </w:r>
      <w:r w:rsidRPr="00717253">
        <w:t>?</w:t>
      </w:r>
    </w:p>
    <w:p w:rsidR="000C65E0" w:rsidP="004254E2" w:rsidRDefault="000C65E0" w14:paraId="6450D94D" w14:textId="3F5EF355">
      <w:pPr>
        <w:pStyle w:val="ListAlpha"/>
        <w:numPr>
          <w:ilvl w:val="0"/>
          <w:numId w:val="8"/>
        </w:numPr>
        <w:spacing w:line="240" w:lineRule="auto"/>
        <w:ind w:left="1080" w:right="1440"/>
      </w:pPr>
      <w:r w:rsidRPr="000C65E0">
        <w:t>How should the mitigation impact</w:t>
      </w:r>
      <w:r w:rsidR="00323E89">
        <w:t>s</w:t>
      </w:r>
      <w:r w:rsidRPr="000C65E0">
        <w:t xml:space="preserve"> of data gathering (inspections and patrols) or foundational elements (technology tools) be estimated or measured in the RDF? </w:t>
      </w:r>
    </w:p>
    <w:p w:rsidR="00443F38" w:rsidP="004254E2" w:rsidRDefault="000C65E0" w14:paraId="6D21D5D4" w14:textId="49821E5B">
      <w:pPr>
        <w:pStyle w:val="ListAlpha"/>
        <w:numPr>
          <w:ilvl w:val="0"/>
          <w:numId w:val="8"/>
        </w:numPr>
        <w:spacing w:line="240" w:lineRule="auto"/>
        <w:ind w:left="1080" w:right="1440"/>
      </w:pPr>
      <w:r w:rsidRPr="000C65E0">
        <w:t>Other related clarifications</w:t>
      </w:r>
      <w:r w:rsidR="00091FDA">
        <w:t>, including Staff recommendations regarding consideration of climate change impacts in Phase II</w:t>
      </w:r>
      <w:r w:rsidR="00A35986">
        <w:t xml:space="preserve"> and methods to increase data transparency.</w:t>
      </w:r>
    </w:p>
    <w:p w:rsidR="000C65E0" w:rsidP="0071110B" w:rsidRDefault="000C65E0" w14:paraId="2A44621B" w14:textId="0706654C">
      <w:pPr>
        <w:pStyle w:val="Standard"/>
      </w:pPr>
      <w:r>
        <w:t>The Scoping Memo identified the following Phase I Track 2 issues:</w:t>
      </w:r>
    </w:p>
    <w:p w:rsidRPr="00A35840" w:rsidR="000C65E0" w:rsidP="00D62B95" w:rsidRDefault="000C65E0" w14:paraId="2BF0E346" w14:textId="142D066E">
      <w:pPr>
        <w:pStyle w:val="Standard"/>
        <w:rPr>
          <w:b/>
          <w:bCs/>
        </w:rPr>
      </w:pPr>
      <w:r w:rsidRPr="00A35840">
        <w:rPr>
          <w:b/>
          <w:bCs/>
        </w:rPr>
        <w:t xml:space="preserve">Track 2: </w:t>
      </w:r>
      <w:r w:rsidR="005A3F6C">
        <w:rPr>
          <w:b/>
          <w:bCs/>
        </w:rPr>
        <w:t xml:space="preserve"> </w:t>
      </w:r>
      <w:r w:rsidRPr="00A35840">
        <w:rPr>
          <w:b/>
          <w:bCs/>
        </w:rPr>
        <w:t xml:space="preserve">Safety and Operational Performance Metrics </w:t>
      </w:r>
    </w:p>
    <w:p w:rsidR="000C65E0" w:rsidP="004254E2" w:rsidRDefault="000C65E0" w14:paraId="4EEE9D95" w14:textId="01CD2667">
      <w:pPr>
        <w:pStyle w:val="ListAlpha"/>
        <w:numPr>
          <w:ilvl w:val="7"/>
          <w:numId w:val="4"/>
        </w:numPr>
        <w:spacing w:line="240" w:lineRule="auto"/>
        <w:ind w:right="1440"/>
      </w:pPr>
      <w:r w:rsidRPr="000C65E0">
        <w:t xml:space="preserve">What safety and operational performance metrics should be developed pursuant to D.20-05-053 addressing PG&amp;E’s reorganization plan? </w:t>
      </w:r>
    </w:p>
    <w:p w:rsidR="000C65E0" w:rsidP="004254E2" w:rsidRDefault="000C65E0" w14:paraId="1ACDC032" w14:textId="3BBCCEE0">
      <w:pPr>
        <w:pStyle w:val="ListAlpha"/>
        <w:numPr>
          <w:ilvl w:val="7"/>
          <w:numId w:val="4"/>
        </w:numPr>
        <w:spacing w:line="240" w:lineRule="auto"/>
        <w:ind w:right="1440"/>
      </w:pPr>
      <w:r w:rsidRPr="000C65E0">
        <w:t xml:space="preserve">Should the safety and operational performance metrics apply to all IOUs? </w:t>
      </w:r>
      <w:r w:rsidR="005A3F6C">
        <w:t xml:space="preserve"> </w:t>
      </w:r>
      <w:r w:rsidRPr="000C65E0">
        <w:t xml:space="preserve">How should the Commission use </w:t>
      </w:r>
      <w:r w:rsidR="0037500A">
        <w:t xml:space="preserve">the </w:t>
      </w:r>
      <w:r w:rsidRPr="000C65E0">
        <w:t xml:space="preserve">adopted safety and operational performance metrics? </w:t>
      </w:r>
    </w:p>
    <w:p w:rsidR="000C65E0" w:rsidP="004254E2" w:rsidRDefault="000C65E0" w14:paraId="10EDBAD2" w14:textId="77777777">
      <w:pPr>
        <w:pStyle w:val="ListAlpha"/>
        <w:numPr>
          <w:ilvl w:val="7"/>
          <w:numId w:val="4"/>
        </w:numPr>
        <w:spacing w:line="240" w:lineRule="auto"/>
        <w:ind w:right="1440"/>
      </w:pPr>
      <w:r w:rsidRPr="000C65E0">
        <w:lastRenderedPageBreak/>
        <w:t xml:space="preserve">Should the Commission adopt performance criteria or targets for safety and operational performance metrics at the same time it adopts the metrics, or at a later time? </w:t>
      </w:r>
    </w:p>
    <w:p w:rsidR="000C65E0" w:rsidP="004254E2" w:rsidRDefault="000C65E0" w14:paraId="21954990" w14:textId="5ABA64E0">
      <w:pPr>
        <w:pStyle w:val="ListAlpha"/>
        <w:numPr>
          <w:ilvl w:val="7"/>
          <w:numId w:val="4"/>
        </w:numPr>
        <w:spacing w:line="240" w:lineRule="auto"/>
        <w:ind w:right="1440"/>
      </w:pPr>
      <w:r w:rsidRPr="000C65E0">
        <w:t xml:space="preserve">Should the Commission refine any of the 26 safety performance metrics adopted in D.19-04-020? </w:t>
      </w:r>
      <w:r w:rsidR="005A3F6C">
        <w:t xml:space="preserve"> </w:t>
      </w:r>
      <w:r w:rsidRPr="000C65E0">
        <w:t xml:space="preserve">Should the Commission adopt additional safety performance metrics to those adopted in D.19-04-020? </w:t>
      </w:r>
    </w:p>
    <w:p w:rsidR="000C65E0" w:rsidP="004254E2" w:rsidRDefault="000C65E0" w14:paraId="2A0216E0" w14:textId="5559379F">
      <w:pPr>
        <w:pStyle w:val="ListAlpha"/>
        <w:numPr>
          <w:ilvl w:val="7"/>
          <w:numId w:val="4"/>
        </w:numPr>
        <w:spacing w:line="240" w:lineRule="auto"/>
        <w:ind w:right="1440"/>
      </w:pPr>
      <w:r w:rsidRPr="000C65E0">
        <w:t xml:space="preserve">Should the Commission develop a method to streamline safety performance metrics development and reporting across proceedings? </w:t>
      </w:r>
      <w:r w:rsidR="005A3F6C">
        <w:t xml:space="preserve"> </w:t>
      </w:r>
      <w:r w:rsidRPr="000C65E0">
        <w:t xml:space="preserve">If so, what methods should be considered? </w:t>
      </w:r>
    </w:p>
    <w:p w:rsidR="000C65E0" w:rsidP="004254E2" w:rsidRDefault="00A35840" w14:paraId="7E0F49E0" w14:textId="5DF4E329">
      <w:pPr>
        <w:pStyle w:val="ListAlpha"/>
        <w:numPr>
          <w:ilvl w:val="7"/>
          <w:numId w:val="4"/>
        </w:numPr>
        <w:spacing w:line="240" w:lineRule="auto"/>
        <w:ind w:right="1440"/>
      </w:pPr>
      <w:r w:rsidRPr="00A35840">
        <w:t xml:space="preserve">Should the Commission adopt quality of service and management metrics for PG&amp;E in this proceeding? </w:t>
      </w:r>
    </w:p>
    <w:p w:rsidR="00602CB8" w:rsidP="005939A5" w:rsidRDefault="00213D7A" w14:paraId="19605468" w14:textId="3550DCBC">
      <w:pPr>
        <w:pStyle w:val="Heading1"/>
      </w:pPr>
      <w:bookmarkStart w:name="_Toc80890845" w:id="19"/>
      <w:bookmarkStart w:name="_Toc8123720" w:id="20"/>
      <w:bookmarkStart w:name="_Toc87361145" w:id="21"/>
      <w:r w:rsidRPr="00775D74">
        <w:t>5.</w:t>
      </w:r>
      <w:r w:rsidRPr="00775D74">
        <w:tab/>
      </w:r>
      <w:r w:rsidRPr="00775D74" w:rsidR="00602CB8">
        <w:t xml:space="preserve">Clarifying Guidance </w:t>
      </w:r>
      <w:r w:rsidRPr="00775D74" w:rsidR="00CE4130">
        <w:t xml:space="preserve">on </w:t>
      </w:r>
      <w:r w:rsidRPr="00775D74" w:rsidR="00602CB8">
        <w:t xml:space="preserve">“Controls” </w:t>
      </w:r>
      <w:r w:rsidRPr="00775D74" w:rsidR="005C18AE">
        <w:br/>
      </w:r>
      <w:r w:rsidRPr="00775D74" w:rsidR="00602CB8">
        <w:t>and “Mitigations”</w:t>
      </w:r>
      <w:bookmarkEnd w:id="19"/>
      <w:bookmarkEnd w:id="21"/>
      <w:r w:rsidR="00602CB8">
        <w:t xml:space="preserve"> </w:t>
      </w:r>
      <w:bookmarkEnd w:id="20"/>
    </w:p>
    <w:p w:rsidRPr="004F1532" w:rsidR="00106261" w:rsidP="004F4A56" w:rsidRDefault="00225E84" w14:paraId="6E2239D8" w14:textId="14BA746F">
      <w:pPr>
        <w:pStyle w:val="Standard"/>
      </w:pPr>
      <w:r w:rsidRPr="00225E84">
        <w:t xml:space="preserve">The Scoping Memo asks whether there is a need to further define the terms “mitigations” and “controls” </w:t>
      </w:r>
      <w:r w:rsidR="006F4895">
        <w:t xml:space="preserve">or </w:t>
      </w:r>
      <w:r w:rsidRPr="00225E84">
        <w:t xml:space="preserve">to clarify the methodologies used </w:t>
      </w:r>
      <w:r w:rsidR="000B0FD8">
        <w:t xml:space="preserve">to </w:t>
      </w:r>
      <w:r w:rsidR="006F4895">
        <w:t xml:space="preserve">implement these terms </w:t>
      </w:r>
      <w:r w:rsidRPr="00225E84">
        <w:t xml:space="preserve">in the RDF. </w:t>
      </w:r>
      <w:r>
        <w:t xml:space="preserve"> </w:t>
      </w:r>
      <w:r w:rsidRPr="00225E84">
        <w:t xml:space="preserve">An essential element </w:t>
      </w:r>
      <w:r>
        <w:t xml:space="preserve">of the SA </w:t>
      </w:r>
      <w:r w:rsidRPr="00225E84">
        <w:t>Decision is the requirement for utilities to provide RSE calculations for all mitigations included in RAMP applications.</w:t>
      </w:r>
      <w:r>
        <w:t xml:space="preserve">  </w:t>
      </w:r>
      <w:r w:rsidRPr="00225E84">
        <w:t xml:space="preserve">Since RSE scores are used in ranking and selecting proposed RAMP mitigation options, they are an integral part of RAMP applications. </w:t>
      </w:r>
      <w:r w:rsidR="00911110">
        <w:t xml:space="preserve"> </w:t>
      </w:r>
      <w:r w:rsidRPr="00106261" w:rsidR="00106261">
        <w:t>Appendix A</w:t>
      </w:r>
      <w:r w:rsidR="00187BD2">
        <w:t xml:space="preserve"> of the Staff Proposal</w:t>
      </w:r>
      <w:r w:rsidR="00CC3FD1">
        <w:t>,</w:t>
      </w:r>
      <w:r w:rsidDel="00CC3FD1" w:rsidR="00881A0C">
        <w:t xml:space="preserve"> </w:t>
      </w:r>
      <w:r w:rsidR="00881A0C">
        <w:t>issued</w:t>
      </w:r>
      <w:r w:rsidR="5A25A46D">
        <w:t xml:space="preserve"> </w:t>
      </w:r>
      <w:r w:rsidR="66BB6A11">
        <w:t>on</w:t>
      </w:r>
      <w:r w:rsidR="00881A0C">
        <w:t xml:space="preserve"> </w:t>
      </w:r>
      <w:r w:rsidRPr="00106261" w:rsidR="00881A0C">
        <w:rPr>
          <w:iCs/>
        </w:rPr>
        <w:t>June 4, 2021</w:t>
      </w:r>
      <w:r w:rsidR="00CC3FD1">
        <w:rPr>
          <w:iCs/>
        </w:rPr>
        <w:t>,</w:t>
      </w:r>
      <w:r w:rsidRPr="00106261" w:rsidR="00881A0C">
        <w:rPr>
          <w:iCs/>
        </w:rPr>
        <w:t xml:space="preserve"> </w:t>
      </w:r>
      <w:r w:rsidR="00187BD2">
        <w:t xml:space="preserve">included </w:t>
      </w:r>
      <w:r w:rsidRPr="00106261" w:rsidR="00106261">
        <w:t>SPD Staff</w:t>
      </w:r>
      <w:r w:rsidR="00701493">
        <w:t>’s</w:t>
      </w:r>
      <w:r w:rsidRPr="00106261" w:rsidR="00106261">
        <w:t xml:space="preserve"> Recommendations on Phase I Track 1 (Staff Track 1 Recommendations)</w:t>
      </w:r>
      <w:r w:rsidR="00187BD2">
        <w:t>.</w:t>
      </w:r>
      <w:r w:rsidR="004F1532">
        <w:t xml:space="preserve"> </w:t>
      </w:r>
    </w:p>
    <w:p w:rsidRPr="00F87252" w:rsidR="00F87252" w:rsidP="00F87252" w:rsidRDefault="0798A0F2" w14:paraId="294A7C16" w14:textId="0E404B32">
      <w:pPr>
        <w:pStyle w:val="Standard"/>
      </w:pPr>
      <w:r>
        <w:t>This secti</w:t>
      </w:r>
      <w:r w:rsidR="7C3809EA">
        <w:t xml:space="preserve">on discusses the </w:t>
      </w:r>
      <w:r w:rsidR="3AF3989D">
        <w:t>background to</w:t>
      </w:r>
      <w:r w:rsidR="7C3809EA">
        <w:t xml:space="preserve"> </w:t>
      </w:r>
      <w:r w:rsidR="01A639AC">
        <w:t xml:space="preserve">the </w:t>
      </w:r>
      <w:r w:rsidR="11E97770">
        <w:t xml:space="preserve">Track 1 </w:t>
      </w:r>
      <w:r w:rsidR="7C3809EA">
        <w:t>issue</w:t>
      </w:r>
      <w:r w:rsidR="01A639AC">
        <w:t xml:space="preserve"> o</w:t>
      </w:r>
      <w:r w:rsidR="0D5426FF">
        <w:t xml:space="preserve">f the need to define or clarify methodologies associated with </w:t>
      </w:r>
      <w:r w:rsidR="01A639AC">
        <w:t>“mitigations” and “controls</w:t>
      </w:r>
      <w:r w:rsidR="0D5426FF">
        <w:t>,</w:t>
      </w:r>
      <w:r w:rsidR="01A639AC">
        <w:t xml:space="preserve">” </w:t>
      </w:r>
      <w:r w:rsidR="7C3809EA">
        <w:t>introduces Staff’s proposal</w:t>
      </w:r>
      <w:r w:rsidR="65DE252E">
        <w:t>,</w:t>
      </w:r>
      <w:r w:rsidR="7C3809EA">
        <w:t xml:space="preserve"> and </w:t>
      </w:r>
      <w:r w:rsidR="65DE252E">
        <w:t xml:space="preserve">reviews </w:t>
      </w:r>
      <w:r w:rsidR="7C3809EA">
        <w:t xml:space="preserve">party comment.  We </w:t>
      </w:r>
      <w:r w:rsidR="5A049B6E">
        <w:t xml:space="preserve">conclude by </w:t>
      </w:r>
      <w:r w:rsidR="7C3809EA">
        <w:t>clarify</w:t>
      </w:r>
      <w:r w:rsidR="5A049B6E">
        <w:t>ing</w:t>
      </w:r>
      <w:r w:rsidR="7C3809EA">
        <w:t xml:space="preserve"> guidance </w:t>
      </w:r>
      <w:r w:rsidR="65DE252E">
        <w:t xml:space="preserve">on </w:t>
      </w:r>
      <w:r w:rsidR="63C2AC2B">
        <w:t>use of the terms “mitigations” and “controls” in the RDF and related RAMP filings</w:t>
      </w:r>
      <w:r w:rsidR="3AF3989D">
        <w:t xml:space="preserve">.  </w:t>
      </w:r>
      <w:r w:rsidR="007D67B6">
        <w:t xml:space="preserve">We direct the </w:t>
      </w:r>
      <w:r w:rsidR="5F18B96E">
        <w:t>IOU</w:t>
      </w:r>
      <w:r w:rsidR="002E7EA7">
        <w:t>s</w:t>
      </w:r>
      <w:r w:rsidR="5F18B96E">
        <w:t xml:space="preserve"> </w:t>
      </w:r>
      <w:r w:rsidR="007D67B6">
        <w:t xml:space="preserve">to </w:t>
      </w:r>
      <w:r w:rsidR="002E7EA7">
        <w:t>each</w:t>
      </w:r>
      <w:r w:rsidR="00663D69">
        <w:t>,</w:t>
      </w:r>
      <w:r w:rsidR="002E7EA7">
        <w:t xml:space="preserve"> and as a group</w:t>
      </w:r>
      <w:r w:rsidR="00663D69">
        <w:t>,</w:t>
      </w:r>
      <w:r w:rsidR="5F18B96E">
        <w:t xml:space="preserve"> consistently </w:t>
      </w:r>
      <w:r w:rsidR="002E7EA7">
        <w:t xml:space="preserve">and uniformly </w:t>
      </w:r>
      <w:r w:rsidR="5F18B96E">
        <w:t xml:space="preserve">define and treat </w:t>
      </w:r>
      <w:r w:rsidR="003B0009">
        <w:t xml:space="preserve">all forms of </w:t>
      </w:r>
      <w:r w:rsidR="1F043D6A">
        <w:t>mitigation</w:t>
      </w:r>
      <w:r w:rsidR="003B0009">
        <w:t xml:space="preserve">s including </w:t>
      </w:r>
      <w:r w:rsidR="1F043D6A">
        <w:lastRenderedPageBreak/>
        <w:t>control measures in their RDFs and RAMP filings, and in other related filings in other proceedings</w:t>
      </w:r>
      <w:r w:rsidR="7343391E">
        <w:t xml:space="preserve">. </w:t>
      </w:r>
      <w:r w:rsidR="007D67B6">
        <w:t xml:space="preserve"> </w:t>
      </w:r>
      <w:r w:rsidR="00F87252">
        <w:t xml:space="preserve">We direct the IOUs to </w:t>
      </w:r>
      <w:r w:rsidRPr="00F87252" w:rsidR="00F87252">
        <w:t>work together to come up with uniform working definitions of controls (and als</w:t>
      </w:r>
      <w:r w:rsidR="00F87252">
        <w:t xml:space="preserve">o, if needed, </w:t>
      </w:r>
      <w:r w:rsidRPr="00F87252" w:rsidR="00F87252">
        <w:t>mitigation</w:t>
      </w:r>
      <w:r w:rsidR="000A5988">
        <w:t>s</w:t>
      </w:r>
      <w:r w:rsidRPr="00F87252" w:rsidR="00F87252">
        <w:t>) that are consistent and compliant with the 2021 Revised S</w:t>
      </w:r>
      <w:r w:rsidR="00541826">
        <w:t>-</w:t>
      </w:r>
      <w:r w:rsidRPr="00F87252" w:rsidR="00F87252">
        <w:t>MAP Lexicon definition</w:t>
      </w:r>
      <w:r w:rsidR="007B6084">
        <w:t>s we adopt in this decision</w:t>
      </w:r>
      <w:r w:rsidRPr="00F87252" w:rsidR="00F87252">
        <w:t xml:space="preserve">. </w:t>
      </w:r>
    </w:p>
    <w:p w:rsidR="00BD0CA6" w:rsidP="00911110" w:rsidRDefault="007D67B6" w14:paraId="3BFE115F" w14:textId="4452B6A9">
      <w:pPr>
        <w:pStyle w:val="Standard"/>
      </w:pPr>
      <w:r>
        <w:t>We direct the IOUs</w:t>
      </w:r>
      <w:r w:rsidR="50D6EDF6">
        <w:t xml:space="preserve"> </w:t>
      </w:r>
      <w:r w:rsidR="00E75347">
        <w:t xml:space="preserve">to </w:t>
      </w:r>
      <w:r w:rsidR="509DB56F">
        <w:t>evaluate all mitigations for efficacy and efficiency</w:t>
      </w:r>
      <w:r>
        <w:t xml:space="preserve"> when using the RDFs and in their RAMP filings</w:t>
      </w:r>
      <w:r w:rsidR="509DB56F">
        <w:t>, whether the mitigation is “in process” or newly proposed.</w:t>
      </w:r>
      <w:r w:rsidR="159D51F6">
        <w:t xml:space="preserve"> </w:t>
      </w:r>
      <w:r w:rsidR="7D6B36A5">
        <w:t xml:space="preserve"> </w:t>
      </w:r>
      <w:r>
        <w:t xml:space="preserve">We clarify that the </w:t>
      </w:r>
      <w:r w:rsidR="202B3B48">
        <w:t xml:space="preserve">IOUs </w:t>
      </w:r>
      <w:r w:rsidR="00CD564F">
        <w:t xml:space="preserve">are required </w:t>
      </w:r>
      <w:r w:rsidR="725388A0">
        <w:t>to</w:t>
      </w:r>
      <w:r w:rsidR="00CD564F">
        <w:t xml:space="preserve"> c</w:t>
      </w:r>
      <w:r w:rsidR="202B3B48">
        <w:t>alculate RSEs for all mitigations, including controls</w:t>
      </w:r>
      <w:r w:rsidR="2D0E6827">
        <w:t xml:space="preserve"> that </w:t>
      </w:r>
      <w:r w:rsidR="6293B1A7">
        <w:t>are ongoing</w:t>
      </w:r>
      <w:r w:rsidR="202B3B48">
        <w:t>.  W</w:t>
      </w:r>
      <w:r w:rsidR="159D51F6">
        <w:t xml:space="preserve">e </w:t>
      </w:r>
      <w:r w:rsidR="004B2F14">
        <w:t xml:space="preserve">adopt a specific </w:t>
      </w:r>
      <w:r w:rsidRPr="00DA23D3" w:rsidR="4FD2AA5A">
        <w:t>app</w:t>
      </w:r>
      <w:r w:rsidRPr="002F17D9" w:rsidR="4FD2AA5A">
        <w:t>roach</w:t>
      </w:r>
      <w:r w:rsidR="004B2F14">
        <w:t xml:space="preserve"> </w:t>
      </w:r>
      <w:r w:rsidRPr="002F17D9" w:rsidR="202B3B48">
        <w:t>to establish</w:t>
      </w:r>
      <w:r w:rsidR="004B2F14">
        <w:t>ing</w:t>
      </w:r>
      <w:r w:rsidRPr="002F17D9" w:rsidR="202B3B48">
        <w:t xml:space="preserve"> baselines for </w:t>
      </w:r>
      <w:r w:rsidR="00CD564F">
        <w:t xml:space="preserve">mitigations and controls </w:t>
      </w:r>
      <w:r w:rsidR="002D1300">
        <w:t>and require the IOUs to be</w:t>
      </w:r>
      <w:r w:rsidR="00D8272E">
        <w:t>gin</w:t>
      </w:r>
      <w:r w:rsidR="002D1300">
        <w:t xml:space="preserve"> using this </w:t>
      </w:r>
      <w:r w:rsidRPr="002F17D9" w:rsidR="4FD2AA5A">
        <w:t xml:space="preserve">starting </w:t>
      </w:r>
      <w:r w:rsidRPr="003B0009" w:rsidR="002F17D9">
        <w:t>January 2022</w:t>
      </w:r>
      <w:r w:rsidRPr="002F17D9" w:rsidR="4FD2AA5A">
        <w:t>.</w:t>
      </w:r>
    </w:p>
    <w:p w:rsidR="00BD0CA6" w:rsidP="00BD0CA6" w:rsidRDefault="00213D7A" w14:paraId="7F9A3B08" w14:textId="1E7FF378">
      <w:pPr>
        <w:pStyle w:val="Heading2"/>
      </w:pPr>
      <w:bookmarkStart w:name="_Toc80890846" w:id="22"/>
      <w:bookmarkStart w:name="_Toc87361146" w:id="23"/>
      <w:r>
        <w:t>5.1</w:t>
      </w:r>
      <w:r>
        <w:tab/>
      </w:r>
      <w:r w:rsidR="00BD0CA6">
        <w:t>Background</w:t>
      </w:r>
      <w:bookmarkEnd w:id="22"/>
      <w:bookmarkEnd w:id="23"/>
    </w:p>
    <w:p w:rsidR="00765439" w:rsidP="005C3CE6" w:rsidRDefault="00225E84" w14:paraId="3BBB4917" w14:textId="5AB7BD34">
      <w:pPr>
        <w:pStyle w:val="Standard"/>
      </w:pPr>
      <w:r>
        <w:t xml:space="preserve">The Interim Decision </w:t>
      </w:r>
      <w:r w:rsidR="00F95191">
        <w:t xml:space="preserve">and the SA Decision together </w:t>
      </w:r>
      <w:r w:rsidRPr="00225E84">
        <w:t>defined key terms in utility risk modeling and mitigation assessment</w:t>
      </w:r>
      <w:r w:rsidR="00F95191">
        <w:t>, producing t</w:t>
      </w:r>
      <w:r w:rsidRPr="00225E84">
        <w:t xml:space="preserve">he </w:t>
      </w:r>
      <w:r w:rsidR="00727B6C">
        <w:t xml:space="preserve">2018 </w:t>
      </w:r>
      <w:r w:rsidR="00CC3FD1">
        <w:t xml:space="preserve">S-MAP </w:t>
      </w:r>
      <w:r w:rsidRPr="00225E84">
        <w:t>Revised Lexicon</w:t>
      </w:r>
      <w:r w:rsidR="00F95191">
        <w:t xml:space="preserve"> adopted in the SA Decision.  The </w:t>
      </w:r>
      <w:r w:rsidR="00727B6C">
        <w:t xml:space="preserve">2018 </w:t>
      </w:r>
      <w:r w:rsidR="00CC3FD1">
        <w:t xml:space="preserve">S-MAP </w:t>
      </w:r>
      <w:r w:rsidR="00F95191">
        <w:t>Revised Lexicon defines both</w:t>
      </w:r>
      <w:r w:rsidRPr="00225E84">
        <w:t xml:space="preserve"> “controls” and “mitigations.” </w:t>
      </w:r>
      <w:r w:rsidR="005A3F6C">
        <w:t xml:space="preserve"> </w:t>
      </w:r>
      <w:r w:rsidR="00F95191">
        <w:t>The SA Decision req</w:t>
      </w:r>
      <w:r w:rsidR="002D1300">
        <w:t xml:space="preserve">uires </w:t>
      </w:r>
      <w:r w:rsidRPr="00225E84">
        <w:t xml:space="preserve">RSE calculations for all “mitigations.” </w:t>
      </w:r>
    </w:p>
    <w:p w:rsidR="00225E84" w:rsidP="00767508" w:rsidRDefault="00225E84" w14:paraId="7C9F2A0A" w14:textId="54747132">
      <w:pPr>
        <w:pStyle w:val="Standard"/>
      </w:pPr>
      <w:r w:rsidRPr="00225E84">
        <w:t xml:space="preserve">The term “control” was first defined in the </w:t>
      </w:r>
      <w:r w:rsidR="00CB6E1E">
        <w:t xml:space="preserve">Interim Decision </w:t>
      </w:r>
      <w:r w:rsidRPr="00225E84">
        <w:t>as a “[c]urrently established measure that is modifying risk”</w:t>
      </w:r>
      <w:r w:rsidR="00DD5208">
        <w:rPr>
          <w:rStyle w:val="FootnoteReference"/>
        </w:rPr>
        <w:footnoteReference w:id="7"/>
      </w:r>
      <w:r w:rsidR="00806B73">
        <w:t xml:space="preserve"> and the SA </w:t>
      </w:r>
      <w:r w:rsidR="002A2F4C">
        <w:t>Decision retains this definition.</w:t>
      </w:r>
      <w:r w:rsidR="00CB6E1E">
        <w:t xml:space="preserve">  </w:t>
      </w:r>
      <w:r w:rsidRPr="00225E84">
        <w:t xml:space="preserve">The </w:t>
      </w:r>
      <w:r w:rsidR="00CB6E1E">
        <w:t xml:space="preserve">SA </w:t>
      </w:r>
      <w:r w:rsidRPr="00225E84">
        <w:t>Decision define</w:t>
      </w:r>
      <w:r w:rsidR="00CB6E1E">
        <w:t>s</w:t>
      </w:r>
      <w:r w:rsidRPr="00225E84">
        <w:t xml:space="preserve"> “mitigation” as “a measure or activity proposed or in process designed to reduce the impact/consequences and/or likelihood/probability of an event</w:t>
      </w:r>
      <w:r w:rsidR="00CB6E1E">
        <w:t>”</w:t>
      </w:r>
      <w:r w:rsidR="00FE0715">
        <w:t xml:space="preserve"> and retains the definition of “control” adopted in the Interim Decision.</w:t>
      </w:r>
      <w:r w:rsidR="008518B2">
        <w:rPr>
          <w:rStyle w:val="FootnoteReference"/>
        </w:rPr>
        <w:footnoteReference w:id="8"/>
      </w:r>
      <w:r w:rsidR="00CB6E1E">
        <w:t xml:space="preserve"> </w:t>
      </w:r>
      <w:r w:rsidR="008518B2">
        <w:t xml:space="preserve"> </w:t>
      </w:r>
      <w:r w:rsidR="00A07955">
        <w:t xml:space="preserve">The </w:t>
      </w:r>
      <w:r w:rsidR="00841213">
        <w:t>S</w:t>
      </w:r>
      <w:r w:rsidR="005C1631">
        <w:t xml:space="preserve">A Decision </w:t>
      </w:r>
      <w:r w:rsidR="004364BB">
        <w:t xml:space="preserve">requires </w:t>
      </w:r>
      <w:r w:rsidRPr="00225E84">
        <w:t xml:space="preserve">the </w:t>
      </w:r>
      <w:r w:rsidRPr="00225E84">
        <w:lastRenderedPageBreak/>
        <w:t>calculation of pre- and post-mitigation risks</w:t>
      </w:r>
      <w:r w:rsidR="00020565">
        <w:t xml:space="preserve"> for all mitigation measures</w:t>
      </w:r>
      <w:r w:rsidR="00067A12">
        <w:t xml:space="preserve"> and </w:t>
      </w:r>
      <w:r w:rsidR="007A05E6">
        <w:t xml:space="preserve">requires </w:t>
      </w:r>
      <w:r w:rsidRPr="00596C75" w:rsidR="007A05E6">
        <w:t xml:space="preserve">IOUs to include in their RAMP applications a description of “controls” or “mitigations” currently in place, </w:t>
      </w:r>
      <w:r w:rsidR="00841213">
        <w:t xml:space="preserve">as </w:t>
      </w:r>
      <w:r w:rsidRPr="00596C75" w:rsidR="007A05E6">
        <w:t>a “baseline for understanding how safety mitigation improves over time.”</w:t>
      </w:r>
      <w:r w:rsidR="007A05E6">
        <w:rPr>
          <w:rStyle w:val="FootnoteReference"/>
        </w:rPr>
        <w:footnoteReference w:id="9"/>
      </w:r>
    </w:p>
    <w:p w:rsidR="00D55629" w:rsidP="005A3F6C" w:rsidRDefault="00D55629" w14:paraId="0768D213" w14:textId="774EFA10">
      <w:pPr>
        <w:pStyle w:val="Standard"/>
        <w:ind w:right="-180"/>
      </w:pPr>
      <w:r>
        <w:t>As</w:t>
      </w:r>
      <w:r w:rsidR="007A05E6">
        <w:t xml:space="preserve"> </w:t>
      </w:r>
      <w:r>
        <w:t xml:space="preserve">discussed in the Staff Track 1 Recommendations, </w:t>
      </w:r>
      <w:r w:rsidR="004A6CCE">
        <w:t>the IOUs have in their RAMP applications use</w:t>
      </w:r>
      <w:r w:rsidR="007A4B1D">
        <w:t xml:space="preserve">d a variety of methods to distinguish measures that are “currently established” or “in place” from those </w:t>
      </w:r>
      <w:r w:rsidR="00624A49">
        <w:t>that are new.</w:t>
      </w:r>
      <w:r w:rsidR="00624A49">
        <w:rPr>
          <w:rStyle w:val="FootnoteReference"/>
        </w:rPr>
        <w:footnoteReference w:id="10"/>
      </w:r>
      <w:r w:rsidR="00624A49">
        <w:t xml:space="preserve">  </w:t>
      </w:r>
      <w:r w:rsidR="00883A75">
        <w:t>Specifically, the IOUs</w:t>
      </w:r>
      <w:r w:rsidR="005F6BC9">
        <w:t xml:space="preserve"> </w:t>
      </w:r>
      <w:r w:rsidR="00883A75">
        <w:t>independently developed a variety of</w:t>
      </w:r>
      <w:r w:rsidR="00771986">
        <w:t xml:space="preserve"> approaches to the concept of</w:t>
      </w:r>
      <w:r w:rsidR="00883A75">
        <w:t xml:space="preserve"> “controls</w:t>
      </w:r>
      <w:r w:rsidR="005E285E">
        <w:t>;</w:t>
      </w:r>
      <w:r w:rsidR="00E94A7D">
        <w:t xml:space="preserve">” </w:t>
      </w:r>
      <w:r w:rsidR="00B91064">
        <w:t>SCE</w:t>
      </w:r>
      <w:r w:rsidR="005E285E">
        <w:t xml:space="preserve">, for instance, </w:t>
      </w:r>
      <w:r w:rsidR="00FC2AA0">
        <w:t>defin</w:t>
      </w:r>
      <w:r w:rsidR="005E285E">
        <w:t>ed</w:t>
      </w:r>
      <w:r w:rsidR="00FC2AA0">
        <w:t xml:space="preserve"> a subcategory</w:t>
      </w:r>
      <w:r w:rsidR="007A3635">
        <w:t xml:space="preserve"> </w:t>
      </w:r>
      <w:r w:rsidR="00213F01">
        <w:t xml:space="preserve">of controls </w:t>
      </w:r>
      <w:r w:rsidR="00135020">
        <w:t>it</w:t>
      </w:r>
      <w:r w:rsidR="005E285E">
        <w:t xml:space="preserve"> call</w:t>
      </w:r>
      <w:r w:rsidR="00135020">
        <w:t>s</w:t>
      </w:r>
      <w:r w:rsidR="005E285E">
        <w:t xml:space="preserve"> </w:t>
      </w:r>
      <w:r w:rsidR="00350A72">
        <w:t xml:space="preserve"> </w:t>
      </w:r>
      <w:r w:rsidR="007A3635">
        <w:t>“compliance control</w:t>
      </w:r>
      <w:r w:rsidR="00A74EFF">
        <w:t>s</w:t>
      </w:r>
      <w:r w:rsidR="007A3635">
        <w:t>.”</w:t>
      </w:r>
      <w:r w:rsidR="00041812">
        <w:rPr>
          <w:rStyle w:val="FootnoteReference"/>
        </w:rPr>
        <w:footnoteReference w:id="11"/>
      </w:r>
      <w:r w:rsidR="007A3635">
        <w:t xml:space="preserve"> </w:t>
      </w:r>
      <w:r w:rsidR="00FC2AA0">
        <w:t xml:space="preserve"> </w:t>
      </w:r>
      <w:r w:rsidR="00371667">
        <w:t>Further, t</w:t>
      </w:r>
      <w:r w:rsidR="00F403FE">
        <w:t xml:space="preserve">he IOUs </w:t>
      </w:r>
      <w:r w:rsidR="00883A75">
        <w:t xml:space="preserve">have applied different </w:t>
      </w:r>
      <w:r w:rsidR="00D255FB">
        <w:t>treatment</w:t>
      </w:r>
      <w:r w:rsidR="00991984">
        <w:t>s</w:t>
      </w:r>
      <w:r w:rsidR="00D255FB">
        <w:t xml:space="preserve"> </w:t>
      </w:r>
      <w:r w:rsidR="00883A75">
        <w:t xml:space="preserve">to </w:t>
      </w:r>
      <w:r w:rsidR="006259C5">
        <w:t xml:space="preserve">mitigations </w:t>
      </w:r>
      <w:r w:rsidR="005B368F">
        <w:t xml:space="preserve">and </w:t>
      </w:r>
      <w:r w:rsidR="00E92FFE">
        <w:t>controls</w:t>
      </w:r>
      <w:r w:rsidR="00371667">
        <w:t xml:space="preserve"> as they have defined them</w:t>
      </w:r>
      <w:r w:rsidR="00883A75">
        <w:t>.  For instance, S</w:t>
      </w:r>
      <w:r w:rsidR="006E3761">
        <w:t>taff note that PG&amp;E did not calculate RSEs for all “controls” currently in place</w:t>
      </w:r>
      <w:r w:rsidR="007A05E6">
        <w:t xml:space="preserve"> in its 2020 RAMP application,</w:t>
      </w:r>
      <w:r w:rsidR="006E3761">
        <w:t xml:space="preserve"> </w:t>
      </w:r>
      <w:r w:rsidR="00596C75">
        <w:t xml:space="preserve">even </w:t>
      </w:r>
      <w:r w:rsidR="006E3761">
        <w:t>though PG&amp;E indicated it primarily reduces risk through controls.</w:t>
      </w:r>
      <w:r w:rsidR="00F554C0">
        <w:rPr>
          <w:rStyle w:val="FootnoteReference"/>
        </w:rPr>
        <w:footnoteReference w:id="12"/>
      </w:r>
      <w:r w:rsidR="006E3761">
        <w:t xml:space="preserve"> </w:t>
      </w:r>
      <w:r w:rsidR="00596C75">
        <w:t xml:space="preserve"> </w:t>
      </w:r>
    </w:p>
    <w:p w:rsidR="003665A2" w:rsidP="003665A2" w:rsidRDefault="00213D7A" w14:paraId="11B5DB1F" w14:textId="61C533E7">
      <w:pPr>
        <w:pStyle w:val="Heading2"/>
      </w:pPr>
      <w:bookmarkStart w:name="_Toc80890847" w:id="24"/>
      <w:bookmarkStart w:name="_Toc87361147" w:id="25"/>
      <w:r>
        <w:t>5.2</w:t>
      </w:r>
      <w:r>
        <w:tab/>
      </w:r>
      <w:r w:rsidR="003665A2">
        <w:t>Staff Proposal</w:t>
      </w:r>
      <w:bookmarkEnd w:id="24"/>
      <w:bookmarkEnd w:id="25"/>
      <w:r w:rsidR="003665A2">
        <w:t xml:space="preserve"> </w:t>
      </w:r>
    </w:p>
    <w:p w:rsidR="003F0321" w:rsidP="004F4A56" w:rsidRDefault="003F0321" w14:paraId="4A5ADDAD" w14:textId="3C3B7A2A">
      <w:pPr>
        <w:pStyle w:val="Standard"/>
      </w:pPr>
      <w:r>
        <w:t xml:space="preserve">Staff </w:t>
      </w:r>
      <w:r w:rsidR="00D947B0">
        <w:t xml:space="preserve">observes that </w:t>
      </w:r>
      <w:r w:rsidRPr="00484051" w:rsidR="00484051">
        <w:t xml:space="preserve">a “control,” (“currently established measure that is modifying risk”), if it is “in process” and “designed to reduce the impact/consequence and/or likelihood/probability of an event,” </w:t>
      </w:r>
      <w:r w:rsidRPr="002D1300" w:rsidR="00484051">
        <w:rPr>
          <w:u w:val="single"/>
        </w:rPr>
        <w:t>is</w:t>
      </w:r>
      <w:r w:rsidRPr="002D1300" w:rsidR="00484051">
        <w:t xml:space="preserve"> </w:t>
      </w:r>
      <w:r w:rsidRPr="00484051" w:rsidR="00484051">
        <w:t xml:space="preserve">a “mitigation.”  </w:t>
      </w:r>
      <w:r w:rsidR="00484051">
        <w:t xml:space="preserve">Further, Staff notes that the SA Decision </w:t>
      </w:r>
      <w:r w:rsidRPr="00484051" w:rsidR="00484051">
        <w:t xml:space="preserve">requires that RSEs be calculated for </w:t>
      </w:r>
      <w:r w:rsidR="00484051">
        <w:t xml:space="preserve">all </w:t>
      </w:r>
      <w:r w:rsidRPr="00484051" w:rsidR="00484051">
        <w:t>mitigations</w:t>
      </w:r>
      <w:r w:rsidR="00484051">
        <w:t>, including controls</w:t>
      </w:r>
      <w:r w:rsidR="00FC730E">
        <w:t xml:space="preserve"> that are mitigations because they are “in progress</w:t>
      </w:r>
      <w:r w:rsidR="00484051">
        <w:t>.</w:t>
      </w:r>
      <w:r w:rsidR="00FC730E">
        <w:t>”</w:t>
      </w:r>
      <w:r w:rsidR="00484051">
        <w:t xml:space="preserve">  Therefore, </w:t>
      </w:r>
      <w:r w:rsidR="00D40A1B">
        <w:t xml:space="preserve">the </w:t>
      </w:r>
      <w:r w:rsidR="00484051">
        <w:t xml:space="preserve">Staff </w:t>
      </w:r>
      <w:r w:rsidR="00D40A1B">
        <w:t xml:space="preserve">Proposal </w:t>
      </w:r>
      <w:r w:rsidR="00484051">
        <w:t>does</w:t>
      </w:r>
      <w:r w:rsidRPr="003F0321">
        <w:t xml:space="preserve"> not recommend </w:t>
      </w:r>
      <w:r w:rsidR="00D40A1B">
        <w:t xml:space="preserve">that the </w:t>
      </w:r>
      <w:r w:rsidR="00D40A1B">
        <w:lastRenderedPageBreak/>
        <w:t xml:space="preserve">Commission update the </w:t>
      </w:r>
      <w:r w:rsidRPr="003F0321">
        <w:t>adopted definitions for “controls” and “mitigations</w:t>
      </w:r>
      <w:r>
        <w:t>.</w:t>
      </w:r>
      <w:r w:rsidRPr="003F0321">
        <w:t xml:space="preserve">” </w:t>
      </w:r>
      <w:r>
        <w:t xml:space="preserve"> However, </w:t>
      </w:r>
      <w:r w:rsidR="00D40A1B">
        <w:t xml:space="preserve">the </w:t>
      </w:r>
      <w:r w:rsidRPr="003F0321">
        <w:t xml:space="preserve">Staff </w:t>
      </w:r>
      <w:r w:rsidR="00D40A1B">
        <w:t xml:space="preserve">Proposal does </w:t>
      </w:r>
      <w:r w:rsidRPr="003F0321">
        <w:t xml:space="preserve">recommend </w:t>
      </w:r>
      <w:r w:rsidR="005A1DE5">
        <w:t xml:space="preserve">that utilities </w:t>
      </w:r>
      <w:r w:rsidR="00D40A1B">
        <w:t xml:space="preserve">be required to </w:t>
      </w:r>
      <w:r w:rsidR="005A1DE5">
        <w:t xml:space="preserve">consistently define and treat </w:t>
      </w:r>
      <w:r w:rsidRPr="003F0321">
        <w:t>controls and mitigation measures in</w:t>
      </w:r>
      <w:r w:rsidR="00574A20">
        <w:t xml:space="preserve"> their </w:t>
      </w:r>
      <w:r w:rsidRPr="003F0321">
        <w:t>filings across various Commission proceedings</w:t>
      </w:r>
      <w:r w:rsidR="00A922A7">
        <w:t xml:space="preserve">, including </w:t>
      </w:r>
      <w:r w:rsidR="00FD4438">
        <w:t xml:space="preserve">any </w:t>
      </w:r>
      <w:r w:rsidR="00D65A59">
        <w:t xml:space="preserve">and all </w:t>
      </w:r>
      <w:r w:rsidR="00A922A7">
        <w:t>subcategories of controls.</w:t>
      </w:r>
      <w:r w:rsidR="00574A20">
        <w:t xml:space="preserve">  </w:t>
      </w:r>
      <w:r w:rsidR="00CC5CFC">
        <w:t xml:space="preserve">Specifically, </w:t>
      </w:r>
      <w:r w:rsidRPr="00CC5CFC" w:rsidR="00CC5CFC">
        <w:t xml:space="preserve">Staff recommend that the IOUs </w:t>
      </w:r>
      <w:r w:rsidR="00FA69CB">
        <w:t xml:space="preserve">be required to </w:t>
      </w:r>
      <w:r w:rsidRPr="00CC5CFC" w:rsidR="00CC5CFC">
        <w:t>uniform</w:t>
      </w:r>
      <w:r w:rsidR="00883A75">
        <w:t>ly apply</w:t>
      </w:r>
      <w:r w:rsidRPr="00CC5CFC" w:rsidR="00CC5CFC">
        <w:t xml:space="preserve"> methodologies </w:t>
      </w:r>
      <w:r w:rsidR="00883A75">
        <w:t xml:space="preserve">and definitions </w:t>
      </w:r>
      <w:r w:rsidRPr="00CC5CFC" w:rsidR="00CC5CFC">
        <w:t xml:space="preserve">to establish risk baselines </w:t>
      </w:r>
      <w:r w:rsidR="002C6A1F">
        <w:t xml:space="preserve">associated with mitigation measures </w:t>
      </w:r>
      <w:r w:rsidRPr="00CC5CFC" w:rsidR="00CC5CFC">
        <w:t>in their RAMP applications and other relevant RDF filings</w:t>
      </w:r>
      <w:r w:rsidR="00DD0294">
        <w:t>.</w:t>
      </w:r>
    </w:p>
    <w:p w:rsidR="00DD0294" w:rsidP="004F4A56" w:rsidRDefault="00DD0294" w14:paraId="7ABE7215" w14:textId="32F41533">
      <w:pPr>
        <w:pStyle w:val="Standard"/>
      </w:pPr>
      <w:r w:rsidRPr="00DD0294">
        <w:t>To prevent potential errors and inconsistent treatment in evaluating risks across utilities, Staff recommends that utilities a</w:t>
      </w:r>
      <w:r w:rsidR="005B15C6">
        <w:t>dhere to</w:t>
      </w:r>
      <w:r w:rsidRPr="00DD0294">
        <w:t xml:space="preserve"> the following requirements</w:t>
      </w:r>
      <w:r w:rsidR="00281ED3">
        <w:t xml:space="preserve"> when developing risk scores and RSEs</w:t>
      </w:r>
      <w:r w:rsidR="002C6A1F">
        <w:t xml:space="preserve"> for mitigation measures, whether these are controls or newly proposed mitigations</w:t>
      </w:r>
      <w:r w:rsidRPr="00DD0294">
        <w:t xml:space="preserve">: </w:t>
      </w:r>
    </w:p>
    <w:p w:rsidR="00DD0294" w:rsidP="00736E5D" w:rsidRDefault="00DD0294" w14:paraId="7F802133" w14:textId="09C09311">
      <w:pPr>
        <w:pStyle w:val="ListBullet"/>
        <w:ind w:left="1080" w:right="1440"/>
      </w:pPr>
      <w:r w:rsidRPr="00281ED3">
        <w:rPr>
          <w:u w:val="single"/>
        </w:rPr>
        <w:t>Type A Baseline Measures</w:t>
      </w:r>
      <w:r w:rsidRPr="00DD0294">
        <w:t xml:space="preserve">: </w:t>
      </w:r>
      <w:r w:rsidR="00736E5D">
        <w:t xml:space="preserve"> </w:t>
      </w:r>
      <w:r w:rsidRPr="00DD0294">
        <w:t>For all controls and mitigation measures and/or activities that a utility plans to implement prior to the beginning of the upcoming GRC test-year, the utility accounts for all actual and forecasted risk reduction benefits in the baseline associated with those measures and/or activities that have been approved in the prior and/or current GRC cycles.</w:t>
      </w:r>
    </w:p>
    <w:p w:rsidR="00DD0294" w:rsidP="00736E5D" w:rsidRDefault="00DD0294" w14:paraId="47BE04CD" w14:textId="3BD697AB">
      <w:pPr>
        <w:pStyle w:val="ListBullet"/>
        <w:ind w:left="1080" w:right="1440"/>
      </w:pPr>
      <w:r w:rsidRPr="00281ED3">
        <w:rPr>
          <w:u w:val="single"/>
        </w:rPr>
        <w:t>Type B Baseline Measures:</w:t>
      </w:r>
      <w:r w:rsidRPr="00DD0294">
        <w:t xml:space="preserve"> </w:t>
      </w:r>
      <w:r w:rsidR="00736E5D">
        <w:t xml:space="preserve"> </w:t>
      </w:r>
      <w:r w:rsidRPr="00DD0294">
        <w:t>Account for all actual and forecasted risk reduction benefits in the baseline associated with all controls and mitigation measures and/or activities that have not been funded by ratepayers and/or exceed the original approved scope and/or funding in the prior and/or current GRC cycles. In other words, incremental costs (above what was approved for funding in prior GRCs) associated with these measures are excluded from the RSE calculations; however, the utility should account for risk reduction benefits associated with these measures</w:t>
      </w:r>
      <w:r>
        <w:t>.</w:t>
      </w:r>
    </w:p>
    <w:p w:rsidR="00DD0294" w:rsidP="00736E5D" w:rsidRDefault="00DD0294" w14:paraId="55CDEB9A" w14:textId="32854035">
      <w:pPr>
        <w:pStyle w:val="ListBullet"/>
        <w:ind w:left="1080" w:right="1440"/>
      </w:pPr>
      <w:r w:rsidRPr="00A50B1E">
        <w:rPr>
          <w:u w:val="single"/>
        </w:rPr>
        <w:t>Type C Baseline Measures:</w:t>
      </w:r>
      <w:r w:rsidRPr="00DD0294">
        <w:t xml:space="preserve"> </w:t>
      </w:r>
      <w:r w:rsidR="00736E5D">
        <w:t xml:space="preserve"> </w:t>
      </w:r>
      <w:r w:rsidRPr="00DD0294">
        <w:t>Exclude from the baseline forecasted risk reduction benefits for all mitigation measures and/or activities (that have been approved in the prior and/or current GRC cycles), which the utility doe</w:t>
      </w:r>
      <w:r w:rsidR="005B4C07">
        <w:t>s</w:t>
      </w:r>
      <w:r w:rsidRPr="00DD0294">
        <w:t xml:space="preserve"> </w:t>
      </w:r>
      <w:r w:rsidRPr="00DD0294">
        <w:lastRenderedPageBreak/>
        <w:t>not plan to implement prior to the beginning of the upcoming GRC test-year.</w:t>
      </w:r>
    </w:p>
    <w:p w:rsidR="00DD0294" w:rsidP="00736E5D" w:rsidRDefault="00DD0294" w14:paraId="05A9B72C" w14:textId="10FD45A9">
      <w:pPr>
        <w:pStyle w:val="ListBullet"/>
        <w:ind w:left="1080" w:right="1440"/>
      </w:pPr>
      <w:r w:rsidRPr="00DD0294">
        <w:t xml:space="preserve">The utility should </w:t>
      </w:r>
      <w:r w:rsidRPr="00736E5D">
        <w:rPr>
          <w:u w:val="single"/>
        </w:rPr>
        <w:t>identify</w:t>
      </w:r>
      <w:r w:rsidRPr="00DD0294">
        <w:t xml:space="preserve"> in its annual R</w:t>
      </w:r>
      <w:r w:rsidR="00A50B1E">
        <w:t xml:space="preserve">SAR </w:t>
      </w:r>
      <w:r w:rsidRPr="00DD0294">
        <w:t>the costs for controls and/or mitigation measures and/or activities that were approved in prior GRC cycles but not implemented, as applicable.</w:t>
      </w:r>
      <w:r w:rsidR="005B15C6">
        <w:rPr>
          <w:rStyle w:val="FootnoteReference"/>
        </w:rPr>
        <w:footnoteReference w:id="13"/>
      </w:r>
      <w:r w:rsidRPr="00DD0294">
        <w:t xml:space="preserve"> </w:t>
      </w:r>
    </w:p>
    <w:p w:rsidR="00DD0294" w:rsidP="004F4A56" w:rsidRDefault="00DD0294" w14:paraId="10B5C9EB" w14:textId="22D2B823">
      <w:pPr>
        <w:pStyle w:val="Standard"/>
      </w:pPr>
      <w:r w:rsidRPr="00DD0294">
        <w:t xml:space="preserve">Staff </w:t>
      </w:r>
      <w:r w:rsidR="002D1300">
        <w:t xml:space="preserve">also </w:t>
      </w:r>
      <w:r w:rsidRPr="00DD0294">
        <w:t>recommends</w:t>
      </w:r>
      <w:r w:rsidR="005B15C6">
        <w:t xml:space="preserve"> t</w:t>
      </w:r>
      <w:r w:rsidRPr="00DD0294">
        <w:t>hat the Commission consider examining how risk profiling and mapping</w:t>
      </w:r>
      <w:r w:rsidR="00A50B1E">
        <w:t xml:space="preserve"> </w:t>
      </w:r>
      <w:r w:rsidRPr="00DD0294">
        <w:t xml:space="preserve">utilizing tools such as digital mapping or </w:t>
      </w:r>
      <w:r w:rsidR="00E4775A">
        <w:t>geographic information systems (</w:t>
      </w:r>
      <w:r w:rsidRPr="00DD0294">
        <w:t>GIS</w:t>
      </w:r>
      <w:r w:rsidR="00E4775A">
        <w:t>)</w:t>
      </w:r>
      <w:r w:rsidR="00A50B1E">
        <w:t xml:space="preserve"> </w:t>
      </w:r>
      <w:r w:rsidRPr="00DD0294">
        <w:t>could be incorporated into future RAMP filings to further improve transparency and accountability</w:t>
      </w:r>
      <w:r w:rsidR="005B15C6">
        <w:t xml:space="preserve"> in Phase II of this proceeding.</w:t>
      </w:r>
      <w:r w:rsidR="00696FAF">
        <w:rPr>
          <w:rStyle w:val="FootnoteReference"/>
        </w:rPr>
        <w:footnoteReference w:id="14"/>
      </w:r>
    </w:p>
    <w:p w:rsidR="00696FAF" w:rsidP="00696FAF" w:rsidRDefault="00213D7A" w14:paraId="614C9033" w14:textId="3108BDF5">
      <w:pPr>
        <w:pStyle w:val="Heading2"/>
      </w:pPr>
      <w:bookmarkStart w:name="_Toc80890848" w:id="26"/>
      <w:bookmarkStart w:name="_Toc87361148" w:id="27"/>
      <w:r>
        <w:t>5.3</w:t>
      </w:r>
      <w:r>
        <w:tab/>
      </w:r>
      <w:r w:rsidR="00696FAF">
        <w:t>Party Comments</w:t>
      </w:r>
      <w:bookmarkEnd w:id="26"/>
      <w:bookmarkEnd w:id="27"/>
    </w:p>
    <w:p w:rsidRPr="00A50B1E" w:rsidR="00A50B1E" w:rsidP="00736E5D" w:rsidRDefault="00BF7085" w14:paraId="13F226F0" w14:textId="7A30E193">
      <w:pPr>
        <w:pStyle w:val="Standard"/>
      </w:pPr>
      <w:r w:rsidRPr="003B0009">
        <w:t xml:space="preserve">Parties generally support requiring </w:t>
      </w:r>
      <w:r w:rsidR="002D1300">
        <w:t>the IOUs to use a u</w:t>
      </w:r>
      <w:r w:rsidRPr="003B0009">
        <w:t>niform approach to</w:t>
      </w:r>
      <w:r w:rsidRPr="003B0009" w:rsidR="005974A4">
        <w:t xml:space="preserve"> identif</w:t>
      </w:r>
      <w:r w:rsidR="002D1300">
        <w:t xml:space="preserve">y </w:t>
      </w:r>
      <w:r w:rsidRPr="003B0009" w:rsidR="005974A4">
        <w:t xml:space="preserve">baselines for mitigations and controls, as proposed by Staff.  </w:t>
      </w:r>
      <w:r w:rsidR="00BE71F9">
        <w:t xml:space="preserve">However, </w:t>
      </w:r>
      <w:r w:rsidR="00A916BB">
        <w:t>TURN recommen</w:t>
      </w:r>
      <w:r w:rsidR="00BE71F9">
        <w:t>ds</w:t>
      </w:r>
      <w:r w:rsidR="00A916BB">
        <w:t xml:space="preserve"> consolidating Type A and Type B measures</w:t>
      </w:r>
      <w:r w:rsidR="00AD20BA">
        <w:t xml:space="preserve"> to </w:t>
      </w:r>
      <w:r w:rsidR="00301318">
        <w:t>a</w:t>
      </w:r>
      <w:r w:rsidRPr="00301318" w:rsidR="00301318">
        <w:t>ccount for all actual and forecasted risk reduction benefits in the baseline associated with all controls and mitigation measures and/or activities to be performed before the GRC test year, whether or not those activities were previously authorized or exceed authorized funding levels</w:t>
      </w:r>
      <w:r w:rsidR="00301318">
        <w:t xml:space="preserve">, stating that distinguishing between these two types is not necessary. </w:t>
      </w:r>
      <w:r w:rsidR="005A3F6C">
        <w:t xml:space="preserve"> </w:t>
      </w:r>
      <w:r w:rsidR="00C962A8">
        <w:t xml:space="preserve">UCAN </w:t>
      </w:r>
      <w:r w:rsidR="0093044A">
        <w:t xml:space="preserve">stresses that all IOUs must define “mitigations” and “controls” in a common manner to provide transparency.  </w:t>
      </w:r>
      <w:r w:rsidR="001B1C41">
        <w:t xml:space="preserve">UCAN also requests clarification on </w:t>
      </w:r>
      <w:r w:rsidR="00D03A39">
        <w:t xml:space="preserve">the definition of “incremental costs.” </w:t>
      </w:r>
      <w:r w:rsidR="004F6955">
        <w:t xml:space="preserve"> PCF recommend</w:t>
      </w:r>
      <w:r w:rsidR="004149FD">
        <w:t>s that Staff’s recommendation is modified to add the sentence</w:t>
      </w:r>
      <w:r w:rsidRPr="000B2D45" w:rsidR="004149FD">
        <w:t>, “</w:t>
      </w:r>
      <w:r w:rsidRPr="0056003F" w:rsidR="000B77A5">
        <w:t xml:space="preserve">The terms ‘baseline,’ ‘control’ and ‘mitigation’ may not be interpreted or used in an effort to avoid RSE calculations, which remain required for all risk reduction activities,” and to point to 2014 as the </w:t>
      </w:r>
      <w:r w:rsidRPr="0056003F" w:rsidR="0080731B">
        <w:t xml:space="preserve">base </w:t>
      </w:r>
      <w:r w:rsidRPr="0056003F" w:rsidR="00AA5F32">
        <w:t xml:space="preserve">year </w:t>
      </w:r>
      <w:r w:rsidRPr="0056003F" w:rsidR="0080731B">
        <w:t>to establish</w:t>
      </w:r>
      <w:r w:rsidRPr="0056003F" w:rsidR="00AA5F32">
        <w:t xml:space="preserve"> risk </w:t>
      </w:r>
      <w:r w:rsidRPr="00775D74" w:rsidR="00AA5F32">
        <w:t>baselines</w:t>
      </w:r>
      <w:r w:rsidRPr="00775D74" w:rsidR="0080731B">
        <w:t>.</w:t>
      </w:r>
      <w:r w:rsidRPr="00775D74" w:rsidR="00AA5F32">
        <w:t xml:space="preserve"> </w:t>
      </w:r>
      <w:r w:rsidRPr="00775D74" w:rsidR="002B47E9">
        <w:t xml:space="preserve"> PCF</w:t>
      </w:r>
      <w:r w:rsidRPr="0056003F" w:rsidR="002B47E9">
        <w:t xml:space="preserve"> also </w:t>
      </w:r>
      <w:r w:rsidRPr="0056003F" w:rsidR="003C4B6C">
        <w:t xml:space="preserve">asserts </w:t>
      </w:r>
      <w:r w:rsidRPr="0056003F" w:rsidR="003C4B6C">
        <w:lastRenderedPageBreak/>
        <w:t xml:space="preserve">the word “approved” in Staff’s definition of Type A baselines is confusing and must be understood as the dictionary </w:t>
      </w:r>
      <w:r w:rsidRPr="0056003F" w:rsidR="00F522F3">
        <w:t>definition of the term.</w:t>
      </w:r>
    </w:p>
    <w:p w:rsidR="009851AB" w:rsidP="005A4A0D" w:rsidRDefault="00F522F3" w14:paraId="4C7CC709" w14:textId="1F687E03">
      <w:pPr>
        <w:pStyle w:val="Standard"/>
      </w:pPr>
      <w:r>
        <w:t>SDG&amp;E</w:t>
      </w:r>
      <w:r w:rsidR="004866A5">
        <w:t>/</w:t>
      </w:r>
      <w:r>
        <w:t>SoCalGas recommend the Commission consider</w:t>
      </w:r>
      <w:r w:rsidR="00177A8B">
        <w:t xml:space="preserve"> correctly defining baselines for mitigations and controls in Track 3</w:t>
      </w:r>
      <w:r w:rsidR="00F17B32">
        <w:t xml:space="preserve"> </w:t>
      </w:r>
      <w:r w:rsidRPr="00F17B32" w:rsidR="00F17B32">
        <w:t>given that the baseline measures proposed by Staff in Track 1 reference GRCs and RSARs and may result in changes to the time period utilities present cost and risk reduction benefit estimates in RAMP submissions.</w:t>
      </w:r>
      <w:r w:rsidR="000B76B9">
        <w:t xml:space="preserve">  TURN disagrees with SDG&amp;E</w:t>
      </w:r>
      <w:r w:rsidR="004866A5">
        <w:t>/</w:t>
      </w:r>
      <w:r w:rsidR="009D53A2">
        <w:t xml:space="preserve">SoCalGas </w:t>
      </w:r>
      <w:r w:rsidR="000B76B9">
        <w:t xml:space="preserve">and observes that </w:t>
      </w:r>
      <w:r w:rsidRPr="000B76B9" w:rsidR="000B76B9">
        <w:t xml:space="preserve">the SA </w:t>
      </w:r>
      <w:r w:rsidRPr="00D57307" w:rsidR="000B76B9">
        <w:t>Decision s</w:t>
      </w:r>
      <w:r w:rsidR="000B76B9">
        <w:t>tates that</w:t>
      </w:r>
      <w:r w:rsidR="007B0ABA">
        <w:t xml:space="preserve"> utility RDFs</w:t>
      </w:r>
      <w:r w:rsidRPr="00D57307" w:rsidR="000B76B9">
        <w:t xml:space="preserve"> must take into account the benefits of any mitigations that are expected to be implemented prior to the GRC period under review </w:t>
      </w:r>
      <w:r w:rsidRPr="00C0408B" w:rsidR="000B76B9">
        <w:t>in the RAMP submission an</w:t>
      </w:r>
      <w:r w:rsidRPr="000B76B9" w:rsidR="000B76B9">
        <w:t xml:space="preserve">d those benefits should be based on data </w:t>
      </w:r>
      <w:r w:rsidRPr="0056003F" w:rsidR="000B76B9">
        <w:t xml:space="preserve">supplemented by </w:t>
      </w:r>
      <w:r w:rsidR="008631E3">
        <w:t>subject matter expert (</w:t>
      </w:r>
      <w:r w:rsidRPr="0056003F" w:rsidR="000B76B9">
        <w:t>SME</w:t>
      </w:r>
      <w:r w:rsidR="008631E3">
        <w:t>)</w:t>
      </w:r>
      <w:r w:rsidRPr="0056003F" w:rsidR="000B76B9">
        <w:t xml:space="preserve"> judgment to determine those benefits.</w:t>
      </w:r>
    </w:p>
    <w:p w:rsidRPr="00A50B1E" w:rsidR="006916F8" w:rsidP="008940AA" w:rsidRDefault="009851AB" w14:paraId="3BC251D3" w14:textId="071834FB">
      <w:pPr>
        <w:pStyle w:val="Standard"/>
      </w:pPr>
      <w:r w:rsidRPr="009851AB">
        <w:t xml:space="preserve">PG&amp;E </w:t>
      </w:r>
      <w:r w:rsidR="005A4A0D">
        <w:t>asserts that the</w:t>
      </w:r>
      <w:r w:rsidRPr="005A4A0D" w:rsidR="005A4A0D">
        <w:t xml:space="preserve"> Staff proposal requires use of “inherent risk” because it excludes any level of activity in test year. </w:t>
      </w:r>
      <w:r w:rsidR="005A4A0D">
        <w:t xml:space="preserve"> PG&amp;E states that the SA Decision defines inherent risk as </w:t>
      </w:r>
      <w:r w:rsidRPr="005A4A0D" w:rsidR="005A4A0D">
        <w:t>risk that excludes any controls</w:t>
      </w:r>
      <w:r w:rsidR="005A4A0D">
        <w:t xml:space="preserve"> or mitigations. To address this, PG&amp;E proposes </w:t>
      </w:r>
      <w:r w:rsidRPr="009851AB" w:rsidR="005A4A0D">
        <w:t xml:space="preserve">a fourth category of baselines, Type </w:t>
      </w:r>
      <w:r w:rsidR="005A4A0D">
        <w:t xml:space="preserve">D, which PG&amp;E states </w:t>
      </w:r>
      <w:r w:rsidRPr="005A4A0D" w:rsidR="005A4A0D">
        <w:t>allows for the baseline risk score to include the existing level of mitigations and controls</w:t>
      </w:r>
      <w:r w:rsidR="005A4A0D">
        <w:t xml:space="preserve"> and </w:t>
      </w:r>
      <w:r w:rsidRPr="005A4A0D" w:rsidR="005A4A0D">
        <w:t>allows for the calculation of RSEs for programs that are included in the baseline</w:t>
      </w:r>
      <w:r w:rsidR="005A4A0D">
        <w:t xml:space="preserve">.  PG&amp;E </w:t>
      </w:r>
      <w:r w:rsidR="008332A3">
        <w:t>propose</w:t>
      </w:r>
      <w:r w:rsidR="00C75D23">
        <w:t>s</w:t>
      </w:r>
      <w:r w:rsidR="008332A3">
        <w:t xml:space="preserve"> that </w:t>
      </w:r>
      <w:r w:rsidR="005A4A0D">
        <w:t xml:space="preserve">Type D baselines </w:t>
      </w:r>
      <w:r w:rsidR="001D2F37">
        <w:t xml:space="preserve">measures </w:t>
      </w:r>
      <w:r w:rsidR="008332A3">
        <w:t>include “</w:t>
      </w:r>
      <w:r w:rsidRPr="00FA4BD1" w:rsidR="00FA4BD1">
        <w:t>in the baseline forecasted risk</w:t>
      </w:r>
      <w:r w:rsidR="008332A3">
        <w:t xml:space="preserve"> </w:t>
      </w:r>
      <w:r w:rsidRPr="00FA4BD1" w:rsidR="00FA4BD1">
        <w:t>reduction benefits for all mitigation measures and/or activities (that</w:t>
      </w:r>
      <w:r w:rsidR="008332A3">
        <w:t xml:space="preserve"> </w:t>
      </w:r>
      <w:r w:rsidRPr="00FA4BD1" w:rsidR="00FA4BD1">
        <w:t>have been approved in the prior and/or current GRC cycles), at</w:t>
      </w:r>
      <w:r w:rsidR="008332A3">
        <w:t xml:space="preserve"> </w:t>
      </w:r>
      <w:r w:rsidRPr="00FA4BD1" w:rsidR="00FA4BD1">
        <w:t>previously established and/or authorized levels, that utilities intend</w:t>
      </w:r>
      <w:r w:rsidR="008332A3">
        <w:t xml:space="preserve"> </w:t>
      </w:r>
      <w:r w:rsidRPr="00FA4BD1" w:rsidR="00FA4BD1">
        <w:t xml:space="preserve">or are required to continue into the new GRC cycle. </w:t>
      </w:r>
      <w:r w:rsidR="005A3F6C">
        <w:t xml:space="preserve"> </w:t>
      </w:r>
      <w:r w:rsidRPr="00FA4BD1" w:rsidR="00FA4BD1">
        <w:t>Utilities are</w:t>
      </w:r>
      <w:r w:rsidR="008332A3">
        <w:t xml:space="preserve"> </w:t>
      </w:r>
      <w:r w:rsidRPr="00FA4BD1" w:rsidR="00FA4BD1">
        <w:t>not precluded from calculating RSEs for programs as required by</w:t>
      </w:r>
      <w:r w:rsidR="008332A3">
        <w:t xml:space="preserve"> </w:t>
      </w:r>
      <w:r w:rsidRPr="00FA4BD1" w:rsidR="00FA4BD1">
        <w:t xml:space="preserve">the Settlement </w:t>
      </w:r>
      <w:r w:rsidRPr="00FA4BD1" w:rsidR="00FA4BD1">
        <w:lastRenderedPageBreak/>
        <w:t>Agreement solely on the basis of such programs</w:t>
      </w:r>
      <w:r w:rsidR="008332A3">
        <w:t xml:space="preserve"> </w:t>
      </w:r>
      <w:r w:rsidRPr="00FA4BD1" w:rsidR="00FA4BD1">
        <w:t>being identified herein.</w:t>
      </w:r>
      <w:r w:rsidR="00752EDC">
        <w:t>”</w:t>
      </w:r>
      <w:r w:rsidR="003B0009">
        <w:rPr>
          <w:rStyle w:val="FootnoteReference"/>
        </w:rPr>
        <w:footnoteReference w:id="15"/>
      </w:r>
      <w:r w:rsidRPr="009851AB" w:rsidR="00752EDC">
        <w:t xml:space="preserve"> </w:t>
      </w:r>
      <w:r w:rsidRPr="009851AB">
        <w:t xml:space="preserve">TURN opposes </w:t>
      </w:r>
      <w:r w:rsidR="008C2A45">
        <w:t xml:space="preserve">PG&amp;E’s proposed Type D baselines </w:t>
      </w:r>
      <w:r w:rsidRPr="009851AB">
        <w:t>as unnecessary and a misinterpretation</w:t>
      </w:r>
      <w:r w:rsidR="008C2A45">
        <w:t xml:space="preserve"> of the SA Decision.</w:t>
      </w:r>
    </w:p>
    <w:p w:rsidR="004B25FB" w:rsidP="00696FAF" w:rsidRDefault="00213D7A" w14:paraId="3041D1F6" w14:textId="6642D359">
      <w:pPr>
        <w:pStyle w:val="Heading2"/>
      </w:pPr>
      <w:bookmarkStart w:name="_Toc80890849" w:id="28"/>
      <w:bookmarkStart w:name="_Toc87361149" w:id="29"/>
      <w:r>
        <w:t>5.4</w:t>
      </w:r>
      <w:r>
        <w:tab/>
      </w:r>
      <w:r w:rsidRPr="00D873F5" w:rsidR="00696FAF">
        <w:t>Discussion</w:t>
      </w:r>
      <w:bookmarkEnd w:id="28"/>
      <w:bookmarkEnd w:id="29"/>
    </w:p>
    <w:p w:rsidR="007B6084" w:rsidP="009D28C7" w:rsidRDefault="009D28C7" w14:paraId="212F1378" w14:textId="5BE377B8">
      <w:pPr>
        <w:pStyle w:val="Standard"/>
      </w:pPr>
      <w:r>
        <w:t xml:space="preserve">We </w:t>
      </w:r>
      <w:r w:rsidR="000C6867">
        <w:t xml:space="preserve">adopt </w:t>
      </w:r>
      <w:r>
        <w:t xml:space="preserve">Staff’s proposal </w:t>
      </w:r>
      <w:r w:rsidR="004557B7">
        <w:t>regarding mitigations, controls and baselines</w:t>
      </w:r>
      <w:r w:rsidR="006C6DDB">
        <w:t>, with modifications</w:t>
      </w:r>
      <w:r w:rsidR="000C6867">
        <w:t xml:space="preserve">.  </w:t>
      </w:r>
      <w:r w:rsidR="00867BA5">
        <w:t xml:space="preserve">We direct the IOUs to evaluate all mitigations for efficacy and efficiency when using the RDFs and in their RAMP filings, whether the mitigation is “in process” or newly proposed.  </w:t>
      </w:r>
      <w:r w:rsidR="004557B7">
        <w:t xml:space="preserve">We direct the </w:t>
      </w:r>
      <w:r w:rsidR="000C6867">
        <w:t>IOUs</w:t>
      </w:r>
      <w:r w:rsidR="004557B7">
        <w:t>, individually and as a group,</w:t>
      </w:r>
      <w:r w:rsidR="000C6867">
        <w:t xml:space="preserve"> </w:t>
      </w:r>
      <w:r w:rsidR="004557B7">
        <w:t>to</w:t>
      </w:r>
      <w:r>
        <w:t xml:space="preserve"> consistently define and treat </w:t>
      </w:r>
      <w:r w:rsidRPr="003F0321">
        <w:t>controls and mitigation measures in</w:t>
      </w:r>
      <w:r>
        <w:t xml:space="preserve"> their </w:t>
      </w:r>
      <w:r w:rsidRPr="003F0321">
        <w:t>filings across various Commission proceedings</w:t>
      </w:r>
      <w:r w:rsidR="00950B8B">
        <w:t>, including all subcategories of controls.</w:t>
      </w:r>
      <w:r>
        <w:t xml:space="preserve">  </w:t>
      </w:r>
      <w:r w:rsidR="004557B7">
        <w:t xml:space="preserve">We direct the </w:t>
      </w:r>
      <w:r w:rsidRPr="00CC5CFC">
        <w:t>IOUs</w:t>
      </w:r>
      <w:r w:rsidR="004557B7">
        <w:t>, individually and as a group, to</w:t>
      </w:r>
      <w:r>
        <w:t xml:space="preserve"> </w:t>
      </w:r>
      <w:r w:rsidRPr="00CC5CFC">
        <w:t>uniform</w:t>
      </w:r>
      <w:r w:rsidR="00883A75">
        <w:t>ly apply working definitions of controls, including all subcategories of controls, and uniformly apply</w:t>
      </w:r>
      <w:r w:rsidRPr="00CC5CFC">
        <w:t xml:space="preserve"> methodologies to establish risk baselines </w:t>
      </w:r>
      <w:r>
        <w:t xml:space="preserve">associated with mitigation measures </w:t>
      </w:r>
      <w:r w:rsidRPr="00CC5CFC">
        <w:t>in their RAMP applications and other relevant RDF filings</w:t>
      </w:r>
      <w:r>
        <w:t xml:space="preserve">. </w:t>
      </w:r>
      <w:r w:rsidR="007B6084">
        <w:t xml:space="preserve"> We direct the IOUs to </w:t>
      </w:r>
      <w:r w:rsidRPr="00F87252" w:rsidR="007B6084">
        <w:t xml:space="preserve">work together to come up with uniform working definitions of </w:t>
      </w:r>
      <w:r w:rsidR="00656B88">
        <w:t>a</w:t>
      </w:r>
      <w:r w:rsidR="00911A0D">
        <w:t>ll</w:t>
      </w:r>
      <w:r w:rsidR="00656B88">
        <w:t xml:space="preserve"> subcategories of </w:t>
      </w:r>
      <w:r w:rsidRPr="00F87252" w:rsidR="007B6084">
        <w:t>controls (and als</w:t>
      </w:r>
      <w:r w:rsidR="007B6084">
        <w:t xml:space="preserve">o, if needed, </w:t>
      </w:r>
      <w:r w:rsidRPr="00F87252" w:rsidR="007B6084">
        <w:t>mitigation</w:t>
      </w:r>
      <w:r w:rsidR="00656B88">
        <w:t>s</w:t>
      </w:r>
      <w:r w:rsidRPr="00F87252" w:rsidR="007B6084">
        <w:t>) that are consistent and compliant with the 2021 Revised S</w:t>
      </w:r>
      <w:r w:rsidR="001B222E">
        <w:t>-</w:t>
      </w:r>
      <w:r w:rsidRPr="00F87252" w:rsidR="007B6084">
        <w:t xml:space="preserve">MAP Lexicon </w:t>
      </w:r>
      <w:r w:rsidR="007B6084">
        <w:t>we adopt in this decision</w:t>
      </w:r>
      <w:r w:rsidRPr="00F87252" w:rsidR="007B6084">
        <w:t xml:space="preserve">. </w:t>
      </w:r>
      <w:r w:rsidR="005A3F6C">
        <w:t xml:space="preserve"> </w:t>
      </w:r>
      <w:r w:rsidR="00083C22">
        <w:t xml:space="preserve">This </w:t>
      </w:r>
      <w:r w:rsidR="00244F04">
        <w:t>consisten</w:t>
      </w:r>
      <w:r w:rsidR="001D0301">
        <w:t>cy</w:t>
      </w:r>
      <w:r w:rsidR="00244F04">
        <w:t xml:space="preserve"> </w:t>
      </w:r>
      <w:r w:rsidR="00083C22">
        <w:t xml:space="preserve">will allow for </w:t>
      </w:r>
      <w:r w:rsidR="00244F04">
        <w:t xml:space="preserve">comparison </w:t>
      </w:r>
      <w:r w:rsidR="009857D1">
        <w:t>of filings</w:t>
      </w:r>
      <w:r w:rsidR="00DA7B8E">
        <w:t xml:space="preserve"> across utilities</w:t>
      </w:r>
      <w:r w:rsidR="007B6084">
        <w:t xml:space="preserve"> and across various proceedings</w:t>
      </w:r>
      <w:r w:rsidR="008D51A9">
        <w:t>.</w:t>
      </w:r>
      <w:r w:rsidR="004557B7">
        <w:t xml:space="preserve"> </w:t>
      </w:r>
    </w:p>
    <w:p w:rsidR="004557B7" w:rsidP="009D28C7" w:rsidRDefault="004557B7" w14:paraId="34185136" w14:textId="01C8839C">
      <w:pPr>
        <w:pStyle w:val="Standard"/>
      </w:pPr>
      <w:r>
        <w:t xml:space="preserve">We do not modify the </w:t>
      </w:r>
      <w:r w:rsidR="00911A0D">
        <w:t xml:space="preserve">overarching </w:t>
      </w:r>
      <w:r>
        <w:t xml:space="preserve">definitions of “controls” and “mitigations” adopted previously, as this is not necessary with the additional guidance provided here. </w:t>
      </w:r>
      <w:r w:rsidR="0034192D">
        <w:t xml:space="preserve"> </w:t>
      </w:r>
      <w:r w:rsidR="008825C4">
        <w:t xml:space="preserve">As noted in the Staff Proposal, we clarify that </w:t>
      </w:r>
      <w:r w:rsidRPr="00484051" w:rsidR="008825C4">
        <w:t xml:space="preserve">RSEs </w:t>
      </w:r>
      <w:r w:rsidR="008825C4">
        <w:t xml:space="preserve">should </w:t>
      </w:r>
      <w:r w:rsidRPr="00484051" w:rsidR="008825C4">
        <w:t xml:space="preserve">be calculated for </w:t>
      </w:r>
      <w:r w:rsidR="008825C4">
        <w:t xml:space="preserve">all </w:t>
      </w:r>
      <w:r w:rsidRPr="00484051" w:rsidR="008825C4">
        <w:t>mitigations</w:t>
      </w:r>
      <w:r w:rsidR="008825C4">
        <w:t xml:space="preserve">, </w:t>
      </w:r>
      <w:r w:rsidR="2795F46A">
        <w:t>regardless of whether the mitigation is also a</w:t>
      </w:r>
      <w:r w:rsidR="008825C4">
        <w:t xml:space="preserve"> control.  </w:t>
      </w:r>
    </w:p>
    <w:p w:rsidRPr="00775D74" w:rsidR="000F767D" w:rsidP="009D28C7" w:rsidRDefault="009D28C7" w14:paraId="3E23FEDC" w14:textId="649E6FF8">
      <w:pPr>
        <w:pStyle w:val="Standard"/>
      </w:pPr>
      <w:r>
        <w:lastRenderedPageBreak/>
        <w:t xml:space="preserve">We </w:t>
      </w:r>
      <w:r w:rsidR="00126606">
        <w:t xml:space="preserve">adopt </w:t>
      </w:r>
      <w:r w:rsidR="00E8034C">
        <w:t xml:space="preserve">a modified version of </w:t>
      </w:r>
      <w:r w:rsidR="00126606">
        <w:t xml:space="preserve">Staff’s proposed requirements for establishing baselines </w:t>
      </w:r>
      <w:r w:rsidR="00E8034C">
        <w:t xml:space="preserve">that includes </w:t>
      </w:r>
      <w:r w:rsidR="00126606">
        <w:t>TURN</w:t>
      </w:r>
      <w:r w:rsidR="00E8034C">
        <w:t>’s</w:t>
      </w:r>
      <w:r w:rsidR="00126606">
        <w:t xml:space="preserve"> </w:t>
      </w:r>
      <w:r w:rsidR="005C7B67">
        <w:t xml:space="preserve">recommendation </w:t>
      </w:r>
      <w:r>
        <w:t>to consolidate Type A and Type B measures</w:t>
      </w:r>
      <w:r w:rsidR="00E8034C">
        <w:t xml:space="preserve"> and includes other changes to </w:t>
      </w:r>
      <w:r w:rsidR="00267329">
        <w:t>improve c</w:t>
      </w:r>
      <w:r w:rsidR="004556E9">
        <w:t>lari</w:t>
      </w:r>
      <w:r w:rsidR="00267329">
        <w:t>ty</w:t>
      </w:r>
      <w:r>
        <w:t>.</w:t>
      </w:r>
      <w:r w:rsidR="004557B7">
        <w:t xml:space="preserve">  </w:t>
      </w:r>
      <w:r w:rsidR="00B237FF">
        <w:t xml:space="preserve">We add the terms “baseline” and “baseline risk” </w:t>
      </w:r>
      <w:r w:rsidR="006B2F2E">
        <w:t xml:space="preserve">to the 2018 S-MAP Revised Lexicon to create a 2021 S-MAP Revised Lexicon, attached as Appendix D.  </w:t>
      </w:r>
      <w:r w:rsidR="000F767D">
        <w:t xml:space="preserve">The adopted </w:t>
      </w:r>
      <w:r w:rsidRPr="00775D74" w:rsidR="000F767D">
        <w:t xml:space="preserve">proposal is as follows: </w:t>
      </w:r>
    </w:p>
    <w:p w:rsidR="000F767D" w:rsidP="005C18AE" w:rsidRDefault="0EABA13C" w14:paraId="24084342" w14:textId="42DA6530">
      <w:pPr>
        <w:pStyle w:val="BlockQuote"/>
        <w:spacing w:line="240" w:lineRule="auto"/>
        <w:ind w:right="1440" w:firstLine="0"/>
      </w:pPr>
      <w:r w:rsidRPr="00775D74">
        <w:t xml:space="preserve">The baseline </w:t>
      </w:r>
      <w:r w:rsidRPr="00775D74" w:rsidR="00EC3803">
        <w:t xml:space="preserve">is a </w:t>
      </w:r>
      <w:r w:rsidRPr="00775D74" w:rsidR="27E6B873">
        <w:t>reference</w:t>
      </w:r>
      <w:r w:rsidRPr="00775D74" w:rsidR="00EC3803">
        <w:t xml:space="preserve"> point in time </w:t>
      </w:r>
      <w:r w:rsidRPr="00775D74" w:rsidR="00CB353F">
        <w:t>at</w:t>
      </w:r>
      <w:r w:rsidRPr="00775D74" w:rsidR="00EC3803">
        <w:t xml:space="preserve"> the start of the new GRC cycle.  The baseline risk </w:t>
      </w:r>
      <w:r w:rsidRPr="00775D74" w:rsidR="253CDD8D">
        <w:t xml:space="preserve">as applied to RAMP and GRC proceedings </w:t>
      </w:r>
      <w:r w:rsidRPr="00775D74" w:rsidR="006D3FEF">
        <w:rPr>
          <w:rFonts w:eastAsiaTheme="minorEastAsia"/>
        </w:rPr>
        <w:t>refers</w:t>
      </w:r>
      <w:r w:rsidRPr="00775D74" w:rsidDel="4263A913" w:rsidR="00A23E6E">
        <w:rPr>
          <w:rFonts w:eastAsiaTheme="minorEastAsia"/>
        </w:rPr>
        <w:t xml:space="preserve"> to </w:t>
      </w:r>
      <w:r w:rsidRPr="00775D74" w:rsidR="4263A913">
        <w:rPr>
          <w:rFonts w:eastAsiaTheme="minorEastAsia"/>
        </w:rPr>
        <w:t xml:space="preserve">the </w:t>
      </w:r>
      <w:r w:rsidRPr="00775D74" w:rsidR="51D2B311">
        <w:rPr>
          <w:rFonts w:eastAsiaTheme="minorEastAsia"/>
        </w:rPr>
        <w:t xml:space="preserve">amount </w:t>
      </w:r>
      <w:r w:rsidRPr="00775D74" w:rsidR="0C0DFAD2">
        <w:rPr>
          <w:rFonts w:eastAsiaTheme="minorEastAsia"/>
        </w:rPr>
        <w:t xml:space="preserve">of </w:t>
      </w:r>
      <w:r w:rsidRPr="00775D74" w:rsidR="6C79200C">
        <w:rPr>
          <w:rFonts w:eastAsiaTheme="minorEastAsia"/>
        </w:rPr>
        <w:t xml:space="preserve">residual </w:t>
      </w:r>
      <w:r w:rsidRPr="00775D74" w:rsidR="4263A913">
        <w:rPr>
          <w:rFonts w:eastAsiaTheme="minorEastAsia"/>
        </w:rPr>
        <w:t xml:space="preserve">risk </w:t>
      </w:r>
      <w:r w:rsidRPr="00775D74" w:rsidR="62F827BE">
        <w:rPr>
          <w:rFonts w:eastAsiaTheme="minorEastAsia"/>
        </w:rPr>
        <w:t xml:space="preserve">evaluated </w:t>
      </w:r>
      <w:r w:rsidRPr="00775D74" w:rsidR="4263A913">
        <w:rPr>
          <w:rFonts w:eastAsiaTheme="minorEastAsia"/>
        </w:rPr>
        <w:t xml:space="preserve">at the </w:t>
      </w:r>
      <w:r w:rsidRPr="00775D74" w:rsidR="00CB353F">
        <w:rPr>
          <w:rFonts w:eastAsiaTheme="minorEastAsia"/>
        </w:rPr>
        <w:t>baseline (</w:t>
      </w:r>
      <w:r w:rsidRPr="00775D74" w:rsidR="00CB353F">
        <w:rPr>
          <w:rFonts w:eastAsiaTheme="minorEastAsia"/>
          <w:i/>
          <w:iCs/>
        </w:rPr>
        <w:t>i.e</w:t>
      </w:r>
      <w:r w:rsidRPr="00775D74" w:rsidR="00CB353F">
        <w:rPr>
          <w:rFonts w:eastAsiaTheme="minorEastAsia"/>
        </w:rPr>
        <w:t xml:space="preserve">. </w:t>
      </w:r>
      <w:r w:rsidRPr="00775D74" w:rsidR="002E0EA1">
        <w:rPr>
          <w:rFonts w:eastAsiaTheme="minorEastAsia"/>
        </w:rPr>
        <w:t xml:space="preserve">at </w:t>
      </w:r>
      <w:r w:rsidRPr="00775D74" w:rsidR="00CB353F">
        <w:rPr>
          <w:rFonts w:eastAsiaTheme="minorEastAsia"/>
        </w:rPr>
        <w:t xml:space="preserve">the </w:t>
      </w:r>
      <w:r w:rsidRPr="00775D74" w:rsidR="4263A913">
        <w:rPr>
          <w:rFonts w:eastAsiaTheme="minorEastAsia"/>
        </w:rPr>
        <w:t>start of the new GRC cycle</w:t>
      </w:r>
      <w:r w:rsidRPr="00775D74" w:rsidR="00CB353F">
        <w:rPr>
          <w:rFonts w:eastAsiaTheme="minorEastAsia"/>
        </w:rPr>
        <w:t>)</w:t>
      </w:r>
      <w:r w:rsidRPr="00775D74" w:rsidR="09A22D46">
        <w:rPr>
          <w:rFonts w:eastAsiaTheme="minorEastAsia"/>
        </w:rPr>
        <w:t xml:space="preserve"> </w:t>
      </w:r>
      <w:r w:rsidRPr="00775D74" w:rsidR="6C79200C">
        <w:rPr>
          <w:rFonts w:eastAsiaTheme="minorEastAsia"/>
        </w:rPr>
        <w:t xml:space="preserve">after taking into account all </w:t>
      </w:r>
      <w:r w:rsidRPr="00775D74" w:rsidR="41A510C5">
        <w:rPr>
          <w:rFonts w:eastAsiaTheme="minorEastAsia"/>
        </w:rPr>
        <w:t>risk</w:t>
      </w:r>
      <w:r w:rsidRPr="00775D74" w:rsidR="37EB57BB">
        <w:rPr>
          <w:rFonts w:eastAsiaTheme="minorEastAsia"/>
        </w:rPr>
        <w:t xml:space="preserve"> reduction</w:t>
      </w:r>
      <w:r w:rsidRPr="00775D74" w:rsidR="41A510C5">
        <w:rPr>
          <w:rFonts w:eastAsiaTheme="minorEastAsia"/>
        </w:rPr>
        <w:t xml:space="preserve"> </w:t>
      </w:r>
      <w:r w:rsidRPr="00775D74" w:rsidR="578E6B33">
        <w:rPr>
          <w:rFonts w:eastAsiaTheme="minorEastAsia"/>
        </w:rPr>
        <w:t xml:space="preserve">benefits </w:t>
      </w:r>
      <w:r w:rsidRPr="00775D74" w:rsidR="6A0A0381">
        <w:rPr>
          <w:rFonts w:eastAsiaTheme="minorEastAsia"/>
        </w:rPr>
        <w:t>from</w:t>
      </w:r>
      <w:r w:rsidRPr="00775D74" w:rsidR="544EAA1D">
        <w:rPr>
          <w:rFonts w:eastAsiaTheme="minorEastAsia"/>
        </w:rPr>
        <w:t xml:space="preserve"> all </w:t>
      </w:r>
      <w:r w:rsidRPr="00775D74" w:rsidR="66311972">
        <w:rPr>
          <w:rFonts w:eastAsiaTheme="minorEastAsia"/>
        </w:rPr>
        <w:t xml:space="preserve">risk mitigation activities </w:t>
      </w:r>
      <w:r w:rsidRPr="00775D74" w:rsidR="204CA648">
        <w:rPr>
          <w:rFonts w:eastAsiaTheme="minorEastAsia"/>
        </w:rPr>
        <w:t xml:space="preserve">projected to have been </w:t>
      </w:r>
      <w:r w:rsidRPr="00775D74" w:rsidR="1E1CCE28">
        <w:rPr>
          <w:rFonts w:eastAsiaTheme="minorEastAsia"/>
        </w:rPr>
        <w:t xml:space="preserve">performed </w:t>
      </w:r>
      <w:r w:rsidRPr="00775D74" w:rsidR="007C6CCA">
        <w:rPr>
          <w:rFonts w:eastAsiaTheme="minorEastAsia"/>
        </w:rPr>
        <w:t>by</w:t>
      </w:r>
      <w:r w:rsidRPr="00775D74" w:rsidR="1E1CCE28">
        <w:rPr>
          <w:rFonts w:eastAsiaTheme="minorEastAsia"/>
        </w:rPr>
        <w:t xml:space="preserve"> </w:t>
      </w:r>
      <w:r w:rsidRPr="00775D74" w:rsidR="204CA648">
        <w:rPr>
          <w:rFonts w:eastAsiaTheme="minorEastAsia"/>
        </w:rPr>
        <w:t xml:space="preserve">the </w:t>
      </w:r>
      <w:r w:rsidRPr="00775D74" w:rsidR="007C6CCA">
        <w:rPr>
          <w:rFonts w:eastAsiaTheme="minorEastAsia"/>
        </w:rPr>
        <w:t>start</w:t>
      </w:r>
      <w:r w:rsidRPr="00775D74" w:rsidR="204CA648">
        <w:rPr>
          <w:rFonts w:eastAsiaTheme="minorEastAsia"/>
        </w:rPr>
        <w:t xml:space="preserve"> of the </w:t>
      </w:r>
      <w:r w:rsidRPr="00775D74" w:rsidR="09A22D46">
        <w:rPr>
          <w:rFonts w:eastAsiaTheme="minorEastAsia"/>
        </w:rPr>
        <w:t xml:space="preserve">new </w:t>
      </w:r>
      <w:r w:rsidRPr="00775D74" w:rsidR="54E08D8B">
        <w:rPr>
          <w:rFonts w:eastAsiaTheme="minorEastAsia"/>
        </w:rPr>
        <w:t>GRC cycle</w:t>
      </w:r>
      <w:r w:rsidRPr="00775D74" w:rsidR="4263A913">
        <w:rPr>
          <w:rFonts w:eastAsiaTheme="minorEastAsia"/>
        </w:rPr>
        <w:t>.</w:t>
      </w:r>
      <w:r w:rsidRPr="00775D74" w:rsidR="1DD5EFF4">
        <w:rPr>
          <w:rFonts w:eastAsiaTheme="minorEastAsia"/>
        </w:rPr>
        <w:t xml:space="preserve">  </w:t>
      </w:r>
      <w:r w:rsidRPr="00775D74" w:rsidR="55D9F8A1">
        <w:rPr>
          <w:rFonts w:eastAsiaTheme="minorEastAsia"/>
        </w:rPr>
        <w:t>The p</w:t>
      </w:r>
      <w:r w:rsidRPr="00775D74" w:rsidR="476FE321">
        <w:rPr>
          <w:rFonts w:eastAsiaTheme="minorEastAsia"/>
        </w:rPr>
        <w:t xml:space="preserve">rojected risk mitigation activities include those </w:t>
      </w:r>
      <w:r w:rsidRPr="00775D74" w:rsidR="0B08632A">
        <w:rPr>
          <w:rFonts w:eastAsiaTheme="minorEastAsia"/>
        </w:rPr>
        <w:t>t</w:t>
      </w:r>
      <w:r w:rsidRPr="00775D74" w:rsidR="446B295A">
        <w:rPr>
          <w:rFonts w:eastAsiaTheme="minorEastAsia"/>
        </w:rPr>
        <w:t>h</w:t>
      </w:r>
      <w:r w:rsidRPr="00775D74" w:rsidR="0B08632A">
        <w:rPr>
          <w:rFonts w:eastAsiaTheme="minorEastAsia"/>
        </w:rPr>
        <w:t>at are classified by the IOUs as controls</w:t>
      </w:r>
      <w:r w:rsidRPr="00775D74" w:rsidR="7D1420C3">
        <w:rPr>
          <w:rFonts w:eastAsiaTheme="minorEastAsia"/>
        </w:rPr>
        <w:t>,</w:t>
      </w:r>
      <w:r w:rsidRPr="00775D74" w:rsidR="0B08632A">
        <w:rPr>
          <w:rFonts w:eastAsiaTheme="minorEastAsia"/>
        </w:rPr>
        <w:t xml:space="preserve"> as well as </w:t>
      </w:r>
      <w:r w:rsidRPr="00775D74" w:rsidR="507922A6">
        <w:rPr>
          <w:rFonts w:eastAsiaTheme="minorEastAsia"/>
        </w:rPr>
        <w:t xml:space="preserve">all mitigation </w:t>
      </w:r>
      <w:r w:rsidRPr="00775D74" w:rsidR="5B33F200">
        <w:rPr>
          <w:rFonts w:eastAsiaTheme="minorEastAsia"/>
        </w:rPr>
        <w:t>activities</w:t>
      </w:r>
      <w:r w:rsidRPr="00775D74" w:rsidR="507922A6">
        <w:rPr>
          <w:rFonts w:eastAsiaTheme="minorEastAsia"/>
        </w:rPr>
        <w:t xml:space="preserve"> for which the IOUs are seeking </w:t>
      </w:r>
      <w:r w:rsidRPr="00775D74" w:rsidR="74A2E5A6">
        <w:rPr>
          <w:rFonts w:eastAsiaTheme="minorEastAsia"/>
        </w:rPr>
        <w:t xml:space="preserve">approval </w:t>
      </w:r>
      <w:r w:rsidRPr="00775D74" w:rsidR="00163F64">
        <w:t>and/</w:t>
      </w:r>
      <w:r w:rsidRPr="00775D74" w:rsidR="00D83AA7">
        <w:t>or</w:t>
      </w:r>
      <w:r w:rsidRPr="00775D74" w:rsidDel="00163F64" w:rsidR="3336D5CC">
        <w:t xml:space="preserve"> funding </w:t>
      </w:r>
      <w:r w:rsidRPr="00775D74" w:rsidR="3336D5CC">
        <w:t xml:space="preserve">in the </w:t>
      </w:r>
      <w:r w:rsidRPr="00775D74" w:rsidR="00163F64">
        <w:t xml:space="preserve">current or upcoming </w:t>
      </w:r>
      <w:r w:rsidRPr="00775D74" w:rsidR="3336D5CC">
        <w:t>RAMP and</w:t>
      </w:r>
      <w:r w:rsidRPr="00775D74" w:rsidR="00163F64">
        <w:t xml:space="preserve"> GRC applications.</w:t>
      </w:r>
      <w:r w:rsidR="3848658A">
        <w:t xml:space="preserve"> </w:t>
      </w:r>
    </w:p>
    <w:p w:rsidR="004542D0" w:rsidP="00345E54" w:rsidRDefault="00DC404E" w14:paraId="4833DD69" w14:textId="7E4D8700">
      <w:pPr>
        <w:pStyle w:val="Standard"/>
      </w:pPr>
      <w:r>
        <w:t>For clarity, w</w:t>
      </w:r>
      <w:r w:rsidR="004542D0">
        <w:t xml:space="preserve">e also slightly revise the definition of “residual risk” included in the </w:t>
      </w:r>
      <w:r w:rsidR="00B3559A">
        <w:t xml:space="preserve">2018 S-MAP </w:t>
      </w:r>
      <w:r w:rsidR="004542D0">
        <w:t xml:space="preserve">Revised Lexicon as “risk remaining after </w:t>
      </w:r>
      <w:r w:rsidRPr="00767508" w:rsidR="004542D0">
        <w:rPr>
          <w:strike/>
        </w:rPr>
        <w:t>current controls</w:t>
      </w:r>
      <w:r w:rsidR="004542D0">
        <w:t xml:space="preserve"> </w:t>
      </w:r>
      <w:r w:rsidRPr="00767508" w:rsidR="004542D0">
        <w:rPr>
          <w:u w:val="single"/>
        </w:rPr>
        <w:t>application of mitigations, including mitigations classified as controls</w:t>
      </w:r>
      <w:r w:rsidR="004542D0">
        <w:t xml:space="preserve">.”  This </w:t>
      </w:r>
      <w:r w:rsidR="00A37C7A">
        <w:t>revision is included in the 2021 S-MAP Revised Lexico</w:t>
      </w:r>
      <w:r w:rsidR="0064698D">
        <w:t>n in Appendix D.</w:t>
      </w:r>
      <w:r>
        <w:t xml:space="preserve">  </w:t>
      </w:r>
      <w:r w:rsidR="00D20E1C">
        <w:t xml:space="preserve">To smooth transition to these new definitions, we clarify </w:t>
      </w:r>
      <w:bookmarkStart w:name="_Hlk81387270" w:id="30"/>
      <w:r w:rsidR="00D20E1C">
        <w:t>that</w:t>
      </w:r>
      <w:r w:rsidR="00707451">
        <w:t xml:space="preserve"> </w:t>
      </w:r>
      <w:r w:rsidRPr="00707451" w:rsidR="00707451">
        <w:t>in case of conflict with other usages of these terms, the revised or new definitions supersede those other usages and definitions</w:t>
      </w:r>
      <w:r w:rsidR="00707451">
        <w:t xml:space="preserve">.  </w:t>
      </w:r>
      <w:bookmarkEnd w:id="30"/>
      <w:r w:rsidR="00707451">
        <w:t>The definitions and transition approach we adopt are reasonable and practicable.</w:t>
      </w:r>
    </w:p>
    <w:p w:rsidR="00C1236B" w:rsidP="00345E54" w:rsidRDefault="004967B6" w14:paraId="19E9BC97" w14:textId="1CEFE243">
      <w:pPr>
        <w:pStyle w:val="Standard"/>
      </w:pPr>
      <w:r>
        <w:t>In addition, a</w:t>
      </w:r>
      <w:r w:rsidRPr="004967B6">
        <w:t xml:space="preserve">s proposed in the Staff Proposal, </w:t>
      </w:r>
      <w:r>
        <w:t xml:space="preserve">we direct </w:t>
      </w:r>
      <w:r w:rsidRPr="004967B6">
        <w:t xml:space="preserve">each </w:t>
      </w:r>
      <w:r>
        <w:t xml:space="preserve">IOU to </w:t>
      </w:r>
      <w:r w:rsidRPr="004967B6">
        <w:t>identify in its annual RSAR the costs for controls and/or mitigation measures and/or activities that were approved in prior GRC cycles but not implemented, as applicable.</w:t>
      </w:r>
      <w:r>
        <w:t xml:space="preserve">  </w:t>
      </w:r>
      <w:r w:rsidR="00126606">
        <w:t xml:space="preserve">Requiring the IOUs to use consistent methods to </w:t>
      </w:r>
      <w:r w:rsidR="008E1618">
        <w:t xml:space="preserve">define and </w:t>
      </w:r>
      <w:r w:rsidR="00126606">
        <w:lastRenderedPageBreak/>
        <w:t xml:space="preserve">establish baselines for mitigations and controls in their RDFs, RAMP filings, and across other relevant proceedings will help avoid </w:t>
      </w:r>
      <w:r w:rsidR="008E1618">
        <w:t xml:space="preserve">inconsistent evaluation of risks </w:t>
      </w:r>
      <w:r w:rsidRPr="00DD0294" w:rsidR="004557B7">
        <w:t>across utilities</w:t>
      </w:r>
      <w:r w:rsidR="008E1618">
        <w:t xml:space="preserve"> and proceedings.</w:t>
      </w:r>
      <w:r w:rsidR="00D712A2">
        <w:t xml:space="preserve"> </w:t>
      </w:r>
    </w:p>
    <w:p w:rsidRPr="00775D74" w:rsidR="006916F8" w:rsidP="00736E5D" w:rsidRDefault="004967B6" w14:paraId="1A50E9A3" w14:textId="779FFC0E">
      <w:pPr>
        <w:pStyle w:val="Standard"/>
      </w:pPr>
      <w:r>
        <w:t>W</w:t>
      </w:r>
      <w:r w:rsidR="00C1236B">
        <w:t>e agree with the recommendation</w:t>
      </w:r>
      <w:r w:rsidRPr="00DD0294" w:rsidR="00C1236B">
        <w:t xml:space="preserve"> </w:t>
      </w:r>
      <w:r w:rsidR="00C1236B">
        <w:t xml:space="preserve">in the Staff Proposal to </w:t>
      </w:r>
      <w:r w:rsidR="0049591A">
        <w:t xml:space="preserve">defer the examination of </w:t>
      </w:r>
      <w:r w:rsidRPr="00DD0294" w:rsidR="00C1236B">
        <w:t>how risk profiling and mapping</w:t>
      </w:r>
      <w:r w:rsidR="00C1236B">
        <w:t xml:space="preserve"> </w:t>
      </w:r>
      <w:r w:rsidRPr="00DD0294" w:rsidR="00C1236B">
        <w:t>utilizing tools such as digital mapping or GIS</w:t>
      </w:r>
      <w:r w:rsidR="00C1236B">
        <w:t xml:space="preserve"> </w:t>
      </w:r>
      <w:r w:rsidR="00EF586C">
        <w:t xml:space="preserve">can </w:t>
      </w:r>
      <w:r w:rsidRPr="00DD0294" w:rsidR="00C1236B">
        <w:t xml:space="preserve">be incorporated into future RAMP filings </w:t>
      </w:r>
      <w:r w:rsidR="00EF586C">
        <w:t xml:space="preserve">to </w:t>
      </w:r>
      <w:r w:rsidR="00C1236B">
        <w:t xml:space="preserve">Phase II of this </w:t>
      </w:r>
      <w:r w:rsidRPr="00775D74" w:rsidR="00C1236B">
        <w:t>proceeding.</w:t>
      </w:r>
      <w:r w:rsidRPr="00775D74" w:rsidR="00C1236B">
        <w:rPr>
          <w:rStyle w:val="FootnoteReference"/>
        </w:rPr>
        <w:footnoteReference w:id="16"/>
      </w:r>
      <w:r w:rsidRPr="00775D74" w:rsidR="00DC404E">
        <w:t xml:space="preserve">  </w:t>
      </w:r>
    </w:p>
    <w:p w:rsidR="000C501C" w:rsidP="000C501C" w:rsidRDefault="001638F6" w14:paraId="65E51A7E" w14:textId="675B1011">
      <w:pPr>
        <w:pStyle w:val="Heading1"/>
      </w:pPr>
      <w:bookmarkStart w:name="_Toc80890850" w:id="31"/>
      <w:bookmarkStart w:name="_Toc87361150" w:id="32"/>
      <w:r w:rsidRPr="00775D74">
        <w:t>6.</w:t>
      </w:r>
      <w:r w:rsidRPr="00775D74">
        <w:tab/>
      </w:r>
      <w:r w:rsidRPr="00775D74" w:rsidR="000C501C">
        <w:t>Tr</w:t>
      </w:r>
      <w:r w:rsidRPr="00775D74" w:rsidR="0064423A">
        <w:t xml:space="preserve">eatment of </w:t>
      </w:r>
      <w:r w:rsidRPr="00775D74" w:rsidR="000C501C">
        <w:t xml:space="preserve">Foundational </w:t>
      </w:r>
      <w:r w:rsidRPr="00775D74" w:rsidR="005C18AE">
        <w:br/>
      </w:r>
      <w:r w:rsidRPr="00775D74" w:rsidR="00D87894">
        <w:t>Programs</w:t>
      </w:r>
      <w:r w:rsidRPr="00775D74" w:rsidR="00073D49">
        <w:t xml:space="preserve"> </w:t>
      </w:r>
      <w:r w:rsidRPr="00775D74" w:rsidR="004E244A">
        <w:t>&amp; Activities</w:t>
      </w:r>
      <w:bookmarkEnd w:id="31"/>
      <w:bookmarkEnd w:id="32"/>
    </w:p>
    <w:p w:rsidRPr="00745CFA" w:rsidR="00745CFA" w:rsidP="00736E5D" w:rsidRDefault="00745CFA" w14:paraId="0557A794" w14:textId="1D93A99E">
      <w:pPr>
        <w:pStyle w:val="Standard"/>
      </w:pPr>
      <w:r w:rsidRPr="00745CFA">
        <w:t xml:space="preserve">The Scoping </w:t>
      </w:r>
      <w:r w:rsidRPr="00736E5D">
        <w:t>Memo</w:t>
      </w:r>
      <w:r w:rsidRPr="00745CFA">
        <w:t xml:space="preserve"> asks how “foundational programs or activities” such as technological tools for data gathering should be estimated or measured in the RDF.</w:t>
      </w:r>
      <w:r w:rsidRPr="00062173">
        <w:rPr>
          <w:bCs/>
          <w:vertAlign w:val="superscript"/>
        </w:rPr>
        <w:footnoteReference w:id="17"/>
      </w:r>
      <w:r w:rsidRPr="00062173">
        <w:rPr>
          <w:bCs/>
        </w:rPr>
        <w:t xml:space="preserve"> </w:t>
      </w:r>
      <w:r w:rsidRPr="00745CFA">
        <w:t xml:space="preserve"> The S</w:t>
      </w:r>
      <w:r w:rsidR="00DA30BB">
        <w:t xml:space="preserve">A </w:t>
      </w:r>
      <w:r w:rsidRPr="00745CFA">
        <w:t>Decision does not define “foundational</w:t>
      </w:r>
      <w:r w:rsidR="00DB29B5">
        <w:t xml:space="preserve"> programs or activities.</w:t>
      </w:r>
      <w:r w:rsidRPr="00745CFA">
        <w:t xml:space="preserve">”  </w:t>
      </w:r>
    </w:p>
    <w:p w:rsidR="00114714" w:rsidP="00745CFA" w:rsidRDefault="00745CFA" w14:paraId="5F4BD46D" w14:textId="32DCCFF0">
      <w:pPr>
        <w:pStyle w:val="Standard"/>
      </w:pPr>
      <w:r w:rsidRPr="00745CFA">
        <w:t xml:space="preserve">Examples of foundational programs or activities </w:t>
      </w:r>
      <w:r w:rsidR="00DB29B5">
        <w:t xml:space="preserve">may </w:t>
      </w:r>
      <w:r w:rsidRPr="00745CFA">
        <w:t>include software and computer hardware resources, situational awareness initiatives such as weather modeling, and vehicles used by employees.  T</w:t>
      </w:r>
      <w:r w:rsidR="00C03415">
        <w:t xml:space="preserve">his type of </w:t>
      </w:r>
      <w:r w:rsidRPr="00745CFA">
        <w:t>initiative support</w:t>
      </w:r>
      <w:r w:rsidR="00C03415">
        <w:t>s</w:t>
      </w:r>
      <w:r w:rsidRPr="00745CFA">
        <w:t xml:space="preserve"> or enable</w:t>
      </w:r>
      <w:r w:rsidR="00C03415">
        <w:t>s</w:t>
      </w:r>
      <w:r w:rsidRPr="00745CFA">
        <w:t xml:space="preserve"> utility mitigation programs and/or improv</w:t>
      </w:r>
      <w:r w:rsidR="00C03415">
        <w:t>es</w:t>
      </w:r>
      <w:r w:rsidRPr="00745CFA">
        <w:t xml:space="preserve"> utility operations but do</w:t>
      </w:r>
      <w:r w:rsidR="00C03415">
        <w:t>es</w:t>
      </w:r>
      <w:r w:rsidRPr="00745CFA">
        <w:t xml:space="preserve"> not</w:t>
      </w:r>
      <w:r w:rsidR="00DB29B5">
        <w:t xml:space="preserve"> generally </w:t>
      </w:r>
      <w:r w:rsidRPr="00745CFA">
        <w:t xml:space="preserve">directly reduce safety risks.  </w:t>
      </w:r>
    </w:p>
    <w:p w:rsidR="00114714" w:rsidP="00991BEC" w:rsidRDefault="002D7AA5" w14:paraId="1032E94F" w14:textId="50CA6A82">
      <w:pPr>
        <w:pStyle w:val="Standard"/>
        <w:rPr>
          <w:rFonts w:eastAsiaTheme="minorHAnsi" w:cstheme="minorBidi"/>
          <w:szCs w:val="26"/>
        </w:rPr>
      </w:pPr>
      <w:r>
        <w:t>In this section w</w:t>
      </w:r>
      <w:r w:rsidRPr="00C12DD3" w:rsidR="00C12DD3">
        <w:t xml:space="preserve">e define foundational programs and/or activities </w:t>
      </w:r>
      <w:r>
        <w:t xml:space="preserve">as </w:t>
      </w:r>
      <w:r w:rsidRPr="00C12DD3" w:rsidR="00C12DD3">
        <w:t>“initiatives that support or enable two or more mitigation programs</w:t>
      </w:r>
      <w:r w:rsidR="006B151B">
        <w:t xml:space="preserve"> or two or more risks </w:t>
      </w:r>
      <w:r w:rsidRPr="00C12DD3" w:rsidR="00C12DD3">
        <w:t xml:space="preserve">but do not directly reduce the consequences or the likelihood of risk </w:t>
      </w:r>
      <w:r w:rsidRPr="00775D74" w:rsidR="00C12DD3">
        <w:t>events.”</w:t>
      </w:r>
      <w:r w:rsidRPr="00775D74" w:rsidDel="002D7AA5" w:rsidR="00C12DD3">
        <w:t xml:space="preserve"> </w:t>
      </w:r>
      <w:r w:rsidRPr="00775D74" w:rsidR="005C18AE">
        <w:t xml:space="preserve"> </w:t>
      </w:r>
      <w:r w:rsidRPr="00775D74" w:rsidR="00114714">
        <w:rPr>
          <w:rFonts w:eastAsiaTheme="minorHAnsi" w:cstheme="minorBidi"/>
          <w:szCs w:val="26"/>
        </w:rPr>
        <w:t>We</w:t>
      </w:r>
      <w:r w:rsidRPr="00A3248E" w:rsidR="00114714">
        <w:rPr>
          <w:rFonts w:eastAsiaTheme="minorHAnsi" w:cstheme="minorBidi"/>
          <w:szCs w:val="26"/>
        </w:rPr>
        <w:t xml:space="preserve"> </w:t>
      </w:r>
      <w:r w:rsidR="00114714">
        <w:rPr>
          <w:rFonts w:eastAsiaTheme="minorHAnsi" w:cstheme="minorBidi"/>
          <w:szCs w:val="26"/>
        </w:rPr>
        <w:t>direct the IOUs</w:t>
      </w:r>
      <w:r w:rsidRPr="00A3248E" w:rsidR="00114714">
        <w:rPr>
          <w:rFonts w:eastAsiaTheme="minorHAnsi" w:cstheme="minorBidi"/>
          <w:szCs w:val="26"/>
        </w:rPr>
        <w:t xml:space="preserve"> to include </w:t>
      </w:r>
      <w:r w:rsidR="00114714">
        <w:rPr>
          <w:rFonts w:eastAsiaTheme="minorHAnsi" w:cstheme="minorBidi"/>
          <w:szCs w:val="26"/>
        </w:rPr>
        <w:t xml:space="preserve">the </w:t>
      </w:r>
      <w:r w:rsidRPr="00A3248E" w:rsidR="00114714">
        <w:rPr>
          <w:rFonts w:eastAsiaTheme="minorHAnsi" w:cstheme="minorBidi"/>
          <w:szCs w:val="26"/>
        </w:rPr>
        <w:t xml:space="preserve">costs </w:t>
      </w:r>
      <w:r w:rsidR="00114714">
        <w:rPr>
          <w:rFonts w:eastAsiaTheme="minorHAnsi" w:cstheme="minorBidi"/>
          <w:szCs w:val="26"/>
        </w:rPr>
        <w:t>of</w:t>
      </w:r>
      <w:r w:rsidRPr="00A3248E" w:rsidR="00114714">
        <w:rPr>
          <w:rFonts w:eastAsiaTheme="minorHAnsi" w:cstheme="minorBidi"/>
          <w:szCs w:val="26"/>
        </w:rPr>
        <w:t xml:space="preserve"> foundational </w:t>
      </w:r>
      <w:r w:rsidR="00114714">
        <w:rPr>
          <w:rFonts w:eastAsiaTheme="minorHAnsi" w:cstheme="minorBidi"/>
          <w:szCs w:val="26"/>
        </w:rPr>
        <w:t>programs</w:t>
      </w:r>
      <w:r w:rsidR="00A8648A">
        <w:rPr>
          <w:rFonts w:eastAsiaTheme="minorHAnsi" w:cstheme="minorBidi"/>
          <w:szCs w:val="26"/>
        </w:rPr>
        <w:t xml:space="preserve"> </w:t>
      </w:r>
      <w:r w:rsidRPr="00C12DD3" w:rsidR="00A8648A">
        <w:t>and</w:t>
      </w:r>
      <w:r w:rsidR="00A8648A">
        <w:t>/</w:t>
      </w:r>
      <w:r w:rsidRPr="00C12DD3" w:rsidR="00A8648A">
        <w:t>or</w:t>
      </w:r>
      <w:r w:rsidR="00114714">
        <w:rPr>
          <w:rFonts w:eastAsiaTheme="minorHAnsi" w:cstheme="minorBidi"/>
          <w:szCs w:val="26"/>
        </w:rPr>
        <w:t xml:space="preserve"> </w:t>
      </w:r>
      <w:r w:rsidRPr="00A3248E" w:rsidR="00114714">
        <w:rPr>
          <w:rFonts w:eastAsiaTheme="minorHAnsi" w:cstheme="minorBidi"/>
          <w:szCs w:val="26"/>
        </w:rPr>
        <w:t xml:space="preserve">activities in </w:t>
      </w:r>
      <w:r w:rsidR="00114714">
        <w:rPr>
          <w:rFonts w:eastAsiaTheme="minorHAnsi" w:cstheme="minorBidi"/>
          <w:szCs w:val="26"/>
        </w:rPr>
        <w:t xml:space="preserve">RSE calculations for the </w:t>
      </w:r>
      <w:r w:rsidRPr="00A3248E" w:rsidR="00114714">
        <w:rPr>
          <w:rFonts w:eastAsiaTheme="minorHAnsi" w:cstheme="minorBidi"/>
          <w:szCs w:val="26"/>
        </w:rPr>
        <w:t>mitigation programs</w:t>
      </w:r>
      <w:r w:rsidR="00114714">
        <w:rPr>
          <w:rFonts w:eastAsiaTheme="minorHAnsi" w:cstheme="minorBidi"/>
          <w:szCs w:val="26"/>
        </w:rPr>
        <w:t xml:space="preserve"> th</w:t>
      </w:r>
      <w:r w:rsidR="009837E0">
        <w:rPr>
          <w:rFonts w:eastAsiaTheme="minorHAnsi" w:cstheme="minorBidi"/>
          <w:szCs w:val="26"/>
        </w:rPr>
        <w:t xml:space="preserve">e foundational </w:t>
      </w:r>
      <w:r w:rsidR="00DD72A3">
        <w:rPr>
          <w:rFonts w:eastAsiaTheme="minorHAnsi" w:cstheme="minorBidi"/>
          <w:szCs w:val="26"/>
        </w:rPr>
        <w:t xml:space="preserve">elements </w:t>
      </w:r>
      <w:r w:rsidR="00114714">
        <w:rPr>
          <w:rFonts w:eastAsiaTheme="minorHAnsi" w:cstheme="minorBidi"/>
          <w:szCs w:val="26"/>
        </w:rPr>
        <w:t xml:space="preserve">support </w:t>
      </w:r>
      <w:r w:rsidRPr="006D53AB" w:rsidR="00114714">
        <w:rPr>
          <w:rFonts w:eastAsiaTheme="minorHAnsi" w:cstheme="minorBidi"/>
          <w:szCs w:val="26"/>
        </w:rPr>
        <w:t>if the</w:t>
      </w:r>
      <w:r w:rsidR="00DD72A3">
        <w:rPr>
          <w:rFonts w:eastAsiaTheme="minorHAnsi" w:cstheme="minorBidi"/>
          <w:szCs w:val="26"/>
        </w:rPr>
        <w:t xml:space="preserve"> foundational element costs</w:t>
      </w:r>
      <w:r w:rsidRPr="006D53AB" w:rsidR="00114714">
        <w:rPr>
          <w:rFonts w:eastAsiaTheme="minorHAnsi" w:cstheme="minorBidi"/>
          <w:szCs w:val="26"/>
        </w:rPr>
        <w:t xml:space="preserve"> exceed the thresholds adopted for the RSARs in D.19</w:t>
      </w:r>
      <w:r w:rsidR="00426FB2">
        <w:rPr>
          <w:rFonts w:eastAsiaTheme="minorHAnsi" w:cstheme="minorBidi"/>
          <w:szCs w:val="26"/>
        </w:rPr>
        <w:noBreakHyphen/>
      </w:r>
      <w:r w:rsidRPr="006D53AB" w:rsidR="00114714">
        <w:rPr>
          <w:rFonts w:eastAsiaTheme="minorHAnsi" w:cstheme="minorBidi"/>
          <w:szCs w:val="26"/>
        </w:rPr>
        <w:t>04</w:t>
      </w:r>
      <w:r w:rsidR="00426FB2">
        <w:rPr>
          <w:rFonts w:eastAsiaTheme="minorHAnsi" w:cstheme="minorBidi"/>
          <w:szCs w:val="26"/>
        </w:rPr>
        <w:noBreakHyphen/>
      </w:r>
      <w:r w:rsidRPr="006D53AB" w:rsidR="00114714">
        <w:rPr>
          <w:rFonts w:eastAsiaTheme="minorHAnsi" w:cstheme="minorBidi"/>
          <w:szCs w:val="26"/>
        </w:rPr>
        <w:t>020</w:t>
      </w:r>
      <w:r w:rsidR="00114714">
        <w:rPr>
          <w:rFonts w:eastAsiaTheme="minorHAnsi" w:cstheme="minorBidi"/>
          <w:szCs w:val="26"/>
        </w:rPr>
        <w:t>.  We also</w:t>
      </w:r>
      <w:r w:rsidRPr="006D53AB" w:rsidR="00114714">
        <w:rPr>
          <w:rFonts w:eastAsiaTheme="minorHAnsi" w:cstheme="minorBidi"/>
          <w:szCs w:val="26"/>
        </w:rPr>
        <w:t xml:space="preserve"> authorize </w:t>
      </w:r>
      <w:r w:rsidR="00114714">
        <w:rPr>
          <w:rFonts w:eastAsiaTheme="minorHAnsi" w:cstheme="minorBidi"/>
          <w:szCs w:val="26"/>
        </w:rPr>
        <w:t xml:space="preserve">the </w:t>
      </w:r>
      <w:r w:rsidRPr="006D53AB" w:rsidR="00114714">
        <w:rPr>
          <w:rFonts w:eastAsiaTheme="minorHAnsi" w:cstheme="minorBidi"/>
          <w:szCs w:val="26"/>
        </w:rPr>
        <w:t xml:space="preserve">IOUs to </w:t>
      </w:r>
      <w:r w:rsidRPr="006D53AB" w:rsidR="00114714">
        <w:rPr>
          <w:rFonts w:eastAsiaTheme="minorHAnsi" w:cstheme="minorBidi"/>
          <w:szCs w:val="26"/>
        </w:rPr>
        <w:lastRenderedPageBreak/>
        <w:t xml:space="preserve">include foundational </w:t>
      </w:r>
      <w:r w:rsidR="00114714">
        <w:rPr>
          <w:rFonts w:eastAsiaTheme="minorHAnsi" w:cstheme="minorBidi"/>
          <w:szCs w:val="26"/>
        </w:rPr>
        <w:t>program and</w:t>
      </w:r>
      <w:r w:rsidR="00390E2D">
        <w:rPr>
          <w:rFonts w:eastAsiaTheme="minorHAnsi" w:cstheme="minorBidi"/>
          <w:szCs w:val="26"/>
        </w:rPr>
        <w:t>/or</w:t>
      </w:r>
      <w:r w:rsidR="00114714">
        <w:rPr>
          <w:rFonts w:eastAsiaTheme="minorHAnsi" w:cstheme="minorBidi"/>
          <w:szCs w:val="26"/>
        </w:rPr>
        <w:t xml:space="preserve"> activity </w:t>
      </w:r>
      <w:r w:rsidRPr="006D53AB" w:rsidR="00114714">
        <w:rPr>
          <w:rFonts w:eastAsiaTheme="minorHAnsi" w:cstheme="minorBidi"/>
          <w:szCs w:val="26"/>
        </w:rPr>
        <w:t xml:space="preserve">costs </w:t>
      </w:r>
      <w:r w:rsidR="00114714">
        <w:rPr>
          <w:rFonts w:eastAsiaTheme="minorHAnsi" w:cstheme="minorBidi"/>
          <w:szCs w:val="26"/>
        </w:rPr>
        <w:t>below t</w:t>
      </w:r>
      <w:r w:rsidRPr="006D53AB" w:rsidR="00114714">
        <w:rPr>
          <w:rFonts w:eastAsiaTheme="minorHAnsi" w:cstheme="minorBidi"/>
          <w:szCs w:val="26"/>
        </w:rPr>
        <w:t>he</w:t>
      </w:r>
      <w:r w:rsidR="00114714">
        <w:rPr>
          <w:rFonts w:eastAsiaTheme="minorHAnsi" w:cstheme="minorBidi"/>
          <w:szCs w:val="26"/>
        </w:rPr>
        <w:t xml:space="preserve"> RSAR</w:t>
      </w:r>
      <w:r w:rsidRPr="006D53AB" w:rsidR="00114714">
        <w:rPr>
          <w:rFonts w:eastAsiaTheme="minorHAnsi" w:cstheme="minorBidi"/>
          <w:szCs w:val="26"/>
        </w:rPr>
        <w:t xml:space="preserve"> thresholds </w:t>
      </w:r>
      <w:r w:rsidR="00114714">
        <w:rPr>
          <w:rFonts w:eastAsiaTheme="minorHAnsi" w:cstheme="minorBidi"/>
          <w:szCs w:val="26"/>
        </w:rPr>
        <w:t xml:space="preserve">in their mitigation program RSEs on an optional basis.  </w:t>
      </w:r>
    </w:p>
    <w:p w:rsidR="00DA30BB" w:rsidP="00DA30BB" w:rsidRDefault="001638F6" w14:paraId="2878B9EB" w14:textId="43F3EDF8">
      <w:pPr>
        <w:pStyle w:val="Heading2"/>
      </w:pPr>
      <w:bookmarkStart w:name="_Toc80890851" w:id="33"/>
      <w:bookmarkStart w:name="_Toc87361151" w:id="34"/>
      <w:r>
        <w:t>6.1</w:t>
      </w:r>
      <w:r>
        <w:tab/>
      </w:r>
      <w:r w:rsidR="00DA30BB">
        <w:t>Staff Proposal</w:t>
      </w:r>
      <w:bookmarkEnd w:id="33"/>
      <w:bookmarkEnd w:id="34"/>
    </w:p>
    <w:p w:rsidRPr="00E11C44" w:rsidR="00B926C0" w:rsidP="004F4A56" w:rsidRDefault="00B926C0" w14:paraId="28C9CB4E" w14:textId="63264703">
      <w:pPr>
        <w:pStyle w:val="Standard"/>
      </w:pPr>
      <w:r>
        <w:t xml:space="preserve">The </w:t>
      </w:r>
      <w:r w:rsidRPr="00E11C44" w:rsidR="00E11C44">
        <w:t xml:space="preserve">Staff </w:t>
      </w:r>
      <w:r>
        <w:t xml:space="preserve">Proposal </w:t>
      </w:r>
      <w:r w:rsidR="00263083">
        <w:t xml:space="preserve">recommends </w:t>
      </w:r>
      <w:r w:rsidRPr="00E11C44" w:rsidR="00E11C44">
        <w:t xml:space="preserve">that </w:t>
      </w:r>
      <w:r>
        <w:t xml:space="preserve">the Commission define </w:t>
      </w:r>
      <w:r w:rsidRPr="00E11C44" w:rsidR="00E11C44">
        <w:t>“foundational programs or activities” as “initiatives that support multiple mitigation programs but do not directly reduce the consequences or reduce the likelihood of risk events.”</w:t>
      </w:r>
      <w:r w:rsidR="00263083">
        <w:rPr>
          <w:rStyle w:val="FootnoteReference"/>
        </w:rPr>
        <w:footnoteReference w:id="18"/>
      </w:r>
      <w:r w:rsidRPr="00E11C44" w:rsidR="00E11C44">
        <w:t xml:space="preserve">  Staff suggests that the Commission consider adding this definition to the </w:t>
      </w:r>
      <w:r w:rsidR="00BE5064">
        <w:t xml:space="preserve">2018 </w:t>
      </w:r>
      <w:r w:rsidR="00CC3FD1">
        <w:t xml:space="preserve">S-MAP </w:t>
      </w:r>
      <w:r w:rsidRPr="00E11C44" w:rsidR="00E11C44">
        <w:t>Revised Lexicon</w:t>
      </w:r>
      <w:r w:rsidR="004437E9">
        <w:t>.</w:t>
      </w:r>
    </w:p>
    <w:p w:rsidRPr="00E11C44" w:rsidR="00E11C44" w:rsidP="00E866DB" w:rsidRDefault="00B926C0" w14:paraId="2810C4CF" w14:textId="6015F3DF">
      <w:pPr>
        <w:pStyle w:val="Standard"/>
      </w:pPr>
      <w:r>
        <w:t xml:space="preserve">The </w:t>
      </w:r>
      <w:r w:rsidRPr="00E11C44" w:rsidR="00E11C44">
        <w:t xml:space="preserve">Staff </w:t>
      </w:r>
      <w:r>
        <w:t xml:space="preserve">Proposal </w:t>
      </w:r>
      <w:r w:rsidRPr="00E11C44" w:rsidR="00E11C44">
        <w:t>recommend</w:t>
      </w:r>
      <w:r w:rsidR="00E16189">
        <w:t>s</w:t>
      </w:r>
      <w:r w:rsidRPr="00E11C44" w:rsidR="00E11C44">
        <w:t xml:space="preserve"> </w:t>
      </w:r>
      <w:r w:rsidR="00594E86">
        <w:t xml:space="preserve">that the Commission </w:t>
      </w:r>
      <w:r w:rsidR="00E16189">
        <w:t xml:space="preserve">not </w:t>
      </w:r>
      <w:r w:rsidR="00594E86">
        <w:t xml:space="preserve">require utilities to </w:t>
      </w:r>
      <w:r w:rsidR="00E16189">
        <w:t xml:space="preserve">produce </w:t>
      </w:r>
      <w:r w:rsidR="00893FA5">
        <w:t xml:space="preserve">risk </w:t>
      </w:r>
      <w:r w:rsidRPr="00E11C44" w:rsidR="00E11C44">
        <w:t xml:space="preserve">reduction scores </w:t>
      </w:r>
      <w:r w:rsidR="00893FA5">
        <w:t xml:space="preserve">or </w:t>
      </w:r>
      <w:r w:rsidRPr="00E11C44" w:rsidR="00E11C44">
        <w:t>RSE</w:t>
      </w:r>
      <w:r w:rsidR="00893FA5">
        <w:t>s</w:t>
      </w:r>
      <w:r w:rsidRPr="00E11C44" w:rsidR="00E11C44">
        <w:t xml:space="preserve"> </w:t>
      </w:r>
      <w:r w:rsidR="00893FA5">
        <w:t xml:space="preserve">linked </w:t>
      </w:r>
      <w:r w:rsidR="00A77A9C">
        <w:t xml:space="preserve">solely </w:t>
      </w:r>
      <w:r w:rsidR="00893FA5">
        <w:t xml:space="preserve">to </w:t>
      </w:r>
      <w:r w:rsidRPr="00E11C44" w:rsidR="00E11C44">
        <w:t>foundational programs</w:t>
      </w:r>
      <w:r w:rsidR="00893FA5">
        <w:t xml:space="preserve">. </w:t>
      </w:r>
      <w:r>
        <w:t xml:space="preserve">Instead, </w:t>
      </w:r>
      <w:r w:rsidR="00A66D2A">
        <w:t xml:space="preserve">the </w:t>
      </w:r>
      <w:r w:rsidR="00893FA5">
        <w:t xml:space="preserve">Staff </w:t>
      </w:r>
      <w:r w:rsidR="00A66D2A">
        <w:t>Proposal</w:t>
      </w:r>
      <w:r w:rsidR="00893FA5">
        <w:t xml:space="preserve"> recommends the </w:t>
      </w:r>
      <w:r w:rsidRPr="00E11C44" w:rsidR="00E11C44">
        <w:t xml:space="preserve">Commission </w:t>
      </w:r>
      <w:r w:rsidR="00893FA5">
        <w:t xml:space="preserve">clarify </w:t>
      </w:r>
      <w:r w:rsidR="00A66D2A">
        <w:t xml:space="preserve">expectations </w:t>
      </w:r>
      <w:r w:rsidR="00893FA5">
        <w:t xml:space="preserve">when it adopts a definition </w:t>
      </w:r>
      <w:r w:rsidR="00A66D2A">
        <w:t xml:space="preserve">of </w:t>
      </w:r>
      <w:r w:rsidRPr="00E11C44" w:rsidR="00E11C44">
        <w:t>foundational programs</w:t>
      </w:r>
      <w:r w:rsidR="00A66D2A">
        <w:t xml:space="preserve"> by</w:t>
      </w:r>
      <w:r w:rsidR="008F296D">
        <w:t xml:space="preserve"> </w:t>
      </w:r>
      <w:r w:rsidR="00893FA5">
        <w:t xml:space="preserve">providing direction on </w:t>
      </w:r>
      <w:r w:rsidR="008F296D">
        <w:t xml:space="preserve">how IOUs should </w:t>
      </w:r>
      <w:r w:rsidR="009A7C06">
        <w:t xml:space="preserve">treat </w:t>
      </w:r>
      <w:r w:rsidR="00893FA5">
        <w:t xml:space="preserve">the costs of </w:t>
      </w:r>
      <w:r w:rsidR="009A7C06">
        <w:t>foundational program</w:t>
      </w:r>
      <w:r w:rsidR="00893FA5">
        <w:t>s</w:t>
      </w:r>
      <w:r w:rsidR="009A7C06">
        <w:t xml:space="preserve"> or activit</w:t>
      </w:r>
      <w:r w:rsidR="00893FA5">
        <w:t>ies</w:t>
      </w:r>
      <w:r w:rsidR="008F296D">
        <w:t xml:space="preserve"> in the RDF</w:t>
      </w:r>
      <w:r w:rsidR="009A7C06">
        <w:t xml:space="preserve">.  </w:t>
      </w:r>
      <w:r w:rsidRPr="00E11C44" w:rsidR="00E11C44">
        <w:tab/>
      </w:r>
    </w:p>
    <w:p w:rsidRPr="00E11C44" w:rsidR="00E11C44" w:rsidP="00C250EE" w:rsidRDefault="009A7C06" w14:paraId="209E9AD1" w14:textId="34363B5A">
      <w:pPr>
        <w:pStyle w:val="Standard"/>
      </w:pPr>
      <w:r>
        <w:t xml:space="preserve">The Staff Proposal </w:t>
      </w:r>
      <w:r w:rsidRPr="00E11C44" w:rsidR="00E11C44">
        <w:t xml:space="preserve">recommends that foundational activities and costs be subject to a threshold test and </w:t>
      </w:r>
      <w:r w:rsidR="00CD33BA">
        <w:t xml:space="preserve">exclude </w:t>
      </w:r>
      <w:r w:rsidR="00A66D2A">
        <w:t>“</w:t>
      </w:r>
      <w:r w:rsidRPr="00E11C44" w:rsidR="00E11C44">
        <w:t>sunk cost</w:t>
      </w:r>
      <w:r w:rsidR="00CD33BA">
        <w:t>s</w:t>
      </w:r>
      <w:r w:rsidR="00A66D2A">
        <w:t>”</w:t>
      </w:r>
      <w:r w:rsidR="001B154D">
        <w:t xml:space="preserve"> </w:t>
      </w:r>
      <w:r w:rsidR="0095596C">
        <w:t>(</w:t>
      </w:r>
      <w:r w:rsidR="00671A81">
        <w:t>for which</w:t>
      </w:r>
      <w:r w:rsidR="001B154D">
        <w:t xml:space="preserve"> the </w:t>
      </w:r>
      <w:r w:rsidR="00671A81">
        <w:t xml:space="preserve">utility </w:t>
      </w:r>
      <w:r w:rsidR="00B314F9">
        <w:t xml:space="preserve">either </w:t>
      </w:r>
      <w:r w:rsidR="00E20428">
        <w:t xml:space="preserve">has received cost recovery or </w:t>
      </w:r>
      <w:r w:rsidR="00671A81">
        <w:t xml:space="preserve">does not </w:t>
      </w:r>
      <w:r w:rsidR="0095596C">
        <w:t xml:space="preserve">seek cost recovery) </w:t>
      </w:r>
      <w:r w:rsidR="001B154D">
        <w:t xml:space="preserve">from the </w:t>
      </w:r>
      <w:r w:rsidR="004A0A3C">
        <w:t xml:space="preserve">threshold </w:t>
      </w:r>
      <w:r w:rsidR="001B154D">
        <w:t>test</w:t>
      </w:r>
      <w:r w:rsidRPr="00E11C44" w:rsidR="00E11C44">
        <w:t xml:space="preserve">.  For foundational activities that meet the conditions set for the </w:t>
      </w:r>
      <w:r w:rsidR="007C6DC0">
        <w:t xml:space="preserve">threshold </w:t>
      </w:r>
      <w:r w:rsidRPr="00E11C44" w:rsidR="00E11C44">
        <w:t xml:space="preserve">test, Staff recommend that costs be apportioned to the </w:t>
      </w:r>
      <w:r w:rsidR="008F296D">
        <w:t xml:space="preserve">corresponding </w:t>
      </w:r>
      <w:r w:rsidRPr="00E11C44" w:rsidR="00E11C44">
        <w:t xml:space="preserve">mitigations. </w:t>
      </w:r>
      <w:r w:rsidR="00B814D7">
        <w:t xml:space="preserve"> </w:t>
      </w:r>
    </w:p>
    <w:p w:rsidR="00DA30BB" w:rsidP="00DA30BB" w:rsidRDefault="001638F6" w14:paraId="033914AD" w14:textId="477DF36F">
      <w:pPr>
        <w:pStyle w:val="Heading2"/>
      </w:pPr>
      <w:bookmarkStart w:name="_Toc80890852" w:id="35"/>
      <w:bookmarkStart w:name="_Toc87361152" w:id="36"/>
      <w:r>
        <w:t>6.2</w:t>
      </w:r>
      <w:r>
        <w:tab/>
      </w:r>
      <w:r w:rsidR="00DA30BB">
        <w:t>Party Comments</w:t>
      </w:r>
      <w:bookmarkEnd w:id="35"/>
      <w:bookmarkEnd w:id="36"/>
    </w:p>
    <w:p w:rsidRPr="00775D74" w:rsidR="002C0C8F" w:rsidP="002C0C8F" w:rsidRDefault="002C0C8F" w14:paraId="4B97023C" w14:textId="29B9B4E8">
      <w:pPr>
        <w:pStyle w:val="Standard"/>
      </w:pPr>
      <w:r w:rsidRPr="002C0C8F">
        <w:t xml:space="preserve">TURN and UCAN recommend the Commission adopt a process to categorize activities as foundational elements. </w:t>
      </w:r>
      <w:r w:rsidR="00C250EE">
        <w:t xml:space="preserve"> </w:t>
      </w:r>
      <w:r w:rsidRPr="002C0C8F">
        <w:t xml:space="preserve">TURN recommends that the first step of this process should be an informational filing by the IOUs listing all </w:t>
      </w:r>
      <w:r w:rsidRPr="002C0C8F">
        <w:lastRenderedPageBreak/>
        <w:t xml:space="preserve">programs they would define as foundational alongside the budget for these </w:t>
      </w:r>
      <w:r w:rsidRPr="00775D74">
        <w:t xml:space="preserve">programs. </w:t>
      </w:r>
      <w:r w:rsidRPr="00775D74" w:rsidR="005C18AE">
        <w:t xml:space="preserve"> </w:t>
      </w:r>
      <w:r w:rsidRPr="00775D74">
        <w:t xml:space="preserve">This information can be used to identify the types of programs considered foundational by the IOUs and also to determine the typical budget of a foundational program. </w:t>
      </w:r>
      <w:r w:rsidRPr="00775D74" w:rsidR="001B1DC7">
        <w:t xml:space="preserve"> </w:t>
      </w:r>
      <w:r w:rsidRPr="00775D74">
        <w:t xml:space="preserve">If in general these programs tend to be relatively low budget projects, it may not be necessary to score every one of these projects. Alternatively, a breakdown of the budgets could demonstrate that there is a clear threshold in </w:t>
      </w:r>
      <w:r w:rsidR="007D42A0">
        <w:t xml:space="preserve">a </w:t>
      </w:r>
      <w:r w:rsidRPr="00775D74">
        <w:t xml:space="preserve">budget over which projects should be scored. </w:t>
      </w:r>
      <w:r w:rsidRPr="00775D74" w:rsidR="005846D0">
        <w:t xml:space="preserve"> TURN states that a</w:t>
      </w:r>
      <w:r w:rsidRPr="00775D74">
        <w:t xml:space="preserve">dditional discussion of the meaning of “directly reduce” is needed and could be clarified through examination of the proposed foundational programs.  </w:t>
      </w:r>
    </w:p>
    <w:p w:rsidR="002C0C8F" w:rsidP="002C0C8F" w:rsidRDefault="002C0C8F" w14:paraId="3AAD7446" w14:textId="1A266415">
      <w:pPr>
        <w:pStyle w:val="Standard"/>
      </w:pPr>
      <w:r w:rsidRPr="00775D74">
        <w:t>PCF proposes that the Commission modify the definition of “foundational” in two ways:</w:t>
      </w:r>
      <w:r w:rsidRPr="00775D74" w:rsidR="005C18AE">
        <w:t xml:space="preserve"> </w:t>
      </w:r>
      <w:r w:rsidRPr="00775D74">
        <w:t xml:space="preserve"> “foundational programs” should be explicitly set forth on a published list and “foundational</w:t>
      </w:r>
      <w:r w:rsidRPr="002C0C8F">
        <w:t xml:space="preserve"> programs,” like all other risk reduction activities, must adhere to RSE requirements. </w:t>
      </w:r>
    </w:p>
    <w:p w:rsidR="00DB2569" w:rsidP="00CD5AA5" w:rsidRDefault="002C0C8F" w14:paraId="0281A8AB" w14:textId="0406583D">
      <w:pPr>
        <w:pStyle w:val="Standard"/>
      </w:pPr>
      <w:r w:rsidRPr="002C0C8F">
        <w:t xml:space="preserve">PG&amp;E </w:t>
      </w:r>
      <w:r w:rsidR="003A44CC">
        <w:t xml:space="preserve">and TURN </w:t>
      </w:r>
      <w:r w:rsidRPr="002C0C8F">
        <w:t>recommend</w:t>
      </w:r>
      <w:r w:rsidR="003A44CC">
        <w:t xml:space="preserve"> the Commission </w:t>
      </w:r>
      <w:r w:rsidR="00D86560">
        <w:t xml:space="preserve">adopt variations on </w:t>
      </w:r>
      <w:r w:rsidR="00BB3DF7">
        <w:t xml:space="preserve">a “multi-portfolio” </w:t>
      </w:r>
      <w:r w:rsidR="00A21589">
        <w:t>approach to reflect foundational costs in mitigation RSEs.  PG&amp;E recommend</w:t>
      </w:r>
      <w:r w:rsidRPr="002C0C8F">
        <w:t xml:space="preserve">s the Commission require a single portfolio RSE score, defined as the total risk reduction of all enabled mitigations, divided by the costs of all the enabled mitigations and the </w:t>
      </w:r>
      <w:r w:rsidR="001221FF">
        <w:t>f</w:t>
      </w:r>
      <w:r w:rsidRPr="002C0C8F">
        <w:t xml:space="preserve">oundational </w:t>
      </w:r>
      <w:r w:rsidR="001221FF">
        <w:t>p</w:t>
      </w:r>
      <w:r w:rsidRPr="002C0C8F">
        <w:t xml:space="preserve">rograms.  TURN disagrees and </w:t>
      </w:r>
      <w:r w:rsidR="00A21589">
        <w:t xml:space="preserve">instead </w:t>
      </w:r>
      <w:r w:rsidRPr="002C0C8F">
        <w:t xml:space="preserve">recommends that the Commission require the utilities </w:t>
      </w:r>
      <w:r w:rsidR="00A21589">
        <w:t xml:space="preserve">to </w:t>
      </w:r>
      <w:r w:rsidRPr="002C0C8F">
        <w:t xml:space="preserve">calculate all potential combinations of foundational </w:t>
      </w:r>
      <w:r w:rsidR="001221FF">
        <w:t xml:space="preserve">programs </w:t>
      </w:r>
      <w:r w:rsidRPr="002C0C8F">
        <w:t xml:space="preserve">and </w:t>
      </w:r>
      <w:r w:rsidR="001221FF">
        <w:t xml:space="preserve">all potential </w:t>
      </w:r>
      <w:r w:rsidRPr="002C0C8F">
        <w:t>cost apportionments</w:t>
      </w:r>
      <w:r w:rsidR="00A21589">
        <w:t xml:space="preserve"> across the entire portfolio of mitigations. </w:t>
      </w:r>
    </w:p>
    <w:p w:rsidR="00AB1EA5" w:rsidP="00E866DB" w:rsidRDefault="002C0C8F" w14:paraId="4208BF2B" w14:textId="510B7E2B">
      <w:pPr>
        <w:pStyle w:val="Standard"/>
      </w:pPr>
      <w:r w:rsidRPr="00B077C8">
        <w:rPr>
          <w:szCs w:val="26"/>
        </w:rPr>
        <w:t>SDG</w:t>
      </w:r>
      <w:r w:rsidRPr="00FE7786">
        <w:rPr>
          <w:szCs w:val="26"/>
        </w:rPr>
        <w:t>&amp;E</w:t>
      </w:r>
      <w:r w:rsidR="004866A5">
        <w:rPr>
          <w:szCs w:val="26"/>
        </w:rPr>
        <w:t>/</w:t>
      </w:r>
      <w:r w:rsidRPr="00FE7786">
        <w:rPr>
          <w:szCs w:val="26"/>
        </w:rPr>
        <w:t>SoCalGas agree</w:t>
      </w:r>
      <w:r w:rsidRPr="005603B9">
        <w:rPr>
          <w:szCs w:val="26"/>
        </w:rPr>
        <w:t xml:space="preserve"> with </w:t>
      </w:r>
      <w:r w:rsidR="002C6C7E">
        <w:rPr>
          <w:szCs w:val="26"/>
        </w:rPr>
        <w:t>Staff</w:t>
      </w:r>
      <w:r w:rsidRPr="005603B9">
        <w:rPr>
          <w:szCs w:val="26"/>
        </w:rPr>
        <w:t xml:space="preserve"> that a cost threshold is necessary but state</w:t>
      </w:r>
      <w:r w:rsidR="005846D0">
        <w:rPr>
          <w:szCs w:val="26"/>
        </w:rPr>
        <w:t xml:space="preserve"> </w:t>
      </w:r>
      <w:r w:rsidRPr="005603B9">
        <w:rPr>
          <w:szCs w:val="26"/>
        </w:rPr>
        <w:t>that costs should be apportioned based on IOU SME</w:t>
      </w:r>
      <w:r w:rsidRPr="00B077C8">
        <w:rPr>
          <w:szCs w:val="26"/>
        </w:rPr>
        <w:t xml:space="preserve"> judgement, rather than </w:t>
      </w:r>
      <w:r w:rsidR="008631E3">
        <w:rPr>
          <w:szCs w:val="26"/>
        </w:rPr>
        <w:t>as</w:t>
      </w:r>
      <w:r w:rsidR="00DB2569">
        <w:rPr>
          <w:szCs w:val="26"/>
        </w:rPr>
        <w:t xml:space="preserve"> </w:t>
      </w:r>
      <w:r w:rsidRPr="00B077C8">
        <w:rPr>
          <w:szCs w:val="26"/>
        </w:rPr>
        <w:t xml:space="preserve">recommended by Staff or other parties. </w:t>
      </w:r>
    </w:p>
    <w:p w:rsidR="00DA30BB" w:rsidP="00DA30BB" w:rsidRDefault="00AB1EA5" w14:paraId="7E5ED318" w14:textId="32897403">
      <w:pPr>
        <w:pStyle w:val="Heading2"/>
      </w:pPr>
      <w:bookmarkStart w:name="_Toc80890853" w:id="37"/>
      <w:bookmarkStart w:name="_Toc87361153" w:id="38"/>
      <w:r>
        <w:lastRenderedPageBreak/>
        <w:t>6.</w:t>
      </w:r>
      <w:r w:rsidR="00523977">
        <w:t>3</w:t>
      </w:r>
      <w:r>
        <w:t xml:space="preserve"> </w:t>
      </w:r>
      <w:r>
        <w:tab/>
      </w:r>
      <w:r w:rsidR="00DA30BB">
        <w:t>Discussion</w:t>
      </w:r>
      <w:bookmarkEnd w:id="37"/>
      <w:bookmarkEnd w:id="38"/>
    </w:p>
    <w:p w:rsidR="00681FEF" w:rsidP="001E3B5B" w:rsidRDefault="00A349D2" w14:paraId="3EA93E50" w14:textId="171B71F1">
      <w:pPr>
        <w:pStyle w:val="Standard"/>
        <w:rPr>
          <w:rFonts w:eastAsiaTheme="minorEastAsia" w:cstheme="minorBidi"/>
        </w:rPr>
      </w:pPr>
      <w:r>
        <w:t>We adopt Staff’s proposed definition of foundational programs and/or activities</w:t>
      </w:r>
      <w:r w:rsidR="00B42C4D">
        <w:t>,</w:t>
      </w:r>
      <w:r>
        <w:t xml:space="preserve"> </w:t>
      </w:r>
      <w:r w:rsidR="005D0828">
        <w:t xml:space="preserve">with </w:t>
      </w:r>
      <w:r w:rsidRPr="00775D74" w:rsidR="005D0828">
        <w:t xml:space="preserve">modifications. </w:t>
      </w:r>
      <w:r w:rsidRPr="00775D74" w:rsidR="005C18AE">
        <w:t xml:space="preserve"> </w:t>
      </w:r>
      <w:r w:rsidRPr="00775D74" w:rsidR="00E77D2B">
        <w:rPr>
          <w:rFonts w:eastAsiaTheme="minorHAnsi"/>
        </w:rPr>
        <w:t>We define</w:t>
      </w:r>
      <w:r w:rsidR="00E77D2B">
        <w:rPr>
          <w:rFonts w:eastAsiaTheme="minorHAnsi"/>
        </w:rPr>
        <w:t xml:space="preserve"> f</w:t>
      </w:r>
      <w:r w:rsidR="007C4114">
        <w:rPr>
          <w:rFonts w:eastAsiaTheme="minorHAnsi"/>
        </w:rPr>
        <w:t>oundational programs</w:t>
      </w:r>
      <w:r w:rsidR="007C4114">
        <w:t>/activities</w:t>
      </w:r>
      <w:r w:rsidR="1A1E60A9">
        <w:rPr>
          <w:rFonts w:eastAsiaTheme="minorHAnsi"/>
        </w:rPr>
        <w:t xml:space="preserve"> </w:t>
      </w:r>
      <w:r w:rsidRPr="0ED3B16A" w:rsidR="004C1C00">
        <w:rPr>
          <w:rFonts w:eastAsiaTheme="minorEastAsia" w:cstheme="minorBidi"/>
        </w:rPr>
        <w:t>as</w:t>
      </w:r>
      <w:r w:rsidRPr="0ED3B16A" w:rsidR="00A3248E">
        <w:rPr>
          <w:rFonts w:eastAsiaTheme="minorEastAsia" w:cstheme="minorBidi"/>
        </w:rPr>
        <w:t xml:space="preserve"> “initiatives that support or enable two or more mitigation programs </w:t>
      </w:r>
      <w:r w:rsidR="00F36FA3">
        <w:rPr>
          <w:rFonts w:eastAsiaTheme="minorEastAsia" w:cstheme="minorBidi"/>
        </w:rPr>
        <w:t xml:space="preserve">or two or more risks </w:t>
      </w:r>
      <w:r w:rsidRPr="0ED3B16A" w:rsidR="00A3248E">
        <w:rPr>
          <w:rFonts w:eastAsiaTheme="minorEastAsia" w:cstheme="minorBidi"/>
        </w:rPr>
        <w:t xml:space="preserve">but do not directly reduce the consequences or reduce the likelihood of </w:t>
      </w:r>
      <w:r w:rsidRPr="0ED3B16A" w:rsidR="002477EE">
        <w:rPr>
          <w:rFonts w:eastAsiaTheme="minorEastAsia" w:cstheme="minorBidi"/>
        </w:rPr>
        <w:t xml:space="preserve">safety </w:t>
      </w:r>
      <w:r w:rsidRPr="0ED3B16A" w:rsidR="00A3248E">
        <w:rPr>
          <w:rFonts w:eastAsiaTheme="minorEastAsia" w:cstheme="minorBidi"/>
        </w:rPr>
        <w:t>risk events</w:t>
      </w:r>
      <w:r w:rsidR="001221FF">
        <w:rPr>
          <w:rFonts w:eastAsiaTheme="minorEastAsia" w:cstheme="minorBidi"/>
        </w:rPr>
        <w:t>.</w:t>
      </w:r>
      <w:r w:rsidRPr="0ED3B16A" w:rsidR="00A3248E">
        <w:rPr>
          <w:rFonts w:eastAsiaTheme="minorEastAsia" w:cstheme="minorBidi"/>
        </w:rPr>
        <w:t>”</w:t>
      </w:r>
      <w:r w:rsidRPr="0ED3B16A" w:rsidR="00681FEF">
        <w:rPr>
          <w:rFonts w:eastAsiaTheme="minorEastAsia" w:cstheme="minorBidi"/>
        </w:rPr>
        <w:t xml:space="preserve"> </w:t>
      </w:r>
      <w:r w:rsidR="001221FF">
        <w:rPr>
          <w:rFonts w:eastAsiaTheme="minorEastAsia" w:cstheme="minorBidi"/>
        </w:rPr>
        <w:t xml:space="preserve">We </w:t>
      </w:r>
      <w:r w:rsidRPr="0ED3B16A" w:rsidR="00681FEF">
        <w:rPr>
          <w:rFonts w:eastAsiaTheme="minorEastAsia" w:cstheme="minorBidi"/>
        </w:rPr>
        <w:t xml:space="preserve">add this term and definition to the </w:t>
      </w:r>
      <w:r w:rsidR="00540DFE">
        <w:rPr>
          <w:rFonts w:eastAsiaTheme="minorEastAsia" w:cstheme="minorBidi"/>
        </w:rPr>
        <w:t xml:space="preserve">2021 </w:t>
      </w:r>
      <w:r w:rsidR="00DB68E1">
        <w:rPr>
          <w:rFonts w:eastAsiaTheme="minorEastAsia" w:cstheme="minorBidi"/>
        </w:rPr>
        <w:t>S-MAP Revised Lexicon</w:t>
      </w:r>
      <w:r w:rsidR="006E4587">
        <w:rPr>
          <w:rFonts w:eastAsiaTheme="minorEastAsia" w:cstheme="minorBidi"/>
        </w:rPr>
        <w:t xml:space="preserve"> </w:t>
      </w:r>
      <w:r w:rsidR="0087059C">
        <w:rPr>
          <w:rFonts w:eastAsiaTheme="minorEastAsia" w:cstheme="minorBidi"/>
        </w:rPr>
        <w:t xml:space="preserve">included </w:t>
      </w:r>
      <w:r w:rsidR="006E4587">
        <w:rPr>
          <w:rFonts w:eastAsiaTheme="minorEastAsia" w:cstheme="minorBidi"/>
        </w:rPr>
        <w:t xml:space="preserve">in </w:t>
      </w:r>
      <w:r w:rsidR="0087059C">
        <w:rPr>
          <w:rFonts w:eastAsiaTheme="minorEastAsia" w:cstheme="minorBidi"/>
        </w:rPr>
        <w:t>Appendix D</w:t>
      </w:r>
      <w:r w:rsidRPr="0ED3B16A" w:rsidR="00681FEF">
        <w:rPr>
          <w:rFonts w:eastAsiaTheme="minorEastAsia" w:cstheme="minorBidi"/>
        </w:rPr>
        <w:t>.</w:t>
      </w:r>
      <w:r w:rsidRPr="0ED3B16A" w:rsidR="00A3248E">
        <w:rPr>
          <w:rFonts w:eastAsiaTheme="minorEastAsia" w:cstheme="minorBidi"/>
        </w:rPr>
        <w:t xml:space="preserve"> </w:t>
      </w:r>
      <w:r w:rsidRPr="0ED3B16A" w:rsidR="005664F7">
        <w:rPr>
          <w:rFonts w:eastAsiaTheme="minorEastAsia" w:cstheme="minorBidi"/>
        </w:rPr>
        <w:t xml:space="preserve"> </w:t>
      </w:r>
    </w:p>
    <w:p w:rsidR="002B28A1" w:rsidP="00991BEC" w:rsidRDefault="00A3248E" w14:paraId="13E84E7A" w14:textId="79F9E89F">
      <w:pPr>
        <w:pStyle w:val="Standard"/>
        <w:rPr>
          <w:rFonts w:eastAsiaTheme="minorEastAsia" w:cstheme="minorBidi"/>
        </w:rPr>
      </w:pPr>
      <w:r w:rsidRPr="00483913">
        <w:rPr>
          <w:rFonts w:eastAsiaTheme="minorEastAsia" w:cstheme="minorBidi"/>
        </w:rPr>
        <w:t xml:space="preserve">We </w:t>
      </w:r>
      <w:r w:rsidRPr="00483913" w:rsidR="00681FEF">
        <w:rPr>
          <w:rFonts w:eastAsiaTheme="minorEastAsia" w:cstheme="minorBidi"/>
        </w:rPr>
        <w:t>direct the IOUs</w:t>
      </w:r>
      <w:r w:rsidRPr="00483913">
        <w:rPr>
          <w:rFonts w:eastAsiaTheme="minorEastAsia" w:cstheme="minorBidi"/>
        </w:rPr>
        <w:t xml:space="preserve"> to include </w:t>
      </w:r>
      <w:r w:rsidRPr="00483913" w:rsidR="006D53AB">
        <w:rPr>
          <w:rFonts w:eastAsiaTheme="minorEastAsia" w:cstheme="minorBidi"/>
        </w:rPr>
        <w:t xml:space="preserve">the </w:t>
      </w:r>
      <w:r w:rsidRPr="00483913">
        <w:rPr>
          <w:rFonts w:eastAsiaTheme="minorEastAsia" w:cstheme="minorBidi"/>
        </w:rPr>
        <w:t xml:space="preserve">costs </w:t>
      </w:r>
      <w:r w:rsidRPr="00483913" w:rsidR="006D53AB">
        <w:rPr>
          <w:rFonts w:eastAsiaTheme="minorEastAsia" w:cstheme="minorBidi"/>
        </w:rPr>
        <w:t>of</w:t>
      </w:r>
      <w:r w:rsidRPr="00483913">
        <w:rPr>
          <w:rFonts w:eastAsiaTheme="minorEastAsia" w:cstheme="minorBidi"/>
        </w:rPr>
        <w:t xml:space="preserve"> foundational </w:t>
      </w:r>
      <w:r w:rsidRPr="00483913" w:rsidR="006D53AB">
        <w:rPr>
          <w:rFonts w:eastAsiaTheme="minorEastAsia" w:cstheme="minorBidi"/>
        </w:rPr>
        <w:t xml:space="preserve">program </w:t>
      </w:r>
      <w:r w:rsidRPr="00483913">
        <w:rPr>
          <w:rFonts w:eastAsiaTheme="minorEastAsia" w:cstheme="minorBidi"/>
        </w:rPr>
        <w:t xml:space="preserve">activities in </w:t>
      </w:r>
      <w:r w:rsidRPr="00483913" w:rsidR="00863349">
        <w:rPr>
          <w:rFonts w:eastAsiaTheme="minorEastAsia" w:cstheme="minorBidi"/>
        </w:rPr>
        <w:t>the</w:t>
      </w:r>
      <w:r w:rsidRPr="00483913" w:rsidR="00681FEF">
        <w:rPr>
          <w:rFonts w:eastAsiaTheme="minorEastAsia" w:cstheme="minorBidi"/>
        </w:rPr>
        <w:t xml:space="preserve"> RSE </w:t>
      </w:r>
      <w:r w:rsidRPr="00483913" w:rsidR="00CF2247">
        <w:rPr>
          <w:rFonts w:eastAsiaTheme="minorEastAsia" w:cstheme="minorBidi"/>
        </w:rPr>
        <w:t>calculation</w:t>
      </w:r>
      <w:r w:rsidRPr="00483913" w:rsidR="00681FEF">
        <w:rPr>
          <w:rFonts w:eastAsiaTheme="minorEastAsia" w:cstheme="minorBidi"/>
        </w:rPr>
        <w:t>s</w:t>
      </w:r>
      <w:r w:rsidRPr="00483913" w:rsidR="00CF2247">
        <w:rPr>
          <w:rFonts w:eastAsiaTheme="minorEastAsia" w:cstheme="minorBidi"/>
        </w:rPr>
        <w:t xml:space="preserve"> </w:t>
      </w:r>
      <w:r w:rsidRPr="00483913" w:rsidR="00681FEF">
        <w:rPr>
          <w:rFonts w:eastAsiaTheme="minorEastAsia" w:cstheme="minorBidi"/>
        </w:rPr>
        <w:t xml:space="preserve">for </w:t>
      </w:r>
      <w:r w:rsidRPr="00483913" w:rsidR="00CC4FDB">
        <w:rPr>
          <w:rFonts w:eastAsiaTheme="minorEastAsia" w:cstheme="minorBidi"/>
        </w:rPr>
        <w:t xml:space="preserve">the </w:t>
      </w:r>
      <w:r w:rsidRPr="00483913">
        <w:rPr>
          <w:rFonts w:eastAsiaTheme="minorEastAsia" w:cstheme="minorBidi"/>
        </w:rPr>
        <w:t>mitigation programs</w:t>
      </w:r>
      <w:r w:rsidRPr="00483913" w:rsidR="00A31DA4">
        <w:rPr>
          <w:rFonts w:eastAsiaTheme="minorEastAsia" w:cstheme="minorBidi"/>
        </w:rPr>
        <w:t xml:space="preserve"> that they support</w:t>
      </w:r>
      <w:r w:rsidRPr="00483913" w:rsidR="006D53AB">
        <w:rPr>
          <w:rFonts w:eastAsiaTheme="minorEastAsia" w:cstheme="minorBidi"/>
        </w:rPr>
        <w:t xml:space="preserve"> </w:t>
      </w:r>
      <w:r w:rsidRPr="00483913" w:rsidR="0040141B">
        <w:rPr>
          <w:rFonts w:eastAsiaTheme="minorEastAsia" w:cstheme="minorBidi"/>
        </w:rPr>
        <w:t xml:space="preserve">or enable </w:t>
      </w:r>
      <w:r w:rsidRPr="00483913" w:rsidR="006D53AB">
        <w:rPr>
          <w:rFonts w:eastAsiaTheme="minorEastAsia" w:cstheme="minorBidi"/>
        </w:rPr>
        <w:t>if these exceed the thresholds adopted for the RSARs in D.19-04-020</w:t>
      </w:r>
      <w:r w:rsidR="00763FE1">
        <w:rPr>
          <w:rFonts w:eastAsiaTheme="minorEastAsia" w:cstheme="minorBidi"/>
        </w:rPr>
        <w:t>, which we describe below</w:t>
      </w:r>
      <w:r w:rsidRPr="00483913" w:rsidR="006D53AB">
        <w:rPr>
          <w:rFonts w:eastAsiaTheme="minorEastAsia" w:cstheme="minorBidi"/>
        </w:rPr>
        <w:t>.  We also authorize the IOUs to include foundational program and activity costs below the RSAR thresholds in th</w:t>
      </w:r>
      <w:r w:rsidRPr="00483913" w:rsidR="00D3340F">
        <w:rPr>
          <w:rFonts w:eastAsiaTheme="minorEastAsia" w:cstheme="minorBidi"/>
        </w:rPr>
        <w:t xml:space="preserve">eir mitigation program RSEs on an optional basis.  </w:t>
      </w:r>
    </w:p>
    <w:p w:rsidR="00222171" w:rsidP="00222171" w:rsidRDefault="002B28A1" w14:paraId="74AE7204" w14:textId="2358E922">
      <w:pPr>
        <w:pStyle w:val="Standard"/>
        <w:rPr>
          <w:rFonts w:eastAsiaTheme="minorEastAsia" w:cstheme="minorBidi"/>
        </w:rPr>
      </w:pPr>
      <w:r w:rsidRPr="31E81767">
        <w:rPr>
          <w:rFonts w:eastAsiaTheme="minorEastAsia" w:cstheme="minorBidi"/>
        </w:rPr>
        <w:t xml:space="preserve">We direct each IOU to </w:t>
      </w:r>
      <w:r w:rsidRPr="31E81767" w:rsidR="00EB636E">
        <w:rPr>
          <w:rFonts w:eastAsiaTheme="minorEastAsia" w:cstheme="minorBidi"/>
        </w:rPr>
        <w:t>incorporate costs of foundational elements into the RSEs they present in their next RAMP filing.</w:t>
      </w:r>
      <w:r w:rsidRPr="31E81767">
        <w:rPr>
          <w:rFonts w:eastAsiaTheme="minorEastAsia" w:cstheme="minorBidi"/>
        </w:rPr>
        <w:t xml:space="preserve"> </w:t>
      </w:r>
      <w:r w:rsidRPr="31E81767" w:rsidR="00EB636E">
        <w:rPr>
          <w:rFonts w:eastAsiaTheme="minorEastAsia" w:cstheme="minorBidi"/>
        </w:rPr>
        <w:t xml:space="preserve"> </w:t>
      </w:r>
      <w:r w:rsidRPr="31E81767">
        <w:rPr>
          <w:rFonts w:eastAsiaTheme="minorEastAsia" w:cstheme="minorBidi"/>
        </w:rPr>
        <w:t>I</w:t>
      </w:r>
      <w:r w:rsidRPr="31E81767" w:rsidR="00EB636E">
        <w:rPr>
          <w:rFonts w:eastAsiaTheme="minorEastAsia" w:cstheme="minorBidi"/>
        </w:rPr>
        <w:t xml:space="preserve">n doing so, </w:t>
      </w:r>
      <w:r w:rsidRPr="31E81767">
        <w:rPr>
          <w:rFonts w:eastAsiaTheme="minorEastAsia" w:cstheme="minorBidi"/>
        </w:rPr>
        <w:t xml:space="preserve">the IOUs </w:t>
      </w:r>
      <w:r w:rsidRPr="31E81767" w:rsidR="00222171">
        <w:rPr>
          <w:rFonts w:eastAsiaTheme="minorEastAsia" w:cstheme="minorBidi"/>
        </w:rPr>
        <w:t xml:space="preserve">shall clearly and transparently explain and justify their chosen distribution of foundational costs to mitigations and </w:t>
      </w:r>
      <w:r w:rsidRPr="31E81767" w:rsidR="00EB636E">
        <w:rPr>
          <w:rFonts w:eastAsiaTheme="minorEastAsia" w:cstheme="minorBidi"/>
        </w:rPr>
        <w:t>must comply with applicable requirements of t</w:t>
      </w:r>
      <w:r w:rsidRPr="31E81767">
        <w:rPr>
          <w:rFonts w:eastAsiaTheme="minorEastAsia" w:cstheme="minorBidi"/>
        </w:rPr>
        <w:t>he SA</w:t>
      </w:r>
      <w:r w:rsidR="001B1DC7">
        <w:rPr>
          <w:rFonts w:eastAsiaTheme="minorEastAsia" w:cstheme="minorBidi"/>
        </w:rPr>
        <w:t> </w:t>
      </w:r>
      <w:r w:rsidRPr="31E81767">
        <w:rPr>
          <w:rFonts w:eastAsiaTheme="minorEastAsia" w:cstheme="minorBidi"/>
        </w:rPr>
        <w:t xml:space="preserve">Decision </w:t>
      </w:r>
      <w:r w:rsidRPr="31E81767" w:rsidR="00EB636E">
        <w:rPr>
          <w:rFonts w:eastAsiaTheme="minorEastAsia" w:cstheme="minorBidi"/>
        </w:rPr>
        <w:t>and explain their rationale and assumptions in categorizing the foundational elements</w:t>
      </w:r>
      <w:r w:rsidRPr="31E81767" w:rsidR="00222171">
        <w:rPr>
          <w:rFonts w:eastAsiaTheme="minorEastAsia" w:cstheme="minorBidi"/>
        </w:rPr>
        <w:t xml:space="preserve"> as </w:t>
      </w:r>
      <w:r w:rsidR="00763FE1">
        <w:rPr>
          <w:rFonts w:eastAsiaTheme="minorEastAsia" w:cstheme="minorBidi"/>
        </w:rPr>
        <w:t xml:space="preserve">described </w:t>
      </w:r>
      <w:r w:rsidRPr="31E81767" w:rsidR="0034578B">
        <w:rPr>
          <w:rFonts w:eastAsiaTheme="minorEastAsia" w:cstheme="minorBidi"/>
        </w:rPr>
        <w:t xml:space="preserve">in </w:t>
      </w:r>
      <w:r w:rsidRPr="31E81767" w:rsidR="00EB636E">
        <w:rPr>
          <w:rFonts w:eastAsiaTheme="minorEastAsia" w:cstheme="minorBidi"/>
        </w:rPr>
        <w:t>line 29</w:t>
      </w:r>
      <w:r w:rsidRPr="31E81767" w:rsidR="0034578B">
        <w:rPr>
          <w:rFonts w:eastAsiaTheme="minorEastAsia" w:cstheme="minorBidi"/>
        </w:rPr>
        <w:t xml:space="preserve"> of the Settlement Agreement.</w:t>
      </w:r>
      <w:r w:rsidRPr="31E81767" w:rsidR="00EB636E">
        <w:rPr>
          <w:rFonts w:eastAsiaTheme="minorEastAsia" w:cstheme="minorBidi"/>
          <w:vertAlign w:val="superscript"/>
        </w:rPr>
        <w:footnoteReference w:id="19"/>
      </w:r>
      <w:r w:rsidRPr="31E81767" w:rsidR="00EB636E">
        <w:rPr>
          <w:rFonts w:eastAsiaTheme="minorEastAsia" w:cstheme="minorBidi"/>
        </w:rPr>
        <w:t xml:space="preserve"> </w:t>
      </w:r>
      <w:r w:rsidRPr="31E81767" w:rsidR="0034578B">
        <w:rPr>
          <w:rFonts w:eastAsiaTheme="minorEastAsia" w:cstheme="minorBidi"/>
        </w:rPr>
        <w:t xml:space="preserve"> We </w:t>
      </w:r>
      <w:r w:rsidRPr="31E81767" w:rsidR="0034578B">
        <w:rPr>
          <w:rFonts w:eastAsiaTheme="minorEastAsia" w:cstheme="minorBidi"/>
        </w:rPr>
        <w:lastRenderedPageBreak/>
        <w:t xml:space="preserve">may consider and adopt </w:t>
      </w:r>
      <w:r w:rsidRPr="31E81767" w:rsidR="00222171">
        <w:rPr>
          <w:rFonts w:eastAsiaTheme="minorEastAsia" w:cstheme="minorBidi"/>
        </w:rPr>
        <w:t>a</w:t>
      </w:r>
      <w:r w:rsidRPr="31E81767" w:rsidR="00EB636E">
        <w:rPr>
          <w:rFonts w:eastAsiaTheme="minorEastAsia" w:cstheme="minorBidi"/>
        </w:rPr>
        <w:t>dditional refinements and guidelines</w:t>
      </w:r>
      <w:r w:rsidR="00763FE1">
        <w:rPr>
          <w:rFonts w:eastAsiaTheme="minorEastAsia" w:cstheme="minorBidi"/>
        </w:rPr>
        <w:t xml:space="preserve"> to our direction here</w:t>
      </w:r>
      <w:r w:rsidRPr="31E81767" w:rsidR="00EB636E">
        <w:rPr>
          <w:rFonts w:eastAsiaTheme="minorEastAsia" w:cstheme="minorBidi"/>
        </w:rPr>
        <w:t xml:space="preserve"> in subsequent decisions</w:t>
      </w:r>
      <w:r w:rsidRPr="31E81767" w:rsidR="00222171">
        <w:rPr>
          <w:rFonts w:eastAsiaTheme="minorEastAsia" w:cstheme="minorBidi"/>
        </w:rPr>
        <w:t>.</w:t>
      </w:r>
    </w:p>
    <w:p w:rsidR="007465CE" w:rsidP="007465CE" w:rsidRDefault="008A4227" w14:paraId="5234237F" w14:textId="4B0D93CB">
      <w:pPr>
        <w:pStyle w:val="Standard"/>
        <w:rPr>
          <w:rFonts w:eastAsiaTheme="minorHAnsi" w:cstheme="minorBidi"/>
          <w:szCs w:val="26"/>
        </w:rPr>
      </w:pPr>
      <w:r>
        <w:rPr>
          <w:rFonts w:eastAsiaTheme="minorHAnsi" w:cstheme="minorBidi"/>
          <w:szCs w:val="26"/>
        </w:rPr>
        <w:t xml:space="preserve">Requiring the IOUs to use the cost and percentage </w:t>
      </w:r>
      <w:r w:rsidRPr="00EB636E" w:rsidR="00EB636E">
        <w:rPr>
          <w:rFonts w:eastAsiaTheme="minorHAnsi" w:cstheme="minorBidi"/>
          <w:szCs w:val="26"/>
        </w:rPr>
        <w:t xml:space="preserve">thresholds </w:t>
      </w:r>
      <w:r w:rsidR="00C06572">
        <w:rPr>
          <w:rFonts w:eastAsiaTheme="minorHAnsi" w:cstheme="minorBidi"/>
          <w:szCs w:val="26"/>
        </w:rPr>
        <w:t>a</w:t>
      </w:r>
      <w:r>
        <w:rPr>
          <w:rFonts w:eastAsiaTheme="minorHAnsi" w:cstheme="minorBidi"/>
          <w:szCs w:val="26"/>
        </w:rPr>
        <w:t>dopted for the RSARs to include foundational costs in their RSEs is reasonable and provides</w:t>
      </w:r>
      <w:r w:rsidR="007465CE">
        <w:rPr>
          <w:rFonts w:eastAsiaTheme="minorHAnsi" w:cstheme="minorBidi"/>
          <w:szCs w:val="26"/>
        </w:rPr>
        <w:t xml:space="preserve"> for both</w:t>
      </w:r>
      <w:r>
        <w:rPr>
          <w:rFonts w:eastAsiaTheme="minorHAnsi" w:cstheme="minorBidi"/>
          <w:szCs w:val="26"/>
        </w:rPr>
        <w:t xml:space="preserve"> consistency</w:t>
      </w:r>
      <w:r w:rsidR="007465CE">
        <w:rPr>
          <w:rFonts w:eastAsiaTheme="minorHAnsi" w:cstheme="minorBidi"/>
          <w:szCs w:val="26"/>
        </w:rPr>
        <w:t xml:space="preserve"> and appropriate variation based on company size.  Adopting this approach now will add clarity to </w:t>
      </w:r>
      <w:r w:rsidR="00175F1A">
        <w:rPr>
          <w:rFonts w:eastAsiaTheme="minorHAnsi" w:cstheme="minorBidi"/>
          <w:szCs w:val="26"/>
        </w:rPr>
        <w:t xml:space="preserve">future RAMP filings while also allowing more time to consider </w:t>
      </w:r>
      <w:r w:rsidR="007465CE">
        <w:rPr>
          <w:rFonts w:eastAsiaTheme="minorHAnsi" w:cstheme="minorBidi"/>
          <w:szCs w:val="26"/>
        </w:rPr>
        <w:t>additional approaches that may be appropriate, such as the “multi-portfolio” approach suggested by TURN</w:t>
      </w:r>
      <w:r w:rsidR="00175F1A">
        <w:rPr>
          <w:rFonts w:eastAsiaTheme="minorHAnsi" w:cstheme="minorBidi"/>
          <w:szCs w:val="26"/>
        </w:rPr>
        <w:t>, which we discus</w:t>
      </w:r>
      <w:r w:rsidR="00615670">
        <w:rPr>
          <w:rFonts w:eastAsiaTheme="minorHAnsi" w:cstheme="minorBidi"/>
          <w:szCs w:val="26"/>
        </w:rPr>
        <w:t>s further below</w:t>
      </w:r>
      <w:r w:rsidR="007465CE">
        <w:rPr>
          <w:rFonts w:eastAsiaTheme="minorHAnsi" w:cstheme="minorBidi"/>
          <w:szCs w:val="26"/>
        </w:rPr>
        <w:t xml:space="preserve">.  </w:t>
      </w:r>
    </w:p>
    <w:p w:rsidR="00C06572" w:rsidP="00C06572" w:rsidRDefault="008A4227" w14:paraId="73D2FD3A" w14:textId="10F2D909">
      <w:pPr>
        <w:pStyle w:val="Standard"/>
        <w:rPr>
          <w:rFonts w:eastAsiaTheme="minorHAnsi" w:cstheme="minorBidi"/>
          <w:szCs w:val="26"/>
        </w:rPr>
      </w:pPr>
      <w:r>
        <w:rPr>
          <w:rFonts w:eastAsiaTheme="minorHAnsi" w:cstheme="minorBidi"/>
          <w:szCs w:val="26"/>
        </w:rPr>
        <w:t xml:space="preserve">In </w:t>
      </w:r>
      <w:r w:rsidRPr="00EB636E" w:rsidR="00EB636E">
        <w:rPr>
          <w:rFonts w:eastAsiaTheme="minorHAnsi" w:cstheme="minorBidi"/>
          <w:szCs w:val="26"/>
        </w:rPr>
        <w:t xml:space="preserve">D.19-04-020, </w:t>
      </w:r>
      <w:r w:rsidR="00C06572">
        <w:rPr>
          <w:rFonts w:eastAsiaTheme="minorHAnsi" w:cstheme="minorBidi"/>
          <w:szCs w:val="26"/>
        </w:rPr>
        <w:t>we adopted varying mi</w:t>
      </w:r>
      <w:r w:rsidRPr="00EB636E" w:rsidR="00EB636E">
        <w:rPr>
          <w:rFonts w:eastAsiaTheme="minorHAnsi" w:cstheme="minorBidi"/>
          <w:szCs w:val="26"/>
        </w:rPr>
        <w:t>nimum dollar threshold</w:t>
      </w:r>
      <w:r w:rsidR="00C06572">
        <w:rPr>
          <w:rFonts w:eastAsiaTheme="minorHAnsi" w:cstheme="minorBidi"/>
          <w:szCs w:val="26"/>
        </w:rPr>
        <w:t>s</w:t>
      </w:r>
      <w:r w:rsidRPr="00EB636E" w:rsidR="00EB636E">
        <w:rPr>
          <w:rFonts w:eastAsiaTheme="minorHAnsi" w:cstheme="minorBidi"/>
          <w:szCs w:val="26"/>
        </w:rPr>
        <w:t xml:space="preserve"> </w:t>
      </w:r>
      <w:r w:rsidR="00EB21E3">
        <w:rPr>
          <w:rFonts w:eastAsiaTheme="minorHAnsi" w:cstheme="minorBidi"/>
          <w:szCs w:val="26"/>
        </w:rPr>
        <w:t xml:space="preserve">for RSARs </w:t>
      </w:r>
      <w:r w:rsidRPr="00EB636E" w:rsidR="00EB636E">
        <w:rPr>
          <w:rFonts w:eastAsiaTheme="minorHAnsi" w:cstheme="minorBidi"/>
          <w:szCs w:val="26"/>
        </w:rPr>
        <w:t>based on the relative size of each IOU.</w:t>
      </w:r>
      <w:r w:rsidR="00995E12">
        <w:rPr>
          <w:rStyle w:val="FootnoteReference"/>
          <w:rFonts w:eastAsiaTheme="minorHAnsi" w:cstheme="minorBidi"/>
          <w:szCs w:val="26"/>
        </w:rPr>
        <w:footnoteReference w:id="20"/>
      </w:r>
      <w:r w:rsidR="00C06572">
        <w:rPr>
          <w:rFonts w:eastAsiaTheme="minorHAnsi" w:cstheme="minorBidi"/>
          <w:szCs w:val="26"/>
        </w:rPr>
        <w:t xml:space="preserve">  </w:t>
      </w:r>
      <w:r w:rsidR="008A703A">
        <w:rPr>
          <w:rFonts w:eastAsiaTheme="minorHAnsi" w:cstheme="minorBidi"/>
          <w:szCs w:val="26"/>
        </w:rPr>
        <w:t xml:space="preserve">A similar </w:t>
      </w:r>
      <w:r w:rsidR="00C06572">
        <w:rPr>
          <w:rFonts w:eastAsiaTheme="minorHAnsi" w:cstheme="minorBidi"/>
          <w:szCs w:val="26"/>
        </w:rPr>
        <w:t xml:space="preserve">approach is appropriate here </w:t>
      </w:r>
      <w:r w:rsidRPr="00EB636E" w:rsidR="00EB636E">
        <w:rPr>
          <w:rFonts w:eastAsiaTheme="minorHAnsi" w:cstheme="minorBidi"/>
          <w:szCs w:val="26"/>
        </w:rPr>
        <w:t>because the</w:t>
      </w:r>
      <w:r w:rsidR="00C06572">
        <w:rPr>
          <w:rFonts w:eastAsiaTheme="minorHAnsi" w:cstheme="minorBidi"/>
          <w:szCs w:val="26"/>
        </w:rPr>
        <w:t xml:space="preserve"> threshold levels </w:t>
      </w:r>
      <w:r w:rsidRPr="00EB636E" w:rsidR="00EB636E">
        <w:rPr>
          <w:rFonts w:eastAsiaTheme="minorHAnsi" w:cstheme="minorBidi"/>
          <w:szCs w:val="26"/>
        </w:rPr>
        <w:t>have an objective basis</w:t>
      </w:r>
      <w:r w:rsidR="00C06572">
        <w:rPr>
          <w:rFonts w:eastAsiaTheme="minorHAnsi" w:cstheme="minorBidi"/>
          <w:szCs w:val="26"/>
        </w:rPr>
        <w:t xml:space="preserve"> and applying them has b</w:t>
      </w:r>
      <w:r w:rsidR="006C1E1F">
        <w:rPr>
          <w:rFonts w:eastAsiaTheme="minorHAnsi" w:cstheme="minorBidi"/>
          <w:szCs w:val="26"/>
        </w:rPr>
        <w:t>een feasible and useful in the RSAR context and will also be so here</w:t>
      </w:r>
      <w:r w:rsidR="00C06572">
        <w:rPr>
          <w:rFonts w:eastAsiaTheme="minorHAnsi" w:cstheme="minorBidi"/>
          <w:szCs w:val="26"/>
        </w:rPr>
        <w:t>.</w:t>
      </w:r>
      <w:r w:rsidR="006C1E1F">
        <w:rPr>
          <w:rFonts w:eastAsiaTheme="minorHAnsi" w:cstheme="minorBidi"/>
          <w:szCs w:val="26"/>
        </w:rPr>
        <w:t xml:space="preserve">  We adopt the following:</w:t>
      </w:r>
    </w:p>
    <w:p w:rsidR="006C1E1F" w:rsidP="00142E2E" w:rsidRDefault="00EB636E" w14:paraId="06CEDAD7" w14:textId="4AE953FF">
      <w:pPr>
        <w:pStyle w:val="Standard"/>
        <w:numPr>
          <w:ilvl w:val="0"/>
          <w:numId w:val="19"/>
        </w:numPr>
        <w:spacing w:after="120" w:line="276" w:lineRule="auto"/>
        <w:ind w:left="1080" w:right="1440"/>
        <w:rPr>
          <w:rFonts w:eastAsiaTheme="minorEastAsia" w:cstheme="minorBidi"/>
        </w:rPr>
      </w:pPr>
      <w:r w:rsidRPr="00EB636E">
        <w:rPr>
          <w:rFonts w:eastAsiaTheme="minorEastAsia" w:cstheme="minorBidi"/>
        </w:rPr>
        <w:t xml:space="preserve">PG&amp;E and SCE </w:t>
      </w:r>
      <w:r w:rsidRPr="0C236723" w:rsidR="006C1E1F">
        <w:rPr>
          <w:rFonts w:eastAsiaTheme="minorEastAsia" w:cstheme="minorBidi"/>
        </w:rPr>
        <w:t xml:space="preserve">shall include </w:t>
      </w:r>
      <w:r w:rsidRPr="00EB636E">
        <w:rPr>
          <w:rFonts w:eastAsiaTheme="minorEastAsia" w:cstheme="minorBidi"/>
        </w:rPr>
        <w:t xml:space="preserve">the cost of foundational programs in RSE calculations if the aggregate cost </w:t>
      </w:r>
      <w:r w:rsidRPr="0C236723" w:rsidR="005622E1">
        <w:rPr>
          <w:rFonts w:eastAsiaTheme="minorEastAsia" w:cstheme="minorBidi"/>
        </w:rPr>
        <w:t xml:space="preserve">over the </w:t>
      </w:r>
      <w:r w:rsidR="005622E1">
        <w:rPr>
          <w:rFonts w:eastAsiaTheme="minorEastAsia" w:cstheme="minorBidi"/>
        </w:rPr>
        <w:t xml:space="preserve">upcoming </w:t>
      </w:r>
      <w:r w:rsidRPr="0C236723" w:rsidR="005622E1">
        <w:rPr>
          <w:rFonts w:eastAsiaTheme="minorEastAsia" w:cstheme="minorBidi"/>
        </w:rPr>
        <w:t>GRC funding period</w:t>
      </w:r>
      <w:r w:rsidR="005622E1">
        <w:rPr>
          <w:rFonts w:eastAsiaTheme="minorEastAsia" w:cstheme="minorBidi"/>
        </w:rPr>
        <w:t xml:space="preserve"> </w:t>
      </w:r>
      <w:r w:rsidRPr="00EB636E">
        <w:rPr>
          <w:rFonts w:eastAsiaTheme="minorEastAsia" w:cstheme="minorBidi"/>
        </w:rPr>
        <w:t>of the foundational programs supporting a portfolio of risk mitigations exceeds the lesser of $10 million, or 20</w:t>
      </w:r>
      <w:r w:rsidRPr="0C236723" w:rsidR="00B225CE">
        <w:rPr>
          <w:rFonts w:eastAsiaTheme="minorEastAsia" w:cstheme="minorBidi"/>
        </w:rPr>
        <w:t xml:space="preserve"> percent</w:t>
      </w:r>
      <w:r w:rsidRPr="00EB636E">
        <w:rPr>
          <w:rFonts w:eastAsiaTheme="minorEastAsia" w:cstheme="minorBidi"/>
        </w:rPr>
        <w:t xml:space="preserve"> of the cost of the portfolio of enabled mitigations, subject to a minimum of $5 million</w:t>
      </w:r>
      <w:r w:rsidRPr="0C236723" w:rsidR="00BD2CA1">
        <w:rPr>
          <w:rFonts w:eastAsiaTheme="minorEastAsia" w:cstheme="minorBidi"/>
        </w:rPr>
        <w:t xml:space="preserve"> </w:t>
      </w:r>
      <w:r w:rsidRPr="4CC15A6F" w:rsidR="79570827">
        <w:rPr>
          <w:rFonts w:eastAsiaTheme="minorEastAsia" w:cstheme="minorBidi"/>
        </w:rPr>
        <w:t>for</w:t>
      </w:r>
      <w:r w:rsidRPr="4CC15A6F" w:rsidR="44D6A075">
        <w:rPr>
          <w:rFonts w:eastAsiaTheme="minorEastAsia" w:cstheme="minorBidi"/>
        </w:rPr>
        <w:t xml:space="preserve"> </w:t>
      </w:r>
      <w:r w:rsidRPr="6FC1C822" w:rsidR="79570827">
        <w:rPr>
          <w:rFonts w:eastAsiaTheme="minorEastAsia" w:cstheme="minorBidi"/>
        </w:rPr>
        <w:t>the percentage test</w:t>
      </w:r>
      <w:r w:rsidRPr="0C236723" w:rsidR="00A228E3">
        <w:rPr>
          <w:rFonts w:eastAsiaTheme="minorEastAsia" w:cstheme="minorBidi"/>
        </w:rPr>
        <w:t>;</w:t>
      </w:r>
      <w:r w:rsidRPr="00EB636E">
        <w:rPr>
          <w:rFonts w:eastAsiaTheme="minorEastAsia" w:cstheme="minorBidi"/>
        </w:rPr>
        <w:t xml:space="preserve">  </w:t>
      </w:r>
    </w:p>
    <w:p w:rsidR="006C1E1F" w:rsidP="00142E2E" w:rsidRDefault="00EB636E" w14:paraId="59336000" w14:textId="7C377033">
      <w:pPr>
        <w:pStyle w:val="Standard"/>
        <w:numPr>
          <w:ilvl w:val="0"/>
          <w:numId w:val="19"/>
        </w:numPr>
        <w:spacing w:after="120" w:line="276" w:lineRule="auto"/>
        <w:ind w:left="1080" w:right="1440"/>
        <w:rPr>
          <w:rFonts w:eastAsiaTheme="minorEastAsia" w:cstheme="minorBidi"/>
        </w:rPr>
      </w:pPr>
      <w:r w:rsidRPr="618C2149">
        <w:rPr>
          <w:rFonts w:eastAsiaTheme="minorEastAsia" w:cstheme="minorBidi"/>
        </w:rPr>
        <w:t>SDG&amp;E</w:t>
      </w:r>
      <w:r w:rsidRPr="618C2149" w:rsidR="00B225CE">
        <w:rPr>
          <w:rFonts w:eastAsiaTheme="minorEastAsia" w:cstheme="minorBidi"/>
        </w:rPr>
        <w:t xml:space="preserve"> shall include </w:t>
      </w:r>
      <w:r w:rsidRPr="618C2149">
        <w:rPr>
          <w:rFonts w:eastAsiaTheme="minorEastAsia" w:cstheme="minorBidi"/>
        </w:rPr>
        <w:t>the cost of foundational programs</w:t>
      </w:r>
      <w:r w:rsidRPr="618C2149" w:rsidR="00B225CE">
        <w:rPr>
          <w:rFonts w:eastAsiaTheme="minorEastAsia" w:cstheme="minorBidi"/>
        </w:rPr>
        <w:t xml:space="preserve"> for its electric operations in</w:t>
      </w:r>
      <w:r w:rsidRPr="618C2149">
        <w:rPr>
          <w:rFonts w:eastAsiaTheme="minorEastAsia" w:cstheme="minorBidi"/>
        </w:rPr>
        <w:t xml:space="preserve"> RSE calculations if the aggregate </w:t>
      </w:r>
      <w:r w:rsidRPr="618C2149">
        <w:rPr>
          <w:rFonts w:eastAsiaTheme="minorEastAsia" w:cstheme="minorBidi"/>
        </w:rPr>
        <w:lastRenderedPageBreak/>
        <w:t xml:space="preserve">cost </w:t>
      </w:r>
      <w:r w:rsidRPr="618C2149" w:rsidR="00792131">
        <w:rPr>
          <w:rFonts w:eastAsiaTheme="minorEastAsia" w:cstheme="minorBidi"/>
        </w:rPr>
        <w:t xml:space="preserve">over the upcoming GRC funding period </w:t>
      </w:r>
      <w:r w:rsidRPr="618C2149">
        <w:rPr>
          <w:rFonts w:eastAsiaTheme="minorEastAsia" w:cstheme="minorBidi"/>
        </w:rPr>
        <w:t>of the foundational programs supporting a portfolio of risk mitigations exceeds the lesser of $5</w:t>
      </w:r>
      <w:r w:rsidR="000611E5">
        <w:rPr>
          <w:rFonts w:eastAsiaTheme="minorEastAsia" w:cstheme="minorBidi"/>
        </w:rPr>
        <w:t> </w:t>
      </w:r>
      <w:r w:rsidRPr="618C2149">
        <w:rPr>
          <w:rFonts w:eastAsiaTheme="minorEastAsia" w:cstheme="minorBidi"/>
        </w:rPr>
        <w:t>million, or 20</w:t>
      </w:r>
      <w:r w:rsidR="000611E5">
        <w:rPr>
          <w:rFonts w:eastAsiaTheme="minorEastAsia" w:cstheme="minorBidi"/>
        </w:rPr>
        <w:t> </w:t>
      </w:r>
      <w:r w:rsidRPr="618C2149" w:rsidR="00B225CE">
        <w:rPr>
          <w:rFonts w:eastAsiaTheme="minorEastAsia" w:cstheme="minorBidi"/>
        </w:rPr>
        <w:t>pe</w:t>
      </w:r>
      <w:r w:rsidRPr="618C2149" w:rsidR="00A228E3">
        <w:rPr>
          <w:rFonts w:eastAsiaTheme="minorEastAsia" w:cstheme="minorBidi"/>
        </w:rPr>
        <w:t>rcent</w:t>
      </w:r>
      <w:r w:rsidRPr="618C2149">
        <w:rPr>
          <w:rFonts w:eastAsiaTheme="minorEastAsia" w:cstheme="minorBidi"/>
        </w:rPr>
        <w:t xml:space="preserve"> of the cost of the portfolio of enabled mitigations, subject to a minimum of $2.5</w:t>
      </w:r>
      <w:r w:rsidR="000611E5">
        <w:rPr>
          <w:rFonts w:eastAsiaTheme="minorEastAsia" w:cstheme="minorBidi"/>
        </w:rPr>
        <w:t> </w:t>
      </w:r>
      <w:r w:rsidRPr="618C2149">
        <w:rPr>
          <w:rFonts w:eastAsiaTheme="minorEastAsia" w:cstheme="minorBidi"/>
        </w:rPr>
        <w:t>million</w:t>
      </w:r>
      <w:r w:rsidRPr="618C2149" w:rsidR="36FC7C69">
        <w:rPr>
          <w:rFonts w:eastAsiaTheme="minorEastAsia" w:cstheme="minorBidi"/>
        </w:rPr>
        <w:t xml:space="preserve"> for the percentage test</w:t>
      </w:r>
      <w:r w:rsidRPr="618C2149" w:rsidR="00A228E3">
        <w:rPr>
          <w:rFonts w:eastAsiaTheme="minorEastAsia" w:cstheme="minorBidi"/>
        </w:rPr>
        <w:t>;</w:t>
      </w:r>
    </w:p>
    <w:p w:rsidRPr="00EB636E" w:rsidR="006C1E1F" w:rsidP="00142E2E" w:rsidRDefault="00EB636E" w14:paraId="5A1A8B18" w14:textId="23FEFC02">
      <w:pPr>
        <w:pStyle w:val="Standard"/>
        <w:numPr>
          <w:ilvl w:val="0"/>
          <w:numId w:val="19"/>
        </w:numPr>
        <w:spacing w:after="120" w:line="276" w:lineRule="auto"/>
        <w:ind w:left="1080" w:right="1440"/>
        <w:rPr>
          <w:rFonts w:eastAsiaTheme="minorEastAsia" w:cstheme="minorBidi"/>
        </w:rPr>
      </w:pPr>
      <w:r w:rsidRPr="618C2149">
        <w:rPr>
          <w:rFonts w:eastAsiaTheme="minorEastAsia" w:cstheme="minorBidi"/>
        </w:rPr>
        <w:t>SDG&amp;E</w:t>
      </w:r>
      <w:r w:rsidRPr="618C2149" w:rsidR="00A228E3">
        <w:rPr>
          <w:rFonts w:eastAsiaTheme="minorEastAsia" w:cstheme="minorBidi"/>
        </w:rPr>
        <w:t xml:space="preserve"> shall include</w:t>
      </w:r>
      <w:r w:rsidRPr="618C2149">
        <w:rPr>
          <w:rFonts w:eastAsiaTheme="minorEastAsia" w:cstheme="minorBidi"/>
        </w:rPr>
        <w:t xml:space="preserve"> the cost of foundational programs </w:t>
      </w:r>
      <w:r w:rsidRPr="618C2149" w:rsidR="00A228E3">
        <w:rPr>
          <w:rFonts w:eastAsiaTheme="minorEastAsia" w:cstheme="minorBidi"/>
        </w:rPr>
        <w:t xml:space="preserve">for its gas operations in RSE calculations </w:t>
      </w:r>
      <w:r w:rsidRPr="618C2149" w:rsidR="004035E4">
        <w:rPr>
          <w:rFonts w:eastAsiaTheme="minorEastAsia" w:cstheme="minorBidi"/>
        </w:rPr>
        <w:t>if the aggr</w:t>
      </w:r>
      <w:r w:rsidRPr="618C2149">
        <w:rPr>
          <w:rFonts w:eastAsiaTheme="minorEastAsia" w:cstheme="minorBidi"/>
        </w:rPr>
        <w:t xml:space="preserve">egate cost </w:t>
      </w:r>
      <w:r w:rsidRPr="618C2149" w:rsidR="00792131">
        <w:rPr>
          <w:rFonts w:eastAsiaTheme="minorEastAsia" w:cstheme="minorBidi"/>
        </w:rPr>
        <w:t xml:space="preserve">over the upcoming GRC funding period </w:t>
      </w:r>
      <w:r w:rsidRPr="618C2149">
        <w:rPr>
          <w:rFonts w:eastAsiaTheme="minorEastAsia" w:cstheme="minorBidi"/>
        </w:rPr>
        <w:t>of the foundational programs supporting a portfolio of risk mitigations exceeds the lesser of $2.5</w:t>
      </w:r>
      <w:r w:rsidR="000611E5">
        <w:rPr>
          <w:rFonts w:eastAsiaTheme="minorEastAsia" w:cstheme="minorBidi"/>
        </w:rPr>
        <w:t> </w:t>
      </w:r>
      <w:r w:rsidRPr="618C2149">
        <w:rPr>
          <w:rFonts w:eastAsiaTheme="minorEastAsia" w:cstheme="minorBidi"/>
        </w:rPr>
        <w:t>million, or 20</w:t>
      </w:r>
      <w:r w:rsidR="000611E5">
        <w:rPr>
          <w:rFonts w:eastAsiaTheme="minorEastAsia" w:cstheme="minorBidi"/>
        </w:rPr>
        <w:t> </w:t>
      </w:r>
      <w:r w:rsidRPr="618C2149" w:rsidR="004035E4">
        <w:rPr>
          <w:rFonts w:eastAsiaTheme="minorEastAsia" w:cstheme="minorBidi"/>
        </w:rPr>
        <w:t>percent</w:t>
      </w:r>
      <w:r w:rsidRPr="618C2149">
        <w:rPr>
          <w:rFonts w:eastAsiaTheme="minorEastAsia" w:cstheme="minorBidi"/>
        </w:rPr>
        <w:t xml:space="preserve"> of the cost of the portfolio of enabled mitigations, subject to a minimum of $0.5</w:t>
      </w:r>
      <w:r w:rsidR="000611E5">
        <w:rPr>
          <w:rFonts w:eastAsiaTheme="minorEastAsia" w:cstheme="minorBidi"/>
        </w:rPr>
        <w:t> </w:t>
      </w:r>
      <w:r w:rsidRPr="618C2149">
        <w:rPr>
          <w:rFonts w:eastAsiaTheme="minorEastAsia" w:cstheme="minorBidi"/>
        </w:rPr>
        <w:t>million</w:t>
      </w:r>
      <w:r w:rsidRPr="618C2149" w:rsidR="00BD2CA1">
        <w:rPr>
          <w:rFonts w:eastAsiaTheme="minorEastAsia" w:cstheme="minorBidi"/>
        </w:rPr>
        <w:t xml:space="preserve"> </w:t>
      </w:r>
      <w:r w:rsidRPr="618C2149" w:rsidR="01696752">
        <w:rPr>
          <w:rFonts w:eastAsiaTheme="minorEastAsia" w:cstheme="minorBidi"/>
        </w:rPr>
        <w:t>for the percentage test</w:t>
      </w:r>
      <w:r w:rsidRPr="618C2149" w:rsidR="004035E4">
        <w:rPr>
          <w:rFonts w:eastAsiaTheme="minorEastAsia" w:cstheme="minorBidi"/>
        </w:rPr>
        <w:t>;</w:t>
      </w:r>
      <w:r w:rsidRPr="618C2149" w:rsidR="002741BF">
        <w:rPr>
          <w:rFonts w:eastAsiaTheme="minorEastAsia" w:cstheme="minorBidi"/>
        </w:rPr>
        <w:t xml:space="preserve"> </w:t>
      </w:r>
      <w:r w:rsidRPr="618C2149" w:rsidR="007465CE">
        <w:rPr>
          <w:rFonts w:eastAsiaTheme="minorEastAsia" w:cstheme="minorBidi"/>
        </w:rPr>
        <w:t>and,</w:t>
      </w:r>
    </w:p>
    <w:p w:rsidRPr="00736E5D" w:rsidR="00763FE1" w:rsidP="00142E2E" w:rsidRDefault="00EB636E" w14:paraId="6E1E733E" w14:textId="4CF04AE7">
      <w:pPr>
        <w:pStyle w:val="Standard"/>
        <w:numPr>
          <w:ilvl w:val="0"/>
          <w:numId w:val="19"/>
        </w:numPr>
        <w:spacing w:after="120" w:line="276" w:lineRule="auto"/>
        <w:ind w:left="1080" w:right="1440"/>
        <w:rPr>
          <w:rFonts w:eastAsiaTheme="minorEastAsia" w:cstheme="minorBidi"/>
        </w:rPr>
      </w:pPr>
      <w:r w:rsidRPr="618C2149">
        <w:rPr>
          <w:rFonts w:eastAsiaTheme="minorEastAsia" w:cstheme="minorBidi"/>
        </w:rPr>
        <w:t xml:space="preserve">SoCalGas </w:t>
      </w:r>
      <w:r w:rsidRPr="618C2149" w:rsidR="007465CE">
        <w:rPr>
          <w:rFonts w:eastAsiaTheme="minorEastAsia" w:cstheme="minorBidi"/>
        </w:rPr>
        <w:t xml:space="preserve">shall include </w:t>
      </w:r>
      <w:r w:rsidRPr="618C2149">
        <w:rPr>
          <w:rFonts w:eastAsiaTheme="minorEastAsia" w:cstheme="minorBidi"/>
        </w:rPr>
        <w:t xml:space="preserve">the cost of foundational programs in RSE calculations if the aggregate incremental cost </w:t>
      </w:r>
      <w:r w:rsidRPr="618C2149" w:rsidR="00792131">
        <w:rPr>
          <w:rFonts w:eastAsiaTheme="minorEastAsia" w:cstheme="minorBidi"/>
        </w:rPr>
        <w:t xml:space="preserve">over the upcoming GRC funding period </w:t>
      </w:r>
      <w:r w:rsidRPr="618C2149">
        <w:rPr>
          <w:rFonts w:eastAsiaTheme="minorEastAsia" w:cstheme="minorBidi"/>
        </w:rPr>
        <w:t>of the foundational programs supporting a portfolio of risk mitigations exceeds the lesser of $5</w:t>
      </w:r>
      <w:r w:rsidR="000611E5">
        <w:rPr>
          <w:rFonts w:eastAsiaTheme="minorEastAsia" w:cstheme="minorBidi"/>
        </w:rPr>
        <w:t> </w:t>
      </w:r>
      <w:r w:rsidRPr="618C2149">
        <w:rPr>
          <w:rFonts w:eastAsiaTheme="minorEastAsia" w:cstheme="minorBidi"/>
        </w:rPr>
        <w:t>million, or 20</w:t>
      </w:r>
      <w:r w:rsidR="000611E5">
        <w:rPr>
          <w:rFonts w:eastAsiaTheme="minorEastAsia" w:cstheme="minorBidi"/>
        </w:rPr>
        <w:t> </w:t>
      </w:r>
      <w:r w:rsidRPr="618C2149" w:rsidR="007465CE">
        <w:rPr>
          <w:rFonts w:eastAsiaTheme="minorEastAsia" w:cstheme="minorBidi"/>
        </w:rPr>
        <w:t>percent</w:t>
      </w:r>
      <w:r w:rsidRPr="618C2149">
        <w:rPr>
          <w:rFonts w:eastAsiaTheme="minorEastAsia" w:cstheme="minorBidi"/>
        </w:rPr>
        <w:t xml:space="preserve"> of the cost of the portfolio of enabled mitigations, subject to a minimum of $1</w:t>
      </w:r>
      <w:r w:rsidR="000611E5">
        <w:rPr>
          <w:rFonts w:eastAsiaTheme="minorEastAsia" w:cstheme="minorBidi"/>
        </w:rPr>
        <w:t> </w:t>
      </w:r>
      <w:r w:rsidRPr="618C2149">
        <w:rPr>
          <w:rFonts w:eastAsiaTheme="minorEastAsia" w:cstheme="minorBidi"/>
        </w:rPr>
        <w:t xml:space="preserve">million </w:t>
      </w:r>
      <w:r w:rsidRPr="618C2149" w:rsidR="35E6E2EA">
        <w:rPr>
          <w:rFonts w:eastAsiaTheme="minorEastAsia" w:cstheme="minorBidi"/>
        </w:rPr>
        <w:t>for the percentage test</w:t>
      </w:r>
      <w:r w:rsidRPr="618C2149">
        <w:rPr>
          <w:rFonts w:eastAsiaTheme="minorEastAsia" w:cstheme="minorBidi"/>
        </w:rPr>
        <w:t>.</w:t>
      </w:r>
    </w:p>
    <w:p w:rsidR="001B28E0" w:rsidP="00E866DB" w:rsidRDefault="00843703" w14:paraId="2CBE68DE" w14:textId="54263A21">
      <w:pPr>
        <w:pStyle w:val="Standard"/>
        <w:rPr>
          <w:rFonts w:eastAsiaTheme="minorHAnsi" w:cstheme="minorBidi"/>
          <w:szCs w:val="26"/>
        </w:rPr>
      </w:pPr>
      <w:r>
        <w:rPr>
          <w:rFonts w:eastAsiaTheme="minorHAnsi" w:cstheme="minorBidi"/>
          <w:szCs w:val="26"/>
        </w:rPr>
        <w:t xml:space="preserve">TURN’s </w:t>
      </w:r>
      <w:r w:rsidR="00995E12">
        <w:rPr>
          <w:rFonts w:eastAsiaTheme="minorHAnsi" w:cstheme="minorBidi"/>
          <w:szCs w:val="26"/>
        </w:rPr>
        <w:t>suggested “</w:t>
      </w:r>
      <w:r w:rsidR="00047C79">
        <w:rPr>
          <w:rFonts w:eastAsiaTheme="minorHAnsi" w:cstheme="minorBidi"/>
          <w:szCs w:val="26"/>
        </w:rPr>
        <w:t>multi-por</w:t>
      </w:r>
      <w:r w:rsidR="00C6748F">
        <w:rPr>
          <w:rFonts w:eastAsiaTheme="minorHAnsi" w:cstheme="minorBidi"/>
          <w:szCs w:val="26"/>
        </w:rPr>
        <w:t>tfolio</w:t>
      </w:r>
      <w:r w:rsidR="00995E12">
        <w:rPr>
          <w:rFonts w:eastAsiaTheme="minorHAnsi" w:cstheme="minorBidi"/>
          <w:szCs w:val="26"/>
        </w:rPr>
        <w:t>”</w:t>
      </w:r>
      <w:r w:rsidR="00C6748F">
        <w:rPr>
          <w:rFonts w:eastAsiaTheme="minorHAnsi" w:cstheme="minorBidi"/>
          <w:szCs w:val="26"/>
        </w:rPr>
        <w:t xml:space="preserve"> </w:t>
      </w:r>
      <w:r>
        <w:rPr>
          <w:rFonts w:eastAsiaTheme="minorHAnsi" w:cstheme="minorBidi"/>
          <w:szCs w:val="26"/>
        </w:rPr>
        <w:t xml:space="preserve">approach </w:t>
      </w:r>
      <w:r w:rsidR="000B2B2C">
        <w:rPr>
          <w:rFonts w:eastAsiaTheme="minorHAnsi" w:cstheme="minorBidi"/>
          <w:szCs w:val="26"/>
        </w:rPr>
        <w:t xml:space="preserve">would require the IOUs to consider every </w:t>
      </w:r>
      <w:r w:rsidR="0058727D">
        <w:rPr>
          <w:rFonts w:eastAsiaTheme="minorHAnsi" w:cstheme="minorBidi"/>
          <w:szCs w:val="26"/>
        </w:rPr>
        <w:t xml:space="preserve">possible </w:t>
      </w:r>
      <w:r w:rsidR="000B2B2C">
        <w:rPr>
          <w:rFonts w:eastAsiaTheme="minorHAnsi" w:cstheme="minorBidi"/>
          <w:szCs w:val="26"/>
        </w:rPr>
        <w:t xml:space="preserve">combination of </w:t>
      </w:r>
      <w:r w:rsidR="005546A0">
        <w:rPr>
          <w:rFonts w:eastAsiaTheme="minorHAnsi" w:cstheme="minorBidi"/>
          <w:szCs w:val="26"/>
        </w:rPr>
        <w:t>allocating</w:t>
      </w:r>
      <w:r w:rsidR="006B2D05">
        <w:rPr>
          <w:rFonts w:eastAsiaTheme="minorHAnsi" w:cstheme="minorBidi"/>
          <w:szCs w:val="26"/>
        </w:rPr>
        <w:t xml:space="preserve"> </w:t>
      </w:r>
      <w:r w:rsidR="000B2B2C">
        <w:rPr>
          <w:rFonts w:eastAsiaTheme="minorHAnsi" w:cstheme="minorBidi"/>
          <w:szCs w:val="26"/>
        </w:rPr>
        <w:t>foundational cost</w:t>
      </w:r>
      <w:r w:rsidR="006B2D05">
        <w:rPr>
          <w:rFonts w:eastAsiaTheme="minorHAnsi" w:cstheme="minorBidi"/>
          <w:szCs w:val="26"/>
        </w:rPr>
        <w:t xml:space="preserve">s to </w:t>
      </w:r>
      <w:r w:rsidR="000B2B2C">
        <w:rPr>
          <w:rFonts w:eastAsiaTheme="minorHAnsi" w:cstheme="minorBidi"/>
          <w:szCs w:val="26"/>
        </w:rPr>
        <w:t xml:space="preserve">mitigation RSEs, </w:t>
      </w:r>
      <w:r w:rsidR="006B2D05">
        <w:rPr>
          <w:rFonts w:eastAsiaTheme="minorHAnsi" w:cstheme="minorBidi"/>
          <w:szCs w:val="26"/>
        </w:rPr>
        <w:t xml:space="preserve">under the </w:t>
      </w:r>
      <w:r w:rsidR="000B2B2C">
        <w:rPr>
          <w:rFonts w:eastAsiaTheme="minorHAnsi" w:cstheme="minorBidi"/>
          <w:szCs w:val="26"/>
        </w:rPr>
        <w:t>assum</w:t>
      </w:r>
      <w:r w:rsidR="006B2D05">
        <w:rPr>
          <w:rFonts w:eastAsiaTheme="minorHAnsi" w:cstheme="minorBidi"/>
          <w:szCs w:val="26"/>
        </w:rPr>
        <w:t>ption</w:t>
      </w:r>
      <w:r w:rsidR="000B2B2C">
        <w:rPr>
          <w:rFonts w:eastAsiaTheme="minorHAnsi" w:cstheme="minorBidi"/>
          <w:szCs w:val="26"/>
        </w:rPr>
        <w:t xml:space="preserve"> that some mitigations will not be approved</w:t>
      </w:r>
      <w:r w:rsidR="0058727D">
        <w:rPr>
          <w:rFonts w:eastAsiaTheme="minorHAnsi" w:cstheme="minorBidi"/>
          <w:szCs w:val="26"/>
        </w:rPr>
        <w:t xml:space="preserve">.  </w:t>
      </w:r>
      <w:r w:rsidR="00325825">
        <w:rPr>
          <w:rFonts w:eastAsiaTheme="minorHAnsi" w:cstheme="minorBidi"/>
          <w:szCs w:val="26"/>
        </w:rPr>
        <w:t xml:space="preserve">TURN’s approach </w:t>
      </w:r>
      <w:r w:rsidR="00615670">
        <w:rPr>
          <w:rFonts w:eastAsiaTheme="minorHAnsi" w:cstheme="minorBidi"/>
          <w:szCs w:val="26"/>
        </w:rPr>
        <w:t>could</w:t>
      </w:r>
      <w:r w:rsidDel="00325825" w:rsidR="00615670">
        <w:rPr>
          <w:rFonts w:eastAsiaTheme="minorHAnsi" w:cstheme="minorBidi"/>
          <w:szCs w:val="26"/>
        </w:rPr>
        <w:t xml:space="preserve"> </w:t>
      </w:r>
      <w:r w:rsidR="00615670">
        <w:rPr>
          <w:rFonts w:eastAsiaTheme="minorHAnsi" w:cstheme="minorBidi"/>
          <w:szCs w:val="26"/>
        </w:rPr>
        <w:t xml:space="preserve">help bring clarity to </w:t>
      </w:r>
      <w:r w:rsidR="00172A7F">
        <w:rPr>
          <w:rFonts w:eastAsiaTheme="minorHAnsi" w:cstheme="minorBidi"/>
          <w:szCs w:val="26"/>
        </w:rPr>
        <w:t xml:space="preserve">this issue </w:t>
      </w:r>
      <w:r w:rsidR="00BF5D95">
        <w:rPr>
          <w:rFonts w:eastAsiaTheme="minorHAnsi" w:cstheme="minorBidi"/>
          <w:szCs w:val="26"/>
        </w:rPr>
        <w:t xml:space="preserve">as it </w:t>
      </w:r>
      <w:r>
        <w:rPr>
          <w:rFonts w:eastAsiaTheme="minorHAnsi" w:cstheme="minorBidi"/>
          <w:szCs w:val="26"/>
        </w:rPr>
        <w:t xml:space="preserve">would consider all possible outcomes of the allocation of foundational costs, including where a mitigation to which costs had been allocated is not </w:t>
      </w:r>
      <w:r w:rsidR="00763FE1">
        <w:rPr>
          <w:rFonts w:eastAsiaTheme="minorHAnsi" w:cstheme="minorBidi"/>
          <w:szCs w:val="26"/>
        </w:rPr>
        <w:t xml:space="preserve">ultimately </w:t>
      </w:r>
      <w:r>
        <w:rPr>
          <w:rFonts w:eastAsiaTheme="minorHAnsi" w:cstheme="minorBidi"/>
          <w:szCs w:val="26"/>
        </w:rPr>
        <w:t>adopted</w:t>
      </w:r>
      <w:r w:rsidR="002F250F">
        <w:rPr>
          <w:rFonts w:eastAsiaTheme="minorHAnsi" w:cstheme="minorBidi"/>
          <w:szCs w:val="26"/>
        </w:rPr>
        <w:t xml:space="preserve">.  </w:t>
      </w:r>
    </w:p>
    <w:p w:rsidR="009400B1" w:rsidP="00E866DB" w:rsidRDefault="00763FE1" w14:paraId="6D1C0A7B" w14:textId="5D4528C9">
      <w:pPr>
        <w:pStyle w:val="Standard"/>
        <w:rPr>
          <w:rFonts w:eastAsiaTheme="minorHAnsi" w:cstheme="minorBidi"/>
          <w:szCs w:val="26"/>
        </w:rPr>
      </w:pPr>
      <w:r>
        <w:rPr>
          <w:szCs w:val="26"/>
        </w:rPr>
        <w:t>As described in more detail in section 12, t</w:t>
      </w:r>
      <w:r w:rsidR="001B28E0">
        <w:rPr>
          <w:szCs w:val="26"/>
        </w:rPr>
        <w:t xml:space="preserve">his decision formalizes </w:t>
      </w:r>
      <w:r>
        <w:rPr>
          <w:szCs w:val="26"/>
        </w:rPr>
        <w:t xml:space="preserve">a </w:t>
      </w:r>
      <w:r w:rsidR="001B28E0">
        <w:rPr>
          <w:szCs w:val="26"/>
        </w:rPr>
        <w:t>Technical Working Group (TWG)</w:t>
      </w:r>
      <w:r>
        <w:rPr>
          <w:szCs w:val="26"/>
        </w:rPr>
        <w:t xml:space="preserve"> for R.20-07-013.  The TWG w</w:t>
      </w:r>
      <w:r w:rsidR="001B28E0">
        <w:rPr>
          <w:szCs w:val="26"/>
        </w:rPr>
        <w:t xml:space="preserve">ill address RDF Proceeding issues as directed here and </w:t>
      </w:r>
      <w:r w:rsidRPr="00775D74" w:rsidR="001B28E0">
        <w:rPr>
          <w:szCs w:val="26"/>
        </w:rPr>
        <w:t xml:space="preserve">in </w:t>
      </w:r>
      <w:r w:rsidRPr="00775D74" w:rsidR="005C18AE">
        <w:rPr>
          <w:szCs w:val="26"/>
        </w:rPr>
        <w:t>S</w:t>
      </w:r>
      <w:r w:rsidRPr="00775D74" w:rsidR="001B28E0">
        <w:rPr>
          <w:szCs w:val="26"/>
        </w:rPr>
        <w:t>ections</w:t>
      </w:r>
      <w:r w:rsidRPr="00FF6511" w:rsidR="001B28E0">
        <w:rPr>
          <w:szCs w:val="26"/>
        </w:rPr>
        <w:t xml:space="preserve"> </w:t>
      </w:r>
      <w:r w:rsidRPr="00767508" w:rsidR="006E5EB9">
        <w:rPr>
          <w:szCs w:val="26"/>
        </w:rPr>
        <w:t xml:space="preserve">7.3, 8.3, 9.1.4, </w:t>
      </w:r>
      <w:r w:rsidRPr="00767508" w:rsidR="00DC6DA6">
        <w:rPr>
          <w:szCs w:val="26"/>
        </w:rPr>
        <w:t>9.2.2,</w:t>
      </w:r>
      <w:r w:rsidRPr="00767508" w:rsidR="00213148">
        <w:rPr>
          <w:szCs w:val="26"/>
        </w:rPr>
        <w:t xml:space="preserve"> and 10.4.2 </w:t>
      </w:r>
      <w:r w:rsidRPr="00FF6511" w:rsidR="001B28E0">
        <w:rPr>
          <w:szCs w:val="26"/>
        </w:rPr>
        <w:lastRenderedPageBreak/>
        <w:t>of this decision.</w:t>
      </w:r>
      <w:r w:rsidRPr="00FF6511" w:rsidR="001B28E0">
        <w:rPr>
          <w:rStyle w:val="FootnoteReference"/>
          <w:szCs w:val="26"/>
        </w:rPr>
        <w:footnoteReference w:id="21"/>
      </w:r>
      <w:r w:rsidR="001B28E0">
        <w:rPr>
          <w:szCs w:val="26"/>
        </w:rPr>
        <w:t xml:space="preserve">  </w:t>
      </w:r>
      <w:r>
        <w:rPr>
          <w:rFonts w:eastAsiaTheme="minorHAnsi" w:cstheme="minorBidi"/>
          <w:szCs w:val="26"/>
        </w:rPr>
        <w:t>As part</w:t>
      </w:r>
      <w:r>
        <w:rPr>
          <w:rFonts w:eastAsiaTheme="minorHAnsi"/>
          <w:szCs w:val="26"/>
        </w:rPr>
        <w:t xml:space="preserve"> of </w:t>
      </w:r>
      <w:r>
        <w:rPr>
          <w:rFonts w:eastAsiaTheme="minorHAnsi" w:cstheme="minorBidi"/>
          <w:szCs w:val="26"/>
        </w:rPr>
        <w:t>its work, w</w:t>
      </w:r>
      <w:r w:rsidR="002F250F">
        <w:rPr>
          <w:rFonts w:eastAsiaTheme="minorHAnsi" w:cstheme="minorBidi"/>
          <w:szCs w:val="26"/>
        </w:rPr>
        <w:t>e encourage the TWG to identify potential opportunities to test TURN’s suggested approach</w:t>
      </w:r>
      <w:r w:rsidR="008741B4">
        <w:rPr>
          <w:rFonts w:eastAsiaTheme="minorHAnsi" w:cstheme="minorBidi"/>
          <w:szCs w:val="26"/>
        </w:rPr>
        <w:t xml:space="preserve"> using a small number of use-cases to understand the scope of work involved and allow for an assessment of the quality of the results</w:t>
      </w:r>
      <w:r w:rsidR="002F250F">
        <w:rPr>
          <w:rFonts w:eastAsiaTheme="minorHAnsi" w:cstheme="minorBidi"/>
          <w:szCs w:val="26"/>
        </w:rPr>
        <w:t xml:space="preserve">. </w:t>
      </w:r>
      <w:r w:rsidR="00806175">
        <w:rPr>
          <w:rFonts w:eastAsiaTheme="minorHAnsi" w:cstheme="minorBidi"/>
          <w:szCs w:val="26"/>
        </w:rPr>
        <w:t xml:space="preserve"> </w:t>
      </w:r>
    </w:p>
    <w:p w:rsidR="00C75055" w:rsidP="009400B1" w:rsidRDefault="00A3248E" w14:paraId="19330FE1" w14:textId="333FC14D">
      <w:pPr>
        <w:spacing w:line="360" w:lineRule="auto"/>
        <w:ind w:firstLine="720"/>
        <w:rPr>
          <w:rFonts w:eastAsiaTheme="minorEastAsia" w:cstheme="minorBidi"/>
          <w:szCs w:val="26"/>
        </w:rPr>
      </w:pPr>
      <w:r w:rsidRPr="1BCABE3E">
        <w:rPr>
          <w:rFonts w:eastAsiaTheme="minorEastAsia" w:cstheme="minorBidi"/>
          <w:szCs w:val="26"/>
        </w:rPr>
        <w:t xml:space="preserve">Some of the unanswered questions </w:t>
      </w:r>
      <w:r w:rsidRPr="1BCABE3E" w:rsidR="00C75055">
        <w:rPr>
          <w:rFonts w:eastAsiaTheme="minorEastAsia" w:cstheme="minorBidi"/>
          <w:szCs w:val="26"/>
        </w:rPr>
        <w:t xml:space="preserve">that could be explored </w:t>
      </w:r>
      <w:r w:rsidRPr="1BCABE3E" w:rsidR="425BDD96">
        <w:rPr>
          <w:rFonts w:eastAsiaTheme="minorEastAsia" w:cstheme="minorBidi"/>
          <w:szCs w:val="26"/>
        </w:rPr>
        <w:t xml:space="preserve">by the TWG </w:t>
      </w:r>
      <w:r w:rsidRPr="1BCABE3E" w:rsidR="00C75055">
        <w:rPr>
          <w:rFonts w:eastAsiaTheme="minorEastAsia" w:cstheme="minorBidi"/>
          <w:szCs w:val="26"/>
        </w:rPr>
        <w:t xml:space="preserve">in a test of TURN’s suggested approach </w:t>
      </w:r>
      <w:r w:rsidRPr="1BCABE3E">
        <w:rPr>
          <w:rFonts w:eastAsiaTheme="minorEastAsia" w:cstheme="minorBidi"/>
          <w:szCs w:val="26"/>
        </w:rPr>
        <w:t xml:space="preserve">include: </w:t>
      </w:r>
      <w:r w:rsidRPr="1BCABE3E" w:rsidR="00C14556">
        <w:rPr>
          <w:rFonts w:eastAsiaTheme="minorEastAsia" w:cstheme="minorBidi"/>
          <w:szCs w:val="26"/>
        </w:rPr>
        <w:t xml:space="preserve"> </w:t>
      </w:r>
    </w:p>
    <w:p w:rsidR="00C75055" w:rsidP="00142E2E" w:rsidRDefault="005603B9" w14:paraId="0171D99A" w14:textId="6ED7342F">
      <w:pPr>
        <w:pStyle w:val="ListParagraph"/>
        <w:numPr>
          <w:ilvl w:val="0"/>
          <w:numId w:val="18"/>
        </w:numPr>
        <w:spacing w:after="120" w:line="240" w:lineRule="auto"/>
        <w:ind w:left="1080" w:right="1440"/>
        <w:contextualSpacing w:val="0"/>
        <w:rPr>
          <w:rFonts w:ascii="Book Antiqua" w:hAnsi="Book Antiqua" w:eastAsiaTheme="minorHAnsi" w:cstheme="minorBidi"/>
          <w:sz w:val="26"/>
          <w:szCs w:val="26"/>
        </w:rPr>
      </w:pPr>
      <w:r w:rsidRPr="008E36E5">
        <w:rPr>
          <w:rFonts w:ascii="Book Antiqua" w:hAnsi="Book Antiqua" w:eastAsiaTheme="minorHAnsi" w:cstheme="minorBidi"/>
          <w:sz w:val="26"/>
          <w:szCs w:val="26"/>
        </w:rPr>
        <w:t>How</w:t>
      </w:r>
      <w:r w:rsidRPr="00E866DB">
        <w:rPr>
          <w:rFonts w:ascii="Book Antiqua" w:hAnsi="Book Antiqua" w:eastAsiaTheme="minorHAnsi" w:cstheme="minorBidi"/>
          <w:sz w:val="26"/>
          <w:szCs w:val="26"/>
        </w:rPr>
        <w:t xml:space="preserve"> </w:t>
      </w:r>
      <w:r w:rsidR="00C75055">
        <w:rPr>
          <w:rFonts w:ascii="Book Antiqua" w:hAnsi="Book Antiqua" w:eastAsiaTheme="minorHAnsi" w:cstheme="minorBidi"/>
          <w:sz w:val="26"/>
          <w:szCs w:val="26"/>
        </w:rPr>
        <w:t xml:space="preserve">should the IOUs </w:t>
      </w:r>
      <w:r w:rsidRPr="00047C79" w:rsidR="005A0CE1">
        <w:rPr>
          <w:rFonts w:ascii="Book Antiqua" w:hAnsi="Book Antiqua" w:eastAsiaTheme="minorHAnsi" w:cstheme="minorBidi"/>
          <w:sz w:val="26"/>
          <w:szCs w:val="26"/>
        </w:rPr>
        <w:t>apply</w:t>
      </w:r>
      <w:r w:rsidRPr="00047C79">
        <w:rPr>
          <w:rFonts w:ascii="Book Antiqua" w:hAnsi="Book Antiqua" w:eastAsiaTheme="minorHAnsi" w:cstheme="minorBidi"/>
          <w:sz w:val="26"/>
          <w:szCs w:val="26"/>
        </w:rPr>
        <w:t xml:space="preserve"> the different </w:t>
      </w:r>
      <w:r w:rsidRPr="00047C79" w:rsidR="005A0CE1">
        <w:rPr>
          <w:rFonts w:ascii="Book Antiqua" w:hAnsi="Book Antiqua" w:eastAsiaTheme="minorHAnsi" w:cstheme="minorBidi"/>
          <w:sz w:val="26"/>
          <w:szCs w:val="26"/>
        </w:rPr>
        <w:t xml:space="preserve">RSEs from the different combinations of mitigations and associated foundational activities into a </w:t>
      </w:r>
      <w:r w:rsidRPr="00047C79" w:rsidR="001C219A">
        <w:rPr>
          <w:rFonts w:ascii="Book Antiqua" w:hAnsi="Book Antiqua" w:eastAsiaTheme="minorHAnsi" w:cstheme="minorBidi"/>
          <w:sz w:val="26"/>
          <w:szCs w:val="26"/>
        </w:rPr>
        <w:t xml:space="preserve">logical </w:t>
      </w:r>
      <w:r w:rsidRPr="00047C79" w:rsidR="005A0CE1">
        <w:rPr>
          <w:rFonts w:ascii="Book Antiqua" w:hAnsi="Book Antiqua" w:eastAsiaTheme="minorHAnsi" w:cstheme="minorBidi"/>
          <w:sz w:val="26"/>
          <w:szCs w:val="26"/>
        </w:rPr>
        <w:t xml:space="preserve">decision-making framework to justify the selection of </w:t>
      </w:r>
      <w:r w:rsidRPr="00047C79" w:rsidR="001C219A">
        <w:rPr>
          <w:rFonts w:ascii="Book Antiqua" w:hAnsi="Book Antiqua" w:eastAsiaTheme="minorHAnsi" w:cstheme="minorBidi"/>
          <w:sz w:val="26"/>
          <w:szCs w:val="26"/>
        </w:rPr>
        <w:t>mitigations and foundational activities</w:t>
      </w:r>
      <w:r w:rsidRPr="00047C79" w:rsidR="00D67419">
        <w:rPr>
          <w:rFonts w:ascii="Book Antiqua" w:hAnsi="Book Antiqua" w:eastAsiaTheme="minorHAnsi" w:cstheme="minorBidi"/>
          <w:sz w:val="26"/>
          <w:szCs w:val="26"/>
        </w:rPr>
        <w:t xml:space="preserve"> presented in the RAMP applications</w:t>
      </w:r>
      <w:r w:rsidRPr="00047C79" w:rsidR="005A0CE1">
        <w:rPr>
          <w:rFonts w:ascii="Book Antiqua" w:hAnsi="Book Antiqua" w:eastAsiaTheme="minorHAnsi" w:cstheme="minorBidi"/>
          <w:sz w:val="26"/>
          <w:szCs w:val="26"/>
        </w:rPr>
        <w:t>?</w:t>
      </w:r>
    </w:p>
    <w:p w:rsidR="00C75055" w:rsidP="00142E2E" w:rsidRDefault="00521B70" w14:paraId="670F732D" w14:textId="2CF16596">
      <w:pPr>
        <w:pStyle w:val="ListParagraph"/>
        <w:numPr>
          <w:ilvl w:val="0"/>
          <w:numId w:val="18"/>
        </w:numPr>
        <w:spacing w:after="120" w:line="240" w:lineRule="auto"/>
        <w:ind w:left="1080" w:right="1440"/>
        <w:contextualSpacing w:val="0"/>
        <w:rPr>
          <w:rFonts w:ascii="Book Antiqua" w:hAnsi="Book Antiqua" w:eastAsiaTheme="minorEastAsia" w:cstheme="minorBidi"/>
          <w:sz w:val="26"/>
          <w:szCs w:val="26"/>
        </w:rPr>
      </w:pPr>
      <w:r w:rsidRPr="001B1DC7">
        <w:rPr>
          <w:rFonts w:ascii="Book Antiqua" w:hAnsi="Book Antiqua" w:eastAsiaTheme="minorHAnsi" w:cstheme="minorBidi"/>
          <w:sz w:val="26"/>
          <w:szCs w:val="26"/>
        </w:rPr>
        <w:t>How</w:t>
      </w:r>
      <w:r w:rsidRPr="618C2149">
        <w:rPr>
          <w:rFonts w:ascii="Book Antiqua" w:hAnsi="Book Antiqua" w:eastAsiaTheme="minorEastAsia" w:cstheme="minorBidi"/>
          <w:sz w:val="26"/>
          <w:szCs w:val="26"/>
        </w:rPr>
        <w:t xml:space="preserve"> </w:t>
      </w:r>
      <w:r w:rsidRPr="618C2149" w:rsidR="00C75055">
        <w:rPr>
          <w:rFonts w:ascii="Book Antiqua" w:hAnsi="Book Antiqua" w:eastAsiaTheme="minorEastAsia" w:cstheme="minorBidi"/>
          <w:sz w:val="26"/>
          <w:szCs w:val="26"/>
        </w:rPr>
        <w:t xml:space="preserve">should the IOUs </w:t>
      </w:r>
      <w:r w:rsidRPr="618C2149" w:rsidR="00355D10">
        <w:rPr>
          <w:rFonts w:ascii="Book Antiqua" w:hAnsi="Book Antiqua" w:eastAsiaTheme="minorEastAsia" w:cstheme="minorBidi"/>
          <w:sz w:val="26"/>
          <w:szCs w:val="26"/>
        </w:rPr>
        <w:t>incorporate</w:t>
      </w:r>
      <w:r w:rsidRPr="618C2149" w:rsidR="00C75055">
        <w:rPr>
          <w:rFonts w:ascii="Book Antiqua" w:hAnsi="Book Antiqua" w:eastAsiaTheme="minorEastAsia" w:cstheme="minorBidi"/>
          <w:sz w:val="26"/>
          <w:szCs w:val="26"/>
        </w:rPr>
        <w:t xml:space="preserve"> </w:t>
      </w:r>
      <w:r w:rsidRPr="618C2149" w:rsidR="00355D10">
        <w:rPr>
          <w:rFonts w:ascii="Book Antiqua" w:hAnsi="Book Antiqua" w:eastAsiaTheme="minorEastAsia" w:cstheme="minorBidi"/>
          <w:sz w:val="26"/>
          <w:szCs w:val="26"/>
        </w:rPr>
        <w:t xml:space="preserve">consideration of alternative mitigations and </w:t>
      </w:r>
      <w:r w:rsidRPr="618C2149" w:rsidR="002005DB">
        <w:rPr>
          <w:rFonts w:ascii="Book Antiqua" w:hAnsi="Book Antiqua" w:eastAsiaTheme="minorEastAsia" w:cstheme="minorBidi"/>
          <w:sz w:val="26"/>
          <w:szCs w:val="26"/>
        </w:rPr>
        <w:t>alternative foundational activities</w:t>
      </w:r>
      <w:r w:rsidRPr="618C2149" w:rsidR="00337632">
        <w:rPr>
          <w:rFonts w:ascii="Book Antiqua" w:hAnsi="Book Antiqua" w:eastAsiaTheme="minorEastAsia" w:cstheme="minorBidi"/>
          <w:sz w:val="26"/>
          <w:szCs w:val="26"/>
        </w:rPr>
        <w:t xml:space="preserve"> into </w:t>
      </w:r>
      <w:r w:rsidRPr="618C2149" w:rsidR="00DA3936">
        <w:rPr>
          <w:rFonts w:ascii="Book Antiqua" w:hAnsi="Book Antiqua" w:eastAsiaTheme="minorEastAsia" w:cstheme="minorBidi"/>
          <w:sz w:val="26"/>
          <w:szCs w:val="26"/>
        </w:rPr>
        <w:t>the decision-making framework</w:t>
      </w:r>
      <w:r w:rsidRPr="618C2149" w:rsidR="00D17B7D">
        <w:rPr>
          <w:rFonts w:ascii="Book Antiqua" w:hAnsi="Book Antiqua" w:eastAsiaTheme="minorEastAsia" w:cstheme="minorBidi"/>
          <w:sz w:val="26"/>
          <w:szCs w:val="26"/>
        </w:rPr>
        <w:t xml:space="preserve"> when foundational activities are involved</w:t>
      </w:r>
      <w:r w:rsidRPr="618C2149" w:rsidR="00DA3936">
        <w:rPr>
          <w:rFonts w:ascii="Book Antiqua" w:hAnsi="Book Antiqua" w:eastAsiaTheme="minorEastAsia" w:cstheme="minorBidi"/>
          <w:sz w:val="26"/>
          <w:szCs w:val="26"/>
        </w:rPr>
        <w:t xml:space="preserve">? </w:t>
      </w:r>
    </w:p>
    <w:p w:rsidR="0FA252F6" w:rsidP="00142E2E" w:rsidRDefault="0FA252F6" w14:paraId="2867196E" w14:textId="7B5015C2">
      <w:pPr>
        <w:pStyle w:val="ListParagraph"/>
        <w:numPr>
          <w:ilvl w:val="0"/>
          <w:numId w:val="18"/>
        </w:numPr>
        <w:spacing w:after="120" w:line="240" w:lineRule="auto"/>
        <w:ind w:left="1080" w:right="1440"/>
        <w:contextualSpacing w:val="0"/>
        <w:rPr>
          <w:sz w:val="26"/>
          <w:szCs w:val="26"/>
        </w:rPr>
      </w:pPr>
      <w:r w:rsidRPr="001B1DC7">
        <w:rPr>
          <w:rFonts w:ascii="Book Antiqua" w:hAnsi="Book Antiqua" w:eastAsiaTheme="minorHAnsi" w:cstheme="minorBidi"/>
          <w:sz w:val="26"/>
          <w:szCs w:val="26"/>
        </w:rPr>
        <w:t>Should</w:t>
      </w:r>
      <w:r w:rsidRPr="383C8B5E">
        <w:rPr>
          <w:rFonts w:ascii="Book Antiqua" w:hAnsi="Book Antiqua" w:eastAsiaTheme="minorEastAsia" w:cstheme="minorBidi"/>
          <w:sz w:val="26"/>
          <w:szCs w:val="26"/>
        </w:rPr>
        <w:t xml:space="preserve"> a </w:t>
      </w:r>
      <w:r w:rsidRPr="4F8FD95A" w:rsidR="1D70FCCA">
        <w:rPr>
          <w:rFonts w:ascii="Book Antiqua" w:hAnsi="Book Antiqua" w:eastAsiaTheme="minorEastAsia" w:cstheme="minorBidi"/>
          <w:sz w:val="26"/>
          <w:szCs w:val="26"/>
        </w:rPr>
        <w:t xml:space="preserve">reporting </w:t>
      </w:r>
      <w:r w:rsidRPr="383C8B5E">
        <w:rPr>
          <w:rFonts w:ascii="Book Antiqua" w:hAnsi="Book Antiqua" w:eastAsiaTheme="minorEastAsia" w:cstheme="minorBidi"/>
          <w:sz w:val="26"/>
          <w:szCs w:val="26"/>
        </w:rPr>
        <w:t xml:space="preserve">template </w:t>
      </w:r>
      <w:r w:rsidRPr="5F38CE10">
        <w:rPr>
          <w:rFonts w:ascii="Book Antiqua" w:hAnsi="Book Antiqua" w:eastAsiaTheme="minorEastAsia" w:cstheme="minorBidi"/>
          <w:sz w:val="26"/>
          <w:szCs w:val="26"/>
        </w:rPr>
        <w:t xml:space="preserve">be </w:t>
      </w:r>
      <w:r w:rsidRPr="08B6906E">
        <w:rPr>
          <w:rFonts w:ascii="Book Antiqua" w:hAnsi="Book Antiqua" w:eastAsiaTheme="minorEastAsia" w:cstheme="minorBidi"/>
          <w:sz w:val="26"/>
          <w:szCs w:val="26"/>
        </w:rPr>
        <w:t xml:space="preserve">developed </w:t>
      </w:r>
      <w:r w:rsidR="00161AE1">
        <w:rPr>
          <w:rFonts w:ascii="Book Antiqua" w:hAnsi="Book Antiqua" w:eastAsiaTheme="minorEastAsia" w:cstheme="minorBidi"/>
          <w:sz w:val="26"/>
          <w:szCs w:val="26"/>
        </w:rPr>
        <w:t>to ensure</w:t>
      </w:r>
      <w:r w:rsidRPr="08B6906E">
        <w:rPr>
          <w:rFonts w:ascii="Book Antiqua" w:hAnsi="Book Antiqua" w:eastAsiaTheme="minorEastAsia" w:cstheme="minorBidi"/>
          <w:sz w:val="26"/>
          <w:szCs w:val="26"/>
        </w:rPr>
        <w:t xml:space="preserve"> uniform </w:t>
      </w:r>
      <w:r w:rsidRPr="001B1DC7" w:rsidR="00174C08">
        <w:rPr>
          <w:rFonts w:ascii="Book Antiqua" w:hAnsi="Book Antiqua" w:eastAsiaTheme="minorHAnsi" w:cstheme="minorBidi"/>
          <w:sz w:val="26"/>
          <w:szCs w:val="26"/>
        </w:rPr>
        <w:t>treatment</w:t>
      </w:r>
      <w:r w:rsidR="00174C08">
        <w:rPr>
          <w:rFonts w:ascii="Book Antiqua" w:hAnsi="Book Antiqua" w:eastAsiaTheme="minorEastAsia" w:cstheme="minorBidi"/>
          <w:sz w:val="26"/>
          <w:szCs w:val="26"/>
        </w:rPr>
        <w:t xml:space="preserve"> and uniform </w:t>
      </w:r>
      <w:r w:rsidRPr="08B6906E">
        <w:rPr>
          <w:rFonts w:ascii="Book Antiqua" w:hAnsi="Book Antiqua" w:eastAsiaTheme="minorEastAsia" w:cstheme="minorBidi"/>
          <w:sz w:val="26"/>
          <w:szCs w:val="26"/>
        </w:rPr>
        <w:t xml:space="preserve">reporting </w:t>
      </w:r>
      <w:r w:rsidRPr="1F0431A3" w:rsidR="65725B3E">
        <w:rPr>
          <w:rFonts w:ascii="Book Antiqua" w:hAnsi="Book Antiqua" w:eastAsiaTheme="minorEastAsia" w:cstheme="minorBidi"/>
          <w:sz w:val="26"/>
          <w:szCs w:val="26"/>
        </w:rPr>
        <w:t>of</w:t>
      </w:r>
      <w:r w:rsidR="00174C08">
        <w:rPr>
          <w:rFonts w:ascii="Book Antiqua" w:hAnsi="Book Antiqua" w:eastAsiaTheme="minorEastAsia" w:cstheme="minorBidi"/>
          <w:sz w:val="26"/>
          <w:szCs w:val="26"/>
        </w:rPr>
        <w:t xml:space="preserve"> foundational activities and </w:t>
      </w:r>
      <w:r w:rsidR="0027750A">
        <w:rPr>
          <w:rFonts w:ascii="Book Antiqua" w:hAnsi="Book Antiqua" w:eastAsiaTheme="minorEastAsia" w:cstheme="minorBidi"/>
          <w:sz w:val="26"/>
          <w:szCs w:val="26"/>
        </w:rPr>
        <w:t xml:space="preserve">the associated </w:t>
      </w:r>
      <w:r w:rsidR="00174C08">
        <w:rPr>
          <w:rFonts w:ascii="Book Antiqua" w:hAnsi="Book Antiqua" w:eastAsiaTheme="minorEastAsia" w:cstheme="minorBidi"/>
          <w:sz w:val="26"/>
          <w:szCs w:val="26"/>
        </w:rPr>
        <w:t xml:space="preserve">RSEs? </w:t>
      </w:r>
      <w:r w:rsidRPr="1F0431A3" w:rsidR="65725B3E">
        <w:rPr>
          <w:rFonts w:ascii="Book Antiqua" w:hAnsi="Book Antiqua" w:eastAsiaTheme="minorEastAsia" w:cstheme="minorBidi"/>
          <w:sz w:val="26"/>
          <w:szCs w:val="26"/>
        </w:rPr>
        <w:t xml:space="preserve"> </w:t>
      </w:r>
    </w:p>
    <w:p w:rsidRPr="00775D74" w:rsidR="00C75055" w:rsidRDefault="00C75055" w14:paraId="1B5B39CE" w14:textId="32D07FE2">
      <w:pPr>
        <w:spacing w:line="360" w:lineRule="auto"/>
        <w:ind w:firstLine="720"/>
        <w:rPr>
          <w:rFonts w:eastAsiaTheme="minorHAnsi" w:cstheme="minorBidi"/>
        </w:rPr>
      </w:pPr>
      <w:r w:rsidRPr="00E866DB">
        <w:rPr>
          <w:rFonts w:eastAsiaTheme="minorHAnsi" w:cstheme="minorBidi"/>
          <w:szCs w:val="26"/>
        </w:rPr>
        <w:t xml:space="preserve">We do not require the IOUs to develop lists of foundational programs and activities as suggested by TURN.  The IOUs may have varying types of foundational activities depending on the risks and mitigation programs included in their respective RAMP filings, and it is important that the IOUs retain the flexibility to update the types of foundational activities they undertake as new </w:t>
      </w:r>
      <w:r w:rsidRPr="00775D74">
        <w:rPr>
          <w:rFonts w:eastAsiaTheme="minorHAnsi" w:cstheme="minorBidi"/>
          <w:szCs w:val="26"/>
        </w:rPr>
        <w:t xml:space="preserve">operational needs or circumstances arise. </w:t>
      </w:r>
      <w:r w:rsidRPr="00775D74" w:rsidR="001B1DC7">
        <w:rPr>
          <w:rFonts w:eastAsiaTheme="minorHAnsi" w:cstheme="minorBidi"/>
          <w:szCs w:val="26"/>
        </w:rPr>
        <w:t xml:space="preserve"> </w:t>
      </w:r>
      <w:r w:rsidRPr="00775D74">
        <w:rPr>
          <w:rFonts w:eastAsiaTheme="minorHAnsi" w:cstheme="minorBidi"/>
          <w:szCs w:val="26"/>
        </w:rPr>
        <w:t>A formal list would hinder that ability.</w:t>
      </w:r>
    </w:p>
    <w:p w:rsidR="00602CB8" w:rsidP="00602CB8" w:rsidRDefault="001638F6" w14:paraId="40DBD38A" w14:textId="51867EFC">
      <w:pPr>
        <w:pStyle w:val="Heading1"/>
      </w:pPr>
      <w:bookmarkStart w:name="_Toc80890854" w:id="39"/>
      <w:bookmarkStart w:name="_Toc87361154" w:id="40"/>
      <w:r w:rsidRPr="00775D74">
        <w:lastRenderedPageBreak/>
        <w:t>7.</w:t>
      </w:r>
      <w:r w:rsidRPr="00775D74">
        <w:tab/>
      </w:r>
      <w:r w:rsidRPr="00775D74" w:rsidR="001B5837">
        <w:t xml:space="preserve">Requiring </w:t>
      </w:r>
      <w:r w:rsidRPr="00775D74" w:rsidR="00A95544">
        <w:t xml:space="preserve">Modeling of </w:t>
      </w:r>
      <w:r w:rsidRPr="00775D74" w:rsidR="00602CB8">
        <w:t>PSPS Events</w:t>
      </w:r>
      <w:bookmarkEnd w:id="39"/>
      <w:r w:rsidRPr="00775D74" w:rsidR="00A95544">
        <w:t xml:space="preserve"> </w:t>
      </w:r>
      <w:r w:rsidRPr="00775D74" w:rsidR="005C18AE">
        <w:br/>
      </w:r>
      <w:r w:rsidRPr="00775D74" w:rsidR="00A95544">
        <w:t>as</w:t>
      </w:r>
      <w:r w:rsidRPr="00775D74" w:rsidR="005C18AE">
        <w:t xml:space="preserve"> </w:t>
      </w:r>
      <w:r w:rsidRPr="00775D74" w:rsidR="00A95544">
        <w:t>Risk Events</w:t>
      </w:r>
      <w:bookmarkEnd w:id="40"/>
    </w:p>
    <w:p w:rsidR="00D02DF1" w:rsidP="004F4A56" w:rsidRDefault="00D02DF1" w14:paraId="36BCE3B7" w14:textId="20E780D2">
      <w:pPr>
        <w:pStyle w:val="Standard"/>
      </w:pPr>
      <w:r w:rsidRPr="00D02DF1">
        <w:t xml:space="preserve">The Scoping Memo asks </w:t>
      </w:r>
      <w:r w:rsidR="006E26FF">
        <w:t>h</w:t>
      </w:r>
      <w:r w:rsidRPr="00D02DF1">
        <w:t xml:space="preserve">ow PSPS events and other utility activities with high customer impacts </w:t>
      </w:r>
      <w:r w:rsidR="006E26FF">
        <w:t xml:space="preserve">should </w:t>
      </w:r>
      <w:r w:rsidRPr="00D02DF1">
        <w:t>be treated in the RDF</w:t>
      </w:r>
      <w:r w:rsidR="00640E6D">
        <w:t>.</w:t>
      </w:r>
      <w:r w:rsidRPr="00C962CC">
        <w:rPr>
          <w:bCs/>
          <w:vertAlign w:val="superscript"/>
        </w:rPr>
        <w:footnoteReference w:id="22"/>
      </w:r>
      <w:r w:rsidRPr="00D02DF1">
        <w:rPr>
          <w:iCs/>
        </w:rPr>
        <w:t xml:space="preserve"> </w:t>
      </w:r>
      <w:r w:rsidR="007D4523">
        <w:rPr>
          <w:iCs/>
        </w:rPr>
        <w:t xml:space="preserve"> </w:t>
      </w:r>
      <w:r w:rsidR="00CB772D">
        <w:rPr>
          <w:iCs/>
        </w:rPr>
        <w:t xml:space="preserve">Our consideration of whether </w:t>
      </w:r>
      <w:r w:rsidR="00B36A07">
        <w:rPr>
          <w:iCs/>
        </w:rPr>
        <w:t xml:space="preserve">and to what extent PSPS </w:t>
      </w:r>
      <w:r w:rsidR="00640E6D">
        <w:rPr>
          <w:iCs/>
        </w:rPr>
        <w:t xml:space="preserve">events </w:t>
      </w:r>
      <w:r w:rsidR="00B36A07">
        <w:rPr>
          <w:iCs/>
        </w:rPr>
        <w:t xml:space="preserve">should </w:t>
      </w:r>
      <w:r w:rsidR="00F64AC7">
        <w:rPr>
          <w:iCs/>
        </w:rPr>
        <w:t xml:space="preserve">be addressed </w:t>
      </w:r>
      <w:r w:rsidR="00640E6D">
        <w:rPr>
          <w:iCs/>
        </w:rPr>
        <w:t xml:space="preserve">in this proceeding </w:t>
      </w:r>
      <w:r w:rsidR="00791204">
        <w:rPr>
          <w:iCs/>
        </w:rPr>
        <w:t xml:space="preserve">takes into account that </w:t>
      </w:r>
      <w:r w:rsidR="00CE656B">
        <w:rPr>
          <w:iCs/>
        </w:rPr>
        <w:t>t</w:t>
      </w:r>
      <w:r w:rsidR="000A0773">
        <w:rPr>
          <w:iCs/>
        </w:rPr>
        <w:t>he Commission provides g</w:t>
      </w:r>
      <w:r w:rsidR="007D4523">
        <w:rPr>
          <w:iCs/>
        </w:rPr>
        <w:t xml:space="preserve">uidance on PSPS events </w:t>
      </w:r>
      <w:r w:rsidR="007F23BF">
        <w:rPr>
          <w:iCs/>
        </w:rPr>
        <w:t>in two</w:t>
      </w:r>
      <w:r w:rsidR="00426FB2">
        <w:rPr>
          <w:iCs/>
        </w:rPr>
        <w:t> </w:t>
      </w:r>
      <w:r w:rsidR="007F23BF">
        <w:rPr>
          <w:iCs/>
        </w:rPr>
        <w:t xml:space="preserve">other </w:t>
      </w:r>
      <w:r w:rsidR="00640E6D">
        <w:rPr>
          <w:iCs/>
        </w:rPr>
        <w:t>rulemaking proceedings</w:t>
      </w:r>
      <w:r w:rsidR="00CF1996">
        <w:rPr>
          <w:iCs/>
        </w:rPr>
        <w:t xml:space="preserve">.  </w:t>
      </w:r>
    </w:p>
    <w:p w:rsidR="0097754F" w:rsidP="004F4A56" w:rsidRDefault="000230C5" w14:paraId="530F6B4A" w14:textId="58C54FBD">
      <w:pPr>
        <w:pStyle w:val="Standard"/>
      </w:pPr>
      <w:r>
        <w:t>Wildfire Mitigation Plans (WMPs) required in</w:t>
      </w:r>
      <w:r w:rsidR="0097754F">
        <w:t xml:space="preserve"> Section </w:t>
      </w:r>
      <w:r w:rsidRPr="005C6636" w:rsidR="00A81261">
        <w:t>838</w:t>
      </w:r>
      <w:r w:rsidRPr="00E866DB" w:rsidR="004A63C6">
        <w:t>6</w:t>
      </w:r>
      <w:r w:rsidR="0097754F">
        <w:t xml:space="preserve"> </w:t>
      </w:r>
      <w:r w:rsidR="00D66C98">
        <w:t xml:space="preserve">are </w:t>
      </w:r>
      <w:r w:rsidR="0097754F">
        <w:t xml:space="preserve">considered </w:t>
      </w:r>
      <w:r w:rsidR="003D1A72">
        <w:t xml:space="preserve">by </w:t>
      </w:r>
      <w:r w:rsidR="0097754F">
        <w:t xml:space="preserve">the Commission in </w:t>
      </w:r>
      <w:r>
        <w:t>R.18-10-007</w:t>
      </w:r>
      <w:r w:rsidR="00D66C98">
        <w:t>.</w:t>
      </w:r>
      <w:r>
        <w:t xml:space="preserve"> </w:t>
      </w:r>
      <w:r w:rsidR="001B1DC7">
        <w:t xml:space="preserve"> </w:t>
      </w:r>
      <w:r w:rsidR="00D66C98">
        <w:t>T</w:t>
      </w:r>
      <w:r>
        <w:t xml:space="preserve">he </w:t>
      </w:r>
      <w:r w:rsidR="00E44D39">
        <w:t xml:space="preserve">Office of Energy Infrastructure Safety </w:t>
      </w:r>
      <w:r w:rsidR="002C3B35">
        <w:t>(</w:t>
      </w:r>
      <w:r w:rsidR="00E44D39">
        <w:t>OEIS)</w:t>
      </w:r>
      <w:r w:rsidRPr="00D02DF1" w:rsidR="00D02DF1">
        <w:t xml:space="preserve"> </w:t>
      </w:r>
      <w:r w:rsidR="0087141C">
        <w:t xml:space="preserve">WMP </w:t>
      </w:r>
      <w:r w:rsidRPr="00D02DF1" w:rsidR="00D02DF1">
        <w:t>Guid</w:t>
      </w:r>
      <w:r w:rsidR="0087141C">
        <w:t>elines</w:t>
      </w:r>
      <w:r w:rsidRPr="00D02DF1" w:rsidR="00D02DF1">
        <w:t xml:space="preserve"> requir</w:t>
      </w:r>
      <w:r w:rsidR="0087141C">
        <w:t>e</w:t>
      </w:r>
      <w:r w:rsidRPr="00D02DF1" w:rsidR="00D02DF1">
        <w:t xml:space="preserve"> that utilities detail the methodology they use to model risks and impacts associated with PSPS events</w:t>
      </w:r>
      <w:r w:rsidR="00464A55">
        <w:t>.</w:t>
      </w:r>
      <w:r w:rsidR="00FB464C">
        <w:rPr>
          <w:rStyle w:val="FootnoteReference"/>
        </w:rPr>
        <w:footnoteReference w:id="23"/>
      </w:r>
      <w:r w:rsidR="00464A55">
        <w:t xml:space="preserve">  The OEIS </w:t>
      </w:r>
      <w:r w:rsidR="00A5469E">
        <w:t xml:space="preserve">WMP </w:t>
      </w:r>
      <w:r w:rsidR="00464A55">
        <w:t>Guid</w:t>
      </w:r>
      <w:r w:rsidR="0087141C">
        <w:t>elines</w:t>
      </w:r>
      <w:r w:rsidR="00464A55">
        <w:t xml:space="preserve"> require utilities to </w:t>
      </w:r>
      <w:r w:rsidRPr="00D02DF1" w:rsidR="00D02DF1">
        <w:t>“</w:t>
      </w:r>
      <w:r w:rsidR="00464A55">
        <w:t>include[e]</w:t>
      </w:r>
      <w:r w:rsidRPr="00D02DF1" w:rsidR="00D02DF1">
        <w:t xml:space="preserve"> a list of all inputs used in impact simulation; data selection and treatment methodologies; assumptions, including SME input; equation(s), functions, or other algorithms used to obtain output; output type(s), </w:t>
      </w:r>
      <w:r w:rsidRPr="001B1DC7" w:rsidR="00D02DF1">
        <w:rPr>
          <w:i/>
          <w:iCs/>
        </w:rPr>
        <w:t>e.g</w:t>
      </w:r>
      <w:r w:rsidRPr="00D02DF1" w:rsidR="00D02DF1">
        <w:t>., wind speed model; and comments.</w:t>
      </w:r>
      <w:r w:rsidR="00464A55">
        <w:t>”</w:t>
      </w:r>
      <w:r w:rsidR="00D02DF1">
        <w:rPr>
          <w:rStyle w:val="FootnoteReference"/>
        </w:rPr>
        <w:footnoteReference w:id="24"/>
      </w:r>
      <w:r w:rsidRPr="00464A55" w:rsidR="00464A55">
        <w:t xml:space="preserve"> </w:t>
      </w:r>
      <w:r w:rsidR="00464A55">
        <w:t xml:space="preserve"> </w:t>
      </w:r>
      <w:r w:rsidR="007841E7">
        <w:t>The</w:t>
      </w:r>
      <w:r w:rsidRPr="00D02DF1" w:rsidR="00D02DF1">
        <w:t xml:space="preserve"> </w:t>
      </w:r>
      <w:r w:rsidR="00464A55">
        <w:t>OEIS</w:t>
      </w:r>
      <w:r w:rsidRPr="00D02DF1" w:rsidR="00D02DF1">
        <w:t xml:space="preserve"> </w:t>
      </w:r>
      <w:r w:rsidR="00A5469E">
        <w:t xml:space="preserve">WMP </w:t>
      </w:r>
      <w:r w:rsidR="0087141C">
        <w:t>G</w:t>
      </w:r>
      <w:r w:rsidRPr="00D02DF1" w:rsidR="00D02DF1">
        <w:t>uidelines</w:t>
      </w:r>
      <w:r w:rsidR="00464A55">
        <w:t xml:space="preserve"> </w:t>
      </w:r>
      <w:r w:rsidR="00275279">
        <w:t>ensure</w:t>
      </w:r>
      <w:r w:rsidRPr="00D02DF1" w:rsidR="00D02DF1">
        <w:t xml:space="preserve"> transparency </w:t>
      </w:r>
      <w:r w:rsidR="00464A55">
        <w:t xml:space="preserve">but </w:t>
      </w:r>
      <w:r w:rsidR="00CE656B">
        <w:t xml:space="preserve">do </w:t>
      </w:r>
      <w:r w:rsidR="00464A55">
        <w:t xml:space="preserve">not </w:t>
      </w:r>
      <w:r w:rsidR="00CE656B">
        <w:t xml:space="preserve">require </w:t>
      </w:r>
      <w:r w:rsidR="00B51214">
        <w:t xml:space="preserve">the utilities to use </w:t>
      </w:r>
      <w:r w:rsidR="00464A55">
        <w:t xml:space="preserve">a specific methodology </w:t>
      </w:r>
      <w:r w:rsidR="00B51214">
        <w:t xml:space="preserve">to </w:t>
      </w:r>
      <w:r w:rsidR="00464A55">
        <w:t>model PSPS</w:t>
      </w:r>
      <w:r w:rsidRPr="00D02DF1" w:rsidR="00D02DF1">
        <w:t xml:space="preserve"> risks. </w:t>
      </w:r>
      <w:r w:rsidR="00464A55">
        <w:t xml:space="preserve"> The OEIS </w:t>
      </w:r>
      <w:r w:rsidR="0087141C">
        <w:t>WMP G</w:t>
      </w:r>
      <w:r w:rsidR="00464A55">
        <w:t xml:space="preserve">uidelines </w:t>
      </w:r>
      <w:r w:rsidR="00027669">
        <w:t>also require u</w:t>
      </w:r>
      <w:r w:rsidRPr="00D02DF1" w:rsidR="00D02DF1">
        <w:t xml:space="preserve">tilities </w:t>
      </w:r>
      <w:r w:rsidR="00027669">
        <w:t xml:space="preserve">to </w:t>
      </w:r>
      <w:r w:rsidRPr="00D02DF1" w:rsidR="00D02DF1">
        <w:t>show how they plan to reduce the probability and impact of PSPS events on the public.</w:t>
      </w:r>
      <w:r w:rsidRPr="00D02DF1" w:rsidDel="005D423D" w:rsidR="00D02DF1">
        <w:t xml:space="preserve"> </w:t>
      </w:r>
      <w:r w:rsidRPr="00D02DF1" w:rsidR="00D02DF1">
        <w:t xml:space="preserve"> </w:t>
      </w:r>
    </w:p>
    <w:p w:rsidR="00464A55" w:rsidP="004F4A56" w:rsidRDefault="0097754F" w14:paraId="10550403" w14:textId="49485F73">
      <w:pPr>
        <w:pStyle w:val="Standard"/>
      </w:pPr>
      <w:r>
        <w:t>I</w:t>
      </w:r>
      <w:r w:rsidR="00027669">
        <w:t xml:space="preserve">n R.18-12-005 </w:t>
      </w:r>
      <w:r w:rsidRPr="005C54C7" w:rsidR="00027669">
        <w:rPr>
          <w:i/>
          <w:iCs/>
        </w:rPr>
        <w:t>Order Instituting Rulemaking to Examine Electric Utility De</w:t>
      </w:r>
      <w:r w:rsidR="00426FB2">
        <w:rPr>
          <w:i/>
          <w:iCs/>
        </w:rPr>
        <w:noBreakHyphen/>
      </w:r>
      <w:r w:rsidRPr="005C54C7" w:rsidR="00027669">
        <w:rPr>
          <w:i/>
          <w:iCs/>
        </w:rPr>
        <w:t>Energization of Po</w:t>
      </w:r>
      <w:r w:rsidR="00027669">
        <w:rPr>
          <w:i/>
          <w:iCs/>
        </w:rPr>
        <w:t>w</w:t>
      </w:r>
      <w:r w:rsidRPr="005C54C7" w:rsidR="00027669">
        <w:rPr>
          <w:i/>
          <w:iCs/>
        </w:rPr>
        <w:t>er Lines in Dangerous Conditions</w:t>
      </w:r>
      <w:r w:rsidR="00027669">
        <w:rPr>
          <w:i/>
          <w:iCs/>
        </w:rPr>
        <w:t xml:space="preserve">, </w:t>
      </w:r>
      <w:r w:rsidR="00027669">
        <w:t>the</w:t>
      </w:r>
      <w:r w:rsidRPr="00464A55" w:rsidR="00027669">
        <w:t xml:space="preserve"> </w:t>
      </w:r>
      <w:r w:rsidRPr="00464A55" w:rsidR="00464A55">
        <w:t xml:space="preserve">Commission </w:t>
      </w:r>
      <w:r w:rsidR="00673D98">
        <w:t>adopted a series of decision</w:t>
      </w:r>
      <w:r w:rsidR="1657238E">
        <w:t>s</w:t>
      </w:r>
      <w:r w:rsidR="00673D98">
        <w:t xml:space="preserve"> implementing </w:t>
      </w:r>
      <w:r w:rsidRPr="00464A55" w:rsidR="00464A55">
        <w:t>PSPS</w:t>
      </w:r>
      <w:r w:rsidR="00464A55">
        <w:t xml:space="preserve"> </w:t>
      </w:r>
      <w:r w:rsidR="009C76EC">
        <w:t xml:space="preserve">Guidelines </w:t>
      </w:r>
      <w:r w:rsidR="008A0528">
        <w:t xml:space="preserve">and the proceeding remains open to consider </w:t>
      </w:r>
      <w:r w:rsidR="00464A55">
        <w:t>the potential development of additional or modified guidelines.</w:t>
      </w:r>
      <w:r w:rsidRPr="00464A55" w:rsidR="00464A55">
        <w:t xml:space="preserve"> </w:t>
      </w:r>
      <w:r>
        <w:t xml:space="preserve"> </w:t>
      </w:r>
    </w:p>
    <w:p w:rsidR="000A0773" w:rsidP="000A0773" w:rsidRDefault="001638F6" w14:paraId="6BA94185" w14:textId="62680110">
      <w:pPr>
        <w:pStyle w:val="Heading2"/>
      </w:pPr>
      <w:bookmarkStart w:name="_Toc80890855" w:id="41"/>
      <w:bookmarkStart w:name="_Toc87361155" w:id="42"/>
      <w:r>
        <w:lastRenderedPageBreak/>
        <w:t>7.1</w:t>
      </w:r>
      <w:r>
        <w:tab/>
      </w:r>
      <w:r w:rsidR="000A0773">
        <w:t>Staff Proposal</w:t>
      </w:r>
      <w:bookmarkEnd w:id="41"/>
      <w:bookmarkEnd w:id="42"/>
    </w:p>
    <w:p w:rsidR="005713A1" w:rsidP="004F4A56" w:rsidRDefault="0097754F" w14:paraId="53ECC803" w14:textId="210DB90A">
      <w:pPr>
        <w:pStyle w:val="Standard"/>
      </w:pPr>
      <w:r>
        <w:t xml:space="preserve">When </w:t>
      </w:r>
      <w:r w:rsidR="00265990">
        <w:t xml:space="preserve">considering </w:t>
      </w:r>
      <w:r w:rsidR="00AA67EF">
        <w:t>whether and how the Commission should provide guidance on treatment of PSPS events in the RDF</w:t>
      </w:r>
      <w:r w:rsidR="00265990">
        <w:t xml:space="preserve">, Staff closely examined </w:t>
      </w:r>
      <w:r w:rsidR="00A01B6B">
        <w:t>SDG&amp;E’s 2021 WMP and RAMP filings.</w:t>
      </w:r>
      <w:r w:rsidR="00065525">
        <w:t xml:space="preserve">  </w:t>
      </w:r>
      <w:r w:rsidRPr="00AA67EF" w:rsidR="00AA67EF">
        <w:t xml:space="preserve">SDG&amp;E’s </w:t>
      </w:r>
      <w:r w:rsidR="00065525">
        <w:t xml:space="preserve">2021 WMP </w:t>
      </w:r>
      <w:r w:rsidRPr="00AA67EF" w:rsidR="00AA67EF">
        <w:t xml:space="preserve">risk assessment includes separate risk scores for both wildfire risk and PSPS </w:t>
      </w:r>
      <w:r w:rsidRPr="00426FB2" w:rsidR="00AA67EF">
        <w:t>impacts.</w:t>
      </w:r>
      <w:r w:rsidRPr="00426FB2" w:rsidR="00AA67EF">
        <w:rPr>
          <w:vertAlign w:val="superscript"/>
        </w:rPr>
        <w:footnoteReference w:id="25"/>
      </w:r>
      <w:r w:rsidRPr="00426FB2" w:rsidR="00AA67EF">
        <w:t xml:space="preserve"> </w:t>
      </w:r>
      <w:r w:rsidRPr="00426FB2" w:rsidR="004E1583">
        <w:t xml:space="preserve"> </w:t>
      </w:r>
      <w:r w:rsidRPr="00426FB2" w:rsidR="00AA67EF">
        <w:t>SDG</w:t>
      </w:r>
      <w:r w:rsidRPr="00AA67EF" w:rsidR="00AA67EF">
        <w:t xml:space="preserve">&amp;E’s </w:t>
      </w:r>
      <w:r w:rsidR="004E1583">
        <w:t xml:space="preserve">2021 </w:t>
      </w:r>
      <w:r w:rsidRPr="00AA67EF" w:rsidR="00AA67EF">
        <w:t>RAMP</w:t>
      </w:r>
      <w:r w:rsidR="004E1583">
        <w:t xml:space="preserve"> </w:t>
      </w:r>
      <w:r w:rsidRPr="00AA67EF" w:rsidR="00AA67EF">
        <w:t>models PSPS as a risk impacting the overall total wildfire risk score, as well as a mitigation to wildfire risk.</w:t>
      </w:r>
      <w:r w:rsidRPr="00AA67EF" w:rsidR="00AA67EF">
        <w:rPr>
          <w:b/>
          <w:vertAlign w:val="superscript"/>
        </w:rPr>
        <w:footnoteReference w:id="26"/>
      </w:r>
      <w:r w:rsidRPr="00AA67EF" w:rsidR="00AA67EF">
        <w:t xml:space="preserve">  </w:t>
      </w:r>
    </w:p>
    <w:p w:rsidR="00D02DF1" w:rsidP="004F4A56" w:rsidRDefault="00D02DF1" w14:paraId="19FA3E0B" w14:textId="12B1B22C">
      <w:pPr>
        <w:pStyle w:val="Standard"/>
      </w:pPr>
      <w:r w:rsidRPr="00D02DF1">
        <w:t xml:space="preserve">Staff recommends that </w:t>
      </w:r>
      <w:r w:rsidR="00400E9F">
        <w:t xml:space="preserve">the </w:t>
      </w:r>
      <w:r w:rsidRPr="00D02DF1">
        <w:t xml:space="preserve">IOUs </w:t>
      </w:r>
      <w:r w:rsidR="00400E9F">
        <w:t xml:space="preserve">be required to </w:t>
      </w:r>
      <w:r w:rsidR="00093130">
        <w:t xml:space="preserve">assess </w:t>
      </w:r>
      <w:r w:rsidRPr="00D02DF1">
        <w:t xml:space="preserve">impacts and risks associated with PSPS events in their RAMP filings. </w:t>
      </w:r>
      <w:r w:rsidR="0012300D">
        <w:t xml:space="preserve"> </w:t>
      </w:r>
      <w:r w:rsidRPr="00D02DF1">
        <w:t xml:space="preserve">This is consistent with ongoing Commission proceedings that address and </w:t>
      </w:r>
      <w:r w:rsidRPr="00D02DF1" w:rsidDel="7957C692">
        <w:t>acknowledge the</w:t>
      </w:r>
      <w:r w:rsidRPr="00D02DF1">
        <w:t xml:space="preserve"> safety risks and impacts associated with PSPS events and would</w:t>
      </w:r>
      <w:r w:rsidRPr="00D02DF1" w:rsidDel="00A54964">
        <w:t xml:space="preserve"> </w:t>
      </w:r>
      <w:r w:rsidRPr="00D02DF1">
        <w:t>further Commission requirements that utilities identify the safety risks and impacts associated with PSPS events.</w:t>
      </w:r>
      <w:r w:rsidR="0027422C">
        <w:t xml:space="preserve">  However, Staff also recommend the Commission defer providing any additional specific guidance on treatment of PSPS events </w:t>
      </w:r>
      <w:r w:rsidR="00AA475B">
        <w:t>until Phase II of this proceeding</w:t>
      </w:r>
      <w:r w:rsidR="00EE63BA">
        <w:t xml:space="preserve">, stating that additional review of utility methodologies to model PSPS events in WMPs and RAMPs is necessary. </w:t>
      </w:r>
    </w:p>
    <w:p w:rsidR="00097282" w:rsidP="00142E2E" w:rsidRDefault="00097282" w14:paraId="666156DB" w14:textId="75D37877">
      <w:pPr>
        <w:pStyle w:val="Heading2"/>
        <w:numPr>
          <w:ilvl w:val="1"/>
          <w:numId w:val="12"/>
        </w:numPr>
      </w:pPr>
      <w:bookmarkStart w:name="_Toc80890856" w:id="43"/>
      <w:bookmarkStart w:name="_Toc87361156" w:id="44"/>
      <w:r>
        <w:t>Party Comments</w:t>
      </w:r>
      <w:bookmarkEnd w:id="43"/>
      <w:bookmarkEnd w:id="44"/>
    </w:p>
    <w:p w:rsidR="00524F06" w:rsidP="005B0979" w:rsidRDefault="00524F06" w14:paraId="3B2FA500" w14:textId="4B082A7B">
      <w:pPr>
        <w:pStyle w:val="Standard"/>
      </w:pPr>
      <w:r w:rsidRPr="00524F06">
        <w:t>In opening and reply comments</w:t>
      </w:r>
      <w:r>
        <w:t>,</w:t>
      </w:r>
      <w:r w:rsidRPr="00524F06">
        <w:t xml:space="preserve"> parties generally agreed that it would be premature to include any prescriptive requirements </w:t>
      </w:r>
      <w:r w:rsidR="00F113BE">
        <w:t xml:space="preserve">in this </w:t>
      </w:r>
      <w:r w:rsidRPr="00524F06">
        <w:t>decision</w:t>
      </w:r>
      <w:r w:rsidRPr="00775D74">
        <w:t xml:space="preserve">. </w:t>
      </w:r>
      <w:r w:rsidRPr="00775D74" w:rsidR="00DE4D42">
        <w:t xml:space="preserve"> </w:t>
      </w:r>
      <w:r w:rsidRPr="00775D74">
        <w:t>Ho</w:t>
      </w:r>
      <w:r w:rsidRPr="00524F06">
        <w:t>wever, they had varied suggestions for next steps on policy and process</w:t>
      </w:r>
      <w:r>
        <w:t>.</w:t>
      </w:r>
    </w:p>
    <w:p w:rsidR="00166684" w:rsidP="005B0979" w:rsidRDefault="00166684" w14:paraId="520B8FD9" w14:textId="1D602DD6">
      <w:pPr>
        <w:pStyle w:val="Standard"/>
      </w:pPr>
      <w:r w:rsidRPr="00DA23D3">
        <w:t xml:space="preserve">Cal Advocates states that the Track 1 working group should begin the process of identifying approaches to assessing PSPS customer harms now and Phase II of the proceeding should adopt an approach for how the </w:t>
      </w:r>
      <w:r>
        <w:t>utili</w:t>
      </w:r>
      <w:r w:rsidR="1EF313BD">
        <w:t>ti</w:t>
      </w:r>
      <w:r>
        <w:t>es</w:t>
      </w:r>
      <w:r w:rsidRPr="00DA23D3">
        <w:t xml:space="preserve"> should </w:t>
      </w:r>
      <w:r w:rsidRPr="00DA23D3">
        <w:lastRenderedPageBreak/>
        <w:t xml:space="preserve">assess </w:t>
      </w:r>
      <w:r w:rsidRPr="00DA23D3" w:rsidR="002F235A">
        <w:t xml:space="preserve">the </w:t>
      </w:r>
      <w:r w:rsidRPr="00DA23D3">
        <w:t xml:space="preserve">safety, financial, and economic harms </w:t>
      </w:r>
      <w:r w:rsidRPr="00DA23D3" w:rsidR="002F235A">
        <w:t>from PSPS events so that these can</w:t>
      </w:r>
      <w:r w:rsidRPr="00DA23D3">
        <w:t xml:space="preserve"> be incorporated into future utility RAMP filings. </w:t>
      </w:r>
      <w:r w:rsidRPr="00DA23D3" w:rsidR="008B77D7">
        <w:t xml:space="preserve"> SCE asserts that operational decision making about </w:t>
      </w:r>
      <w:r w:rsidRPr="00DA23D3" w:rsidR="008C4DE7">
        <w:t xml:space="preserve">use of </w:t>
      </w:r>
      <w:r w:rsidRPr="00DA23D3" w:rsidR="008B77D7">
        <w:t xml:space="preserve">PSPS </w:t>
      </w:r>
      <w:r w:rsidRPr="00DA23D3" w:rsidR="008C4DE7">
        <w:t>events is outside the scope of this proceeding</w:t>
      </w:r>
      <w:r w:rsidR="008C4DE7">
        <w:t>,</w:t>
      </w:r>
      <w:r w:rsidRPr="00DA23D3" w:rsidR="008C4DE7">
        <w:t xml:space="preserve"> but that</w:t>
      </w:r>
      <w:r w:rsidRPr="00DA23D3" w:rsidR="008B77D7">
        <w:t xml:space="preserve"> Phase II could consider PSPS </w:t>
      </w:r>
      <w:r w:rsidR="00400E9F">
        <w:t xml:space="preserve">risks </w:t>
      </w:r>
      <w:r w:rsidRPr="00DA23D3" w:rsidR="008B77D7">
        <w:t>v</w:t>
      </w:r>
      <w:r w:rsidRPr="00DA23D3" w:rsidR="008C4DE7">
        <w:t>ersus</w:t>
      </w:r>
      <w:r w:rsidRPr="00DA23D3" w:rsidR="008B77D7">
        <w:t xml:space="preserve"> wildfire risk</w:t>
      </w:r>
      <w:r w:rsidR="00400E9F">
        <w:t>s</w:t>
      </w:r>
      <w:r w:rsidRPr="00DA23D3" w:rsidR="008B77D7">
        <w:t>.</w:t>
      </w:r>
    </w:p>
    <w:p w:rsidRPr="00097282" w:rsidR="00097282" w:rsidP="00DA23D3" w:rsidRDefault="008C4DE7" w14:paraId="1943C5CD" w14:textId="3CAC2EB6">
      <w:pPr>
        <w:pStyle w:val="Standard"/>
      </w:pPr>
      <w:r>
        <w:t xml:space="preserve">MGRA </w:t>
      </w:r>
      <w:r w:rsidR="00763BA0">
        <w:t xml:space="preserve">asserts that </w:t>
      </w:r>
      <w:r w:rsidR="00ED59E1">
        <w:t xml:space="preserve">data on PSPS events may become less available </w:t>
      </w:r>
      <w:r w:rsidR="00E45BC7">
        <w:t xml:space="preserve">as a result of </w:t>
      </w:r>
      <w:r w:rsidR="0083060E">
        <w:t xml:space="preserve">the PSPS Guidelines adopted in </w:t>
      </w:r>
      <w:r w:rsidR="00E45BC7">
        <w:rPr>
          <w:szCs w:val="26"/>
        </w:rPr>
        <w:t>D.21-</w:t>
      </w:r>
      <w:r w:rsidR="000B2F50">
        <w:rPr>
          <w:iCs/>
          <w:szCs w:val="26"/>
        </w:rPr>
        <w:t>06-034</w:t>
      </w:r>
      <w:r w:rsidR="007F41F9">
        <w:rPr>
          <w:rStyle w:val="FootnoteReference"/>
          <w:iCs/>
          <w:szCs w:val="26"/>
        </w:rPr>
        <w:footnoteReference w:id="27"/>
      </w:r>
      <w:r w:rsidR="004D371D">
        <w:t xml:space="preserve">, thus </w:t>
      </w:r>
      <w:r w:rsidR="00252157">
        <w:t xml:space="preserve">the Commission should undertake a </w:t>
      </w:r>
      <w:r w:rsidRPr="00252157" w:rsidR="00252157">
        <w:t xml:space="preserve">more thorough vetting of </w:t>
      </w:r>
      <w:r w:rsidR="001C3E2D">
        <w:t xml:space="preserve">PSPS guidelines </w:t>
      </w:r>
      <w:r w:rsidRPr="00252157" w:rsidR="00252157">
        <w:t>and metrics in th</w:t>
      </w:r>
      <w:r w:rsidR="00252157">
        <w:t xml:space="preserve">is and </w:t>
      </w:r>
      <w:r w:rsidRPr="00252157" w:rsidR="00252157">
        <w:t>RAMP proc</w:t>
      </w:r>
      <w:r w:rsidR="00252157">
        <w:t>eedings.</w:t>
      </w:r>
      <w:r w:rsidR="00ED59E1">
        <w:t xml:space="preserve"> </w:t>
      </w:r>
      <w:r w:rsidR="005B0979">
        <w:t xml:space="preserve"> Specifically, MGRA is concerned that </w:t>
      </w:r>
      <w:r w:rsidR="00A0747F">
        <w:rPr>
          <w:szCs w:val="26"/>
        </w:rPr>
        <w:t>D.21</w:t>
      </w:r>
      <w:r w:rsidR="000B2F50">
        <w:rPr>
          <w:iCs/>
          <w:szCs w:val="26"/>
        </w:rPr>
        <w:t>-06-034</w:t>
      </w:r>
      <w:r w:rsidR="00A0747F">
        <w:rPr>
          <w:szCs w:val="26"/>
        </w:rPr>
        <w:t xml:space="preserve"> </w:t>
      </w:r>
      <w:r w:rsidR="00A0747F">
        <w:t xml:space="preserve">requires utilities to submit </w:t>
      </w:r>
      <w:r w:rsidR="005B0979">
        <w:t xml:space="preserve">data on the </w:t>
      </w:r>
      <w:r w:rsidRPr="005B0979" w:rsidR="005B0979">
        <w:t>thresholds</w:t>
      </w:r>
      <w:r w:rsidR="000E2D74">
        <w:t xml:space="preserve"> used for PSPS initiation</w:t>
      </w:r>
      <w:r w:rsidR="00E773EA">
        <w:t xml:space="preserve">, </w:t>
      </w:r>
      <w:r w:rsidR="005702E5">
        <w:t xml:space="preserve">the </w:t>
      </w:r>
      <w:r w:rsidRPr="005B0979" w:rsidR="005B0979">
        <w:t>duration</w:t>
      </w:r>
      <w:r w:rsidR="00E773EA">
        <w:t xml:space="preserve"> of PSPS events, </w:t>
      </w:r>
      <w:r w:rsidRPr="005B0979" w:rsidR="005B0979">
        <w:t xml:space="preserve">and </w:t>
      </w:r>
      <w:r w:rsidR="00E773EA">
        <w:t xml:space="preserve">the </w:t>
      </w:r>
      <w:r w:rsidRPr="005B0979" w:rsidR="005B0979">
        <w:t>scope</w:t>
      </w:r>
      <w:r w:rsidR="005702E5">
        <w:t xml:space="preserve"> of PSPS events </w:t>
      </w:r>
      <w:r w:rsidR="00A0747F">
        <w:t>not</w:t>
      </w:r>
      <w:r w:rsidR="005702E5">
        <w:t xml:space="preserve"> </w:t>
      </w:r>
      <w:r w:rsidR="009E7F60">
        <w:t xml:space="preserve">in </w:t>
      </w:r>
      <w:r w:rsidR="00E773EA">
        <w:t>utilities’ “</w:t>
      </w:r>
      <w:r w:rsidR="009E7F60">
        <w:t>post-event report</w:t>
      </w:r>
      <w:r w:rsidR="00E773EA">
        <w:t>s”</w:t>
      </w:r>
      <w:r w:rsidR="009E7F60">
        <w:t xml:space="preserve"> but</w:t>
      </w:r>
      <w:r w:rsidR="00E773EA">
        <w:t xml:space="preserve">, rather, </w:t>
      </w:r>
      <w:r w:rsidR="009E7F60">
        <w:t xml:space="preserve">annually </w:t>
      </w:r>
      <w:r w:rsidR="00E773EA">
        <w:t>in</w:t>
      </w:r>
      <w:r w:rsidR="009E7F60">
        <w:t xml:space="preserve"> </w:t>
      </w:r>
      <w:r w:rsidR="00E773EA">
        <w:t>“</w:t>
      </w:r>
      <w:r w:rsidR="000B2F50">
        <w:t>post-season</w:t>
      </w:r>
      <w:r w:rsidR="00E773EA">
        <w:t>”</w:t>
      </w:r>
      <w:r w:rsidR="000B2F50">
        <w:t xml:space="preserve"> reports</w:t>
      </w:r>
      <w:r w:rsidR="00E773EA">
        <w:t xml:space="preserve">.  </w:t>
      </w:r>
      <w:r w:rsidR="000B2F50">
        <w:t xml:space="preserve"> </w:t>
      </w:r>
    </w:p>
    <w:p w:rsidR="00B62BE6" w:rsidP="00B62BE6" w:rsidRDefault="00097282" w14:paraId="30A51396" w14:textId="25C2BAA6">
      <w:pPr>
        <w:pStyle w:val="Heading2"/>
      </w:pPr>
      <w:bookmarkStart w:name="_Toc80890857" w:id="45"/>
      <w:bookmarkStart w:name="_Toc87361157" w:id="46"/>
      <w:r>
        <w:t>7.3</w:t>
      </w:r>
      <w:r>
        <w:tab/>
      </w:r>
      <w:r w:rsidR="00B62BE6">
        <w:t>Discussion</w:t>
      </w:r>
      <w:bookmarkEnd w:id="45"/>
      <w:bookmarkEnd w:id="46"/>
    </w:p>
    <w:p w:rsidR="006C7514" w:rsidP="00961753" w:rsidRDefault="00BC16AC" w14:paraId="73AF9F87" w14:textId="29686956">
      <w:pPr>
        <w:pStyle w:val="Standard"/>
      </w:pPr>
      <w:r>
        <w:t>W</w:t>
      </w:r>
      <w:r w:rsidR="00E93CBD">
        <w:t>e</w:t>
      </w:r>
      <w:r w:rsidRPr="00272398" w:rsidR="00272398">
        <w:t xml:space="preserve"> require </w:t>
      </w:r>
      <w:r w:rsidR="00875A44">
        <w:t xml:space="preserve">the </w:t>
      </w:r>
      <w:r w:rsidRPr="00272398" w:rsidR="00272398">
        <w:t xml:space="preserve">IOUs </w:t>
      </w:r>
      <w:r w:rsidR="00A95F4B">
        <w:t xml:space="preserve">to </w:t>
      </w:r>
      <w:r w:rsidRPr="00272398" w:rsidR="00272398">
        <w:t>treat PSPS events as a risk within the RDF framework, not just as a mitigation</w:t>
      </w:r>
      <w:r w:rsidR="006C7514">
        <w:t xml:space="preserve">, </w:t>
      </w:r>
      <w:r w:rsidRPr="00272398" w:rsidR="006C7514">
        <w:t>just as they would for any other risk to safety, reliability, and finances.</w:t>
      </w:r>
      <w:r w:rsidR="00A95F4B">
        <w:t xml:space="preserve"> </w:t>
      </w:r>
      <w:r w:rsidR="0068635A">
        <w:t xml:space="preserve">Similar to other risks, the IOUs shall </w:t>
      </w:r>
      <w:r w:rsidRPr="00272398" w:rsidR="00A95F4B">
        <w:t xml:space="preserve">address the likelihood and consequences of PSPS events in </w:t>
      </w:r>
      <w:r w:rsidR="00A95F4B">
        <w:t xml:space="preserve">the RDF and in future RAMP filings.  </w:t>
      </w:r>
    </w:p>
    <w:p w:rsidRPr="002619B7" w:rsidR="003820C0" w:rsidP="00961753" w:rsidRDefault="00272398" w14:paraId="2A2AEA5A" w14:textId="0C37F407">
      <w:pPr>
        <w:pStyle w:val="Standard"/>
      </w:pPr>
      <w:r w:rsidRPr="00272398">
        <w:t xml:space="preserve">OEIS </w:t>
      </w:r>
      <w:r w:rsidR="006C7514">
        <w:t xml:space="preserve">WMP </w:t>
      </w:r>
      <w:r w:rsidR="00277867">
        <w:t>G</w:t>
      </w:r>
      <w:r w:rsidR="006C7514">
        <w:t xml:space="preserve">uidelines </w:t>
      </w:r>
      <w:r w:rsidRPr="00272398">
        <w:t>already require</w:t>
      </w:r>
      <w:r w:rsidR="006C7514">
        <w:t xml:space="preserve"> </w:t>
      </w:r>
      <w:r w:rsidRPr="00272398">
        <w:t>analysis of PSPS impacts</w:t>
      </w:r>
      <w:r w:rsidR="00AC43D1">
        <w:t xml:space="preserve">, and the IOUs have </w:t>
      </w:r>
      <w:r w:rsidR="001E3B5B">
        <w:t>already</w:t>
      </w:r>
      <w:r w:rsidR="00AC43D1">
        <w:t xml:space="preserve"> started to model PSPS risks and consequences in their WMPs and, for SDG&amp;E and SoCalGas, </w:t>
      </w:r>
      <w:r w:rsidR="00D308E8">
        <w:t xml:space="preserve">in </w:t>
      </w:r>
      <w:r w:rsidR="00AC43D1">
        <w:t xml:space="preserve">their RAMPs.  </w:t>
      </w:r>
      <w:r w:rsidRPr="00272398">
        <w:t xml:space="preserve">SCE, </w:t>
      </w:r>
      <w:r w:rsidR="002C5359">
        <w:t>which</w:t>
      </w:r>
      <w:r w:rsidRPr="00272398">
        <w:t xml:space="preserve"> will be filing </w:t>
      </w:r>
      <w:r w:rsidR="003820C0">
        <w:t xml:space="preserve">its next </w:t>
      </w:r>
      <w:r w:rsidRPr="00272398">
        <w:t xml:space="preserve">RAMP </w:t>
      </w:r>
      <w:r w:rsidR="003820C0">
        <w:t>in May 2022</w:t>
      </w:r>
      <w:r w:rsidRPr="00272398">
        <w:t xml:space="preserve">, </w:t>
      </w:r>
      <w:r w:rsidR="007E40D6">
        <w:t xml:space="preserve">modeled the </w:t>
      </w:r>
      <w:r w:rsidRPr="00272398">
        <w:t>probability and consequence</w:t>
      </w:r>
      <w:r w:rsidR="007E40D6">
        <w:t xml:space="preserve">s of both </w:t>
      </w:r>
      <w:r w:rsidRPr="00272398">
        <w:t xml:space="preserve">wildfire and PSPS </w:t>
      </w:r>
      <w:r w:rsidR="004A5051">
        <w:t xml:space="preserve">events </w:t>
      </w:r>
      <w:r w:rsidRPr="00272398">
        <w:t xml:space="preserve">in </w:t>
      </w:r>
      <w:r w:rsidR="003820C0">
        <w:t>its</w:t>
      </w:r>
      <w:r w:rsidRPr="00272398">
        <w:t xml:space="preserve"> </w:t>
      </w:r>
      <w:r w:rsidR="003820C0">
        <w:t xml:space="preserve">2020 </w:t>
      </w:r>
      <w:r w:rsidRPr="00272398">
        <w:t>WMP.</w:t>
      </w:r>
      <w:r w:rsidR="003820C0">
        <w:rPr>
          <w:rStyle w:val="FootnoteReference"/>
        </w:rPr>
        <w:footnoteReference w:id="28"/>
      </w:r>
      <w:r w:rsidRPr="00272398">
        <w:t xml:space="preserve"> </w:t>
      </w:r>
      <w:r w:rsidR="003820C0">
        <w:t xml:space="preserve"> </w:t>
      </w:r>
      <w:r w:rsidR="00E773EA">
        <w:t xml:space="preserve">For example, </w:t>
      </w:r>
      <w:r w:rsidRPr="00272398">
        <w:t>SCE</w:t>
      </w:r>
      <w:r w:rsidR="00E773EA">
        <w:t>’s 2020 WMP</w:t>
      </w:r>
      <w:r w:rsidRPr="00272398">
        <w:t xml:space="preserve"> </w:t>
      </w:r>
      <w:r w:rsidRPr="00272398">
        <w:lastRenderedPageBreak/>
        <w:t>estimate</w:t>
      </w:r>
      <w:r w:rsidR="00ED1ED4">
        <w:t>d</w:t>
      </w:r>
      <w:r w:rsidRPr="00272398">
        <w:t xml:space="preserve"> the probability of PSPS events using a 10 year back-cast based on wind and weather data, estimate</w:t>
      </w:r>
      <w:r w:rsidR="00D864EC">
        <w:t>d</w:t>
      </w:r>
      <w:r w:rsidRPr="00272398">
        <w:t xml:space="preserve"> the number of customers who may be impacted and </w:t>
      </w:r>
      <w:r w:rsidRPr="00272398" w:rsidR="002F7D9F">
        <w:t>convert</w:t>
      </w:r>
      <w:r w:rsidR="002F7D9F">
        <w:t>ed</w:t>
      </w:r>
      <w:r w:rsidR="00D45826">
        <w:t xml:space="preserve"> </w:t>
      </w:r>
      <w:r w:rsidRPr="00272398">
        <w:t>it to a safety index</w:t>
      </w:r>
      <w:r w:rsidR="003309DE">
        <w:t xml:space="preserve">.  </w:t>
      </w:r>
      <w:r w:rsidRPr="00656BD7" w:rsidR="008B5695">
        <w:t>In addition, SCE utilizes $250 per customer, per de-energization event to approximate potential financial losses on average, recognizing that some customers may experience lower (or zero) financial impacts, while other customers’ claimed losses may exceed $250.</w:t>
      </w:r>
      <w:r w:rsidR="00D95A34">
        <w:t xml:space="preserve"> </w:t>
      </w:r>
    </w:p>
    <w:p w:rsidR="00272398" w:rsidP="003820C0" w:rsidRDefault="00E773EA" w14:paraId="6218CABD" w14:textId="5570EB3D">
      <w:pPr>
        <w:pStyle w:val="Standard"/>
      </w:pPr>
      <w:r>
        <w:t xml:space="preserve">Although we do not adopt additional guidance on </w:t>
      </w:r>
      <w:r w:rsidRPr="00E773EA" w:rsidR="00272398">
        <w:t>how</w:t>
      </w:r>
      <w:r w:rsidRPr="00272398" w:rsidR="00272398">
        <w:t xml:space="preserve"> </w:t>
      </w:r>
      <w:r>
        <w:t xml:space="preserve">the IOUs should </w:t>
      </w:r>
      <w:r w:rsidRPr="00272398" w:rsidR="00272398">
        <w:t xml:space="preserve">treat PSPS </w:t>
      </w:r>
      <w:r w:rsidR="004A5051">
        <w:t xml:space="preserve">events </w:t>
      </w:r>
      <w:r w:rsidR="000546BF">
        <w:t xml:space="preserve">as risks </w:t>
      </w:r>
      <w:r w:rsidRPr="00272398" w:rsidR="00272398">
        <w:t>in the RDF</w:t>
      </w:r>
      <w:r>
        <w:t xml:space="preserve"> at this time, requiring the IOUs more generally to include </w:t>
      </w:r>
      <w:r w:rsidRPr="00272398" w:rsidR="00272398">
        <w:t xml:space="preserve">PSPS risks and consequences </w:t>
      </w:r>
      <w:r>
        <w:t xml:space="preserve">in the </w:t>
      </w:r>
      <w:r w:rsidRPr="00272398" w:rsidR="00272398">
        <w:t>RDF</w:t>
      </w:r>
      <w:r>
        <w:t xml:space="preserve"> w</w:t>
      </w:r>
      <w:r w:rsidRPr="00272398" w:rsidR="00272398">
        <w:t xml:space="preserve">ill </w:t>
      </w:r>
      <w:r>
        <w:t xml:space="preserve">help us better consider the customer </w:t>
      </w:r>
      <w:r w:rsidR="004715AA">
        <w:t xml:space="preserve">impacts of PSPS events </w:t>
      </w:r>
      <w:r w:rsidRPr="00272398" w:rsidR="00272398">
        <w:t xml:space="preserve">going forward.  </w:t>
      </w:r>
      <w:r w:rsidR="009731FF">
        <w:t>For now, t</w:t>
      </w:r>
      <w:r w:rsidRPr="00272398" w:rsidR="00272398">
        <w:t xml:space="preserve">reatment of PSPS in the RDF </w:t>
      </w:r>
      <w:r w:rsidR="009731FF">
        <w:t>shall be</w:t>
      </w:r>
      <w:r w:rsidRPr="00272398" w:rsidR="00272398">
        <w:t xml:space="preserve"> subject to D.18-12-014 provisions requiring inputs and calculations for each step of the analysis to be “clearly stated and defined</w:t>
      </w:r>
      <w:r w:rsidR="004715AA">
        <w:t>,</w:t>
      </w:r>
      <w:r w:rsidRPr="00272398" w:rsidR="00272398">
        <w:t>”</w:t>
      </w:r>
      <w:r w:rsidR="00D920D8">
        <w:t xml:space="preserve"> </w:t>
      </w:r>
      <w:r w:rsidR="00E36FE4">
        <w:t xml:space="preserve">while </w:t>
      </w:r>
      <w:r w:rsidRPr="00272398" w:rsidR="00272398">
        <w:t xml:space="preserve">“[t]he sources of inputs should be clearly specified” when SME judgment is used, </w:t>
      </w:r>
      <w:r w:rsidR="00D920D8">
        <w:t xml:space="preserve">and </w:t>
      </w:r>
      <w:r w:rsidRPr="00272398" w:rsidR="00272398">
        <w:t>“the process the SMEs undertook to provide their judgment should be described” and the utility “should specify all information and assumptions that are used to determine pre- and post-mitigation risk scores.”</w:t>
      </w:r>
      <w:r w:rsidR="00B851B5">
        <w:rPr>
          <w:rStyle w:val="FootnoteReference"/>
        </w:rPr>
        <w:footnoteReference w:id="29"/>
      </w:r>
    </w:p>
    <w:p w:rsidRPr="00B62BE6" w:rsidR="00B62BE6" w:rsidP="007500C0" w:rsidRDefault="00892D2D" w14:paraId="626E47EE" w14:textId="05827E07">
      <w:pPr>
        <w:pStyle w:val="Standard"/>
      </w:pPr>
      <w:r>
        <w:rPr>
          <w:szCs w:val="26"/>
        </w:rPr>
        <w:t xml:space="preserve">The </w:t>
      </w:r>
      <w:r w:rsidRPr="00CC0078" w:rsidR="00961753">
        <w:rPr>
          <w:szCs w:val="26"/>
        </w:rPr>
        <w:t>Track 1 working group in this proceeding has been discussing potential methods for the IOUs to quanti</w:t>
      </w:r>
      <w:r w:rsidR="00541874">
        <w:rPr>
          <w:szCs w:val="26"/>
        </w:rPr>
        <w:t>f</w:t>
      </w:r>
      <w:r w:rsidRPr="00CC0078" w:rsidR="00961753">
        <w:rPr>
          <w:szCs w:val="26"/>
        </w:rPr>
        <w:t>y safety impacts on customers from PSPS events to improve how PSPS events as risk events are modeled in the RDF.</w:t>
      </w:r>
      <w:r w:rsidR="00961753">
        <w:rPr>
          <w:szCs w:val="26"/>
        </w:rPr>
        <w:t xml:space="preserve">  </w:t>
      </w:r>
      <w:r w:rsidR="00AA45DE">
        <w:t xml:space="preserve">Staff and parties should continue to discuss questions surrounding modeling of PSPS events in the RDF as part of ongoing Track 1 </w:t>
      </w:r>
      <w:r w:rsidR="00AD50EE">
        <w:t xml:space="preserve">TWG </w:t>
      </w:r>
      <w:r w:rsidR="00AA45DE">
        <w:t xml:space="preserve">discussions.  </w:t>
      </w:r>
      <w:r w:rsidR="00512A39">
        <w:t xml:space="preserve">If </w:t>
      </w:r>
      <w:r w:rsidR="002C6C7E">
        <w:t>Staff</w:t>
      </w:r>
      <w:r w:rsidR="007500C0">
        <w:t xml:space="preserve"> and/or parties develop a proposal </w:t>
      </w:r>
      <w:r w:rsidR="001E695A">
        <w:t xml:space="preserve">to consider </w:t>
      </w:r>
      <w:r w:rsidR="00833773">
        <w:t xml:space="preserve">providing more </w:t>
      </w:r>
      <w:r w:rsidR="007500C0">
        <w:t xml:space="preserve">detailed Commission guidance on this topic, the </w:t>
      </w:r>
      <w:r w:rsidR="00001ADE">
        <w:t>Assigned ALJ</w:t>
      </w:r>
      <w:r w:rsidR="007500C0">
        <w:t xml:space="preserve"> </w:t>
      </w:r>
      <w:r w:rsidR="00B60994">
        <w:t>or</w:t>
      </w:r>
      <w:r w:rsidR="007500C0">
        <w:t xml:space="preserve"> Commissioner </w:t>
      </w:r>
      <w:r w:rsidR="001E695A">
        <w:t xml:space="preserve">will </w:t>
      </w:r>
      <w:r w:rsidR="007500C0">
        <w:lastRenderedPageBreak/>
        <w:t xml:space="preserve">provide </w:t>
      </w:r>
      <w:r w:rsidR="00AE28B8">
        <w:t xml:space="preserve">an opportunity </w:t>
      </w:r>
      <w:r w:rsidR="007500C0">
        <w:t xml:space="preserve">for party comment and consideration in a future decision in this proceeding. </w:t>
      </w:r>
    </w:p>
    <w:p w:rsidR="00D913CC" w:rsidP="00602CB8" w:rsidRDefault="001638F6" w14:paraId="572F25E7" w14:textId="53A525D5">
      <w:pPr>
        <w:pStyle w:val="Heading1"/>
      </w:pPr>
      <w:bookmarkStart w:name="_Toc80890858" w:id="47"/>
      <w:bookmarkStart w:name="_Toc87361158" w:id="48"/>
      <w:r w:rsidRPr="00775D74">
        <w:t>8.</w:t>
      </w:r>
      <w:r w:rsidRPr="00775D74">
        <w:tab/>
      </w:r>
      <w:r w:rsidRPr="00775D74" w:rsidR="00F016C6">
        <w:t>Deferring</w:t>
      </w:r>
      <w:r w:rsidRPr="00775D74" w:rsidR="00E3061E">
        <w:t xml:space="preserve"> Action </w:t>
      </w:r>
      <w:r w:rsidRPr="00775D74" w:rsidR="00677FAD">
        <w:t xml:space="preserve">on </w:t>
      </w:r>
      <w:r w:rsidRPr="00775D74" w:rsidR="000D3ED7">
        <w:t xml:space="preserve">Best Practices </w:t>
      </w:r>
      <w:r w:rsidRPr="00775D74" w:rsidR="00DE4D42">
        <w:br/>
      </w:r>
      <w:r w:rsidRPr="00775D74" w:rsidR="00443F38">
        <w:t xml:space="preserve">for </w:t>
      </w:r>
      <w:r w:rsidRPr="00775D74" w:rsidR="000D3ED7">
        <w:t>Model</w:t>
      </w:r>
      <w:r w:rsidRPr="00775D74" w:rsidR="00443F38">
        <w:t>ing</w:t>
      </w:r>
      <w:r w:rsidRPr="00775D74" w:rsidR="00D913CC">
        <w:t xml:space="preserve"> Wildfire</w:t>
      </w:r>
      <w:r w:rsidRPr="00775D74" w:rsidR="00443F38">
        <w:t xml:space="preserve"> Risk</w:t>
      </w:r>
      <w:bookmarkEnd w:id="47"/>
      <w:bookmarkEnd w:id="48"/>
    </w:p>
    <w:p w:rsidRPr="001B7A1D" w:rsidR="001B7A1D" w:rsidP="004F4A56" w:rsidRDefault="001B7A1D" w14:paraId="38966FA5" w14:textId="761BA1D9">
      <w:pPr>
        <w:pStyle w:val="Standard"/>
      </w:pPr>
      <w:r w:rsidRPr="001B7A1D">
        <w:t xml:space="preserve">The Scoping Memo asks </w:t>
      </w:r>
      <w:r>
        <w:t xml:space="preserve">if the </w:t>
      </w:r>
      <w:r w:rsidRPr="001B7A1D">
        <w:t xml:space="preserve">Commission </w:t>
      </w:r>
      <w:r>
        <w:t xml:space="preserve">can and should </w:t>
      </w:r>
      <w:r w:rsidRPr="001B7A1D">
        <w:t>identify any guiding principles, best practices, aspirational characteristics, and/or minimum requirements for developing an RDF M</w:t>
      </w:r>
      <w:r>
        <w:t>AVF</w:t>
      </w:r>
      <w:r w:rsidRPr="001B7A1D">
        <w:t>?</w:t>
      </w:r>
      <w:r w:rsidRPr="0034192D">
        <w:rPr>
          <w:bCs/>
          <w:vertAlign w:val="superscript"/>
        </w:rPr>
        <w:footnoteReference w:id="30"/>
      </w:r>
      <w:r w:rsidRPr="0034192D">
        <w:rPr>
          <w:bCs/>
          <w:vertAlign w:val="superscript"/>
        </w:rPr>
        <w:t xml:space="preserve"> </w:t>
      </w:r>
      <w:r w:rsidRPr="0034192D">
        <w:rPr>
          <w:bCs/>
        </w:rPr>
        <w:t xml:space="preserve"> </w:t>
      </w:r>
      <w:r w:rsidRPr="001B7A1D">
        <w:t>A</w:t>
      </w:r>
      <w:r w:rsidR="0045731E">
        <w:t>n</w:t>
      </w:r>
      <w:r w:rsidRPr="001B7A1D">
        <w:t xml:space="preserve"> MAVF is a tool to combine all </w:t>
      </w:r>
      <w:r w:rsidR="00097282">
        <w:t xml:space="preserve">of the </w:t>
      </w:r>
      <w:r w:rsidRPr="001B7A1D">
        <w:t>potential consequences of the occurrence of a risk event and express these as a single value.</w:t>
      </w:r>
      <w:r w:rsidRPr="0034192D">
        <w:rPr>
          <w:bCs/>
          <w:vertAlign w:val="superscript"/>
        </w:rPr>
        <w:footnoteReference w:id="31"/>
      </w:r>
      <w:r w:rsidRPr="0034192D">
        <w:rPr>
          <w:bCs/>
        </w:rPr>
        <w:t xml:space="preserve"> </w:t>
      </w:r>
      <w:r w:rsidRPr="001B7A1D">
        <w:t xml:space="preserve"> The </w:t>
      </w:r>
      <w:r>
        <w:t xml:space="preserve">SA </w:t>
      </w:r>
      <w:r w:rsidRPr="001B7A1D">
        <w:t>Decision requires that utilities develop a</w:t>
      </w:r>
      <w:r w:rsidR="0045731E">
        <w:t>n</w:t>
      </w:r>
      <w:r w:rsidRPr="001B7A1D">
        <w:t xml:space="preserve"> MAVF</w:t>
      </w:r>
      <w:r>
        <w:t xml:space="preserve"> to </w:t>
      </w:r>
      <w:r w:rsidRPr="001B7A1D">
        <w:t>assess</w:t>
      </w:r>
      <w:r w:rsidR="00EF133E">
        <w:t xml:space="preserve"> </w:t>
      </w:r>
      <w:r w:rsidR="002C6CF6">
        <w:t xml:space="preserve">the </w:t>
      </w:r>
      <w:r w:rsidRPr="001B7A1D">
        <w:t xml:space="preserve">consequences of </w:t>
      </w:r>
      <w:r w:rsidR="00EF133E">
        <w:t>a risk even</w:t>
      </w:r>
      <w:r w:rsidR="002C6CF6">
        <w:t>t</w:t>
      </w:r>
      <w:r w:rsidRPr="001B7A1D">
        <w:t xml:space="preserve"> based on six principle</w:t>
      </w:r>
      <w:r w:rsidRPr="000611E5">
        <w:t>s:</w:t>
      </w:r>
      <w:r w:rsidRPr="000611E5">
        <w:rPr>
          <w:vertAlign w:val="superscript"/>
        </w:rPr>
        <w:footnoteReference w:id="32"/>
      </w:r>
      <w:r w:rsidRPr="001B7A1D" w:rsidDel="00B45DC2">
        <w:rPr>
          <w:b/>
          <w:vertAlign w:val="superscript"/>
        </w:rPr>
        <w:t xml:space="preserve"> </w:t>
      </w:r>
    </w:p>
    <w:p w:rsidRPr="001B7A1D" w:rsidR="001B7A1D" w:rsidP="0012300D" w:rsidRDefault="001B7A1D" w14:paraId="7E45CCB4" w14:textId="43D26976">
      <w:pPr>
        <w:pStyle w:val="ListAlpha"/>
        <w:numPr>
          <w:ilvl w:val="0"/>
          <w:numId w:val="6"/>
        </w:numPr>
        <w:spacing w:line="240" w:lineRule="auto"/>
        <w:ind w:left="1080"/>
      </w:pPr>
      <w:r w:rsidRPr="001B7A1D">
        <w:t>Attribute Hierarchy</w:t>
      </w:r>
    </w:p>
    <w:p w:rsidRPr="001B7A1D" w:rsidR="001B7A1D" w:rsidP="0012300D" w:rsidRDefault="001B7A1D" w14:paraId="56CB0555" w14:textId="7A24A1B7">
      <w:pPr>
        <w:pStyle w:val="ListAlpha"/>
        <w:numPr>
          <w:ilvl w:val="0"/>
          <w:numId w:val="6"/>
        </w:numPr>
        <w:spacing w:line="240" w:lineRule="auto"/>
        <w:ind w:left="1080"/>
      </w:pPr>
      <w:r w:rsidRPr="001B7A1D">
        <w:t xml:space="preserve">Measured Observations </w:t>
      </w:r>
    </w:p>
    <w:p w:rsidRPr="001B7A1D" w:rsidR="001B7A1D" w:rsidP="0012300D" w:rsidRDefault="001B7A1D" w14:paraId="4598761B" w14:textId="07E862A2">
      <w:pPr>
        <w:pStyle w:val="ListAlpha"/>
        <w:numPr>
          <w:ilvl w:val="0"/>
          <w:numId w:val="6"/>
        </w:numPr>
        <w:spacing w:line="240" w:lineRule="auto"/>
        <w:ind w:left="1080"/>
      </w:pPr>
      <w:r w:rsidRPr="001B7A1D">
        <w:t>Comparison</w:t>
      </w:r>
    </w:p>
    <w:p w:rsidRPr="001B7A1D" w:rsidR="001B7A1D" w:rsidP="0012300D" w:rsidRDefault="001B7A1D" w14:paraId="04F7B6B0" w14:textId="5B502B35">
      <w:pPr>
        <w:pStyle w:val="ListAlpha"/>
        <w:numPr>
          <w:ilvl w:val="0"/>
          <w:numId w:val="6"/>
        </w:numPr>
        <w:spacing w:line="240" w:lineRule="auto"/>
        <w:ind w:left="1080"/>
      </w:pPr>
      <w:r w:rsidRPr="001B7A1D">
        <w:t>Risk Assessment</w:t>
      </w:r>
    </w:p>
    <w:p w:rsidRPr="001B7A1D" w:rsidR="001B7A1D" w:rsidP="0012300D" w:rsidRDefault="001B7A1D" w14:paraId="2E283F5A" w14:textId="49843EE4">
      <w:pPr>
        <w:pStyle w:val="ListAlpha"/>
        <w:numPr>
          <w:ilvl w:val="0"/>
          <w:numId w:val="6"/>
        </w:numPr>
        <w:spacing w:line="240" w:lineRule="auto"/>
        <w:ind w:left="1080"/>
      </w:pPr>
      <w:r w:rsidRPr="001B7A1D">
        <w:t>Scaled Units</w:t>
      </w:r>
    </w:p>
    <w:p w:rsidRPr="001B7A1D" w:rsidR="001B7A1D" w:rsidP="0012300D" w:rsidRDefault="001B7A1D" w14:paraId="59132920" w14:textId="13452A19">
      <w:pPr>
        <w:pStyle w:val="ListAlpha"/>
        <w:numPr>
          <w:ilvl w:val="0"/>
          <w:numId w:val="6"/>
        </w:numPr>
        <w:spacing w:line="240" w:lineRule="auto"/>
        <w:ind w:left="1080"/>
      </w:pPr>
      <w:r w:rsidRPr="001B7A1D">
        <w:t>Relative Importance</w:t>
      </w:r>
    </w:p>
    <w:p w:rsidRPr="00426FB2" w:rsidR="008B7E44" w:rsidP="004F4A56" w:rsidRDefault="001B7A1D" w14:paraId="4E28AE3B" w14:textId="01A93027">
      <w:pPr>
        <w:pStyle w:val="Standard"/>
      </w:pPr>
      <w:r w:rsidRPr="001B7A1D">
        <w:t xml:space="preserve">A utility may adjust its MAVF over time if it adheres to the six principles. </w:t>
      </w:r>
      <w:r w:rsidR="00EF133E">
        <w:t>The fourth p</w:t>
      </w:r>
      <w:r w:rsidRPr="001B7A1D">
        <w:t xml:space="preserve">rinciple </w:t>
      </w:r>
      <w:r w:rsidR="00EF133E">
        <w:t>regarding r</w:t>
      </w:r>
      <w:r w:rsidRPr="001B7A1D">
        <w:t xml:space="preserve">isk </w:t>
      </w:r>
      <w:r w:rsidR="00EF133E">
        <w:t>a</w:t>
      </w:r>
      <w:r w:rsidRPr="001B7A1D">
        <w:t>ssessment allows</w:t>
      </w:r>
      <w:r w:rsidR="00EF133E">
        <w:t xml:space="preserve"> utilities </w:t>
      </w:r>
      <w:r w:rsidRPr="001B7A1D">
        <w:t>to “assess uncertainty in the Attribute levels by using expected value or percentiles, or by specifying well-defined probability distributions from which expected values and tail values can be determined.”</w:t>
      </w:r>
      <w:r w:rsidRPr="0034192D">
        <w:rPr>
          <w:bCs/>
          <w:vertAlign w:val="superscript"/>
        </w:rPr>
        <w:footnoteReference w:id="33"/>
      </w:r>
      <w:r w:rsidRPr="0034192D" w:rsidR="00464B80">
        <w:rPr>
          <w:bCs/>
        </w:rPr>
        <w:t xml:space="preserve">  </w:t>
      </w:r>
      <w:r w:rsidR="00464B80">
        <w:t xml:space="preserve">Thus, utilities may </w:t>
      </w:r>
      <w:r w:rsidR="00926426">
        <w:t xml:space="preserve">select </w:t>
      </w:r>
      <w:r w:rsidR="00464B80">
        <w:t>the modeling methods they prefer</w:t>
      </w:r>
      <w:r w:rsidR="00293EF1">
        <w:t xml:space="preserve"> to</w:t>
      </w:r>
      <w:r w:rsidR="00564FDA">
        <w:t xml:space="preserve"> </w:t>
      </w:r>
      <w:r w:rsidR="00293EF1">
        <w:t xml:space="preserve">model </w:t>
      </w:r>
      <w:r w:rsidR="00564FDA">
        <w:t xml:space="preserve">the consequences of </w:t>
      </w:r>
      <w:r w:rsidR="00293EF1">
        <w:t>wildfire risk</w:t>
      </w:r>
      <w:r w:rsidR="00B60994">
        <w:t xml:space="preserve">s </w:t>
      </w:r>
      <w:r w:rsidR="00293EF1">
        <w:t>as long as</w:t>
      </w:r>
      <w:r w:rsidR="00564FDA">
        <w:t xml:space="preserve"> the method </w:t>
      </w:r>
      <w:r w:rsidR="00293EF1">
        <w:t xml:space="preserve">meets the threshold of comprising </w:t>
      </w:r>
      <w:r w:rsidR="00926426">
        <w:t>a “</w:t>
      </w:r>
      <w:r w:rsidR="00293EF1">
        <w:t xml:space="preserve">well-defined probability </w:t>
      </w:r>
      <w:r w:rsidRPr="00775D74" w:rsidR="00293EF1">
        <w:lastRenderedPageBreak/>
        <w:t>distribution.</w:t>
      </w:r>
      <w:r w:rsidRPr="00775D74" w:rsidR="00926426">
        <w:t>”</w:t>
      </w:r>
      <w:r w:rsidRPr="00775D74" w:rsidR="008B7E44">
        <w:t xml:space="preserve"> </w:t>
      </w:r>
      <w:r w:rsidRPr="00775D74" w:rsidR="00DE4D42">
        <w:t xml:space="preserve"> </w:t>
      </w:r>
      <w:r w:rsidRPr="00775D74" w:rsidR="003B20B8">
        <w:t>However</w:t>
      </w:r>
      <w:r w:rsidR="003B20B8">
        <w:t xml:space="preserve">, </w:t>
      </w:r>
      <w:r w:rsidR="00564FDA">
        <w:t xml:space="preserve">MGRA </w:t>
      </w:r>
      <w:r w:rsidR="003B20B8">
        <w:t xml:space="preserve">has consistently </w:t>
      </w:r>
      <w:r w:rsidR="00564FDA">
        <w:t>highlight</w:t>
      </w:r>
      <w:r w:rsidR="003B20B8">
        <w:t>ed</w:t>
      </w:r>
      <w:r w:rsidR="00564FDA">
        <w:t xml:space="preserve"> the merits of using </w:t>
      </w:r>
      <w:r w:rsidR="00D64932">
        <w:t>a “</w:t>
      </w:r>
      <w:r w:rsidRPr="00D64932" w:rsidR="00D64932">
        <w:t>power law probability distribution</w:t>
      </w:r>
      <w:r w:rsidR="00D64932">
        <w:t>”</w:t>
      </w:r>
      <w:r w:rsidRPr="00D64932" w:rsidR="00D64932">
        <w:t xml:space="preserve"> to model wildfire </w:t>
      </w:r>
      <w:r w:rsidRPr="0063388E" w:rsidR="00D64932">
        <w:t>consequences</w:t>
      </w:r>
      <w:r w:rsidR="00E9147D">
        <w:t xml:space="preserve">, a requirement that would be more specific than the existing </w:t>
      </w:r>
      <w:r w:rsidRPr="00426FB2" w:rsidR="00E9147D">
        <w:t>requirement</w:t>
      </w:r>
      <w:r w:rsidRPr="00426FB2" w:rsidR="00D64932">
        <w:t>.</w:t>
      </w:r>
      <w:r w:rsidRPr="00426FB2" w:rsidR="00D64932">
        <w:rPr>
          <w:vertAlign w:val="superscript"/>
        </w:rPr>
        <w:footnoteReference w:id="34"/>
      </w:r>
      <w:r w:rsidRPr="00426FB2" w:rsidR="00D64932">
        <w:t xml:space="preserve">  </w:t>
      </w:r>
    </w:p>
    <w:p w:rsidR="00A538E9" w:rsidP="004F4A56" w:rsidRDefault="0063388E" w14:paraId="21AFBBB7" w14:textId="49C5BC30">
      <w:pPr>
        <w:pStyle w:val="Standard"/>
      </w:pPr>
      <w:r w:rsidRPr="0063388E">
        <w:t xml:space="preserve">During Track 1 working group sessions, Staff and parties </w:t>
      </w:r>
      <w:r w:rsidRPr="0063388E" w:rsidR="00D64932">
        <w:t>discuss</w:t>
      </w:r>
      <w:r w:rsidRPr="0063388E">
        <w:t>ed</w:t>
      </w:r>
      <w:r w:rsidRPr="0063388E" w:rsidR="00D64932">
        <w:t xml:space="preserve"> whether the </w:t>
      </w:r>
      <w:r w:rsidRPr="0063388E">
        <w:t xml:space="preserve">SA Decision </w:t>
      </w:r>
      <w:r w:rsidRPr="0063388E" w:rsidR="00D64932">
        <w:t xml:space="preserve">approach </w:t>
      </w:r>
      <w:r w:rsidR="008B7E44">
        <w:t xml:space="preserve">allowing </w:t>
      </w:r>
      <w:r w:rsidR="00827566">
        <w:t xml:space="preserve">a </w:t>
      </w:r>
      <w:r w:rsidRPr="0063388E" w:rsidR="00D64932">
        <w:t xml:space="preserve">utility </w:t>
      </w:r>
      <w:r w:rsidR="00827566">
        <w:t xml:space="preserve">the </w:t>
      </w:r>
      <w:r w:rsidR="008B7E44">
        <w:t xml:space="preserve">flexibility </w:t>
      </w:r>
      <w:r w:rsidRPr="0063388E" w:rsidR="00D64932">
        <w:t>to</w:t>
      </w:r>
      <w:r w:rsidRPr="0063388E">
        <w:t xml:space="preserve"> select its own </w:t>
      </w:r>
      <w:r w:rsidRPr="0063388E" w:rsidR="00D64932">
        <w:t xml:space="preserve">wildfire risk </w:t>
      </w:r>
      <w:r w:rsidR="008B7E44">
        <w:t xml:space="preserve">modeling approach </w:t>
      </w:r>
      <w:r w:rsidRPr="0063388E">
        <w:t>remains</w:t>
      </w:r>
      <w:r w:rsidRPr="0063388E" w:rsidR="00D64932">
        <w:t xml:space="preserve"> appropriate </w:t>
      </w:r>
      <w:r w:rsidRPr="0063388E">
        <w:t>or</w:t>
      </w:r>
      <w:r w:rsidRPr="0063388E" w:rsidR="00D64932">
        <w:t xml:space="preserve"> whether </w:t>
      </w:r>
      <w:r w:rsidRPr="0063388E">
        <w:t xml:space="preserve">the </w:t>
      </w:r>
      <w:r w:rsidRPr="0063388E" w:rsidR="00D64932">
        <w:t xml:space="preserve">power law probability distribution </w:t>
      </w:r>
      <w:r w:rsidRPr="0063388E">
        <w:t xml:space="preserve">method is superior </w:t>
      </w:r>
      <w:r w:rsidR="00B20408">
        <w:t xml:space="preserve">and should be required or identified as a best </w:t>
      </w:r>
      <w:r w:rsidRPr="00426FB2" w:rsidR="00B20408">
        <w:t>practice</w:t>
      </w:r>
      <w:r w:rsidRPr="00426FB2">
        <w:t>.</w:t>
      </w:r>
      <w:r w:rsidRPr="00426FB2" w:rsidR="00D64932">
        <w:rPr>
          <w:vertAlign w:val="superscript"/>
        </w:rPr>
        <w:footnoteReference w:id="35"/>
      </w:r>
      <w:r w:rsidRPr="00D64932" w:rsidR="00D64932">
        <w:t xml:space="preserve"> </w:t>
      </w:r>
      <w:r w:rsidR="00B20408">
        <w:t xml:space="preserve"> </w:t>
      </w:r>
      <w:r w:rsidRPr="001C18CC" w:rsidR="001C18CC">
        <w:t>A distinguishing feature of wildfire size (</w:t>
      </w:r>
      <w:r w:rsidR="001C18CC">
        <w:t xml:space="preserve">and </w:t>
      </w:r>
      <w:r w:rsidRPr="001C18CC" w:rsidR="001C18CC">
        <w:t>consequence) following power law behavior is that extreme events dominate the results</w:t>
      </w:r>
      <w:r w:rsidR="002C6077">
        <w:t xml:space="preserve">, which </w:t>
      </w:r>
      <w:r w:rsidRPr="002C6077" w:rsidR="002C6077">
        <w:t>is consistent with the recent California wildfires of historical proportions.</w:t>
      </w:r>
      <w:r w:rsidR="00240A73">
        <w:rPr>
          <w:rStyle w:val="FootnoteReference"/>
        </w:rPr>
        <w:footnoteReference w:id="36"/>
      </w:r>
      <w:r w:rsidR="007C0535">
        <w:t xml:space="preserve"> </w:t>
      </w:r>
    </w:p>
    <w:p w:rsidR="00CD28D7" w:rsidP="00CD28D7" w:rsidRDefault="001638F6" w14:paraId="257455A6" w14:textId="719440C8">
      <w:pPr>
        <w:pStyle w:val="Heading2"/>
      </w:pPr>
      <w:bookmarkStart w:name="_Toc80890859" w:id="49"/>
      <w:bookmarkStart w:name="_Toc87361159" w:id="50"/>
      <w:r>
        <w:t>8.1</w:t>
      </w:r>
      <w:r>
        <w:tab/>
      </w:r>
      <w:r w:rsidR="00CD28D7">
        <w:t>Staff Proposal</w:t>
      </w:r>
      <w:bookmarkEnd w:id="49"/>
      <w:bookmarkEnd w:id="50"/>
    </w:p>
    <w:p w:rsidR="007E369C" w:rsidP="004F4A56" w:rsidRDefault="0015672E" w14:paraId="02D0F78D" w14:textId="281DF2EF">
      <w:pPr>
        <w:pStyle w:val="Standard"/>
      </w:pPr>
      <w:r>
        <w:t xml:space="preserve">Staff recommend </w:t>
      </w:r>
      <w:r w:rsidR="00375E75">
        <w:t xml:space="preserve">the Commission defer </w:t>
      </w:r>
      <w:r w:rsidR="003E0C06">
        <w:t xml:space="preserve">action requiring or recommending </w:t>
      </w:r>
      <w:r w:rsidR="00A109FB">
        <w:t>use of the power law probability distribution as a</w:t>
      </w:r>
      <w:r w:rsidR="00A244A8">
        <w:t>n</w:t>
      </w:r>
      <w:r w:rsidR="00A109FB">
        <w:t xml:space="preserve"> MAVF best practice </w:t>
      </w:r>
      <w:r w:rsidR="00375E75">
        <w:t>at this time</w:t>
      </w:r>
      <w:r w:rsidR="00A109FB">
        <w:t xml:space="preserve">.  Staff recommend </w:t>
      </w:r>
      <w:r w:rsidR="00D671FF">
        <w:t>that the topic be further discussed in Phase II of this proceeding.</w:t>
      </w:r>
      <w:r w:rsidR="00D671FF">
        <w:rPr>
          <w:rStyle w:val="FootnoteReference"/>
        </w:rPr>
        <w:footnoteReference w:id="37"/>
      </w:r>
      <w:r w:rsidRPr="00E06550" w:rsidR="00D671FF">
        <w:t xml:space="preserve"> </w:t>
      </w:r>
    </w:p>
    <w:p w:rsidR="00E06550" w:rsidP="0012300D" w:rsidRDefault="00E06550" w14:paraId="2F0388A3" w14:textId="59997613">
      <w:pPr>
        <w:pStyle w:val="Standard"/>
        <w:ind w:right="-90"/>
      </w:pPr>
      <w:r>
        <w:t xml:space="preserve">Staff </w:t>
      </w:r>
      <w:r w:rsidR="000C2CFB">
        <w:t xml:space="preserve">indicate that </w:t>
      </w:r>
      <w:r w:rsidR="00A109FB">
        <w:t xml:space="preserve">they and parties made significant progress discussing the appropriateness of utilities consistently using the power law probability distribution method to model wildfires in their RDFs.  Staff state they </w:t>
      </w:r>
      <w:r w:rsidR="005C4CA5">
        <w:t xml:space="preserve">will </w:t>
      </w:r>
      <w:r w:rsidR="00CD28D7">
        <w:t xml:space="preserve">continue to </w:t>
      </w:r>
      <w:r w:rsidRPr="00E06550">
        <w:t xml:space="preserve">work </w:t>
      </w:r>
      <w:r w:rsidR="005C4CA5">
        <w:t xml:space="preserve">informally </w:t>
      </w:r>
      <w:r w:rsidRPr="00E06550">
        <w:t xml:space="preserve">with parties to identify guiding principles, best </w:t>
      </w:r>
      <w:r w:rsidRPr="00E06550">
        <w:lastRenderedPageBreak/>
        <w:t>practices, aspirational characteristics, and minimum requirements to improve future RAMP requirements</w:t>
      </w:r>
      <w:r w:rsidR="00C643AE">
        <w:t xml:space="preserve">. </w:t>
      </w:r>
      <w:r w:rsidR="00CD28D7">
        <w:t xml:space="preserve"> </w:t>
      </w:r>
      <w:r w:rsidRPr="00E06550" w:rsidR="00CD28D7">
        <w:t>Staff recommend that utilities and parties continue to collaborate</w:t>
      </w:r>
      <w:r w:rsidRPr="00E06550" w:rsidDel="00480E35" w:rsidR="00CD28D7">
        <w:t xml:space="preserve"> </w:t>
      </w:r>
      <w:r w:rsidRPr="00E06550" w:rsidR="00CD28D7">
        <w:t>to validate different methodologies that appropriately estimate the risk of extreme events to capture maximum loss, consistent with wildfire risk behavior</w:t>
      </w:r>
      <w:r w:rsidR="00695879">
        <w:t xml:space="preserve">.  Consistent with this, </w:t>
      </w:r>
      <w:r>
        <w:t xml:space="preserve">Staff indicate that </w:t>
      </w:r>
      <w:r w:rsidRPr="00E06550">
        <w:t xml:space="preserve">PG&amp;E </w:t>
      </w:r>
      <w:r w:rsidR="00695879">
        <w:t xml:space="preserve">intends to </w:t>
      </w:r>
      <w:r w:rsidR="005C4CA5">
        <w:t xml:space="preserve">use </w:t>
      </w:r>
      <w:r w:rsidR="00145CC4">
        <w:t xml:space="preserve">the </w:t>
      </w:r>
      <w:r w:rsidRPr="00E06550">
        <w:t>power law distribution function</w:t>
      </w:r>
      <w:r w:rsidR="000C2CFB">
        <w:t xml:space="preserve"> to</w:t>
      </w:r>
      <w:r w:rsidRPr="00E06550">
        <w:t xml:space="preserve"> model wildfire risk consequences and </w:t>
      </w:r>
      <w:r w:rsidR="0009619B">
        <w:t xml:space="preserve">intends </w:t>
      </w:r>
      <w:r w:rsidR="00D671FF">
        <w:t>to</w:t>
      </w:r>
      <w:r w:rsidR="000C2CFB">
        <w:t xml:space="preserve"> </w:t>
      </w:r>
      <w:r w:rsidRPr="00E06550">
        <w:t>share its findings with the</w:t>
      </w:r>
      <w:r w:rsidR="000C2CFB">
        <w:t xml:space="preserve"> Track 1 </w:t>
      </w:r>
      <w:r w:rsidR="00E36FE4">
        <w:t>working group</w:t>
      </w:r>
      <w:r w:rsidR="00223D8F">
        <w:t xml:space="preserve"> </w:t>
      </w:r>
      <w:r w:rsidRPr="00E06550">
        <w:t xml:space="preserve">in </w:t>
      </w:r>
      <w:r w:rsidR="004E59CE">
        <w:t xml:space="preserve">September </w:t>
      </w:r>
      <w:r w:rsidRPr="00E06550">
        <w:t xml:space="preserve">2021.  </w:t>
      </w:r>
      <w:r w:rsidR="00E36FE4">
        <w:t>Staff observe that t</w:t>
      </w:r>
      <w:r w:rsidR="00145CC4">
        <w:t xml:space="preserve">he SA Decision provides that </w:t>
      </w:r>
      <w:r w:rsidRPr="00E06550">
        <w:t xml:space="preserve">Staff and parties </w:t>
      </w:r>
      <w:r w:rsidR="00145CC4">
        <w:t xml:space="preserve">can </w:t>
      </w:r>
      <w:r w:rsidRPr="00E06550">
        <w:t xml:space="preserve">request </w:t>
      </w:r>
      <w:r w:rsidR="000E697E">
        <w:t xml:space="preserve">a utility </w:t>
      </w:r>
      <w:r w:rsidR="00BA68C3">
        <w:t>to</w:t>
      </w:r>
      <w:r w:rsidR="000E697E">
        <w:t xml:space="preserve"> present </w:t>
      </w:r>
      <w:r w:rsidR="00145CC4">
        <w:t xml:space="preserve">a </w:t>
      </w:r>
      <w:r w:rsidRPr="00E06550">
        <w:t>power law</w:t>
      </w:r>
      <w:r w:rsidR="005A0101">
        <w:t>-</w:t>
      </w:r>
      <w:r w:rsidRPr="00E06550">
        <w:t xml:space="preserve">related scenario analysis </w:t>
      </w:r>
      <w:r w:rsidR="000E697E">
        <w:t xml:space="preserve">in response to a </w:t>
      </w:r>
      <w:r w:rsidRPr="00E06550">
        <w:t xml:space="preserve">RAMP </w:t>
      </w:r>
      <w:r w:rsidR="00145CC4">
        <w:t>data request</w:t>
      </w:r>
      <w:r w:rsidR="000E697E">
        <w:t>.</w:t>
      </w:r>
    </w:p>
    <w:p w:rsidR="00257DCA" w:rsidP="00257DCA" w:rsidRDefault="001638F6" w14:paraId="56329E4B" w14:textId="3A4E347C">
      <w:pPr>
        <w:pStyle w:val="Heading2"/>
      </w:pPr>
      <w:bookmarkStart w:name="_Toc80890860" w:id="51"/>
      <w:bookmarkStart w:name="_Toc87361160" w:id="52"/>
      <w:r>
        <w:t>8.2</w:t>
      </w:r>
      <w:r>
        <w:tab/>
      </w:r>
      <w:r w:rsidR="00257DCA">
        <w:t>Party Comments</w:t>
      </w:r>
      <w:bookmarkEnd w:id="51"/>
      <w:bookmarkEnd w:id="52"/>
    </w:p>
    <w:p w:rsidR="00F31365" w:rsidP="00F31365" w:rsidRDefault="009706CF" w14:paraId="147E19F2" w14:textId="0050DC7E">
      <w:pPr>
        <w:pStyle w:val="Standard"/>
      </w:pPr>
      <w:r w:rsidRPr="009706CF">
        <w:t>While parties general</w:t>
      </w:r>
      <w:r w:rsidR="007F3E3C">
        <w:t>ly</w:t>
      </w:r>
      <w:r w:rsidRPr="009706CF">
        <w:t xml:space="preserve"> support Staff’s proposal, Cal Advocates and MGRA recommend that the Commission explicitly provide for further exploration of the applicability of the power law distribution to model wildfire risk in Phase II of this proceeding, alongside other potential approaches.  </w:t>
      </w:r>
      <w:r w:rsidR="00E32744">
        <w:t xml:space="preserve">These parties </w:t>
      </w:r>
      <w:r w:rsidRPr="009706CF">
        <w:t xml:space="preserve">state that PG&amp;E’s planned test drive of the power law distribution should provide a basis for this further discussion and exploration, with the goal of identifying and adopting an approach for modeling wildfire risk and consequences that properly captures increasing wildfire risk due to climate change. </w:t>
      </w:r>
    </w:p>
    <w:p w:rsidR="00E32744" w:rsidP="00E32744" w:rsidRDefault="009706CF" w14:paraId="31FD8A37" w14:textId="77777777">
      <w:pPr>
        <w:pStyle w:val="Standard"/>
      </w:pPr>
      <w:r w:rsidRPr="009706CF">
        <w:t>MGRA states</w:t>
      </w:r>
      <w:r>
        <w:t xml:space="preserve"> that</w:t>
      </w:r>
      <w:r w:rsidRPr="009706CF">
        <w:t xml:space="preserve"> “MAVF functions for wildfire risks, regardless of the functional form adopted, will be dominated by extreme outlier events, so any methodology that caps losses or otherwise fails to </w:t>
      </w:r>
      <w:r w:rsidRPr="00426FB2">
        <w:t>incorporate or predict extreme loss events will be an inaccurate representation of risk.”</w:t>
      </w:r>
      <w:r w:rsidRPr="00426FB2" w:rsidR="008E2173">
        <w:rPr>
          <w:rStyle w:val="FootnoteReference"/>
        </w:rPr>
        <w:footnoteReference w:id="38"/>
      </w:r>
      <w:r w:rsidRPr="00426FB2">
        <w:t xml:space="preserve"> </w:t>
      </w:r>
      <w:r w:rsidRPr="00426FB2" w:rsidR="008E2173">
        <w:t xml:space="preserve"> MGRA </w:t>
      </w:r>
      <w:r w:rsidRPr="00426FB2">
        <w:t>emphasize</w:t>
      </w:r>
      <w:r w:rsidRPr="00426FB2" w:rsidR="008E2173">
        <w:t>s</w:t>
      </w:r>
      <w:r w:rsidRPr="00426FB2">
        <w:t xml:space="preserve"> </w:t>
      </w:r>
      <w:r w:rsidRPr="00426FB2">
        <w:lastRenderedPageBreak/>
        <w:t>that “consequences for wildfire must sufficiently incorporate high-end losses.”</w:t>
      </w:r>
      <w:r w:rsidRPr="00426FB2" w:rsidR="008E2173">
        <w:rPr>
          <w:rStyle w:val="FootnoteReference"/>
        </w:rPr>
        <w:footnoteReference w:id="39"/>
      </w:r>
      <w:r w:rsidRPr="00426FB2">
        <w:t xml:space="preserve">  </w:t>
      </w:r>
      <w:r w:rsidRPr="00426FB2" w:rsidR="00F6587D">
        <w:t xml:space="preserve"> </w:t>
      </w:r>
      <w:r w:rsidRPr="00426FB2" w:rsidR="00B93F62">
        <w:t>MGRA also requests that the Commission clarify that the SA Decision requires</w:t>
      </w:r>
      <w:r w:rsidRPr="00B93F62" w:rsidR="00B93F62">
        <w:t xml:space="preserve"> IOUs to undertake and provide a sensitivity analysis of risks modeled in the RDF when requested.</w:t>
      </w:r>
      <w:r w:rsidR="00014080">
        <w:t xml:space="preserve">  </w:t>
      </w:r>
    </w:p>
    <w:p w:rsidRPr="000525F4" w:rsidR="000525F4" w:rsidP="0099153B" w:rsidRDefault="00014080" w14:paraId="65405D13" w14:textId="7F936945">
      <w:pPr>
        <w:pStyle w:val="Standard"/>
      </w:pPr>
      <w:r w:rsidRPr="003B7CA3">
        <w:t xml:space="preserve">UCAN recommends that </w:t>
      </w:r>
      <w:r w:rsidRPr="003B7CA3" w:rsidR="00E32744">
        <w:t xml:space="preserve">the Commission require the IOUs to </w:t>
      </w:r>
      <w:r w:rsidR="000848F4">
        <w:t xml:space="preserve">more accurately </w:t>
      </w:r>
      <w:r w:rsidRPr="003B7CA3" w:rsidR="000848F4">
        <w:t xml:space="preserve">reflect the location of customer assets when conducting wildfire modeling and </w:t>
      </w:r>
      <w:r w:rsidRPr="003B7CA3" w:rsidR="003B7CA3">
        <w:t xml:space="preserve">framing </w:t>
      </w:r>
      <w:r w:rsidRPr="003B7CA3" w:rsidR="00F31365">
        <w:t>inputs used in the MAVF</w:t>
      </w:r>
      <w:r w:rsidR="003B7CA3">
        <w:t>.</w:t>
      </w:r>
    </w:p>
    <w:p w:rsidR="00257DCA" w:rsidP="00257DCA" w:rsidRDefault="001638F6" w14:paraId="1FDABB9A" w14:textId="46869913">
      <w:pPr>
        <w:pStyle w:val="Heading2"/>
      </w:pPr>
      <w:bookmarkStart w:name="_Toc80890861" w:id="53"/>
      <w:bookmarkStart w:name="_Toc87361161" w:id="54"/>
      <w:r>
        <w:t>8.3</w:t>
      </w:r>
      <w:r>
        <w:tab/>
      </w:r>
      <w:r w:rsidR="00257DCA">
        <w:t>Discussion</w:t>
      </w:r>
      <w:bookmarkEnd w:id="53"/>
      <w:bookmarkEnd w:id="54"/>
    </w:p>
    <w:p w:rsidR="000525F4" w:rsidP="000525F4" w:rsidRDefault="00095E30" w14:paraId="34AB5A53" w14:textId="63BE21A3">
      <w:pPr>
        <w:pStyle w:val="Standard"/>
      </w:pPr>
      <w:r>
        <w:t xml:space="preserve">We adopt Staff’s proposal and </w:t>
      </w:r>
      <w:r w:rsidRPr="00095E30">
        <w:t>defer requiring or recommending use of the power law probability distribution as a</w:t>
      </w:r>
      <w:r w:rsidDel="00E36FE4" w:rsidR="007D2868">
        <w:t>n</w:t>
      </w:r>
      <w:r w:rsidRPr="00095E30">
        <w:t xml:space="preserve"> MAVF best practice at this time.  </w:t>
      </w:r>
      <w:r>
        <w:t xml:space="preserve">We direct </w:t>
      </w:r>
      <w:r w:rsidRPr="00095E30">
        <w:t>Staff</w:t>
      </w:r>
      <w:r>
        <w:t xml:space="preserve"> to continue to monitor this issue in their reviews of IOU RAMP filings and, if and when appropriate, to </w:t>
      </w:r>
      <w:r w:rsidR="003B28A4">
        <w:t xml:space="preserve">work with the TWG to </w:t>
      </w:r>
      <w:r>
        <w:t xml:space="preserve">provide a follow up recommendation on this topic as early as </w:t>
      </w:r>
      <w:r w:rsidRPr="00095E30">
        <w:t>Phase II of this proceeding</w:t>
      </w:r>
      <w:r w:rsidR="0070143E">
        <w:t>, if feasible</w:t>
      </w:r>
      <w:r w:rsidR="004F026D">
        <w:t>.</w:t>
      </w:r>
      <w:r w:rsidR="003B28A4">
        <w:t xml:space="preserve">  </w:t>
      </w:r>
      <w:r w:rsidR="0092423A">
        <w:t>TWG d</w:t>
      </w:r>
      <w:r w:rsidR="003B28A4">
        <w:t>iscussions in this area shall inclu</w:t>
      </w:r>
      <w:r w:rsidR="00445A5D">
        <w:t>de UCAN’s suggestion regarding more accurate modeling of the location of customer assets</w:t>
      </w:r>
      <w:r w:rsidR="0092423A">
        <w:t xml:space="preserve"> in wildfire models. </w:t>
      </w:r>
    </w:p>
    <w:p w:rsidR="004F026D" w:rsidP="004F026D" w:rsidRDefault="004F026D" w14:paraId="7CA10A48" w14:textId="5322907A">
      <w:pPr>
        <w:pStyle w:val="Standard"/>
      </w:pPr>
      <w:r>
        <w:t xml:space="preserve">We agree with MGRA </w:t>
      </w:r>
      <w:r w:rsidRPr="009706CF">
        <w:t xml:space="preserve">that </w:t>
      </w:r>
      <w:r>
        <w:t xml:space="preserve">it is essential that the modeling method used by IOUs in their RDFs, WMPs, and RAMPs produces a set of </w:t>
      </w:r>
      <w:r w:rsidRPr="009706CF">
        <w:t>consequences for wildfire</w:t>
      </w:r>
      <w:r>
        <w:t xml:space="preserve"> that </w:t>
      </w:r>
      <w:r w:rsidRPr="009706CF">
        <w:t xml:space="preserve">sufficiently incorporate high-end losses. </w:t>
      </w:r>
      <w:r w:rsidRPr="00B93F62">
        <w:t xml:space="preserve"> </w:t>
      </w:r>
      <w:r>
        <w:t>However, it is premature for us to determine that the power law modeling approach is the only method to accomplish this.  We will continue to examine this issue</w:t>
      </w:r>
      <w:r w:rsidDel="00C05E59">
        <w:t xml:space="preserve"> </w:t>
      </w:r>
      <w:r>
        <w:t xml:space="preserve">in Phase II as part of exploring better ways for climate change risks, impacts, and uncertainties to be reflected in the RDF.  </w:t>
      </w:r>
    </w:p>
    <w:p w:rsidRPr="000525F4" w:rsidR="004F026D" w:rsidP="004F026D" w:rsidRDefault="004F026D" w14:paraId="1BA74F7C" w14:textId="4C7E4EDD">
      <w:pPr>
        <w:pStyle w:val="Standard"/>
      </w:pPr>
      <w:r>
        <w:lastRenderedPageBreak/>
        <w:t xml:space="preserve">As noted by </w:t>
      </w:r>
      <w:r w:rsidRPr="00B93F62">
        <w:t>MGRA</w:t>
      </w:r>
      <w:r>
        <w:t xml:space="preserve">, the </w:t>
      </w:r>
      <w:r w:rsidRPr="00B93F62">
        <w:t>SA Decision requires IOUs to undertake and provide a sensitivity analysis of risks modeled in the RDF when requested.</w:t>
      </w:r>
      <w:r w:rsidR="005D0ABE">
        <w:rPr>
          <w:rStyle w:val="FootnoteReference"/>
        </w:rPr>
        <w:footnoteReference w:id="40"/>
      </w:r>
      <w:r>
        <w:t xml:space="preserve">  </w:t>
      </w:r>
    </w:p>
    <w:p w:rsidR="00561B16" w:rsidP="00561B16" w:rsidRDefault="001638F6" w14:paraId="441CC4EE" w14:textId="7751EE15">
      <w:pPr>
        <w:pStyle w:val="Heading1"/>
      </w:pPr>
      <w:bookmarkStart w:name="_Toc80890862" w:id="55"/>
      <w:bookmarkStart w:name="_Toc87361162" w:id="56"/>
      <w:r>
        <w:t>9</w:t>
      </w:r>
      <w:r>
        <w:tab/>
      </w:r>
      <w:r w:rsidR="00FF474A">
        <w:t>Related Clarifications</w:t>
      </w:r>
      <w:bookmarkEnd w:id="55"/>
      <w:bookmarkEnd w:id="56"/>
      <w:r w:rsidR="00BB3C7D">
        <w:t xml:space="preserve"> </w:t>
      </w:r>
    </w:p>
    <w:p w:rsidR="00DA6BF3" w:rsidP="00DA6BF3" w:rsidRDefault="008D12EB" w14:paraId="32678DB8" w14:textId="4725600D">
      <w:pPr>
        <w:pStyle w:val="Standard"/>
      </w:pPr>
      <w:r w:rsidRPr="00884B18">
        <w:t xml:space="preserve">The Scoping Memo </w:t>
      </w:r>
      <w:r w:rsidRPr="00884B18" w:rsidR="00E06EF5">
        <w:t>provide</w:t>
      </w:r>
      <w:r w:rsidR="000525F4">
        <w:t>s</w:t>
      </w:r>
      <w:r w:rsidRPr="00884B18" w:rsidR="00E06EF5">
        <w:t xml:space="preserve"> for consideration of</w:t>
      </w:r>
      <w:r w:rsidRPr="00884B18" w:rsidR="00E21F03">
        <w:t xml:space="preserve"> </w:t>
      </w:r>
      <w:r w:rsidRPr="00884B18" w:rsidR="00E06EF5">
        <w:t xml:space="preserve">additional </w:t>
      </w:r>
      <w:r w:rsidRPr="00884B18" w:rsidR="00E21F03">
        <w:t xml:space="preserve">clarifications </w:t>
      </w:r>
      <w:r w:rsidRPr="00884B18" w:rsidR="00E06EF5">
        <w:t xml:space="preserve">within </w:t>
      </w:r>
      <w:r w:rsidRPr="00884B18" w:rsidR="00E21F03">
        <w:t>Track 1</w:t>
      </w:r>
      <w:r w:rsidR="00CB59DE">
        <w:t>.</w:t>
      </w:r>
      <w:r w:rsidR="00B30BEA">
        <w:t xml:space="preserve">  In working group discussions, Staff and parties identified two</w:t>
      </w:r>
      <w:r w:rsidR="00426FB2">
        <w:t> </w:t>
      </w:r>
      <w:r w:rsidR="00B30BEA">
        <w:t xml:space="preserve">additional issues </w:t>
      </w:r>
      <w:r w:rsidR="000525F4">
        <w:t>for consideration in Track 1</w:t>
      </w:r>
      <w:r w:rsidR="00DA6BF3">
        <w:t xml:space="preserve">— </w:t>
      </w:r>
      <w:r w:rsidR="0053279A">
        <w:t>the issue of data transparency</w:t>
      </w:r>
      <w:r w:rsidR="00DA6BF3">
        <w:t xml:space="preserve"> and </w:t>
      </w:r>
      <w:r w:rsidR="0053279A">
        <w:t>consideration of climate change impacts within the RDF.</w:t>
      </w:r>
    </w:p>
    <w:p w:rsidR="001916B7" w:rsidP="00DA6BF3" w:rsidRDefault="0053279A" w14:paraId="7704DB8C" w14:textId="77207572">
      <w:pPr>
        <w:pStyle w:val="Standard"/>
      </w:pPr>
      <w:r>
        <w:t xml:space="preserve">This section reviews Staff and party work on these topics.  </w:t>
      </w:r>
      <w:r w:rsidR="00957D43">
        <w:t>Regarding data transparency</w:t>
      </w:r>
      <w:r w:rsidR="006F1B8D">
        <w:t xml:space="preserve">, we </w:t>
      </w:r>
      <w:r w:rsidR="00287FA0">
        <w:t>direct</w:t>
      </w:r>
      <w:r w:rsidRPr="004E48A1" w:rsidR="004D29D8">
        <w:t xml:space="preserve"> SCE</w:t>
      </w:r>
      <w:r w:rsidRPr="004D29D8" w:rsidR="004D29D8">
        <w:t xml:space="preserve"> to </w:t>
      </w:r>
      <w:r w:rsidR="003E38F0">
        <w:t xml:space="preserve">“test drive” </w:t>
      </w:r>
      <w:r w:rsidRPr="004D29D8" w:rsidR="004D29D8">
        <w:t xml:space="preserve">PG&amp;E’s </w:t>
      </w:r>
      <w:r w:rsidR="00957D43">
        <w:t>Transparency</w:t>
      </w:r>
      <w:r w:rsidR="00F34F63">
        <w:t xml:space="preserve"> Proposal</w:t>
      </w:r>
      <w:r w:rsidR="0059324C">
        <w:t xml:space="preserve"> </w:t>
      </w:r>
      <w:r w:rsidR="001514B4">
        <w:t xml:space="preserve">and to </w:t>
      </w:r>
      <w:r w:rsidR="00554C66">
        <w:t xml:space="preserve">serve </w:t>
      </w:r>
      <w:r w:rsidR="003A6326">
        <w:t xml:space="preserve">the </w:t>
      </w:r>
      <w:r w:rsidR="001514B4">
        <w:t xml:space="preserve">completed </w:t>
      </w:r>
      <w:r w:rsidR="003A6326">
        <w:t>transparency documents</w:t>
      </w:r>
      <w:r w:rsidR="001514B4">
        <w:t xml:space="preserve"> </w:t>
      </w:r>
      <w:r w:rsidR="006E11F3">
        <w:t xml:space="preserve">to the SCE 2022 RAMP proceeding service list </w:t>
      </w:r>
      <w:r w:rsidR="001514B4">
        <w:t xml:space="preserve">no later than </w:t>
      </w:r>
      <w:r w:rsidR="003A6326">
        <w:t xml:space="preserve">60 days after SCE files its </w:t>
      </w:r>
      <w:r w:rsidR="00E310AA">
        <w:t>2022 RAMP report</w:t>
      </w:r>
      <w:r w:rsidRPr="004D29D8" w:rsidR="004D29D8">
        <w:t>.</w:t>
      </w:r>
      <w:r w:rsidR="00957D43">
        <w:t xml:space="preserve"> </w:t>
      </w:r>
    </w:p>
    <w:p w:rsidR="0053279A" w:rsidP="00DA6BF3" w:rsidRDefault="00957D43" w14:paraId="29275F31" w14:textId="3C81FB52">
      <w:pPr>
        <w:pStyle w:val="Standard"/>
      </w:pPr>
      <w:r>
        <w:t>Regarding consideration of climate change impacts</w:t>
      </w:r>
      <w:r w:rsidR="00A225EB">
        <w:t xml:space="preserve">, risks, and mitigation measures, we </w:t>
      </w:r>
      <w:r w:rsidR="0059324C">
        <w:t xml:space="preserve">agree </w:t>
      </w:r>
      <w:r w:rsidR="00A225EB">
        <w:t>with Staff that this is a topic worthy of consideration in Phase II of this proceeding.</w:t>
      </w:r>
      <w:r w:rsidR="00D03F96">
        <w:t xml:space="preserve">  However, Phase II of this proceeding already includes a long list of potential issues. </w:t>
      </w:r>
      <w:r w:rsidR="0012300D">
        <w:t xml:space="preserve"> </w:t>
      </w:r>
      <w:r w:rsidR="00D03F96">
        <w:t xml:space="preserve">Therefore, we direct Staff and parties </w:t>
      </w:r>
      <w:r w:rsidR="0059324C">
        <w:t xml:space="preserve">active in the TWG </w:t>
      </w:r>
      <w:r w:rsidR="00D03F96">
        <w:t xml:space="preserve">to prepare and propose an updated </w:t>
      </w:r>
      <w:r w:rsidR="006D2FAF">
        <w:t xml:space="preserve">“S-MAP </w:t>
      </w:r>
      <w:r w:rsidR="00D03F96">
        <w:t>Roadmap</w:t>
      </w:r>
      <w:r w:rsidR="006D2FAF">
        <w:t xml:space="preserve">” </w:t>
      </w:r>
      <w:r w:rsidR="00832F01">
        <w:t xml:space="preserve">and work plan that can be considered </w:t>
      </w:r>
      <w:r w:rsidR="000C18D2">
        <w:t xml:space="preserve">to guide </w:t>
      </w:r>
      <w:r w:rsidR="006D2FAF">
        <w:t xml:space="preserve">Phase II work. </w:t>
      </w:r>
      <w:r w:rsidR="00D03F96">
        <w:t xml:space="preserve"> </w:t>
      </w:r>
      <w:r w:rsidR="0053279A">
        <w:t xml:space="preserve"> </w:t>
      </w:r>
    </w:p>
    <w:p w:rsidR="0053279A" w:rsidP="0053279A" w:rsidRDefault="001638F6" w14:paraId="20552CE2" w14:textId="32F3B7C3">
      <w:pPr>
        <w:pStyle w:val="Heading2"/>
      </w:pPr>
      <w:bookmarkStart w:name="_Toc80890863" w:id="57"/>
      <w:bookmarkStart w:name="_Toc87361163" w:id="58"/>
      <w:r>
        <w:t>9.1</w:t>
      </w:r>
      <w:r>
        <w:tab/>
      </w:r>
      <w:r w:rsidR="00060162">
        <w:t xml:space="preserve">Transparency </w:t>
      </w:r>
      <w:r w:rsidR="002C001B">
        <w:t xml:space="preserve">in RAMP </w:t>
      </w:r>
      <w:r w:rsidR="008C7A0F">
        <w:t>F</w:t>
      </w:r>
      <w:r w:rsidR="002C001B">
        <w:t>ilings</w:t>
      </w:r>
      <w:bookmarkEnd w:id="57"/>
      <w:bookmarkEnd w:id="58"/>
      <w:r w:rsidR="002C001B">
        <w:t xml:space="preserve"> </w:t>
      </w:r>
    </w:p>
    <w:p w:rsidR="00C3571A" w:rsidP="004F4A56" w:rsidRDefault="00F81DCD" w14:paraId="55A21F4D" w14:textId="60187422">
      <w:pPr>
        <w:pStyle w:val="Standard"/>
      </w:pPr>
      <w:r w:rsidRPr="00F81DCD">
        <w:t xml:space="preserve">Transparency in RDF filings refers to the inclusion of sufficient documentation </w:t>
      </w:r>
      <w:r w:rsidR="00B841CB">
        <w:t xml:space="preserve">in </w:t>
      </w:r>
      <w:r w:rsidRPr="00F81DCD">
        <w:t xml:space="preserve">RAMP </w:t>
      </w:r>
      <w:r w:rsidR="00E53D5F">
        <w:t xml:space="preserve">and other IOU </w:t>
      </w:r>
      <w:r w:rsidR="00B841CB">
        <w:t>filings</w:t>
      </w:r>
      <w:r w:rsidR="00D4525E">
        <w:t xml:space="preserve"> for parties and Staff to understand </w:t>
      </w:r>
      <w:r w:rsidR="000B482A">
        <w:t>methodologies, the quality of data</w:t>
      </w:r>
      <w:r w:rsidR="00F11F1C">
        <w:t xml:space="preserve">, and any assumptions </w:t>
      </w:r>
      <w:r w:rsidRPr="00C962CC" w:rsidR="00F11F1C">
        <w:t>used</w:t>
      </w:r>
      <w:r w:rsidRPr="00C962CC" w:rsidR="00B841CB">
        <w:t>.</w:t>
      </w:r>
      <w:r w:rsidRPr="00C962CC">
        <w:rPr>
          <w:vertAlign w:val="superscript"/>
        </w:rPr>
        <w:footnoteReference w:id="41"/>
      </w:r>
      <w:r w:rsidRPr="00C962CC">
        <w:t xml:space="preserve">  The</w:t>
      </w:r>
      <w:r w:rsidRPr="00F81DCD">
        <w:t xml:space="preserve"> need for greater transparency in RDF filings was first suggested by TURN</w:t>
      </w:r>
      <w:r w:rsidR="00B841CB">
        <w:t xml:space="preserve"> in </w:t>
      </w:r>
      <w:r w:rsidR="003C1D1C">
        <w:t>their opening</w:t>
      </w:r>
      <w:r w:rsidR="00B841CB">
        <w:t xml:space="preserve"> comments on the OIR</w:t>
      </w:r>
      <w:r w:rsidR="00055229">
        <w:t xml:space="preserve"> and during the December 15, 2020 </w:t>
      </w:r>
      <w:r w:rsidR="00F11F1C">
        <w:t>Track</w:t>
      </w:r>
      <w:r w:rsidR="000611E5">
        <w:t> </w:t>
      </w:r>
      <w:r w:rsidR="00F11F1C">
        <w:t xml:space="preserve">1 </w:t>
      </w:r>
      <w:r w:rsidR="00055229">
        <w:lastRenderedPageBreak/>
        <w:t>workshop</w:t>
      </w:r>
      <w:r w:rsidR="00B841CB">
        <w:t xml:space="preserve">.  Staff and parties </w:t>
      </w:r>
      <w:r w:rsidR="00F11F1C">
        <w:t xml:space="preserve">further </w:t>
      </w:r>
      <w:r w:rsidR="00055229">
        <w:t>discussed the topic at the March</w:t>
      </w:r>
      <w:r w:rsidR="000611E5">
        <w:t> </w:t>
      </w:r>
      <w:r w:rsidR="00055229">
        <w:t>3</w:t>
      </w:r>
      <w:r w:rsidR="00F11F1C">
        <w:t>,</w:t>
      </w:r>
      <w:r w:rsidR="000611E5">
        <w:t> </w:t>
      </w:r>
      <w:r w:rsidR="00F11F1C">
        <w:t>2021</w:t>
      </w:r>
      <w:r w:rsidR="0009671B">
        <w:t>,</w:t>
      </w:r>
      <w:r w:rsidR="00055229">
        <w:t xml:space="preserve"> and March</w:t>
      </w:r>
      <w:r w:rsidR="000611E5">
        <w:t> </w:t>
      </w:r>
      <w:r w:rsidR="00055229">
        <w:t>10</w:t>
      </w:r>
      <w:r w:rsidR="00F11F1C">
        <w:t>,</w:t>
      </w:r>
      <w:r w:rsidR="000611E5">
        <w:t> </w:t>
      </w:r>
      <w:r w:rsidR="00F11F1C">
        <w:t>2021</w:t>
      </w:r>
      <w:r w:rsidR="00055229">
        <w:t xml:space="preserve"> working group meetings. </w:t>
      </w:r>
    </w:p>
    <w:p w:rsidRPr="002C2670" w:rsidR="002C2670" w:rsidP="004F4A56" w:rsidRDefault="002C2670" w14:paraId="45C5B1A1" w14:textId="4BB764C8">
      <w:pPr>
        <w:pStyle w:val="Standard"/>
      </w:pPr>
      <w:r w:rsidRPr="002C2670">
        <w:t>At the March 10</w:t>
      </w:r>
      <w:r w:rsidR="00F11F1C">
        <w:t>, 2021</w:t>
      </w:r>
      <w:r>
        <w:t xml:space="preserve"> </w:t>
      </w:r>
      <w:r w:rsidR="005A5E3F">
        <w:t xml:space="preserve">working group </w:t>
      </w:r>
      <w:r w:rsidRPr="002C2670">
        <w:t xml:space="preserve">meeting, TURN presented </w:t>
      </w:r>
      <w:r w:rsidR="00F11F1C">
        <w:t xml:space="preserve">its </w:t>
      </w:r>
      <w:r w:rsidRPr="002C2670">
        <w:t>perspective on key features that a transparent RDF process should possess</w:t>
      </w:r>
      <w:r w:rsidR="00760938">
        <w:t>, namely</w:t>
      </w:r>
      <w:r w:rsidRPr="002C2670">
        <w:t>:</w:t>
      </w:r>
    </w:p>
    <w:p w:rsidRPr="002C2670" w:rsidR="002C2670" w:rsidP="005208F3" w:rsidRDefault="002C2670" w14:paraId="4C3C3A5D" w14:textId="73282F64">
      <w:pPr>
        <w:pStyle w:val="ListBullet"/>
        <w:ind w:left="1080" w:right="1440"/>
      </w:pPr>
      <w:r w:rsidRPr="002C2670">
        <w:t>Repeatability of results: IOUs should provide information sufficient that a stakeholder can repeat the calculation</w:t>
      </w:r>
      <w:r w:rsidR="00866618">
        <w:t>s</w:t>
      </w:r>
      <w:r w:rsidRPr="002C2670">
        <w:t xml:space="preserve"> and arrive at roughly the same result.</w:t>
      </w:r>
    </w:p>
    <w:p w:rsidRPr="002C2670" w:rsidR="002C2670" w:rsidP="005208F3" w:rsidRDefault="002C2670" w14:paraId="3D97E990" w14:textId="77777777">
      <w:pPr>
        <w:pStyle w:val="ListBullet"/>
        <w:ind w:left="1080" w:right="1440"/>
      </w:pPr>
      <w:r w:rsidRPr="002C2670">
        <w:t>Uncertainty is an important piece of information that should be presented.  IOUs should identify, describe, and, if possible, quantify the uncertainty of the assumptions or estimates; and</w:t>
      </w:r>
    </w:p>
    <w:p w:rsidRPr="002C2670" w:rsidR="002C2670" w:rsidP="005208F3" w:rsidRDefault="002C2670" w14:paraId="07E802BF" w14:textId="6E146CB6">
      <w:pPr>
        <w:pStyle w:val="ListBullet"/>
        <w:ind w:left="1080" w:right="1440"/>
      </w:pPr>
      <w:r w:rsidRPr="002C2670">
        <w:t>Risk analysis should be sufficiently granular.</w:t>
      </w:r>
      <w:r w:rsidRPr="005A5E3F" w:rsidR="00760938">
        <w:rPr>
          <w:b/>
          <w:vertAlign w:val="superscript"/>
        </w:rPr>
        <w:footnoteReference w:id="42"/>
      </w:r>
    </w:p>
    <w:p w:rsidRPr="002C2670" w:rsidR="002C2670" w:rsidP="004F4A56" w:rsidRDefault="002C2670" w14:paraId="6ABE0D29" w14:textId="694659A5">
      <w:pPr>
        <w:pStyle w:val="Standard"/>
      </w:pPr>
      <w:r w:rsidRPr="002C2670">
        <w:t>TURN</w:t>
      </w:r>
      <w:r w:rsidR="000C18D2">
        <w:t xml:space="preserve"> </w:t>
      </w:r>
      <w:r w:rsidRPr="002C2670">
        <w:t>sugges</w:t>
      </w:r>
      <w:r w:rsidR="000C18D2">
        <w:t>ted</w:t>
      </w:r>
      <w:r w:rsidRPr="002C2670">
        <w:t xml:space="preserve"> a streamlined matrix format for reporting risk model assumptions, uncertainties, and annual estimates of pre-mitigation and post</w:t>
      </w:r>
      <w:r w:rsidR="0012300D">
        <w:noBreakHyphen/>
      </w:r>
      <w:r w:rsidRPr="002C2670">
        <w:t>mitigation likelihoods, consequences, mitigation costs, and RSEs.</w:t>
      </w:r>
      <w:r w:rsidR="00340542">
        <w:rPr>
          <w:rStyle w:val="FootnoteReference"/>
        </w:rPr>
        <w:footnoteReference w:id="43"/>
      </w:r>
    </w:p>
    <w:p w:rsidR="00611D41" w:rsidP="002864F2" w:rsidRDefault="00760938" w14:paraId="6B96B4FD" w14:textId="6105A34E">
      <w:pPr>
        <w:pStyle w:val="Standard"/>
      </w:pPr>
      <w:r>
        <w:t xml:space="preserve">At the March 10, 2021 Track 1 working group meeting, </w:t>
      </w:r>
      <w:r w:rsidRPr="002C2670" w:rsidR="002C2670">
        <w:t xml:space="preserve">PG&amp;E volunteered to develop an initial proposal on transparency guidelines and </w:t>
      </w:r>
      <w:r w:rsidR="00233738">
        <w:t xml:space="preserve">to </w:t>
      </w:r>
      <w:r w:rsidRPr="002C2670" w:rsidR="002C2670">
        <w:t xml:space="preserve">engage with </w:t>
      </w:r>
      <w:r w:rsidR="00233738">
        <w:t xml:space="preserve">working group </w:t>
      </w:r>
      <w:r w:rsidRPr="002C2670" w:rsidR="002C2670">
        <w:t xml:space="preserve">members to develop the proposal.  </w:t>
      </w:r>
      <w:r w:rsidR="00A80975">
        <w:t xml:space="preserve">The working group discussed </w:t>
      </w:r>
      <w:r w:rsidR="005A5E3F">
        <w:t>PG&amp;E’s</w:t>
      </w:r>
      <w:r w:rsidRPr="002C2670" w:rsidR="002C2670">
        <w:t xml:space="preserve"> proposal</w:t>
      </w:r>
      <w:r w:rsidR="005A5E3F">
        <w:t xml:space="preserve"> </w:t>
      </w:r>
      <w:r w:rsidR="00A80975">
        <w:t xml:space="preserve">at a meeting on </w:t>
      </w:r>
      <w:r w:rsidRPr="002C2670" w:rsidR="00A80975">
        <w:t>April 14</w:t>
      </w:r>
      <w:r w:rsidR="00A80975">
        <w:t xml:space="preserve">, 2021, </w:t>
      </w:r>
      <w:r w:rsidR="005A5E3F">
        <w:t>and p</w:t>
      </w:r>
      <w:r w:rsidRPr="002C2670" w:rsidR="002C2670">
        <w:t>arties provided informal written feedback.  On April 23</w:t>
      </w:r>
      <w:r w:rsidR="00233738">
        <w:t>, 2021</w:t>
      </w:r>
      <w:r w:rsidRPr="002C2670" w:rsidR="002C2670">
        <w:t xml:space="preserve"> PG&amp;E distributed </w:t>
      </w:r>
      <w:r w:rsidR="00983D63">
        <w:t xml:space="preserve">an </w:t>
      </w:r>
      <w:r w:rsidRPr="002C2670" w:rsidR="002C2670">
        <w:t xml:space="preserve">amended Transparency Guidelines </w:t>
      </w:r>
      <w:r w:rsidR="00711230">
        <w:t>Proposal (PG&amp;E Proposal</w:t>
      </w:r>
      <w:r w:rsidR="009C4801">
        <w:t xml:space="preserve"> or PG&amp;E Transparency Proposa</w:t>
      </w:r>
      <w:r w:rsidR="00682421">
        <w:t>l</w:t>
      </w:r>
      <w:r w:rsidR="00711230">
        <w:t xml:space="preserve">) </w:t>
      </w:r>
      <w:r w:rsidRPr="002C2670" w:rsidR="002C2670">
        <w:t>and standardized risk reporting templates</w:t>
      </w:r>
      <w:r w:rsidR="002C4A7C">
        <w:t xml:space="preserve"> to working group members.</w:t>
      </w:r>
      <w:r w:rsidR="00611D41">
        <w:rPr>
          <w:rStyle w:val="FootnoteReference"/>
        </w:rPr>
        <w:footnoteReference w:id="44"/>
      </w:r>
      <w:r w:rsidR="00711230">
        <w:t xml:space="preserve"> </w:t>
      </w:r>
    </w:p>
    <w:p w:rsidR="002C2670" w:rsidP="004F4A56" w:rsidRDefault="00E028A2" w14:paraId="180BCB71" w14:textId="66442F2F">
      <w:pPr>
        <w:pStyle w:val="Standard"/>
      </w:pPr>
      <w:r>
        <w:lastRenderedPageBreak/>
        <w:t xml:space="preserve">The </w:t>
      </w:r>
      <w:r w:rsidR="00241D2F">
        <w:t>Assigned</w:t>
      </w:r>
      <w:r w:rsidR="00001ADE">
        <w:t xml:space="preserve"> ALJ</w:t>
      </w:r>
      <w:r>
        <w:t xml:space="preserve">’s June 4, 2021 ruling requested party comment </w:t>
      </w:r>
      <w:r w:rsidR="00DA6654">
        <w:t>on</w:t>
      </w:r>
      <w:r>
        <w:t xml:space="preserve"> </w:t>
      </w:r>
      <w:r w:rsidR="00983D63">
        <w:t xml:space="preserve">the </w:t>
      </w:r>
      <w:r w:rsidRPr="004F1532" w:rsidR="004F1532">
        <w:t>PG&amp;E Proposal</w:t>
      </w:r>
      <w:r w:rsidR="00A41AA3">
        <w:t xml:space="preserve">, </w:t>
      </w:r>
      <w:r>
        <w:t>which was appended to the Staff Proposal</w:t>
      </w:r>
      <w:r w:rsidR="00711230">
        <w:t xml:space="preserve"> as Appendix </w:t>
      </w:r>
      <w:r w:rsidR="00A121B6">
        <w:t>E</w:t>
      </w:r>
      <w:r>
        <w:t>.</w:t>
      </w:r>
      <w:r w:rsidR="00A121B6">
        <w:t xml:space="preserve"> </w:t>
      </w:r>
    </w:p>
    <w:p w:rsidR="006C3CCF" w:rsidP="00FC4D55" w:rsidRDefault="001638F6" w14:paraId="045F8289" w14:textId="27781BB6">
      <w:pPr>
        <w:pStyle w:val="Heading3"/>
      </w:pPr>
      <w:bookmarkStart w:name="_Toc80890864" w:id="59"/>
      <w:bookmarkStart w:name="_Toc87361164" w:id="60"/>
      <w:r>
        <w:t>9.1.1</w:t>
      </w:r>
      <w:r>
        <w:tab/>
      </w:r>
      <w:r w:rsidR="006C3CCF">
        <w:t>PG&amp;E Transparency Proposal</w:t>
      </w:r>
      <w:bookmarkEnd w:id="59"/>
      <w:bookmarkEnd w:id="60"/>
    </w:p>
    <w:p w:rsidR="00711230" w:rsidP="004F4A56" w:rsidRDefault="001C7621" w14:paraId="66432367" w14:textId="6AC9FD70">
      <w:pPr>
        <w:pStyle w:val="Standard"/>
      </w:pPr>
      <w:r w:rsidRPr="001C7621">
        <w:t>The PG&amp;E Proposal recommends two new elements for inclusion in future RAMP reports to address data transparency and uncertaint</w:t>
      </w:r>
      <w:r w:rsidR="00857D30">
        <w:t>ies</w:t>
      </w:r>
      <w:r>
        <w:t>.</w:t>
      </w:r>
      <w:r w:rsidR="00611D41">
        <w:t xml:space="preserve">  The f</w:t>
      </w:r>
      <w:r w:rsidRPr="001C7621">
        <w:t>irst element is a set of standard workpaper templates and the second is a set of criteria for assessing the quality of data estimates used in the RAMP.</w:t>
      </w:r>
    </w:p>
    <w:p w:rsidR="001A1434" w:rsidP="002864F2" w:rsidRDefault="001A1434" w14:paraId="1DCF5BBC" w14:textId="184A4178">
      <w:pPr>
        <w:pStyle w:val="Standard"/>
      </w:pPr>
      <w:r w:rsidRPr="001A1434">
        <w:t xml:space="preserve">PG&amp;E proposes a standard set of templates for workpapers to be used for all RAMP applications, which </w:t>
      </w:r>
      <w:r>
        <w:t xml:space="preserve">PG&amp;E states could </w:t>
      </w:r>
      <w:r w:rsidRPr="001A1434">
        <w:t xml:space="preserve">streamline the review process </w:t>
      </w:r>
      <w:r>
        <w:t xml:space="preserve">but </w:t>
      </w:r>
      <w:r w:rsidR="00857D30">
        <w:t xml:space="preserve">would </w:t>
      </w:r>
      <w:r w:rsidRPr="001A1434">
        <w:t>not preclude parties from making</w:t>
      </w:r>
      <w:r>
        <w:t xml:space="preserve"> additional</w:t>
      </w:r>
      <w:r w:rsidRPr="001A1434">
        <w:t xml:space="preserve"> ad-hoc requests</w:t>
      </w:r>
      <w:r>
        <w:t xml:space="preserve">.  </w:t>
      </w:r>
      <w:r w:rsidR="007C2672">
        <w:t>PG&amp;E states that t</w:t>
      </w:r>
      <w:r w:rsidRPr="001A1434">
        <w:t>he templates support standard formats to provide input data, output calculations, and the associated risk models for each risk assessed in a RAMP application.</w:t>
      </w:r>
    </w:p>
    <w:p w:rsidRPr="00433B41" w:rsidR="00433B41" w:rsidP="004F4A56" w:rsidRDefault="00433B41" w14:paraId="351CA8EB" w14:textId="794BA74A">
      <w:pPr>
        <w:pStyle w:val="Standard"/>
      </w:pPr>
      <w:r>
        <w:t xml:space="preserve">PG&amp;E also proposes </w:t>
      </w:r>
      <w:r w:rsidRPr="00433B41">
        <w:t>a set of criteria to categorize the quality of each estimate used</w:t>
      </w:r>
      <w:r>
        <w:t xml:space="preserve"> in the RDF</w:t>
      </w:r>
      <w:r w:rsidRPr="00433B41">
        <w:t xml:space="preserve"> instead of reporting a numerical uncertainty value. </w:t>
      </w:r>
      <w:r w:rsidR="005D13B0">
        <w:t xml:space="preserve"> PG&amp;E calls these “estimate quality criteria.”  PG&amp;E proposes that</w:t>
      </w:r>
      <w:r w:rsidRPr="00433B41">
        <w:t xml:space="preserve"> </w:t>
      </w:r>
      <w:r w:rsidR="005D13B0">
        <w:t xml:space="preserve">utilities rate </w:t>
      </w:r>
      <w:r w:rsidRPr="00433B41">
        <w:t xml:space="preserve">estimates as </w:t>
      </w:r>
      <w:r w:rsidR="005D13B0">
        <w:t>“</w:t>
      </w:r>
      <w:r w:rsidRPr="00433B41">
        <w:t>High,</w:t>
      </w:r>
      <w:r w:rsidR="005D13B0">
        <w:t>”</w:t>
      </w:r>
      <w:r w:rsidRPr="00433B41">
        <w:t xml:space="preserve"> </w:t>
      </w:r>
      <w:r w:rsidR="005D13B0">
        <w:t>“</w:t>
      </w:r>
      <w:r w:rsidRPr="00433B41">
        <w:t>Medium,</w:t>
      </w:r>
      <w:r w:rsidR="005D13B0">
        <w:t>”</w:t>
      </w:r>
      <w:r w:rsidRPr="00433B41">
        <w:t xml:space="preserve"> or </w:t>
      </w:r>
      <w:r w:rsidR="005D13B0">
        <w:t>“</w:t>
      </w:r>
      <w:r w:rsidRPr="00433B41">
        <w:t>Low</w:t>
      </w:r>
      <w:r w:rsidR="005D13B0">
        <w:t>”</w:t>
      </w:r>
      <w:r w:rsidRPr="00433B41">
        <w:t xml:space="preserve"> quality, to help inform parties of the degree of certainty in the calculations.</w:t>
      </w:r>
      <w:r w:rsidR="005D13B0">
        <w:t xml:space="preserve">  </w:t>
      </w:r>
      <w:r w:rsidRPr="00433B41">
        <w:t>Calculations of residual risk</w:t>
      </w:r>
      <w:r w:rsidR="005D13B0">
        <w:t xml:space="preserve"> and risk reduction from </w:t>
      </w:r>
      <w:r w:rsidRPr="00433B41">
        <w:t>proposed mitigation measures typically require estimates and/or assumptions of risk, which</w:t>
      </w:r>
      <w:r w:rsidR="005D13B0">
        <w:t xml:space="preserve"> </w:t>
      </w:r>
      <w:r w:rsidRPr="00433B41">
        <w:t xml:space="preserve">introduce uncertainties </w:t>
      </w:r>
      <w:r w:rsidR="005D13B0">
        <w:t>that can compound through the model.</w:t>
      </w:r>
      <w:r w:rsidR="005D13B0">
        <w:rPr>
          <w:rStyle w:val="FootnoteReference"/>
        </w:rPr>
        <w:footnoteReference w:id="45"/>
      </w:r>
      <w:r w:rsidR="005D13B0">
        <w:t xml:space="preserve"> </w:t>
      </w:r>
    </w:p>
    <w:p w:rsidR="00716037" w:rsidP="0053279A" w:rsidRDefault="001638F6" w14:paraId="67D07BF3" w14:textId="6FBA2D63">
      <w:pPr>
        <w:pStyle w:val="Heading3"/>
      </w:pPr>
      <w:bookmarkStart w:name="_Toc80890865" w:id="61"/>
      <w:bookmarkStart w:name="_Toc87361165" w:id="62"/>
      <w:r>
        <w:t>9.1.2</w:t>
      </w:r>
      <w:r>
        <w:tab/>
      </w:r>
      <w:r w:rsidR="00716037">
        <w:t>Staff Recommendation</w:t>
      </w:r>
      <w:bookmarkEnd w:id="61"/>
      <w:bookmarkEnd w:id="62"/>
    </w:p>
    <w:p w:rsidR="00277A6D" w:rsidP="004F4A56" w:rsidRDefault="00716037" w14:paraId="62225897" w14:textId="1C93EE9C">
      <w:pPr>
        <w:pStyle w:val="Standard"/>
      </w:pPr>
      <w:r>
        <w:t xml:space="preserve">The Staff Proposal recommends that </w:t>
      </w:r>
      <w:r w:rsidR="002B2912">
        <w:t xml:space="preserve">PG&amp;E’s proposal be </w:t>
      </w:r>
      <w:r w:rsidR="00676EA5">
        <w:t xml:space="preserve">both </w:t>
      </w:r>
      <w:r w:rsidR="00861BEC">
        <w:t>modified</w:t>
      </w:r>
      <w:r w:rsidR="002B2912">
        <w:t xml:space="preserve"> and </w:t>
      </w:r>
      <w:r w:rsidR="00861BEC">
        <w:t>tested</w:t>
      </w:r>
      <w:r w:rsidR="002B2912">
        <w:t xml:space="preserve"> </w:t>
      </w:r>
      <w:r w:rsidR="0037129A">
        <w:t xml:space="preserve">prior to </w:t>
      </w:r>
      <w:r w:rsidR="00676EA5">
        <w:t>formal</w:t>
      </w:r>
      <w:r w:rsidR="00B4793F">
        <w:t xml:space="preserve"> </w:t>
      </w:r>
      <w:r w:rsidR="0037129A">
        <w:t>adopt</w:t>
      </w:r>
      <w:r w:rsidR="00B4793F">
        <w:t>ion</w:t>
      </w:r>
      <w:r w:rsidR="0037129A">
        <w:t xml:space="preserve"> </w:t>
      </w:r>
      <w:r w:rsidR="004F4821">
        <w:t>by the Commission</w:t>
      </w:r>
      <w:r w:rsidR="0037129A">
        <w:t xml:space="preserve">.  </w:t>
      </w:r>
      <w:r w:rsidR="00277A6D">
        <w:t>S</w:t>
      </w:r>
      <w:r w:rsidR="00861BEC">
        <w:t>pecifically, S</w:t>
      </w:r>
      <w:r w:rsidR="00277A6D">
        <w:t xml:space="preserve">taff </w:t>
      </w:r>
      <w:r w:rsidR="00277A6D">
        <w:lastRenderedPageBreak/>
        <w:t xml:space="preserve">recommend that the Commission </w:t>
      </w:r>
      <w:r w:rsidR="008C7A0F">
        <w:t>require</w:t>
      </w:r>
      <w:r w:rsidR="00277A6D">
        <w:t xml:space="preserve"> SCE to </w:t>
      </w:r>
      <w:r w:rsidR="00287FA0">
        <w:t>“</w:t>
      </w:r>
      <w:r w:rsidR="00277A6D">
        <w:t>test</w:t>
      </w:r>
      <w:r w:rsidR="00287FA0">
        <w:t xml:space="preserve"> drive”</w:t>
      </w:r>
      <w:r w:rsidR="00277A6D">
        <w:t xml:space="preserve"> </w:t>
      </w:r>
      <w:r w:rsidR="00E36FE4">
        <w:t xml:space="preserve">the </w:t>
      </w:r>
      <w:r w:rsidR="00277A6D">
        <w:t>PG&amp;E</w:t>
      </w:r>
      <w:r w:rsidR="00E36FE4">
        <w:t xml:space="preserve"> </w:t>
      </w:r>
      <w:r w:rsidR="00277A6D">
        <w:t>Proposal</w:t>
      </w:r>
      <w:r w:rsidR="00287FA0">
        <w:t xml:space="preserve"> as modified by Staff’s suggestions</w:t>
      </w:r>
      <w:r w:rsidR="00277A6D">
        <w:t xml:space="preserve"> </w:t>
      </w:r>
      <w:r w:rsidR="00682421">
        <w:t xml:space="preserve">concurrent with </w:t>
      </w:r>
      <w:r w:rsidR="00277A6D">
        <w:t>SCE’s 2022 RAMP filing.</w:t>
      </w:r>
      <w:r w:rsidR="00277A6D">
        <w:rPr>
          <w:rStyle w:val="FootnoteReference"/>
        </w:rPr>
        <w:footnoteReference w:id="46"/>
      </w:r>
      <w:r w:rsidR="00277A6D">
        <w:t xml:space="preserve"> </w:t>
      </w:r>
    </w:p>
    <w:p w:rsidRPr="00426FB2" w:rsidR="002566B5" w:rsidP="004F4A56" w:rsidRDefault="0037129A" w14:paraId="30B45789" w14:textId="700D7A19">
      <w:pPr>
        <w:pStyle w:val="Standard"/>
      </w:pPr>
      <w:r>
        <w:t>In discussing PG&amp;E’s proposal, Staff observe that TURN suggest</w:t>
      </w:r>
      <w:r w:rsidR="004F4821">
        <w:t>s</w:t>
      </w:r>
      <w:r>
        <w:t xml:space="preserve"> a </w:t>
      </w:r>
      <w:r w:rsidR="00277A6D">
        <w:t xml:space="preserve">slightly different </w:t>
      </w:r>
      <w:r>
        <w:t>format</w:t>
      </w:r>
      <w:r w:rsidR="00277A6D">
        <w:t xml:space="preserve"> for reporting assumptions</w:t>
      </w:r>
      <w:r w:rsidR="00AE3326">
        <w:t xml:space="preserve"> used by utilities</w:t>
      </w:r>
      <w:r w:rsidR="00277A6D">
        <w:t xml:space="preserve"> to </w:t>
      </w:r>
      <w:r w:rsidR="00AE3326">
        <w:t xml:space="preserve">estimate </w:t>
      </w:r>
      <w:r w:rsidR="00277A6D">
        <w:t xml:space="preserve">risk reduction benefits </w:t>
      </w:r>
      <w:r w:rsidR="00AE3326">
        <w:t xml:space="preserve">and the overall quality of data contained in a RAMP filing.  </w:t>
      </w:r>
      <w:r w:rsidR="00C520D7">
        <w:t xml:space="preserve">The Staff Proposal states that </w:t>
      </w:r>
      <w:r w:rsidRPr="006628F0" w:rsidR="006628F0">
        <w:t>TURN re</w:t>
      </w:r>
      <w:r w:rsidR="00123D4E">
        <w:t>commends</w:t>
      </w:r>
      <w:r w:rsidRPr="006628F0" w:rsidR="006628F0">
        <w:t xml:space="preserve"> that utilities explicitly identify the discount rate used</w:t>
      </w:r>
      <w:r w:rsidR="009A02D8">
        <w:t xml:space="preserve">, </w:t>
      </w:r>
      <w:r w:rsidRPr="006628F0" w:rsidR="006628F0">
        <w:t>the time horizon for each mitigation to indicate how the level of an attribute changes over time in the presence of a mitigation</w:t>
      </w:r>
      <w:r w:rsidR="009A02D8">
        <w:t>, and</w:t>
      </w:r>
      <w:r w:rsidR="00123D4E">
        <w:t xml:space="preserve"> that </w:t>
      </w:r>
      <w:r w:rsidRPr="006628F0" w:rsidR="006628F0">
        <w:t>utilities quantify uncertainties</w:t>
      </w:r>
      <w:r w:rsidR="007E2966">
        <w:t xml:space="preserve"> in attribute levels</w:t>
      </w:r>
      <w:r w:rsidRPr="006628F0" w:rsidR="006628F0">
        <w:t xml:space="preserve"> with probability distributions</w:t>
      </w:r>
      <w:r w:rsidR="000521CE">
        <w:t xml:space="preserve">, annually if </w:t>
      </w:r>
      <w:r w:rsidRPr="00426FB2" w:rsidR="000521CE">
        <w:t>necessary</w:t>
      </w:r>
      <w:r w:rsidRPr="00426FB2" w:rsidR="006628F0">
        <w:t>.</w:t>
      </w:r>
      <w:r w:rsidRPr="00426FB2" w:rsidR="006628F0">
        <w:rPr>
          <w:vertAlign w:val="superscript"/>
        </w:rPr>
        <w:footnoteReference w:id="47"/>
      </w:r>
      <w:r w:rsidRPr="00426FB2" w:rsidR="006628F0">
        <w:t xml:space="preserve"> </w:t>
      </w:r>
      <w:r w:rsidRPr="00426FB2" w:rsidR="000521CE">
        <w:t xml:space="preserve"> </w:t>
      </w:r>
    </w:p>
    <w:p w:rsidR="00716037" w:rsidP="004F4A56" w:rsidRDefault="000521CE" w14:paraId="407F519C" w14:textId="7D73E4E5">
      <w:pPr>
        <w:pStyle w:val="Standard"/>
      </w:pPr>
      <w:r>
        <w:t>The Staff Proposal provides a</w:t>
      </w:r>
      <w:r w:rsidR="002566B5">
        <w:t xml:space="preserve">dditional </w:t>
      </w:r>
      <w:r>
        <w:t xml:space="preserve">detailed </w:t>
      </w:r>
      <w:r w:rsidR="002566B5">
        <w:t>revi</w:t>
      </w:r>
      <w:r w:rsidR="001433B1">
        <w:t>ew</w:t>
      </w:r>
      <w:r>
        <w:t xml:space="preserve"> of the differences between PG&amp;E’s Proposal and TURN’s recommendations</w:t>
      </w:r>
      <w:r w:rsidR="002566B5">
        <w:t xml:space="preserve"> but conclude</w:t>
      </w:r>
      <w:r w:rsidR="00A10555">
        <w:t>s</w:t>
      </w:r>
      <w:r w:rsidR="002566B5">
        <w:t xml:space="preserve"> that, </w:t>
      </w:r>
      <w:r w:rsidR="00B62C83">
        <w:t xml:space="preserve"> </w:t>
      </w:r>
      <w:r w:rsidR="007A4FDC">
        <w:t>although TURN raises some valid concerns, “</w:t>
      </w:r>
      <w:r w:rsidRPr="007A4FDC" w:rsidR="007A4FDC">
        <w:t xml:space="preserve">PG&amp;E’s </w:t>
      </w:r>
      <w:r w:rsidR="007A4FDC">
        <w:t>P</w:t>
      </w:r>
      <w:r w:rsidRPr="007A4FDC" w:rsidR="007A4FDC">
        <w:t>roposal is more comprehensive than TURN’s suggested format because PG&amp;E’s format contains more categories of information while not omitting any information contained in TURN’s format.</w:t>
      </w:r>
      <w:r w:rsidR="007A4FDC">
        <w:t>”</w:t>
      </w:r>
      <w:r w:rsidR="00653AA7">
        <w:rPr>
          <w:rStyle w:val="FootnoteReference"/>
        </w:rPr>
        <w:footnoteReference w:id="48"/>
      </w:r>
      <w:r w:rsidR="0082693C">
        <w:t xml:space="preserve">  </w:t>
      </w:r>
      <w:r w:rsidR="002566B5">
        <w:t>Staff does not recommend that the PG&amp;E Proposal be modified to incorporate any specific recommendations made by TURN.</w:t>
      </w:r>
      <w:r w:rsidR="0025515F">
        <w:t xml:space="preserve">  Staff recommend postponing consideration of several Cal Advocates recommendations until after PG&amp;E’s Proposal has been </w:t>
      </w:r>
      <w:r w:rsidR="006861D7">
        <w:t>tested</w:t>
      </w:r>
      <w:r w:rsidR="0025515F">
        <w:t>.</w:t>
      </w:r>
    </w:p>
    <w:p w:rsidRPr="00716037" w:rsidR="00B27075" w:rsidP="00426FB2" w:rsidRDefault="00B27075" w14:paraId="0DB945D3" w14:textId="723585CD">
      <w:pPr>
        <w:pStyle w:val="Standard"/>
        <w:ind w:right="-180"/>
      </w:pPr>
      <w:r>
        <w:t xml:space="preserve">Staff discuss a proposal from MGRA to include reporting </w:t>
      </w:r>
      <w:r w:rsidRPr="00B62C83" w:rsidR="00B62C83">
        <w:t xml:space="preserve">of risk </w:t>
      </w:r>
      <w:r w:rsidR="0094176F">
        <w:t xml:space="preserve">“confidence interval” </w:t>
      </w:r>
      <w:r w:rsidRPr="00B62C83" w:rsidR="00B62C83">
        <w:t>values at the upper and lower bounds of a parameter, with the lower bound set at the 10</w:t>
      </w:r>
      <w:r w:rsidRPr="00B62C83" w:rsidR="00B62C83">
        <w:rPr>
          <w:vertAlign w:val="superscript"/>
        </w:rPr>
        <w:t>th</w:t>
      </w:r>
      <w:r w:rsidRPr="00B62C83" w:rsidR="00B62C83">
        <w:t xml:space="preserve"> percentile and the upper bound at the 90</w:t>
      </w:r>
      <w:r w:rsidRPr="00B62C83" w:rsidR="00B62C83">
        <w:rPr>
          <w:vertAlign w:val="superscript"/>
        </w:rPr>
        <w:t>th</w:t>
      </w:r>
      <w:r w:rsidRPr="00B62C83" w:rsidR="00B62C83">
        <w:t xml:space="preserve"> percentile of the </w:t>
      </w:r>
      <w:r w:rsidRPr="00B62C83" w:rsidR="00B62C83">
        <w:lastRenderedPageBreak/>
        <w:t xml:space="preserve">parameter.  Staff </w:t>
      </w:r>
      <w:r w:rsidR="00B62C83">
        <w:t>recommend</w:t>
      </w:r>
      <w:r w:rsidRPr="00B62C83" w:rsidR="00B62C83">
        <w:t xml:space="preserve"> that </w:t>
      </w:r>
      <w:r w:rsidR="0006012E">
        <w:t xml:space="preserve">PG&amp;E’s </w:t>
      </w:r>
      <w:r w:rsidR="00E36FE4">
        <w:t>p</w:t>
      </w:r>
      <w:r w:rsidR="0006012E">
        <w:t xml:space="preserve">roposal </w:t>
      </w:r>
      <w:r w:rsidRPr="00B62C83" w:rsidR="00B62C83">
        <w:t>be updated to include th</w:t>
      </w:r>
      <w:r w:rsidR="008D7C4C">
        <w:t>is</w:t>
      </w:r>
      <w:r w:rsidRPr="00B62C83" w:rsidR="00B62C83">
        <w:t xml:space="preserve"> </w:t>
      </w:r>
      <w:r w:rsidR="00FE3D6F">
        <w:t xml:space="preserve">MGRA </w:t>
      </w:r>
      <w:r w:rsidRPr="00B62C83" w:rsidR="00B62C83">
        <w:t>suggestion</w:t>
      </w:r>
      <w:r w:rsidR="0006012E">
        <w:t xml:space="preserve"> prior to </w:t>
      </w:r>
      <w:r w:rsidRPr="00B62C83" w:rsidR="00B62C83">
        <w:t>be</w:t>
      </w:r>
      <w:r w:rsidR="0006012E">
        <w:t>ing</w:t>
      </w:r>
      <w:r w:rsidRPr="00B62C83" w:rsidR="00B62C83">
        <w:t xml:space="preserve"> tested during SCE’s 2022 RAMP application.  </w:t>
      </w:r>
    </w:p>
    <w:p w:rsidR="0053279A" w:rsidP="00142E2E" w:rsidRDefault="0053279A" w14:paraId="7EA7901F" w14:textId="20B8FDA0">
      <w:pPr>
        <w:pStyle w:val="Heading3"/>
        <w:numPr>
          <w:ilvl w:val="2"/>
          <w:numId w:val="11"/>
        </w:numPr>
      </w:pPr>
      <w:bookmarkStart w:name="_Toc80890866" w:id="63"/>
      <w:bookmarkStart w:name="_Toc87361166" w:id="64"/>
      <w:r>
        <w:t>Party Comments</w:t>
      </w:r>
      <w:bookmarkEnd w:id="63"/>
      <w:bookmarkEnd w:id="64"/>
    </w:p>
    <w:p w:rsidRPr="00FB4F28" w:rsidR="00FB4F28" w:rsidP="00FB4F28" w:rsidRDefault="00B2689F" w14:paraId="4EF6BED5" w14:textId="6904B3E4">
      <w:pPr>
        <w:pStyle w:val="Standard"/>
      </w:pPr>
      <w:r w:rsidRPr="00E57053">
        <w:t>Parties raise a number of issues regarding Staff</w:t>
      </w:r>
      <w:r w:rsidR="0056431F">
        <w:t>’s</w:t>
      </w:r>
      <w:r w:rsidRPr="00E57053">
        <w:t xml:space="preserve"> proposal that SCE test</w:t>
      </w:r>
      <w:r w:rsidDel="00A10555" w:rsidR="00D4201D">
        <w:t xml:space="preserve"> </w:t>
      </w:r>
      <w:r w:rsidRPr="00E57053">
        <w:t>PG&amp;E’s proposed Transparency Guidelines</w:t>
      </w:r>
      <w:r w:rsidRPr="00E57053" w:rsidR="00EB43E5">
        <w:t>, modified as suggested by Staff,</w:t>
      </w:r>
      <w:r w:rsidRPr="00E57053">
        <w:t xml:space="preserve"> </w:t>
      </w:r>
      <w:r w:rsidR="00D4201D">
        <w:t xml:space="preserve">concurrent with </w:t>
      </w:r>
      <w:r w:rsidRPr="00E57053">
        <w:t>its 2022 RAMP filing</w:t>
      </w:r>
      <w:r w:rsidR="0046244D">
        <w:t xml:space="preserve"> and that the Commission consider adopting the proposal formally at a later date</w:t>
      </w:r>
      <w:r w:rsidRPr="00E57053" w:rsidR="00EB43E5">
        <w:t>.</w:t>
      </w:r>
      <w:r w:rsidRPr="00E57053">
        <w:t xml:space="preserve"> </w:t>
      </w:r>
      <w:r w:rsidR="001E5FDB">
        <w:t xml:space="preserve"> SCE states that a</w:t>
      </w:r>
      <w:r w:rsidRPr="001E5FDB" w:rsidR="001E5FDB">
        <w:t xml:space="preserve">ny </w:t>
      </w:r>
      <w:r w:rsidR="006E35A4">
        <w:t>technical clarifications</w:t>
      </w:r>
      <w:r w:rsidRPr="001E5FDB" w:rsidR="001E5FDB">
        <w:t xml:space="preserve"> to the SA </w:t>
      </w:r>
      <w:r w:rsidR="006E35A4">
        <w:t>Decision</w:t>
      </w:r>
      <w:r w:rsidRPr="001E5FDB" w:rsidR="001E5FDB">
        <w:t xml:space="preserve"> must not change the requirements for SCE’s next RAMP showing, due May 2022</w:t>
      </w:r>
      <w:r w:rsidR="00D4201D">
        <w:t>,</w:t>
      </w:r>
      <w:r w:rsidR="004A74D4">
        <w:t xml:space="preserve"> </w:t>
      </w:r>
      <w:r w:rsidRPr="001E5FDB" w:rsidR="004A74D4">
        <w:t>in any significant manner</w:t>
      </w:r>
      <w:r w:rsidRPr="001E5FDB" w:rsidR="001E5FDB">
        <w:t xml:space="preserve">. </w:t>
      </w:r>
      <w:r w:rsidR="00FB4F28">
        <w:t xml:space="preserve"> SCE states that utilities should not be required to provide </w:t>
      </w:r>
      <w:r w:rsidR="0094176F">
        <w:t>“c</w:t>
      </w:r>
      <w:r w:rsidRPr="00FB4F28" w:rsidR="00FB4F28">
        <w:t xml:space="preserve">onfidence </w:t>
      </w:r>
      <w:r w:rsidR="0094176F">
        <w:t>i</w:t>
      </w:r>
      <w:r w:rsidRPr="00FB4F28" w:rsidR="00FB4F28">
        <w:t>nterval”</w:t>
      </w:r>
      <w:r w:rsidR="0094176F">
        <w:t xml:space="preserve"> values,</w:t>
      </w:r>
      <w:r w:rsidR="00085B6A">
        <w:t xml:space="preserve"> as proposed by MGRA and Staff, or </w:t>
      </w:r>
      <w:r w:rsidRPr="00FB4F28" w:rsidR="00FB4F28">
        <w:t>an Estimated Quality</w:t>
      </w:r>
      <w:r w:rsidR="002A5BDC">
        <w:t xml:space="preserve"> T</w:t>
      </w:r>
      <w:r w:rsidRPr="00FB4F28" w:rsidR="00FB4F28">
        <w:t>able</w:t>
      </w:r>
      <w:r w:rsidR="00085B6A">
        <w:t xml:space="preserve"> </w:t>
      </w:r>
      <w:r w:rsidR="0094176F">
        <w:t xml:space="preserve">or </w:t>
      </w:r>
      <w:r w:rsidR="00FB4F28">
        <w:t>a</w:t>
      </w:r>
      <w:r w:rsidRPr="00FB4F28" w:rsidR="00FB4F28">
        <w:t xml:space="preserve"> Sensitivity Analysis Table</w:t>
      </w:r>
      <w:r w:rsidR="00085B6A">
        <w:t>, as proposed by PG&amp;E,</w:t>
      </w:r>
      <w:r w:rsidR="00B322CE">
        <w:t xml:space="preserve"> because these are not current RAMP requirements</w:t>
      </w:r>
      <w:r w:rsidR="00FB4F28">
        <w:t xml:space="preserve">.  SCE and </w:t>
      </w:r>
      <w:r w:rsidRPr="00FB4F28" w:rsidR="00FB4F28">
        <w:t xml:space="preserve">PG&amp;E </w:t>
      </w:r>
      <w:r w:rsidR="00FB4F28">
        <w:t xml:space="preserve">state </w:t>
      </w:r>
      <w:r w:rsidRPr="00FB4F28" w:rsidR="00FB4F28">
        <w:t xml:space="preserve">that it would be extremely difficult to provide 10th and 90th percentile risk values for parameters, and the utilities should not be </w:t>
      </w:r>
      <w:r w:rsidR="00FB4F28">
        <w:t xml:space="preserve">required to provide this. </w:t>
      </w:r>
      <w:r w:rsidR="00092CE9">
        <w:t xml:space="preserve"> </w:t>
      </w:r>
      <w:r w:rsidR="0084301F">
        <w:t xml:space="preserve">Instead, </w:t>
      </w:r>
      <w:r w:rsidR="00092CE9">
        <w:t xml:space="preserve">PG&amp;E recommends that </w:t>
      </w:r>
      <w:r w:rsidR="0084301F">
        <w:t xml:space="preserve">the Track 1 </w:t>
      </w:r>
      <w:r w:rsidR="00A10555">
        <w:t>working group</w:t>
      </w:r>
      <w:r w:rsidR="0084301F">
        <w:t xml:space="preserve"> develop a </w:t>
      </w:r>
      <w:r w:rsidRPr="0084301F" w:rsidR="0084301F">
        <w:t>suitable set of estimate ranges to use in sensitivity calculations</w:t>
      </w:r>
      <w:r w:rsidR="0084301F">
        <w:t>.</w:t>
      </w:r>
    </w:p>
    <w:p w:rsidR="00157291" w:rsidP="0012300D" w:rsidRDefault="00FC0D17" w14:paraId="4E87A451" w14:textId="0BDF7869">
      <w:pPr>
        <w:pStyle w:val="Standard"/>
        <w:keepNext/>
      </w:pPr>
      <w:r>
        <w:t>Cal Advocates</w:t>
      </w:r>
      <w:r w:rsidR="003748EA">
        <w:t xml:space="preserve"> </w:t>
      </w:r>
      <w:r>
        <w:t>recommend</w:t>
      </w:r>
      <w:r w:rsidR="003748EA">
        <w:t>s</w:t>
      </w:r>
      <w:r>
        <w:t xml:space="preserve"> </w:t>
      </w:r>
      <w:r w:rsidR="006475CF">
        <w:t xml:space="preserve">that the Commission require additional </w:t>
      </w:r>
      <w:r w:rsidR="00B505F3">
        <w:t xml:space="preserve">information and references </w:t>
      </w:r>
      <w:r w:rsidR="00B374A8">
        <w:t xml:space="preserve">in the PG&amp;E Proposal </w:t>
      </w:r>
      <w:r w:rsidR="00B505F3">
        <w:t xml:space="preserve">to provide greater granularity.  </w:t>
      </w:r>
      <w:r w:rsidR="00157291">
        <w:t xml:space="preserve">These include: </w:t>
      </w:r>
    </w:p>
    <w:p w:rsidR="00157291" w:rsidP="0012300D" w:rsidRDefault="00157291" w14:paraId="60897EAB" w14:textId="56A1AEA5">
      <w:pPr>
        <w:pStyle w:val="ListBullet"/>
        <w:keepNext/>
        <w:ind w:left="1080" w:right="1440"/>
      </w:pPr>
      <w:r w:rsidRPr="00157291">
        <w:t xml:space="preserve">Add a column to the Risk Results and Risk Sensitivity Analysis </w:t>
      </w:r>
      <w:r w:rsidR="00510840">
        <w:t>T</w:t>
      </w:r>
      <w:r w:rsidRPr="00157291">
        <w:t>ables to report on and reference metrics used to evaluate risk mitigation effectiveness;</w:t>
      </w:r>
    </w:p>
    <w:p w:rsidR="00157291" w:rsidP="005208F3" w:rsidRDefault="00157291" w14:paraId="352AB050" w14:textId="44A38937">
      <w:pPr>
        <w:pStyle w:val="ListBullet"/>
        <w:ind w:left="1080" w:right="1440"/>
      </w:pPr>
      <w:r w:rsidRPr="00157291">
        <w:t xml:space="preserve">Add a column to the Risk Results </w:t>
      </w:r>
      <w:r w:rsidR="0065739D">
        <w:t>T</w:t>
      </w:r>
      <w:r w:rsidRPr="00157291">
        <w:t>able to reference S</w:t>
      </w:r>
      <w:r w:rsidR="0065739D">
        <w:t xml:space="preserve">ME </w:t>
      </w:r>
      <w:r w:rsidRPr="00157291">
        <w:t xml:space="preserve">input; </w:t>
      </w:r>
    </w:p>
    <w:p w:rsidR="00157291" w:rsidP="005208F3" w:rsidRDefault="00157291" w14:paraId="6FA89A29" w14:textId="0CC85277">
      <w:pPr>
        <w:pStyle w:val="ListBullet"/>
        <w:ind w:left="1080" w:right="1440"/>
      </w:pPr>
      <w:r w:rsidRPr="00157291">
        <w:t xml:space="preserve">Expand the granularity of the risk mitigation rows in the Risk Results and Risk Sensitivity Analysis </w:t>
      </w:r>
      <w:r w:rsidR="0065739D">
        <w:t>T</w:t>
      </w:r>
      <w:r w:rsidRPr="00157291">
        <w:t xml:space="preserve">ables to report </w:t>
      </w:r>
      <w:r w:rsidRPr="00157291">
        <w:lastRenderedPageBreak/>
        <w:t>on and reference risk and mitigation uncertainties for GRC level risk mitigation programs.</w:t>
      </w:r>
      <w:r>
        <w:rPr>
          <w:rStyle w:val="FootnoteReference"/>
        </w:rPr>
        <w:footnoteReference w:id="49"/>
      </w:r>
    </w:p>
    <w:p w:rsidR="004A7998" w:rsidP="004A7998" w:rsidRDefault="007C0F0E" w14:paraId="1F780995" w14:textId="0A5AECFB">
      <w:pPr>
        <w:pStyle w:val="Standard"/>
      </w:pPr>
      <w:r>
        <w:t xml:space="preserve">MGRA </w:t>
      </w:r>
      <w:r w:rsidR="00797592">
        <w:t xml:space="preserve">supports the PG&amp;E Proposal, stating that </w:t>
      </w:r>
      <w:r w:rsidR="00434433">
        <w:t>it a</w:t>
      </w:r>
      <w:r w:rsidRPr="00434433" w:rsidR="00434433">
        <w:t xml:space="preserve">llows for visual comparison of hundreds of risk components, </w:t>
      </w:r>
      <w:r w:rsidR="00434433">
        <w:t xml:space="preserve">which </w:t>
      </w:r>
      <w:r w:rsidRPr="00434433" w:rsidR="00434433">
        <w:t xml:space="preserve">would “make each risk directly comparable” </w:t>
      </w:r>
      <w:r w:rsidR="00E36FE4">
        <w:t xml:space="preserve">using </w:t>
      </w:r>
      <w:r w:rsidR="00F944FE">
        <w:t>the</w:t>
      </w:r>
      <w:r w:rsidRPr="00434433" w:rsidR="00434433">
        <w:t xml:space="preserve"> same format and desc</w:t>
      </w:r>
      <w:r w:rsidR="00434433">
        <w:t>r</w:t>
      </w:r>
      <w:r w:rsidRPr="00434433" w:rsidR="00434433">
        <w:t xml:space="preserve">iptions, and could be supplemented by more detailed descriptions </w:t>
      </w:r>
      <w:r w:rsidR="00434433">
        <w:t xml:space="preserve">as proposed in the </w:t>
      </w:r>
      <w:r w:rsidRPr="00434433" w:rsidR="00434433">
        <w:t>TURN matrix</w:t>
      </w:r>
      <w:r w:rsidR="00434433">
        <w:t xml:space="preserve"> via data request.  MGRA </w:t>
      </w:r>
      <w:r w:rsidR="000E1670">
        <w:t xml:space="preserve">supports </w:t>
      </w:r>
      <w:r w:rsidR="00434433">
        <w:t xml:space="preserve">Staff’s proposal </w:t>
      </w:r>
      <w:r w:rsidR="00F5405E">
        <w:t>for presentation of risk estimates at the 10</w:t>
      </w:r>
      <w:r w:rsidRPr="00A30E71" w:rsidR="00E36FE4">
        <w:rPr>
          <w:vertAlign w:val="superscript"/>
        </w:rPr>
        <w:t>th</w:t>
      </w:r>
      <w:r w:rsidR="00870327">
        <w:t xml:space="preserve"> </w:t>
      </w:r>
      <w:r w:rsidR="000D1EB5">
        <w:t>and 90</w:t>
      </w:r>
      <w:r w:rsidRPr="00A30E71" w:rsidR="00E36FE4">
        <w:rPr>
          <w:vertAlign w:val="superscript"/>
        </w:rPr>
        <w:t>th</w:t>
      </w:r>
      <w:r w:rsidR="000D1EB5">
        <w:t xml:space="preserve"> percentiles </w:t>
      </w:r>
      <w:r w:rsidR="008A0931">
        <w:t xml:space="preserve">because </w:t>
      </w:r>
      <w:r w:rsidR="00B07DF8">
        <w:t xml:space="preserve">this </w:t>
      </w:r>
      <w:r w:rsidRPr="008A0931" w:rsidR="008A0931">
        <w:t>allows “unusual behavior at the extreme to be flagged.”</w:t>
      </w:r>
      <w:r w:rsidR="00B07DF8">
        <w:rPr>
          <w:rStyle w:val="FootnoteReference"/>
        </w:rPr>
        <w:footnoteReference w:id="50"/>
      </w:r>
      <w:r w:rsidRPr="008A0931" w:rsidR="008A0931">
        <w:t xml:space="preserve"> </w:t>
      </w:r>
      <w:r w:rsidR="0012300D">
        <w:t xml:space="preserve"> </w:t>
      </w:r>
      <w:r w:rsidR="00B07DF8">
        <w:t>MGRA</w:t>
      </w:r>
      <w:r w:rsidR="001F4C85">
        <w:t xml:space="preserve"> recommends that the Commission provisionally approve </w:t>
      </w:r>
      <w:r w:rsidR="00B07DF8">
        <w:t xml:space="preserve">Staff’s recommended </w:t>
      </w:r>
      <w:r w:rsidR="001F4C85">
        <w:t>approach to allow for testing</w:t>
      </w:r>
      <w:r w:rsidR="00A74F10">
        <w:t>.</w:t>
      </w:r>
    </w:p>
    <w:p w:rsidRPr="00FB4F28" w:rsidR="0009050A" w:rsidP="003748EA" w:rsidRDefault="001270CC" w14:paraId="0FFF8E52" w14:textId="4B2E7295">
      <w:pPr>
        <w:pStyle w:val="Standard"/>
      </w:pPr>
      <w:r>
        <w:t xml:space="preserve">MGRA rejects </w:t>
      </w:r>
      <w:r w:rsidRPr="001270CC">
        <w:t xml:space="preserve">SCE’s </w:t>
      </w:r>
      <w:r>
        <w:t xml:space="preserve">concerns that it be required to test the </w:t>
      </w:r>
      <w:r w:rsidRPr="001270CC">
        <w:t xml:space="preserve">PG&amp;E </w:t>
      </w:r>
      <w:r>
        <w:t xml:space="preserve">Proposal </w:t>
      </w:r>
      <w:r w:rsidR="00E36FE4">
        <w:t xml:space="preserve">concurrent with </w:t>
      </w:r>
      <w:r>
        <w:t xml:space="preserve">its May 2022 RAMP filing.  MGRA points out that SCE will have had </w:t>
      </w:r>
      <w:r w:rsidRPr="001270CC">
        <w:t xml:space="preserve">one year to incorporate </w:t>
      </w:r>
      <w:r>
        <w:t xml:space="preserve">the PG&amp;E Proposal, that the </w:t>
      </w:r>
      <w:r w:rsidRPr="001270CC">
        <w:t xml:space="preserve">transparency showings to date </w:t>
      </w:r>
      <w:r>
        <w:t xml:space="preserve">in </w:t>
      </w:r>
      <w:r w:rsidRPr="001270CC">
        <w:t>SDG&amp;E and PG&amp;E</w:t>
      </w:r>
      <w:r>
        <w:t>’s RAMP filings</w:t>
      </w:r>
      <w:r w:rsidRPr="001270CC">
        <w:t xml:space="preserve"> have been </w:t>
      </w:r>
      <w:r>
        <w:t>“</w:t>
      </w:r>
      <w:r w:rsidRPr="001270CC">
        <w:t>utterly lacking, in spite of the SA requirements</w:t>
      </w:r>
      <w:r>
        <w:t>,</w:t>
      </w:r>
      <w:r w:rsidRPr="001270CC">
        <w:t>”</w:t>
      </w:r>
      <w:r>
        <w:t xml:space="preserve"> that SCE could have proposed its own approach, and that w</w:t>
      </w:r>
      <w:r w:rsidRPr="001270CC">
        <w:t xml:space="preserve">aiting to 2024 to </w:t>
      </w:r>
      <w:r>
        <w:t xml:space="preserve">test the PG&amp;E Proposal </w:t>
      </w:r>
      <w:r w:rsidRPr="001270CC">
        <w:t xml:space="preserve">is </w:t>
      </w:r>
      <w:r>
        <w:t>“</w:t>
      </w:r>
      <w:r w:rsidRPr="001270CC">
        <w:t>too late</w:t>
      </w:r>
      <w:r>
        <w:t>.”</w:t>
      </w:r>
      <w:r>
        <w:rPr>
          <w:rStyle w:val="FootnoteReference"/>
        </w:rPr>
        <w:footnoteReference w:id="51"/>
      </w:r>
      <w:r w:rsidR="0084301F">
        <w:t xml:space="preserve">  </w:t>
      </w:r>
      <w:r w:rsidR="004A7998">
        <w:t xml:space="preserve">Cal Advocates recommends that </w:t>
      </w:r>
      <w:r w:rsidRPr="004A7998" w:rsidR="004A7998">
        <w:t>further updates to these guidelines, including adoption of the elements proposed by Cal Advocates, be part of</w:t>
      </w:r>
      <w:r w:rsidR="004A7998">
        <w:t xml:space="preserve"> Phase II of this proceeding</w:t>
      </w:r>
      <w:r w:rsidRPr="004A7998" w:rsidR="004A7998">
        <w:t xml:space="preserve">. </w:t>
      </w:r>
    </w:p>
    <w:p w:rsidRPr="001E5FDB" w:rsidR="001E5FDB" w:rsidP="001E5FDB" w:rsidRDefault="00B27304" w14:paraId="530501E5" w14:textId="73A1863B">
      <w:pPr>
        <w:pStyle w:val="Standard"/>
      </w:pPr>
      <w:r>
        <w:t xml:space="preserve">TURN states that it does not oppose the PG&amp;E Proposal but it </w:t>
      </w:r>
      <w:r w:rsidR="0044788C">
        <w:t>“</w:t>
      </w:r>
      <w:r w:rsidRPr="0044788C" w:rsidR="0044788C">
        <w:t xml:space="preserve">does not believe that the Estimate Quality and Sensitivity Analysis </w:t>
      </w:r>
      <w:r w:rsidR="002A5BDC">
        <w:t>T</w:t>
      </w:r>
      <w:r w:rsidRPr="0044788C" w:rsidR="0044788C">
        <w:t>able</w:t>
      </w:r>
      <w:r w:rsidR="002A5BDC">
        <w:t>s</w:t>
      </w:r>
      <w:r w:rsidRPr="0044788C" w:rsidR="0044788C">
        <w:t xml:space="preserve"> proposed by PG&amp;E are helpful addition</w:t>
      </w:r>
      <w:r w:rsidR="002A5BDC">
        <w:t>s</w:t>
      </w:r>
      <w:r w:rsidRPr="0044788C" w:rsidR="0044788C">
        <w:t xml:space="preserve"> to the RAMP</w:t>
      </w:r>
      <w:r w:rsidR="00A537E8">
        <w:t xml:space="preserve">” because TURN </w:t>
      </w:r>
      <w:r w:rsidR="00E2675B">
        <w:t xml:space="preserve">does not believe that an estimate provided by a SME </w:t>
      </w:r>
      <w:r w:rsidR="006F269E">
        <w:t>“</w:t>
      </w:r>
      <w:r w:rsidR="00E2675B">
        <w:t xml:space="preserve">is </w:t>
      </w:r>
      <w:r w:rsidRPr="006F269E" w:rsidR="006F269E">
        <w:t xml:space="preserve">any more or less likely to be accurate than internal data. </w:t>
      </w:r>
      <w:r w:rsidR="0012300D">
        <w:t xml:space="preserve"> </w:t>
      </w:r>
      <w:r w:rsidRPr="006F269E" w:rsidR="006F269E">
        <w:t xml:space="preserve">Additional considerations of the qualifiers, most importantly </w:t>
      </w:r>
      <w:r w:rsidRPr="006F269E" w:rsidR="006F269E">
        <w:lastRenderedPageBreak/>
        <w:t>whether they provide valuable insight into the risk scores is required</w:t>
      </w:r>
      <w:r w:rsidR="006F269E">
        <w:t>.”</w:t>
      </w:r>
      <w:r w:rsidR="006F269E">
        <w:rPr>
          <w:rStyle w:val="FootnoteReference"/>
        </w:rPr>
        <w:footnoteReference w:id="52"/>
      </w:r>
      <w:r w:rsidR="00A22120">
        <w:t xml:space="preserve">  </w:t>
      </w:r>
      <w:r w:rsidR="00870327">
        <w:t xml:space="preserve">TURN notes </w:t>
      </w:r>
      <w:r w:rsidR="0052760E">
        <w:t xml:space="preserve">that </w:t>
      </w:r>
      <w:r w:rsidR="0042324B">
        <w:t xml:space="preserve">parties to A.15-05-002 </w:t>
      </w:r>
      <w:r w:rsidRPr="00A30E71" w:rsidR="0042324B">
        <w:rPr>
          <w:i/>
          <w:iCs/>
        </w:rPr>
        <w:t>et al</w:t>
      </w:r>
      <w:r w:rsidR="0042324B">
        <w:t xml:space="preserve"> earlier found it useful and straightforward to </w:t>
      </w:r>
      <w:r w:rsidR="00870327">
        <w:t>report probability distribution</w:t>
      </w:r>
      <w:r w:rsidR="009E6700">
        <w:t>s</w:t>
      </w:r>
      <w:r w:rsidR="00FB78AA">
        <w:t xml:space="preserve"> </w:t>
      </w:r>
      <w:r w:rsidR="009E6700">
        <w:t>at the 10</w:t>
      </w:r>
      <w:r w:rsidRPr="00A30E71" w:rsidR="00E36FE4">
        <w:rPr>
          <w:vertAlign w:val="superscript"/>
        </w:rPr>
        <w:t>th</w:t>
      </w:r>
      <w:r w:rsidR="009E6700">
        <w:t>, 50</w:t>
      </w:r>
      <w:r w:rsidRPr="00A30E71" w:rsidR="00E36FE4">
        <w:rPr>
          <w:vertAlign w:val="superscript"/>
        </w:rPr>
        <w:t>th</w:t>
      </w:r>
      <w:r w:rsidR="009E6700">
        <w:t>, and 90</w:t>
      </w:r>
      <w:r w:rsidRPr="00A30E71" w:rsidR="00E36FE4">
        <w:rPr>
          <w:vertAlign w:val="superscript"/>
        </w:rPr>
        <w:t>th</w:t>
      </w:r>
      <w:r w:rsidR="009E6700">
        <w:t xml:space="preserve"> p</w:t>
      </w:r>
      <w:r w:rsidR="009E59BE">
        <w:t>ercentiles</w:t>
      </w:r>
      <w:r w:rsidR="0042324B">
        <w:t xml:space="preserve"> as a way to disclose uncertainties</w:t>
      </w:r>
      <w:r w:rsidR="009E59BE">
        <w:t>.</w:t>
      </w:r>
      <w:r w:rsidR="00EB3B2C">
        <w:rPr>
          <w:rStyle w:val="FootnoteReference"/>
        </w:rPr>
        <w:footnoteReference w:id="53"/>
      </w:r>
      <w:r w:rsidR="009E59BE">
        <w:t xml:space="preserve">  </w:t>
      </w:r>
      <w:r w:rsidR="00A22120">
        <w:t xml:space="preserve">TURN states that it </w:t>
      </w:r>
      <w:r w:rsidRPr="00A22120" w:rsidR="00A22120">
        <w:t>does not oppose a</w:t>
      </w:r>
      <w:r w:rsidR="00A22120">
        <w:t xml:space="preserve"> SCE</w:t>
      </w:r>
      <w:r w:rsidRPr="00A22120" w:rsidR="00A22120">
        <w:t xml:space="preserve"> test drive of the PG&amp;E </w:t>
      </w:r>
      <w:r w:rsidR="00A22120">
        <w:t>P</w:t>
      </w:r>
      <w:r w:rsidRPr="00A22120" w:rsidR="00A22120">
        <w:t>roposal but</w:t>
      </w:r>
      <w:r w:rsidR="00A22120">
        <w:t xml:space="preserve"> </w:t>
      </w:r>
      <w:r w:rsidR="0042324B">
        <w:t xml:space="preserve">that it </w:t>
      </w:r>
      <w:r w:rsidRPr="00A22120" w:rsidR="00A22120">
        <w:t xml:space="preserve">may also submit </w:t>
      </w:r>
      <w:r w:rsidR="0042324B">
        <w:t xml:space="preserve">a data request using </w:t>
      </w:r>
      <w:r w:rsidRPr="00A22120" w:rsidR="00A22120">
        <w:t>its own format during th</w:t>
      </w:r>
      <w:r w:rsidR="0042324B">
        <w:t>e</w:t>
      </w:r>
      <w:r w:rsidRPr="00A22120" w:rsidR="00A22120">
        <w:t xml:space="preserve"> </w:t>
      </w:r>
      <w:r w:rsidR="0042324B">
        <w:t xml:space="preserve">SCE </w:t>
      </w:r>
      <w:r w:rsidRPr="00A22120" w:rsidR="00A22120">
        <w:t>RAMP</w:t>
      </w:r>
      <w:r w:rsidR="0042324B">
        <w:t xml:space="preserve"> process</w:t>
      </w:r>
      <w:r w:rsidRPr="00A22120" w:rsidR="00A22120">
        <w:t>.</w:t>
      </w:r>
    </w:p>
    <w:p w:rsidRPr="001E5FDB" w:rsidR="00815DB2" w:rsidP="00CA05A4" w:rsidRDefault="00815DB2" w14:paraId="71AC0DCF" w14:textId="2FDBFCB6">
      <w:pPr>
        <w:pStyle w:val="Standard"/>
      </w:pPr>
      <w:r>
        <w:t>SDG&amp;E</w:t>
      </w:r>
      <w:r w:rsidR="004866A5">
        <w:t>/</w:t>
      </w:r>
      <w:r>
        <w:t>SoCalGas state that the Commission should not adopt the PG&amp;E Proposal wi</w:t>
      </w:r>
      <w:r w:rsidR="0061369A">
        <w:t xml:space="preserve">thout </w:t>
      </w:r>
      <w:r w:rsidR="00FA5EC6">
        <w:t xml:space="preserve">considering </w:t>
      </w:r>
      <w:r w:rsidR="003C5A28">
        <w:t>the</w:t>
      </w:r>
      <w:r w:rsidR="003003E2">
        <w:t xml:space="preserve"> </w:t>
      </w:r>
      <w:r w:rsidR="000F3B11">
        <w:t xml:space="preserve">Risk Quantification Framework </w:t>
      </w:r>
      <w:r w:rsidR="003003E2">
        <w:t xml:space="preserve">included in SDG&amp;E and SoCalGas’s most recent RAMP </w:t>
      </w:r>
      <w:r w:rsidR="002A5BDC">
        <w:t xml:space="preserve">filing </w:t>
      </w:r>
      <w:r w:rsidR="000F3B11">
        <w:t>and parties</w:t>
      </w:r>
      <w:r w:rsidR="000C2772">
        <w:t>’</w:t>
      </w:r>
      <w:r w:rsidR="00D56E69">
        <w:t xml:space="preserve"> feedback</w:t>
      </w:r>
      <w:r w:rsidR="00E426A2">
        <w:t xml:space="preserve"> on </w:t>
      </w:r>
      <w:r w:rsidR="00347485">
        <w:t>the framework</w:t>
      </w:r>
      <w:r w:rsidR="000F3B11">
        <w:t>.</w:t>
      </w:r>
      <w:r w:rsidR="002B63C9">
        <w:t xml:space="preserve">  SDG&amp;E and SoCalGas also o</w:t>
      </w:r>
      <w:r w:rsidRPr="002B63C9" w:rsidR="002B63C9">
        <w:t>bject to the use of</w:t>
      </w:r>
      <w:r w:rsidR="002B63C9">
        <w:t xml:space="preserve"> the term</w:t>
      </w:r>
      <w:r w:rsidRPr="002B63C9" w:rsidR="002B63C9">
        <w:t xml:space="preserve"> “</w:t>
      </w:r>
      <w:r w:rsidR="002B63C9">
        <w:t>c</w:t>
      </w:r>
      <w:r w:rsidRPr="002B63C9" w:rsidR="002B63C9">
        <w:t xml:space="preserve">onfidence </w:t>
      </w:r>
      <w:r w:rsidR="002B63C9">
        <w:t>i</w:t>
      </w:r>
      <w:r w:rsidRPr="002B63C9" w:rsidR="002B63C9">
        <w:t>nterval”</w:t>
      </w:r>
      <w:r w:rsidR="002B63C9">
        <w:t xml:space="preserve"> as</w:t>
      </w:r>
      <w:r w:rsidR="00B258AA">
        <w:t xml:space="preserve"> not reflecting the common meaning of this term</w:t>
      </w:r>
      <w:r w:rsidR="00690063">
        <w:t xml:space="preserve"> where </w:t>
      </w:r>
      <w:r w:rsidR="009C725C">
        <w:t>confidence intervals are computed from observed data, which may not be available</w:t>
      </w:r>
      <w:r w:rsidR="0074236B">
        <w:t xml:space="preserve">, and which may result in </w:t>
      </w:r>
      <w:r w:rsidR="006560F7">
        <w:t xml:space="preserve">overuse of subjective </w:t>
      </w:r>
      <w:r w:rsidR="00FB28E4">
        <w:t>values</w:t>
      </w:r>
      <w:r w:rsidR="006560F7">
        <w:t xml:space="preserve"> or “N/A”</w:t>
      </w:r>
      <w:r w:rsidR="0042324B">
        <w:t xml:space="preserve"> (not applicable).</w:t>
      </w:r>
      <w:r w:rsidR="003472E5">
        <w:t xml:space="preserve">  These companies raise additional detailed</w:t>
      </w:r>
      <w:r w:rsidR="00E87B1E">
        <w:t xml:space="preserve"> concerns about the </w:t>
      </w:r>
      <w:r w:rsidR="002A65A0">
        <w:t>Estimated Quality</w:t>
      </w:r>
      <w:r w:rsidR="002A5BDC">
        <w:t xml:space="preserve"> and </w:t>
      </w:r>
      <w:r w:rsidR="00102610">
        <w:t>Risk Sensitivity Analysis Table</w:t>
      </w:r>
      <w:r w:rsidR="002A5BDC">
        <w:t>s proposed by PG&amp;E.</w:t>
      </w:r>
    </w:p>
    <w:p w:rsidR="0053279A" w:rsidP="0053279A" w:rsidRDefault="001638F6" w14:paraId="7D50F409" w14:textId="6D8F072E">
      <w:pPr>
        <w:pStyle w:val="Heading3"/>
      </w:pPr>
      <w:bookmarkStart w:name="_Toc80890867" w:id="65"/>
      <w:bookmarkStart w:name="_Toc87361167" w:id="66"/>
      <w:r>
        <w:t>9.1.4</w:t>
      </w:r>
      <w:r>
        <w:tab/>
      </w:r>
      <w:r w:rsidR="0053279A">
        <w:t>Discussion</w:t>
      </w:r>
      <w:bookmarkEnd w:id="65"/>
      <w:bookmarkEnd w:id="66"/>
    </w:p>
    <w:p w:rsidR="0041274D" w:rsidP="004023E6" w:rsidRDefault="00747E35" w14:paraId="6B0FD4FD" w14:textId="05CDC905">
      <w:pPr>
        <w:pStyle w:val="Standard"/>
      </w:pPr>
      <w:r>
        <w:t xml:space="preserve">We note </w:t>
      </w:r>
      <w:r w:rsidR="002566B5">
        <w:t xml:space="preserve">the </w:t>
      </w:r>
      <w:r>
        <w:t>PG&amp;E</w:t>
      </w:r>
      <w:r w:rsidR="002566B5">
        <w:t xml:space="preserve"> </w:t>
      </w:r>
      <w:r>
        <w:t>Proposal with interest a</w:t>
      </w:r>
      <w:r w:rsidR="00BF7837">
        <w:t xml:space="preserve">nd </w:t>
      </w:r>
      <w:r w:rsidR="000D7C88">
        <w:t>mod</w:t>
      </w:r>
      <w:r w:rsidR="00BF7837">
        <w:t xml:space="preserve">ify it as recommended by </w:t>
      </w:r>
      <w:r w:rsidR="009B07F7">
        <w:t>Staff</w:t>
      </w:r>
      <w:r w:rsidR="00350DBD">
        <w:t xml:space="preserve"> before </w:t>
      </w:r>
      <w:r>
        <w:t>requir</w:t>
      </w:r>
      <w:r w:rsidR="00350DBD">
        <w:t>ing</w:t>
      </w:r>
      <w:r>
        <w:t xml:space="preserve"> SCE to </w:t>
      </w:r>
      <w:r w:rsidR="004023E6">
        <w:t xml:space="preserve">test </w:t>
      </w:r>
      <w:r w:rsidR="007F2D69">
        <w:t>the approach</w:t>
      </w:r>
      <w:r w:rsidR="00673E86">
        <w:t xml:space="preserve">.  We direct SCE to </w:t>
      </w:r>
      <w:r w:rsidR="008902A7">
        <w:t>serve</w:t>
      </w:r>
      <w:r w:rsidR="00673600">
        <w:t xml:space="preserve"> </w:t>
      </w:r>
      <w:r w:rsidR="00673E86">
        <w:t xml:space="preserve">the completed </w:t>
      </w:r>
      <w:r w:rsidR="008902A7">
        <w:t>t</w:t>
      </w:r>
      <w:r w:rsidR="00EB1BD7">
        <w:t xml:space="preserve">ransparency </w:t>
      </w:r>
      <w:r w:rsidR="008902A7">
        <w:t>documents</w:t>
      </w:r>
      <w:r w:rsidR="00136E30">
        <w:t xml:space="preserve"> </w:t>
      </w:r>
      <w:r w:rsidR="00D81530">
        <w:t xml:space="preserve">to the SCE 2022 RAMP proceeding service list </w:t>
      </w:r>
      <w:r w:rsidR="008902A7">
        <w:t xml:space="preserve">no later than </w:t>
      </w:r>
      <w:r w:rsidR="00497B9E">
        <w:t xml:space="preserve">60 days </w:t>
      </w:r>
      <w:r w:rsidR="00673600">
        <w:t xml:space="preserve">from the date of </w:t>
      </w:r>
      <w:r w:rsidR="00136E30">
        <w:t xml:space="preserve">SCE’s </w:t>
      </w:r>
      <w:r>
        <w:t>2022</w:t>
      </w:r>
      <w:r w:rsidR="00A80561">
        <w:t> </w:t>
      </w:r>
      <w:r>
        <w:t xml:space="preserve">RAMP filing. </w:t>
      </w:r>
      <w:r w:rsidR="0011081E">
        <w:t xml:space="preserve"> </w:t>
      </w:r>
      <w:r w:rsidR="00E57355">
        <w:t>We modi</w:t>
      </w:r>
      <w:r w:rsidR="002577CD">
        <w:t>f</w:t>
      </w:r>
      <w:r w:rsidR="0042324B">
        <w:t>y</w:t>
      </w:r>
      <w:r w:rsidR="002577CD">
        <w:t xml:space="preserve"> the Staff </w:t>
      </w:r>
      <w:r w:rsidR="00215D33">
        <w:t>P</w:t>
      </w:r>
      <w:r w:rsidR="002577CD">
        <w:t xml:space="preserve">roposal to </w:t>
      </w:r>
      <w:r w:rsidR="004F22C0">
        <w:t xml:space="preserve">include more granular specifications for sensitivity analysis and </w:t>
      </w:r>
      <w:r w:rsidR="00A81E97">
        <w:t>confidence level</w:t>
      </w:r>
      <w:r w:rsidR="00ED12E6">
        <w:t xml:space="preserve">.  </w:t>
      </w:r>
      <w:r w:rsidR="00682421">
        <w:t>The</w:t>
      </w:r>
      <w:r w:rsidR="008E3839">
        <w:t xml:space="preserve"> </w:t>
      </w:r>
      <w:r w:rsidR="00994A35">
        <w:t>PG&amp;E</w:t>
      </w:r>
      <w:r w:rsidR="00682421">
        <w:t xml:space="preserve"> </w:t>
      </w:r>
      <w:r w:rsidR="00994A35">
        <w:t xml:space="preserve">Proposal modified to reflect </w:t>
      </w:r>
      <w:r w:rsidR="00E64EBD">
        <w:t xml:space="preserve">these </w:t>
      </w:r>
      <w:r w:rsidDel="00E64EBD" w:rsidR="0041274D">
        <w:t>changes</w:t>
      </w:r>
      <w:r w:rsidDel="00E64EBD" w:rsidR="00B209E4">
        <w:t xml:space="preserve"> </w:t>
      </w:r>
      <w:r w:rsidR="0041274D">
        <w:t xml:space="preserve">is contained in </w:t>
      </w:r>
      <w:r w:rsidRPr="00767508" w:rsidR="0041274D">
        <w:t>Appendix C.</w:t>
      </w:r>
      <w:r w:rsidRPr="00593EEA" w:rsidR="0041274D">
        <w:t xml:space="preserve">  </w:t>
      </w:r>
      <w:r w:rsidRPr="00593EEA" w:rsidR="003748EA">
        <w:t>It is</w:t>
      </w:r>
      <w:r w:rsidR="003748EA">
        <w:t xml:space="preserve"> reasonable to test </w:t>
      </w:r>
      <w:r w:rsidR="00350DBD">
        <w:t xml:space="preserve">the PG&amp;E Proposal </w:t>
      </w:r>
      <w:r w:rsidR="00E64EBD">
        <w:t xml:space="preserve">with </w:t>
      </w:r>
      <w:r w:rsidR="0042324B">
        <w:t xml:space="preserve">Staff’s </w:t>
      </w:r>
      <w:r w:rsidR="0042324B">
        <w:lastRenderedPageBreak/>
        <w:t xml:space="preserve">proposed </w:t>
      </w:r>
      <w:r w:rsidR="00E64EBD">
        <w:t xml:space="preserve">modifications </w:t>
      </w:r>
      <w:r w:rsidR="00350DBD">
        <w:t xml:space="preserve">to </w:t>
      </w:r>
      <w:r w:rsidR="00806808">
        <w:t xml:space="preserve">explore if </w:t>
      </w:r>
      <w:r w:rsidR="006D21C1">
        <w:t>the</w:t>
      </w:r>
      <w:r w:rsidR="0042324B">
        <w:t>se</w:t>
      </w:r>
      <w:r w:rsidR="006D21C1">
        <w:t xml:space="preserve"> </w:t>
      </w:r>
      <w:r w:rsidR="00806808">
        <w:t xml:space="preserve">help </w:t>
      </w:r>
      <w:r w:rsidR="00190153">
        <w:t xml:space="preserve">increase </w:t>
      </w:r>
      <w:r w:rsidR="0042324B">
        <w:t xml:space="preserve">the </w:t>
      </w:r>
      <w:r w:rsidR="00190153">
        <w:t xml:space="preserve">transparency </w:t>
      </w:r>
      <w:r w:rsidR="0042324B">
        <w:t xml:space="preserve">of estimate </w:t>
      </w:r>
      <w:r w:rsidR="00190153">
        <w:t>uncertaint</w:t>
      </w:r>
      <w:r w:rsidR="0042324B">
        <w:t xml:space="preserve">ies and </w:t>
      </w:r>
      <w:r w:rsidR="00806808">
        <w:t xml:space="preserve">identify </w:t>
      </w:r>
      <w:r w:rsidRPr="008A0931" w:rsidR="00F36F08">
        <w:t>unusual behavior at the extreme</w:t>
      </w:r>
      <w:r w:rsidR="00D011A1">
        <w:t>s</w:t>
      </w:r>
      <w:r w:rsidR="0041274D">
        <w:t>.</w:t>
      </w:r>
      <w:r w:rsidR="00350DBD">
        <w:t xml:space="preserve"> </w:t>
      </w:r>
    </w:p>
    <w:p w:rsidR="004023E6" w:rsidP="00475B98" w:rsidRDefault="004B59F2" w14:paraId="0E3D608B" w14:textId="44BA3321">
      <w:pPr>
        <w:pStyle w:val="Standard"/>
      </w:pPr>
      <w:r>
        <w:t>I</w:t>
      </w:r>
      <w:r w:rsidR="00656EDC">
        <w:t>t is</w:t>
      </w:r>
      <w:r w:rsidR="00682421">
        <w:t xml:space="preserve"> also</w:t>
      </w:r>
      <w:r w:rsidR="00656EDC">
        <w:t xml:space="preserve"> reasonable to</w:t>
      </w:r>
      <w:r w:rsidR="00FE488C">
        <w:t xml:space="preserve"> require </w:t>
      </w:r>
      <w:r w:rsidR="00656EDC">
        <w:t xml:space="preserve">SCE to </w:t>
      </w:r>
      <w:r w:rsidR="00814075">
        <w:t xml:space="preserve">test drive </w:t>
      </w:r>
      <w:r w:rsidR="00682421">
        <w:t xml:space="preserve">the </w:t>
      </w:r>
      <w:r w:rsidR="00656EDC">
        <w:t>PG&amp;E</w:t>
      </w:r>
      <w:r w:rsidR="00682421">
        <w:t xml:space="preserve"> </w:t>
      </w:r>
      <w:r w:rsidR="00656EDC">
        <w:t xml:space="preserve">Proposal </w:t>
      </w:r>
      <w:r w:rsidR="00AE607B">
        <w:t xml:space="preserve">as modified in this decision </w:t>
      </w:r>
      <w:r w:rsidR="002F4076">
        <w:t xml:space="preserve">close to the date of </w:t>
      </w:r>
      <w:r w:rsidR="00682421">
        <w:t>SCE’s 2022</w:t>
      </w:r>
      <w:r w:rsidR="00656EDC">
        <w:t xml:space="preserve"> RAMP filing</w:t>
      </w:r>
      <w:r w:rsidR="00FE488C">
        <w:t xml:space="preserve"> </w:t>
      </w:r>
      <w:r w:rsidR="00656EDC">
        <w:t>so that the Commission and parties can continue to refine transparency measures beyond those required in the SA Decision</w:t>
      </w:r>
      <w:r w:rsidR="0042324B">
        <w:t xml:space="preserve"> in a timely manner</w:t>
      </w:r>
      <w:r w:rsidR="00656EDC">
        <w:t xml:space="preserve">. </w:t>
      </w:r>
      <w:r w:rsidR="00530DE5">
        <w:t xml:space="preserve"> </w:t>
      </w:r>
      <w:r w:rsidR="00AE607B">
        <w:t xml:space="preserve">We clarify that by </w:t>
      </w:r>
      <w:r w:rsidR="00B216AC">
        <w:t>requiring that SCE</w:t>
      </w:r>
      <w:r w:rsidR="00DC3536">
        <w:t xml:space="preserve"> to test</w:t>
      </w:r>
      <w:r w:rsidR="00DE17B8">
        <w:t xml:space="preserve"> and serve</w:t>
      </w:r>
      <w:r w:rsidR="00DC3536">
        <w:t xml:space="preserve"> </w:t>
      </w:r>
      <w:r w:rsidR="0084431A">
        <w:t xml:space="preserve">the </w:t>
      </w:r>
      <w:r w:rsidR="00530D10">
        <w:t>transparency documents</w:t>
      </w:r>
      <w:r w:rsidR="00F87449">
        <w:t xml:space="preserve"> we </w:t>
      </w:r>
      <w:r w:rsidR="00B216AC">
        <w:t xml:space="preserve">are </w:t>
      </w:r>
      <w:r w:rsidR="007F3031">
        <w:t>direct</w:t>
      </w:r>
      <w:r w:rsidR="00B216AC">
        <w:t>ing</w:t>
      </w:r>
      <w:r w:rsidR="007F3031">
        <w:t xml:space="preserve"> </w:t>
      </w:r>
      <w:r w:rsidRPr="00F87449" w:rsidR="00F87449">
        <w:t xml:space="preserve">SCE to </w:t>
      </w:r>
      <w:r w:rsidR="00CD129C">
        <w:t>complete t</w:t>
      </w:r>
      <w:r w:rsidRPr="00F87449" w:rsidR="00F87449">
        <w:t>he template</w:t>
      </w:r>
      <w:r w:rsidR="007F3031">
        <w:t xml:space="preserve">s included in the </w:t>
      </w:r>
      <w:r w:rsidR="001E0B31">
        <w:t xml:space="preserve">modified </w:t>
      </w:r>
      <w:r w:rsidR="008E3839">
        <w:t xml:space="preserve">PG&amp;E </w:t>
      </w:r>
      <w:r w:rsidR="007F3031">
        <w:t>Proposal</w:t>
      </w:r>
      <w:r w:rsidR="00CD129C">
        <w:t xml:space="preserve"> to the best of </w:t>
      </w:r>
      <w:r w:rsidR="00DD7EDF">
        <w:t xml:space="preserve">its </w:t>
      </w:r>
      <w:r w:rsidR="00CD129C">
        <w:t xml:space="preserve">ability.  </w:t>
      </w:r>
      <w:r w:rsidR="00A424C1">
        <w:t>W</w:t>
      </w:r>
      <w:r w:rsidR="00444B90">
        <w:t xml:space="preserve">e </w:t>
      </w:r>
      <w:r w:rsidR="00030772">
        <w:t xml:space="preserve">do </w:t>
      </w:r>
      <w:r w:rsidR="00444B90">
        <w:t xml:space="preserve">not </w:t>
      </w:r>
      <w:r w:rsidR="00030772">
        <w:t xml:space="preserve">require SCE to use </w:t>
      </w:r>
      <w:r w:rsidR="00EB798C">
        <w:t xml:space="preserve">the </w:t>
      </w:r>
      <w:r w:rsidR="00E17795">
        <w:t xml:space="preserve">completed template </w:t>
      </w:r>
      <w:r w:rsidR="00EB798C">
        <w:t>information</w:t>
      </w:r>
      <w:r w:rsidR="00444B90">
        <w:t xml:space="preserve"> </w:t>
      </w:r>
      <w:r w:rsidR="00E17795">
        <w:t>to select their</w:t>
      </w:r>
      <w:r w:rsidR="00444B90">
        <w:t xml:space="preserve"> </w:t>
      </w:r>
      <w:r w:rsidR="00B26EEB">
        <w:t>mitigation</w:t>
      </w:r>
      <w:r w:rsidR="00444B90">
        <w:t xml:space="preserve"> choices.  Instead, </w:t>
      </w:r>
      <w:r w:rsidR="00E17795">
        <w:t>we will consider t</w:t>
      </w:r>
      <w:r w:rsidR="00B26EEB">
        <w:t xml:space="preserve">he results of SCE’s </w:t>
      </w:r>
      <w:r w:rsidR="0042324B">
        <w:t>t</w:t>
      </w:r>
      <w:r w:rsidRPr="00F87449" w:rsidR="00F87449">
        <w:t>est drive</w:t>
      </w:r>
      <w:r w:rsidR="00B26EEB">
        <w:t xml:space="preserve"> as </w:t>
      </w:r>
      <w:r w:rsidRPr="00F87449" w:rsidR="00F87449">
        <w:t xml:space="preserve">purely informational </w:t>
      </w:r>
      <w:r w:rsidR="00E17795">
        <w:t xml:space="preserve">regarding </w:t>
      </w:r>
      <w:r w:rsidR="00336E83">
        <w:t>the</w:t>
      </w:r>
      <w:r w:rsidR="000C0E74">
        <w:t xml:space="preserve"> template</w:t>
      </w:r>
      <w:r w:rsidR="00B90795">
        <w:t>s’</w:t>
      </w:r>
      <w:r w:rsidR="00336E83">
        <w:t xml:space="preserve"> feasibility and </w:t>
      </w:r>
      <w:r w:rsidR="00B90795">
        <w:t xml:space="preserve">their </w:t>
      </w:r>
      <w:r w:rsidR="00336E83">
        <w:t xml:space="preserve">usefulness </w:t>
      </w:r>
      <w:r w:rsidR="00B90795">
        <w:t xml:space="preserve">in providing </w:t>
      </w:r>
      <w:r w:rsidR="0085750A">
        <w:t xml:space="preserve">transparency for Staff and parties. </w:t>
      </w:r>
      <w:r w:rsidR="001E3225">
        <w:t xml:space="preserve"> </w:t>
      </w:r>
      <w:r w:rsidR="000C6F72">
        <w:t xml:space="preserve">Further, </w:t>
      </w:r>
      <w:r w:rsidR="001E3225">
        <w:t xml:space="preserve">SPD </w:t>
      </w:r>
      <w:r w:rsidR="00530DE5">
        <w:t xml:space="preserve">Staff </w:t>
      </w:r>
      <w:r w:rsidR="001E3225">
        <w:t xml:space="preserve">shall work with </w:t>
      </w:r>
      <w:r w:rsidR="00D86963">
        <w:t xml:space="preserve">SCE </w:t>
      </w:r>
      <w:r w:rsidR="001E3225">
        <w:t xml:space="preserve">to </w:t>
      </w:r>
      <w:r w:rsidR="00B038BF">
        <w:t xml:space="preserve">support SCE undertaking this test drive in a </w:t>
      </w:r>
      <w:r w:rsidR="00D86963">
        <w:t>way that does not disrupt SC</w:t>
      </w:r>
      <w:r w:rsidR="45275FFD">
        <w:t>E</w:t>
      </w:r>
      <w:r w:rsidR="00D86963">
        <w:t xml:space="preserve">’s 2022 RAMP preparations. </w:t>
      </w:r>
      <w:r w:rsidR="008E3EC1">
        <w:t xml:space="preserve"> </w:t>
      </w:r>
    </w:p>
    <w:p w:rsidR="0052016F" w:rsidP="00C962CC" w:rsidRDefault="0052016F" w14:paraId="51613BD4" w14:textId="665DA948">
      <w:pPr>
        <w:pStyle w:val="Standard"/>
        <w:ind w:right="-270"/>
      </w:pPr>
      <w:r>
        <w:t>We agree with Staff that Cal Advocates</w:t>
      </w:r>
      <w:r w:rsidR="000B239B">
        <w:t>’</w:t>
      </w:r>
      <w:r>
        <w:t xml:space="preserve"> additional proposals to refine PG&amp;E’s Proposal </w:t>
      </w:r>
      <w:r w:rsidR="005F058B">
        <w:t xml:space="preserve">should be considered in future phases of this proceeding, including </w:t>
      </w:r>
      <w:r w:rsidR="00621D3B">
        <w:t xml:space="preserve">as early as </w:t>
      </w:r>
      <w:r w:rsidR="00DD3CC9">
        <w:t>Phase II</w:t>
      </w:r>
      <w:r w:rsidR="00E47B26">
        <w:t>, if the test drive we direct here has been conducted and reviewed in that timeframe</w:t>
      </w:r>
      <w:r w:rsidR="0070143E">
        <w:t xml:space="preserve"> and doing so is otherwise feasible</w:t>
      </w:r>
      <w:r w:rsidR="00DD3CC9">
        <w:t xml:space="preserve">.  </w:t>
      </w:r>
      <w:r w:rsidR="004753DD">
        <w:t xml:space="preserve">We </w:t>
      </w:r>
      <w:r w:rsidR="003E36B2">
        <w:t>authorize SPD Staff to convene discussions o</w:t>
      </w:r>
      <w:r w:rsidR="00EF0405">
        <w:t>n</w:t>
      </w:r>
      <w:r w:rsidR="003E36B2">
        <w:t xml:space="preserve"> th</w:t>
      </w:r>
      <w:r w:rsidR="005F058B">
        <w:t xml:space="preserve">e PG&amp;E Transparency Proposal </w:t>
      </w:r>
      <w:r w:rsidR="003E36B2">
        <w:t xml:space="preserve">as part of the TWG moving forward.  </w:t>
      </w:r>
      <w:r w:rsidR="00930C16">
        <w:t>As pa</w:t>
      </w:r>
      <w:r w:rsidR="00B038BF">
        <w:t>r</w:t>
      </w:r>
      <w:r w:rsidR="00930C16">
        <w:t>t of this, the TWG should</w:t>
      </w:r>
      <w:r w:rsidRPr="004753DD" w:rsidR="004753DD">
        <w:t xml:space="preserve"> discuss </w:t>
      </w:r>
      <w:r w:rsidR="00593EEA">
        <w:t xml:space="preserve">Cal Advocates’ proposal </w:t>
      </w:r>
      <w:r w:rsidR="00190153">
        <w:t xml:space="preserve">and </w:t>
      </w:r>
      <w:r w:rsidRPr="004753DD" w:rsidR="004753DD">
        <w:t xml:space="preserve">the </w:t>
      </w:r>
      <w:r w:rsidR="00001ADE">
        <w:t>l</w:t>
      </w:r>
      <w:r w:rsidRPr="004753DD" w:rsidR="004753DD">
        <w:t xml:space="preserve">essons learned from </w:t>
      </w:r>
      <w:r w:rsidR="00930C16">
        <w:t xml:space="preserve">the </w:t>
      </w:r>
      <w:r w:rsidRPr="004753DD" w:rsidR="004753DD">
        <w:t>Risk Quantification Framework included in SDG&amp;E and SoCalGas’s most recent RAMP filing and parties’ feedback on the framework</w:t>
      </w:r>
      <w:r w:rsidR="00930C16">
        <w:t xml:space="preserve">. </w:t>
      </w:r>
      <w:r w:rsidR="00B24237">
        <w:t xml:space="preserve"> The TWG </w:t>
      </w:r>
      <w:r w:rsidR="00190153">
        <w:t>may</w:t>
      </w:r>
      <w:r w:rsidDel="00190153" w:rsidR="00B24237">
        <w:t xml:space="preserve"> </w:t>
      </w:r>
      <w:r w:rsidR="00B24237">
        <w:t xml:space="preserve">also discuss the desirability, and, if so, methods to develop </w:t>
      </w:r>
      <w:r w:rsidR="008657A4">
        <w:t xml:space="preserve">an appropriate </w:t>
      </w:r>
      <w:r w:rsidRPr="0084301F" w:rsidR="00B24237">
        <w:t>set of estimate ranges to use in sensitivity calculations</w:t>
      </w:r>
      <w:r w:rsidR="008657A4">
        <w:t xml:space="preserve">, as suggested by </w:t>
      </w:r>
      <w:r w:rsidR="00B24237">
        <w:t>PG&amp;E</w:t>
      </w:r>
      <w:r w:rsidR="008657A4">
        <w:t xml:space="preserve">.  </w:t>
      </w:r>
      <w:r w:rsidR="0085736E">
        <w:t>W</w:t>
      </w:r>
      <w:r w:rsidR="00DD3CC9">
        <w:t xml:space="preserve">e request Staff provide an updated </w:t>
      </w:r>
      <w:r w:rsidR="00010F7F">
        <w:t>Transparency P</w:t>
      </w:r>
      <w:r w:rsidR="00DD3CC9">
        <w:t xml:space="preserve">roposal </w:t>
      </w:r>
      <w:r w:rsidR="00DD3CC9">
        <w:lastRenderedPageBreak/>
        <w:t xml:space="preserve">for our consideration </w:t>
      </w:r>
      <w:r w:rsidR="00010F7F">
        <w:t>during Phase II of this proceeding, or</w:t>
      </w:r>
      <w:r w:rsidR="0085736E">
        <w:t xml:space="preserve"> at a later date, as appropriate. </w:t>
      </w:r>
    </w:p>
    <w:p w:rsidR="00DD3CC9" w:rsidP="004023E6" w:rsidRDefault="00DD3CC9" w14:paraId="633D202B" w14:textId="1883F77D">
      <w:pPr>
        <w:pStyle w:val="Standard"/>
      </w:pPr>
      <w:r>
        <w:t xml:space="preserve">We note </w:t>
      </w:r>
      <w:r w:rsidR="00761E4D">
        <w:t>the IOUs’ concerns regarding Staff’s 10</w:t>
      </w:r>
      <w:r w:rsidRPr="00A30E71" w:rsidR="00001ADE">
        <w:rPr>
          <w:vertAlign w:val="superscript"/>
        </w:rPr>
        <w:t>th</w:t>
      </w:r>
      <w:r w:rsidR="00001ADE">
        <w:t xml:space="preserve"> and </w:t>
      </w:r>
      <w:r w:rsidR="00761E4D">
        <w:t>90</w:t>
      </w:r>
      <w:r w:rsidRPr="00A30E71" w:rsidR="00001ADE">
        <w:rPr>
          <w:vertAlign w:val="superscript"/>
        </w:rPr>
        <w:t>th</w:t>
      </w:r>
      <w:r w:rsidR="00761E4D">
        <w:t xml:space="preserve"> confidence interval proposal</w:t>
      </w:r>
      <w:r w:rsidR="004836A2">
        <w:t xml:space="preserve">. </w:t>
      </w:r>
      <w:r w:rsidR="009F020F">
        <w:t xml:space="preserve"> </w:t>
      </w:r>
      <w:r w:rsidR="004836A2">
        <w:t xml:space="preserve">However, </w:t>
      </w:r>
      <w:r w:rsidR="001C0673">
        <w:t>SCE</w:t>
      </w:r>
      <w:r w:rsidR="0013246A">
        <w:t xml:space="preserve">’s test drive, </w:t>
      </w:r>
      <w:r w:rsidR="001C0673">
        <w:t xml:space="preserve">and </w:t>
      </w:r>
      <w:r w:rsidR="0013246A">
        <w:t xml:space="preserve">any </w:t>
      </w:r>
      <w:r w:rsidR="001C0673">
        <w:t xml:space="preserve">subsequent </w:t>
      </w:r>
      <w:r w:rsidR="0013246A">
        <w:t>tests</w:t>
      </w:r>
      <w:r w:rsidR="001C0673">
        <w:t xml:space="preserve">, will help determine the </w:t>
      </w:r>
      <w:r w:rsidR="002437E7">
        <w:t xml:space="preserve">value and feasibility of this approach, which can </w:t>
      </w:r>
      <w:r w:rsidR="00A80E75">
        <w:t xml:space="preserve">then </w:t>
      </w:r>
      <w:r w:rsidR="002437E7">
        <w:t xml:space="preserve">be modified as needed.  </w:t>
      </w:r>
    </w:p>
    <w:p w:rsidR="00884B18" w:rsidP="00884B18" w:rsidRDefault="001638F6" w14:paraId="56410B84" w14:textId="43068799">
      <w:pPr>
        <w:pStyle w:val="Heading2"/>
      </w:pPr>
      <w:bookmarkStart w:name="_Toc80890868" w:id="67"/>
      <w:bookmarkStart w:name="_Toc87361168" w:id="68"/>
      <w:r>
        <w:t>9.2</w:t>
      </w:r>
      <w:r>
        <w:tab/>
      </w:r>
      <w:r w:rsidR="00884B18">
        <w:t>Staff Proposal</w:t>
      </w:r>
      <w:r w:rsidR="00BB3C7D">
        <w:t xml:space="preserve"> to Consider Climate Change Impacts in Phase II</w:t>
      </w:r>
      <w:bookmarkEnd w:id="67"/>
      <w:bookmarkEnd w:id="68"/>
    </w:p>
    <w:p w:rsidRPr="00C962CC" w:rsidR="00ED60FA" w:rsidP="004F4A56" w:rsidRDefault="00ED60FA" w14:paraId="78C076D3" w14:textId="77777777">
      <w:pPr>
        <w:pStyle w:val="Standard"/>
      </w:pPr>
      <w:r>
        <w:t xml:space="preserve">The Scoping Memo </w:t>
      </w:r>
      <w:r w:rsidRPr="00884B18">
        <w:t>indicate</w:t>
      </w:r>
      <w:r w:rsidR="00B510DA">
        <w:t>s</w:t>
      </w:r>
      <w:r w:rsidRPr="00884B18">
        <w:t xml:space="preserve"> that Track 1 will consider discrete technical questions, whereas more substantive revisions to the RDF will be considered in Phase I</w:t>
      </w:r>
      <w:r w:rsidRPr="00426FB2">
        <w:t>I.</w:t>
      </w:r>
      <w:r w:rsidRPr="00426FB2">
        <w:rPr>
          <w:vertAlign w:val="superscript"/>
        </w:rPr>
        <w:footnoteReference w:id="54"/>
      </w:r>
      <w:bookmarkStart w:name="_Hlk76639372" w:id="69"/>
      <w:r w:rsidRPr="00884B18">
        <w:t xml:space="preserve"> </w:t>
      </w:r>
      <w:bookmarkEnd w:id="69"/>
      <w:r w:rsidR="00B510DA">
        <w:t xml:space="preserve"> </w:t>
      </w:r>
      <w:r w:rsidRPr="00CB59DE" w:rsidR="00CB59DE">
        <w:t>Phase II issues include refining the RDF adopted in</w:t>
      </w:r>
      <w:r w:rsidRPr="00CB59DE" w:rsidDel="00480E35" w:rsidR="00CB59DE">
        <w:t xml:space="preserve"> the</w:t>
      </w:r>
      <w:r w:rsidRPr="00CB59DE" w:rsidR="00CB59DE">
        <w:t xml:space="preserve"> SA </w:t>
      </w:r>
      <w:r w:rsidRPr="00C962CC" w:rsidR="00CB59DE">
        <w:t>Decision, including incorporating uncertainties relating to climate change risk drivers.</w:t>
      </w:r>
      <w:r w:rsidRPr="00C962CC" w:rsidR="00CB59DE">
        <w:rPr>
          <w:vertAlign w:val="superscript"/>
        </w:rPr>
        <w:footnoteReference w:id="55"/>
      </w:r>
    </w:p>
    <w:p w:rsidR="00374957" w:rsidP="004F4A56" w:rsidRDefault="007F77AB" w14:paraId="4367868F" w14:textId="19BA3F51">
      <w:pPr>
        <w:pStyle w:val="Standard"/>
      </w:pPr>
      <w:r>
        <w:t>Responding to</w:t>
      </w:r>
      <w:r w:rsidR="00923261">
        <w:t xml:space="preserve"> the</w:t>
      </w:r>
      <w:r>
        <w:t xml:space="preserve"> </w:t>
      </w:r>
      <w:r w:rsidR="00D17FAF">
        <w:t xml:space="preserve">Scoping Memo’s </w:t>
      </w:r>
      <w:r>
        <w:t>invitation to suggest</w:t>
      </w:r>
      <w:r w:rsidR="00884B18">
        <w:t xml:space="preserve"> </w:t>
      </w:r>
      <w:r>
        <w:t xml:space="preserve">additional </w:t>
      </w:r>
      <w:r w:rsidR="00D17FAF">
        <w:t xml:space="preserve">items </w:t>
      </w:r>
      <w:r>
        <w:t>for discussion in Track 1, t</w:t>
      </w:r>
      <w:r w:rsidRPr="008D12EB" w:rsidR="008D12EB">
        <w:t>h</w:t>
      </w:r>
      <w:r w:rsidR="00DE7E67">
        <w:t xml:space="preserve">e </w:t>
      </w:r>
      <w:r w:rsidRPr="008D12EB" w:rsidR="008D12EB">
        <w:t xml:space="preserve">Staff Proposal </w:t>
      </w:r>
      <w:r w:rsidR="007E77A0">
        <w:t xml:space="preserve">discusses </w:t>
      </w:r>
      <w:r w:rsidRPr="008D12EB" w:rsidR="008D12EB">
        <w:t>climate change risks, impacts, and mitigation activities in California</w:t>
      </w:r>
      <w:r w:rsidR="00960CF3">
        <w:t xml:space="preserve"> a</w:t>
      </w:r>
      <w:r w:rsidR="00884B18">
        <w:t>nd recommends the Commission consider these issues in Phase II</w:t>
      </w:r>
      <w:r w:rsidR="00B91C61">
        <w:t xml:space="preserve"> of this proceeding. The </w:t>
      </w:r>
      <w:r w:rsidR="00960CF3">
        <w:t xml:space="preserve">Staff </w:t>
      </w:r>
      <w:r w:rsidR="00B91C61">
        <w:t xml:space="preserve">Proposal  </w:t>
      </w:r>
      <w:r w:rsidRPr="007E77A0" w:rsidR="007E77A0">
        <w:t>recommend</w:t>
      </w:r>
      <w:r w:rsidR="00340C42">
        <w:t>s</w:t>
      </w:r>
      <w:r w:rsidRPr="007E77A0" w:rsidR="007E77A0">
        <w:t xml:space="preserve"> the Commission consider refining the RDF to </w:t>
      </w:r>
      <w:r w:rsidR="00151759">
        <w:t xml:space="preserve">include </w:t>
      </w:r>
      <w:r w:rsidRPr="007E77A0" w:rsidR="007E77A0">
        <w:t xml:space="preserve">a framework for assessing risks associated with climate change impacts on </w:t>
      </w:r>
      <w:r w:rsidR="005C763F">
        <w:t xml:space="preserve">customers and </w:t>
      </w:r>
      <w:r w:rsidRPr="007E77A0" w:rsidR="007E77A0">
        <w:t>utility electric and natural gas infrastructure and operation</w:t>
      </w:r>
      <w:r w:rsidR="00210D7C">
        <w:t>s, and potential mitigation measures.</w:t>
      </w:r>
      <w:r w:rsidR="00340C42">
        <w:rPr>
          <w:rStyle w:val="FootnoteReference"/>
        </w:rPr>
        <w:footnoteReference w:id="56"/>
      </w:r>
      <w:r w:rsidR="00210D7C">
        <w:t xml:space="preserve">  Staff </w:t>
      </w:r>
      <w:r w:rsidR="00B87583">
        <w:t>further</w:t>
      </w:r>
      <w:r w:rsidR="00210D7C">
        <w:t xml:space="preserve"> recommend that the Commission </w:t>
      </w:r>
      <w:r w:rsidR="00374957">
        <w:t>conduct this work</w:t>
      </w:r>
      <w:r w:rsidR="005C763F">
        <w:t xml:space="preserve"> </w:t>
      </w:r>
      <w:r w:rsidRPr="007E77A0" w:rsidR="007E77A0">
        <w:t>in a manner that complements existing Commission guidance on climate change adaptation</w:t>
      </w:r>
      <w:r w:rsidR="00960877">
        <w:t xml:space="preserve"> </w:t>
      </w:r>
      <w:r w:rsidR="00374957">
        <w:t xml:space="preserve">adopted </w:t>
      </w:r>
      <w:r w:rsidR="00960877">
        <w:t>in R.18-04-019</w:t>
      </w:r>
      <w:r w:rsidR="00151759">
        <w:t xml:space="preserve"> </w:t>
      </w:r>
      <w:r w:rsidRPr="00151759" w:rsidR="00151759">
        <w:rPr>
          <w:i/>
          <w:iCs/>
        </w:rPr>
        <w:t xml:space="preserve">Order </w:t>
      </w:r>
      <w:r w:rsidRPr="00151759" w:rsidR="00151759">
        <w:rPr>
          <w:i/>
        </w:rPr>
        <w:t>Instituting Rulemaking to Consider Strategies and Guidance for Climate Change</w:t>
      </w:r>
      <w:r w:rsidRPr="007E77A0" w:rsidR="007E77A0">
        <w:t>.</w:t>
      </w:r>
    </w:p>
    <w:p w:rsidR="007E77A0" w:rsidP="004F4A56" w:rsidRDefault="00374957" w14:paraId="474FA311" w14:textId="3CF38EA0">
      <w:pPr>
        <w:pStyle w:val="Standard"/>
      </w:pPr>
      <w:r>
        <w:lastRenderedPageBreak/>
        <w:t xml:space="preserve">Specifically, </w:t>
      </w:r>
      <w:r w:rsidR="00151759">
        <w:t xml:space="preserve">Staff </w:t>
      </w:r>
      <w:r w:rsidR="00B4288B">
        <w:t xml:space="preserve">recommend that the Commission consider </w:t>
      </w:r>
      <w:r>
        <w:t xml:space="preserve">developing </w:t>
      </w:r>
      <w:r w:rsidRPr="007E77A0" w:rsidR="007E77A0">
        <w:t xml:space="preserve">methodologies to identify, quantify, and incorporate uncertainties associated with climate change as a risk driver, </w:t>
      </w:r>
      <w:r>
        <w:t>and methods</w:t>
      </w:r>
      <w:r w:rsidRPr="007E77A0" w:rsidR="007E77A0">
        <w:t xml:space="preserve"> to estimate potential risk reductions that could result from implementing mitigation measures.</w:t>
      </w:r>
      <w:r w:rsidR="00884B18">
        <w:t xml:space="preserve">  </w:t>
      </w:r>
      <w:r w:rsidR="00CF43D8">
        <w:t xml:space="preserve">Staff also recommend the Commission </w:t>
      </w:r>
      <w:r w:rsidR="00B972C8">
        <w:t xml:space="preserve">consider </w:t>
      </w:r>
      <w:r w:rsidRPr="007E77A0" w:rsidR="007E77A0">
        <w:t>track</w:t>
      </w:r>
      <w:r w:rsidR="00B972C8">
        <w:t>ing</w:t>
      </w:r>
      <w:r w:rsidRPr="007E77A0" w:rsidR="007E77A0">
        <w:t xml:space="preserve"> the effectiveness of utilit</w:t>
      </w:r>
      <w:r w:rsidR="002747D0">
        <w:t>y</w:t>
      </w:r>
      <w:r w:rsidRPr="007E77A0" w:rsidR="007E77A0">
        <w:t xml:space="preserve"> </w:t>
      </w:r>
      <w:r w:rsidR="002747D0">
        <w:t xml:space="preserve">climate </w:t>
      </w:r>
      <w:r w:rsidRPr="007E77A0" w:rsidR="007E77A0">
        <w:t>mitigation activities on utilit</w:t>
      </w:r>
      <w:r w:rsidR="002747D0">
        <w:t xml:space="preserve">y </w:t>
      </w:r>
      <w:r w:rsidRPr="007E77A0" w:rsidR="007E77A0">
        <w:t>infrastructure</w:t>
      </w:r>
      <w:r w:rsidR="007021C2">
        <w:t>.  Potential climate change impacts that utility mitigation measures could affect include</w:t>
      </w:r>
      <w:r w:rsidRPr="007E77A0" w:rsidR="007E77A0">
        <w:t xml:space="preserve"> exposure of pipelines to coastal hazards and humidity leading to corrosion risks, structural damage to pipelines and underground storage tanks due to rise in sea levels and extreme storms, and exposure of electric assets to rising sea-levels, extreme storm events</w:t>
      </w:r>
      <w:r w:rsidR="00EF26D7">
        <w:t>, amongst others</w:t>
      </w:r>
      <w:r w:rsidRPr="007E77A0" w:rsidR="007E77A0">
        <w:t>.</w:t>
      </w:r>
      <w:r w:rsidR="00CF43D8">
        <w:rPr>
          <w:rStyle w:val="FootnoteReference"/>
        </w:rPr>
        <w:footnoteReference w:id="57"/>
      </w:r>
    </w:p>
    <w:p w:rsidR="00884B18" w:rsidP="00BB3C7D" w:rsidRDefault="001638F6" w14:paraId="5E452AB8" w14:textId="168461D7">
      <w:pPr>
        <w:pStyle w:val="Heading3"/>
      </w:pPr>
      <w:bookmarkStart w:name="_Toc80890869" w:id="70"/>
      <w:bookmarkStart w:name="_Toc87361169" w:id="71"/>
      <w:r>
        <w:t>9.2.1</w:t>
      </w:r>
      <w:r>
        <w:tab/>
      </w:r>
      <w:r w:rsidR="00884B18">
        <w:t>Party Comments</w:t>
      </w:r>
      <w:bookmarkEnd w:id="70"/>
      <w:bookmarkEnd w:id="71"/>
    </w:p>
    <w:p w:rsidR="003921B3" w:rsidP="00B01775" w:rsidRDefault="005E3609" w14:paraId="67F9628D" w14:textId="55D9B5BC">
      <w:pPr>
        <w:pStyle w:val="Standard"/>
      </w:pPr>
      <w:r w:rsidRPr="00D8738B">
        <w:t>Parties generally support</w:t>
      </w:r>
      <w:r w:rsidRPr="00D8738B" w:rsidR="00B01775">
        <w:t xml:space="preserve"> </w:t>
      </w:r>
      <w:r w:rsidRPr="00D8738B">
        <w:t>consider</w:t>
      </w:r>
      <w:r w:rsidRPr="00D8738B" w:rsidR="00523564">
        <w:t>ing</w:t>
      </w:r>
      <w:r w:rsidR="00B90488">
        <w:t xml:space="preserve"> methods to incorporate</w:t>
      </w:r>
      <w:r>
        <w:t xml:space="preserve"> </w:t>
      </w:r>
      <w:r w:rsidR="007E11A7">
        <w:t xml:space="preserve">climate change impacts, </w:t>
      </w:r>
      <w:r w:rsidR="00183734">
        <w:t xml:space="preserve">climate </w:t>
      </w:r>
      <w:r w:rsidR="00D8196C">
        <w:t xml:space="preserve">change </w:t>
      </w:r>
      <w:r w:rsidR="007E11A7">
        <w:t>mitigation methods</w:t>
      </w:r>
      <w:r w:rsidR="00B90488">
        <w:t xml:space="preserve"> and impacts</w:t>
      </w:r>
      <w:r w:rsidR="007E11A7">
        <w:t xml:space="preserve">, and uncertainties </w:t>
      </w:r>
      <w:r w:rsidR="008D1E65">
        <w:t>in the RDF</w:t>
      </w:r>
      <w:r w:rsidR="00B90488">
        <w:t xml:space="preserve"> in Phase II of this proceeding</w:t>
      </w:r>
      <w:r w:rsidR="008D1E65">
        <w:t>.</w:t>
      </w:r>
      <w:r w:rsidR="00B90488">
        <w:t xml:space="preserve">  Cal Advocates </w:t>
      </w:r>
      <w:r w:rsidR="000E4477">
        <w:t xml:space="preserve">additionally </w:t>
      </w:r>
      <w:r w:rsidR="00B90488">
        <w:t>recommends that t</w:t>
      </w:r>
      <w:r w:rsidRPr="003921B3" w:rsidR="003921B3">
        <w:t xml:space="preserve">he Commission adopt </w:t>
      </w:r>
      <w:r w:rsidR="000A0908">
        <w:t xml:space="preserve">an </w:t>
      </w:r>
      <w:r w:rsidRPr="003921B3" w:rsidR="003921B3">
        <w:t xml:space="preserve">explicit framework for addressing climate change-driven risks </w:t>
      </w:r>
      <w:r w:rsidR="003F59A8">
        <w:t xml:space="preserve">in Phase II </w:t>
      </w:r>
      <w:r w:rsidRPr="003921B3" w:rsidR="003921B3">
        <w:t xml:space="preserve">that includes explicit guidance for </w:t>
      </w:r>
      <w:r w:rsidR="003F59A8">
        <w:t xml:space="preserve">how the IOUs should </w:t>
      </w:r>
      <w:r w:rsidRPr="003921B3" w:rsidR="003921B3">
        <w:t>incorpora</w:t>
      </w:r>
      <w:r w:rsidR="00532CF9">
        <w:t>te</w:t>
      </w:r>
      <w:r w:rsidRPr="003921B3" w:rsidR="003921B3">
        <w:t xml:space="preserve"> climate change projections </w:t>
      </w:r>
      <w:r w:rsidR="00B90488">
        <w:t xml:space="preserve">and </w:t>
      </w:r>
      <w:r w:rsidRPr="003921B3" w:rsidR="003921B3">
        <w:t>climate change-driven uncertainty in</w:t>
      </w:r>
      <w:r w:rsidR="00B90488">
        <w:t xml:space="preserve"> the RDF, such</w:t>
      </w:r>
      <w:r w:rsidR="00532CF9">
        <w:t xml:space="preserve"> as</w:t>
      </w:r>
      <w:r w:rsidR="00C86E41">
        <w:t>, for example, direction that the IOUs should</w:t>
      </w:r>
      <w:r w:rsidR="00532CF9">
        <w:t xml:space="preserve"> </w:t>
      </w:r>
      <w:r w:rsidRPr="003921B3" w:rsidR="003921B3">
        <w:t xml:space="preserve">not rely on historical data to assess climate change-driven risks. </w:t>
      </w:r>
      <w:r w:rsidR="00532CF9">
        <w:t xml:space="preserve"> </w:t>
      </w:r>
      <w:r w:rsidRPr="00775D74" w:rsidR="00532CF9">
        <w:t>Cal</w:t>
      </w:r>
      <w:r w:rsidRPr="00775D74" w:rsidR="00DE4D42">
        <w:t> </w:t>
      </w:r>
      <w:r w:rsidRPr="00775D74" w:rsidR="00532CF9">
        <w:t>Advocates</w:t>
      </w:r>
      <w:r w:rsidRPr="00775D74" w:rsidR="00236893">
        <w:t xml:space="preserve"> </w:t>
      </w:r>
      <w:r w:rsidRPr="00775D74" w:rsidR="00532CF9">
        <w:t xml:space="preserve">recommends that Phase II </w:t>
      </w:r>
      <w:r w:rsidRPr="00775D74" w:rsidR="003921B3">
        <w:t>assess methodologies for modeling risks t</w:t>
      </w:r>
      <w:r w:rsidRPr="00775D74" w:rsidR="00532CF9">
        <w:t xml:space="preserve">o </w:t>
      </w:r>
      <w:r w:rsidRPr="00775D74" w:rsidR="003921B3">
        <w:t xml:space="preserve">capture </w:t>
      </w:r>
      <w:r w:rsidRPr="00775D74" w:rsidR="00532CF9">
        <w:t xml:space="preserve">the </w:t>
      </w:r>
      <w:r w:rsidRPr="00775D74" w:rsidR="003921B3">
        <w:t>increasing severity and frequency of extreme events</w:t>
      </w:r>
      <w:r w:rsidRPr="00775D74" w:rsidR="002D7EA2">
        <w:t xml:space="preserve"> with the goal of identifying and requiring the </w:t>
      </w:r>
      <w:r w:rsidRPr="00775D74" w:rsidR="003921B3">
        <w:t xml:space="preserve">utilities </w:t>
      </w:r>
      <w:r w:rsidRPr="00775D74" w:rsidR="002D7EA2">
        <w:t xml:space="preserve">to implement </w:t>
      </w:r>
      <w:r w:rsidRPr="00775D74" w:rsidR="003921B3">
        <w:t>best practices</w:t>
      </w:r>
      <w:r w:rsidRPr="00775D74" w:rsidR="002D7EA2">
        <w:t xml:space="preserve"> in this regard</w:t>
      </w:r>
      <w:r w:rsidRPr="00775D74" w:rsidR="003921B3">
        <w:t xml:space="preserve">. </w:t>
      </w:r>
      <w:r w:rsidRPr="00775D74" w:rsidR="00DE4D42">
        <w:t xml:space="preserve"> </w:t>
      </w:r>
      <w:r w:rsidRPr="00775D74" w:rsidR="002D7EA2">
        <w:t>Cal Advocates</w:t>
      </w:r>
      <w:r w:rsidR="002D7EA2">
        <w:t xml:space="preserve"> recommends that </w:t>
      </w:r>
      <w:r w:rsidR="00965283">
        <w:t xml:space="preserve">this assessment of methodologies </w:t>
      </w:r>
      <w:r w:rsidRPr="003921B3" w:rsidR="003921B3">
        <w:t xml:space="preserve">occur </w:t>
      </w:r>
      <w:r w:rsidRPr="003921B3" w:rsidR="003921B3">
        <w:lastRenderedPageBreak/>
        <w:t>in coordination with ongoing Commission work on climate change</w:t>
      </w:r>
      <w:r w:rsidR="00486A14">
        <w:t xml:space="preserve">, reflected in </w:t>
      </w:r>
      <w:r w:rsidRPr="003921B3" w:rsidR="002D7EA2">
        <w:t>D.19-10-054 and D.20-08-046</w:t>
      </w:r>
      <w:r w:rsidR="004E1965">
        <w:t xml:space="preserve">.  Cal Advocates </w:t>
      </w:r>
      <w:r w:rsidR="00C9293F">
        <w:t xml:space="preserve">recommends that </w:t>
      </w:r>
      <w:r w:rsidR="004E1965">
        <w:t xml:space="preserve">the assessment </w:t>
      </w:r>
      <w:r w:rsidRPr="003921B3" w:rsidR="003921B3">
        <w:t>examine methods for incorporating</w:t>
      </w:r>
      <w:r w:rsidR="004E1965">
        <w:t xml:space="preserve"> </w:t>
      </w:r>
      <w:r w:rsidRPr="003921B3" w:rsidR="003921B3">
        <w:t>the results of utility climate change vulnerability assessments</w:t>
      </w:r>
      <w:r w:rsidR="001F0E2B">
        <w:t xml:space="preserve"> </w:t>
      </w:r>
      <w:r w:rsidR="004E1965">
        <w:t xml:space="preserve">in the RDF, as applicable, </w:t>
      </w:r>
      <w:r w:rsidR="00CA004E">
        <w:t xml:space="preserve">and methods to reflect </w:t>
      </w:r>
      <w:r w:rsidRPr="003921B3" w:rsidR="003921B3">
        <w:t>utility contributions to climate change from their operations</w:t>
      </w:r>
      <w:r w:rsidR="00CA004E">
        <w:t xml:space="preserve"> in the RDF</w:t>
      </w:r>
      <w:r w:rsidRPr="003921B3" w:rsidR="003921B3">
        <w:t>.</w:t>
      </w:r>
      <w:r w:rsidR="002D7EA2">
        <w:t xml:space="preserve"> </w:t>
      </w:r>
    </w:p>
    <w:p w:rsidRPr="00D76D45" w:rsidR="00D76D45" w:rsidP="008857C4" w:rsidRDefault="00E358C3" w14:paraId="1F8AF14B" w14:textId="3C9E64B3">
      <w:pPr>
        <w:pStyle w:val="Standard"/>
      </w:pPr>
      <w:r>
        <w:t>PCF</w:t>
      </w:r>
      <w:r w:rsidR="00F66965">
        <w:t xml:space="preserve">, supported by UCAN, </w:t>
      </w:r>
      <w:r>
        <w:t>emphasize</w:t>
      </w:r>
      <w:r w:rsidR="00F66965">
        <w:t>s</w:t>
      </w:r>
      <w:r>
        <w:t xml:space="preserve"> the need for the </w:t>
      </w:r>
      <w:r w:rsidR="00443086">
        <w:t>RDF</w:t>
      </w:r>
      <w:r w:rsidR="00C54870">
        <w:t>,</w:t>
      </w:r>
      <w:r w:rsidR="00443086">
        <w:t xml:space="preserve"> and the Commission more generally</w:t>
      </w:r>
      <w:r w:rsidR="00C54870">
        <w:t>, to</w:t>
      </w:r>
      <w:r w:rsidR="00443086">
        <w:t xml:space="preserve"> consider </w:t>
      </w:r>
      <w:r w:rsidR="00A84448">
        <w:t xml:space="preserve">greenhouse gas </w:t>
      </w:r>
      <w:r w:rsidR="002C6C7E">
        <w:t xml:space="preserve">(GHG) </w:t>
      </w:r>
      <w:r w:rsidR="00A84448">
        <w:t>emission</w:t>
      </w:r>
      <w:r w:rsidR="00443086">
        <w:t>s</w:t>
      </w:r>
      <w:r w:rsidDel="002C6C7E" w:rsidR="00A84448">
        <w:t xml:space="preserve"> </w:t>
      </w:r>
      <w:r w:rsidR="00443086">
        <w:t xml:space="preserve">and </w:t>
      </w:r>
      <w:r w:rsidR="00A84448">
        <w:t xml:space="preserve">climate change impacts </w:t>
      </w:r>
      <w:r w:rsidR="00443086">
        <w:t xml:space="preserve">from </w:t>
      </w:r>
      <w:r w:rsidR="00A84448">
        <w:t xml:space="preserve">natural gas-related proceedings and activities. </w:t>
      </w:r>
      <w:r w:rsidR="000F5552">
        <w:t xml:space="preserve"> </w:t>
      </w:r>
      <w:r w:rsidR="00F66965">
        <w:t xml:space="preserve">PCF </w:t>
      </w:r>
      <w:r w:rsidR="000F5552">
        <w:t xml:space="preserve">suggests a number of clean energy metrics relating to natural gas, discussed </w:t>
      </w:r>
      <w:r w:rsidRPr="00775D74" w:rsidR="000F5552">
        <w:t xml:space="preserve">further in </w:t>
      </w:r>
      <w:r w:rsidRPr="00775D74" w:rsidR="00DE4D42">
        <w:t>S</w:t>
      </w:r>
      <w:r w:rsidRPr="00775D74" w:rsidR="000F5552">
        <w:t>ection</w:t>
      </w:r>
      <w:r w:rsidR="000F5552">
        <w:t xml:space="preserve"> </w:t>
      </w:r>
      <w:r w:rsidR="007F74D4">
        <w:t>10.5.6</w:t>
      </w:r>
      <w:r w:rsidR="000F5552">
        <w:t xml:space="preserve"> below. </w:t>
      </w:r>
    </w:p>
    <w:p w:rsidR="00884B18" w:rsidP="00BB3C7D" w:rsidRDefault="001638F6" w14:paraId="26D6E02C" w14:textId="07F57BB1">
      <w:pPr>
        <w:pStyle w:val="Heading3"/>
      </w:pPr>
      <w:bookmarkStart w:name="_Toc80890870" w:id="72"/>
      <w:bookmarkStart w:name="_Toc87361170" w:id="73"/>
      <w:r>
        <w:t>9.2.2</w:t>
      </w:r>
      <w:r>
        <w:tab/>
      </w:r>
      <w:r w:rsidR="00884B18">
        <w:t>Discussion</w:t>
      </w:r>
      <w:bookmarkEnd w:id="72"/>
      <w:bookmarkEnd w:id="73"/>
    </w:p>
    <w:p w:rsidR="008C7A4C" w:rsidP="00100DC4" w:rsidRDefault="006D2FAF" w14:paraId="7CC421F9" w14:textId="63AEAF88">
      <w:pPr>
        <w:pStyle w:val="Standard"/>
      </w:pPr>
      <w:r>
        <w:t>W</w:t>
      </w:r>
      <w:r w:rsidRPr="006D2FAF">
        <w:t xml:space="preserve">e concur with Staff </w:t>
      </w:r>
      <w:r w:rsidR="0094783C">
        <w:t xml:space="preserve">and parties </w:t>
      </w:r>
      <w:r w:rsidRPr="006D2FAF">
        <w:t>that th</w:t>
      </w:r>
      <w:r>
        <w:t xml:space="preserve">e </w:t>
      </w:r>
      <w:r w:rsidRPr="006D2FAF">
        <w:t>topic</w:t>
      </w:r>
      <w:r>
        <w:t xml:space="preserve"> of climate change impacts, risks and mitigation measures is</w:t>
      </w:r>
      <w:r w:rsidRPr="006D2FAF">
        <w:t xml:space="preserve"> worthy of consideration in Phase II of this proceeding.  However, Phase II of this proceeding already includes a long list of potential issues</w:t>
      </w:r>
      <w:r w:rsidR="007011EB">
        <w:t xml:space="preserve"> in scope</w:t>
      </w:r>
      <w:r w:rsidRPr="006D2FAF">
        <w:t xml:space="preserve">. </w:t>
      </w:r>
      <w:r w:rsidR="00A80561">
        <w:t xml:space="preserve"> </w:t>
      </w:r>
      <w:r w:rsidRPr="006D2FAF">
        <w:t xml:space="preserve">Therefore, we direct Staff and parties </w:t>
      </w:r>
      <w:r w:rsidR="00D22912">
        <w:t xml:space="preserve">participating in the </w:t>
      </w:r>
      <w:r w:rsidR="00902059">
        <w:t xml:space="preserve">TWG </w:t>
      </w:r>
      <w:r w:rsidRPr="006D2FAF">
        <w:t xml:space="preserve">to </w:t>
      </w:r>
      <w:r w:rsidR="00001685">
        <w:t xml:space="preserve">work to </w:t>
      </w:r>
      <w:r w:rsidRPr="006D2FAF">
        <w:t xml:space="preserve">prepare </w:t>
      </w:r>
      <w:r w:rsidR="003A0867">
        <w:t xml:space="preserve">and propose </w:t>
      </w:r>
      <w:r w:rsidRPr="006D2FAF">
        <w:t>an updated</w:t>
      </w:r>
      <w:r w:rsidR="002C6C7E">
        <w:t xml:space="preserve"> overall</w:t>
      </w:r>
      <w:r w:rsidRPr="006D2FAF">
        <w:t xml:space="preserve"> “S-MAP Roadmap” </w:t>
      </w:r>
      <w:r w:rsidR="00D22912">
        <w:t xml:space="preserve">and </w:t>
      </w:r>
      <w:r w:rsidR="006A3863">
        <w:t xml:space="preserve">a </w:t>
      </w:r>
      <w:r w:rsidR="00537C32">
        <w:t>high</w:t>
      </w:r>
      <w:r w:rsidR="00A80561">
        <w:noBreakHyphen/>
      </w:r>
      <w:r w:rsidR="00537C32">
        <w:t xml:space="preserve">level </w:t>
      </w:r>
      <w:r w:rsidR="00D22912">
        <w:t>workplan</w:t>
      </w:r>
      <w:r w:rsidR="009E71CE">
        <w:t xml:space="preserve"> that </w:t>
      </w:r>
      <w:r w:rsidR="006D55F5">
        <w:t xml:space="preserve">indicates priorities and any dependencies for </w:t>
      </w:r>
      <w:r w:rsidR="00537C32">
        <w:t xml:space="preserve">Phase II work and </w:t>
      </w:r>
      <w:r w:rsidR="002C6C7E">
        <w:t xml:space="preserve">that </w:t>
      </w:r>
      <w:r w:rsidR="00537C32">
        <w:t>outlines approximate timelines and deliverable</w:t>
      </w:r>
      <w:r w:rsidR="00D8738B">
        <w:t>s</w:t>
      </w:r>
      <w:r w:rsidR="00537C32">
        <w:t xml:space="preserve"> need</w:t>
      </w:r>
      <w:r w:rsidR="00D8738B">
        <w:t>ed</w:t>
      </w:r>
      <w:r w:rsidR="00537C32">
        <w:t xml:space="preserve"> to address prioritized items</w:t>
      </w:r>
      <w:r w:rsidR="00D22912">
        <w:t xml:space="preserve">.  </w:t>
      </w:r>
      <w:r w:rsidR="008239BB">
        <w:t xml:space="preserve">To the extent possible, this should be a consensus-based document, but non-consensus areas may be indicated as needed.  </w:t>
      </w:r>
    </w:p>
    <w:p w:rsidRPr="006D2FAF" w:rsidR="006D2FAF" w:rsidRDefault="008C7A4C" w14:paraId="38256CEF" w14:textId="132CDB53">
      <w:pPr>
        <w:pStyle w:val="Standard"/>
      </w:pPr>
      <w:r>
        <w:t>Staff and parties should aim to complete this</w:t>
      </w:r>
      <w:r w:rsidR="00987F02">
        <w:t xml:space="preserve"> work </w:t>
      </w:r>
      <w:r>
        <w:t xml:space="preserve">by </w:t>
      </w:r>
      <w:r w:rsidR="00C20E88">
        <w:t xml:space="preserve">December 31, </w:t>
      </w:r>
      <w:r>
        <w:t>2021</w:t>
      </w:r>
      <w:r w:rsidR="00426FB2">
        <w:t>,</w:t>
      </w:r>
      <w:r w:rsidR="00AB4F7C">
        <w:t xml:space="preserve"> </w:t>
      </w:r>
      <w:bookmarkStart w:name="_Hlk80945226" w:id="74"/>
      <w:r w:rsidR="00AB4F7C">
        <w:t>or a</w:t>
      </w:r>
      <w:r w:rsidR="00FA405C">
        <w:t xml:space="preserve"> </w:t>
      </w:r>
      <w:r w:rsidR="00AB4F7C">
        <w:t>later</w:t>
      </w:r>
      <w:r w:rsidR="00FA405C">
        <w:t xml:space="preserve"> </w:t>
      </w:r>
      <w:r w:rsidR="00AB4F7C">
        <w:t xml:space="preserve">date as directed by the </w:t>
      </w:r>
      <w:r w:rsidR="00001ADE">
        <w:t>Assigned ALJ</w:t>
      </w:r>
      <w:r>
        <w:t xml:space="preserve">.  </w:t>
      </w:r>
      <w:bookmarkEnd w:id="74"/>
      <w:r w:rsidRPr="009D701C" w:rsidR="009D701C">
        <w:t xml:space="preserve">The draft Roadmap may be served and filed as </w:t>
      </w:r>
      <w:r w:rsidR="00BD16E9">
        <w:t xml:space="preserve">a </w:t>
      </w:r>
      <w:r w:rsidRPr="009D701C" w:rsidR="009D701C">
        <w:t xml:space="preserve">joint proposal from two or more parties or may be presented to the </w:t>
      </w:r>
      <w:r w:rsidR="00241D2F">
        <w:t>Assigned</w:t>
      </w:r>
      <w:r w:rsidRPr="009D701C" w:rsidR="009D701C">
        <w:t xml:space="preserve"> ALJ as a Staff proposal.  The </w:t>
      </w:r>
      <w:r w:rsidR="00241D2F">
        <w:t>Assigned</w:t>
      </w:r>
      <w:r w:rsidRPr="009D701C" w:rsidR="009D701C">
        <w:t xml:space="preserve"> ALJ and Commissioner will request party comment on the draft Roadmap, when </w:t>
      </w:r>
      <w:r w:rsidRPr="009D701C" w:rsidR="009D701C">
        <w:lastRenderedPageBreak/>
        <w:t xml:space="preserve">developing the Scoping Memo for Phase II, as appropriate.  </w:t>
      </w:r>
      <w:r w:rsidR="0059187A">
        <w:t xml:space="preserve">A subsequent decision in Phase II may consider adopting </w:t>
      </w:r>
      <w:r w:rsidR="0074543F">
        <w:t xml:space="preserve">such a </w:t>
      </w:r>
      <w:r w:rsidR="0059187A">
        <w:t xml:space="preserve">roadmap. </w:t>
      </w:r>
      <w:r w:rsidR="002C3C37">
        <w:t xml:space="preserve"> </w:t>
      </w:r>
    </w:p>
    <w:p w:rsidR="00D76D45" w:rsidP="00561B16" w:rsidRDefault="001638F6" w14:paraId="2A9749CD" w14:textId="1FBE7E9C">
      <w:pPr>
        <w:pStyle w:val="Heading1"/>
      </w:pPr>
      <w:bookmarkStart w:name="_Toc80890871" w:id="75"/>
      <w:bookmarkStart w:name="_Toc87361171" w:id="76"/>
      <w:r>
        <w:t>10.</w:t>
      </w:r>
      <w:r>
        <w:tab/>
      </w:r>
      <w:r w:rsidR="00D7157E">
        <w:t xml:space="preserve">PG&amp;E </w:t>
      </w:r>
      <w:r w:rsidR="002A0DED">
        <w:t>Safety and Operational Metrics</w:t>
      </w:r>
      <w:bookmarkEnd w:id="75"/>
      <w:bookmarkEnd w:id="76"/>
      <w:r w:rsidR="002A0DED">
        <w:t xml:space="preserve"> </w:t>
      </w:r>
    </w:p>
    <w:p w:rsidRPr="00A43641" w:rsidR="006B446A" w:rsidP="004F4A56" w:rsidRDefault="00A43641" w14:paraId="274FB8C6" w14:textId="32E7A183">
      <w:pPr>
        <w:pStyle w:val="Standard"/>
        <w:rPr>
          <w:iCs/>
        </w:rPr>
      </w:pPr>
      <w:r w:rsidRPr="00A43641">
        <w:rPr>
          <w:iCs/>
        </w:rPr>
        <w:t xml:space="preserve">Track 2 of this proceeding considers </w:t>
      </w:r>
      <w:r w:rsidR="0074543F">
        <w:rPr>
          <w:iCs/>
        </w:rPr>
        <w:t>s</w:t>
      </w:r>
      <w:r w:rsidRPr="00A43641">
        <w:rPr>
          <w:iCs/>
        </w:rPr>
        <w:t>afety</w:t>
      </w:r>
      <w:r w:rsidR="00FC740C">
        <w:rPr>
          <w:iCs/>
        </w:rPr>
        <w:t xml:space="preserve"> and </w:t>
      </w:r>
      <w:r w:rsidR="0074543F">
        <w:rPr>
          <w:iCs/>
        </w:rPr>
        <w:t>o</w:t>
      </w:r>
      <w:r w:rsidRPr="00A43641">
        <w:rPr>
          <w:iCs/>
        </w:rPr>
        <w:t>perational</w:t>
      </w:r>
      <w:r w:rsidR="00FC740C">
        <w:rPr>
          <w:iCs/>
        </w:rPr>
        <w:t xml:space="preserve"> </w:t>
      </w:r>
      <w:r w:rsidR="0074543F">
        <w:rPr>
          <w:iCs/>
        </w:rPr>
        <w:t>p</w:t>
      </w:r>
      <w:r w:rsidRPr="00A43641">
        <w:rPr>
          <w:iCs/>
        </w:rPr>
        <w:t xml:space="preserve">erformance metrics and their broad application, including </w:t>
      </w:r>
      <w:r w:rsidR="006F2C16">
        <w:rPr>
          <w:iCs/>
        </w:rPr>
        <w:t xml:space="preserve">developing </w:t>
      </w:r>
      <w:r w:rsidRPr="00A43641">
        <w:rPr>
          <w:iCs/>
        </w:rPr>
        <w:t>SOMs</w:t>
      </w:r>
      <w:r w:rsidR="006F2C16">
        <w:rPr>
          <w:iCs/>
        </w:rPr>
        <w:t xml:space="preserve"> for use in conjunction with </w:t>
      </w:r>
      <w:r w:rsidR="00311C3B">
        <w:rPr>
          <w:iCs/>
        </w:rPr>
        <w:t>the EOE</w:t>
      </w:r>
      <w:r w:rsidR="00642571">
        <w:rPr>
          <w:iCs/>
        </w:rPr>
        <w:t xml:space="preserve"> P</w:t>
      </w:r>
      <w:r w:rsidR="00311C3B">
        <w:rPr>
          <w:iCs/>
        </w:rPr>
        <w:t>rocess</w:t>
      </w:r>
      <w:r w:rsidR="00642571">
        <w:rPr>
          <w:iCs/>
        </w:rPr>
        <w:t xml:space="preserve"> </w:t>
      </w:r>
      <w:r w:rsidRPr="00A43641">
        <w:rPr>
          <w:iCs/>
        </w:rPr>
        <w:t>approved in D.20-05-053</w:t>
      </w:r>
      <w:r w:rsidR="00A25317">
        <w:rPr>
          <w:iCs/>
        </w:rPr>
        <w:t xml:space="preserve"> </w:t>
      </w:r>
      <w:r w:rsidR="0074543F">
        <w:rPr>
          <w:iCs/>
        </w:rPr>
        <w:t xml:space="preserve">for </w:t>
      </w:r>
      <w:r w:rsidR="00A25317">
        <w:rPr>
          <w:iCs/>
        </w:rPr>
        <w:t>PG&amp;</w:t>
      </w:r>
      <w:r w:rsidRPr="00C962CC" w:rsidR="00A25317">
        <w:rPr>
          <w:iCs/>
        </w:rPr>
        <w:t>E</w:t>
      </w:r>
      <w:r w:rsidRPr="00C962CC">
        <w:rPr>
          <w:iCs/>
        </w:rPr>
        <w:t>.</w:t>
      </w:r>
      <w:r w:rsidRPr="00C962CC">
        <w:rPr>
          <w:iCs/>
          <w:vertAlign w:val="superscript"/>
        </w:rPr>
        <w:footnoteReference w:id="58"/>
      </w:r>
      <w:r w:rsidR="00E64D20">
        <w:rPr>
          <w:iCs/>
        </w:rPr>
        <w:t xml:space="preserve">  </w:t>
      </w:r>
    </w:p>
    <w:p w:rsidRPr="00A43641" w:rsidR="004E7E0B" w:rsidP="00003D89" w:rsidRDefault="00D80AEC" w14:paraId="63B28E71" w14:textId="6F37D53D">
      <w:pPr>
        <w:pStyle w:val="Standard"/>
        <w:rPr>
          <w:iCs/>
        </w:rPr>
      </w:pPr>
      <w:r>
        <w:rPr>
          <w:iCs/>
        </w:rPr>
        <w:t>This section provides backgroun</w:t>
      </w:r>
      <w:r w:rsidR="00B71988">
        <w:rPr>
          <w:iCs/>
        </w:rPr>
        <w:t xml:space="preserve">d </w:t>
      </w:r>
      <w:r w:rsidR="00BE1AA9">
        <w:rPr>
          <w:iCs/>
        </w:rPr>
        <w:t>on</w:t>
      </w:r>
      <w:r w:rsidR="00B71988">
        <w:rPr>
          <w:iCs/>
        </w:rPr>
        <w:t xml:space="preserve"> </w:t>
      </w:r>
      <w:r w:rsidR="005874FB">
        <w:rPr>
          <w:iCs/>
        </w:rPr>
        <w:t>the EOE Process adopted</w:t>
      </w:r>
      <w:r w:rsidR="00B71988">
        <w:rPr>
          <w:iCs/>
        </w:rPr>
        <w:t xml:space="preserve"> </w:t>
      </w:r>
      <w:r w:rsidR="00402694">
        <w:rPr>
          <w:iCs/>
        </w:rPr>
        <w:t>in D.20</w:t>
      </w:r>
      <w:r w:rsidR="00A80561">
        <w:rPr>
          <w:iCs/>
        </w:rPr>
        <w:noBreakHyphen/>
      </w:r>
      <w:r w:rsidR="00402694">
        <w:rPr>
          <w:iCs/>
        </w:rPr>
        <w:t>05</w:t>
      </w:r>
      <w:r w:rsidR="00A80561">
        <w:rPr>
          <w:iCs/>
        </w:rPr>
        <w:noBreakHyphen/>
      </w:r>
      <w:r w:rsidR="00402694">
        <w:rPr>
          <w:iCs/>
        </w:rPr>
        <w:t>053</w:t>
      </w:r>
      <w:r w:rsidR="005874FB">
        <w:rPr>
          <w:iCs/>
        </w:rPr>
        <w:t xml:space="preserve"> as </w:t>
      </w:r>
      <w:r w:rsidR="002C6C7E">
        <w:rPr>
          <w:iCs/>
        </w:rPr>
        <w:t xml:space="preserve">it </w:t>
      </w:r>
      <w:r w:rsidR="005874FB">
        <w:rPr>
          <w:iCs/>
        </w:rPr>
        <w:t>relates to PG&amp;E SOMs</w:t>
      </w:r>
      <w:r w:rsidR="00402694">
        <w:rPr>
          <w:iCs/>
        </w:rPr>
        <w:t xml:space="preserve">.  </w:t>
      </w:r>
      <w:r w:rsidR="00905F1E">
        <w:rPr>
          <w:iCs/>
        </w:rPr>
        <w:t xml:space="preserve">We </w:t>
      </w:r>
      <w:r w:rsidR="006B446A">
        <w:rPr>
          <w:iCs/>
        </w:rPr>
        <w:t xml:space="preserve">then </w:t>
      </w:r>
      <w:r w:rsidR="00680CF4">
        <w:rPr>
          <w:iCs/>
        </w:rPr>
        <w:t xml:space="preserve">review </w:t>
      </w:r>
      <w:r w:rsidR="00E566E5">
        <w:rPr>
          <w:iCs/>
        </w:rPr>
        <w:t xml:space="preserve">the guidance in the SOMs Ruling and </w:t>
      </w:r>
      <w:r w:rsidR="006F1BE0">
        <w:rPr>
          <w:iCs/>
        </w:rPr>
        <w:t>PG&amp;E</w:t>
      </w:r>
      <w:r w:rsidR="00001ADE">
        <w:rPr>
          <w:iCs/>
        </w:rPr>
        <w:t>’s</w:t>
      </w:r>
      <w:r w:rsidR="006F1BE0">
        <w:rPr>
          <w:iCs/>
        </w:rPr>
        <w:t xml:space="preserve"> and Staff’s SOMs proposals</w:t>
      </w:r>
      <w:r w:rsidR="006B446A">
        <w:rPr>
          <w:iCs/>
        </w:rPr>
        <w:t>.</w:t>
      </w:r>
      <w:r w:rsidRPr="00027072" w:rsidR="004E7E0B">
        <w:rPr>
          <w:iCs/>
        </w:rPr>
        <w:t xml:space="preserve"> </w:t>
      </w:r>
      <w:r w:rsidR="00A80561">
        <w:rPr>
          <w:iCs/>
        </w:rPr>
        <w:t xml:space="preserve"> </w:t>
      </w:r>
      <w:r w:rsidRPr="00027072" w:rsidR="004E7E0B">
        <w:rPr>
          <w:iCs/>
        </w:rPr>
        <w:t>We conclude</w:t>
      </w:r>
      <w:r w:rsidRPr="00027072" w:rsidR="00435513">
        <w:rPr>
          <w:iCs/>
        </w:rPr>
        <w:t xml:space="preserve"> </w:t>
      </w:r>
      <w:r w:rsidRPr="00027072" w:rsidR="004E7E0B">
        <w:rPr>
          <w:iCs/>
        </w:rPr>
        <w:t xml:space="preserve">by </w:t>
      </w:r>
      <w:r w:rsidRPr="00027072" w:rsidR="00435513">
        <w:rPr>
          <w:iCs/>
        </w:rPr>
        <w:t xml:space="preserve">adopting </w:t>
      </w:r>
      <w:r w:rsidRPr="00027072" w:rsidR="00B6269D">
        <w:rPr>
          <w:iCs/>
        </w:rPr>
        <w:t>Staff’s propos</w:t>
      </w:r>
      <w:r w:rsidRPr="00027072" w:rsidR="00A86302">
        <w:rPr>
          <w:iCs/>
        </w:rPr>
        <w:t xml:space="preserve">ed SOMs for PG&amp;E </w:t>
      </w:r>
      <w:r w:rsidRPr="00027072" w:rsidR="00B6269D">
        <w:rPr>
          <w:iCs/>
        </w:rPr>
        <w:t>with modifications</w:t>
      </w:r>
      <w:r w:rsidRPr="00027072" w:rsidR="00027072">
        <w:rPr>
          <w:iCs/>
        </w:rPr>
        <w:t xml:space="preserve">, some of which reflect PG&amp;E’s </w:t>
      </w:r>
      <w:r w:rsidR="002D0416">
        <w:rPr>
          <w:iCs/>
        </w:rPr>
        <w:t>p</w:t>
      </w:r>
      <w:r w:rsidRPr="00027072" w:rsidR="00027072">
        <w:rPr>
          <w:iCs/>
        </w:rPr>
        <w:t>roposal</w:t>
      </w:r>
      <w:r w:rsidR="002D0416">
        <w:rPr>
          <w:iCs/>
        </w:rPr>
        <w:t>s</w:t>
      </w:r>
      <w:r w:rsidRPr="00027072" w:rsidR="00027072">
        <w:rPr>
          <w:iCs/>
        </w:rPr>
        <w:t xml:space="preserve">. </w:t>
      </w:r>
      <w:r w:rsidRPr="00027072" w:rsidR="00A86302">
        <w:rPr>
          <w:iCs/>
        </w:rPr>
        <w:t xml:space="preserve"> </w:t>
      </w:r>
    </w:p>
    <w:p w:rsidRPr="00775D74" w:rsidR="00362B78" w:rsidP="00362B78" w:rsidRDefault="001638F6" w14:paraId="3D01952E" w14:textId="2389F63B">
      <w:pPr>
        <w:pStyle w:val="Heading2"/>
        <w:rPr>
          <w:iCs/>
        </w:rPr>
      </w:pPr>
      <w:bookmarkStart w:name="_Toc80890872" w:id="77"/>
      <w:bookmarkStart w:name="_Toc87361172" w:id="78"/>
      <w:r w:rsidRPr="00775D74">
        <w:t>10.1</w:t>
      </w:r>
      <w:r w:rsidRPr="00775D74">
        <w:tab/>
      </w:r>
      <w:r w:rsidRPr="00775D74" w:rsidR="00362B78">
        <w:t xml:space="preserve">PG&amp;E Enhanced Oversight </w:t>
      </w:r>
      <w:r w:rsidRPr="00775D74" w:rsidR="00DE4D42">
        <w:br/>
      </w:r>
      <w:r w:rsidRPr="00775D74" w:rsidR="00362B78">
        <w:t>and Enforcement Process</w:t>
      </w:r>
      <w:bookmarkEnd w:id="77"/>
      <w:bookmarkEnd w:id="78"/>
    </w:p>
    <w:p w:rsidRPr="004563CE" w:rsidR="004563CE" w:rsidP="004F4A56" w:rsidRDefault="00231669" w14:paraId="4F1B5398" w14:textId="4BFC855D">
      <w:pPr>
        <w:pStyle w:val="Standard"/>
        <w:rPr>
          <w:iCs/>
        </w:rPr>
      </w:pPr>
      <w:r>
        <w:rPr>
          <w:iCs/>
        </w:rPr>
        <w:t xml:space="preserve">In </w:t>
      </w:r>
      <w:r w:rsidRPr="00775D74" w:rsidR="004563CE">
        <w:rPr>
          <w:iCs/>
        </w:rPr>
        <w:t>approving</w:t>
      </w:r>
      <w:r w:rsidRPr="004563CE" w:rsidR="004563CE">
        <w:rPr>
          <w:iCs/>
        </w:rPr>
        <w:t xml:space="preserve"> PG&amp;E’s bankruptcy plan of reorganization</w:t>
      </w:r>
      <w:r>
        <w:rPr>
          <w:iCs/>
        </w:rPr>
        <w:t>,</w:t>
      </w:r>
      <w:r w:rsidRPr="00231669">
        <w:rPr>
          <w:iCs/>
        </w:rPr>
        <w:t xml:space="preserve"> </w:t>
      </w:r>
      <w:r w:rsidRPr="00775D74">
        <w:rPr>
          <w:iCs/>
        </w:rPr>
        <w:t>D.20-05-053</w:t>
      </w:r>
      <w:r w:rsidRPr="004563CE" w:rsidR="004563CE">
        <w:rPr>
          <w:iCs/>
        </w:rPr>
        <w:t xml:space="preserve"> establishe</w:t>
      </w:r>
      <w:r w:rsidR="00E823E6">
        <w:rPr>
          <w:iCs/>
        </w:rPr>
        <w:t>s</w:t>
      </w:r>
      <w:r w:rsidRPr="004563CE" w:rsidR="004563CE">
        <w:rPr>
          <w:iCs/>
        </w:rPr>
        <w:t xml:space="preserve"> an EOE </w:t>
      </w:r>
      <w:r w:rsidR="004D4B50">
        <w:rPr>
          <w:iCs/>
        </w:rPr>
        <w:t>P</w:t>
      </w:r>
      <w:r w:rsidRPr="004563CE" w:rsidR="004563CE">
        <w:rPr>
          <w:iCs/>
        </w:rPr>
        <w:t xml:space="preserve">rocess </w:t>
      </w:r>
      <w:r w:rsidRPr="004B5F82" w:rsidR="004B5F82">
        <w:rPr>
          <w:iCs/>
        </w:rPr>
        <w:t>for how the Commission will closely monitor</w:t>
      </w:r>
      <w:r w:rsidRPr="004563CE" w:rsidR="004202ED">
        <w:rPr>
          <w:iCs/>
        </w:rPr>
        <w:t xml:space="preserve"> </w:t>
      </w:r>
      <w:r w:rsidRPr="004B5F82" w:rsidR="004B5F82">
        <w:rPr>
          <w:iCs/>
        </w:rPr>
        <w:t xml:space="preserve">PG&amp;E’s </w:t>
      </w:r>
      <w:r w:rsidRPr="004563CE" w:rsidR="004563CE">
        <w:rPr>
          <w:iCs/>
        </w:rPr>
        <w:t>safety and operational performance</w:t>
      </w:r>
      <w:r w:rsidR="00B8107A">
        <w:rPr>
          <w:iCs/>
        </w:rPr>
        <w:t>.  The EOE Process centers around “steps” that</w:t>
      </w:r>
      <w:r w:rsidR="00C413A9">
        <w:rPr>
          <w:iCs/>
        </w:rPr>
        <w:t xml:space="preserve"> are initiated </w:t>
      </w:r>
      <w:r w:rsidR="003A54F0">
        <w:rPr>
          <w:iCs/>
        </w:rPr>
        <w:t xml:space="preserve">by the Commission </w:t>
      </w:r>
      <w:r w:rsidR="00C413A9">
        <w:rPr>
          <w:iCs/>
        </w:rPr>
        <w:t>if certain defined</w:t>
      </w:r>
      <w:r w:rsidR="00B8107A">
        <w:rPr>
          <w:iCs/>
        </w:rPr>
        <w:t xml:space="preserve"> </w:t>
      </w:r>
      <w:r w:rsidR="00BE1124">
        <w:rPr>
          <w:iCs/>
        </w:rPr>
        <w:t>“</w:t>
      </w:r>
      <w:r w:rsidR="00CE5B7F">
        <w:rPr>
          <w:iCs/>
        </w:rPr>
        <w:t>t</w:t>
      </w:r>
      <w:r w:rsidRPr="004563CE" w:rsidR="004563CE">
        <w:rPr>
          <w:iCs/>
        </w:rPr>
        <w:t xml:space="preserve">riggering </w:t>
      </w:r>
      <w:r w:rsidR="00CE5B7F">
        <w:rPr>
          <w:iCs/>
        </w:rPr>
        <w:t>e</w:t>
      </w:r>
      <w:r w:rsidRPr="004563CE" w:rsidR="004563CE">
        <w:rPr>
          <w:iCs/>
        </w:rPr>
        <w:t>vents</w:t>
      </w:r>
      <w:r w:rsidR="00BE1124">
        <w:rPr>
          <w:iCs/>
        </w:rPr>
        <w:t>”</w:t>
      </w:r>
      <w:r w:rsidRPr="004563CE" w:rsidR="004563CE">
        <w:rPr>
          <w:iCs/>
        </w:rPr>
        <w:t xml:space="preserve"> occur. </w:t>
      </w:r>
      <w:r w:rsidR="00BE1124">
        <w:rPr>
          <w:iCs/>
        </w:rPr>
        <w:t xml:space="preserve"> </w:t>
      </w:r>
      <w:r w:rsidRPr="004563CE" w:rsidR="004563CE">
        <w:rPr>
          <w:iCs/>
        </w:rPr>
        <w:t xml:space="preserve">The steps range from Step 1, which </w:t>
      </w:r>
      <w:r w:rsidR="00B8107A">
        <w:rPr>
          <w:iCs/>
        </w:rPr>
        <w:t xml:space="preserve">requires PG&amp;E to undertake </w:t>
      </w:r>
      <w:r w:rsidRPr="004563CE" w:rsidR="004563CE">
        <w:rPr>
          <w:iCs/>
        </w:rPr>
        <w:t xml:space="preserve">enhanced reporting and oversight, to Step 6, </w:t>
      </w:r>
      <w:r w:rsidR="00B8107A">
        <w:rPr>
          <w:iCs/>
        </w:rPr>
        <w:t xml:space="preserve">wherein the Commission may revoke </w:t>
      </w:r>
      <w:r w:rsidRPr="004563CE" w:rsidR="004563CE">
        <w:rPr>
          <w:iCs/>
        </w:rPr>
        <w:t xml:space="preserve">PG&amp;E’s </w:t>
      </w:r>
      <w:r w:rsidR="00B8107A">
        <w:rPr>
          <w:iCs/>
        </w:rPr>
        <w:t>authority</w:t>
      </w:r>
      <w:r w:rsidRPr="004563CE" w:rsidR="004563CE">
        <w:rPr>
          <w:iCs/>
        </w:rPr>
        <w:t xml:space="preserve"> to operate as a California electric utility.</w:t>
      </w:r>
      <w:r w:rsidRPr="004563CE" w:rsidR="00B24B59">
        <w:rPr>
          <w:b/>
          <w:iCs/>
          <w:vertAlign w:val="superscript"/>
        </w:rPr>
        <w:footnoteReference w:id="59"/>
      </w:r>
    </w:p>
    <w:p w:rsidR="006E29C5" w:rsidP="004F4A56" w:rsidRDefault="004563CE" w14:paraId="45933375" w14:textId="6A8F7EFF">
      <w:pPr>
        <w:pStyle w:val="Standard"/>
        <w:rPr>
          <w:iCs/>
        </w:rPr>
      </w:pPr>
      <w:r w:rsidRPr="004563CE">
        <w:rPr>
          <w:iCs/>
        </w:rPr>
        <w:t xml:space="preserve">As shown </w:t>
      </w:r>
      <w:r w:rsidR="006F11F8">
        <w:rPr>
          <w:iCs/>
        </w:rPr>
        <w:t>below</w:t>
      </w:r>
      <w:r w:rsidRPr="004563CE">
        <w:rPr>
          <w:iCs/>
        </w:rPr>
        <w:t xml:space="preserve">, </w:t>
      </w:r>
      <w:r w:rsidR="00AB6C94">
        <w:rPr>
          <w:iCs/>
        </w:rPr>
        <w:t xml:space="preserve">several </w:t>
      </w:r>
      <w:r w:rsidR="009872FE">
        <w:rPr>
          <w:iCs/>
        </w:rPr>
        <w:t>EOE Process step</w:t>
      </w:r>
      <w:r w:rsidR="00720554">
        <w:rPr>
          <w:iCs/>
        </w:rPr>
        <w:t>s</w:t>
      </w:r>
      <w:r w:rsidR="00AB6C94">
        <w:rPr>
          <w:iCs/>
        </w:rPr>
        <w:t xml:space="preserve"> include </w:t>
      </w:r>
      <w:r w:rsidRPr="004563CE">
        <w:rPr>
          <w:iCs/>
        </w:rPr>
        <w:t>SOMs</w:t>
      </w:r>
      <w:r w:rsidR="00872590">
        <w:rPr>
          <w:iCs/>
        </w:rPr>
        <w:t xml:space="preserve"> as </w:t>
      </w:r>
      <w:r w:rsidR="00B827C4">
        <w:rPr>
          <w:iCs/>
        </w:rPr>
        <w:t xml:space="preserve">criteria for </w:t>
      </w:r>
      <w:r w:rsidR="00872590">
        <w:rPr>
          <w:iCs/>
        </w:rPr>
        <w:t>triggering events</w:t>
      </w:r>
      <w:r w:rsidR="005E79EC">
        <w:rPr>
          <w:iCs/>
        </w:rPr>
        <w:t>.  If the triggering events occur, the Commission may place PG&amp;E in</w:t>
      </w:r>
      <w:r w:rsidR="00720554">
        <w:rPr>
          <w:iCs/>
        </w:rPr>
        <w:t xml:space="preserve"> </w:t>
      </w:r>
      <w:r w:rsidR="005E79EC">
        <w:rPr>
          <w:iCs/>
        </w:rPr>
        <w:t xml:space="preserve">the indicated EOE </w:t>
      </w:r>
      <w:r w:rsidR="00720554">
        <w:rPr>
          <w:iCs/>
        </w:rPr>
        <w:t>Process s</w:t>
      </w:r>
      <w:r w:rsidR="005E79EC">
        <w:rPr>
          <w:iCs/>
        </w:rPr>
        <w:t>tep</w:t>
      </w:r>
      <w:r w:rsidR="00F569D5">
        <w:rPr>
          <w:iCs/>
        </w:rPr>
        <w:t xml:space="preserve">.  </w:t>
      </w:r>
      <w:r w:rsidR="00A85CB3">
        <w:rPr>
          <w:iCs/>
        </w:rPr>
        <w:t xml:space="preserve">PG&amp;E must </w:t>
      </w:r>
      <w:r w:rsidR="00F569D5">
        <w:rPr>
          <w:iCs/>
        </w:rPr>
        <w:t xml:space="preserve">then </w:t>
      </w:r>
      <w:r w:rsidR="002B1BFA">
        <w:rPr>
          <w:iCs/>
        </w:rPr>
        <w:t xml:space="preserve">submit and implement a Corrective Action Plan and/or the Commission may take other </w:t>
      </w:r>
      <w:r w:rsidR="002B1BFA">
        <w:rPr>
          <w:iCs/>
        </w:rPr>
        <w:lastRenderedPageBreak/>
        <w:t>prescribed action</w:t>
      </w:r>
      <w:r w:rsidR="002F02CD">
        <w:rPr>
          <w:iCs/>
        </w:rPr>
        <w:t xml:space="preserve">s.  </w:t>
      </w:r>
      <w:r w:rsidRPr="004563CE">
        <w:rPr>
          <w:iCs/>
        </w:rPr>
        <w:t>The Commission may invoke th</w:t>
      </w:r>
      <w:r w:rsidR="00B32867">
        <w:rPr>
          <w:iCs/>
        </w:rPr>
        <w:t>e EOE P</w:t>
      </w:r>
      <w:r w:rsidRPr="004563CE">
        <w:rPr>
          <w:iCs/>
        </w:rPr>
        <w:t>rocess if PG&amp;E self</w:t>
      </w:r>
      <w:r w:rsidR="00A80561">
        <w:rPr>
          <w:iCs/>
        </w:rPr>
        <w:noBreakHyphen/>
      </w:r>
      <w:r w:rsidRPr="004563CE">
        <w:rPr>
          <w:iCs/>
        </w:rPr>
        <w:t xml:space="preserve">reports </w:t>
      </w:r>
      <w:r w:rsidR="002F02CD">
        <w:rPr>
          <w:iCs/>
        </w:rPr>
        <w:t xml:space="preserve">triggering events </w:t>
      </w:r>
      <w:r w:rsidRPr="004563CE">
        <w:rPr>
          <w:iCs/>
        </w:rPr>
        <w:t xml:space="preserve">or </w:t>
      </w:r>
      <w:r w:rsidR="003C69B4">
        <w:rPr>
          <w:iCs/>
        </w:rPr>
        <w:t xml:space="preserve">if </w:t>
      </w:r>
      <w:r w:rsidRPr="004563CE">
        <w:rPr>
          <w:iCs/>
        </w:rPr>
        <w:t xml:space="preserve">the Commission becomes aware of </w:t>
      </w:r>
      <w:r w:rsidR="0003614E">
        <w:rPr>
          <w:iCs/>
        </w:rPr>
        <w:t>the occurrence of t</w:t>
      </w:r>
      <w:r w:rsidRPr="004563CE">
        <w:rPr>
          <w:iCs/>
        </w:rPr>
        <w:t xml:space="preserve">riggering </w:t>
      </w:r>
      <w:r w:rsidR="0003614E">
        <w:rPr>
          <w:iCs/>
        </w:rPr>
        <w:t>e</w:t>
      </w:r>
      <w:r w:rsidRPr="004563CE">
        <w:rPr>
          <w:iCs/>
        </w:rPr>
        <w:t xml:space="preserve">vents </w:t>
      </w:r>
      <w:r w:rsidR="00F61B54">
        <w:rPr>
          <w:iCs/>
        </w:rPr>
        <w:t>by other means.</w:t>
      </w:r>
    </w:p>
    <w:p w:rsidRPr="006E29C5" w:rsidR="00A23057" w:rsidP="00A23057" w:rsidRDefault="00A23057" w14:paraId="4D8D43FC" w14:textId="3EF4CBC4">
      <w:pPr>
        <w:pStyle w:val="Standard"/>
        <w:rPr>
          <w:iCs/>
          <w:u w:val="single"/>
        </w:rPr>
      </w:pPr>
      <w:r w:rsidRPr="006E29C5">
        <w:rPr>
          <w:iCs/>
          <w:u w:val="single"/>
        </w:rPr>
        <w:t>EOE Process</w:t>
      </w:r>
      <w:r w:rsidR="009231FE">
        <w:rPr>
          <w:iCs/>
          <w:u w:val="single"/>
        </w:rPr>
        <w:t xml:space="preserve"> Steps</w:t>
      </w:r>
      <w:r w:rsidRPr="006E29C5">
        <w:rPr>
          <w:iCs/>
          <w:u w:val="single"/>
        </w:rPr>
        <w:t xml:space="preserve"> that I</w:t>
      </w:r>
      <w:r w:rsidRPr="006E29C5" w:rsidR="006E29C5">
        <w:rPr>
          <w:iCs/>
          <w:u w:val="single"/>
        </w:rPr>
        <w:t xml:space="preserve">nvolve </w:t>
      </w:r>
      <w:r w:rsidRPr="00775D74">
        <w:rPr>
          <w:iCs/>
          <w:u w:val="single"/>
        </w:rPr>
        <w:t>SOMs</w:t>
      </w:r>
      <w:r w:rsidRPr="00775D74" w:rsidR="007879DA">
        <w:rPr>
          <w:rStyle w:val="FootnoteReference"/>
          <w:iCs/>
        </w:rPr>
        <w:footnoteReference w:id="60"/>
      </w:r>
    </w:p>
    <w:p w:rsidR="00A23057" w:rsidP="005208F3" w:rsidRDefault="002427CD" w14:paraId="344BF9F8" w14:textId="682EDCDA">
      <w:pPr>
        <w:pStyle w:val="ListBullet"/>
        <w:ind w:left="1080" w:right="1440"/>
      </w:pPr>
      <w:r>
        <w:t xml:space="preserve">Step 1:  </w:t>
      </w:r>
      <w:r w:rsidR="00850F2D">
        <w:t>Enhanced Reporting</w:t>
      </w:r>
      <w:r w:rsidR="00643434">
        <w:t>,</w:t>
      </w:r>
      <w:r w:rsidR="00850F2D">
        <w:t xml:space="preserve"> </w:t>
      </w:r>
      <w:r w:rsidR="00F947D9">
        <w:t xml:space="preserve">Triggering </w:t>
      </w:r>
      <w:r w:rsidR="00850F2D">
        <w:t>E</w:t>
      </w:r>
      <w:r w:rsidR="00F947D9">
        <w:t xml:space="preserve">vent:  </w:t>
      </w:r>
      <w:r w:rsidR="00A52F50">
        <w:t>“</w:t>
      </w:r>
      <w:r>
        <w:t xml:space="preserve">PG&amp;E </w:t>
      </w:r>
      <w:r w:rsidR="0060099C">
        <w:t>fails to comply with</w:t>
      </w:r>
      <w:r w:rsidR="00FB0F86">
        <w:t>,</w:t>
      </w:r>
      <w:r w:rsidR="0060099C">
        <w:t xml:space="preserve"> or has shown insufficient progress toward, </w:t>
      </w:r>
      <w:r w:rsidR="006D4E37">
        <w:t>any of the metrics… contained within the approved Safety and Operational Metrics</w:t>
      </w:r>
      <w:r w:rsidR="002F02CD">
        <w:t>.</w:t>
      </w:r>
      <w:r w:rsidR="006D4E37">
        <w:t>”</w:t>
      </w:r>
    </w:p>
    <w:p w:rsidR="006D4E37" w:rsidP="005208F3" w:rsidRDefault="006D4E37" w14:paraId="039D2212" w14:textId="68DB8F4E">
      <w:pPr>
        <w:pStyle w:val="ListBullet"/>
        <w:ind w:left="1080" w:right="1440"/>
      </w:pPr>
      <w:r>
        <w:t>Step 2:</w:t>
      </w:r>
      <w:r w:rsidDel="00C73B06">
        <w:t xml:space="preserve"> </w:t>
      </w:r>
      <w:r w:rsidR="005208F3">
        <w:t xml:space="preserve"> </w:t>
      </w:r>
      <w:r w:rsidR="002E18EA">
        <w:t>Commission Oversight of Management and Operations</w:t>
      </w:r>
      <w:r w:rsidR="00643434">
        <w:t>,</w:t>
      </w:r>
      <w:r w:rsidR="002E18EA">
        <w:t xml:space="preserve"> </w:t>
      </w:r>
      <w:r w:rsidR="00186D0B">
        <w:t xml:space="preserve">Triggering </w:t>
      </w:r>
      <w:r w:rsidR="002E18EA">
        <w:t>E</w:t>
      </w:r>
      <w:r w:rsidR="00186D0B">
        <w:t xml:space="preserve">vent: </w:t>
      </w:r>
      <w:r>
        <w:t>“PG&amp;E fails to comply with electric reliability performance metrics, including standards to be developed for intentional de-energization events (</w:t>
      </w:r>
      <w:r w:rsidRPr="00B15E31">
        <w:rPr>
          <w:i/>
          <w:iCs/>
        </w:rPr>
        <w:t>i.e.</w:t>
      </w:r>
      <w:r>
        <w:t xml:space="preserve"> PSPS) and any that may be contained within the approved Safety and Operational Metrics</w:t>
      </w:r>
      <w:r w:rsidR="002F02CD">
        <w:t>.”</w:t>
      </w:r>
    </w:p>
    <w:p w:rsidR="007D532F" w:rsidP="00643434" w:rsidRDefault="007D532F" w14:paraId="1C5E95C7" w14:textId="43D547C3">
      <w:pPr>
        <w:pStyle w:val="ListBullet"/>
        <w:ind w:left="1080" w:right="1440"/>
      </w:pPr>
      <w:r>
        <w:t>Step 3: Appointment of Third-Party Monitor</w:t>
      </w:r>
      <w:r w:rsidR="00643434">
        <w:t xml:space="preserve">, </w:t>
      </w:r>
      <w:r w:rsidRPr="00643434" w:rsidR="00643434">
        <w:t>Performance that Results in Exit from Step 3</w:t>
      </w:r>
      <w:r w:rsidR="00AD7284">
        <w:t>:</w:t>
      </w:r>
      <w:r w:rsidR="00D71801">
        <w:t xml:space="preserve">  The Commission, by Resolution, </w:t>
      </w:r>
      <w:r w:rsidR="00D53709">
        <w:t>will move PG&amp;E to Step 4 if…”the Commission determines that additional enforcement is necessary because of PG&amp;E’s systemic non-compliance or poor performance with its Safety and Operational Metrics over an extended period.”</w:t>
      </w:r>
      <w:r>
        <w:t xml:space="preserve"> </w:t>
      </w:r>
    </w:p>
    <w:p w:rsidRPr="00B75D32" w:rsidR="006D4E37" w:rsidP="005208F3" w:rsidRDefault="006D4E37" w14:paraId="54A88220" w14:textId="366A0DC5">
      <w:pPr>
        <w:pStyle w:val="ListBullet"/>
        <w:ind w:left="1080" w:right="1440"/>
      </w:pPr>
      <w:r>
        <w:t xml:space="preserve">Step </w:t>
      </w:r>
      <w:r w:rsidR="00B602CD">
        <w:t>4</w:t>
      </w:r>
      <w:r>
        <w:t>:</w:t>
      </w:r>
      <w:r w:rsidDel="00C73B06">
        <w:t xml:space="preserve"> </w:t>
      </w:r>
      <w:r w:rsidR="005208F3">
        <w:t xml:space="preserve"> </w:t>
      </w:r>
      <w:r w:rsidR="00AD7284">
        <w:t>Appointment of a Chief Restructuring Office</w:t>
      </w:r>
      <w:r w:rsidR="00643434">
        <w:t>r,</w:t>
      </w:r>
      <w:r w:rsidR="00AD7284">
        <w:t xml:space="preserve"> Triggering Event: </w:t>
      </w:r>
      <w:r>
        <w:t xml:space="preserve">The Commission determines that </w:t>
      </w:r>
      <w:r w:rsidR="0024159F">
        <w:t>“[</w:t>
      </w:r>
      <w:r>
        <w:t>a</w:t>
      </w:r>
      <w:r w:rsidR="0024159F">
        <w:t>]</w:t>
      </w:r>
      <w:r>
        <w:t>dditional enforcement is necessary because of PG&amp;E’s systemic non-compliance or poor performance with its Safety and Operational Metrics over an extended period</w:t>
      </w:r>
      <w:r w:rsidR="007879DA">
        <w:t>.</w:t>
      </w:r>
      <w:r>
        <w:t xml:space="preserve">” </w:t>
      </w:r>
    </w:p>
    <w:p w:rsidRPr="004563CE" w:rsidR="004563CE" w:rsidP="0073674E" w:rsidRDefault="00712B31" w14:paraId="6B19AE97" w14:textId="76BFA771">
      <w:pPr>
        <w:pStyle w:val="Standard"/>
        <w:rPr>
          <w:iCs/>
        </w:rPr>
      </w:pPr>
      <w:r>
        <w:rPr>
          <w:iCs/>
        </w:rPr>
        <w:t>EOE Process t</w:t>
      </w:r>
      <w:r w:rsidRPr="004563CE" w:rsidR="004563CE">
        <w:rPr>
          <w:iCs/>
        </w:rPr>
        <w:t xml:space="preserve">riggering </w:t>
      </w:r>
      <w:r>
        <w:rPr>
          <w:iCs/>
        </w:rPr>
        <w:t>e</w:t>
      </w:r>
      <w:r w:rsidRPr="004563CE" w:rsidR="004563CE">
        <w:rPr>
          <w:iCs/>
        </w:rPr>
        <w:t>vents</w:t>
      </w:r>
      <w:r w:rsidR="00D91915">
        <w:rPr>
          <w:iCs/>
        </w:rPr>
        <w:t xml:space="preserve"> </w:t>
      </w:r>
      <w:r w:rsidR="008B6F38">
        <w:rPr>
          <w:iCs/>
        </w:rPr>
        <w:t xml:space="preserve">also </w:t>
      </w:r>
      <w:r w:rsidRPr="004563CE" w:rsidR="004563CE">
        <w:rPr>
          <w:iCs/>
        </w:rPr>
        <w:t xml:space="preserve">include </w:t>
      </w:r>
      <w:r w:rsidR="00D91915">
        <w:rPr>
          <w:iCs/>
        </w:rPr>
        <w:t xml:space="preserve">PG&amp;E </w:t>
      </w:r>
      <w:r w:rsidRPr="004563CE" w:rsidR="004563CE">
        <w:rPr>
          <w:iCs/>
        </w:rPr>
        <w:t xml:space="preserve">failure to comply or show sufficient progress with </w:t>
      </w:r>
      <w:r w:rsidR="00691EED">
        <w:rPr>
          <w:iCs/>
        </w:rPr>
        <w:t xml:space="preserve">any </w:t>
      </w:r>
      <w:r w:rsidRPr="004563CE" w:rsidR="004563CE">
        <w:rPr>
          <w:iCs/>
        </w:rPr>
        <w:t xml:space="preserve">metrics set forth in: </w:t>
      </w:r>
    </w:p>
    <w:p w:rsidRPr="004563CE" w:rsidR="004563CE" w:rsidP="005208F3" w:rsidRDefault="004563CE" w14:paraId="534BD9FB" w14:textId="2CB74FBD">
      <w:pPr>
        <w:pStyle w:val="ListBullet"/>
        <w:ind w:left="1080" w:right="1440"/>
      </w:pPr>
      <w:r w:rsidRPr="004563CE">
        <w:t>W</w:t>
      </w:r>
      <w:r w:rsidR="00720018">
        <w:t>MP</w:t>
      </w:r>
      <w:r w:rsidRPr="004563CE">
        <w:t>s</w:t>
      </w:r>
      <w:r w:rsidR="00196FCC">
        <w:t>;</w:t>
      </w:r>
    </w:p>
    <w:p w:rsidRPr="004563CE" w:rsidR="004563CE" w:rsidP="005208F3" w:rsidRDefault="004563CE" w14:paraId="1FF6473B" w14:textId="3A8D6C70">
      <w:pPr>
        <w:pStyle w:val="ListBullet"/>
        <w:ind w:left="1080" w:right="1440"/>
      </w:pPr>
      <w:r w:rsidRPr="004563CE">
        <w:t>PSPS</w:t>
      </w:r>
      <w:r w:rsidR="00720018">
        <w:t xml:space="preserve"> </w:t>
      </w:r>
      <w:r w:rsidRPr="004563CE">
        <w:t>protocols</w:t>
      </w:r>
      <w:r w:rsidR="00196FCC">
        <w:t>; and,</w:t>
      </w:r>
    </w:p>
    <w:p w:rsidRPr="004563CE" w:rsidR="004563CE" w:rsidP="005208F3" w:rsidRDefault="004563CE" w14:paraId="09363296" w14:textId="608F3A38">
      <w:pPr>
        <w:pStyle w:val="ListBullet"/>
        <w:ind w:left="1080" w:right="1440"/>
      </w:pPr>
      <w:r w:rsidRPr="004563CE">
        <w:lastRenderedPageBreak/>
        <w:t>Safety Culture Investigation</w:t>
      </w:r>
      <w:r w:rsidR="00196FCC">
        <w:t>.</w:t>
      </w:r>
      <w:r w:rsidR="00720018">
        <w:rPr>
          <w:rStyle w:val="FootnoteReference"/>
        </w:rPr>
        <w:footnoteReference w:id="61"/>
      </w:r>
      <w:r w:rsidRPr="004563CE">
        <w:t xml:space="preserve">   </w:t>
      </w:r>
    </w:p>
    <w:p w:rsidR="008B6F38" w:rsidP="004F4A56" w:rsidRDefault="00196FCC" w14:paraId="788686A8" w14:textId="5891EAD3">
      <w:pPr>
        <w:pStyle w:val="Standard"/>
        <w:rPr>
          <w:iCs/>
        </w:rPr>
      </w:pPr>
      <w:r>
        <w:rPr>
          <w:iCs/>
        </w:rPr>
        <w:t xml:space="preserve">Additionally, </w:t>
      </w:r>
      <w:r w:rsidR="0066747A">
        <w:rPr>
          <w:iCs/>
        </w:rPr>
        <w:t xml:space="preserve">Step 1 </w:t>
      </w:r>
      <w:r w:rsidR="00F569D5">
        <w:rPr>
          <w:iCs/>
        </w:rPr>
        <w:t xml:space="preserve">of the EOE Process </w:t>
      </w:r>
      <w:r w:rsidR="0066747A">
        <w:rPr>
          <w:iCs/>
        </w:rPr>
        <w:t>includes a t</w:t>
      </w:r>
      <w:r w:rsidRPr="004563CE" w:rsidR="004563CE">
        <w:rPr>
          <w:iCs/>
        </w:rPr>
        <w:t xml:space="preserve">riggering </w:t>
      </w:r>
      <w:r w:rsidR="0066747A">
        <w:rPr>
          <w:iCs/>
        </w:rPr>
        <w:t>e</w:t>
      </w:r>
      <w:r w:rsidRPr="004563CE" w:rsidR="004563CE">
        <w:rPr>
          <w:iCs/>
        </w:rPr>
        <w:t xml:space="preserve">vent </w:t>
      </w:r>
      <w:r w:rsidR="0066747A">
        <w:rPr>
          <w:iCs/>
        </w:rPr>
        <w:t xml:space="preserve">that </w:t>
      </w:r>
      <w:r w:rsidRPr="004563CE" w:rsidR="004563CE">
        <w:rPr>
          <w:iCs/>
        </w:rPr>
        <w:t xml:space="preserve">would occur if PG&amp;E demonstrates insufficient progress toward approved safety or risk-driven investments related to the electric and gas </w:t>
      </w:r>
      <w:r w:rsidRPr="00426FB2" w:rsidR="004563CE">
        <w:rPr>
          <w:iCs/>
        </w:rPr>
        <w:t>business</w:t>
      </w:r>
      <w:r w:rsidRPr="00426FB2" w:rsidR="00B32867">
        <w:rPr>
          <w:iCs/>
        </w:rPr>
        <w:t>.</w:t>
      </w:r>
      <w:r w:rsidRPr="00426FB2" w:rsidR="004563CE">
        <w:rPr>
          <w:iCs/>
          <w:vertAlign w:val="superscript"/>
        </w:rPr>
        <w:footnoteReference w:id="62"/>
      </w:r>
      <w:r w:rsidRPr="00426FB2" w:rsidR="004563CE">
        <w:rPr>
          <w:iCs/>
        </w:rPr>
        <w:t xml:space="preserve">  Step</w:t>
      </w:r>
      <w:r w:rsidRPr="004563CE" w:rsidR="004563CE">
        <w:rPr>
          <w:iCs/>
        </w:rPr>
        <w:t xml:space="preserve"> 2 can be triggered if the destruction of a 1,000 or more dwellings is the result of PG&amp;E failing to follow Commission </w:t>
      </w:r>
      <w:r w:rsidRPr="00B32867" w:rsidR="00B32867">
        <w:rPr>
          <w:iCs/>
        </w:rPr>
        <w:t>r</w:t>
      </w:r>
      <w:r w:rsidRPr="004563CE" w:rsidR="004563CE">
        <w:rPr>
          <w:iCs/>
        </w:rPr>
        <w:t xml:space="preserve">ules or </w:t>
      </w:r>
      <w:r w:rsidRPr="00FA9C7C" w:rsidR="31383407">
        <w:t>prudent</w:t>
      </w:r>
      <w:r w:rsidRPr="004563CE" w:rsidR="004563CE">
        <w:rPr>
          <w:iCs/>
        </w:rPr>
        <w:t xml:space="preserve"> management practices or if PG&amp;E fails to comply with electric reliability performance metric</w:t>
      </w:r>
      <w:r w:rsidRPr="00426FB2" w:rsidR="004563CE">
        <w:rPr>
          <w:iCs/>
        </w:rPr>
        <w:t>s.</w:t>
      </w:r>
      <w:r w:rsidRPr="00426FB2" w:rsidR="004563CE">
        <w:rPr>
          <w:iCs/>
          <w:vertAlign w:val="superscript"/>
        </w:rPr>
        <w:footnoteReference w:id="63"/>
      </w:r>
      <w:r w:rsidR="008B6F38">
        <w:rPr>
          <w:iCs/>
        </w:rPr>
        <w:t xml:space="preserve">  In short, </w:t>
      </w:r>
      <w:r w:rsidRPr="004563CE" w:rsidR="004563CE">
        <w:rPr>
          <w:iCs/>
        </w:rPr>
        <w:t xml:space="preserve">SOMs are </w:t>
      </w:r>
      <w:r>
        <w:rPr>
          <w:iCs/>
        </w:rPr>
        <w:t>an</w:t>
      </w:r>
      <w:r w:rsidR="008604B1">
        <w:rPr>
          <w:iCs/>
        </w:rPr>
        <w:t xml:space="preserve"> </w:t>
      </w:r>
      <w:r>
        <w:rPr>
          <w:iCs/>
        </w:rPr>
        <w:t xml:space="preserve">important </w:t>
      </w:r>
      <w:r w:rsidRPr="004563CE" w:rsidR="004563CE">
        <w:rPr>
          <w:iCs/>
        </w:rPr>
        <w:t xml:space="preserve">element of </w:t>
      </w:r>
      <w:r w:rsidR="008604B1">
        <w:rPr>
          <w:iCs/>
        </w:rPr>
        <w:t>a</w:t>
      </w:r>
      <w:r w:rsidR="00DA3DCB">
        <w:rPr>
          <w:iCs/>
        </w:rPr>
        <w:t xml:space="preserve"> </w:t>
      </w:r>
      <w:r w:rsidRPr="004563CE" w:rsidR="004563CE">
        <w:rPr>
          <w:iCs/>
        </w:rPr>
        <w:t xml:space="preserve">multi-faceted EOE </w:t>
      </w:r>
      <w:r w:rsidR="00B32867">
        <w:rPr>
          <w:iCs/>
        </w:rPr>
        <w:t>P</w:t>
      </w:r>
      <w:r w:rsidRPr="004563CE" w:rsidR="004563CE">
        <w:rPr>
          <w:iCs/>
        </w:rPr>
        <w:t>rocess.</w:t>
      </w:r>
      <w:r w:rsidR="00231724">
        <w:rPr>
          <w:rStyle w:val="FootnoteReference"/>
          <w:iCs/>
        </w:rPr>
        <w:footnoteReference w:id="64"/>
      </w:r>
      <w:r w:rsidRPr="004563CE" w:rsidR="004563CE">
        <w:rPr>
          <w:iCs/>
        </w:rPr>
        <w:t xml:space="preserve"> </w:t>
      </w:r>
    </w:p>
    <w:p w:rsidRPr="004563CE" w:rsidR="004563CE" w:rsidP="007E1753" w:rsidRDefault="00B75D32" w14:paraId="6CB8049F" w14:textId="1CE94B88">
      <w:pPr>
        <w:pStyle w:val="Standard"/>
        <w:rPr>
          <w:iCs/>
        </w:rPr>
      </w:pPr>
      <w:r w:rsidRPr="0073674E">
        <w:rPr>
          <w:iCs/>
        </w:rPr>
        <w:t>D</w:t>
      </w:r>
      <w:r w:rsidRPr="004563CE">
        <w:rPr>
          <w:iCs/>
        </w:rPr>
        <w:t>.20-05-053 describes SOMs as “attainable Safety and Operational Metrics that, if achieved, would ensure that PG&amp;E provides safe, reliable, and affordable service consistent with California’s clean energy goal</w:t>
      </w:r>
      <w:r w:rsidRPr="00426FB2">
        <w:rPr>
          <w:iCs/>
        </w:rPr>
        <w:t>s.”</w:t>
      </w:r>
      <w:r w:rsidRPr="00426FB2">
        <w:rPr>
          <w:iCs/>
          <w:vertAlign w:val="superscript"/>
        </w:rPr>
        <w:footnoteReference w:id="65"/>
      </w:r>
      <w:r w:rsidRPr="004563CE">
        <w:rPr>
          <w:iCs/>
        </w:rPr>
        <w:t xml:space="preserve">  D.20-05-053</w:t>
      </w:r>
      <w:r>
        <w:rPr>
          <w:iCs/>
        </w:rPr>
        <w:t xml:space="preserve"> further </w:t>
      </w:r>
      <w:r w:rsidRPr="004563CE">
        <w:rPr>
          <w:iCs/>
        </w:rPr>
        <w:t>indicate</w:t>
      </w:r>
      <w:r w:rsidRPr="0073674E">
        <w:rPr>
          <w:iCs/>
        </w:rPr>
        <w:t>s</w:t>
      </w:r>
      <w:r w:rsidRPr="004563CE">
        <w:rPr>
          <w:iCs/>
        </w:rPr>
        <w:t xml:space="preserve"> </w:t>
      </w:r>
      <w:r>
        <w:rPr>
          <w:iCs/>
        </w:rPr>
        <w:t xml:space="preserve">that </w:t>
      </w:r>
      <w:r w:rsidRPr="004563CE">
        <w:rPr>
          <w:iCs/>
        </w:rPr>
        <w:t xml:space="preserve">the “Commission will consider metrics to measure PG&amp;E’s quality of service and quality of management in the proceeding addressing Safety and Operational </w:t>
      </w:r>
      <w:r w:rsidRPr="00426FB2">
        <w:rPr>
          <w:iCs/>
        </w:rPr>
        <w:t>Metrics.”</w:t>
      </w:r>
      <w:r w:rsidRPr="00426FB2">
        <w:rPr>
          <w:iCs/>
          <w:vertAlign w:val="superscript"/>
        </w:rPr>
        <w:footnoteReference w:id="66"/>
      </w:r>
      <w:r w:rsidRPr="004563CE">
        <w:rPr>
          <w:b/>
          <w:iCs/>
          <w:vertAlign w:val="superscript"/>
        </w:rPr>
        <w:t xml:space="preserve"> </w:t>
      </w:r>
      <w:r w:rsidRPr="004563CE">
        <w:rPr>
          <w:iCs/>
        </w:rPr>
        <w:t xml:space="preserve"> </w:t>
      </w:r>
      <w:r>
        <w:rPr>
          <w:iCs/>
        </w:rPr>
        <w:t xml:space="preserve"> </w:t>
      </w:r>
    </w:p>
    <w:p w:rsidRPr="004563CE" w:rsidR="004563CE" w:rsidP="004F4A56" w:rsidRDefault="004563CE" w14:paraId="6A962AD1" w14:textId="70F588BD">
      <w:pPr>
        <w:pStyle w:val="Standard"/>
        <w:rPr>
          <w:iCs/>
        </w:rPr>
      </w:pPr>
      <w:r w:rsidRPr="004563CE">
        <w:rPr>
          <w:iCs/>
        </w:rPr>
        <w:t xml:space="preserve">SOMs are </w:t>
      </w:r>
      <w:r w:rsidR="004465B9">
        <w:rPr>
          <w:iCs/>
        </w:rPr>
        <w:t xml:space="preserve">also </w:t>
      </w:r>
      <w:r w:rsidRPr="004563CE">
        <w:rPr>
          <w:iCs/>
        </w:rPr>
        <w:t xml:space="preserve">intended to be used by </w:t>
      </w:r>
      <w:r w:rsidR="004465B9">
        <w:rPr>
          <w:iCs/>
        </w:rPr>
        <w:t xml:space="preserve">the Commission and </w:t>
      </w:r>
      <w:r w:rsidRPr="004563CE">
        <w:rPr>
          <w:iCs/>
        </w:rPr>
        <w:t xml:space="preserve">PG&amp;E for </w:t>
      </w:r>
      <w:r w:rsidR="004465B9">
        <w:rPr>
          <w:iCs/>
        </w:rPr>
        <w:t xml:space="preserve">the </w:t>
      </w:r>
      <w:r w:rsidRPr="004563CE">
        <w:rPr>
          <w:iCs/>
        </w:rPr>
        <w:t xml:space="preserve">purpose of determining executive compensation.  D.20-05-053 and </w:t>
      </w:r>
      <w:r w:rsidR="00153737">
        <w:rPr>
          <w:iCs/>
        </w:rPr>
        <w:t xml:space="preserve">OEIS </w:t>
      </w:r>
      <w:r w:rsidRPr="004563CE">
        <w:rPr>
          <w:iCs/>
        </w:rPr>
        <w:t>guidance on executive compensation indicate</w:t>
      </w:r>
      <w:r w:rsidR="004465B9">
        <w:rPr>
          <w:iCs/>
        </w:rPr>
        <w:t>s</w:t>
      </w:r>
      <w:r w:rsidRPr="004563CE">
        <w:rPr>
          <w:iCs/>
        </w:rPr>
        <w:t xml:space="preserve"> that a “a significant component of </w:t>
      </w:r>
      <w:r w:rsidRPr="004563CE">
        <w:rPr>
          <w:iCs/>
        </w:rPr>
        <w:lastRenderedPageBreak/>
        <w:t>[PG&amp;E’s] long-term incentive compensation” must be based “on safety performance, as measured by a relevant subset of the Safety and Operational Metrics.”</w:t>
      </w:r>
      <w:r w:rsidRPr="00767508">
        <w:rPr>
          <w:vertAlign w:val="superscript"/>
        </w:rPr>
        <w:footnoteReference w:id="67"/>
      </w:r>
    </w:p>
    <w:p w:rsidR="004E7E0B" w:rsidP="004F4A56" w:rsidRDefault="003238E7" w14:paraId="63EB0B90" w14:textId="168B9B65">
      <w:pPr>
        <w:pStyle w:val="Standard"/>
        <w:rPr>
          <w:iCs/>
        </w:rPr>
      </w:pPr>
      <w:r>
        <w:rPr>
          <w:iCs/>
        </w:rPr>
        <w:t>T</w:t>
      </w:r>
      <w:r w:rsidRPr="004563CE" w:rsidR="004563CE">
        <w:rPr>
          <w:iCs/>
        </w:rPr>
        <w:t xml:space="preserve">he EOE </w:t>
      </w:r>
      <w:r w:rsidR="007909B9">
        <w:rPr>
          <w:iCs/>
        </w:rPr>
        <w:t>P</w:t>
      </w:r>
      <w:r w:rsidRPr="004563CE" w:rsidR="004563CE">
        <w:rPr>
          <w:iCs/>
        </w:rPr>
        <w:t>rocess does not supplant the Commission’s existing regulatory or enforcement authority and does not limit the Commission’s ability to pursue other enforcement actions against any regulated utility</w:t>
      </w:r>
      <w:r w:rsidRPr="00003D89" w:rsidR="004563CE">
        <w:t>.</w:t>
      </w:r>
      <w:r w:rsidRPr="00003D89">
        <w:rPr>
          <w:rStyle w:val="FootnoteReference"/>
        </w:rPr>
        <w:footnoteReference w:id="68"/>
      </w:r>
      <w:r w:rsidRPr="00003D89" w:rsidR="004563CE">
        <w:t xml:space="preserve"> </w:t>
      </w:r>
      <w:r w:rsidRPr="004563CE" w:rsidR="004563CE">
        <w:rPr>
          <w:iCs/>
        </w:rPr>
        <w:t xml:space="preserve"> The Commission </w:t>
      </w:r>
      <w:r w:rsidR="00700BA9">
        <w:rPr>
          <w:iCs/>
        </w:rPr>
        <w:t xml:space="preserve">remains </w:t>
      </w:r>
      <w:r w:rsidRPr="004563CE" w:rsidR="004563CE">
        <w:rPr>
          <w:iCs/>
        </w:rPr>
        <w:t>free to pursue all</w:t>
      </w:r>
      <w:r w:rsidR="007909B9">
        <w:rPr>
          <w:iCs/>
        </w:rPr>
        <w:t xml:space="preserve"> </w:t>
      </w:r>
      <w:r w:rsidRPr="004563CE" w:rsidR="004563CE">
        <w:rPr>
          <w:iCs/>
        </w:rPr>
        <w:t>regulatory authority at its disposal</w:t>
      </w:r>
      <w:r w:rsidR="000331EB">
        <w:rPr>
          <w:iCs/>
        </w:rPr>
        <w:t>,</w:t>
      </w:r>
      <w:r w:rsidRPr="004563CE" w:rsidR="004563CE">
        <w:rPr>
          <w:iCs/>
        </w:rPr>
        <w:t xml:space="preserve"> including</w:t>
      </w:r>
      <w:r w:rsidR="000331EB">
        <w:rPr>
          <w:iCs/>
        </w:rPr>
        <w:t xml:space="preserve"> (</w:t>
      </w:r>
      <w:r w:rsidRPr="004563CE" w:rsidR="004563CE">
        <w:rPr>
          <w:iCs/>
        </w:rPr>
        <w:t>but not limited to</w:t>
      </w:r>
      <w:r w:rsidR="000331EB">
        <w:rPr>
          <w:iCs/>
        </w:rPr>
        <w:t>)</w:t>
      </w:r>
      <w:r w:rsidRPr="004563CE" w:rsidR="004563CE">
        <w:rPr>
          <w:iCs/>
        </w:rPr>
        <w:t xml:space="preserve"> </w:t>
      </w:r>
      <w:r w:rsidR="00DA3DCB">
        <w:rPr>
          <w:iCs/>
        </w:rPr>
        <w:t xml:space="preserve">those in </w:t>
      </w:r>
      <w:r w:rsidRPr="004563CE" w:rsidR="004563CE">
        <w:rPr>
          <w:iCs/>
        </w:rPr>
        <w:t>Resolution M-4846, which adopt</w:t>
      </w:r>
      <w:r w:rsidR="003B629B">
        <w:rPr>
          <w:iCs/>
        </w:rPr>
        <w:t>s</w:t>
      </w:r>
      <w:r w:rsidRPr="004563CE" w:rsidR="004563CE">
        <w:rPr>
          <w:iCs/>
        </w:rPr>
        <w:t xml:space="preserve"> the Commission</w:t>
      </w:r>
      <w:r w:rsidR="003B629B">
        <w:rPr>
          <w:iCs/>
        </w:rPr>
        <w:t>’s</w:t>
      </w:r>
      <w:r w:rsidRPr="004563CE" w:rsidR="004563CE">
        <w:rPr>
          <w:iCs/>
        </w:rPr>
        <w:t xml:space="preserve"> Enforcement and Penalty Assessment Policy.</w:t>
      </w:r>
      <w:r w:rsidRPr="004563CE" w:rsidR="004563CE">
        <w:rPr>
          <w:bCs/>
          <w:iCs/>
          <w:vertAlign w:val="superscript"/>
        </w:rPr>
        <w:footnoteReference w:id="69"/>
      </w:r>
      <w:r w:rsidRPr="004563CE" w:rsidR="004563CE">
        <w:rPr>
          <w:bCs/>
          <w:iCs/>
        </w:rPr>
        <w:t xml:space="preserve"> </w:t>
      </w:r>
      <w:r w:rsidRPr="004563CE" w:rsidR="004563CE">
        <w:rPr>
          <w:iCs/>
        </w:rPr>
        <w:t xml:space="preserve"> </w:t>
      </w:r>
      <w:r w:rsidR="003208BE">
        <w:rPr>
          <w:iCs/>
        </w:rPr>
        <w:t>The</w:t>
      </w:r>
      <w:r w:rsidRPr="004563CE" w:rsidR="004563CE">
        <w:rPr>
          <w:iCs/>
        </w:rPr>
        <w:t xml:space="preserve"> EOE </w:t>
      </w:r>
      <w:r w:rsidR="003B629B">
        <w:rPr>
          <w:iCs/>
        </w:rPr>
        <w:t>P</w:t>
      </w:r>
      <w:r w:rsidRPr="004563CE" w:rsidR="004563CE">
        <w:rPr>
          <w:iCs/>
        </w:rPr>
        <w:t>rocess does not replace or limit the Commission’s regulatory authority, including the authority to issue Orders to Show Cause and Orders Instituting Investigations</w:t>
      </w:r>
      <w:r w:rsidR="003B629B">
        <w:rPr>
          <w:iCs/>
        </w:rPr>
        <w:t>,</w:t>
      </w:r>
      <w:r w:rsidRPr="004563CE" w:rsidR="004563CE">
        <w:rPr>
          <w:iCs/>
        </w:rPr>
        <w:t xml:space="preserve"> and to impose fines and penalties.</w:t>
      </w:r>
      <w:r w:rsidRPr="004563CE" w:rsidR="002D0202">
        <w:rPr>
          <w:bCs/>
          <w:iCs/>
          <w:vertAlign w:val="superscript"/>
        </w:rPr>
        <w:footnoteReference w:id="70"/>
      </w:r>
      <w:r w:rsidRPr="004563CE" w:rsidR="004563CE">
        <w:rPr>
          <w:iCs/>
        </w:rPr>
        <w:t xml:space="preserve"> </w:t>
      </w:r>
    </w:p>
    <w:p w:rsidR="00680CF4" w:rsidP="00793960" w:rsidRDefault="001638F6" w14:paraId="6F677EAB" w14:textId="04D5385A">
      <w:pPr>
        <w:pStyle w:val="Heading2"/>
      </w:pPr>
      <w:bookmarkStart w:name="_Toc80890873" w:id="79"/>
      <w:bookmarkStart w:name="_Toc87361173" w:id="80"/>
      <w:r>
        <w:t>10.2</w:t>
      </w:r>
      <w:r>
        <w:tab/>
      </w:r>
      <w:r w:rsidR="00155E0A">
        <w:t xml:space="preserve">Questions on </w:t>
      </w:r>
      <w:r w:rsidR="00A20A70">
        <w:t xml:space="preserve">SOMs </w:t>
      </w:r>
      <w:r w:rsidR="00155E0A">
        <w:t xml:space="preserve">in </w:t>
      </w:r>
      <w:r w:rsidR="00001ADE">
        <w:t>Assigned Commissioner</w:t>
      </w:r>
      <w:r w:rsidR="00155E0A">
        <w:t>’s Rulings</w:t>
      </w:r>
      <w:bookmarkEnd w:id="79"/>
      <w:bookmarkEnd w:id="80"/>
      <w:r w:rsidR="00155E0A">
        <w:t xml:space="preserve">  </w:t>
      </w:r>
    </w:p>
    <w:p w:rsidR="001C0D9E" w:rsidP="00793960" w:rsidRDefault="00680CF4" w14:paraId="54EAD604" w14:textId="2032AB22">
      <w:pPr>
        <w:pStyle w:val="Standard"/>
        <w:keepNext/>
      </w:pPr>
      <w:r w:rsidRPr="004563CE">
        <w:rPr>
          <w:iCs/>
        </w:rPr>
        <w:t xml:space="preserve">The Scoping Memo asks </w:t>
      </w:r>
      <w:r w:rsidR="0037500A">
        <w:rPr>
          <w:iCs/>
        </w:rPr>
        <w:t>several questions related to SOMs</w:t>
      </w:r>
      <w:r w:rsidR="006C1031">
        <w:t>:</w:t>
      </w:r>
    </w:p>
    <w:p w:rsidR="006C1031" w:rsidP="00793960" w:rsidRDefault="006C1031" w14:paraId="3E72DA72" w14:textId="3098E567">
      <w:pPr>
        <w:pStyle w:val="ListAlpha"/>
        <w:keepNext/>
        <w:numPr>
          <w:ilvl w:val="7"/>
          <w:numId w:val="9"/>
        </w:numPr>
        <w:spacing w:line="240" w:lineRule="auto"/>
        <w:ind w:right="1440"/>
      </w:pPr>
      <w:r w:rsidRPr="000C65E0">
        <w:t xml:space="preserve">What safety and operational performance metrics should be developed pursuant to D.20-05-053 addressing PG&amp;E’s reorganization plan? </w:t>
      </w:r>
      <w:r w:rsidR="00A80561">
        <w:t xml:space="preserve"> </w:t>
      </w:r>
      <w:r w:rsidRPr="000C65E0">
        <w:t xml:space="preserve">What are appropriate criteria for selecting metrics as safety and operational performance </w:t>
      </w:r>
      <w:r w:rsidRPr="000C65E0">
        <w:lastRenderedPageBreak/>
        <w:t xml:space="preserve">metrics? </w:t>
      </w:r>
      <w:r w:rsidR="00A80561">
        <w:t xml:space="preserve"> </w:t>
      </w:r>
      <w:r w:rsidRPr="000C65E0">
        <w:t>What is the relationship and/or difference between safety metrics and operational metrics?</w:t>
      </w:r>
    </w:p>
    <w:p w:rsidR="006C1031" w:rsidP="00793960" w:rsidRDefault="006C1031" w14:paraId="573319AF" w14:textId="77777777">
      <w:pPr>
        <w:pStyle w:val="ListAlpha"/>
        <w:numPr>
          <w:ilvl w:val="7"/>
          <w:numId w:val="9"/>
        </w:numPr>
        <w:spacing w:line="240" w:lineRule="auto"/>
        <w:ind w:right="1440"/>
      </w:pPr>
      <w:r w:rsidRPr="000C65E0">
        <w:t xml:space="preserve">Should the safety and operational performance metrics apply to all IOUs? Are there variances regarding how these adopted metrics should be applied to individual IOUs? How should the Commission use adopted safety and operational performance metrics? </w:t>
      </w:r>
    </w:p>
    <w:p w:rsidR="006C1031" w:rsidP="00793960" w:rsidRDefault="006C1031" w14:paraId="5E6D3958" w14:textId="77777777">
      <w:pPr>
        <w:pStyle w:val="ListAlpha"/>
        <w:numPr>
          <w:ilvl w:val="7"/>
          <w:numId w:val="9"/>
        </w:numPr>
        <w:spacing w:line="240" w:lineRule="auto"/>
        <w:ind w:right="1440"/>
      </w:pPr>
      <w:r w:rsidRPr="000C65E0">
        <w:t xml:space="preserve">Should the Commission adopt performance criteria or targets for safety and operational performance metrics at the same time it adopts the metrics, or at a later time? </w:t>
      </w:r>
    </w:p>
    <w:p w:rsidRPr="006C1031" w:rsidR="006C1031" w:rsidP="00793960" w:rsidRDefault="006C1031" w14:paraId="51AEEACF" w14:textId="74A565F3">
      <w:pPr>
        <w:pStyle w:val="ListAlpha"/>
        <w:numPr>
          <w:ilvl w:val="7"/>
          <w:numId w:val="9"/>
        </w:numPr>
        <w:spacing w:line="240" w:lineRule="auto"/>
        <w:ind w:right="1440"/>
      </w:pPr>
      <w:r w:rsidRPr="00A35840">
        <w:t xml:space="preserve">Should the Commission adopt quality of service and management metrics for PG&amp;E in this proceeding? </w:t>
      </w:r>
      <w:r w:rsidR="00A80561">
        <w:t xml:space="preserve"> </w:t>
      </w:r>
      <w:r w:rsidRPr="00A35840">
        <w:t xml:space="preserve">If so, what are appropriate metrics? Are there other aspects of D.20-05-053 concerning metrics that should be clarified or implemented here, </w:t>
      </w:r>
      <w:r w:rsidRPr="007E4351">
        <w:t>such as identifying a metric to assess levels of safety or risk-driven investments?</w:t>
      </w:r>
      <w:r w:rsidR="007C03C4">
        <w:t xml:space="preserve"> </w:t>
      </w:r>
    </w:p>
    <w:p w:rsidR="00680CF4" w:rsidP="00680CF4" w:rsidRDefault="0048230F" w14:paraId="16D5C824" w14:textId="1538FB68">
      <w:pPr>
        <w:pStyle w:val="Standard"/>
      </w:pPr>
      <w:r>
        <w:t>T</w:t>
      </w:r>
      <w:r w:rsidR="00680CF4">
        <w:t xml:space="preserve">he </w:t>
      </w:r>
      <w:r w:rsidR="000065CD">
        <w:t xml:space="preserve">November 17, 2020 </w:t>
      </w:r>
      <w:r w:rsidR="00197509">
        <w:t>SOMs Ruling provide</w:t>
      </w:r>
      <w:r w:rsidR="00F36C10">
        <w:t>s</w:t>
      </w:r>
      <w:r w:rsidR="00197509">
        <w:t xml:space="preserve"> the following guidance on developing SOMs:</w:t>
      </w:r>
    </w:p>
    <w:p w:rsidRPr="006C5389" w:rsidR="006C5389" w:rsidP="00793960" w:rsidRDefault="00C97A8A" w14:paraId="17201441" w14:textId="72E01978">
      <w:pPr>
        <w:pStyle w:val="ListBullet"/>
        <w:ind w:left="1080" w:right="1440"/>
      </w:pPr>
      <w:r>
        <w:t>M</w:t>
      </w:r>
      <w:r w:rsidRPr="006C5389" w:rsidR="006C5389">
        <w:t>ust be suitable for use as triggering events as specified</w:t>
      </w:r>
      <w:r w:rsidR="00A80561">
        <w:br/>
      </w:r>
      <w:r w:rsidRPr="006C5389" w:rsidR="006C5389">
        <w:t>in the E</w:t>
      </w:r>
      <w:r w:rsidR="000C7C9F">
        <w:t>OE P</w:t>
      </w:r>
      <w:r w:rsidRPr="006C5389" w:rsidR="006C5389">
        <w:t>rocess approved in D</w:t>
      </w:r>
      <w:r>
        <w:t>.</w:t>
      </w:r>
      <w:r w:rsidRPr="006C5389" w:rsidR="006C5389">
        <w:t>20-0</w:t>
      </w:r>
      <w:r w:rsidR="00930364">
        <w:t>5</w:t>
      </w:r>
      <w:r w:rsidRPr="006C5389" w:rsidR="006C5389">
        <w:t>-053 on PG&amp;E’s post</w:t>
      </w:r>
      <w:r w:rsidR="00A80561">
        <w:noBreakHyphen/>
      </w:r>
      <w:r w:rsidRPr="006C5389" w:rsidR="006C5389">
        <w:t>bankruptcy reorganization plan</w:t>
      </w:r>
      <w:r>
        <w:t>;</w:t>
      </w:r>
    </w:p>
    <w:p w:rsidR="000B0A6B" w:rsidP="00793960" w:rsidRDefault="000B0A6B" w14:paraId="7A73A324" w14:textId="5794AA47">
      <w:pPr>
        <w:pStyle w:val="ListBullet"/>
        <w:ind w:left="1080" w:right="1440"/>
      </w:pPr>
      <w:r>
        <w:t>S</w:t>
      </w:r>
      <w:r w:rsidRPr="000C7C9F">
        <w:t>hould propose attainable SOMs that, “if achieved, would ensure that PG&amp;E provides safe, reliable and affordable service consistent with California’s clean energy goals</w:t>
      </w:r>
      <w:r w:rsidR="002B63E1">
        <w:t>;</w:t>
      </w:r>
      <w:r>
        <w:t>”</w:t>
      </w:r>
      <w:r w:rsidR="00D13BC4">
        <w:rPr>
          <w:rStyle w:val="FootnoteReference"/>
        </w:rPr>
        <w:footnoteReference w:id="71"/>
      </w:r>
    </w:p>
    <w:p w:rsidR="00C97A8A" w:rsidP="00793960" w:rsidRDefault="006D1E28" w14:paraId="0BBDCD70" w14:textId="17BE87B3">
      <w:pPr>
        <w:pStyle w:val="ListBullet"/>
        <w:ind w:left="1080" w:right="1440"/>
      </w:pPr>
      <w:r>
        <w:t>S</w:t>
      </w:r>
      <w:r w:rsidRPr="00C97A8A" w:rsidR="00C97A8A">
        <w:t xml:space="preserve">hould </w:t>
      </w:r>
      <w:r w:rsidR="0053712D">
        <w:t>build up</w:t>
      </w:r>
      <w:r w:rsidR="00F36C10">
        <w:t>on</w:t>
      </w:r>
      <w:r w:rsidR="0053712D">
        <w:t xml:space="preserve"> and </w:t>
      </w:r>
      <w:r w:rsidRPr="00C97A8A" w:rsidR="00C97A8A">
        <w:t>include the most relevant and meaningful safety metrics from those previously adopted by the Commission</w:t>
      </w:r>
      <w:r w:rsidR="0053712D">
        <w:t>,</w:t>
      </w:r>
      <w:r w:rsidRPr="00C97A8A" w:rsidR="00C97A8A">
        <w:t xml:space="preserve"> and any additional metrics deemed useful</w:t>
      </w:r>
      <w:r w:rsidR="0053712D">
        <w:t>, to provide a means to accurately assess safety and operational performance by an electric and gas IOU;</w:t>
      </w:r>
      <w:r w:rsidR="002B63E1">
        <w:t xml:space="preserve"> and,</w:t>
      </w:r>
    </w:p>
    <w:p w:rsidR="000B0A6B" w:rsidP="00793960" w:rsidRDefault="000B0A6B" w14:paraId="7B265E66" w14:textId="78098896">
      <w:pPr>
        <w:pStyle w:val="ListBullet"/>
        <w:ind w:left="1080" w:right="1440"/>
      </w:pPr>
      <w:r>
        <w:t>S</w:t>
      </w:r>
      <w:r w:rsidRPr="00E52397">
        <w:t xml:space="preserve">hould be suitable, over time, for the Commission, intervenors, and the public to potentially use to gauge the </w:t>
      </w:r>
      <w:r w:rsidRPr="00E52397">
        <w:lastRenderedPageBreak/>
        <w:t>safety and operational performance of all gas and electric IOUs</w:t>
      </w:r>
      <w:r w:rsidR="002B63E1">
        <w:t>.</w:t>
      </w:r>
      <w:r w:rsidR="00961574">
        <w:rPr>
          <w:rStyle w:val="FootnoteReference"/>
        </w:rPr>
        <w:footnoteReference w:id="72"/>
      </w:r>
    </w:p>
    <w:p w:rsidR="00C97A8A" w:rsidP="00573B55" w:rsidRDefault="00C97A8A" w14:paraId="071A5D59" w14:textId="54451465">
      <w:pPr>
        <w:pStyle w:val="Standard"/>
      </w:pPr>
      <w:r>
        <w:t>In addition, the SOMs Ruling indicate</w:t>
      </w:r>
      <w:r w:rsidR="00F36C10">
        <w:t>s</w:t>
      </w:r>
      <w:r>
        <w:t xml:space="preserve"> that </w:t>
      </w:r>
      <w:r w:rsidRPr="00C97A8A">
        <w:t>the following guidance and existing data requirements</w:t>
      </w:r>
      <w:r>
        <w:t xml:space="preserve"> should be considered</w:t>
      </w:r>
      <w:r w:rsidR="007143CB">
        <w:t xml:space="preserve"> when developing the SOMs</w:t>
      </w:r>
      <w:r w:rsidRPr="00C97A8A">
        <w:t>:</w:t>
      </w:r>
    </w:p>
    <w:p w:rsidR="00A82999" w:rsidP="00793960" w:rsidRDefault="002D0416" w14:paraId="07D601B2" w14:textId="6BA0096C">
      <w:pPr>
        <w:pStyle w:val="ListBullet"/>
        <w:ind w:left="1080" w:right="1440"/>
      </w:pPr>
      <w:r>
        <w:t>SOMs c</w:t>
      </w:r>
      <w:r w:rsidRPr="00A82999" w:rsidR="00A82999">
        <w:t>onsiderations</w:t>
      </w:r>
      <w:r w:rsidR="007143CB">
        <w:t xml:space="preserve"> </w:t>
      </w:r>
      <w:r>
        <w:t xml:space="preserve">as </w:t>
      </w:r>
      <w:r w:rsidRPr="00A82999" w:rsidR="00A82999">
        <w:t>summarized in D.20-05-053</w:t>
      </w:r>
      <w:r w:rsidR="00A82999">
        <w:t>;</w:t>
      </w:r>
    </w:p>
    <w:p w:rsidRPr="00EA5C2D" w:rsidR="00EA5C2D" w:rsidP="00793960" w:rsidRDefault="00EA5C2D" w14:paraId="2D42E8F5" w14:textId="60D8F8BE">
      <w:pPr>
        <w:pStyle w:val="ListBullet"/>
        <w:ind w:left="1080" w:right="1440"/>
      </w:pPr>
      <w:r w:rsidRPr="00EA5C2D">
        <w:t xml:space="preserve">Direction adopted in D.20-05-053 on quality of service and quality of management metrics, </w:t>
      </w:r>
      <w:r w:rsidR="009A7042">
        <w:t>“</w:t>
      </w:r>
      <w:r w:rsidRPr="00EA5C2D">
        <w:t xml:space="preserve">which should constitute a significant portion of the proposed </w:t>
      </w:r>
      <w:r w:rsidR="009A7042">
        <w:t>‘</w:t>
      </w:r>
      <w:r w:rsidRPr="00EA5C2D">
        <w:t>operational</w:t>
      </w:r>
      <w:r w:rsidR="009A7042">
        <w:t>’</w:t>
      </w:r>
      <w:r w:rsidRPr="00EA5C2D">
        <w:t xml:space="preserve"> metrics</w:t>
      </w:r>
      <w:r>
        <w:t>;</w:t>
      </w:r>
      <w:r w:rsidR="009A7042">
        <w:t>”</w:t>
      </w:r>
      <w:r w:rsidR="009A7042">
        <w:rPr>
          <w:rStyle w:val="FootnoteReference"/>
        </w:rPr>
        <w:footnoteReference w:id="73"/>
      </w:r>
    </w:p>
    <w:p w:rsidR="00321EE4" w:rsidP="00793960" w:rsidRDefault="00321EE4" w14:paraId="3E4C94B0" w14:textId="77777777">
      <w:pPr>
        <w:pStyle w:val="ListBullet"/>
        <w:ind w:left="1080" w:right="1440"/>
      </w:pPr>
      <w:r w:rsidRPr="00321EE4">
        <w:t xml:space="preserve">Requirements </w:t>
      </w:r>
      <w:r>
        <w:t xml:space="preserve">for </w:t>
      </w:r>
      <w:r w:rsidRPr="00321EE4">
        <w:t>PSPS events adopted in R.18-12-005</w:t>
      </w:r>
      <w:r>
        <w:t>;</w:t>
      </w:r>
    </w:p>
    <w:p w:rsidR="00321EE4" w:rsidP="00793960" w:rsidRDefault="00321EE4" w14:paraId="1B8D7524" w14:textId="77777777">
      <w:pPr>
        <w:pStyle w:val="ListBullet"/>
        <w:ind w:left="1080" w:right="1440"/>
      </w:pPr>
      <w:r>
        <w:t xml:space="preserve">S-MAP SPMs; </w:t>
      </w:r>
    </w:p>
    <w:p w:rsidR="00C00A4B" w:rsidP="00793960" w:rsidRDefault="00321EE4" w14:paraId="4F978EF9" w14:textId="2E52E692">
      <w:pPr>
        <w:pStyle w:val="ListBullet"/>
        <w:ind w:left="1080" w:right="1440"/>
      </w:pPr>
      <w:r>
        <w:t xml:space="preserve">The </w:t>
      </w:r>
      <w:r w:rsidR="00C00A4B">
        <w:t>A.15-05-</w:t>
      </w:r>
      <w:r w:rsidR="00100DC4">
        <w:t xml:space="preserve">002 </w:t>
      </w:r>
      <w:r w:rsidRPr="00860C0D" w:rsidR="00C00A4B">
        <w:rPr>
          <w:i/>
          <w:iCs/>
        </w:rPr>
        <w:t>et al</w:t>
      </w:r>
      <w:r w:rsidR="00C00A4B">
        <w:t xml:space="preserve"> </w:t>
      </w:r>
      <w:r w:rsidR="00860C0D">
        <w:t>TWG</w:t>
      </w:r>
      <w:r w:rsidRPr="00321EE4">
        <w:t xml:space="preserve"> Safety Metrics Guiding Principles included in </w:t>
      </w:r>
      <w:r w:rsidR="00D52F53">
        <w:t xml:space="preserve">appendices to </w:t>
      </w:r>
      <w:r w:rsidRPr="00321EE4">
        <w:t>D.19-04-020</w:t>
      </w:r>
      <w:r w:rsidR="00C00A4B">
        <w:t>;</w:t>
      </w:r>
    </w:p>
    <w:p w:rsidR="00C00A4B" w:rsidP="00793960" w:rsidRDefault="00321EE4" w14:paraId="3818E8F8" w14:textId="18F3D4E1">
      <w:pPr>
        <w:pStyle w:val="ListBullet"/>
        <w:ind w:left="1080" w:right="1440"/>
      </w:pPr>
      <w:r w:rsidRPr="00321EE4">
        <w:t>Metrics submitted in quarterly reports pursuant to I</w:t>
      </w:r>
      <w:r w:rsidR="00522164">
        <w:t>.</w:t>
      </w:r>
      <w:r w:rsidRPr="00321EE4">
        <w:t>15</w:t>
      </w:r>
      <w:r w:rsidR="00A80561">
        <w:noBreakHyphen/>
      </w:r>
      <w:r w:rsidRPr="00321EE4">
        <w:t>08</w:t>
      </w:r>
      <w:r w:rsidR="00A80561">
        <w:noBreakHyphen/>
      </w:r>
      <w:r w:rsidRPr="00321EE4">
        <w:t>019</w:t>
      </w:r>
      <w:r w:rsidR="00C00A4B">
        <w:t>;</w:t>
      </w:r>
    </w:p>
    <w:p w:rsidR="00640A11" w:rsidP="00793960" w:rsidRDefault="00321EE4" w14:paraId="5F553A32" w14:textId="48EFFAD8">
      <w:pPr>
        <w:pStyle w:val="ListBullet"/>
        <w:ind w:left="1080" w:right="1440"/>
      </w:pPr>
      <w:r w:rsidRPr="00321EE4">
        <w:t xml:space="preserve">Tabular and spatial data submitted to the </w:t>
      </w:r>
      <w:r w:rsidR="00C00A4B">
        <w:t>OE</w:t>
      </w:r>
      <w:r w:rsidR="00640A11">
        <w:t>IS through WMPs;</w:t>
      </w:r>
    </w:p>
    <w:p w:rsidR="00640A11" w:rsidP="00793960" w:rsidRDefault="00321EE4" w14:paraId="67D19A2C" w14:textId="39E233E2">
      <w:pPr>
        <w:pStyle w:val="ListBullet"/>
        <w:ind w:left="1080" w:right="1440"/>
      </w:pPr>
      <w:r w:rsidRPr="00321EE4">
        <w:t xml:space="preserve">Data submitted pursuant to D.20-05-019, including </w:t>
      </w:r>
      <w:r w:rsidR="00522164">
        <w:t>d</w:t>
      </w:r>
      <w:r w:rsidRPr="00321EE4">
        <w:t>ocumentation of “</w:t>
      </w:r>
      <w:r w:rsidR="00522164">
        <w:t>n</w:t>
      </w:r>
      <w:r w:rsidRPr="00321EE4">
        <w:t xml:space="preserve">ear </w:t>
      </w:r>
      <w:r w:rsidR="00522164">
        <w:t>h</w:t>
      </w:r>
      <w:r w:rsidRPr="00321EE4">
        <w:t xml:space="preserve">it” </w:t>
      </w:r>
      <w:r w:rsidR="00522164">
        <w:t>p</w:t>
      </w:r>
      <w:r w:rsidRPr="00321EE4">
        <w:t xml:space="preserve">otential </w:t>
      </w:r>
      <w:r w:rsidR="00522164">
        <w:t>f</w:t>
      </w:r>
      <w:r w:rsidRPr="00321EE4">
        <w:t xml:space="preserve">ire </w:t>
      </w:r>
      <w:r w:rsidR="00522164">
        <w:t>i</w:t>
      </w:r>
      <w:r w:rsidRPr="00321EE4">
        <w:t>ncidents</w:t>
      </w:r>
      <w:r w:rsidR="00640A11">
        <w:t>;</w:t>
      </w:r>
    </w:p>
    <w:p w:rsidR="00640A11" w:rsidP="00793960" w:rsidRDefault="00522164" w14:paraId="56C862F4" w14:textId="7E27F26F">
      <w:pPr>
        <w:pStyle w:val="ListBullet"/>
        <w:ind w:left="1080" w:right="1440"/>
      </w:pPr>
      <w:r>
        <w:t>D</w:t>
      </w:r>
      <w:r w:rsidRPr="00321EE4" w:rsidR="00321EE4">
        <w:t xml:space="preserve">ata submitted as part of PG&amp;E’s </w:t>
      </w:r>
      <w:r w:rsidR="00640A11">
        <w:t xml:space="preserve">RAMP </w:t>
      </w:r>
      <w:r w:rsidRPr="00321EE4" w:rsidR="00321EE4">
        <w:t xml:space="preserve">that could meet the goals and requirements of the SOMs </w:t>
      </w:r>
      <w:r>
        <w:t xml:space="preserve">as </w:t>
      </w:r>
      <w:r w:rsidRPr="00321EE4" w:rsidR="00321EE4">
        <w:t>outlined in D.20-05-053</w:t>
      </w:r>
      <w:r w:rsidR="00640A11">
        <w:t>; and,</w:t>
      </w:r>
    </w:p>
    <w:p w:rsidRPr="00321EE4" w:rsidR="00321EE4" w:rsidP="00793960" w:rsidRDefault="00321EE4" w14:paraId="57F85B55" w14:textId="2A2C396A">
      <w:pPr>
        <w:pStyle w:val="ListBullet"/>
        <w:ind w:left="1080" w:right="1440"/>
      </w:pPr>
      <w:r w:rsidRPr="00321EE4">
        <w:t>Metrics related to compliance with G</w:t>
      </w:r>
      <w:r w:rsidR="00522164">
        <w:t xml:space="preserve">eneral </w:t>
      </w:r>
      <w:r w:rsidRPr="00321EE4">
        <w:t>O</w:t>
      </w:r>
      <w:r w:rsidR="00522164">
        <w:t>rder (GO)</w:t>
      </w:r>
      <w:r w:rsidR="00A80561">
        <w:t> </w:t>
      </w:r>
      <w:r w:rsidRPr="00321EE4">
        <w:t xml:space="preserve">95 and other Commission regulations that are reported to and tracked by the </w:t>
      </w:r>
      <w:r w:rsidR="00B363B7">
        <w:t xml:space="preserve">Commission’s </w:t>
      </w:r>
      <w:r w:rsidR="004F75F8">
        <w:t xml:space="preserve">Safety </w:t>
      </w:r>
      <w:r w:rsidR="00B363B7">
        <w:t>and</w:t>
      </w:r>
      <w:r w:rsidR="00F73490">
        <w:t xml:space="preserve"> E</w:t>
      </w:r>
      <w:r w:rsidR="00B363B7">
        <w:t xml:space="preserve">nforcement </w:t>
      </w:r>
      <w:r w:rsidR="00F73490">
        <w:t>Division (</w:t>
      </w:r>
      <w:r w:rsidR="00640A11">
        <w:t>SED</w:t>
      </w:r>
      <w:r w:rsidR="00F73490">
        <w:t>)</w:t>
      </w:r>
      <w:r w:rsidR="00640A11">
        <w:t>.</w:t>
      </w:r>
      <w:r w:rsidR="00961574">
        <w:rPr>
          <w:rStyle w:val="FootnoteReference"/>
        </w:rPr>
        <w:footnoteReference w:id="74"/>
      </w:r>
      <w:r w:rsidR="00640A11">
        <w:t xml:space="preserve"> </w:t>
      </w:r>
    </w:p>
    <w:p w:rsidRPr="00630A11" w:rsidR="00197509" w:rsidP="004F4A56" w:rsidRDefault="002B54BE" w14:paraId="6C4443B6" w14:textId="00AEC184">
      <w:pPr>
        <w:pStyle w:val="Standard"/>
      </w:pPr>
      <w:r>
        <w:t>The SOMs Ruling instruct</w:t>
      </w:r>
      <w:r w:rsidR="00D52F53">
        <w:t>s</w:t>
      </w:r>
      <w:r>
        <w:t xml:space="preserve"> </w:t>
      </w:r>
      <w:r w:rsidR="00F72586">
        <w:t>PG&amp;E to consult with SCE, SDG&amp;E</w:t>
      </w:r>
      <w:r w:rsidR="00A82921">
        <w:t>,</w:t>
      </w:r>
      <w:r w:rsidR="00F72586">
        <w:t xml:space="preserve"> and SoCalGas prior to proposing SOMs because the Commission may consider </w:t>
      </w:r>
      <w:r w:rsidR="00F72586">
        <w:lastRenderedPageBreak/>
        <w:t>applying SOMs to all IOUs.  The SOMs Ruling instruct</w:t>
      </w:r>
      <w:r w:rsidR="00690284">
        <w:t>s</w:t>
      </w:r>
      <w:r w:rsidR="00F72586">
        <w:t xml:space="preserve"> </w:t>
      </w:r>
      <w:r w:rsidRPr="002B54BE">
        <w:t xml:space="preserve">PG&amp;E </w:t>
      </w:r>
      <w:r w:rsidR="007F19A3">
        <w:t xml:space="preserve">to exclude </w:t>
      </w:r>
      <w:r w:rsidR="00690284">
        <w:t xml:space="preserve">any </w:t>
      </w:r>
      <w:r w:rsidR="007F19A3">
        <w:t>new</w:t>
      </w:r>
      <w:r w:rsidR="00690284">
        <w:t xml:space="preserve"> </w:t>
      </w:r>
      <w:r w:rsidRPr="002B54BE">
        <w:t xml:space="preserve">Electric Overhead Conductor metrics </w:t>
      </w:r>
      <w:r w:rsidR="007F19A3">
        <w:t xml:space="preserve">from its SOMs </w:t>
      </w:r>
      <w:r w:rsidRPr="002B54BE">
        <w:t xml:space="preserve">proposal </w:t>
      </w:r>
      <w:r w:rsidR="00817FCF">
        <w:t xml:space="preserve">because </w:t>
      </w:r>
      <w:r w:rsidRPr="002B54BE">
        <w:t xml:space="preserve">Commission </w:t>
      </w:r>
      <w:r w:rsidR="007F19A3">
        <w:t>S</w:t>
      </w:r>
      <w:r w:rsidRPr="002B54BE">
        <w:t xml:space="preserve">taff </w:t>
      </w:r>
      <w:r w:rsidR="00690284">
        <w:t xml:space="preserve">are </w:t>
      </w:r>
      <w:r w:rsidRPr="002B54BE">
        <w:t xml:space="preserve">preparing a </w:t>
      </w:r>
      <w:r w:rsidR="007F19A3">
        <w:t>S</w:t>
      </w:r>
      <w:r w:rsidRPr="002B54BE">
        <w:t xml:space="preserve">taff </w:t>
      </w:r>
      <w:r w:rsidR="007F19A3">
        <w:t>P</w:t>
      </w:r>
      <w:r w:rsidRPr="002B54BE">
        <w:t xml:space="preserve">roposal </w:t>
      </w:r>
      <w:r w:rsidR="00817FCF">
        <w:t>on this topic</w:t>
      </w:r>
      <w:r w:rsidR="00690284">
        <w:t xml:space="preserve">.  </w:t>
      </w:r>
      <w:r w:rsidR="00817FCF">
        <w:t>The SOMs Ruling indicate</w:t>
      </w:r>
      <w:r w:rsidR="00690284">
        <w:t>s</w:t>
      </w:r>
      <w:r w:rsidR="00817FCF">
        <w:t xml:space="preserve"> that </w:t>
      </w:r>
      <w:r w:rsidR="008153E3">
        <w:t>a final set of</w:t>
      </w:r>
      <w:r w:rsidR="00A7393D">
        <w:t xml:space="preserve"> </w:t>
      </w:r>
      <w:r w:rsidR="008153E3">
        <w:t>p</w:t>
      </w:r>
      <w:r w:rsidR="00A7393D">
        <w:t xml:space="preserve">roposed SOMs </w:t>
      </w:r>
      <w:r w:rsidR="008153E3">
        <w:t xml:space="preserve">prepared </w:t>
      </w:r>
      <w:r w:rsidR="008245F1">
        <w:t xml:space="preserve">by </w:t>
      </w:r>
      <w:r w:rsidRPr="007F19A3" w:rsidR="007F19A3">
        <w:t xml:space="preserve">PG&amp;E and/or Commission </w:t>
      </w:r>
      <w:r w:rsidR="008245F1">
        <w:t xml:space="preserve">Staff </w:t>
      </w:r>
      <w:r w:rsidR="008153E3">
        <w:t xml:space="preserve">would be issued via ruling </w:t>
      </w:r>
      <w:r w:rsidR="008245F1">
        <w:t xml:space="preserve">in early </w:t>
      </w:r>
      <w:r w:rsidRPr="007F19A3" w:rsidR="007F19A3">
        <w:t xml:space="preserve">2021 and </w:t>
      </w:r>
      <w:r w:rsidR="008245F1">
        <w:t xml:space="preserve">parties </w:t>
      </w:r>
      <w:r w:rsidR="00F72586">
        <w:t xml:space="preserve">would be </w:t>
      </w:r>
      <w:r w:rsidR="008245F1">
        <w:t xml:space="preserve">provided another opportunity to </w:t>
      </w:r>
      <w:r w:rsidR="00F72586">
        <w:t xml:space="preserve">file </w:t>
      </w:r>
      <w:r w:rsidR="008245F1">
        <w:t xml:space="preserve">comment </w:t>
      </w:r>
      <w:r w:rsidRPr="007F19A3" w:rsidR="007F19A3">
        <w:t>at that time</w:t>
      </w:r>
      <w:r w:rsidR="008245F1">
        <w:t>.</w:t>
      </w:r>
      <w:r w:rsidR="008245F1">
        <w:rPr>
          <w:rStyle w:val="FootnoteReference"/>
        </w:rPr>
        <w:footnoteReference w:id="75"/>
      </w:r>
    </w:p>
    <w:p w:rsidR="00CF09BB" w:rsidP="00321945" w:rsidRDefault="001638F6" w14:paraId="6C3D41DA" w14:textId="550E0CB4">
      <w:pPr>
        <w:pStyle w:val="Heading2"/>
      </w:pPr>
      <w:bookmarkStart w:name="_Toc80890874" w:id="81"/>
      <w:bookmarkStart w:name="_Toc87361174" w:id="82"/>
      <w:r>
        <w:t>10.3</w:t>
      </w:r>
      <w:r>
        <w:tab/>
      </w:r>
      <w:r w:rsidR="00CF09BB">
        <w:t>PG&amp;E</w:t>
      </w:r>
      <w:r w:rsidR="004A5D4D">
        <w:t xml:space="preserve"> </w:t>
      </w:r>
      <w:r w:rsidR="00CF09BB">
        <w:t>SOMs Proposal</w:t>
      </w:r>
      <w:bookmarkEnd w:id="81"/>
      <w:bookmarkEnd w:id="82"/>
    </w:p>
    <w:p w:rsidR="0085160C" w:rsidP="004F4A56" w:rsidRDefault="00BD454A" w14:paraId="31D48D18" w14:textId="04EEF283">
      <w:pPr>
        <w:pStyle w:val="Standard"/>
        <w:rPr>
          <w:iCs/>
        </w:rPr>
      </w:pPr>
      <w:r>
        <w:rPr>
          <w:iCs/>
        </w:rPr>
        <w:t>O</w:t>
      </w:r>
      <w:r w:rsidR="00D452C7">
        <w:rPr>
          <w:iCs/>
        </w:rPr>
        <w:t xml:space="preserve">n January 15, 2021, </w:t>
      </w:r>
      <w:r w:rsidRPr="00A43641" w:rsidR="00CF09BB">
        <w:rPr>
          <w:iCs/>
        </w:rPr>
        <w:t xml:space="preserve">PG&amp;E </w:t>
      </w:r>
      <w:r w:rsidR="00F72586">
        <w:rPr>
          <w:iCs/>
        </w:rPr>
        <w:t xml:space="preserve">filed a </w:t>
      </w:r>
      <w:r w:rsidRPr="00A43641" w:rsidR="00CF09BB">
        <w:rPr>
          <w:iCs/>
        </w:rPr>
        <w:t>propos</w:t>
      </w:r>
      <w:r w:rsidR="00F72586">
        <w:rPr>
          <w:iCs/>
        </w:rPr>
        <w:t xml:space="preserve">al for </w:t>
      </w:r>
      <w:r w:rsidRPr="00A43641" w:rsidR="00CF09BB">
        <w:rPr>
          <w:iCs/>
        </w:rPr>
        <w:t>12 SOMs</w:t>
      </w:r>
      <w:r>
        <w:rPr>
          <w:iCs/>
        </w:rPr>
        <w:t xml:space="preserve"> </w:t>
      </w:r>
      <w:r w:rsidR="001A6040">
        <w:rPr>
          <w:iCs/>
        </w:rPr>
        <w:t xml:space="preserve">(PG&amp;E SOMs Proposal) </w:t>
      </w:r>
      <w:r>
        <w:rPr>
          <w:iCs/>
        </w:rPr>
        <w:t>in response to the SOMs Ruling.</w:t>
      </w:r>
      <w:r w:rsidRPr="00767508" w:rsidR="00CF09BB">
        <w:rPr>
          <w:vertAlign w:val="superscript"/>
        </w:rPr>
        <w:footnoteReference w:id="76"/>
      </w:r>
      <w:r w:rsidRPr="00BA68C3" w:rsidR="00CF09BB">
        <w:t xml:space="preserve"> </w:t>
      </w:r>
      <w:r w:rsidRPr="00A43641" w:rsidR="00CF09BB">
        <w:rPr>
          <w:iCs/>
        </w:rPr>
        <w:t xml:space="preserve"> </w:t>
      </w:r>
      <w:r w:rsidR="0085160C">
        <w:rPr>
          <w:iCs/>
        </w:rPr>
        <w:t>Several p</w:t>
      </w:r>
      <w:r w:rsidRPr="00A43641" w:rsidR="00CF09BB">
        <w:rPr>
          <w:iCs/>
        </w:rPr>
        <w:t xml:space="preserve">arties </w:t>
      </w:r>
      <w:r w:rsidR="00F92300">
        <w:rPr>
          <w:iCs/>
        </w:rPr>
        <w:t>filed initial comments on PG&amp;E’s SOMs Proposal on January 25, 2021</w:t>
      </w:r>
      <w:r w:rsidRPr="00A43641" w:rsidR="00CF09BB">
        <w:rPr>
          <w:iCs/>
        </w:rPr>
        <w:t>.</w:t>
      </w:r>
      <w:r w:rsidR="00884D39">
        <w:rPr>
          <w:rStyle w:val="FootnoteReference"/>
          <w:iCs/>
        </w:rPr>
        <w:footnoteReference w:id="77"/>
      </w:r>
      <w:r w:rsidR="002D00BF">
        <w:rPr>
          <w:iCs/>
        </w:rPr>
        <w:t xml:space="preserve">  </w:t>
      </w:r>
      <w:r w:rsidR="00CF09BB">
        <w:rPr>
          <w:iCs/>
        </w:rPr>
        <w:t xml:space="preserve">SPD </w:t>
      </w:r>
      <w:r w:rsidRPr="00F91683" w:rsidR="00CF09BB">
        <w:rPr>
          <w:iCs/>
        </w:rPr>
        <w:t>Staff</w:t>
      </w:r>
      <w:r w:rsidR="00CF09BB">
        <w:rPr>
          <w:iCs/>
        </w:rPr>
        <w:t xml:space="preserve"> convened </w:t>
      </w:r>
      <w:r w:rsidRPr="00F91683" w:rsidR="00CF09BB">
        <w:rPr>
          <w:iCs/>
        </w:rPr>
        <w:t>a public workshop on January 28, 2021</w:t>
      </w:r>
      <w:r w:rsidR="00CF09BB">
        <w:rPr>
          <w:iCs/>
        </w:rPr>
        <w:t>,</w:t>
      </w:r>
      <w:r w:rsidRPr="00F91683" w:rsidR="00CF09BB">
        <w:rPr>
          <w:iCs/>
        </w:rPr>
        <w:t xml:space="preserve"> where PG&amp;E presented its SOMs</w:t>
      </w:r>
      <w:r w:rsidR="0085160C">
        <w:rPr>
          <w:iCs/>
        </w:rPr>
        <w:t xml:space="preserve"> Proposal</w:t>
      </w:r>
      <w:r w:rsidR="00CF09BB">
        <w:rPr>
          <w:iCs/>
        </w:rPr>
        <w:t xml:space="preserve">.  </w:t>
      </w:r>
      <w:r w:rsidR="004C69E0">
        <w:rPr>
          <w:iCs/>
        </w:rPr>
        <w:t xml:space="preserve">On </w:t>
      </w:r>
      <w:r w:rsidR="000F1EC5">
        <w:rPr>
          <w:iCs/>
        </w:rPr>
        <w:t xml:space="preserve">February 1, 2021, the ALJ issued a ruling requesting </w:t>
      </w:r>
      <w:r w:rsidR="00043E63">
        <w:rPr>
          <w:iCs/>
        </w:rPr>
        <w:t xml:space="preserve">several </w:t>
      </w:r>
      <w:r w:rsidR="000F1EC5">
        <w:rPr>
          <w:iCs/>
        </w:rPr>
        <w:t xml:space="preserve">clarifications from PG&amp;E on </w:t>
      </w:r>
      <w:r w:rsidR="00D2340C">
        <w:rPr>
          <w:iCs/>
        </w:rPr>
        <w:t>i</w:t>
      </w:r>
      <w:r w:rsidR="000F1EC5">
        <w:rPr>
          <w:iCs/>
        </w:rPr>
        <w:t xml:space="preserve">ssues discussed at the </w:t>
      </w:r>
      <w:r w:rsidR="00A96B45">
        <w:rPr>
          <w:iCs/>
        </w:rPr>
        <w:t xml:space="preserve">workshop.  </w:t>
      </w:r>
    </w:p>
    <w:p w:rsidR="002D0416" w:rsidP="002D00BF" w:rsidRDefault="00A96B45" w14:paraId="0C34C57C" w14:textId="28AA4EA4">
      <w:pPr>
        <w:pStyle w:val="Standard"/>
        <w:rPr>
          <w:iCs/>
        </w:rPr>
      </w:pPr>
      <w:r>
        <w:rPr>
          <w:iCs/>
        </w:rPr>
        <w:t>PG&amp;E</w:t>
      </w:r>
      <w:r w:rsidR="00E52E64">
        <w:rPr>
          <w:iCs/>
        </w:rPr>
        <w:t xml:space="preserve">’s </w:t>
      </w:r>
      <w:r>
        <w:rPr>
          <w:iCs/>
        </w:rPr>
        <w:t>February 12, 2021</w:t>
      </w:r>
      <w:r w:rsidR="00E52E64">
        <w:rPr>
          <w:iCs/>
        </w:rPr>
        <w:t xml:space="preserve"> response to the </w:t>
      </w:r>
      <w:r w:rsidR="00D2340C">
        <w:rPr>
          <w:iCs/>
        </w:rPr>
        <w:t xml:space="preserve">ALJ </w:t>
      </w:r>
      <w:r w:rsidR="00E52E64">
        <w:rPr>
          <w:iCs/>
        </w:rPr>
        <w:t>ruling proposed an additional SOM</w:t>
      </w:r>
      <w:r w:rsidR="008A5DD4">
        <w:rPr>
          <w:iCs/>
        </w:rPr>
        <w:t xml:space="preserve"> on public safety.  </w:t>
      </w:r>
      <w:r w:rsidR="002D0416">
        <w:rPr>
          <w:iCs/>
        </w:rPr>
        <w:t>PG&amp;E suggested a SIF Actual (Public) SOM defined as:</w:t>
      </w:r>
    </w:p>
    <w:p w:rsidRPr="001B6F4C" w:rsidR="002D0416" w:rsidP="00A30E71" w:rsidRDefault="002D0416" w14:paraId="2897BD6D" w14:textId="3F279478">
      <w:pPr>
        <w:pStyle w:val="BlockQuote"/>
        <w:spacing w:line="240" w:lineRule="auto"/>
        <w:ind w:firstLine="0"/>
      </w:pPr>
      <w:r w:rsidRPr="00E80379">
        <w:t>Incidents determined to be life-threatening, life-altering, or fatal to the public resulting from work on or caused by a failure or malfunction of PG&amp;E facilities</w:t>
      </w:r>
      <w:r>
        <w:t>.</w:t>
      </w:r>
      <w:r>
        <w:rPr>
          <w:rStyle w:val="FootnoteReference"/>
        </w:rPr>
        <w:footnoteReference w:id="78"/>
      </w:r>
    </w:p>
    <w:p w:rsidR="009B0B49" w:rsidP="002D00BF" w:rsidRDefault="002D00BF" w14:paraId="1D3A8EC6" w14:textId="3896CC9F">
      <w:pPr>
        <w:pStyle w:val="Standard"/>
        <w:rPr>
          <w:iCs/>
        </w:rPr>
      </w:pPr>
      <w:r>
        <w:rPr>
          <w:iCs/>
        </w:rPr>
        <w:lastRenderedPageBreak/>
        <w:t xml:space="preserve">On March </w:t>
      </w:r>
      <w:r w:rsidR="007B06BE">
        <w:rPr>
          <w:iCs/>
        </w:rPr>
        <w:t xml:space="preserve">1, 2021, several parties filed </w:t>
      </w:r>
      <w:r w:rsidR="00411646">
        <w:rPr>
          <w:iCs/>
        </w:rPr>
        <w:t>additional</w:t>
      </w:r>
      <w:r w:rsidR="007B06BE">
        <w:rPr>
          <w:iCs/>
        </w:rPr>
        <w:t xml:space="preserve"> comments on PG&amp;E’s proposal</w:t>
      </w:r>
      <w:r w:rsidR="00411646">
        <w:rPr>
          <w:iCs/>
        </w:rPr>
        <w:t xml:space="preserve"> and responded to questions in the ALJ’s February 1, 2021 ruling</w:t>
      </w:r>
      <w:r w:rsidR="007B06BE">
        <w:rPr>
          <w:iCs/>
        </w:rPr>
        <w:t>.</w:t>
      </w:r>
      <w:r w:rsidR="007B06BE">
        <w:rPr>
          <w:rStyle w:val="FootnoteReference"/>
          <w:iCs/>
        </w:rPr>
        <w:footnoteReference w:id="79"/>
      </w:r>
      <w:r w:rsidR="007B06BE">
        <w:rPr>
          <w:iCs/>
        </w:rPr>
        <w:t xml:space="preserve">  </w:t>
      </w:r>
    </w:p>
    <w:p w:rsidRPr="0018367F" w:rsidR="00884D39" w:rsidP="009B0B49" w:rsidRDefault="0064632E" w14:paraId="28B1670F" w14:textId="0B99FFA5">
      <w:pPr>
        <w:pStyle w:val="Standard"/>
        <w:rPr>
          <w:iCs/>
        </w:rPr>
      </w:pPr>
      <w:r>
        <w:rPr>
          <w:iCs/>
        </w:rPr>
        <w:t xml:space="preserve">On April 1, 2021, a </w:t>
      </w:r>
      <w:r w:rsidR="00CF09BB">
        <w:rPr>
          <w:iCs/>
        </w:rPr>
        <w:t>Track 2 working group meeting discussed PG&amp;E’s SOMs</w:t>
      </w:r>
      <w:r w:rsidR="007F0723">
        <w:rPr>
          <w:iCs/>
        </w:rPr>
        <w:t xml:space="preserve"> </w:t>
      </w:r>
      <w:r w:rsidRPr="009661F7" w:rsidR="007F0723">
        <w:t>Proposal</w:t>
      </w:r>
      <w:r w:rsidRPr="00082623" w:rsidR="00CF09BB">
        <w:rPr>
          <w:iCs/>
        </w:rPr>
        <w:t>.</w:t>
      </w:r>
      <w:r w:rsidRPr="009661F7" w:rsidR="00CF09BB">
        <w:t xml:space="preserve">  </w:t>
      </w:r>
      <w:r w:rsidRPr="009661F7" w:rsidR="00B014B9">
        <w:t>PG</w:t>
      </w:r>
      <w:r w:rsidRPr="0018367F" w:rsidR="00B014B9">
        <w:rPr>
          <w:iCs/>
        </w:rPr>
        <w:t xml:space="preserve">&amp;E’s </w:t>
      </w:r>
      <w:r w:rsidRPr="0018367F" w:rsidR="007F0723">
        <w:rPr>
          <w:iCs/>
        </w:rPr>
        <w:t>p</w:t>
      </w:r>
      <w:r w:rsidRPr="0018367F" w:rsidR="00B014B9">
        <w:rPr>
          <w:iCs/>
        </w:rPr>
        <w:t xml:space="preserve">roposed SOMs are listed in Table </w:t>
      </w:r>
      <w:r w:rsidRPr="0018367F" w:rsidR="0018367F">
        <w:rPr>
          <w:iCs/>
        </w:rPr>
        <w:t>1</w:t>
      </w:r>
      <w:r w:rsidRPr="0018367F" w:rsidR="00B014B9">
        <w:rPr>
          <w:iCs/>
        </w:rPr>
        <w:t>:</w:t>
      </w:r>
    </w:p>
    <w:p w:rsidR="00745381" w:rsidP="00622D2A" w:rsidRDefault="00B014B9" w14:paraId="3AE87E69" w14:textId="1ABDB2F5">
      <w:pPr>
        <w:pStyle w:val="Standard"/>
        <w:spacing w:before="120" w:line="240" w:lineRule="auto"/>
        <w:ind w:firstLine="0"/>
        <w:jc w:val="center"/>
        <w:rPr>
          <w:b/>
        </w:rPr>
      </w:pPr>
      <w:r w:rsidRPr="00991BEC">
        <w:rPr>
          <w:b/>
        </w:rPr>
        <w:t xml:space="preserve">Table </w:t>
      </w:r>
      <w:r w:rsidRPr="00991BEC" w:rsidR="0018367F">
        <w:rPr>
          <w:b/>
        </w:rPr>
        <w:t>1</w:t>
      </w:r>
      <w:r w:rsidRPr="00991BEC">
        <w:rPr>
          <w:b/>
        </w:rPr>
        <w:t xml:space="preserve">:  </w:t>
      </w:r>
      <w:r w:rsidRPr="00991BEC" w:rsidR="00745381">
        <w:rPr>
          <w:b/>
        </w:rPr>
        <w:t>PG&amp;E’s Proposed SOMs</w:t>
      </w:r>
      <w:r w:rsidRPr="0018367F" w:rsidR="00D2340C">
        <w:rPr>
          <w:rStyle w:val="FootnoteReference"/>
          <w:iCs/>
        </w:rPr>
        <w:footnoteReference w:id="80"/>
      </w:r>
    </w:p>
    <w:tbl>
      <w:tblPr>
        <w:tblStyle w:val="TableGrid"/>
        <w:tblpPr w:leftFromText="180" w:rightFromText="180" w:vertAnchor="text" w:tblpXSpec="center" w:tblpY="333"/>
        <w:tblW w:w="0" w:type="auto"/>
        <w:tblLook w:val="04A0" w:firstRow="1" w:lastRow="0" w:firstColumn="1" w:lastColumn="0" w:noHBand="0" w:noVBand="1"/>
      </w:tblPr>
      <w:tblGrid>
        <w:gridCol w:w="4517"/>
        <w:gridCol w:w="4519"/>
      </w:tblGrid>
      <w:tr w:rsidRPr="002B1A1C" w:rsidR="00917A11" w:rsidTr="003E0C34" w14:paraId="1164816C" w14:textId="77777777">
        <w:trPr>
          <w:trHeight w:val="266"/>
          <w:tblHeader/>
        </w:trPr>
        <w:tc>
          <w:tcPr>
            <w:tcW w:w="4517" w:type="dxa"/>
            <w:vAlign w:val="center"/>
          </w:tcPr>
          <w:p w:rsidRPr="00DE4D42" w:rsidR="00917A11" w:rsidP="003E0C34" w:rsidRDefault="00917A11" w14:paraId="6E7D340A" w14:textId="77777777">
            <w:pPr>
              <w:pStyle w:val="Standard"/>
              <w:spacing w:line="240" w:lineRule="auto"/>
              <w:ind w:firstLine="0"/>
              <w:jc w:val="center"/>
              <w:rPr>
                <w:b/>
                <w:sz w:val="22"/>
                <w:szCs w:val="22"/>
              </w:rPr>
            </w:pPr>
            <w:r w:rsidRPr="00DE4D42">
              <w:rPr>
                <w:b/>
                <w:sz w:val="22"/>
                <w:szCs w:val="22"/>
              </w:rPr>
              <w:t>Proposed Metric</w:t>
            </w:r>
          </w:p>
        </w:tc>
        <w:tc>
          <w:tcPr>
            <w:tcW w:w="4519" w:type="dxa"/>
            <w:vAlign w:val="center"/>
          </w:tcPr>
          <w:p w:rsidRPr="00DE4D42" w:rsidR="00917A11" w:rsidP="003E0C34" w:rsidRDefault="00917A11" w14:paraId="54425FDD" w14:textId="77777777">
            <w:pPr>
              <w:pStyle w:val="Standard"/>
              <w:spacing w:line="240" w:lineRule="auto"/>
              <w:ind w:firstLine="0"/>
              <w:jc w:val="center"/>
              <w:rPr>
                <w:b/>
                <w:sz w:val="22"/>
                <w:szCs w:val="22"/>
              </w:rPr>
            </w:pPr>
            <w:r w:rsidRPr="00DE4D42">
              <w:rPr>
                <w:b/>
                <w:sz w:val="22"/>
                <w:szCs w:val="22"/>
              </w:rPr>
              <w:t>Risk(s)</w:t>
            </w:r>
          </w:p>
        </w:tc>
      </w:tr>
      <w:tr w:rsidRPr="002B1A1C" w:rsidR="00917A11" w:rsidTr="003E0C34" w14:paraId="3DBEF442" w14:textId="77777777">
        <w:trPr>
          <w:trHeight w:val="704"/>
        </w:trPr>
        <w:tc>
          <w:tcPr>
            <w:tcW w:w="4517" w:type="dxa"/>
            <w:vAlign w:val="center"/>
          </w:tcPr>
          <w:p w:rsidRPr="00DE4D42" w:rsidR="00917A11" w:rsidP="003E0C34" w:rsidRDefault="00917A11" w14:paraId="57C5C16F" w14:textId="77777777">
            <w:pPr>
              <w:pStyle w:val="Standard"/>
              <w:spacing w:line="240" w:lineRule="auto"/>
              <w:ind w:firstLine="0"/>
              <w:jc w:val="center"/>
              <w:rPr>
                <w:sz w:val="22"/>
                <w:szCs w:val="22"/>
              </w:rPr>
            </w:pPr>
            <w:r w:rsidRPr="00DE4D42">
              <w:rPr>
                <w:sz w:val="22"/>
                <w:szCs w:val="22"/>
              </w:rPr>
              <w:t>Serious Injuries and Fatalities (SIF) —Actual (Employee &amp; Contractor)</w:t>
            </w:r>
          </w:p>
        </w:tc>
        <w:tc>
          <w:tcPr>
            <w:tcW w:w="4519" w:type="dxa"/>
            <w:vAlign w:val="center"/>
          </w:tcPr>
          <w:p w:rsidRPr="00DE4D42" w:rsidR="00917A11" w:rsidP="003E0C34" w:rsidRDefault="00917A11" w14:paraId="589A97D0" w14:textId="77777777">
            <w:pPr>
              <w:pStyle w:val="Standard"/>
              <w:spacing w:line="240" w:lineRule="auto"/>
              <w:ind w:firstLine="0"/>
              <w:jc w:val="center"/>
              <w:rPr>
                <w:sz w:val="22"/>
                <w:szCs w:val="22"/>
              </w:rPr>
            </w:pPr>
            <w:r w:rsidRPr="00DE4D42">
              <w:rPr>
                <w:sz w:val="22"/>
                <w:szCs w:val="22"/>
              </w:rPr>
              <w:t>Employee and Contractor Safety</w:t>
            </w:r>
          </w:p>
        </w:tc>
      </w:tr>
      <w:tr w:rsidRPr="002B1A1C" w:rsidR="00917A11" w:rsidTr="003E0C34" w14:paraId="5D1C1B58" w14:textId="77777777">
        <w:trPr>
          <w:trHeight w:val="532"/>
        </w:trPr>
        <w:tc>
          <w:tcPr>
            <w:tcW w:w="4517" w:type="dxa"/>
            <w:vAlign w:val="center"/>
          </w:tcPr>
          <w:p w:rsidRPr="00DE4D42" w:rsidR="00917A11" w:rsidP="003E0C34" w:rsidRDefault="00917A11" w14:paraId="61AD5ED1" w14:textId="77777777">
            <w:pPr>
              <w:pStyle w:val="Standard"/>
              <w:spacing w:line="240" w:lineRule="auto"/>
              <w:ind w:firstLine="0"/>
              <w:jc w:val="center"/>
              <w:rPr>
                <w:sz w:val="22"/>
                <w:szCs w:val="22"/>
              </w:rPr>
            </w:pPr>
            <w:r w:rsidRPr="00DE4D42">
              <w:rPr>
                <w:sz w:val="22"/>
                <w:szCs w:val="22"/>
              </w:rPr>
              <w:t>SIF—Potential (Employee &amp; Contractor)</w:t>
            </w:r>
          </w:p>
        </w:tc>
        <w:tc>
          <w:tcPr>
            <w:tcW w:w="4519" w:type="dxa"/>
            <w:vAlign w:val="center"/>
          </w:tcPr>
          <w:p w:rsidRPr="00DE4D42" w:rsidR="00917A11" w:rsidP="003E0C34" w:rsidRDefault="00917A11" w14:paraId="531B65C5" w14:textId="77777777">
            <w:pPr>
              <w:pStyle w:val="Standard"/>
              <w:spacing w:line="240" w:lineRule="auto"/>
              <w:ind w:firstLine="0"/>
              <w:jc w:val="center"/>
              <w:rPr>
                <w:sz w:val="22"/>
                <w:szCs w:val="22"/>
              </w:rPr>
            </w:pPr>
            <w:r w:rsidRPr="00DE4D42">
              <w:rPr>
                <w:sz w:val="22"/>
                <w:szCs w:val="22"/>
              </w:rPr>
              <w:t>Employee and Contractor Safety</w:t>
            </w:r>
          </w:p>
        </w:tc>
      </w:tr>
      <w:tr w:rsidRPr="002B1A1C" w:rsidR="00917A11" w:rsidTr="003E0C34" w14:paraId="5BC88B3C" w14:textId="77777777">
        <w:trPr>
          <w:trHeight w:val="614"/>
        </w:trPr>
        <w:tc>
          <w:tcPr>
            <w:tcW w:w="4517" w:type="dxa"/>
            <w:vAlign w:val="center"/>
          </w:tcPr>
          <w:p w:rsidRPr="00DE4D42" w:rsidR="00917A11" w:rsidP="003E0C34" w:rsidRDefault="00917A11" w14:paraId="1A51E493" w14:textId="77777777">
            <w:pPr>
              <w:pStyle w:val="Standard"/>
              <w:spacing w:line="240" w:lineRule="auto"/>
              <w:ind w:firstLine="0"/>
              <w:jc w:val="center"/>
              <w:rPr>
                <w:sz w:val="22"/>
                <w:szCs w:val="22"/>
              </w:rPr>
            </w:pPr>
            <w:r w:rsidRPr="00DE4D42">
              <w:rPr>
                <w:sz w:val="22"/>
                <w:szCs w:val="22"/>
              </w:rPr>
              <w:t>Gas Dig-In Rate</w:t>
            </w:r>
          </w:p>
        </w:tc>
        <w:tc>
          <w:tcPr>
            <w:tcW w:w="4519" w:type="dxa"/>
            <w:vAlign w:val="center"/>
          </w:tcPr>
          <w:p w:rsidRPr="00DE4D42" w:rsidR="00917A11" w:rsidP="003E0C34" w:rsidRDefault="00917A11" w14:paraId="52BA9A91" w14:textId="77777777">
            <w:pPr>
              <w:pStyle w:val="Standard"/>
              <w:spacing w:line="240" w:lineRule="auto"/>
              <w:ind w:firstLine="0"/>
              <w:jc w:val="center"/>
              <w:rPr>
                <w:sz w:val="22"/>
                <w:szCs w:val="22"/>
              </w:rPr>
            </w:pPr>
            <w:r w:rsidRPr="00DE4D42">
              <w:rPr>
                <w:sz w:val="22"/>
                <w:szCs w:val="22"/>
              </w:rPr>
              <w:t>Loss of Containment on Gas Transmission or Distribution Pipeline</w:t>
            </w:r>
          </w:p>
        </w:tc>
      </w:tr>
      <w:tr w:rsidRPr="002B1A1C" w:rsidR="00917A11" w:rsidTr="003E0C34" w14:paraId="28C2B8F4" w14:textId="77777777">
        <w:trPr>
          <w:trHeight w:val="713"/>
        </w:trPr>
        <w:tc>
          <w:tcPr>
            <w:tcW w:w="4517" w:type="dxa"/>
            <w:vAlign w:val="center"/>
          </w:tcPr>
          <w:p w:rsidRPr="00DE4D42" w:rsidR="00917A11" w:rsidP="003E0C34" w:rsidRDefault="00917A11" w14:paraId="37925F7A" w14:textId="77777777">
            <w:pPr>
              <w:pStyle w:val="Standard"/>
              <w:spacing w:line="240" w:lineRule="auto"/>
              <w:ind w:firstLine="0"/>
              <w:jc w:val="center"/>
              <w:rPr>
                <w:sz w:val="22"/>
                <w:szCs w:val="22"/>
              </w:rPr>
            </w:pPr>
            <w:r w:rsidRPr="00DE4D42">
              <w:rPr>
                <w:sz w:val="22"/>
                <w:szCs w:val="22"/>
              </w:rPr>
              <w:t>Large Overpressure Events</w:t>
            </w:r>
          </w:p>
        </w:tc>
        <w:tc>
          <w:tcPr>
            <w:tcW w:w="4519" w:type="dxa"/>
            <w:vAlign w:val="center"/>
          </w:tcPr>
          <w:p w:rsidRPr="00DE4D42" w:rsidR="00917A11" w:rsidP="003E0C34" w:rsidRDefault="00917A11" w14:paraId="0565ADA1" w14:textId="77777777">
            <w:pPr>
              <w:pStyle w:val="Standard"/>
              <w:spacing w:line="240" w:lineRule="auto"/>
              <w:ind w:firstLine="0"/>
              <w:jc w:val="center"/>
              <w:rPr>
                <w:sz w:val="22"/>
                <w:szCs w:val="22"/>
              </w:rPr>
            </w:pPr>
            <w:r w:rsidRPr="00DE4D42">
              <w:rPr>
                <w:sz w:val="22"/>
                <w:szCs w:val="22"/>
              </w:rPr>
              <w:t>Loss of Containment on Gas Transmission or Distribution Pipeline</w:t>
            </w:r>
          </w:p>
        </w:tc>
      </w:tr>
      <w:tr w:rsidRPr="002B1A1C" w:rsidR="00917A11" w:rsidTr="003E0C34" w14:paraId="6C62B4DD" w14:textId="77777777">
        <w:trPr>
          <w:trHeight w:val="632"/>
        </w:trPr>
        <w:tc>
          <w:tcPr>
            <w:tcW w:w="4517" w:type="dxa"/>
            <w:vAlign w:val="center"/>
          </w:tcPr>
          <w:p w:rsidRPr="00DE4D42" w:rsidR="00917A11" w:rsidP="003E0C34" w:rsidRDefault="00917A11" w14:paraId="513E3CB6" w14:textId="77777777">
            <w:pPr>
              <w:pStyle w:val="Standard"/>
              <w:spacing w:line="240" w:lineRule="auto"/>
              <w:ind w:firstLine="0"/>
              <w:jc w:val="center"/>
              <w:rPr>
                <w:sz w:val="22"/>
                <w:szCs w:val="22"/>
              </w:rPr>
            </w:pPr>
            <w:r w:rsidRPr="00DE4D42">
              <w:rPr>
                <w:sz w:val="22"/>
                <w:szCs w:val="22"/>
              </w:rPr>
              <w:t>Gas Emergency Response</w:t>
            </w:r>
          </w:p>
        </w:tc>
        <w:tc>
          <w:tcPr>
            <w:tcW w:w="4519" w:type="dxa"/>
            <w:vAlign w:val="center"/>
          </w:tcPr>
          <w:p w:rsidRPr="00DE4D42" w:rsidR="00917A11" w:rsidP="003E0C34" w:rsidRDefault="00917A11" w14:paraId="5BABE450" w14:textId="77777777">
            <w:pPr>
              <w:pStyle w:val="Standard"/>
              <w:spacing w:line="240" w:lineRule="auto"/>
              <w:ind w:firstLine="0"/>
              <w:jc w:val="center"/>
              <w:rPr>
                <w:sz w:val="22"/>
                <w:szCs w:val="22"/>
              </w:rPr>
            </w:pPr>
            <w:r w:rsidRPr="00DE4D42">
              <w:rPr>
                <w:sz w:val="22"/>
                <w:szCs w:val="22"/>
              </w:rPr>
              <w:t>Loss of Containment on Gas Transmission or Distribution Pipeline</w:t>
            </w:r>
          </w:p>
        </w:tc>
      </w:tr>
      <w:tr w:rsidRPr="002B1A1C" w:rsidR="00917A11" w:rsidTr="003E0C34" w14:paraId="70AC94F3" w14:textId="77777777">
        <w:trPr>
          <w:trHeight w:val="266"/>
        </w:trPr>
        <w:tc>
          <w:tcPr>
            <w:tcW w:w="4517" w:type="dxa"/>
            <w:vAlign w:val="center"/>
          </w:tcPr>
          <w:p w:rsidRPr="00DE4D42" w:rsidR="00917A11" w:rsidP="003E0C34" w:rsidRDefault="00917A11" w14:paraId="21C18064" w14:textId="77777777">
            <w:pPr>
              <w:pStyle w:val="Standard"/>
              <w:spacing w:line="240" w:lineRule="auto"/>
              <w:ind w:firstLine="0"/>
              <w:jc w:val="center"/>
              <w:rPr>
                <w:sz w:val="22"/>
                <w:szCs w:val="22"/>
              </w:rPr>
            </w:pPr>
            <w:r w:rsidRPr="00DE4D42">
              <w:rPr>
                <w:sz w:val="22"/>
                <w:szCs w:val="22"/>
              </w:rPr>
              <w:t>Reportable Fire Ignitions</w:t>
            </w:r>
          </w:p>
        </w:tc>
        <w:tc>
          <w:tcPr>
            <w:tcW w:w="4519" w:type="dxa"/>
            <w:vAlign w:val="center"/>
          </w:tcPr>
          <w:p w:rsidRPr="00DE4D42" w:rsidR="00917A11" w:rsidP="003E0C34" w:rsidRDefault="00917A11" w14:paraId="17674AC8" w14:textId="77777777">
            <w:pPr>
              <w:pStyle w:val="Standard"/>
              <w:spacing w:line="240" w:lineRule="auto"/>
              <w:ind w:firstLine="0"/>
              <w:jc w:val="center"/>
              <w:rPr>
                <w:sz w:val="22"/>
                <w:szCs w:val="22"/>
              </w:rPr>
            </w:pPr>
            <w:r w:rsidRPr="00DE4D42">
              <w:rPr>
                <w:sz w:val="22"/>
                <w:szCs w:val="22"/>
              </w:rPr>
              <w:t>Wildfire</w:t>
            </w:r>
          </w:p>
        </w:tc>
      </w:tr>
      <w:tr w:rsidRPr="002B1A1C" w:rsidR="00917A11" w:rsidTr="003E0C34" w14:paraId="42BFF496" w14:textId="77777777">
        <w:trPr>
          <w:trHeight w:val="671"/>
        </w:trPr>
        <w:tc>
          <w:tcPr>
            <w:tcW w:w="4517" w:type="dxa"/>
            <w:vAlign w:val="center"/>
          </w:tcPr>
          <w:p w:rsidRPr="00DE4D42" w:rsidR="00917A11" w:rsidP="003E0C34" w:rsidRDefault="00917A11" w14:paraId="27DB1442" w14:textId="77777777">
            <w:pPr>
              <w:pStyle w:val="Standard"/>
              <w:spacing w:line="240" w:lineRule="auto"/>
              <w:ind w:firstLine="0"/>
              <w:jc w:val="center"/>
              <w:rPr>
                <w:sz w:val="22"/>
                <w:szCs w:val="22"/>
              </w:rPr>
            </w:pPr>
            <w:r w:rsidRPr="00DE4D42">
              <w:rPr>
                <w:sz w:val="22"/>
                <w:szCs w:val="22"/>
              </w:rPr>
              <w:t>Transmission and Distribution (T&amp;D) Wires Down</w:t>
            </w:r>
          </w:p>
        </w:tc>
        <w:tc>
          <w:tcPr>
            <w:tcW w:w="4519" w:type="dxa"/>
            <w:vAlign w:val="center"/>
          </w:tcPr>
          <w:p w:rsidRPr="00DE4D42" w:rsidR="00917A11" w:rsidP="003E0C34" w:rsidRDefault="00917A11" w14:paraId="1AA4E3B2" w14:textId="77777777">
            <w:pPr>
              <w:pStyle w:val="Standard"/>
              <w:spacing w:line="240" w:lineRule="auto"/>
              <w:ind w:firstLine="0"/>
              <w:jc w:val="center"/>
              <w:rPr>
                <w:sz w:val="22"/>
                <w:szCs w:val="22"/>
              </w:rPr>
            </w:pPr>
            <w:r w:rsidRPr="00DE4D42">
              <w:rPr>
                <w:sz w:val="22"/>
                <w:szCs w:val="22"/>
              </w:rPr>
              <w:t>Failure of Electric Distribution Overhead Assets; Wildfire</w:t>
            </w:r>
          </w:p>
        </w:tc>
      </w:tr>
      <w:tr w:rsidRPr="002B1A1C" w:rsidR="00917A11" w:rsidTr="003E0C34" w14:paraId="51ED0F1A" w14:textId="77777777">
        <w:trPr>
          <w:trHeight w:val="479"/>
        </w:trPr>
        <w:tc>
          <w:tcPr>
            <w:tcW w:w="4517" w:type="dxa"/>
            <w:vAlign w:val="center"/>
          </w:tcPr>
          <w:p w:rsidRPr="00DE4D42" w:rsidR="00917A11" w:rsidP="003E0C34" w:rsidRDefault="00917A11" w14:paraId="5916FEEC" w14:textId="77777777">
            <w:pPr>
              <w:pStyle w:val="Standard"/>
              <w:spacing w:line="240" w:lineRule="auto"/>
              <w:ind w:firstLine="0"/>
              <w:jc w:val="center"/>
              <w:rPr>
                <w:sz w:val="22"/>
                <w:szCs w:val="22"/>
              </w:rPr>
            </w:pPr>
            <w:r w:rsidRPr="00DE4D42">
              <w:rPr>
                <w:sz w:val="22"/>
                <w:szCs w:val="22"/>
              </w:rPr>
              <w:t>Electric Emergency Response</w:t>
            </w:r>
          </w:p>
        </w:tc>
        <w:tc>
          <w:tcPr>
            <w:tcW w:w="4519" w:type="dxa"/>
            <w:vAlign w:val="center"/>
          </w:tcPr>
          <w:p w:rsidRPr="00DE4D42" w:rsidR="00917A11" w:rsidP="003E0C34" w:rsidRDefault="00917A11" w14:paraId="623E9B2B" w14:textId="77777777">
            <w:pPr>
              <w:pStyle w:val="Standard"/>
              <w:spacing w:line="240" w:lineRule="auto"/>
              <w:ind w:firstLine="0"/>
              <w:jc w:val="center"/>
              <w:rPr>
                <w:sz w:val="22"/>
                <w:szCs w:val="22"/>
              </w:rPr>
            </w:pPr>
            <w:r w:rsidRPr="00DE4D42">
              <w:rPr>
                <w:sz w:val="22"/>
                <w:szCs w:val="22"/>
              </w:rPr>
              <w:t>Failure of Electric Distribution</w:t>
            </w:r>
          </w:p>
          <w:p w:rsidRPr="00DE4D42" w:rsidR="00917A11" w:rsidP="003E0C34" w:rsidRDefault="00917A11" w14:paraId="16D3AEFE" w14:textId="77777777">
            <w:pPr>
              <w:pStyle w:val="Standard"/>
              <w:spacing w:line="240" w:lineRule="auto"/>
              <w:ind w:firstLine="0"/>
              <w:jc w:val="center"/>
              <w:rPr>
                <w:sz w:val="22"/>
                <w:szCs w:val="22"/>
              </w:rPr>
            </w:pPr>
            <w:r w:rsidRPr="00DE4D42">
              <w:rPr>
                <w:sz w:val="22"/>
                <w:szCs w:val="22"/>
              </w:rPr>
              <w:t>Overhead Assets</w:t>
            </w:r>
          </w:p>
        </w:tc>
      </w:tr>
      <w:tr w:rsidRPr="002B1A1C" w:rsidR="00917A11" w:rsidTr="003E0C34" w14:paraId="18216624" w14:textId="77777777">
        <w:trPr>
          <w:trHeight w:val="437"/>
        </w:trPr>
        <w:tc>
          <w:tcPr>
            <w:tcW w:w="4517" w:type="dxa"/>
            <w:vAlign w:val="center"/>
          </w:tcPr>
          <w:p w:rsidRPr="00DE4D42" w:rsidR="00917A11" w:rsidP="003E0C34" w:rsidRDefault="00917A11" w14:paraId="0E694791" w14:textId="77777777">
            <w:pPr>
              <w:pStyle w:val="Standard"/>
              <w:spacing w:line="240" w:lineRule="auto"/>
              <w:ind w:firstLine="0"/>
              <w:jc w:val="center"/>
              <w:rPr>
                <w:sz w:val="22"/>
                <w:szCs w:val="22"/>
              </w:rPr>
            </w:pPr>
            <w:r w:rsidRPr="00DE4D42">
              <w:rPr>
                <w:sz w:val="22"/>
                <w:szCs w:val="22"/>
              </w:rPr>
              <w:t>Safe Dam Operating Capacity</w:t>
            </w:r>
          </w:p>
        </w:tc>
        <w:tc>
          <w:tcPr>
            <w:tcW w:w="4519" w:type="dxa"/>
            <w:vAlign w:val="center"/>
          </w:tcPr>
          <w:p w:rsidRPr="00DE4D42" w:rsidR="00917A11" w:rsidP="003E0C34" w:rsidRDefault="00917A11" w14:paraId="77EB4776" w14:textId="77777777">
            <w:pPr>
              <w:pStyle w:val="Standard"/>
              <w:spacing w:line="240" w:lineRule="auto"/>
              <w:ind w:firstLine="0"/>
              <w:jc w:val="center"/>
              <w:rPr>
                <w:sz w:val="22"/>
                <w:szCs w:val="22"/>
              </w:rPr>
            </w:pPr>
            <w:r w:rsidRPr="00DE4D42">
              <w:rPr>
                <w:sz w:val="22"/>
                <w:szCs w:val="22"/>
              </w:rPr>
              <w:t>Large Uncontrolled Water Release</w:t>
            </w:r>
          </w:p>
        </w:tc>
      </w:tr>
      <w:tr w:rsidRPr="002B1A1C" w:rsidR="00917A11" w:rsidTr="003E0C34" w14:paraId="6C03C1E7" w14:textId="77777777">
        <w:trPr>
          <w:trHeight w:val="437"/>
        </w:trPr>
        <w:tc>
          <w:tcPr>
            <w:tcW w:w="4517" w:type="dxa"/>
            <w:vAlign w:val="center"/>
          </w:tcPr>
          <w:p w:rsidRPr="00DE4D42" w:rsidR="00917A11" w:rsidP="003E0C34" w:rsidRDefault="00917A11" w14:paraId="545838B0" w14:textId="77777777">
            <w:pPr>
              <w:pStyle w:val="Standard"/>
              <w:spacing w:line="240" w:lineRule="auto"/>
              <w:ind w:firstLine="0"/>
              <w:jc w:val="center"/>
              <w:rPr>
                <w:sz w:val="22"/>
                <w:szCs w:val="22"/>
              </w:rPr>
            </w:pPr>
            <w:r w:rsidRPr="00DE4D42">
              <w:rPr>
                <w:sz w:val="22"/>
                <w:szCs w:val="22"/>
              </w:rPr>
              <w:t>DCPP Reliability &amp; Safety Indicator</w:t>
            </w:r>
          </w:p>
        </w:tc>
        <w:tc>
          <w:tcPr>
            <w:tcW w:w="4519" w:type="dxa"/>
            <w:vAlign w:val="center"/>
          </w:tcPr>
          <w:p w:rsidRPr="00DE4D42" w:rsidR="00917A11" w:rsidP="003E0C34" w:rsidRDefault="00917A11" w14:paraId="578387F6" w14:textId="77777777">
            <w:pPr>
              <w:pStyle w:val="Standard"/>
              <w:spacing w:line="240" w:lineRule="auto"/>
              <w:ind w:firstLine="0"/>
              <w:jc w:val="center"/>
              <w:rPr>
                <w:sz w:val="22"/>
                <w:szCs w:val="22"/>
              </w:rPr>
            </w:pPr>
            <w:r w:rsidRPr="00DE4D42">
              <w:rPr>
                <w:sz w:val="22"/>
                <w:szCs w:val="22"/>
              </w:rPr>
              <w:t>Nuclear Core Damaging Event</w:t>
            </w:r>
          </w:p>
        </w:tc>
      </w:tr>
      <w:tr w:rsidRPr="002B1A1C" w:rsidR="00917A11" w:rsidTr="003E0C34" w14:paraId="6DB2A545" w14:textId="77777777">
        <w:trPr>
          <w:trHeight w:val="716"/>
        </w:trPr>
        <w:tc>
          <w:tcPr>
            <w:tcW w:w="4517" w:type="dxa"/>
            <w:vAlign w:val="center"/>
          </w:tcPr>
          <w:p w:rsidRPr="00DE4D42" w:rsidR="00917A11" w:rsidP="003E0C34" w:rsidRDefault="00917A11" w14:paraId="6732BD71" w14:textId="77777777">
            <w:pPr>
              <w:pStyle w:val="Standard"/>
              <w:spacing w:line="240" w:lineRule="auto"/>
              <w:ind w:firstLine="0"/>
              <w:jc w:val="center"/>
              <w:rPr>
                <w:sz w:val="22"/>
                <w:szCs w:val="22"/>
              </w:rPr>
            </w:pPr>
            <w:r w:rsidRPr="00DE4D42">
              <w:rPr>
                <w:sz w:val="22"/>
                <w:szCs w:val="22"/>
              </w:rPr>
              <w:t>System Average Interruption Duration Index (SAIDI) (Unplanned)</w:t>
            </w:r>
          </w:p>
        </w:tc>
        <w:tc>
          <w:tcPr>
            <w:tcW w:w="4519" w:type="dxa"/>
            <w:vAlign w:val="center"/>
          </w:tcPr>
          <w:p w:rsidRPr="00DE4D42" w:rsidR="00917A11" w:rsidP="003E0C34" w:rsidRDefault="00917A11" w14:paraId="209A8214" w14:textId="77777777">
            <w:pPr>
              <w:pStyle w:val="Standard"/>
              <w:spacing w:line="240" w:lineRule="auto"/>
              <w:ind w:firstLine="0"/>
              <w:jc w:val="center"/>
              <w:rPr>
                <w:sz w:val="22"/>
                <w:szCs w:val="22"/>
              </w:rPr>
            </w:pPr>
            <w:r w:rsidRPr="00DE4D42">
              <w:rPr>
                <w:sz w:val="22"/>
                <w:szCs w:val="22"/>
              </w:rPr>
              <w:t>Failure of Electric Distribution</w:t>
            </w:r>
          </w:p>
          <w:p w:rsidRPr="00DE4D42" w:rsidR="00917A11" w:rsidP="003E0C34" w:rsidRDefault="00917A11" w14:paraId="627CED90" w14:textId="77777777">
            <w:pPr>
              <w:pStyle w:val="Standard"/>
              <w:spacing w:line="240" w:lineRule="auto"/>
              <w:ind w:firstLine="0"/>
              <w:jc w:val="center"/>
              <w:rPr>
                <w:sz w:val="22"/>
                <w:szCs w:val="22"/>
              </w:rPr>
            </w:pPr>
            <w:r w:rsidRPr="00DE4D42">
              <w:rPr>
                <w:sz w:val="22"/>
                <w:szCs w:val="22"/>
              </w:rPr>
              <w:t>Overhead Assets</w:t>
            </w:r>
          </w:p>
        </w:tc>
      </w:tr>
      <w:tr w:rsidRPr="002B1A1C" w:rsidR="00917A11" w:rsidTr="003E0C34" w14:paraId="5B3B48F3" w14:textId="77777777">
        <w:trPr>
          <w:trHeight w:val="532"/>
        </w:trPr>
        <w:tc>
          <w:tcPr>
            <w:tcW w:w="4517" w:type="dxa"/>
            <w:vAlign w:val="center"/>
          </w:tcPr>
          <w:p w:rsidRPr="00DE4D42" w:rsidR="00917A11" w:rsidP="003E0C34" w:rsidRDefault="00917A11" w14:paraId="797B40D9" w14:textId="77777777">
            <w:pPr>
              <w:pStyle w:val="Standard"/>
              <w:keepNext/>
              <w:spacing w:line="240" w:lineRule="auto"/>
              <w:ind w:firstLine="0"/>
              <w:jc w:val="center"/>
              <w:rPr>
                <w:sz w:val="22"/>
                <w:szCs w:val="22"/>
              </w:rPr>
            </w:pPr>
            <w:r w:rsidRPr="00DE4D42">
              <w:rPr>
                <w:sz w:val="22"/>
                <w:szCs w:val="22"/>
              </w:rPr>
              <w:t>Average Speed of Answer for Emergencies</w:t>
            </w:r>
          </w:p>
        </w:tc>
        <w:tc>
          <w:tcPr>
            <w:tcW w:w="4519" w:type="dxa"/>
            <w:vAlign w:val="center"/>
          </w:tcPr>
          <w:p w:rsidRPr="00DE4D42" w:rsidR="00917A11" w:rsidP="003E0C34" w:rsidRDefault="00917A11" w14:paraId="0873BD8C" w14:textId="77777777">
            <w:pPr>
              <w:pStyle w:val="Standard"/>
              <w:keepNext/>
              <w:spacing w:line="240" w:lineRule="auto"/>
              <w:ind w:firstLine="0"/>
              <w:jc w:val="center"/>
              <w:rPr>
                <w:sz w:val="22"/>
                <w:szCs w:val="22"/>
              </w:rPr>
            </w:pPr>
            <w:r w:rsidRPr="00DE4D42">
              <w:rPr>
                <w:sz w:val="22"/>
                <w:szCs w:val="22"/>
              </w:rPr>
              <w:t>Multiple Risks</w:t>
            </w:r>
          </w:p>
        </w:tc>
      </w:tr>
      <w:tr w:rsidRPr="002B1A1C" w:rsidR="00917A11" w:rsidTr="003E0C34" w14:paraId="0536F95A" w14:textId="77777777">
        <w:trPr>
          <w:trHeight w:val="251"/>
        </w:trPr>
        <w:tc>
          <w:tcPr>
            <w:tcW w:w="4517" w:type="dxa"/>
            <w:vAlign w:val="center"/>
          </w:tcPr>
          <w:p w:rsidRPr="00DE4D42" w:rsidR="00917A11" w:rsidP="003E0C34" w:rsidRDefault="00917A11" w14:paraId="0C6A68C0" w14:textId="77777777">
            <w:pPr>
              <w:pStyle w:val="Standard"/>
              <w:keepNext/>
              <w:spacing w:line="240" w:lineRule="auto"/>
              <w:ind w:firstLine="0"/>
              <w:jc w:val="center"/>
              <w:rPr>
                <w:sz w:val="22"/>
                <w:szCs w:val="22"/>
              </w:rPr>
            </w:pPr>
            <w:r w:rsidRPr="00DE4D42">
              <w:rPr>
                <w:sz w:val="22"/>
                <w:szCs w:val="22"/>
              </w:rPr>
              <w:t>Public Safety</w:t>
            </w:r>
            <w:r w:rsidRPr="00DE4D42">
              <w:rPr>
                <w:rStyle w:val="FootnoteReference"/>
                <w:sz w:val="22"/>
                <w:szCs w:val="22"/>
              </w:rPr>
              <w:footnoteReference w:id="81"/>
            </w:r>
          </w:p>
        </w:tc>
        <w:tc>
          <w:tcPr>
            <w:tcW w:w="4519" w:type="dxa"/>
            <w:vAlign w:val="center"/>
          </w:tcPr>
          <w:p w:rsidRPr="00DE4D42" w:rsidR="00917A11" w:rsidP="003E0C34" w:rsidRDefault="00917A11" w14:paraId="69413263" w14:textId="77777777">
            <w:pPr>
              <w:pStyle w:val="Standard"/>
              <w:keepNext/>
              <w:spacing w:line="240" w:lineRule="auto"/>
              <w:ind w:firstLine="0"/>
              <w:jc w:val="center"/>
              <w:rPr>
                <w:sz w:val="22"/>
                <w:szCs w:val="22"/>
              </w:rPr>
            </w:pPr>
            <w:r w:rsidRPr="00DE4D42">
              <w:rPr>
                <w:sz w:val="22"/>
                <w:szCs w:val="22"/>
              </w:rPr>
              <w:t>Multiple Risks</w:t>
            </w:r>
          </w:p>
        </w:tc>
      </w:tr>
    </w:tbl>
    <w:p w:rsidR="00071386" w:rsidP="00DE4D42" w:rsidRDefault="00071386" w14:paraId="26D8CC45" w14:textId="0A8C78C0">
      <w:pPr>
        <w:pStyle w:val="Standard"/>
      </w:pPr>
      <w:r>
        <w:lastRenderedPageBreak/>
        <w:t xml:space="preserve">PG&amp;E states that its </w:t>
      </w:r>
      <w:r w:rsidR="00863B16">
        <w:t>propose</w:t>
      </w:r>
      <w:r w:rsidR="005E3AEA">
        <w:t>d</w:t>
      </w:r>
      <w:r>
        <w:t xml:space="preserve"> SOMs </w:t>
      </w:r>
      <w:r w:rsidR="00DF32B6">
        <w:t>address its most significant safety and reliability risks, prominently figure “leading metrics,”</w:t>
      </w:r>
      <w:r w:rsidR="00DF32B6">
        <w:rPr>
          <w:rStyle w:val="FootnoteReference"/>
        </w:rPr>
        <w:footnoteReference w:id="82"/>
      </w:r>
      <w:r w:rsidR="008F0B44">
        <w:t xml:space="preserve"> </w:t>
      </w:r>
      <w:r w:rsidRPr="008F0B44" w:rsidR="008F0B44">
        <w:t>rely on objective data, are outcome-based, and measure factors that are primarily within the utility’s control</w:t>
      </w:r>
      <w:r w:rsidR="00225B12">
        <w:t xml:space="preserve">.  PG&amp;E states that its </w:t>
      </w:r>
      <w:r w:rsidRPr="00DE4D42" w:rsidR="00225B12">
        <w:t>proposed</w:t>
      </w:r>
      <w:r w:rsidR="00225B12">
        <w:t xml:space="preserve"> SOMs can </w:t>
      </w:r>
      <w:r w:rsidRPr="00050351" w:rsidR="00050351">
        <w:t>be benchmarked, to the extent practical, against and used by other utilities</w:t>
      </w:r>
      <w:r w:rsidR="00225B12">
        <w:t xml:space="preserve"> </w:t>
      </w:r>
      <w:r w:rsidR="00050351">
        <w:t>and</w:t>
      </w:r>
      <w:r w:rsidR="00225B12">
        <w:t xml:space="preserve"> can be used to</w:t>
      </w:r>
      <w:r w:rsidR="00050351">
        <w:t xml:space="preserve"> </w:t>
      </w:r>
      <w:r w:rsidRPr="00050351" w:rsidR="00050351">
        <w:t>track “</w:t>
      </w:r>
      <w:r w:rsidRPr="00775D74" w:rsidR="00050351">
        <w:t>quality of service and quality of management” issues</w:t>
      </w:r>
      <w:r w:rsidRPr="00775D74" w:rsidR="0043541D">
        <w:t>.</w:t>
      </w:r>
      <w:r w:rsidRPr="00775D74" w:rsidR="0043541D">
        <w:rPr>
          <w:rStyle w:val="FootnoteReference"/>
        </w:rPr>
        <w:footnoteReference w:id="83"/>
      </w:r>
    </w:p>
    <w:p w:rsidR="002B2782" w:rsidP="002B2782" w:rsidRDefault="001638F6" w14:paraId="4AE183D4" w14:textId="141DD179">
      <w:pPr>
        <w:pStyle w:val="Heading3"/>
      </w:pPr>
      <w:bookmarkStart w:name="_Toc80890875" w:id="83"/>
      <w:bookmarkStart w:name="_Toc87361175" w:id="84"/>
      <w:r w:rsidRPr="00775D74">
        <w:t>10.</w:t>
      </w:r>
      <w:r w:rsidRPr="00775D74" w:rsidR="00F93919">
        <w:t>3.1</w:t>
      </w:r>
      <w:r w:rsidRPr="00775D74">
        <w:tab/>
      </w:r>
      <w:r w:rsidRPr="00775D74" w:rsidR="002B2782">
        <w:t xml:space="preserve">Party Comments on PG&amp;E’s </w:t>
      </w:r>
      <w:r w:rsidRPr="00775D74" w:rsidR="00DE4D42">
        <w:br/>
      </w:r>
      <w:r w:rsidRPr="00775D74" w:rsidR="002B2782">
        <w:t>Proposed SOMs</w:t>
      </w:r>
      <w:bookmarkEnd w:id="83"/>
      <w:bookmarkEnd w:id="84"/>
    </w:p>
    <w:p w:rsidR="005A37B6" w:rsidP="00767508" w:rsidRDefault="007F0723" w14:paraId="3ADE2751" w14:textId="7C182FC8">
      <w:pPr>
        <w:pStyle w:val="Standard"/>
      </w:pPr>
      <w:r>
        <w:t>In comments on January 25, 2021, March 1, 2021 and during the January</w:t>
      </w:r>
      <w:r w:rsidR="00A80561">
        <w:t> </w:t>
      </w:r>
      <w:r>
        <w:t>28,</w:t>
      </w:r>
      <w:r w:rsidR="00A80561">
        <w:t> </w:t>
      </w:r>
      <w:r>
        <w:t>2021 workshop, p</w:t>
      </w:r>
      <w:r w:rsidR="00C529EC">
        <w:t xml:space="preserve">arties </w:t>
      </w:r>
      <w:r>
        <w:t xml:space="preserve">and Staff </w:t>
      </w:r>
      <w:r w:rsidR="007F17B4">
        <w:t>indicate</w:t>
      </w:r>
      <w:r w:rsidR="00B00433">
        <w:t xml:space="preserve"> </w:t>
      </w:r>
      <w:r w:rsidR="00C529EC">
        <w:t xml:space="preserve">a variety of concerns with PG&amp;E’s </w:t>
      </w:r>
      <w:r w:rsidRPr="007F0723" w:rsidR="00C529EC">
        <w:t>proposed SOMs.  MGRA state</w:t>
      </w:r>
      <w:r w:rsidRPr="007F0723" w:rsidR="00BB4E82">
        <w:t>s</w:t>
      </w:r>
      <w:r w:rsidRPr="007F0723" w:rsidR="00C529EC">
        <w:t xml:space="preserve"> that </w:t>
      </w:r>
      <w:r w:rsidRPr="007F0723" w:rsidR="004606A4">
        <w:t>“the proposed SOM metrics do not lend themselves to being used as triggering events for the [EOE] Process – in fact one of them (wildfire ignitions) would create a perverse incentive to overuse</w:t>
      </w:r>
      <w:r w:rsidRPr="004606A4" w:rsidR="004606A4">
        <w:t xml:space="preserve"> PSPS if used as a triggering event</w:t>
      </w:r>
      <w:r w:rsidR="00BB4E82">
        <w:t>.</w:t>
      </w:r>
      <w:r w:rsidR="004606A4">
        <w:t>”</w:t>
      </w:r>
      <w:r w:rsidR="00BB4E82">
        <w:rPr>
          <w:rStyle w:val="FootnoteReference"/>
        </w:rPr>
        <w:footnoteReference w:id="84"/>
      </w:r>
      <w:r w:rsidR="00BB4E82">
        <w:t xml:space="preserve"> </w:t>
      </w:r>
      <w:r>
        <w:t xml:space="preserve"> </w:t>
      </w:r>
      <w:r w:rsidR="00BB4E82">
        <w:t xml:space="preserve">MGRA </w:t>
      </w:r>
      <w:r>
        <w:t xml:space="preserve">further </w:t>
      </w:r>
      <w:r w:rsidR="00BB4E82">
        <w:t>states that n</w:t>
      </w:r>
      <w:r w:rsidRPr="00BB4E82" w:rsidR="00BB4E82">
        <w:t xml:space="preserve">one of PG&amp;E’s proposed metrics </w:t>
      </w:r>
      <w:r w:rsidR="006D01EC">
        <w:t xml:space="preserve">constitute </w:t>
      </w:r>
      <w:r w:rsidRPr="00BB4E82" w:rsidR="00BB4E82">
        <w:t>an accurate gauge to measure changes in utility wildfire risk over time</w:t>
      </w:r>
      <w:r w:rsidR="00BB4E82">
        <w:t xml:space="preserve"> </w:t>
      </w:r>
      <w:r>
        <w:t>or</w:t>
      </w:r>
      <w:r w:rsidR="00BB4E82">
        <w:t xml:space="preserve"> </w:t>
      </w:r>
      <w:r w:rsidRPr="00BB4E82" w:rsidR="00BB4E82">
        <w:t xml:space="preserve">adequately address PSPS risk. </w:t>
      </w:r>
      <w:r w:rsidR="004E053D">
        <w:t xml:space="preserve"> TURN, Cal Advocates, </w:t>
      </w:r>
      <w:r w:rsidR="00850799">
        <w:t xml:space="preserve">and </w:t>
      </w:r>
      <w:r w:rsidR="004E053D">
        <w:t>PCF</w:t>
      </w:r>
      <w:r w:rsidDel="005A37B6" w:rsidR="006D01EC">
        <w:t xml:space="preserve"> </w:t>
      </w:r>
      <w:r w:rsidR="004E053D">
        <w:t xml:space="preserve">propose </w:t>
      </w:r>
      <w:r w:rsidR="00850799">
        <w:t xml:space="preserve">modifications to </w:t>
      </w:r>
      <w:r w:rsidR="002D0416">
        <w:t xml:space="preserve">PG&amp;E’s proposal </w:t>
      </w:r>
      <w:r w:rsidR="00850799">
        <w:t xml:space="preserve">and </w:t>
      </w:r>
      <w:r w:rsidR="004E053D">
        <w:t>additional</w:t>
      </w:r>
      <w:r>
        <w:t xml:space="preserve"> SOMs</w:t>
      </w:r>
      <w:r w:rsidR="004E053D">
        <w:t xml:space="preserve">. </w:t>
      </w:r>
      <w:r w:rsidR="00AD4CC9">
        <w:t xml:space="preserve"> </w:t>
      </w:r>
    </w:p>
    <w:p w:rsidR="00D2340C" w:rsidP="00767508" w:rsidRDefault="00450890" w14:paraId="05230931" w14:textId="4FD9DE82">
      <w:pPr>
        <w:pStyle w:val="Standard"/>
      </w:pPr>
      <w:r w:rsidDel="005A37B6">
        <w:t>SCE</w:t>
      </w:r>
      <w:r w:rsidR="004866A5">
        <w:t xml:space="preserve"> and </w:t>
      </w:r>
      <w:r>
        <w:t>SDG&amp;E</w:t>
      </w:r>
      <w:r w:rsidR="004866A5">
        <w:t>/</w:t>
      </w:r>
      <w:r>
        <w:t>SoCalGas oppose applying any adopted SOMs to a utility other than PG&amp;E,</w:t>
      </w:r>
      <w:r w:rsidR="002D0416">
        <w:t xml:space="preserve"> observ</w:t>
      </w:r>
      <w:r>
        <w:t>ing that the EOE Process was adopted with respect to that utility only.</w:t>
      </w:r>
      <w:r w:rsidR="007F0723">
        <w:t xml:space="preserve">  </w:t>
      </w:r>
      <w:r w:rsidR="00167FED">
        <w:t>P</w:t>
      </w:r>
      <w:r w:rsidR="00B34893">
        <w:t xml:space="preserve">arties </w:t>
      </w:r>
      <w:r w:rsidR="00167FED">
        <w:t>voice</w:t>
      </w:r>
      <w:r w:rsidDel="00167FED" w:rsidR="00B34893">
        <w:t xml:space="preserve"> </w:t>
      </w:r>
      <w:r w:rsidR="00B34893">
        <w:t xml:space="preserve">concerns and recommendations with regards to </w:t>
      </w:r>
      <w:r w:rsidR="00942246">
        <w:t xml:space="preserve">the process and timing for </w:t>
      </w:r>
      <w:r w:rsidR="00B34893">
        <w:t>setting targets for PG&amp;E’s proposed SOMs</w:t>
      </w:r>
      <w:r w:rsidR="00942246">
        <w:t>.</w:t>
      </w:r>
    </w:p>
    <w:p w:rsidRPr="00D2340C" w:rsidR="005A37B6" w:rsidP="00767508" w:rsidRDefault="005A37B6" w14:paraId="63417156" w14:textId="4E1C0122">
      <w:pPr>
        <w:pStyle w:val="Standard"/>
      </w:pPr>
      <w:r>
        <w:lastRenderedPageBreak/>
        <w:t xml:space="preserve">In reply comments to the ALJ’s February 2, 2021 ruling, PG&amp;E urges the Commission not to adopt more than the 13 SOMs it proposed, stating that the EOE Process relies on many triggering events other than SOMs.  </w:t>
      </w:r>
    </w:p>
    <w:p w:rsidR="002B2782" w:rsidP="002B2782" w:rsidRDefault="00F93919" w14:paraId="7255B6F8" w14:textId="540552B1">
      <w:pPr>
        <w:pStyle w:val="Heading3"/>
      </w:pPr>
      <w:bookmarkStart w:name="_Toc80890876" w:id="85"/>
      <w:bookmarkStart w:name="_Toc87361176" w:id="86"/>
      <w:r>
        <w:t>10.3.2</w:t>
      </w:r>
      <w:r>
        <w:tab/>
      </w:r>
      <w:r w:rsidR="002B2782">
        <w:t>Discussion</w:t>
      </w:r>
      <w:bookmarkEnd w:id="85"/>
      <w:bookmarkEnd w:id="86"/>
    </w:p>
    <w:p w:rsidR="007F0723" w:rsidP="004F4A56" w:rsidRDefault="000920E9" w14:paraId="1EB59520" w14:textId="5355A5E2">
      <w:pPr>
        <w:pStyle w:val="Standard"/>
        <w:rPr>
          <w:iCs/>
        </w:rPr>
      </w:pPr>
      <w:r>
        <w:rPr>
          <w:iCs/>
        </w:rPr>
        <w:t xml:space="preserve">We do not adopt </w:t>
      </w:r>
      <w:r w:rsidR="003206A7">
        <w:rPr>
          <w:iCs/>
        </w:rPr>
        <w:t xml:space="preserve">PG&amp;E’s </w:t>
      </w:r>
      <w:r>
        <w:rPr>
          <w:iCs/>
        </w:rPr>
        <w:t xml:space="preserve">SOMs </w:t>
      </w:r>
      <w:r w:rsidR="009E6AFE">
        <w:rPr>
          <w:iCs/>
        </w:rPr>
        <w:t xml:space="preserve">Proposal as submitted. </w:t>
      </w:r>
      <w:r w:rsidR="00A80561">
        <w:rPr>
          <w:iCs/>
        </w:rPr>
        <w:t xml:space="preserve"> </w:t>
      </w:r>
      <w:r w:rsidR="003206A7">
        <w:rPr>
          <w:iCs/>
        </w:rPr>
        <w:t xml:space="preserve">However, we adopt many of </w:t>
      </w:r>
      <w:r w:rsidR="002D0416">
        <w:rPr>
          <w:iCs/>
        </w:rPr>
        <w:t xml:space="preserve">the </w:t>
      </w:r>
      <w:r w:rsidR="003206A7">
        <w:rPr>
          <w:iCs/>
        </w:rPr>
        <w:t>SOMs proposed by PG&amp;E</w:t>
      </w:r>
      <w:r w:rsidR="00CA14AE">
        <w:rPr>
          <w:iCs/>
        </w:rPr>
        <w:t>, some in modified format</w:t>
      </w:r>
      <w:r w:rsidR="00C611B4">
        <w:rPr>
          <w:iCs/>
        </w:rPr>
        <w:t xml:space="preserve">, </w:t>
      </w:r>
      <w:r w:rsidR="002D0416">
        <w:rPr>
          <w:iCs/>
        </w:rPr>
        <w:t xml:space="preserve">while adopting </w:t>
      </w:r>
      <w:r w:rsidR="00167FED">
        <w:rPr>
          <w:iCs/>
        </w:rPr>
        <w:t xml:space="preserve">the Staff SOMs Proposal, </w:t>
      </w:r>
      <w:r w:rsidR="002D0416">
        <w:rPr>
          <w:iCs/>
        </w:rPr>
        <w:t xml:space="preserve">modified as </w:t>
      </w:r>
      <w:r w:rsidR="00C611B4">
        <w:rPr>
          <w:iCs/>
        </w:rPr>
        <w:t>discussed below</w:t>
      </w:r>
      <w:r w:rsidR="00CA14AE">
        <w:rPr>
          <w:iCs/>
        </w:rPr>
        <w:t xml:space="preserve">.  </w:t>
      </w:r>
      <w:r w:rsidR="003206A7">
        <w:rPr>
          <w:iCs/>
        </w:rPr>
        <w:t xml:space="preserve">Although PG&amp;E’s SOMs proposal contained many good elements, we </w:t>
      </w:r>
      <w:r w:rsidR="64BCAA46">
        <w:t xml:space="preserve">find </w:t>
      </w:r>
      <w:r w:rsidR="69F0169E">
        <w:t>it</w:t>
      </w:r>
      <w:r w:rsidR="003206A7">
        <w:rPr>
          <w:iCs/>
        </w:rPr>
        <w:t xml:space="preserve"> incomplete</w:t>
      </w:r>
      <w:r w:rsidR="00C179E4">
        <w:rPr>
          <w:iCs/>
        </w:rPr>
        <w:t xml:space="preserve">. </w:t>
      </w:r>
      <w:r w:rsidR="00A80561">
        <w:rPr>
          <w:iCs/>
        </w:rPr>
        <w:t xml:space="preserve"> </w:t>
      </w:r>
      <w:r w:rsidR="00C179E4">
        <w:rPr>
          <w:iCs/>
        </w:rPr>
        <w:t>The Staff Proposal we modify and adopt in section</w:t>
      </w:r>
      <w:r w:rsidR="00F85331">
        <w:rPr>
          <w:iCs/>
        </w:rPr>
        <w:t xml:space="preserve">s 10.4. and 10.5 </w:t>
      </w:r>
      <w:r w:rsidR="00C179E4">
        <w:rPr>
          <w:iCs/>
        </w:rPr>
        <w:t>contains additional SOMs to those proposed by PG&amp;E</w:t>
      </w:r>
      <w:r w:rsidR="007F2695">
        <w:rPr>
          <w:iCs/>
        </w:rPr>
        <w:t xml:space="preserve"> </w:t>
      </w:r>
      <w:r w:rsidR="002D0416">
        <w:rPr>
          <w:iCs/>
        </w:rPr>
        <w:t xml:space="preserve">that </w:t>
      </w:r>
      <w:r w:rsidR="007F2695">
        <w:rPr>
          <w:iCs/>
        </w:rPr>
        <w:t>address important safety areas</w:t>
      </w:r>
      <w:r w:rsidR="00C179E4">
        <w:rPr>
          <w:iCs/>
        </w:rPr>
        <w:t xml:space="preserve">. </w:t>
      </w:r>
      <w:r w:rsidR="003B7B6D">
        <w:rPr>
          <w:iCs/>
        </w:rPr>
        <w:t xml:space="preserve"> </w:t>
      </w:r>
    </w:p>
    <w:p w:rsidR="007F0723" w:rsidP="004F4A56" w:rsidRDefault="00C179E4" w14:paraId="619F02AF" w14:textId="7FAD602F">
      <w:pPr>
        <w:pStyle w:val="Standard"/>
        <w:rPr>
          <w:iCs/>
        </w:rPr>
      </w:pPr>
      <w:r>
        <w:rPr>
          <w:iCs/>
        </w:rPr>
        <w:t>W</w:t>
      </w:r>
      <w:r w:rsidR="007F0723">
        <w:rPr>
          <w:iCs/>
        </w:rPr>
        <w:t>e agree with SCE</w:t>
      </w:r>
      <w:r w:rsidR="00820312">
        <w:rPr>
          <w:iCs/>
        </w:rPr>
        <w:t xml:space="preserve"> and </w:t>
      </w:r>
      <w:r w:rsidR="00C34EF0">
        <w:rPr>
          <w:iCs/>
        </w:rPr>
        <w:t>SDG&amp;E/</w:t>
      </w:r>
      <w:r w:rsidR="007F0723">
        <w:rPr>
          <w:iCs/>
        </w:rPr>
        <w:t>SoCalGas that</w:t>
      </w:r>
      <w:r w:rsidR="009035C1">
        <w:rPr>
          <w:iCs/>
        </w:rPr>
        <w:t xml:space="preserve">, at this stage, the </w:t>
      </w:r>
      <w:r w:rsidR="007F0723">
        <w:rPr>
          <w:iCs/>
        </w:rPr>
        <w:t>Commission should only adopt SOMs that apply to PG&amp;E for the purposes identified in D.20-05-053.  Instead</w:t>
      </w:r>
      <w:r w:rsidR="00F948D9">
        <w:rPr>
          <w:iCs/>
        </w:rPr>
        <w:t>,</w:t>
      </w:r>
      <w:r w:rsidR="009035C1">
        <w:rPr>
          <w:iCs/>
        </w:rPr>
        <w:t xml:space="preserve"> </w:t>
      </w:r>
      <w:r w:rsidR="00851A06">
        <w:rPr>
          <w:iCs/>
        </w:rPr>
        <w:t xml:space="preserve">this decision later </w:t>
      </w:r>
      <w:r w:rsidR="007F0723">
        <w:rPr>
          <w:iCs/>
        </w:rPr>
        <w:t>adopt</w:t>
      </w:r>
      <w:r w:rsidR="00851A06">
        <w:rPr>
          <w:iCs/>
        </w:rPr>
        <w:t>s</w:t>
      </w:r>
      <w:r w:rsidR="007F0723">
        <w:rPr>
          <w:iCs/>
        </w:rPr>
        <w:t xml:space="preserve"> an expanded set of SPMs to apply to all IOUs.  </w:t>
      </w:r>
    </w:p>
    <w:p w:rsidR="00013024" w:rsidP="00321945" w:rsidRDefault="00F93919" w14:paraId="7878C419" w14:textId="24A2B430">
      <w:pPr>
        <w:pStyle w:val="Heading2"/>
      </w:pPr>
      <w:bookmarkStart w:name="_Toc80890877" w:id="87"/>
      <w:bookmarkStart w:name="_Toc87361177" w:id="88"/>
      <w:r>
        <w:t>10.4</w:t>
      </w:r>
      <w:r>
        <w:tab/>
      </w:r>
      <w:r w:rsidR="00013024">
        <w:t>Staff</w:t>
      </w:r>
      <w:r w:rsidR="00093367">
        <w:t xml:space="preserve">’s </w:t>
      </w:r>
      <w:r w:rsidR="00DF7900">
        <w:t>High Level</w:t>
      </w:r>
      <w:r w:rsidR="001403AE">
        <w:t xml:space="preserve"> </w:t>
      </w:r>
      <w:r w:rsidR="00013024">
        <w:t>SOMs Proposal</w:t>
      </w:r>
      <w:bookmarkEnd w:id="87"/>
      <w:bookmarkEnd w:id="88"/>
    </w:p>
    <w:p w:rsidR="00CF09BB" w:rsidP="004F4A56" w:rsidRDefault="00CF09BB" w14:paraId="370C9C1C" w14:textId="05A4704D">
      <w:pPr>
        <w:pStyle w:val="Standard"/>
        <w:rPr>
          <w:iCs/>
        </w:rPr>
      </w:pPr>
      <w:r w:rsidRPr="00F91683">
        <w:rPr>
          <w:iCs/>
        </w:rPr>
        <w:t>On April 22, 2021, Staff circulated a Draft Staff Proposal</w:t>
      </w:r>
      <w:r>
        <w:rPr>
          <w:iCs/>
        </w:rPr>
        <w:t xml:space="preserve"> on SOMs</w:t>
      </w:r>
      <w:r w:rsidRPr="00F91683">
        <w:rPr>
          <w:iCs/>
        </w:rPr>
        <w:t xml:space="preserve"> and requested informal comments from </w:t>
      </w:r>
      <w:r>
        <w:rPr>
          <w:iCs/>
        </w:rPr>
        <w:t>Track 2 working group members</w:t>
      </w:r>
      <w:r w:rsidRPr="00F91683">
        <w:rPr>
          <w:iCs/>
        </w:rPr>
        <w:t xml:space="preserve">.  The Draft Staff Proposal proposed a </w:t>
      </w:r>
      <w:r w:rsidR="00561CF7">
        <w:rPr>
          <w:iCs/>
        </w:rPr>
        <w:t xml:space="preserve">broader set of </w:t>
      </w:r>
      <w:r w:rsidRPr="00F91683">
        <w:rPr>
          <w:iCs/>
        </w:rPr>
        <w:t xml:space="preserve">SOMs </w:t>
      </w:r>
      <w:r w:rsidR="00561CF7">
        <w:rPr>
          <w:iCs/>
        </w:rPr>
        <w:t>than proposed by PG&amp;E</w:t>
      </w:r>
      <w:r>
        <w:rPr>
          <w:iCs/>
        </w:rPr>
        <w:t xml:space="preserve">.  </w:t>
      </w:r>
      <w:r w:rsidRPr="00082BE5" w:rsidR="00082BE5">
        <w:rPr>
          <w:iCs/>
        </w:rPr>
        <w:t>On May 4, 2021</w:t>
      </w:r>
      <w:r w:rsidR="00A80561">
        <w:rPr>
          <w:iCs/>
        </w:rPr>
        <w:t>,</w:t>
      </w:r>
      <w:r w:rsidRPr="00082BE5" w:rsidR="00082BE5">
        <w:rPr>
          <w:iCs/>
        </w:rPr>
        <w:t xml:space="preserve"> </w:t>
      </w:r>
      <w:r w:rsidR="00ED392B">
        <w:rPr>
          <w:iCs/>
        </w:rPr>
        <w:t xml:space="preserve">Staff convened a </w:t>
      </w:r>
      <w:r w:rsidRPr="00082BE5" w:rsidR="00082BE5">
        <w:rPr>
          <w:iCs/>
        </w:rPr>
        <w:t xml:space="preserve">Track 2 </w:t>
      </w:r>
      <w:r w:rsidR="00ED392B">
        <w:rPr>
          <w:iCs/>
        </w:rPr>
        <w:t xml:space="preserve">working group meeting </w:t>
      </w:r>
      <w:r w:rsidRPr="00082BE5" w:rsidR="00082BE5">
        <w:rPr>
          <w:iCs/>
        </w:rPr>
        <w:t>to discuss the Draft Staff Proposal</w:t>
      </w:r>
      <w:r w:rsidR="00ED392B">
        <w:rPr>
          <w:iCs/>
        </w:rPr>
        <w:t xml:space="preserve"> </w:t>
      </w:r>
      <w:r w:rsidR="003630B7">
        <w:rPr>
          <w:iCs/>
        </w:rPr>
        <w:t>and</w:t>
      </w:r>
      <w:r w:rsidR="00DC068F">
        <w:rPr>
          <w:iCs/>
        </w:rPr>
        <w:t xml:space="preserve"> </w:t>
      </w:r>
      <w:r w:rsidRPr="00082BE5" w:rsidR="00082BE5">
        <w:rPr>
          <w:iCs/>
        </w:rPr>
        <w:t xml:space="preserve">requested informal </w:t>
      </w:r>
      <w:r w:rsidR="00ED392B">
        <w:rPr>
          <w:iCs/>
        </w:rPr>
        <w:t xml:space="preserve">written </w:t>
      </w:r>
      <w:r w:rsidRPr="00082BE5" w:rsidR="00082BE5">
        <w:rPr>
          <w:iCs/>
        </w:rPr>
        <w:t xml:space="preserve">comments from </w:t>
      </w:r>
      <w:r w:rsidR="00ED392B">
        <w:rPr>
          <w:iCs/>
        </w:rPr>
        <w:t xml:space="preserve">working group </w:t>
      </w:r>
      <w:r w:rsidRPr="00082BE5" w:rsidR="00082BE5">
        <w:rPr>
          <w:iCs/>
        </w:rPr>
        <w:t>members.  T</w:t>
      </w:r>
      <w:r w:rsidR="003630B7">
        <w:rPr>
          <w:iCs/>
        </w:rPr>
        <w:t xml:space="preserve">rack 2 working group </w:t>
      </w:r>
      <w:r w:rsidRPr="00082BE5" w:rsidR="00082BE5">
        <w:rPr>
          <w:iCs/>
        </w:rPr>
        <w:t xml:space="preserve">members </w:t>
      </w:r>
      <w:r w:rsidR="003630B7">
        <w:rPr>
          <w:iCs/>
        </w:rPr>
        <w:t xml:space="preserve">provided Staff with </w:t>
      </w:r>
      <w:r w:rsidRPr="00082BE5" w:rsidR="00082BE5">
        <w:rPr>
          <w:iCs/>
        </w:rPr>
        <w:t xml:space="preserve">informal </w:t>
      </w:r>
      <w:r w:rsidR="003630B7">
        <w:rPr>
          <w:iCs/>
        </w:rPr>
        <w:t xml:space="preserve">written </w:t>
      </w:r>
      <w:r w:rsidRPr="00082BE5" w:rsidR="00082BE5">
        <w:rPr>
          <w:iCs/>
        </w:rPr>
        <w:t xml:space="preserve">comments on the proposal on May 11, 2021. </w:t>
      </w:r>
      <w:r w:rsidR="003630B7">
        <w:rPr>
          <w:iCs/>
        </w:rPr>
        <w:t xml:space="preserve"> </w:t>
      </w:r>
    </w:p>
    <w:p w:rsidRPr="004B2414" w:rsidR="004B2414" w:rsidP="00A50DBA" w:rsidRDefault="004B2414" w14:paraId="1B649E70" w14:textId="51FFB7B3">
      <w:pPr>
        <w:pStyle w:val="Standard"/>
        <w:rPr>
          <w:iCs/>
        </w:rPr>
      </w:pPr>
      <w:r w:rsidRPr="004B2414">
        <w:rPr>
          <w:iCs/>
        </w:rPr>
        <w:t xml:space="preserve">On June 4, 2021, the ALJ issued </w:t>
      </w:r>
      <w:r w:rsidR="003A67B7">
        <w:rPr>
          <w:iCs/>
        </w:rPr>
        <w:t xml:space="preserve">a Staff Proposal for comment, including the following: </w:t>
      </w:r>
    </w:p>
    <w:p w:rsidRPr="004B2414" w:rsidR="004B2414" w:rsidP="00F33345" w:rsidRDefault="004B2414" w14:paraId="02B1AD1B" w14:textId="1A5B18E3">
      <w:pPr>
        <w:pStyle w:val="ListBullet"/>
        <w:ind w:left="1080" w:right="1440"/>
      </w:pPr>
      <w:bookmarkStart w:name="_Hlk82080542" w:id="89"/>
      <w:r w:rsidRPr="004B2414">
        <w:t>Appendix B:  Staff Proposal on Safety and Operational Metrics (Staff Track 2 Recommendations);</w:t>
      </w:r>
      <w:r w:rsidR="00A14A8C">
        <w:t xml:space="preserve"> and,</w:t>
      </w:r>
    </w:p>
    <w:p w:rsidR="004B2414" w:rsidP="00F33345" w:rsidRDefault="004B2414" w14:paraId="754A91B0" w14:textId="63689F88">
      <w:pPr>
        <w:pStyle w:val="ListBullet"/>
        <w:ind w:left="1080" w:right="1440"/>
      </w:pPr>
      <w:r w:rsidRPr="004B2414">
        <w:lastRenderedPageBreak/>
        <w:t>Appendix C:  Summary Table of Staff Proposed Safety and Operational Metrics (Staff SOMs Proposal)</w:t>
      </w:r>
      <w:r w:rsidR="00A14A8C">
        <w:t>.</w:t>
      </w:r>
    </w:p>
    <w:bookmarkEnd w:id="89"/>
    <w:p w:rsidR="00F948D9" w:rsidP="00E67206" w:rsidRDefault="00983850" w14:paraId="40364FBF" w14:textId="42A56D21">
      <w:pPr>
        <w:pStyle w:val="Standard"/>
        <w:rPr>
          <w:iCs/>
        </w:rPr>
      </w:pPr>
      <w:r>
        <w:t>This section discusses the Staff SOMs Proposal</w:t>
      </w:r>
      <w:r w:rsidR="005448E7">
        <w:t xml:space="preserve"> and party comments. </w:t>
      </w:r>
      <w:r w:rsidR="0011081E">
        <w:t xml:space="preserve"> </w:t>
      </w:r>
      <w:r w:rsidRPr="00F948D9" w:rsidR="00F948D9">
        <w:rPr>
          <w:iCs/>
        </w:rPr>
        <w:t xml:space="preserve">We start </w:t>
      </w:r>
      <w:r w:rsidR="005448E7">
        <w:rPr>
          <w:iCs/>
        </w:rPr>
        <w:t xml:space="preserve">by reviewing </w:t>
      </w:r>
      <w:r w:rsidRPr="00F948D9" w:rsidR="00F948D9">
        <w:rPr>
          <w:iCs/>
        </w:rPr>
        <w:t>Staff</w:t>
      </w:r>
      <w:r w:rsidR="005448E7">
        <w:rPr>
          <w:iCs/>
        </w:rPr>
        <w:t xml:space="preserve">’s proposed </w:t>
      </w:r>
      <w:r w:rsidR="000F39CB">
        <w:rPr>
          <w:iCs/>
        </w:rPr>
        <w:t>SOMs</w:t>
      </w:r>
      <w:r w:rsidR="002D0416">
        <w:rPr>
          <w:iCs/>
        </w:rPr>
        <w:t>’</w:t>
      </w:r>
      <w:r w:rsidR="000F39CB">
        <w:rPr>
          <w:iCs/>
        </w:rPr>
        <w:t xml:space="preserve"> assessment and </w:t>
      </w:r>
      <w:r w:rsidR="005448E7">
        <w:rPr>
          <w:iCs/>
        </w:rPr>
        <w:t xml:space="preserve">reporting requirements and party comments </w:t>
      </w:r>
      <w:r w:rsidR="000F39CB">
        <w:rPr>
          <w:iCs/>
        </w:rPr>
        <w:t>on these topics</w:t>
      </w:r>
      <w:r w:rsidR="003A2D91">
        <w:rPr>
          <w:iCs/>
        </w:rPr>
        <w:t>.  We adopt Staff’s proposed SOMs</w:t>
      </w:r>
      <w:r w:rsidR="002D0416">
        <w:rPr>
          <w:iCs/>
        </w:rPr>
        <w:t>’</w:t>
      </w:r>
      <w:r w:rsidR="003A2D91">
        <w:rPr>
          <w:iCs/>
        </w:rPr>
        <w:t xml:space="preserve"> </w:t>
      </w:r>
      <w:r w:rsidR="00435DE7">
        <w:rPr>
          <w:iCs/>
        </w:rPr>
        <w:t xml:space="preserve">assessment and </w:t>
      </w:r>
      <w:r w:rsidR="003A2D91">
        <w:rPr>
          <w:iCs/>
        </w:rPr>
        <w:t>reporting requirements in full</w:t>
      </w:r>
      <w:r w:rsidR="00B56BEB">
        <w:rPr>
          <w:iCs/>
        </w:rPr>
        <w:t>, with the exception that we require PG&amp;E to report its SOMs semi-annually (every six months) instead of annually</w:t>
      </w:r>
      <w:r w:rsidR="00475E7D">
        <w:rPr>
          <w:iCs/>
        </w:rPr>
        <w:t xml:space="preserve">.  We also </w:t>
      </w:r>
      <w:r w:rsidR="00F01064">
        <w:rPr>
          <w:iCs/>
        </w:rPr>
        <w:t>commit to one</w:t>
      </w:r>
      <w:r w:rsidDel="00C43C68" w:rsidR="00F01064">
        <w:rPr>
          <w:iCs/>
        </w:rPr>
        <w:t xml:space="preserve"> </w:t>
      </w:r>
      <w:r w:rsidR="00F01064">
        <w:rPr>
          <w:iCs/>
        </w:rPr>
        <w:t>independent third-party audit of PG&amp;E</w:t>
      </w:r>
      <w:r w:rsidR="00475E7D">
        <w:rPr>
          <w:iCs/>
        </w:rPr>
        <w:t xml:space="preserve">’s SOMs data collection and reporting methodologies in the next </w:t>
      </w:r>
      <w:r w:rsidR="0074784D">
        <w:rPr>
          <w:iCs/>
        </w:rPr>
        <w:t>three</w:t>
      </w:r>
      <w:r w:rsidR="00475E7D">
        <w:rPr>
          <w:iCs/>
        </w:rPr>
        <w:t xml:space="preserve"> years. </w:t>
      </w:r>
    </w:p>
    <w:p w:rsidR="00475E7D" w:rsidP="00E67206" w:rsidRDefault="00475E7D" w14:paraId="79BFF605" w14:textId="2891FACF">
      <w:pPr>
        <w:pStyle w:val="Standard"/>
      </w:pPr>
      <w:r>
        <w:rPr>
          <w:iCs/>
        </w:rPr>
        <w:t>Next</w:t>
      </w:r>
      <w:r w:rsidR="008E7CAC">
        <w:rPr>
          <w:iCs/>
        </w:rPr>
        <w:t xml:space="preserve">, </w:t>
      </w:r>
      <w:r>
        <w:rPr>
          <w:iCs/>
        </w:rPr>
        <w:t>we review each SOM proposed by Staff</w:t>
      </w:r>
      <w:r w:rsidR="00435DE7">
        <w:rPr>
          <w:iCs/>
        </w:rPr>
        <w:t>,</w:t>
      </w:r>
      <w:r>
        <w:rPr>
          <w:iCs/>
        </w:rPr>
        <w:t xml:space="preserve"> and party comments.  We </w:t>
      </w:r>
      <w:r w:rsidR="008E7CAC">
        <w:rPr>
          <w:iCs/>
        </w:rPr>
        <w:t xml:space="preserve">adopt </w:t>
      </w:r>
      <w:r w:rsidR="00150748">
        <w:rPr>
          <w:iCs/>
        </w:rPr>
        <w:t>3</w:t>
      </w:r>
      <w:r w:rsidR="0037113D">
        <w:rPr>
          <w:iCs/>
        </w:rPr>
        <w:t>2</w:t>
      </w:r>
      <w:r w:rsidR="008E7CAC">
        <w:rPr>
          <w:iCs/>
        </w:rPr>
        <w:t xml:space="preserve"> SOMs for application to PG&amp;E only.  </w:t>
      </w:r>
      <w:r w:rsidR="005A6CAD">
        <w:rPr>
          <w:iCs/>
        </w:rPr>
        <w:t>Our</w:t>
      </w:r>
      <w:r w:rsidR="00AD5035">
        <w:rPr>
          <w:iCs/>
        </w:rPr>
        <w:t xml:space="preserve"> final adopted SOMs </w:t>
      </w:r>
      <w:r w:rsidR="008232A3">
        <w:rPr>
          <w:iCs/>
        </w:rPr>
        <w:t>reflect</w:t>
      </w:r>
      <w:r w:rsidR="00AD5035">
        <w:rPr>
          <w:iCs/>
        </w:rPr>
        <w:t xml:space="preserve"> modifications, </w:t>
      </w:r>
      <w:r>
        <w:rPr>
          <w:iCs/>
        </w:rPr>
        <w:t>delet</w:t>
      </w:r>
      <w:r w:rsidR="00AD5035">
        <w:rPr>
          <w:iCs/>
        </w:rPr>
        <w:t xml:space="preserve">ions and additions to the Staff proposal based on party comments. </w:t>
      </w:r>
      <w:r w:rsidR="00193CB4">
        <w:rPr>
          <w:iCs/>
        </w:rPr>
        <w:t xml:space="preserve"> </w:t>
      </w:r>
      <w:r w:rsidR="00655088">
        <w:rPr>
          <w:iCs/>
        </w:rPr>
        <w:t>Appendix A to this decision provides a clean list of our adopted PG&amp;E SOMs.  Append</w:t>
      </w:r>
      <w:r w:rsidRPr="004E503E" w:rsidR="00655088">
        <w:rPr>
          <w:iCs/>
        </w:rPr>
        <w:t xml:space="preserve">ix </w:t>
      </w:r>
      <w:r w:rsidR="00682E8A">
        <w:rPr>
          <w:iCs/>
        </w:rPr>
        <w:t>E</w:t>
      </w:r>
      <w:r w:rsidRPr="004E503E" w:rsidR="00655088">
        <w:rPr>
          <w:iCs/>
        </w:rPr>
        <w:t xml:space="preserve"> to this</w:t>
      </w:r>
      <w:r w:rsidR="00655088">
        <w:rPr>
          <w:iCs/>
        </w:rPr>
        <w:t xml:space="preserve"> decision </w:t>
      </w:r>
      <w:r w:rsidR="008E7CAC">
        <w:rPr>
          <w:iCs/>
        </w:rPr>
        <w:t>provides a redlined version of the Staff Proposed SOMs, with t</w:t>
      </w:r>
      <w:r w:rsidR="00193CB4">
        <w:rPr>
          <w:iCs/>
        </w:rPr>
        <w:t xml:space="preserve">he </w:t>
      </w:r>
      <w:r w:rsidR="008E7CAC">
        <w:rPr>
          <w:iCs/>
        </w:rPr>
        <w:t xml:space="preserve">modifications, deletions, and additions </w:t>
      </w:r>
      <w:r w:rsidR="00193CB4">
        <w:rPr>
          <w:iCs/>
        </w:rPr>
        <w:t>to the Staff Proposal adopt</w:t>
      </w:r>
      <w:r w:rsidR="0074784D">
        <w:rPr>
          <w:iCs/>
        </w:rPr>
        <w:t>ed</w:t>
      </w:r>
      <w:r w:rsidR="00193CB4">
        <w:rPr>
          <w:iCs/>
        </w:rPr>
        <w:t xml:space="preserve"> here </w:t>
      </w:r>
      <w:r w:rsidR="008E7CAC">
        <w:rPr>
          <w:iCs/>
        </w:rPr>
        <w:t xml:space="preserve">indicated. </w:t>
      </w:r>
    </w:p>
    <w:p w:rsidRPr="004B2414" w:rsidR="00F948D9" w:rsidP="00F948D9" w:rsidRDefault="00F948D9" w14:paraId="105DE542" w14:textId="78163B25">
      <w:pPr>
        <w:pStyle w:val="Heading3"/>
      </w:pPr>
      <w:bookmarkStart w:name="_Toc80890878" w:id="90"/>
      <w:bookmarkStart w:name="_Toc87361178" w:id="91"/>
      <w:r>
        <w:t>10.4.1</w:t>
      </w:r>
      <w:r>
        <w:tab/>
      </w:r>
      <w:r w:rsidR="000203B5">
        <w:t xml:space="preserve">Staff’s </w:t>
      </w:r>
      <w:r w:rsidR="00D973E7">
        <w:t xml:space="preserve">General </w:t>
      </w:r>
      <w:r w:rsidR="000203B5">
        <w:t>Approach</w:t>
      </w:r>
      <w:bookmarkEnd w:id="90"/>
      <w:bookmarkEnd w:id="91"/>
    </w:p>
    <w:p w:rsidR="008A2786" w:rsidP="004F4A56" w:rsidRDefault="007B2442" w14:paraId="40D4167A" w14:textId="49CFFA69">
      <w:pPr>
        <w:pStyle w:val="Standard"/>
        <w:rPr>
          <w:iCs/>
        </w:rPr>
      </w:pPr>
      <w:r>
        <w:rPr>
          <w:iCs/>
        </w:rPr>
        <w:t xml:space="preserve">Staff </w:t>
      </w:r>
      <w:r w:rsidRPr="004F6B8E">
        <w:rPr>
          <w:iCs/>
        </w:rPr>
        <w:t xml:space="preserve">propose </w:t>
      </w:r>
      <w:r w:rsidRPr="004F6B8E">
        <w:t>4</w:t>
      </w:r>
      <w:r w:rsidR="006C42AA">
        <w:t>1</w:t>
      </w:r>
      <w:r w:rsidRPr="004F6B8E">
        <w:rPr>
          <w:iCs/>
        </w:rPr>
        <w:t xml:space="preserve"> new</w:t>
      </w:r>
      <w:r>
        <w:rPr>
          <w:iCs/>
        </w:rPr>
        <w:t xml:space="preserve"> SOMs </w:t>
      </w:r>
      <w:r w:rsidR="00193CB4">
        <w:rPr>
          <w:iCs/>
        </w:rPr>
        <w:t xml:space="preserve">for PG&amp;E </w:t>
      </w:r>
      <w:r>
        <w:rPr>
          <w:iCs/>
        </w:rPr>
        <w:t>in its Staff Track 2 Recommendations.</w:t>
      </w:r>
      <w:r w:rsidR="006C42AA">
        <w:rPr>
          <w:rStyle w:val="FootnoteReference"/>
          <w:iCs/>
        </w:rPr>
        <w:footnoteReference w:id="85"/>
      </w:r>
      <w:r>
        <w:rPr>
          <w:iCs/>
        </w:rPr>
        <w:t xml:space="preserve"> </w:t>
      </w:r>
      <w:r w:rsidR="008A2786">
        <w:rPr>
          <w:iCs/>
        </w:rPr>
        <w:t xml:space="preserve"> </w:t>
      </w:r>
      <w:r w:rsidRPr="008B143A" w:rsidR="008B143A">
        <w:rPr>
          <w:iCs/>
        </w:rPr>
        <w:t xml:space="preserve">Staff </w:t>
      </w:r>
      <w:r w:rsidR="008B143A">
        <w:rPr>
          <w:iCs/>
        </w:rPr>
        <w:t xml:space="preserve">indicate that </w:t>
      </w:r>
      <w:r w:rsidR="008A2786">
        <w:rPr>
          <w:iCs/>
        </w:rPr>
        <w:t>their</w:t>
      </w:r>
      <w:r w:rsidRPr="008B143A" w:rsidR="008B143A">
        <w:rPr>
          <w:iCs/>
        </w:rPr>
        <w:t xml:space="preserve"> proposed SOMs </w:t>
      </w:r>
      <w:r w:rsidR="008A2786">
        <w:rPr>
          <w:iCs/>
        </w:rPr>
        <w:t xml:space="preserve">are designed </w:t>
      </w:r>
      <w:r w:rsidRPr="008B143A" w:rsidR="008B143A">
        <w:rPr>
          <w:iCs/>
        </w:rPr>
        <w:t xml:space="preserve">to meet two primary objectives: </w:t>
      </w:r>
      <w:r w:rsidR="0096256D">
        <w:rPr>
          <w:iCs/>
        </w:rPr>
        <w:t xml:space="preserve"> </w:t>
      </w:r>
      <w:r w:rsidRPr="008B143A" w:rsidR="008B143A">
        <w:rPr>
          <w:iCs/>
        </w:rPr>
        <w:t xml:space="preserve">(1) </w:t>
      </w:r>
      <w:r w:rsidR="000601D9">
        <w:rPr>
          <w:iCs/>
        </w:rPr>
        <w:t>t</w:t>
      </w:r>
      <w:r w:rsidR="008A2786">
        <w:rPr>
          <w:iCs/>
        </w:rPr>
        <w:t xml:space="preserve">o be </w:t>
      </w:r>
      <w:r w:rsidRPr="008B143A" w:rsidR="008B143A">
        <w:rPr>
          <w:iCs/>
        </w:rPr>
        <w:t xml:space="preserve">suitable for use as </w:t>
      </w:r>
      <w:r w:rsidR="008A2786">
        <w:rPr>
          <w:iCs/>
        </w:rPr>
        <w:t>t</w:t>
      </w:r>
      <w:r w:rsidRPr="008B143A" w:rsidR="008B143A">
        <w:rPr>
          <w:iCs/>
        </w:rPr>
        <w:t xml:space="preserve">riggering </w:t>
      </w:r>
      <w:r w:rsidR="008A2786">
        <w:rPr>
          <w:iCs/>
        </w:rPr>
        <w:t>e</w:t>
      </w:r>
      <w:r w:rsidRPr="008B143A" w:rsidR="008B143A">
        <w:rPr>
          <w:iCs/>
        </w:rPr>
        <w:t xml:space="preserve">vents as specified in the EOE </w:t>
      </w:r>
      <w:r w:rsidR="008A2786">
        <w:rPr>
          <w:iCs/>
        </w:rPr>
        <w:t>P</w:t>
      </w:r>
      <w:r w:rsidRPr="008B143A" w:rsidR="008B143A">
        <w:rPr>
          <w:iCs/>
        </w:rPr>
        <w:t xml:space="preserve">rocess; and (2) </w:t>
      </w:r>
      <w:r w:rsidR="000601D9">
        <w:rPr>
          <w:iCs/>
        </w:rPr>
        <w:t>t</w:t>
      </w:r>
      <w:r w:rsidR="008A2786">
        <w:rPr>
          <w:iCs/>
        </w:rPr>
        <w:t>o</w:t>
      </w:r>
      <w:r w:rsidRPr="008B143A" w:rsidR="008B143A">
        <w:rPr>
          <w:iCs/>
        </w:rPr>
        <w:t xml:space="preserve"> be suitable, over time, for the Commission, intervenors, and the public to gauge the safety and operational performance of all gas and electric </w:t>
      </w:r>
      <w:r w:rsidRPr="00775D74" w:rsidR="008B143A">
        <w:rPr>
          <w:iCs/>
        </w:rPr>
        <w:t>IOUs.</w:t>
      </w:r>
      <w:r w:rsidRPr="00775D74" w:rsidR="008B143A">
        <w:rPr>
          <w:bCs/>
          <w:iCs/>
          <w:vertAlign w:val="superscript"/>
        </w:rPr>
        <w:footnoteReference w:id="86"/>
      </w:r>
      <w:r w:rsidRPr="00775D74" w:rsidR="008B143A">
        <w:rPr>
          <w:bCs/>
          <w:iCs/>
          <w:vertAlign w:val="superscript"/>
        </w:rPr>
        <w:t xml:space="preserve"> </w:t>
      </w:r>
      <w:r w:rsidRPr="00775D74" w:rsidR="00114BAF">
        <w:rPr>
          <w:bCs/>
          <w:iCs/>
          <w:vertAlign w:val="superscript"/>
        </w:rPr>
        <w:t xml:space="preserve"> </w:t>
      </w:r>
      <w:r w:rsidRPr="00775D74" w:rsidR="00F40AFC">
        <w:rPr>
          <w:iCs/>
        </w:rPr>
        <w:t>However</w:t>
      </w:r>
      <w:r w:rsidR="00F40AFC">
        <w:rPr>
          <w:iCs/>
        </w:rPr>
        <w:t>, S</w:t>
      </w:r>
      <w:r w:rsidRPr="008B143A" w:rsidR="008A2786">
        <w:rPr>
          <w:iCs/>
        </w:rPr>
        <w:t xml:space="preserve">taff </w:t>
      </w:r>
      <w:r w:rsidR="00C348FC">
        <w:rPr>
          <w:iCs/>
        </w:rPr>
        <w:t>propose</w:t>
      </w:r>
      <w:r w:rsidR="00477DD9">
        <w:rPr>
          <w:iCs/>
        </w:rPr>
        <w:t xml:space="preserve"> that the</w:t>
      </w:r>
      <w:r w:rsidR="00C348FC">
        <w:rPr>
          <w:iCs/>
        </w:rPr>
        <w:t xml:space="preserve"> </w:t>
      </w:r>
      <w:r w:rsidR="00C348FC">
        <w:rPr>
          <w:iCs/>
        </w:rPr>
        <w:lastRenderedPageBreak/>
        <w:t xml:space="preserve">SOMs apply exclusively to PG&amp;E </w:t>
      </w:r>
      <w:r w:rsidR="00477DD9">
        <w:rPr>
          <w:iCs/>
        </w:rPr>
        <w:t xml:space="preserve">at this time </w:t>
      </w:r>
      <w:r w:rsidR="0074784D">
        <w:rPr>
          <w:iCs/>
        </w:rPr>
        <w:t xml:space="preserve">for </w:t>
      </w:r>
      <w:r w:rsidRPr="008B143A" w:rsidR="008A2786">
        <w:rPr>
          <w:iCs/>
        </w:rPr>
        <w:t>the purpose of prompting PG&amp;E to improve its safety and operational performance</w:t>
      </w:r>
      <w:r w:rsidR="00F40AFC">
        <w:rPr>
          <w:iCs/>
        </w:rPr>
        <w:t>.</w:t>
      </w:r>
    </w:p>
    <w:p w:rsidR="00B34C9C" w:rsidP="004F4A56" w:rsidRDefault="008B143A" w14:paraId="2EE14C23" w14:textId="4C940EA3">
      <w:pPr>
        <w:pStyle w:val="Standard"/>
        <w:rPr>
          <w:iCs/>
        </w:rPr>
      </w:pPr>
      <w:r>
        <w:rPr>
          <w:iCs/>
        </w:rPr>
        <w:t xml:space="preserve">Staff’s </w:t>
      </w:r>
      <w:r w:rsidR="00E36D0D">
        <w:rPr>
          <w:iCs/>
        </w:rPr>
        <w:t xml:space="preserve">Track 2 Recommendations indicate that </w:t>
      </w:r>
      <w:r w:rsidRPr="008B143A">
        <w:rPr>
          <w:iCs/>
        </w:rPr>
        <w:t xml:space="preserve">Staff sought to identify </w:t>
      </w:r>
      <w:r w:rsidR="00E36D0D">
        <w:rPr>
          <w:iCs/>
        </w:rPr>
        <w:t xml:space="preserve">SOMs </w:t>
      </w:r>
      <w:r w:rsidRPr="008B143A">
        <w:rPr>
          <w:iCs/>
        </w:rPr>
        <w:t xml:space="preserve">that are objective, outcome-based, defined clearly, auditable/verifiable, enforceable, measurable over time, and preferably, leading indicators.  </w:t>
      </w:r>
      <w:r w:rsidR="00F40AFC">
        <w:rPr>
          <w:iCs/>
        </w:rPr>
        <w:t>As discussed below, S</w:t>
      </w:r>
      <w:r w:rsidRPr="008B143A">
        <w:rPr>
          <w:iCs/>
        </w:rPr>
        <w:t>taff</w:t>
      </w:r>
      <w:r w:rsidR="00DD509C">
        <w:rPr>
          <w:iCs/>
        </w:rPr>
        <w:t>’s</w:t>
      </w:r>
      <w:r w:rsidRPr="008B143A">
        <w:rPr>
          <w:iCs/>
        </w:rPr>
        <w:t xml:space="preserve"> proposed SOMs cover a variety of topic areas including worker </w:t>
      </w:r>
      <w:r w:rsidR="00C8084F">
        <w:rPr>
          <w:iCs/>
        </w:rPr>
        <w:t xml:space="preserve">and contractor </w:t>
      </w:r>
      <w:r w:rsidRPr="008B143A">
        <w:rPr>
          <w:iCs/>
        </w:rPr>
        <w:t xml:space="preserve">safety, </w:t>
      </w:r>
      <w:r w:rsidR="00C8084F">
        <w:rPr>
          <w:iCs/>
        </w:rPr>
        <w:t xml:space="preserve">electric safety risks, </w:t>
      </w:r>
      <w:r w:rsidRPr="008B143A">
        <w:rPr>
          <w:iCs/>
        </w:rPr>
        <w:t xml:space="preserve">electric reliability, ignitions, </w:t>
      </w:r>
      <w:r w:rsidR="002F71CD">
        <w:rPr>
          <w:iCs/>
        </w:rPr>
        <w:t xml:space="preserve">gas </w:t>
      </w:r>
      <w:r w:rsidRPr="008B143A">
        <w:rPr>
          <w:iCs/>
        </w:rPr>
        <w:t>safety</w:t>
      </w:r>
      <w:r w:rsidR="002F71CD">
        <w:rPr>
          <w:iCs/>
        </w:rPr>
        <w:t xml:space="preserve"> risks</w:t>
      </w:r>
      <w:r w:rsidRPr="008B143A">
        <w:rPr>
          <w:iCs/>
        </w:rPr>
        <w:t xml:space="preserve">, quality of service, </w:t>
      </w:r>
      <w:r w:rsidR="002F71CD">
        <w:rPr>
          <w:iCs/>
        </w:rPr>
        <w:t xml:space="preserve">customer satisfaction, </w:t>
      </w:r>
      <w:r w:rsidRPr="008B143A">
        <w:rPr>
          <w:iCs/>
        </w:rPr>
        <w:t>and clean energy goals.</w:t>
      </w:r>
      <w:r w:rsidR="00B34C9C">
        <w:rPr>
          <w:iCs/>
        </w:rPr>
        <w:t xml:space="preserve">  </w:t>
      </w:r>
    </w:p>
    <w:p w:rsidR="00685646" w:rsidP="0011071B" w:rsidRDefault="008B143A" w14:paraId="3AB1C676" w14:textId="77777777">
      <w:pPr>
        <w:pStyle w:val="Standard"/>
        <w:rPr>
          <w:iCs/>
        </w:rPr>
      </w:pPr>
      <w:r w:rsidRPr="008B143A">
        <w:rPr>
          <w:iCs/>
        </w:rPr>
        <w:t xml:space="preserve">Staff recommend that PG&amp;E report SOMs, including historical data, on an annual basis. </w:t>
      </w:r>
      <w:r w:rsidR="00DD509C">
        <w:rPr>
          <w:iCs/>
        </w:rPr>
        <w:t xml:space="preserve"> </w:t>
      </w:r>
      <w:r w:rsidDel="00BB7298" w:rsidR="002E5619">
        <w:rPr>
          <w:iCs/>
        </w:rPr>
        <w:t xml:space="preserve">Staff also propose that </w:t>
      </w:r>
      <w:r w:rsidRPr="008B143A" w:rsidDel="00BB7298">
        <w:rPr>
          <w:iCs/>
        </w:rPr>
        <w:t xml:space="preserve">PG&amp;E provide </w:t>
      </w:r>
      <w:r w:rsidDel="00BB7298" w:rsidR="002E5619">
        <w:rPr>
          <w:iCs/>
        </w:rPr>
        <w:t xml:space="preserve">SPD with a copy of any report filed more frequently </w:t>
      </w:r>
      <w:r w:rsidDel="00BB7298" w:rsidR="00246A7F">
        <w:rPr>
          <w:iCs/>
        </w:rPr>
        <w:t xml:space="preserve">than annually </w:t>
      </w:r>
      <w:r w:rsidDel="00BB7298" w:rsidR="002E5619">
        <w:rPr>
          <w:iCs/>
        </w:rPr>
        <w:t>with the Commission that contain</w:t>
      </w:r>
      <w:r w:rsidDel="00BB7298" w:rsidR="0037709D">
        <w:rPr>
          <w:iCs/>
        </w:rPr>
        <w:t>s</w:t>
      </w:r>
      <w:r w:rsidDel="00BB7298" w:rsidR="002E5619">
        <w:rPr>
          <w:iCs/>
        </w:rPr>
        <w:t xml:space="preserve"> SOMs</w:t>
      </w:r>
      <w:r w:rsidDel="00BB7298" w:rsidR="00DD509C">
        <w:rPr>
          <w:iCs/>
        </w:rPr>
        <w:t>,</w:t>
      </w:r>
      <w:r w:rsidDel="00BB7298" w:rsidR="002E5619">
        <w:rPr>
          <w:iCs/>
        </w:rPr>
        <w:t xml:space="preserve"> </w:t>
      </w:r>
      <w:r w:rsidRPr="008B143A" w:rsidDel="00BB7298">
        <w:rPr>
          <w:iCs/>
        </w:rPr>
        <w:t>at the same time th</w:t>
      </w:r>
      <w:r w:rsidDel="00BB7298" w:rsidR="00DD509C">
        <w:rPr>
          <w:iCs/>
        </w:rPr>
        <w:t>e report is</w:t>
      </w:r>
      <w:r w:rsidRPr="008B143A" w:rsidDel="00BB7298">
        <w:rPr>
          <w:iCs/>
        </w:rPr>
        <w:t xml:space="preserve"> filed with the Commission.  </w:t>
      </w:r>
    </w:p>
    <w:p w:rsidR="00BB7298" w:rsidP="00767508" w:rsidRDefault="00BB7298" w14:paraId="3001EB18" w14:textId="42AC34FC">
      <w:pPr>
        <w:pStyle w:val="Heading3"/>
        <w:rPr>
          <w:iCs/>
        </w:rPr>
      </w:pPr>
      <w:bookmarkStart w:name="_Toc87361179" w:id="92"/>
      <w:r>
        <w:t>10.4.2</w:t>
      </w:r>
      <w:r>
        <w:tab/>
        <w:t>Staff’s Proposed Reporting Requirements and Review Methods</w:t>
      </w:r>
      <w:bookmarkEnd w:id="92"/>
    </w:p>
    <w:p w:rsidR="0011071B" w:rsidP="00685646" w:rsidRDefault="008B143A" w14:paraId="48B58C17" w14:textId="528E5DD0">
      <w:pPr>
        <w:pStyle w:val="Standard"/>
        <w:rPr>
          <w:iCs/>
        </w:rPr>
      </w:pPr>
      <w:r w:rsidRPr="008B143A">
        <w:rPr>
          <w:iCs/>
        </w:rPr>
        <w:t xml:space="preserve">Staff recommend that PG&amp;E, as part of </w:t>
      </w:r>
      <w:r w:rsidR="002E5619">
        <w:rPr>
          <w:iCs/>
        </w:rPr>
        <w:t xml:space="preserve">its </w:t>
      </w:r>
      <w:r w:rsidRPr="008B143A">
        <w:rPr>
          <w:iCs/>
        </w:rPr>
        <w:t xml:space="preserve">annual SOMs submittals, propose one-year and five-year targets for each </w:t>
      </w:r>
      <w:r w:rsidR="00DB5A15">
        <w:rPr>
          <w:iCs/>
        </w:rPr>
        <w:t>SOM</w:t>
      </w:r>
      <w:r w:rsidR="002E5619">
        <w:rPr>
          <w:iCs/>
        </w:rPr>
        <w:t xml:space="preserve"> and </w:t>
      </w:r>
      <w:r w:rsidRPr="008B143A">
        <w:rPr>
          <w:iCs/>
        </w:rPr>
        <w:t xml:space="preserve">include a narrative discussing its current and planned activities to achieve these targets.  </w:t>
      </w:r>
      <w:r w:rsidR="002958DA">
        <w:rPr>
          <w:iCs/>
        </w:rPr>
        <w:t>Specifically, Staff recommend th</w:t>
      </w:r>
      <w:r w:rsidR="0011071B">
        <w:rPr>
          <w:iCs/>
        </w:rPr>
        <w:t xml:space="preserve">at for each </w:t>
      </w:r>
      <w:r w:rsidRPr="0011071B" w:rsidR="0011071B">
        <w:rPr>
          <w:iCs/>
        </w:rPr>
        <w:t xml:space="preserve">SOM, </w:t>
      </w:r>
      <w:r w:rsidR="00DB5A15">
        <w:rPr>
          <w:iCs/>
        </w:rPr>
        <w:t xml:space="preserve">the Commission require </w:t>
      </w:r>
      <w:r w:rsidRPr="0011071B" w:rsidR="0011071B">
        <w:rPr>
          <w:iCs/>
        </w:rPr>
        <w:t xml:space="preserve">PG&amp;E </w:t>
      </w:r>
      <w:r w:rsidR="00DB5A15">
        <w:rPr>
          <w:iCs/>
        </w:rPr>
        <w:t xml:space="preserve">to </w:t>
      </w:r>
      <w:r w:rsidR="00125DC8">
        <w:rPr>
          <w:iCs/>
        </w:rPr>
        <w:t xml:space="preserve">annually submit </w:t>
      </w:r>
      <w:r w:rsidRPr="0011071B" w:rsidR="0011071B">
        <w:rPr>
          <w:iCs/>
        </w:rPr>
        <w:t xml:space="preserve">the following: </w:t>
      </w:r>
    </w:p>
    <w:p w:rsidRPr="0011071B" w:rsidR="006223C8" w:rsidP="006223C8" w:rsidRDefault="006223C8" w14:paraId="00009CDA" w14:textId="00F932C4">
      <w:pPr>
        <w:pStyle w:val="Standard"/>
        <w:rPr>
          <w:iCs/>
          <w:u w:val="single"/>
        </w:rPr>
      </w:pPr>
      <w:r w:rsidRPr="006223C8">
        <w:rPr>
          <w:iCs/>
          <w:u w:val="single"/>
        </w:rPr>
        <w:t>Staff’s Proposed PG&amp;E SOMs Reporting Requirements</w:t>
      </w:r>
    </w:p>
    <w:p w:rsidRPr="00991BEC" w:rsidR="00F60567" w:rsidP="006223C8" w:rsidRDefault="00F60567" w14:paraId="3C1483C0" w14:textId="1FC8F7A0">
      <w:pPr>
        <w:pStyle w:val="Standard"/>
        <w:rPr>
          <w:iCs/>
        </w:rPr>
      </w:pPr>
      <w:r w:rsidRPr="00991BEC">
        <w:rPr>
          <w:iCs/>
        </w:rPr>
        <w:t>For each SOM,</w:t>
      </w:r>
      <w:r w:rsidRPr="00991BEC" w:rsidR="00B0093B">
        <w:rPr>
          <w:iCs/>
        </w:rPr>
        <w:t xml:space="preserve"> provide the following:</w:t>
      </w:r>
    </w:p>
    <w:p w:rsidRPr="0011071B" w:rsidR="0011071B" w:rsidP="00F33345" w:rsidRDefault="00C059BF" w14:paraId="77CC341B" w14:textId="151A3B21">
      <w:pPr>
        <w:pStyle w:val="ListBullet"/>
        <w:ind w:left="1080" w:right="1440"/>
      </w:pPr>
      <w:r>
        <w:t>A</w:t>
      </w:r>
      <w:r w:rsidR="0006193A">
        <w:t xml:space="preserve">n </w:t>
      </w:r>
      <w:r w:rsidR="00353BD3">
        <w:t>a</w:t>
      </w:r>
      <w:r w:rsidR="00F60567">
        <w:t>nnual report</w:t>
      </w:r>
      <w:r w:rsidR="00353BD3">
        <w:t xml:space="preserve">, </w:t>
      </w:r>
      <w:r w:rsidR="0006193A">
        <w:t xml:space="preserve">including </w:t>
      </w:r>
      <w:r w:rsidR="00350932">
        <w:t>a</w:t>
      </w:r>
      <w:r w:rsidRPr="0011071B" w:rsidR="0011071B">
        <w:t>ll available historical data</w:t>
      </w:r>
      <w:r w:rsidR="00135AF1">
        <w:t>;</w:t>
      </w:r>
    </w:p>
    <w:p w:rsidRPr="0011071B" w:rsidR="0011071B" w:rsidP="00F33345" w:rsidRDefault="00C059BF" w14:paraId="6FF7E345" w14:textId="2A5B2DF1">
      <w:pPr>
        <w:pStyle w:val="ListBullet"/>
        <w:ind w:left="1080" w:right="1440"/>
      </w:pPr>
      <w:r>
        <w:t>A</w:t>
      </w:r>
      <w:r w:rsidR="00350932">
        <w:t xml:space="preserve"> </w:t>
      </w:r>
      <w:r w:rsidRPr="0011071B" w:rsidR="0011071B">
        <w:t xml:space="preserve">proposed target for the year following the reporting period for each metric </w:t>
      </w:r>
      <w:r w:rsidR="00350932">
        <w:t xml:space="preserve">and </w:t>
      </w:r>
      <w:r w:rsidRPr="0011071B" w:rsidR="0011071B">
        <w:t>a five-year target</w:t>
      </w:r>
      <w:r w:rsidR="00135AF1">
        <w:t xml:space="preserve">, with the </w:t>
      </w:r>
      <w:r w:rsidRPr="0011071B" w:rsidR="0011071B">
        <w:t>proposed target</w:t>
      </w:r>
      <w:r w:rsidR="00135AF1">
        <w:t xml:space="preserve"> represented as </w:t>
      </w:r>
      <w:r w:rsidRPr="0011071B" w:rsidR="0011071B">
        <w:t xml:space="preserve">specific values, ranges of values, </w:t>
      </w:r>
      <w:r w:rsidR="00135AF1">
        <w:t xml:space="preserve">a </w:t>
      </w:r>
      <w:r w:rsidRPr="0011071B" w:rsidR="0011071B">
        <w:t xml:space="preserve">rolling average, or </w:t>
      </w:r>
      <w:r w:rsidR="00135AF1">
        <w:t>an</w:t>
      </w:r>
      <w:r w:rsidRPr="0011071B" w:rsidR="0011071B">
        <w:t>other specified target value</w:t>
      </w:r>
      <w:r w:rsidR="00135AF1">
        <w:t>;</w:t>
      </w:r>
    </w:p>
    <w:p w:rsidRPr="0011071B" w:rsidR="0011071B" w:rsidP="00F33345" w:rsidRDefault="00C059BF" w14:paraId="13D6CAD3" w14:textId="06FE3EEF">
      <w:pPr>
        <w:pStyle w:val="ListBullet"/>
        <w:ind w:left="1080" w:right="1440"/>
      </w:pPr>
      <w:r>
        <w:t>A</w:t>
      </w:r>
      <w:r w:rsidRPr="0011071B" w:rsidR="0011071B">
        <w:t xml:space="preserve"> narrative description of the rationale for selecti</w:t>
      </w:r>
      <w:r w:rsidR="00350932">
        <w:t xml:space="preserve">ng </w:t>
      </w:r>
      <w:r w:rsidRPr="0011071B" w:rsidR="0011071B">
        <w:t xml:space="preserve">the target </w:t>
      </w:r>
      <w:r w:rsidR="00B9703E">
        <w:t xml:space="preserve">proposed </w:t>
      </w:r>
      <w:r w:rsidRPr="0011071B" w:rsidR="0011071B">
        <w:t xml:space="preserve">and why a specific value, a range of </w:t>
      </w:r>
      <w:r w:rsidRPr="0011071B" w:rsidR="0011071B">
        <w:lastRenderedPageBreak/>
        <w:t xml:space="preserve">values, </w:t>
      </w:r>
      <w:r w:rsidR="00206F95">
        <w:t xml:space="preserve">a </w:t>
      </w:r>
      <w:r w:rsidRPr="0011071B" w:rsidR="0011071B">
        <w:t xml:space="preserve">rolling average or </w:t>
      </w:r>
      <w:r w:rsidR="00206F95">
        <w:t>an</w:t>
      </w:r>
      <w:r w:rsidRPr="0011071B" w:rsidR="0011071B">
        <w:t>other type of target is selected</w:t>
      </w:r>
      <w:r w:rsidR="00206F95">
        <w:t>;</w:t>
      </w:r>
    </w:p>
    <w:p w:rsidRPr="0011071B" w:rsidR="0011071B" w:rsidP="00F33345" w:rsidRDefault="00C059BF" w14:paraId="322FC4C3" w14:textId="62C11C22">
      <w:pPr>
        <w:pStyle w:val="ListBullet"/>
        <w:ind w:left="1080" w:right="1440"/>
      </w:pPr>
      <w:r>
        <w:t>A</w:t>
      </w:r>
      <w:r w:rsidRPr="0011071B" w:rsidR="0011071B">
        <w:t xml:space="preserve"> narrative description of progress towards the proposed annual and five-year targets</w:t>
      </w:r>
      <w:r w:rsidR="00206F95">
        <w:t>;</w:t>
      </w:r>
    </w:p>
    <w:p w:rsidRPr="0011071B" w:rsidR="0011071B" w:rsidP="00F33345" w:rsidRDefault="00C059BF" w14:paraId="6D9C4AF3" w14:textId="25611EDE">
      <w:pPr>
        <w:pStyle w:val="ListBullet"/>
        <w:ind w:left="1080" w:right="1440"/>
      </w:pPr>
      <w:r>
        <w:t>A</w:t>
      </w:r>
      <w:r w:rsidRPr="0011071B" w:rsidR="0011071B">
        <w:t xml:space="preserve"> narrative description o</w:t>
      </w:r>
      <w:r w:rsidR="00206F95">
        <w:t>f</w:t>
      </w:r>
      <w:r w:rsidRPr="0011071B" w:rsidR="0011071B">
        <w:t xml:space="preserve"> any substantial deviation from prior trends based on quantitative and qualitative analysis, as applicable</w:t>
      </w:r>
      <w:r w:rsidR="00206F95">
        <w:t xml:space="preserve">; and, </w:t>
      </w:r>
    </w:p>
    <w:p w:rsidR="004676AC" w:rsidP="00F33345" w:rsidRDefault="00C059BF" w14:paraId="0691CAC4" w14:textId="19E9EE50">
      <w:pPr>
        <w:pStyle w:val="ListBullet"/>
        <w:ind w:left="1080" w:right="1440"/>
      </w:pPr>
      <w:r>
        <w:t>A</w:t>
      </w:r>
      <w:r w:rsidRPr="0011071B" w:rsidR="0011071B">
        <w:t xml:space="preserve"> brief description of current and future activities to meet the proposed targets.</w:t>
      </w:r>
      <w:r w:rsidR="00206F95">
        <w:rPr>
          <w:rStyle w:val="FootnoteReference"/>
        </w:rPr>
        <w:footnoteReference w:id="87"/>
      </w:r>
    </w:p>
    <w:p w:rsidR="00BB7298" w:rsidP="004F4A56" w:rsidRDefault="00BB7298" w14:paraId="18065790" w14:textId="77777777">
      <w:pPr>
        <w:pStyle w:val="Standard"/>
        <w:rPr>
          <w:iCs/>
        </w:rPr>
      </w:pPr>
      <w:r>
        <w:rPr>
          <w:iCs/>
        </w:rPr>
        <w:t xml:space="preserve">Staff also propose that </w:t>
      </w:r>
      <w:r w:rsidRPr="008B143A">
        <w:rPr>
          <w:iCs/>
        </w:rPr>
        <w:t xml:space="preserve">PG&amp;E provide </w:t>
      </w:r>
      <w:r>
        <w:rPr>
          <w:iCs/>
        </w:rPr>
        <w:t xml:space="preserve">SPD with a copy of any report filed more frequently than annually with the Commission that contains SOMs, </w:t>
      </w:r>
      <w:r w:rsidRPr="008B143A">
        <w:rPr>
          <w:iCs/>
        </w:rPr>
        <w:t>at the same time th</w:t>
      </w:r>
      <w:r>
        <w:rPr>
          <w:iCs/>
        </w:rPr>
        <w:t>e report is</w:t>
      </w:r>
      <w:r w:rsidRPr="008B143A">
        <w:rPr>
          <w:iCs/>
        </w:rPr>
        <w:t xml:space="preserve"> filed with the Commission.  </w:t>
      </w:r>
    </w:p>
    <w:p w:rsidR="000076CB" w:rsidP="004F4A56" w:rsidRDefault="00D47E70" w14:paraId="67DF9B6E" w14:textId="3A33AD56">
      <w:pPr>
        <w:pStyle w:val="Standard"/>
        <w:rPr>
          <w:iCs/>
        </w:rPr>
      </w:pPr>
      <w:r>
        <w:rPr>
          <w:iCs/>
        </w:rPr>
        <w:t xml:space="preserve">Staff </w:t>
      </w:r>
      <w:r w:rsidR="004C3983">
        <w:rPr>
          <w:iCs/>
        </w:rPr>
        <w:t xml:space="preserve">state </w:t>
      </w:r>
      <w:r w:rsidR="00C26685">
        <w:rPr>
          <w:iCs/>
        </w:rPr>
        <w:t xml:space="preserve">that </w:t>
      </w:r>
      <w:r w:rsidR="004C3983">
        <w:rPr>
          <w:iCs/>
        </w:rPr>
        <w:t xml:space="preserve">they </w:t>
      </w:r>
      <w:r w:rsidRPr="004C3983" w:rsidR="004C3983">
        <w:rPr>
          <w:iCs/>
        </w:rPr>
        <w:t xml:space="preserve">do not recommend </w:t>
      </w:r>
      <w:r w:rsidR="005A265E">
        <w:rPr>
          <w:iCs/>
        </w:rPr>
        <w:t xml:space="preserve">that the Commission </w:t>
      </w:r>
      <w:r w:rsidRPr="004C3983" w:rsidR="004C3983">
        <w:rPr>
          <w:iCs/>
        </w:rPr>
        <w:t>adopt</w:t>
      </w:r>
      <w:r w:rsidR="005A265E">
        <w:rPr>
          <w:iCs/>
        </w:rPr>
        <w:t xml:space="preserve"> </w:t>
      </w:r>
      <w:r w:rsidR="004C3983">
        <w:rPr>
          <w:iCs/>
        </w:rPr>
        <w:t>“</w:t>
      </w:r>
      <w:r w:rsidRPr="004C3983" w:rsidR="004C3983">
        <w:rPr>
          <w:iCs/>
        </w:rPr>
        <w:t>trigger</w:t>
      </w:r>
      <w:r w:rsidR="00973E21">
        <w:rPr>
          <w:iCs/>
        </w:rPr>
        <w:t xml:space="preserve"> even</w:t>
      </w:r>
      <w:r w:rsidR="00C26685">
        <w:rPr>
          <w:iCs/>
        </w:rPr>
        <w:t>t</w:t>
      </w:r>
      <w:r w:rsidR="004C3983">
        <w:rPr>
          <w:iCs/>
        </w:rPr>
        <w:t>”</w:t>
      </w:r>
      <w:r w:rsidR="005A265E">
        <w:rPr>
          <w:iCs/>
        </w:rPr>
        <w:t xml:space="preserve"> </w:t>
      </w:r>
      <w:r w:rsidR="00973E21">
        <w:rPr>
          <w:iCs/>
        </w:rPr>
        <w:t xml:space="preserve">thresholds </w:t>
      </w:r>
      <w:r w:rsidRPr="004C3983" w:rsidR="004C3983">
        <w:rPr>
          <w:iCs/>
        </w:rPr>
        <w:t>at this time</w:t>
      </w:r>
      <w:r w:rsidR="00C26685">
        <w:rPr>
          <w:iCs/>
        </w:rPr>
        <w:t xml:space="preserve"> for the SOMs</w:t>
      </w:r>
      <w:r w:rsidR="00236F2E">
        <w:rPr>
          <w:iCs/>
        </w:rPr>
        <w:t>.</w:t>
      </w:r>
      <w:r w:rsidR="004C3983">
        <w:rPr>
          <w:iCs/>
        </w:rPr>
        <w:t xml:space="preserve">  </w:t>
      </w:r>
      <w:r w:rsidR="00333963">
        <w:rPr>
          <w:iCs/>
        </w:rPr>
        <w:t>Instead, S</w:t>
      </w:r>
      <w:r w:rsidR="004C3983">
        <w:rPr>
          <w:iCs/>
        </w:rPr>
        <w:t xml:space="preserve">taff </w:t>
      </w:r>
      <w:r w:rsidR="008B2B8B">
        <w:rPr>
          <w:iCs/>
        </w:rPr>
        <w:t xml:space="preserve">recommend </w:t>
      </w:r>
      <w:r w:rsidR="004C3983">
        <w:rPr>
          <w:iCs/>
        </w:rPr>
        <w:t xml:space="preserve">that </w:t>
      </w:r>
      <w:r w:rsidR="00973E21">
        <w:rPr>
          <w:iCs/>
        </w:rPr>
        <w:t xml:space="preserve">the Commission collect </w:t>
      </w:r>
      <w:r w:rsidR="00333963">
        <w:rPr>
          <w:iCs/>
        </w:rPr>
        <w:t xml:space="preserve">additional </w:t>
      </w:r>
      <w:r w:rsidRPr="004C3983" w:rsidR="004C3983">
        <w:rPr>
          <w:iCs/>
        </w:rPr>
        <w:t xml:space="preserve">data </w:t>
      </w:r>
      <w:r w:rsidR="00C26685">
        <w:rPr>
          <w:iCs/>
        </w:rPr>
        <w:t xml:space="preserve">on the SOMs </w:t>
      </w:r>
      <w:r w:rsidR="008B2B8B">
        <w:rPr>
          <w:iCs/>
        </w:rPr>
        <w:t>prior to taking this step</w:t>
      </w:r>
      <w:r w:rsidR="00C26685">
        <w:rPr>
          <w:iCs/>
        </w:rPr>
        <w:t xml:space="preserve"> and revisit th</w:t>
      </w:r>
      <w:r w:rsidR="00236F2E">
        <w:rPr>
          <w:iCs/>
        </w:rPr>
        <w:t>e</w:t>
      </w:r>
      <w:r w:rsidR="00C26685">
        <w:rPr>
          <w:iCs/>
        </w:rPr>
        <w:t xml:space="preserve"> issue at a later date.  </w:t>
      </w:r>
      <w:r w:rsidR="00C25792">
        <w:rPr>
          <w:iCs/>
        </w:rPr>
        <w:t>In the meantime, S</w:t>
      </w:r>
      <w:r w:rsidRPr="004C3983" w:rsidR="004C3983">
        <w:rPr>
          <w:iCs/>
        </w:rPr>
        <w:t xml:space="preserve">taff </w:t>
      </w:r>
      <w:r w:rsidR="00C25792">
        <w:rPr>
          <w:iCs/>
        </w:rPr>
        <w:t xml:space="preserve">propose </w:t>
      </w:r>
      <w:r w:rsidR="00C26685">
        <w:rPr>
          <w:iCs/>
        </w:rPr>
        <w:t xml:space="preserve">to </w:t>
      </w:r>
      <w:r w:rsidRPr="004C3983" w:rsidR="004C3983">
        <w:rPr>
          <w:iCs/>
        </w:rPr>
        <w:t xml:space="preserve">implement an “indicator light” </w:t>
      </w:r>
      <w:r w:rsidR="00C26685">
        <w:rPr>
          <w:iCs/>
        </w:rPr>
        <w:t xml:space="preserve">approach </w:t>
      </w:r>
      <w:r w:rsidR="001E621A">
        <w:rPr>
          <w:iCs/>
        </w:rPr>
        <w:t>to examine</w:t>
      </w:r>
      <w:r w:rsidR="00090865">
        <w:rPr>
          <w:iCs/>
        </w:rPr>
        <w:t xml:space="preserve"> PG&amp;E’s</w:t>
      </w:r>
      <w:r w:rsidR="001E621A">
        <w:rPr>
          <w:iCs/>
        </w:rPr>
        <w:t xml:space="preserve"> </w:t>
      </w:r>
      <w:r w:rsidRPr="004C3983" w:rsidR="004C3983">
        <w:rPr>
          <w:iCs/>
        </w:rPr>
        <w:t>safety and operational performance</w:t>
      </w:r>
      <w:r w:rsidR="001E621A">
        <w:rPr>
          <w:iCs/>
        </w:rPr>
        <w:t xml:space="preserve"> </w:t>
      </w:r>
      <w:r w:rsidR="00960C78">
        <w:rPr>
          <w:iCs/>
        </w:rPr>
        <w:t xml:space="preserve">against </w:t>
      </w:r>
      <w:r w:rsidR="0074784D">
        <w:rPr>
          <w:iCs/>
        </w:rPr>
        <w:t xml:space="preserve">the </w:t>
      </w:r>
      <w:r w:rsidR="00090865">
        <w:rPr>
          <w:iCs/>
        </w:rPr>
        <w:t>SOMs</w:t>
      </w:r>
      <w:r w:rsidR="001E621A">
        <w:rPr>
          <w:iCs/>
        </w:rPr>
        <w:t>.</w:t>
      </w:r>
      <w:r w:rsidR="00EB5A53">
        <w:rPr>
          <w:rStyle w:val="FootnoteReference"/>
          <w:iCs/>
        </w:rPr>
        <w:footnoteReference w:id="88"/>
      </w:r>
      <w:r w:rsidR="001E621A">
        <w:rPr>
          <w:iCs/>
        </w:rPr>
        <w:t xml:space="preserve">  </w:t>
      </w:r>
      <w:r w:rsidR="00AA0027">
        <w:rPr>
          <w:iCs/>
        </w:rPr>
        <w:t xml:space="preserve">Staff </w:t>
      </w:r>
      <w:r w:rsidR="00C0417C">
        <w:rPr>
          <w:iCs/>
        </w:rPr>
        <w:t>state they are open to</w:t>
      </w:r>
      <w:r w:rsidDel="00C0417C" w:rsidR="00AA0027">
        <w:rPr>
          <w:iCs/>
        </w:rPr>
        <w:t xml:space="preserve"> </w:t>
      </w:r>
      <w:r w:rsidR="00AA0027">
        <w:rPr>
          <w:iCs/>
        </w:rPr>
        <w:t xml:space="preserve">exploring potential </w:t>
      </w:r>
      <w:r w:rsidRPr="004C3983" w:rsidR="00AA0027">
        <w:rPr>
          <w:iCs/>
        </w:rPr>
        <w:t xml:space="preserve">triggering thresholds </w:t>
      </w:r>
      <w:r w:rsidR="00AA0027">
        <w:rPr>
          <w:iCs/>
        </w:rPr>
        <w:t>with parties</w:t>
      </w:r>
      <w:r w:rsidR="00B30053">
        <w:rPr>
          <w:iCs/>
        </w:rPr>
        <w:t xml:space="preserve"> in </w:t>
      </w:r>
      <w:r w:rsidR="0053134A">
        <w:rPr>
          <w:iCs/>
        </w:rPr>
        <w:t xml:space="preserve">the TWG </w:t>
      </w:r>
      <w:r w:rsidR="00C0417C">
        <w:rPr>
          <w:iCs/>
        </w:rPr>
        <w:t>following a period of collection and review of SOMs data</w:t>
      </w:r>
      <w:r w:rsidR="00AA0027">
        <w:rPr>
          <w:iCs/>
        </w:rPr>
        <w:t xml:space="preserve">.  </w:t>
      </w:r>
    </w:p>
    <w:p w:rsidRPr="00865AB4" w:rsidR="00321945" w:rsidP="004F4A56" w:rsidRDefault="000076CB" w14:paraId="130CD874" w14:textId="71601B07">
      <w:pPr>
        <w:pStyle w:val="Standard"/>
        <w:rPr>
          <w:iCs/>
        </w:rPr>
      </w:pPr>
      <w:r w:rsidRPr="000076CB">
        <w:rPr>
          <w:iCs/>
        </w:rPr>
        <w:t>Staff propos</w:t>
      </w:r>
      <w:r>
        <w:rPr>
          <w:iCs/>
        </w:rPr>
        <w:t>e to</w:t>
      </w:r>
      <w:r w:rsidRPr="000076CB">
        <w:rPr>
          <w:iCs/>
        </w:rPr>
        <w:t xml:space="preserve"> use </w:t>
      </w:r>
      <w:r w:rsidR="00A93D01">
        <w:rPr>
          <w:iCs/>
        </w:rPr>
        <w:t xml:space="preserve">both </w:t>
      </w:r>
      <w:r w:rsidRPr="000076CB">
        <w:rPr>
          <w:iCs/>
        </w:rPr>
        <w:t>qualitative and quantitative evaluations of PG&amp;E’s performance a</w:t>
      </w:r>
      <w:r w:rsidR="00960C78">
        <w:rPr>
          <w:iCs/>
        </w:rPr>
        <w:t xml:space="preserve">gainst the adopted </w:t>
      </w:r>
      <w:r w:rsidRPr="000076CB">
        <w:rPr>
          <w:iCs/>
        </w:rPr>
        <w:t>SOMs</w:t>
      </w:r>
      <w:r>
        <w:rPr>
          <w:iCs/>
        </w:rPr>
        <w:t xml:space="preserve"> to identify potential indicators</w:t>
      </w:r>
      <w:r w:rsidR="006D6653">
        <w:rPr>
          <w:iCs/>
        </w:rPr>
        <w:t xml:space="preserve"> </w:t>
      </w:r>
      <w:r w:rsidR="000F6F75">
        <w:rPr>
          <w:iCs/>
        </w:rPr>
        <w:t>of trends</w:t>
      </w:r>
      <w:r>
        <w:rPr>
          <w:iCs/>
        </w:rPr>
        <w:t xml:space="preserve"> or triggering events</w:t>
      </w:r>
      <w:r w:rsidRPr="000076CB">
        <w:rPr>
          <w:iCs/>
        </w:rPr>
        <w:t xml:space="preserve">.  Staff </w:t>
      </w:r>
      <w:r>
        <w:rPr>
          <w:iCs/>
        </w:rPr>
        <w:t xml:space="preserve">propose </w:t>
      </w:r>
      <w:r w:rsidR="00960C78">
        <w:rPr>
          <w:iCs/>
        </w:rPr>
        <w:t xml:space="preserve">to </w:t>
      </w:r>
      <w:r w:rsidRPr="000076CB">
        <w:rPr>
          <w:iCs/>
        </w:rPr>
        <w:t xml:space="preserve">analyze PG&amp;E’s </w:t>
      </w:r>
      <w:r>
        <w:rPr>
          <w:iCs/>
        </w:rPr>
        <w:t xml:space="preserve">SOMs’ </w:t>
      </w:r>
      <w:r w:rsidRPr="000076CB">
        <w:rPr>
          <w:iCs/>
        </w:rPr>
        <w:t xml:space="preserve">performance </w:t>
      </w:r>
      <w:r>
        <w:rPr>
          <w:iCs/>
        </w:rPr>
        <w:t xml:space="preserve">by </w:t>
      </w:r>
      <w:r w:rsidR="00104315">
        <w:rPr>
          <w:iCs/>
        </w:rPr>
        <w:t xml:space="preserve">examining </w:t>
      </w:r>
      <w:r w:rsidRPr="000076CB">
        <w:rPr>
          <w:iCs/>
        </w:rPr>
        <w:t xml:space="preserve">anomalies </w:t>
      </w:r>
      <w:r w:rsidR="00C15892">
        <w:rPr>
          <w:iCs/>
        </w:rPr>
        <w:t xml:space="preserve">and/or </w:t>
      </w:r>
      <w:r w:rsidR="00090865">
        <w:rPr>
          <w:iCs/>
        </w:rPr>
        <w:t xml:space="preserve">variances in </w:t>
      </w:r>
      <w:r w:rsidRPr="000076CB">
        <w:rPr>
          <w:iCs/>
        </w:rPr>
        <w:t>performance trends associated with a single or multiple SOM(s)</w:t>
      </w:r>
      <w:r w:rsidR="00C15892">
        <w:rPr>
          <w:iCs/>
        </w:rPr>
        <w:t xml:space="preserve">, </w:t>
      </w:r>
      <w:r w:rsidRPr="000076CB" w:rsidR="00C15892">
        <w:rPr>
          <w:iCs/>
        </w:rPr>
        <w:t xml:space="preserve">based on current </w:t>
      </w:r>
      <w:r w:rsidR="00C15892">
        <w:rPr>
          <w:iCs/>
        </w:rPr>
        <w:t xml:space="preserve">and historical </w:t>
      </w:r>
      <w:r w:rsidR="00FC2471">
        <w:rPr>
          <w:iCs/>
        </w:rPr>
        <w:lastRenderedPageBreak/>
        <w:t xml:space="preserve">quantitative </w:t>
      </w:r>
      <w:r w:rsidRPr="000076CB" w:rsidR="00C15892">
        <w:rPr>
          <w:iCs/>
        </w:rPr>
        <w:t>data</w:t>
      </w:r>
      <w:r w:rsidRPr="000076CB">
        <w:rPr>
          <w:iCs/>
        </w:rPr>
        <w:t xml:space="preserve">.  Staff </w:t>
      </w:r>
      <w:r w:rsidR="00C15892">
        <w:rPr>
          <w:iCs/>
        </w:rPr>
        <w:t xml:space="preserve">propose to </w:t>
      </w:r>
      <w:r w:rsidRPr="000076CB">
        <w:rPr>
          <w:iCs/>
        </w:rPr>
        <w:t>evaluate the SOMs qualitatively using additional contextual information, such as exogenous factors including major events (</w:t>
      </w:r>
      <w:r w:rsidRPr="00336E18" w:rsidR="00E2561E">
        <w:rPr>
          <w:i/>
        </w:rPr>
        <w:t>e.g</w:t>
      </w:r>
      <w:r w:rsidR="00E2561E">
        <w:rPr>
          <w:iCs/>
        </w:rPr>
        <w:t xml:space="preserve">., </w:t>
      </w:r>
      <w:r w:rsidRPr="000076CB">
        <w:rPr>
          <w:iCs/>
        </w:rPr>
        <w:t>major storms, heat waves, and earthquakes)</w:t>
      </w:r>
      <w:r w:rsidR="001F2A2F">
        <w:rPr>
          <w:iCs/>
        </w:rPr>
        <w:t xml:space="preserve">.  </w:t>
      </w:r>
      <w:r w:rsidRPr="000076CB">
        <w:rPr>
          <w:iCs/>
        </w:rPr>
        <w:t xml:space="preserve">Staff </w:t>
      </w:r>
      <w:r w:rsidR="00E2561E">
        <w:rPr>
          <w:iCs/>
        </w:rPr>
        <w:t xml:space="preserve">propose </w:t>
      </w:r>
      <w:r w:rsidR="00FC2471">
        <w:rPr>
          <w:iCs/>
        </w:rPr>
        <w:t xml:space="preserve">to </w:t>
      </w:r>
      <w:r w:rsidRPr="000076CB">
        <w:rPr>
          <w:iCs/>
        </w:rPr>
        <w:t xml:space="preserve">use this </w:t>
      </w:r>
      <w:r w:rsidR="00C15892">
        <w:rPr>
          <w:iCs/>
        </w:rPr>
        <w:t xml:space="preserve">holistic </w:t>
      </w:r>
      <w:r w:rsidRPr="000076CB">
        <w:rPr>
          <w:iCs/>
        </w:rPr>
        <w:t xml:space="preserve">evaluation approach to determine </w:t>
      </w:r>
      <w:r w:rsidR="008D40E7">
        <w:rPr>
          <w:iCs/>
        </w:rPr>
        <w:t xml:space="preserve">if PG&amp;E is making </w:t>
      </w:r>
      <w:r w:rsidRPr="000076CB">
        <w:rPr>
          <w:iCs/>
        </w:rPr>
        <w:t xml:space="preserve">“insufficient progress” or </w:t>
      </w:r>
      <w:r w:rsidR="008D40E7">
        <w:rPr>
          <w:iCs/>
        </w:rPr>
        <w:t xml:space="preserve">showing </w:t>
      </w:r>
      <w:r w:rsidRPr="000076CB">
        <w:rPr>
          <w:iCs/>
        </w:rPr>
        <w:t>“poor performance”</w:t>
      </w:r>
      <w:r w:rsidR="008D40E7">
        <w:rPr>
          <w:iCs/>
        </w:rPr>
        <w:t xml:space="preserve"> on any of the SOMs.</w:t>
      </w:r>
      <w:r w:rsidRPr="000076CB">
        <w:rPr>
          <w:iCs/>
        </w:rPr>
        <w:t xml:space="preserve"> </w:t>
      </w:r>
      <w:r w:rsidR="008D40E7">
        <w:rPr>
          <w:iCs/>
        </w:rPr>
        <w:t xml:space="preserve"> </w:t>
      </w:r>
      <w:r w:rsidRPr="000076CB">
        <w:rPr>
          <w:iCs/>
        </w:rPr>
        <w:t xml:space="preserve">Staff </w:t>
      </w:r>
      <w:r w:rsidR="008D40E7">
        <w:rPr>
          <w:iCs/>
        </w:rPr>
        <w:t xml:space="preserve">state </w:t>
      </w:r>
      <w:r w:rsidR="00556C76">
        <w:rPr>
          <w:iCs/>
        </w:rPr>
        <w:t>they</w:t>
      </w:r>
      <w:r w:rsidDel="00556C76" w:rsidR="008D40E7">
        <w:rPr>
          <w:iCs/>
        </w:rPr>
        <w:t xml:space="preserve"> </w:t>
      </w:r>
      <w:r w:rsidR="004D0875">
        <w:rPr>
          <w:iCs/>
        </w:rPr>
        <w:t>would</w:t>
      </w:r>
      <w:r w:rsidRPr="000076CB">
        <w:rPr>
          <w:iCs/>
        </w:rPr>
        <w:t xml:space="preserve"> </w:t>
      </w:r>
      <w:r w:rsidR="00FB4487">
        <w:rPr>
          <w:iCs/>
        </w:rPr>
        <w:t xml:space="preserve">provide the Commission with </w:t>
      </w:r>
      <w:r w:rsidR="008D40E7">
        <w:rPr>
          <w:iCs/>
        </w:rPr>
        <w:t xml:space="preserve">recommendations </w:t>
      </w:r>
      <w:r w:rsidR="00FB4487">
        <w:rPr>
          <w:iCs/>
        </w:rPr>
        <w:t xml:space="preserve">relevant to the </w:t>
      </w:r>
      <w:r w:rsidRPr="000076CB">
        <w:rPr>
          <w:iCs/>
        </w:rPr>
        <w:t xml:space="preserve">EOE </w:t>
      </w:r>
      <w:r w:rsidR="00FB4487">
        <w:rPr>
          <w:iCs/>
        </w:rPr>
        <w:t>P</w:t>
      </w:r>
      <w:r w:rsidRPr="000076CB">
        <w:rPr>
          <w:iCs/>
        </w:rPr>
        <w:t>rocess</w:t>
      </w:r>
      <w:r w:rsidR="00FB4487">
        <w:rPr>
          <w:iCs/>
        </w:rPr>
        <w:t xml:space="preserve"> b</w:t>
      </w:r>
      <w:r w:rsidRPr="000076CB" w:rsidR="00FB4487">
        <w:rPr>
          <w:iCs/>
        </w:rPr>
        <w:t xml:space="preserve">ased on </w:t>
      </w:r>
      <w:r w:rsidR="00FB4487">
        <w:rPr>
          <w:iCs/>
        </w:rPr>
        <w:t xml:space="preserve">its </w:t>
      </w:r>
      <w:r w:rsidRPr="000076CB" w:rsidR="00FB4487">
        <w:rPr>
          <w:iCs/>
        </w:rPr>
        <w:t>findings</w:t>
      </w:r>
      <w:r w:rsidR="00FB4487">
        <w:rPr>
          <w:iCs/>
        </w:rPr>
        <w:t xml:space="preserve"> using this process, </w:t>
      </w:r>
      <w:r w:rsidRPr="000076CB">
        <w:rPr>
          <w:iCs/>
        </w:rPr>
        <w:t>if warranted</w:t>
      </w:r>
      <w:r w:rsidR="007F0681">
        <w:rPr>
          <w:iCs/>
        </w:rPr>
        <w:t xml:space="preserve">, or may propose other </w:t>
      </w:r>
      <w:r w:rsidR="007F5EA4">
        <w:rPr>
          <w:iCs/>
        </w:rPr>
        <w:t>action</w:t>
      </w:r>
      <w:r w:rsidR="004676AC">
        <w:rPr>
          <w:iCs/>
        </w:rPr>
        <w:t>,</w:t>
      </w:r>
      <w:r w:rsidR="006B4544">
        <w:rPr>
          <w:iCs/>
        </w:rPr>
        <w:t xml:space="preserve"> </w:t>
      </w:r>
      <w:r w:rsidR="00B70145">
        <w:rPr>
          <w:iCs/>
        </w:rPr>
        <w:t>as appropriate.</w:t>
      </w:r>
      <w:r w:rsidR="00B70145">
        <w:rPr>
          <w:rStyle w:val="FootnoteReference"/>
          <w:iCs/>
        </w:rPr>
        <w:footnoteReference w:id="89"/>
      </w:r>
      <w:r w:rsidR="00B70145">
        <w:rPr>
          <w:iCs/>
        </w:rPr>
        <w:t xml:space="preserve"> </w:t>
      </w:r>
    </w:p>
    <w:p w:rsidR="00321945" w:rsidP="002E3092" w:rsidRDefault="00F93919" w14:paraId="69FBAD84" w14:textId="0EF9D4B5">
      <w:pPr>
        <w:pStyle w:val="Heading3"/>
      </w:pPr>
      <w:bookmarkStart w:name="_Toc80890879" w:id="93"/>
      <w:bookmarkStart w:name="_Toc87361180" w:id="94"/>
      <w:r>
        <w:t>10.4.</w:t>
      </w:r>
      <w:r w:rsidR="00D973E7">
        <w:t>3</w:t>
      </w:r>
      <w:r>
        <w:tab/>
      </w:r>
      <w:r w:rsidR="00321945">
        <w:t>Party Comment</w:t>
      </w:r>
      <w:r w:rsidR="00366EB1">
        <w:t>s</w:t>
      </w:r>
      <w:bookmarkEnd w:id="93"/>
      <w:bookmarkEnd w:id="94"/>
    </w:p>
    <w:p w:rsidR="00E51024" w:rsidP="004F4A56" w:rsidRDefault="00DB50ED" w14:paraId="643A7B17" w14:textId="1CF03645">
      <w:pPr>
        <w:pStyle w:val="Standard"/>
      </w:pPr>
      <w:r>
        <w:t xml:space="preserve">Cal Advocates </w:t>
      </w:r>
      <w:r w:rsidR="00CB602A">
        <w:t xml:space="preserve">recommends </w:t>
      </w:r>
      <w:r w:rsidR="005E6D28">
        <w:t xml:space="preserve">the Commission develop </w:t>
      </w:r>
      <w:r w:rsidR="00440A66">
        <w:t>an independent</w:t>
      </w:r>
      <w:r w:rsidR="00CB602A">
        <w:t xml:space="preserve">, third-party </w:t>
      </w:r>
      <w:r w:rsidR="00440A66">
        <w:t>audit</w:t>
      </w:r>
      <w:r w:rsidR="00CB602A">
        <w:t>ing</w:t>
      </w:r>
      <w:r w:rsidR="00440A66">
        <w:t xml:space="preserve"> program </w:t>
      </w:r>
      <w:r w:rsidR="00CB602A">
        <w:t xml:space="preserve">for </w:t>
      </w:r>
      <w:r w:rsidR="00440A66">
        <w:t>PG&amp;E</w:t>
      </w:r>
      <w:r w:rsidR="00CB602A">
        <w:t>’s</w:t>
      </w:r>
      <w:r w:rsidR="00440A66">
        <w:t xml:space="preserve"> SOMs</w:t>
      </w:r>
      <w:r w:rsidR="00CB602A">
        <w:t xml:space="preserve"> to ensure transparency and accountability.  Cal Advocates </w:t>
      </w:r>
      <w:r w:rsidR="00FC2471">
        <w:t>states that PG&amp;E</w:t>
      </w:r>
      <w:r w:rsidR="004B2BD4">
        <w:t>’</w:t>
      </w:r>
      <w:r w:rsidR="00FC2471">
        <w:t xml:space="preserve">s </w:t>
      </w:r>
      <w:r w:rsidR="003B04F7">
        <w:t xml:space="preserve">track record of repeated safety failures and inconsistent, contradictory, and incomplete reporting </w:t>
      </w:r>
      <w:r w:rsidR="00FC2471">
        <w:t>makes this requirement necessary</w:t>
      </w:r>
      <w:r w:rsidR="003B04F7">
        <w:t>.</w:t>
      </w:r>
      <w:r w:rsidR="00EC09D7">
        <w:rPr>
          <w:rStyle w:val="FootnoteReference"/>
        </w:rPr>
        <w:footnoteReference w:id="90"/>
      </w:r>
      <w:r w:rsidR="003B04F7">
        <w:t xml:space="preserve">  </w:t>
      </w:r>
    </w:p>
    <w:p w:rsidR="00E51024" w:rsidP="004F4A56" w:rsidRDefault="00440A66" w14:paraId="18B1DB07" w14:textId="193810F3">
      <w:pPr>
        <w:pStyle w:val="Standard"/>
      </w:pPr>
      <w:r>
        <w:t xml:space="preserve">Cal Advocates further recommends that the Commission establish </w:t>
      </w:r>
      <w:r w:rsidR="00B75747">
        <w:t xml:space="preserve">a </w:t>
      </w:r>
      <w:r>
        <w:t>framework to move towards specific thresholds and targets for PG&amp;E’s SOMs</w:t>
      </w:r>
      <w:r w:rsidR="003755DA">
        <w:t xml:space="preserve"> and establish </w:t>
      </w:r>
      <w:r w:rsidR="00801228">
        <w:t xml:space="preserve">a </w:t>
      </w:r>
      <w:r w:rsidR="00FC2471">
        <w:t>w</w:t>
      </w:r>
      <w:r w:rsidR="003755DA">
        <w:t xml:space="preserve">orking </w:t>
      </w:r>
      <w:r w:rsidR="00FC2471">
        <w:t>g</w:t>
      </w:r>
      <w:r w:rsidR="003755DA">
        <w:t xml:space="preserve">roup </w:t>
      </w:r>
      <w:r w:rsidR="00FC2471">
        <w:t xml:space="preserve">specifically </w:t>
      </w:r>
      <w:r w:rsidR="003755DA">
        <w:t xml:space="preserve">for this purpose.  Cal Advocates recommends </w:t>
      </w:r>
      <w:r w:rsidR="00FA1B1C">
        <w:t xml:space="preserve">the </w:t>
      </w:r>
      <w:r w:rsidR="005A5B7E">
        <w:t>w</w:t>
      </w:r>
      <w:r w:rsidR="00FA1B1C">
        <w:t xml:space="preserve">orking </w:t>
      </w:r>
      <w:r w:rsidR="005A5B7E">
        <w:t>g</w:t>
      </w:r>
      <w:r w:rsidR="00FA1B1C">
        <w:t xml:space="preserve">roup </w:t>
      </w:r>
      <w:r>
        <w:t>undertak</w:t>
      </w:r>
      <w:r w:rsidR="003755DA">
        <w:t>e</w:t>
      </w:r>
      <w:r>
        <w:t xml:space="preserve"> preliminary assessments of what constitutes reasonable threshold</w:t>
      </w:r>
      <w:r w:rsidR="005A5B7E">
        <w:t>s</w:t>
      </w:r>
      <w:r w:rsidR="00FA1B1C">
        <w:t xml:space="preserve"> for PG&amp;E SOMs</w:t>
      </w:r>
      <w:r>
        <w:t>, what data already exists that could be applied towards thresholds, what data needs to be developed to get to a threshold, and what clear next steps are in terms of developing these thresholds.</w:t>
      </w:r>
      <w:r w:rsidR="00B75747">
        <w:t xml:space="preserve">  This could be followed by development of a Staff Proposal for formal consideration. </w:t>
      </w:r>
      <w:r w:rsidR="00317572">
        <w:t xml:space="preserve"> </w:t>
      </w:r>
      <w:r w:rsidR="005C0E3B">
        <w:t xml:space="preserve">Cal Advocates states that enforceable thresholds should be </w:t>
      </w:r>
      <w:r w:rsidR="00E51024">
        <w:lastRenderedPageBreak/>
        <w:t xml:space="preserve">identified as soon as possible </w:t>
      </w:r>
      <w:r w:rsidRPr="00E51024" w:rsidR="00E51024">
        <w:t xml:space="preserve">to </w:t>
      </w:r>
      <w:r w:rsidR="00B44956">
        <w:t xml:space="preserve">provide markers for the </w:t>
      </w:r>
      <w:r w:rsidRPr="00E51024" w:rsidR="00E51024">
        <w:t>“clear roadmap</w:t>
      </w:r>
      <w:r w:rsidR="00B44956">
        <w:t>”</w:t>
      </w:r>
      <w:r w:rsidRPr="00E51024" w:rsidR="00E51024">
        <w:t xml:space="preserve"> for how the Commission will monitor PG&amp;E’s performance in delivering safe, reliable, affordable, clean energy</w:t>
      </w:r>
      <w:r w:rsidR="00B44956">
        <w:t xml:space="preserve">, </w:t>
      </w:r>
      <w:r w:rsidR="0088562A">
        <w:t xml:space="preserve">described </w:t>
      </w:r>
      <w:r w:rsidR="00E51024">
        <w:t>in D.20-05-053.</w:t>
      </w:r>
      <w:r w:rsidR="00E51024">
        <w:rPr>
          <w:rStyle w:val="FootnoteReference"/>
        </w:rPr>
        <w:footnoteReference w:id="91"/>
      </w:r>
      <w:r w:rsidR="00E51024">
        <w:t xml:space="preserve"> </w:t>
      </w:r>
    </w:p>
    <w:p w:rsidR="00321945" w:rsidP="002E3092" w:rsidRDefault="00F93919" w14:paraId="1FB42687" w14:textId="229AED78">
      <w:pPr>
        <w:pStyle w:val="Heading3"/>
      </w:pPr>
      <w:bookmarkStart w:name="_Toc80890880" w:id="95"/>
      <w:bookmarkStart w:name="_Toc87361181" w:id="96"/>
      <w:r>
        <w:t>10.4.</w:t>
      </w:r>
      <w:r w:rsidR="00D973E7">
        <w:t>4</w:t>
      </w:r>
      <w:r>
        <w:tab/>
      </w:r>
      <w:r w:rsidR="00321945">
        <w:t>Discussion</w:t>
      </w:r>
      <w:bookmarkEnd w:id="95"/>
      <w:bookmarkEnd w:id="96"/>
    </w:p>
    <w:p w:rsidR="00147537" w:rsidP="00A33249" w:rsidRDefault="000B420E" w14:paraId="60FA0B1F" w14:textId="3648603E">
      <w:pPr>
        <w:pStyle w:val="Standard"/>
        <w:rPr>
          <w:iCs/>
        </w:rPr>
      </w:pPr>
      <w:r w:rsidRPr="000076CB">
        <w:rPr>
          <w:iCs/>
        </w:rPr>
        <w:t xml:space="preserve">Staff’s proposed </w:t>
      </w:r>
      <w:r w:rsidR="00DF544F">
        <w:rPr>
          <w:iCs/>
        </w:rPr>
        <w:t xml:space="preserve">SOMs </w:t>
      </w:r>
      <w:r w:rsidR="0008377E">
        <w:rPr>
          <w:iCs/>
        </w:rPr>
        <w:t xml:space="preserve">reporting </w:t>
      </w:r>
      <w:r w:rsidR="009D4DB2">
        <w:rPr>
          <w:iCs/>
        </w:rPr>
        <w:t xml:space="preserve">requirements </w:t>
      </w:r>
      <w:r w:rsidR="00DF544F">
        <w:rPr>
          <w:iCs/>
        </w:rPr>
        <w:t xml:space="preserve">for </w:t>
      </w:r>
      <w:r w:rsidR="0008377E">
        <w:rPr>
          <w:iCs/>
        </w:rPr>
        <w:t xml:space="preserve">PG&amp;E </w:t>
      </w:r>
      <w:r w:rsidR="00691161">
        <w:rPr>
          <w:iCs/>
        </w:rPr>
        <w:t xml:space="preserve">and Staff’s proposed evaluation method of PG&amp;E’s SOMs reports </w:t>
      </w:r>
      <w:r w:rsidR="0088562A">
        <w:rPr>
          <w:iCs/>
        </w:rPr>
        <w:t>are</w:t>
      </w:r>
      <w:r w:rsidR="0008377E">
        <w:rPr>
          <w:iCs/>
        </w:rPr>
        <w:t xml:space="preserve"> </w:t>
      </w:r>
      <w:r w:rsidR="00DF544F">
        <w:rPr>
          <w:iCs/>
        </w:rPr>
        <w:t xml:space="preserve">reasonable and </w:t>
      </w:r>
      <w:r w:rsidR="0088562A">
        <w:rPr>
          <w:iCs/>
        </w:rPr>
        <w:t xml:space="preserve">are </w:t>
      </w:r>
      <w:r w:rsidR="00DF544F">
        <w:rPr>
          <w:iCs/>
        </w:rPr>
        <w:t>adopted</w:t>
      </w:r>
      <w:r w:rsidR="008A26F1">
        <w:rPr>
          <w:iCs/>
        </w:rPr>
        <w:t xml:space="preserve"> with </w:t>
      </w:r>
      <w:r w:rsidR="00483648">
        <w:rPr>
          <w:iCs/>
        </w:rPr>
        <w:t xml:space="preserve">the modification that PG&amp;E shall report its SOMs </w:t>
      </w:r>
      <w:r w:rsidR="0072534C">
        <w:rPr>
          <w:iCs/>
        </w:rPr>
        <w:t>semi-annually</w:t>
      </w:r>
      <w:r w:rsidR="00EC7551">
        <w:rPr>
          <w:iCs/>
        </w:rPr>
        <w:t xml:space="preserve">. </w:t>
      </w:r>
      <w:r w:rsidR="00DF544F">
        <w:rPr>
          <w:iCs/>
        </w:rPr>
        <w:t xml:space="preserve"> </w:t>
      </w:r>
      <w:r w:rsidR="000D1614">
        <w:rPr>
          <w:iCs/>
        </w:rPr>
        <w:t>We also clarify s</w:t>
      </w:r>
      <w:r w:rsidR="003D6BB8">
        <w:rPr>
          <w:iCs/>
        </w:rPr>
        <w:t xml:space="preserve">ix </w:t>
      </w:r>
      <w:r w:rsidR="000D1614">
        <w:rPr>
          <w:iCs/>
        </w:rPr>
        <w:t>SOMs for which PG&amp;E may propose directional rather than numerical targets</w:t>
      </w:r>
      <w:r w:rsidR="001B2C43">
        <w:rPr>
          <w:iCs/>
        </w:rPr>
        <w:t>,</w:t>
      </w:r>
      <w:r w:rsidR="000D1614">
        <w:rPr>
          <w:iCs/>
        </w:rPr>
        <w:t xml:space="preserve"> if desired.</w:t>
      </w:r>
      <w:r w:rsidR="00DF544F">
        <w:rPr>
          <w:iCs/>
        </w:rPr>
        <w:t xml:space="preserve"> </w:t>
      </w:r>
      <w:r w:rsidR="003F615A">
        <w:rPr>
          <w:iCs/>
        </w:rPr>
        <w:t xml:space="preserve"> </w:t>
      </w:r>
      <w:r w:rsidR="00DF544F">
        <w:rPr>
          <w:iCs/>
        </w:rPr>
        <w:t xml:space="preserve">Staff’s proposed approach </w:t>
      </w:r>
      <w:r w:rsidRPr="000076CB">
        <w:rPr>
          <w:iCs/>
        </w:rPr>
        <w:t xml:space="preserve">is consistent with the Commission’s intent </w:t>
      </w:r>
      <w:r w:rsidR="00DF544F">
        <w:rPr>
          <w:iCs/>
        </w:rPr>
        <w:t>in D.20</w:t>
      </w:r>
      <w:r w:rsidR="00C962CC">
        <w:rPr>
          <w:iCs/>
        </w:rPr>
        <w:noBreakHyphen/>
      </w:r>
      <w:r w:rsidR="00DF544F">
        <w:rPr>
          <w:iCs/>
        </w:rPr>
        <w:t>05</w:t>
      </w:r>
      <w:r w:rsidR="00C962CC">
        <w:rPr>
          <w:iCs/>
        </w:rPr>
        <w:noBreakHyphen/>
      </w:r>
      <w:r w:rsidR="00DF544F">
        <w:rPr>
          <w:iCs/>
        </w:rPr>
        <w:t>053</w:t>
      </w:r>
      <w:r w:rsidRPr="00506517" w:rsidR="004613B6">
        <w:rPr>
          <w:bCs/>
          <w:vertAlign w:val="superscript"/>
        </w:rPr>
        <w:footnoteReference w:id="92"/>
      </w:r>
      <w:r w:rsidRPr="00506517" w:rsidR="004613B6">
        <w:rPr>
          <w:iCs/>
          <w:vertAlign w:val="superscript"/>
        </w:rPr>
        <w:t xml:space="preserve"> </w:t>
      </w:r>
      <w:r w:rsidR="004613B6">
        <w:rPr>
          <w:iCs/>
        </w:rPr>
        <w:t xml:space="preserve">and will provide a useful framework </w:t>
      </w:r>
      <w:r w:rsidR="00FE34F6">
        <w:rPr>
          <w:iCs/>
        </w:rPr>
        <w:t xml:space="preserve">for evaluating SOMs </w:t>
      </w:r>
      <w:r w:rsidR="00506517">
        <w:rPr>
          <w:iCs/>
        </w:rPr>
        <w:t xml:space="preserve">trends and context.  </w:t>
      </w:r>
    </w:p>
    <w:p w:rsidR="008C52B8" w:rsidP="00A33249" w:rsidRDefault="009D4DB2" w14:paraId="5B12FFE6" w14:textId="5B88BD0D">
      <w:pPr>
        <w:pStyle w:val="Standard"/>
        <w:rPr>
          <w:iCs/>
        </w:rPr>
      </w:pPr>
      <w:r>
        <w:rPr>
          <w:iCs/>
        </w:rPr>
        <w:t>PG&amp;E shall</w:t>
      </w:r>
      <w:r w:rsidR="00387C43">
        <w:rPr>
          <w:iCs/>
        </w:rPr>
        <w:t xml:space="preserve">, on a </w:t>
      </w:r>
      <w:r w:rsidR="0072534C">
        <w:rPr>
          <w:iCs/>
        </w:rPr>
        <w:t xml:space="preserve">semi-annual </w:t>
      </w:r>
      <w:r w:rsidR="00387C43">
        <w:rPr>
          <w:iCs/>
        </w:rPr>
        <w:t>basis</w:t>
      </w:r>
      <w:r w:rsidR="00295947">
        <w:rPr>
          <w:iCs/>
        </w:rPr>
        <w:t xml:space="preserve"> (</w:t>
      </w:r>
      <w:r w:rsidRPr="00C962CC" w:rsidR="00295947">
        <w:rPr>
          <w:i/>
        </w:rPr>
        <w:t>i.e</w:t>
      </w:r>
      <w:r w:rsidR="00295947">
        <w:rPr>
          <w:iCs/>
        </w:rPr>
        <w:t>. every six months)</w:t>
      </w:r>
      <w:r w:rsidR="00387C43">
        <w:rPr>
          <w:iCs/>
        </w:rPr>
        <w:t xml:space="preserve">, </w:t>
      </w:r>
      <w:r w:rsidR="00A33249">
        <w:rPr>
          <w:iCs/>
        </w:rPr>
        <w:t>file and serve its</w:t>
      </w:r>
      <w:r>
        <w:rPr>
          <w:iCs/>
        </w:rPr>
        <w:t xml:space="preserve"> SOMs </w:t>
      </w:r>
      <w:r w:rsidRPr="00A33249" w:rsidR="00A33249">
        <w:rPr>
          <w:iCs/>
        </w:rPr>
        <w:t>report in</w:t>
      </w:r>
      <w:r w:rsidR="0057098D">
        <w:rPr>
          <w:iCs/>
        </w:rPr>
        <w:t xml:space="preserve"> this proceeding,</w:t>
      </w:r>
      <w:r w:rsidRPr="00A33249" w:rsidR="00A33249">
        <w:rPr>
          <w:iCs/>
        </w:rPr>
        <w:t xml:space="preserve"> </w:t>
      </w:r>
      <w:r w:rsidR="00A33249">
        <w:rPr>
          <w:iCs/>
        </w:rPr>
        <w:t>R.20</w:t>
      </w:r>
      <w:r w:rsidR="00336E18">
        <w:rPr>
          <w:iCs/>
        </w:rPr>
        <w:noBreakHyphen/>
      </w:r>
      <w:r w:rsidR="00A33249">
        <w:rPr>
          <w:iCs/>
        </w:rPr>
        <w:t>07</w:t>
      </w:r>
      <w:r w:rsidR="00336E18">
        <w:rPr>
          <w:iCs/>
        </w:rPr>
        <w:noBreakHyphen/>
      </w:r>
      <w:r w:rsidR="00A33249">
        <w:rPr>
          <w:iCs/>
        </w:rPr>
        <w:t xml:space="preserve">013, </w:t>
      </w:r>
      <w:r w:rsidRPr="00A33249" w:rsidR="00A33249">
        <w:rPr>
          <w:iCs/>
        </w:rPr>
        <w:t>any successor S</w:t>
      </w:r>
      <w:r w:rsidR="0056646C">
        <w:rPr>
          <w:iCs/>
        </w:rPr>
        <w:t>-</w:t>
      </w:r>
      <w:r w:rsidR="0081141D">
        <w:rPr>
          <w:iCs/>
        </w:rPr>
        <w:t>MAP</w:t>
      </w:r>
      <w:r w:rsidR="00F818BF">
        <w:rPr>
          <w:iCs/>
        </w:rPr>
        <w:t xml:space="preserve"> proceeding</w:t>
      </w:r>
      <w:r w:rsidRPr="00A33249" w:rsidR="00A33249">
        <w:rPr>
          <w:iCs/>
        </w:rPr>
        <w:t xml:space="preserve">, </w:t>
      </w:r>
      <w:r w:rsidRPr="005748E2" w:rsidR="005748E2">
        <w:rPr>
          <w:iCs/>
        </w:rPr>
        <w:t>and its most recent or current GRC and RAMP proceedings starting no later than March 31, 2022, with each annual March report covering the 12</w:t>
      </w:r>
      <w:r w:rsidR="0011081E">
        <w:rPr>
          <w:iCs/>
        </w:rPr>
        <w:noBreakHyphen/>
      </w:r>
      <w:r w:rsidRPr="005748E2" w:rsidR="005748E2">
        <w:rPr>
          <w:iCs/>
        </w:rPr>
        <w:t xml:space="preserve">month period of the previous calendar year (January - December) and each annual September report providing data from January through June of the current year.  </w:t>
      </w:r>
      <w:r w:rsidR="00FA1A26">
        <w:rPr>
          <w:iCs/>
        </w:rPr>
        <w:t>P</w:t>
      </w:r>
      <w:r w:rsidR="00802365">
        <w:rPr>
          <w:iCs/>
        </w:rPr>
        <w:t xml:space="preserve">G&amp;E shall </w:t>
      </w:r>
      <w:r w:rsidR="0054622D">
        <w:rPr>
          <w:iCs/>
        </w:rPr>
        <w:t xml:space="preserve">concurrently </w:t>
      </w:r>
      <w:r w:rsidR="00802365">
        <w:rPr>
          <w:iCs/>
        </w:rPr>
        <w:t xml:space="preserve">send a copy of its </w:t>
      </w:r>
      <w:r w:rsidR="001D74BF">
        <w:rPr>
          <w:iCs/>
        </w:rPr>
        <w:t xml:space="preserve">semi-annual </w:t>
      </w:r>
      <w:r w:rsidR="00802365">
        <w:rPr>
          <w:iCs/>
        </w:rPr>
        <w:t>SOMs report to the Director of the Commission</w:t>
      </w:r>
      <w:r w:rsidR="00B84900">
        <w:rPr>
          <w:iCs/>
        </w:rPr>
        <w:t>’</w:t>
      </w:r>
      <w:r w:rsidR="00802365">
        <w:rPr>
          <w:iCs/>
        </w:rPr>
        <w:t>s S</w:t>
      </w:r>
      <w:r w:rsidR="00007C37">
        <w:rPr>
          <w:iCs/>
        </w:rPr>
        <w:t xml:space="preserve">afety </w:t>
      </w:r>
      <w:r w:rsidR="00802365">
        <w:rPr>
          <w:iCs/>
        </w:rPr>
        <w:t>P</w:t>
      </w:r>
      <w:r w:rsidR="00BB7BD6">
        <w:rPr>
          <w:iCs/>
        </w:rPr>
        <w:t xml:space="preserve">olicy </w:t>
      </w:r>
      <w:r w:rsidR="00802365">
        <w:rPr>
          <w:iCs/>
        </w:rPr>
        <w:t>D</w:t>
      </w:r>
      <w:r w:rsidR="00BB7BD6">
        <w:rPr>
          <w:iCs/>
        </w:rPr>
        <w:t>ivision</w:t>
      </w:r>
      <w:r w:rsidR="00CE579E">
        <w:rPr>
          <w:iCs/>
        </w:rPr>
        <w:t xml:space="preserve"> </w:t>
      </w:r>
      <w:r w:rsidR="00DC57C6">
        <w:rPr>
          <w:iCs/>
        </w:rPr>
        <w:t xml:space="preserve">and </w:t>
      </w:r>
      <w:r w:rsidR="00C15C68">
        <w:rPr>
          <w:iCs/>
        </w:rPr>
        <w:t xml:space="preserve">to </w:t>
      </w:r>
      <w:r w:rsidRPr="00CA0AF6" w:rsidR="00CA0AF6">
        <w:rPr>
          <w:iCs/>
        </w:rPr>
        <w:t>RASA_Email@cpuc.ca.</w:t>
      </w:r>
      <w:r w:rsidRPr="00196C72" w:rsidR="00CA0AF6">
        <w:rPr>
          <w:iCs/>
        </w:rPr>
        <w:t>gov</w:t>
      </w:r>
      <w:r w:rsidRPr="00E866DB" w:rsidR="0054622D">
        <w:rPr>
          <w:iCs/>
        </w:rPr>
        <w:t xml:space="preserve">.  </w:t>
      </w:r>
      <w:r w:rsidR="00BB7BD6">
        <w:rPr>
          <w:iCs/>
        </w:rPr>
        <w:t>Staff</w:t>
      </w:r>
      <w:r w:rsidR="0054622D">
        <w:rPr>
          <w:iCs/>
        </w:rPr>
        <w:t xml:space="preserve"> shall post PG&amp;E’s </w:t>
      </w:r>
      <w:r w:rsidR="001D74BF">
        <w:rPr>
          <w:iCs/>
        </w:rPr>
        <w:t xml:space="preserve">semi-annual </w:t>
      </w:r>
      <w:r w:rsidR="0054622D">
        <w:rPr>
          <w:iCs/>
        </w:rPr>
        <w:t>SOMs report</w:t>
      </w:r>
      <w:r w:rsidR="007C4843">
        <w:rPr>
          <w:iCs/>
        </w:rPr>
        <w:t>s</w:t>
      </w:r>
      <w:r w:rsidR="0054622D">
        <w:rPr>
          <w:iCs/>
        </w:rPr>
        <w:t xml:space="preserve"> on the Commission website within 30 days of receipt. </w:t>
      </w:r>
      <w:r w:rsidR="000A719F">
        <w:rPr>
          <w:iCs/>
        </w:rPr>
        <w:t xml:space="preserve"> </w:t>
      </w:r>
    </w:p>
    <w:p w:rsidR="00E33F12" w:rsidP="00727790" w:rsidRDefault="00506517" w14:paraId="71A906F2" w14:textId="394FEEE0">
      <w:pPr>
        <w:pStyle w:val="Standard"/>
        <w:rPr>
          <w:iCs/>
        </w:rPr>
      </w:pPr>
      <w:r>
        <w:rPr>
          <w:iCs/>
        </w:rPr>
        <w:lastRenderedPageBreak/>
        <w:t xml:space="preserve">We </w:t>
      </w:r>
      <w:r w:rsidR="007D724C">
        <w:rPr>
          <w:iCs/>
        </w:rPr>
        <w:t xml:space="preserve">require PG&amp;E to file </w:t>
      </w:r>
      <w:r w:rsidR="00A55EFD">
        <w:rPr>
          <w:iCs/>
        </w:rPr>
        <w:t xml:space="preserve">its SOMs reports </w:t>
      </w:r>
      <w:r w:rsidR="001D74BF">
        <w:rPr>
          <w:iCs/>
        </w:rPr>
        <w:t xml:space="preserve">semi-annually </w:t>
      </w:r>
      <w:r w:rsidR="00A55EFD">
        <w:rPr>
          <w:iCs/>
        </w:rPr>
        <w:t>because we want to closely monitor trends</w:t>
      </w:r>
      <w:r w:rsidR="00E33F12">
        <w:rPr>
          <w:iCs/>
        </w:rPr>
        <w:t xml:space="preserve"> </w:t>
      </w:r>
      <w:r w:rsidR="007262DD">
        <w:rPr>
          <w:iCs/>
        </w:rPr>
        <w:t xml:space="preserve">as reflected in the </w:t>
      </w:r>
      <w:r w:rsidR="00E33F12">
        <w:rPr>
          <w:iCs/>
        </w:rPr>
        <w:t xml:space="preserve">SOMs.  However, </w:t>
      </w:r>
      <w:r w:rsidR="00E10941">
        <w:rPr>
          <w:iCs/>
        </w:rPr>
        <w:t xml:space="preserve">it is reasonable that, </w:t>
      </w:r>
      <w:r w:rsidR="00E33F12">
        <w:rPr>
          <w:iCs/>
        </w:rPr>
        <w:t>after a five</w:t>
      </w:r>
      <w:r w:rsidR="00727790">
        <w:rPr>
          <w:iCs/>
        </w:rPr>
        <w:t>-</w:t>
      </w:r>
      <w:r w:rsidR="00E33F12">
        <w:rPr>
          <w:iCs/>
        </w:rPr>
        <w:t>year period</w:t>
      </w:r>
      <w:r w:rsidR="00DF4004">
        <w:rPr>
          <w:iCs/>
        </w:rPr>
        <w:t xml:space="preserve"> starting from issuance of this decision</w:t>
      </w:r>
      <w:r w:rsidR="00E33F12">
        <w:rPr>
          <w:iCs/>
        </w:rPr>
        <w:t xml:space="preserve">, </w:t>
      </w:r>
      <w:r w:rsidR="00DE37CA">
        <w:rPr>
          <w:iCs/>
        </w:rPr>
        <w:t xml:space="preserve">PG&amp;E </w:t>
      </w:r>
      <w:r w:rsidR="0090195F">
        <w:rPr>
          <w:iCs/>
        </w:rPr>
        <w:t xml:space="preserve">may </w:t>
      </w:r>
      <w:r w:rsidR="003618C1">
        <w:rPr>
          <w:iCs/>
        </w:rPr>
        <w:t xml:space="preserve">in this or a </w:t>
      </w:r>
      <w:r w:rsidR="003F6C48">
        <w:rPr>
          <w:iCs/>
        </w:rPr>
        <w:t xml:space="preserve">successor proceeding </w:t>
      </w:r>
      <w:r w:rsidR="0090195F">
        <w:rPr>
          <w:iCs/>
        </w:rPr>
        <w:t xml:space="preserve">serve and file a </w:t>
      </w:r>
      <w:r w:rsidR="003618C1">
        <w:rPr>
          <w:iCs/>
        </w:rPr>
        <w:t xml:space="preserve">request to modify the frequency of </w:t>
      </w:r>
      <w:r w:rsidR="003F6C48">
        <w:rPr>
          <w:iCs/>
        </w:rPr>
        <w:t xml:space="preserve">SOMs </w:t>
      </w:r>
      <w:r w:rsidR="003618C1">
        <w:rPr>
          <w:iCs/>
        </w:rPr>
        <w:t xml:space="preserve">reporting, </w:t>
      </w:r>
      <w:r w:rsidR="003F6C48">
        <w:rPr>
          <w:iCs/>
        </w:rPr>
        <w:t xml:space="preserve">if it wishes.  If PG&amp;E takes this step, it shall provide a rationale for this request. </w:t>
      </w:r>
    </w:p>
    <w:p w:rsidR="00B27DD3" w:rsidP="00B27DD3" w:rsidRDefault="00727790" w14:paraId="3835ED27" w14:textId="19D5DF26">
      <w:pPr>
        <w:pStyle w:val="Standard"/>
      </w:pPr>
      <w:r>
        <w:rPr>
          <w:iCs/>
        </w:rPr>
        <w:t xml:space="preserve">We </w:t>
      </w:r>
      <w:r w:rsidR="00506517">
        <w:rPr>
          <w:iCs/>
        </w:rPr>
        <w:t xml:space="preserve">adopt Staff’s proposal to use a holistic </w:t>
      </w:r>
      <w:r w:rsidR="001C7162">
        <w:rPr>
          <w:iCs/>
        </w:rPr>
        <w:t>quantitative and qualitative “indicator light” method</w:t>
      </w:r>
      <w:r w:rsidR="009D4DB2">
        <w:rPr>
          <w:iCs/>
        </w:rPr>
        <w:t xml:space="preserve"> </w:t>
      </w:r>
      <w:r w:rsidR="001C7162">
        <w:rPr>
          <w:iCs/>
        </w:rPr>
        <w:t xml:space="preserve">to assess if PG&amp;E has shown </w:t>
      </w:r>
      <w:r w:rsidR="009D4DB2">
        <w:rPr>
          <w:iCs/>
        </w:rPr>
        <w:t>“</w:t>
      </w:r>
      <w:r w:rsidR="001C7162">
        <w:rPr>
          <w:iCs/>
        </w:rPr>
        <w:t>insufficient progress</w:t>
      </w:r>
      <w:r w:rsidR="009D4DB2">
        <w:rPr>
          <w:iCs/>
        </w:rPr>
        <w:t>”</w:t>
      </w:r>
      <w:r w:rsidR="001C7162">
        <w:rPr>
          <w:iCs/>
        </w:rPr>
        <w:t xml:space="preserve"> on SOMs or has demonstrated “poor performance”</w:t>
      </w:r>
      <w:r w:rsidR="009D4DB2">
        <w:rPr>
          <w:iCs/>
        </w:rPr>
        <w:t xml:space="preserve"> as discussed in D.20-05-053.  We agree with Staff that it </w:t>
      </w:r>
      <w:r w:rsidR="005F7DAE">
        <w:rPr>
          <w:iCs/>
        </w:rPr>
        <w:t>is premature to adopt specific trigger thresholds at this stage without closely examining existing and historical data and trends and gaining more experience generally with the SOMs.</w:t>
      </w:r>
      <w:r w:rsidR="001C7162">
        <w:rPr>
          <w:iCs/>
        </w:rPr>
        <w:t xml:space="preserve">  </w:t>
      </w:r>
      <w:r w:rsidR="0066033E">
        <w:rPr>
          <w:iCs/>
        </w:rPr>
        <w:t xml:space="preserve">We </w:t>
      </w:r>
      <w:r w:rsidR="005F7DAE">
        <w:rPr>
          <w:iCs/>
        </w:rPr>
        <w:t xml:space="preserve">therefore </w:t>
      </w:r>
      <w:r w:rsidR="0066033E">
        <w:rPr>
          <w:iCs/>
        </w:rPr>
        <w:t>do not</w:t>
      </w:r>
      <w:r w:rsidR="001901C0">
        <w:rPr>
          <w:iCs/>
        </w:rPr>
        <w:t xml:space="preserve"> adopt Cal Advocates’ recommendation to immediately establ</w:t>
      </w:r>
      <w:r w:rsidR="000018EB">
        <w:rPr>
          <w:iCs/>
        </w:rPr>
        <w:t xml:space="preserve">ish a </w:t>
      </w:r>
      <w:r w:rsidR="00AC7B1D">
        <w:rPr>
          <w:iCs/>
        </w:rPr>
        <w:t xml:space="preserve">new </w:t>
      </w:r>
      <w:r w:rsidR="00EA3E22">
        <w:rPr>
          <w:iCs/>
        </w:rPr>
        <w:t>w</w:t>
      </w:r>
      <w:r w:rsidR="000018EB">
        <w:rPr>
          <w:iCs/>
        </w:rPr>
        <w:t xml:space="preserve">orking </w:t>
      </w:r>
      <w:r w:rsidR="00EA3E22">
        <w:rPr>
          <w:iCs/>
        </w:rPr>
        <w:t>g</w:t>
      </w:r>
      <w:r w:rsidR="000018EB">
        <w:rPr>
          <w:iCs/>
        </w:rPr>
        <w:t>roup to develop a framework</w:t>
      </w:r>
      <w:r w:rsidR="005D2A67">
        <w:rPr>
          <w:iCs/>
        </w:rPr>
        <w:t xml:space="preserve"> </w:t>
      </w:r>
      <w:r w:rsidR="005D2A67">
        <w:t>to move towards specific thresholds and targets for PG&amp;E’s SOMs</w:t>
      </w:r>
      <w:r w:rsidR="00FA1358">
        <w:t>.</w:t>
      </w:r>
      <w:r w:rsidR="005D2A67">
        <w:t xml:space="preserve">  However, Staff</w:t>
      </w:r>
      <w:r w:rsidR="00C106DA">
        <w:t xml:space="preserve"> and parties involved in the TWG established in this decision </w:t>
      </w:r>
      <w:r w:rsidR="00BF7E4F">
        <w:t xml:space="preserve">may </w:t>
      </w:r>
      <w:r w:rsidR="005D2A67">
        <w:t xml:space="preserve">examine this issue </w:t>
      </w:r>
      <w:r w:rsidR="00AF4A4A">
        <w:t>over time</w:t>
      </w:r>
      <w:r w:rsidR="003C3DE0">
        <w:t xml:space="preserve"> as data become available and experience is gained</w:t>
      </w:r>
      <w:r w:rsidR="008D3B2F">
        <w:t xml:space="preserve">, </w:t>
      </w:r>
      <w:r w:rsidR="0038486D">
        <w:t>as feasible</w:t>
      </w:r>
      <w:r w:rsidR="003C3DE0">
        <w:t xml:space="preserve"> given other priorities</w:t>
      </w:r>
      <w:r w:rsidR="00501958">
        <w:t xml:space="preserve"> in this proceeding</w:t>
      </w:r>
      <w:r w:rsidR="008D3B2F">
        <w:t xml:space="preserve"> </w:t>
      </w:r>
      <w:r w:rsidR="00AF4A4A">
        <w:t xml:space="preserve">and </w:t>
      </w:r>
      <w:r w:rsidR="00EE5E0C">
        <w:t>may</w:t>
      </w:r>
      <w:r w:rsidR="00AF4A4A">
        <w:t xml:space="preserve"> bring to our attention any recommendation </w:t>
      </w:r>
      <w:r w:rsidR="00F563DB">
        <w:t xml:space="preserve">for formal triggering event thresholds </w:t>
      </w:r>
      <w:r w:rsidR="003F2D4C">
        <w:t xml:space="preserve">or targets </w:t>
      </w:r>
      <w:r w:rsidR="00F563DB">
        <w:t xml:space="preserve">that </w:t>
      </w:r>
      <w:r w:rsidR="00AF4A4A">
        <w:t xml:space="preserve">they </w:t>
      </w:r>
      <w:r w:rsidR="00E14C95">
        <w:t xml:space="preserve">subsequently </w:t>
      </w:r>
      <w:r w:rsidR="00AF4A4A">
        <w:t>develop</w:t>
      </w:r>
      <w:r w:rsidR="00F563DB">
        <w:t>.</w:t>
      </w:r>
      <w:r w:rsidR="00386F3E">
        <w:t xml:space="preserve">  </w:t>
      </w:r>
    </w:p>
    <w:p w:rsidR="00637E7D" w:rsidP="00D74AFC" w:rsidRDefault="00AF4A4A" w14:paraId="272E27A3" w14:textId="78D67C4E">
      <w:pPr>
        <w:pStyle w:val="Standard"/>
      </w:pPr>
      <w:r>
        <w:t xml:space="preserve">We </w:t>
      </w:r>
      <w:r w:rsidR="00344635">
        <w:t xml:space="preserve">decline </w:t>
      </w:r>
      <w:r>
        <w:t xml:space="preserve">Cal Advocates’ recommendation to </w:t>
      </w:r>
      <w:r w:rsidR="00344635">
        <w:t>develop</w:t>
      </w:r>
      <w:r>
        <w:t xml:space="preserve"> an independent third-party audit </w:t>
      </w:r>
      <w:r w:rsidR="00ED3FBE">
        <w:t xml:space="preserve">program </w:t>
      </w:r>
      <w:r>
        <w:t>to collect SOMs data from PG&amp;E</w:t>
      </w:r>
      <w:r w:rsidR="004F2BE2">
        <w:t>.  H</w:t>
      </w:r>
      <w:r w:rsidR="005C6194">
        <w:t xml:space="preserve">owever, we </w:t>
      </w:r>
      <w:r w:rsidR="006B38BC">
        <w:t>direct staff to</w:t>
      </w:r>
      <w:r w:rsidR="00EA3E22">
        <w:t xml:space="preserve"> </w:t>
      </w:r>
      <w:r w:rsidR="00361CB0">
        <w:t>undertak</w:t>
      </w:r>
      <w:r w:rsidR="006B38BC">
        <w:t>e</w:t>
      </w:r>
      <w:r w:rsidR="00D92A3D">
        <w:t xml:space="preserve"> </w:t>
      </w:r>
      <w:r w:rsidR="21B672C3">
        <w:t>an</w:t>
      </w:r>
      <w:r w:rsidR="00361CB0">
        <w:t xml:space="preserve"> independent, third-party audit of PG&amp;E’s SOMs </w:t>
      </w:r>
      <w:r w:rsidR="00CF73B5">
        <w:t>data colle</w:t>
      </w:r>
      <w:r w:rsidR="00CA0F02">
        <w:t>c</w:t>
      </w:r>
      <w:r w:rsidR="00CF73B5">
        <w:t xml:space="preserve">tion and reporting processes </w:t>
      </w:r>
      <w:r w:rsidR="00AC3A12">
        <w:t>with</w:t>
      </w:r>
      <w:r w:rsidR="00361CB0">
        <w:t xml:space="preserve">in the next </w:t>
      </w:r>
      <w:r w:rsidR="00354C23">
        <w:t>three</w:t>
      </w:r>
      <w:r w:rsidR="00361CB0">
        <w:t xml:space="preserve"> years.  </w:t>
      </w:r>
      <w:r w:rsidR="00A247AF">
        <w:t>The</w:t>
      </w:r>
      <w:r w:rsidR="00361CB0">
        <w:t xml:space="preserve"> audit findings </w:t>
      </w:r>
      <w:r w:rsidR="00C1738C">
        <w:t xml:space="preserve">and report </w:t>
      </w:r>
      <w:r w:rsidR="00361CB0">
        <w:t xml:space="preserve">will be </w:t>
      </w:r>
      <w:r w:rsidR="00D92A3D">
        <w:t xml:space="preserve">served to members of this </w:t>
      </w:r>
      <w:r w:rsidR="003374F0">
        <w:t xml:space="preserve">proceeding’s </w:t>
      </w:r>
      <w:r w:rsidR="00D92A3D">
        <w:t>service list</w:t>
      </w:r>
      <w:r w:rsidR="002F170E">
        <w:t>, or a successor proceeding,</w:t>
      </w:r>
      <w:r w:rsidR="00D92A3D">
        <w:t xml:space="preserve"> when complete</w:t>
      </w:r>
      <w:r w:rsidR="00361CB0">
        <w:t xml:space="preserve">.  If this audit identifies significant discrepancies or concerns </w:t>
      </w:r>
      <w:r w:rsidR="00D92A3D">
        <w:t xml:space="preserve">with PG&amp;E’s SOMs data collection or reporting </w:t>
      </w:r>
      <w:r w:rsidR="00D92A3D">
        <w:lastRenderedPageBreak/>
        <w:t xml:space="preserve">processes, </w:t>
      </w:r>
      <w:r w:rsidR="00361CB0">
        <w:t>we will revisit th</w:t>
      </w:r>
      <w:r w:rsidR="00D92A3D">
        <w:t>e need for a more permanent independent third-party auditing system at that time.</w:t>
      </w:r>
      <w:r w:rsidR="00D74AFC">
        <w:t xml:space="preserve">  </w:t>
      </w:r>
      <w:r w:rsidRPr="00AD5366" w:rsidR="00AD5366">
        <w:t xml:space="preserve">We require PG&amp;E shareholders to pay for this audit, as it stems from PG&amp;E’s reorganization plan approved by the Commission. </w:t>
      </w:r>
    </w:p>
    <w:p w:rsidR="007B2B0C" w:rsidP="00145285" w:rsidRDefault="003921C1" w14:paraId="7583EC48" w14:textId="2D822709">
      <w:pPr>
        <w:pStyle w:val="Standard"/>
      </w:pPr>
      <w:r>
        <w:t>We have t</w:t>
      </w:r>
      <w:r w:rsidR="002542C3">
        <w:t>wo options to secure an independent auditor.  First, Staff</w:t>
      </w:r>
      <w:r w:rsidR="00D65426">
        <w:t xml:space="preserve"> may explore adding this scope of work to an existing auditor contract.  Second, s</w:t>
      </w:r>
      <w:r w:rsidR="005C4BC4">
        <w:t xml:space="preserve">imilar to the process recently adopted for </w:t>
      </w:r>
      <w:r w:rsidR="00981408">
        <w:t>the Independent Safety Monitor</w:t>
      </w:r>
      <w:r w:rsidR="00680844">
        <w:t xml:space="preserve"> in </w:t>
      </w:r>
      <w:r w:rsidR="00E66A82">
        <w:t>Resolution</w:t>
      </w:r>
      <w:r w:rsidR="00680844">
        <w:t xml:space="preserve"> </w:t>
      </w:r>
      <w:r w:rsidR="00E66A82">
        <w:t>M-4855,</w:t>
      </w:r>
      <w:r w:rsidR="005C4BC4">
        <w:t xml:space="preserve"> </w:t>
      </w:r>
      <w:r w:rsidR="006F7B71">
        <w:t xml:space="preserve">PG&amp;E shall undertake the solicitation process, </w:t>
      </w:r>
      <w:r w:rsidR="00807F0E">
        <w:t xml:space="preserve">but </w:t>
      </w:r>
      <w:r w:rsidR="0074784D">
        <w:t xml:space="preserve">the Commission’s Executive Director or her designee </w:t>
      </w:r>
      <w:r w:rsidR="00807F0E">
        <w:t>will make the final selection</w:t>
      </w:r>
      <w:r w:rsidR="0074784D">
        <w:t>.</w:t>
      </w:r>
      <w:r w:rsidR="00D06447">
        <w:rPr>
          <w:rStyle w:val="FootnoteReference"/>
        </w:rPr>
        <w:footnoteReference w:id="93"/>
      </w:r>
      <w:r w:rsidR="00D74AFC">
        <w:t xml:space="preserve"> </w:t>
      </w:r>
      <w:r w:rsidRPr="00B27DD3" w:rsidR="00B27DD3">
        <w:t xml:space="preserve"> SPD Staff will direct PG&amp;E in its support of drafting and issuing solicitation materials including a Request for Proposals (RFP). </w:t>
      </w:r>
      <w:r w:rsidR="00336E18">
        <w:t xml:space="preserve"> </w:t>
      </w:r>
      <w:r w:rsidRPr="00B27DD3" w:rsidR="00B27DD3">
        <w:t xml:space="preserve">While PG&amp;E will be involved with the RFP, the Commission's Executive Director or </w:t>
      </w:r>
      <w:r w:rsidR="00565374">
        <w:t xml:space="preserve">her </w:t>
      </w:r>
      <w:r w:rsidRPr="00B27DD3" w:rsidR="00B27DD3">
        <w:t xml:space="preserve">designee will have </w:t>
      </w:r>
      <w:r w:rsidR="00565374">
        <w:t xml:space="preserve">the </w:t>
      </w:r>
      <w:r w:rsidRPr="00B27DD3" w:rsidR="00B27DD3">
        <w:t xml:space="preserve">sole discretion to select the </w:t>
      </w:r>
      <w:r w:rsidR="00A6262A">
        <w:t>consultant</w:t>
      </w:r>
      <w:r w:rsidRPr="00B27DD3" w:rsidR="00B27DD3">
        <w:t xml:space="preserve"> from eligible candidates that respond to the RFP.</w:t>
      </w:r>
    </w:p>
    <w:p w:rsidRPr="002E3092" w:rsidR="0007377D" w:rsidP="002E3092" w:rsidRDefault="0007377D" w14:paraId="34E7B01E" w14:textId="003D3C33">
      <w:pPr>
        <w:pStyle w:val="Heading2"/>
      </w:pPr>
      <w:bookmarkStart w:name="_Toc80890881" w:id="97"/>
      <w:bookmarkStart w:name="_Toc87361182" w:id="98"/>
      <w:r w:rsidRPr="002E3092">
        <w:t>10.5</w:t>
      </w:r>
      <w:r w:rsidRPr="002E3092">
        <w:tab/>
      </w:r>
      <w:r w:rsidRPr="002E3092" w:rsidR="006361F3">
        <w:t>S</w:t>
      </w:r>
      <w:r w:rsidR="00BB26BC">
        <w:t xml:space="preserve">taff’s Detailed </w:t>
      </w:r>
      <w:r w:rsidRPr="002E3092" w:rsidR="006361F3">
        <w:t>SOMs</w:t>
      </w:r>
      <w:r w:rsidR="00BB26BC">
        <w:t xml:space="preserve"> Proposal</w:t>
      </w:r>
      <w:bookmarkEnd w:id="97"/>
      <w:bookmarkEnd w:id="98"/>
    </w:p>
    <w:p w:rsidR="00521FC1" w:rsidP="00521FC1" w:rsidRDefault="00E67206" w14:paraId="14F36965" w14:textId="62061454">
      <w:pPr>
        <w:pStyle w:val="Standard"/>
      </w:pPr>
      <w:r>
        <w:t>In this section we review and adopt</w:t>
      </w:r>
      <w:r w:rsidR="00190BCF">
        <w:t xml:space="preserve"> </w:t>
      </w:r>
      <w:r>
        <w:t>Staff’s proposed</w:t>
      </w:r>
      <w:r w:rsidR="00171C6B">
        <w:t xml:space="preserve"> SOMs</w:t>
      </w:r>
      <w:r>
        <w:t xml:space="preserve">, some with modifications.  </w:t>
      </w:r>
      <w:r w:rsidR="003C1F39">
        <w:t>We split three of Staff’s proposed SOMs in</w:t>
      </w:r>
      <w:r w:rsidR="00B46F94">
        <w:t xml:space="preserve"> two</w:t>
      </w:r>
      <w:r w:rsidR="00122FB5">
        <w:t xml:space="preserve"> to </w:t>
      </w:r>
      <w:r w:rsidR="00565374">
        <w:t xml:space="preserve">create </w:t>
      </w:r>
      <w:r w:rsidR="00122FB5">
        <w:t xml:space="preserve">separate </w:t>
      </w:r>
      <w:r w:rsidR="007E06FC">
        <w:t xml:space="preserve">SOMs </w:t>
      </w:r>
      <w:r w:rsidR="00122FB5">
        <w:t xml:space="preserve">reporting on </w:t>
      </w:r>
      <w:r w:rsidR="00B46F94">
        <w:t xml:space="preserve">primary and secondary distribution lines and </w:t>
      </w:r>
      <w:r w:rsidR="00122FB5">
        <w:t>transmission lines and adopt an additional SOM on SIF Actual</w:t>
      </w:r>
      <w:r w:rsidR="00CA309F">
        <w:t xml:space="preserve"> (Public</w:t>
      </w:r>
      <w:r w:rsidR="00122FB5">
        <w:t>) for a total of 3</w:t>
      </w:r>
      <w:r w:rsidR="00441AD8">
        <w:t>2</w:t>
      </w:r>
      <w:r w:rsidR="00336E18">
        <w:t> </w:t>
      </w:r>
      <w:r w:rsidR="00122FB5">
        <w:t xml:space="preserve">adopted SOMs.  </w:t>
      </w:r>
      <w:r w:rsidR="002945AD">
        <w:t xml:space="preserve">Our adopted </w:t>
      </w:r>
      <w:r w:rsidR="00354C23">
        <w:t xml:space="preserve">SOMs </w:t>
      </w:r>
      <w:r w:rsidR="00B93634">
        <w:t>are set forth</w:t>
      </w:r>
      <w:r w:rsidR="00171C6B">
        <w:t xml:space="preserve"> as </w:t>
      </w:r>
      <w:r w:rsidRPr="004E503E" w:rsidR="00171C6B">
        <w:t xml:space="preserve">Appendix </w:t>
      </w:r>
      <w:r w:rsidRPr="004E503E" w:rsidR="00354C23">
        <w:t>A.</w:t>
      </w:r>
      <w:r w:rsidRPr="004E503E" w:rsidR="00B93634">
        <w:t xml:space="preserve">  Appendix </w:t>
      </w:r>
      <w:r w:rsidR="000B3A90">
        <w:t>E</w:t>
      </w:r>
      <w:r w:rsidRPr="004E503E" w:rsidR="00B93634">
        <w:t xml:space="preserve"> contains</w:t>
      </w:r>
      <w:r w:rsidR="00B93634">
        <w:t xml:space="preserve"> </w:t>
      </w:r>
      <w:r w:rsidR="00156789">
        <w:t xml:space="preserve">a redlined version of </w:t>
      </w:r>
      <w:r w:rsidR="00B93634">
        <w:t xml:space="preserve">the Staff SOMs Proposal as </w:t>
      </w:r>
      <w:r w:rsidR="00AB1E7E">
        <w:t xml:space="preserve">modified and </w:t>
      </w:r>
      <w:r w:rsidR="00B93634">
        <w:t>adopted</w:t>
      </w:r>
      <w:r w:rsidR="0074784D">
        <w:t xml:space="preserve"> here</w:t>
      </w:r>
      <w:r w:rsidR="00AB1E7E">
        <w:t>.</w:t>
      </w:r>
      <w:r w:rsidR="00AD5035">
        <w:t xml:space="preserve">  </w:t>
      </w:r>
      <w:r w:rsidR="00AA259C">
        <w:t xml:space="preserve">Each section below presents Staff’s SOMs proposal followed by </w:t>
      </w:r>
      <w:r w:rsidR="0074784D">
        <w:t xml:space="preserve">a </w:t>
      </w:r>
      <w:r w:rsidR="00AA259C">
        <w:t xml:space="preserve">review of party comments and discussion. </w:t>
      </w:r>
    </w:p>
    <w:p w:rsidR="002D0307" w:rsidP="006E0AA9" w:rsidRDefault="00521FC1" w14:paraId="15C964E6" w14:textId="61C7DF2D">
      <w:pPr>
        <w:pStyle w:val="Standard"/>
      </w:pPr>
      <w:r>
        <w:lastRenderedPageBreak/>
        <w:t xml:space="preserve">We </w:t>
      </w:r>
      <w:r w:rsidR="006D3F29">
        <w:t>affirm</w:t>
      </w:r>
      <w:r w:rsidDel="006D3F29">
        <w:t xml:space="preserve"> </w:t>
      </w:r>
      <w:r>
        <w:t xml:space="preserve">here that </w:t>
      </w:r>
      <w:r w:rsidRPr="002D0307" w:rsidR="002D0307">
        <w:rPr>
          <w:iCs/>
        </w:rPr>
        <w:t>SOMs may overlap with other triggering events described in the EOE Process</w:t>
      </w:r>
      <w:r w:rsidR="00225B3C">
        <w:t xml:space="preserve">, and both may </w:t>
      </w:r>
      <w:r w:rsidRPr="002D0307" w:rsidR="002D0307">
        <w:rPr>
          <w:iCs/>
        </w:rPr>
        <w:t xml:space="preserve">overlap with the Commission’s recently updated Enforcement </w:t>
      </w:r>
      <w:r w:rsidRPr="00426FB2" w:rsidR="002D0307">
        <w:rPr>
          <w:iCs/>
        </w:rPr>
        <w:t>Policy</w:t>
      </w:r>
      <w:r w:rsidRPr="00426FB2" w:rsidR="002D0307">
        <w:rPr>
          <w:iCs/>
          <w:vertAlign w:val="superscript"/>
        </w:rPr>
        <w:footnoteReference w:id="94"/>
      </w:r>
      <w:r w:rsidRPr="00426FB2" w:rsidR="002D0307">
        <w:rPr>
          <w:iCs/>
        </w:rPr>
        <w:t xml:space="preserve"> and enforcement aspects of the SPMs adopted in D.19-04-020.</w:t>
      </w:r>
      <w:r w:rsidRPr="00426FB2" w:rsidR="002D0307">
        <w:rPr>
          <w:iCs/>
          <w:vertAlign w:val="superscript"/>
        </w:rPr>
        <w:footnoteReference w:id="95"/>
      </w:r>
      <w:r w:rsidRPr="00426FB2" w:rsidR="002D0307">
        <w:rPr>
          <w:iCs/>
        </w:rPr>
        <w:t xml:space="preserve">  </w:t>
      </w:r>
      <w:r w:rsidRPr="00426FB2" w:rsidR="00225B3C">
        <w:rPr>
          <w:iCs/>
        </w:rPr>
        <w:t>B</w:t>
      </w:r>
      <w:r w:rsidRPr="00426FB2" w:rsidR="002D0307">
        <w:rPr>
          <w:iCs/>
        </w:rPr>
        <w:t>ecause of the mention</w:t>
      </w:r>
      <w:r w:rsidRPr="002D0307" w:rsidR="002D0307">
        <w:rPr>
          <w:iCs/>
        </w:rPr>
        <w:t xml:space="preserve"> of “safe… service consistent with California’s clean energy goals,” the SOMs and the EOE Process may </w:t>
      </w:r>
      <w:r w:rsidR="00565374">
        <w:rPr>
          <w:iCs/>
        </w:rPr>
        <w:t xml:space="preserve">also </w:t>
      </w:r>
      <w:r w:rsidRPr="002D0307" w:rsidR="002D0307">
        <w:rPr>
          <w:iCs/>
        </w:rPr>
        <w:t xml:space="preserve">overlap with questions regarding </w:t>
      </w:r>
      <w:r w:rsidR="002C2B5C">
        <w:rPr>
          <w:iCs/>
        </w:rPr>
        <w:t>PG&amp;E</w:t>
      </w:r>
      <w:r w:rsidR="00745118">
        <w:rPr>
          <w:iCs/>
        </w:rPr>
        <w:t>’s</w:t>
      </w:r>
      <w:r w:rsidR="002C2B5C">
        <w:rPr>
          <w:iCs/>
        </w:rPr>
        <w:t xml:space="preserve"> </w:t>
      </w:r>
      <w:r w:rsidRPr="002D0307" w:rsidR="002D0307">
        <w:rPr>
          <w:iCs/>
        </w:rPr>
        <w:t xml:space="preserve">compliance </w:t>
      </w:r>
      <w:r w:rsidR="00745118">
        <w:rPr>
          <w:iCs/>
        </w:rPr>
        <w:t>with</w:t>
      </w:r>
      <w:r w:rsidRPr="002D0307" w:rsidR="002D0307">
        <w:rPr>
          <w:iCs/>
        </w:rPr>
        <w:t xml:space="preserve"> California’s GHG emissions reduction goals</w:t>
      </w:r>
      <w:r w:rsidR="002F075F">
        <w:rPr>
          <w:iCs/>
        </w:rPr>
        <w:t xml:space="preserve">, other clean energy goals, </w:t>
      </w:r>
      <w:r w:rsidR="00450166">
        <w:rPr>
          <w:iCs/>
        </w:rPr>
        <w:t xml:space="preserve">California </w:t>
      </w:r>
      <w:r w:rsidR="000C57D8">
        <w:rPr>
          <w:iCs/>
        </w:rPr>
        <w:t>Occ</w:t>
      </w:r>
      <w:r w:rsidRPr="002D0307" w:rsidR="002D0307">
        <w:rPr>
          <w:iCs/>
        </w:rPr>
        <w:t xml:space="preserve">upational Health and Safety </w:t>
      </w:r>
      <w:r w:rsidR="00450166">
        <w:rPr>
          <w:iCs/>
        </w:rPr>
        <w:t xml:space="preserve">Administration (OSHA) </w:t>
      </w:r>
      <w:r w:rsidRPr="002D0307" w:rsidR="002D0307">
        <w:rPr>
          <w:iCs/>
        </w:rPr>
        <w:t xml:space="preserve">rules, and other state laws and regulations. </w:t>
      </w:r>
    </w:p>
    <w:p w:rsidR="00B7608D" w:rsidP="003D686A" w:rsidRDefault="00B7608D" w14:paraId="00CA885A" w14:textId="151CED2C">
      <w:pPr>
        <w:pStyle w:val="Heading3"/>
      </w:pPr>
      <w:bookmarkStart w:name="_Toc80890882" w:id="99"/>
      <w:bookmarkStart w:name="_Toc87361183" w:id="100"/>
      <w:r>
        <w:t>10.5.1</w:t>
      </w:r>
      <w:r>
        <w:tab/>
      </w:r>
      <w:r w:rsidR="00A23928">
        <w:t>SIF</w:t>
      </w:r>
      <w:r w:rsidR="009E2C75">
        <w:t xml:space="preserve"> </w:t>
      </w:r>
      <w:r w:rsidR="00A23928">
        <w:t>Related SOMs</w:t>
      </w:r>
      <w:r w:rsidR="00C029A9">
        <w:t xml:space="preserve"> (#s 1.1 – 1.4)</w:t>
      </w:r>
      <w:bookmarkEnd w:id="99"/>
      <w:bookmarkEnd w:id="100"/>
    </w:p>
    <w:p w:rsidR="00A23928" w:rsidP="004F4A56" w:rsidRDefault="00A23928" w14:paraId="52542824" w14:textId="2BE1BCCF">
      <w:pPr>
        <w:pStyle w:val="Standard"/>
      </w:pPr>
      <w:r>
        <w:t>Staff proposed four SIF</w:t>
      </w:r>
      <w:r w:rsidR="009E2C75">
        <w:t xml:space="preserve"> </w:t>
      </w:r>
      <w:r>
        <w:t>related SOMs, as indicated below</w:t>
      </w:r>
      <w:r w:rsidR="006A6A69">
        <w:t>:</w:t>
      </w:r>
      <w:r>
        <w:t xml:space="preserve"> </w:t>
      </w:r>
    </w:p>
    <w:p w:rsidR="00D844AA" w:rsidP="00C21B8C" w:rsidRDefault="00D844AA" w14:paraId="3033B10D" w14:textId="70A995D1">
      <w:pPr>
        <w:pStyle w:val="Standard"/>
        <w:ind w:left="720"/>
      </w:pPr>
      <w:r>
        <w:t>1.</w:t>
      </w:r>
      <w:r w:rsidRPr="00775D74">
        <w:t xml:space="preserve">1: </w:t>
      </w:r>
      <w:r w:rsidRPr="00775D74" w:rsidR="002D63CD">
        <w:t xml:space="preserve"> </w:t>
      </w:r>
      <w:r w:rsidRPr="00775D74" w:rsidR="0055297D">
        <w:rPr>
          <w:color w:val="000000"/>
          <w:szCs w:val="26"/>
        </w:rPr>
        <w:t>Rate</w:t>
      </w:r>
      <w:r w:rsidRPr="00C21B8C" w:rsidR="0055297D">
        <w:rPr>
          <w:color w:val="000000"/>
          <w:szCs w:val="26"/>
        </w:rPr>
        <w:t xml:space="preserve"> of SIF Actual (Employee)</w:t>
      </w:r>
    </w:p>
    <w:p w:rsidRPr="00C21B8C" w:rsidR="00C21B8C" w:rsidP="00C21B8C" w:rsidRDefault="00C21B8C" w14:paraId="4F946F5C" w14:textId="0248617C">
      <w:pPr>
        <w:pStyle w:val="Standard"/>
        <w:ind w:left="720"/>
        <w:rPr>
          <w:szCs w:val="26"/>
        </w:rPr>
      </w:pPr>
      <w:r w:rsidRPr="00C21B8C">
        <w:rPr>
          <w:color w:val="000000"/>
          <w:szCs w:val="26"/>
        </w:rPr>
        <w:t>1.2:  Rate of SIF Actual (Contractor)</w:t>
      </w:r>
    </w:p>
    <w:p w:rsidRPr="00C21B8C" w:rsidR="00C21B8C" w:rsidP="00C21B8C" w:rsidRDefault="00C21B8C" w14:paraId="33A4F719" w14:textId="34114F22">
      <w:pPr>
        <w:pStyle w:val="Standard"/>
        <w:ind w:left="720"/>
        <w:rPr>
          <w:szCs w:val="26"/>
        </w:rPr>
      </w:pPr>
      <w:r w:rsidRPr="00C21B8C">
        <w:rPr>
          <w:color w:val="000000"/>
          <w:szCs w:val="26"/>
        </w:rPr>
        <w:t>1.3:  Rate of SIF Potential (Employee)</w:t>
      </w:r>
    </w:p>
    <w:p w:rsidRPr="00C21B8C" w:rsidR="00C21B8C" w:rsidP="00C21B8C" w:rsidRDefault="00C21B8C" w14:paraId="639D7BD0" w14:textId="48128905">
      <w:pPr>
        <w:pStyle w:val="Standard"/>
        <w:ind w:left="720"/>
        <w:rPr>
          <w:szCs w:val="26"/>
        </w:rPr>
      </w:pPr>
      <w:r w:rsidRPr="00C21B8C">
        <w:rPr>
          <w:color w:val="000000"/>
          <w:szCs w:val="26"/>
        </w:rPr>
        <w:t>1.4:  Rate of SIF Potential (Contractor)</w:t>
      </w:r>
    </w:p>
    <w:p w:rsidRPr="006744BF" w:rsidR="002E64F3" w:rsidP="00767508" w:rsidRDefault="004A58D2" w14:paraId="5409A638" w14:textId="127E574D">
      <w:pPr>
        <w:pStyle w:val="Standard"/>
        <w:rPr>
          <w:i/>
        </w:rPr>
      </w:pPr>
      <w:r>
        <w:t>Staff d</w:t>
      </w:r>
      <w:r w:rsidR="00F34284">
        <w:t>i</w:t>
      </w:r>
      <w:r>
        <w:t>d not propose a SIF</w:t>
      </w:r>
      <w:r w:rsidR="00192097">
        <w:t xml:space="preserve"> Actual (Public) SOM</w:t>
      </w:r>
      <w:r w:rsidR="008A7191">
        <w:t xml:space="preserve">, which PG&amp;E had </w:t>
      </w:r>
      <w:r w:rsidR="00505BD7">
        <w:t>earlier</w:t>
      </w:r>
      <w:r w:rsidR="0074784D">
        <w:t xml:space="preserve"> proposed.</w:t>
      </w:r>
      <w:r w:rsidR="006744BF">
        <w:rPr>
          <w:rStyle w:val="FootnoteReference"/>
        </w:rPr>
        <w:footnoteReference w:id="96"/>
      </w:r>
      <w:r w:rsidR="00F34284">
        <w:t xml:space="preserve">  Staff </w:t>
      </w:r>
      <w:r w:rsidR="00F15539">
        <w:t xml:space="preserve">asserts </w:t>
      </w:r>
      <w:r w:rsidR="00F34284">
        <w:t>that</w:t>
      </w:r>
      <w:r w:rsidR="008D4FD2">
        <w:t xml:space="preserve"> this step is not necessary as </w:t>
      </w:r>
      <w:r w:rsidR="00793AAA">
        <w:t>severe criminal and civil penalties</w:t>
      </w:r>
      <w:r w:rsidR="00173590">
        <w:t>,</w:t>
      </w:r>
      <w:r w:rsidR="00793AAA">
        <w:t xml:space="preserve"> and other consequences already result to PG&amp;E from </w:t>
      </w:r>
      <w:r w:rsidR="00633D6F">
        <w:t>“spikes” in SIF</w:t>
      </w:r>
      <w:r w:rsidR="001935A9">
        <w:t xml:space="preserve"> Actual (Public)</w:t>
      </w:r>
      <w:r w:rsidR="0074784D">
        <w:t xml:space="preserve"> occurrences</w:t>
      </w:r>
      <w:r w:rsidR="001935A9">
        <w:t>.</w:t>
      </w:r>
      <w:r w:rsidR="00F66194">
        <w:rPr>
          <w:rStyle w:val="FootnoteReference"/>
        </w:rPr>
        <w:footnoteReference w:id="97"/>
      </w:r>
      <w:r w:rsidR="001935A9">
        <w:t xml:space="preserve">  </w:t>
      </w:r>
    </w:p>
    <w:p w:rsidR="00354C23" w:rsidP="004B37B2" w:rsidRDefault="00354C23" w14:paraId="7761B921" w14:textId="117B59B6">
      <w:pPr>
        <w:pStyle w:val="Heading4"/>
      </w:pPr>
      <w:bookmarkStart w:name="_Toc80890883" w:id="101"/>
      <w:bookmarkStart w:name="_Toc87361184" w:id="102"/>
      <w:r>
        <w:lastRenderedPageBreak/>
        <w:t>10.5.1.1</w:t>
      </w:r>
      <w:r>
        <w:tab/>
        <w:t>Party Comments</w:t>
      </w:r>
      <w:bookmarkEnd w:id="101"/>
      <w:bookmarkEnd w:id="102"/>
    </w:p>
    <w:p w:rsidR="00DC74E1" w:rsidP="004F4A56" w:rsidRDefault="00BA5E1A" w14:paraId="37A12F19" w14:textId="77777777">
      <w:pPr>
        <w:pStyle w:val="Standard"/>
      </w:pPr>
      <w:r>
        <w:t xml:space="preserve">Parties generally support Staff’s proposed SIF related SOMs.  </w:t>
      </w:r>
      <w:r w:rsidR="00010A27">
        <w:t>However, Cal Advocates and TURN strongly recommend adoption of a</w:t>
      </w:r>
      <w:r w:rsidR="00F15539">
        <w:t xml:space="preserve"> </w:t>
      </w:r>
      <w:r w:rsidR="00A569BB">
        <w:t xml:space="preserve">SIF Actual (Public) SOM. </w:t>
      </w:r>
      <w:r w:rsidR="00DD34E8">
        <w:t xml:space="preserve"> </w:t>
      </w:r>
      <w:r w:rsidR="00E2431A">
        <w:t>These parties contend that this metric adds a comprehensive view of PG&amp;E’s safety performance</w:t>
      </w:r>
      <w:r w:rsidR="00DC46F4">
        <w:t xml:space="preserve"> </w:t>
      </w:r>
      <w:r w:rsidR="00004271">
        <w:t xml:space="preserve">and </w:t>
      </w:r>
      <w:r w:rsidR="00DC46F4">
        <w:t xml:space="preserve">is critical to monitor and drive safety improvements and close safety gaps not encompassed by SIF metrics </w:t>
      </w:r>
      <w:r w:rsidR="00004271">
        <w:t xml:space="preserve">on </w:t>
      </w:r>
      <w:r w:rsidR="00DC46F4">
        <w:t xml:space="preserve">employees and contractors. </w:t>
      </w:r>
      <w:r w:rsidR="00EF30BB">
        <w:t xml:space="preserve"> </w:t>
      </w:r>
    </w:p>
    <w:p w:rsidRPr="005C4D8B" w:rsidR="005C4D8B" w:rsidP="005C4D8B" w:rsidRDefault="00BD1E2D" w14:paraId="4BAC48BC" w14:textId="13E7F2FA">
      <w:pPr>
        <w:pStyle w:val="Standard"/>
      </w:pPr>
      <w:r>
        <w:t xml:space="preserve">In comments on the Staff Proposal, </w:t>
      </w:r>
      <w:r w:rsidR="005443F3">
        <w:t xml:space="preserve">PG&amp;E </w:t>
      </w:r>
      <w:r w:rsidR="00D715BE">
        <w:t xml:space="preserve">agreed with </w:t>
      </w:r>
      <w:r w:rsidR="005B4307">
        <w:t xml:space="preserve">Staff and </w:t>
      </w:r>
      <w:r w:rsidR="005443F3">
        <w:t>oppose</w:t>
      </w:r>
      <w:r w:rsidR="005B4307">
        <w:t xml:space="preserve">d adopting </w:t>
      </w:r>
      <w:r>
        <w:t>a SIF Actual (Public)</w:t>
      </w:r>
      <w:r w:rsidR="005B4307">
        <w:t xml:space="preserve"> SOM</w:t>
      </w:r>
      <w:r w:rsidR="004350AA">
        <w:t xml:space="preserve">.  However, </w:t>
      </w:r>
      <w:r w:rsidR="0099555A">
        <w:t xml:space="preserve">as discussed above, </w:t>
      </w:r>
      <w:r>
        <w:t xml:space="preserve">PG&amp;E </w:t>
      </w:r>
      <w:r w:rsidR="00BE2C3B">
        <w:t xml:space="preserve">had </w:t>
      </w:r>
      <w:r w:rsidR="004350AA">
        <w:t xml:space="preserve">earlier </w:t>
      </w:r>
      <w:r>
        <w:t>state</w:t>
      </w:r>
      <w:r w:rsidR="004350AA">
        <w:t>d</w:t>
      </w:r>
      <w:r>
        <w:t xml:space="preserve"> that </w:t>
      </w:r>
      <w:r w:rsidR="00E35C85">
        <w:t>“</w:t>
      </w:r>
      <w:r w:rsidRPr="00E35C85" w:rsidR="00E35C85">
        <w:t xml:space="preserve">a public safety metric should be </w:t>
      </w:r>
      <w:r w:rsidR="000F7071">
        <w:t>included in the suite of SOMs</w:t>
      </w:r>
      <w:r w:rsidR="00FE438A">
        <w:t>”</w:t>
      </w:r>
      <w:r w:rsidR="001902AC">
        <w:t xml:space="preserve"> if the metric is limited to public safety incidents </w:t>
      </w:r>
      <w:r w:rsidR="00DC74E1">
        <w:t>“</w:t>
      </w:r>
      <w:r w:rsidRPr="000F7071" w:rsidR="00DC74E1">
        <w:rPr>
          <w:i/>
          <w:iCs/>
        </w:rPr>
        <w:t>resulting from work on</w:t>
      </w:r>
      <w:r w:rsidRPr="00DC74E1" w:rsidR="00DC74E1">
        <w:t xml:space="preserve"> or </w:t>
      </w:r>
      <w:r w:rsidRPr="00DC74E1" w:rsidR="00DC74E1">
        <w:rPr>
          <w:i/>
          <w:iCs/>
        </w:rPr>
        <w:t>caused by</w:t>
      </w:r>
      <w:r w:rsidRPr="00DC74E1" w:rsidR="00DC74E1">
        <w:t xml:space="preserve"> a failure or malfunction of PG&amp;E facilities</w:t>
      </w:r>
      <w:r w:rsidR="00DC74E1">
        <w:t xml:space="preserve">” as opposed to </w:t>
      </w:r>
      <w:r w:rsidR="003F2C92">
        <w:t>any incident “</w:t>
      </w:r>
      <w:r w:rsidRPr="000F7071" w:rsidR="003F2C92">
        <w:rPr>
          <w:i/>
          <w:iCs/>
        </w:rPr>
        <w:t>involving</w:t>
      </w:r>
      <w:r w:rsidRPr="003F2C92" w:rsidR="003F2C92">
        <w:t xml:space="preserve"> utility facilities or equipment</w:t>
      </w:r>
      <w:r w:rsidR="003F2C92">
        <w:t xml:space="preserve">,” as </w:t>
      </w:r>
      <w:r w:rsidR="0085072E">
        <w:t>the SIF</w:t>
      </w:r>
      <w:r w:rsidR="004350AA">
        <w:t xml:space="preserve"> </w:t>
      </w:r>
      <w:r w:rsidR="00F0140D">
        <w:t>Actual (</w:t>
      </w:r>
      <w:r w:rsidR="0085072E">
        <w:t>Public</w:t>
      </w:r>
      <w:r w:rsidR="00F0140D">
        <w:t>)</w:t>
      </w:r>
      <w:r w:rsidR="004350AA">
        <w:t xml:space="preserve"> </w:t>
      </w:r>
      <w:r w:rsidR="003F2C92">
        <w:t>SPM #22</w:t>
      </w:r>
      <w:r w:rsidR="00D64F3A">
        <w:t>, adopted in D.19</w:t>
      </w:r>
      <w:r w:rsidR="00FE30C0">
        <w:noBreakHyphen/>
      </w:r>
      <w:r w:rsidR="00D64F3A">
        <w:t>04</w:t>
      </w:r>
      <w:r w:rsidR="00FE30C0">
        <w:noBreakHyphen/>
      </w:r>
      <w:r w:rsidR="00D64F3A">
        <w:t xml:space="preserve">020, </w:t>
      </w:r>
      <w:r w:rsidR="0085072E">
        <w:t xml:space="preserve">is </w:t>
      </w:r>
      <w:r w:rsidR="008A2A7A">
        <w:t>defined</w:t>
      </w:r>
      <w:r w:rsidR="004350AA">
        <w:t>.</w:t>
      </w:r>
      <w:r w:rsidR="00FE438A">
        <w:rPr>
          <w:rStyle w:val="FootnoteReference"/>
        </w:rPr>
        <w:footnoteReference w:id="98"/>
      </w:r>
      <w:r w:rsidR="005C4D8B">
        <w:t xml:space="preserve">  </w:t>
      </w:r>
      <w:r w:rsidR="00AC397A">
        <w:t xml:space="preserve">PG&amp;E </w:t>
      </w:r>
      <w:r w:rsidR="00E645FE">
        <w:t>states that additional</w:t>
      </w:r>
      <w:r w:rsidR="00AC397A">
        <w:t xml:space="preserve"> </w:t>
      </w:r>
      <w:r w:rsidR="001A24F1">
        <w:t xml:space="preserve">work </w:t>
      </w:r>
      <w:r w:rsidR="00E645FE">
        <w:t xml:space="preserve">is </w:t>
      </w:r>
      <w:r w:rsidR="001A24F1">
        <w:t>needed</w:t>
      </w:r>
      <w:r w:rsidR="00AC397A">
        <w:t xml:space="preserve"> to define and report a </w:t>
      </w:r>
      <w:r w:rsidR="000D2F05">
        <w:t>SIF Actual (Public) SOM</w:t>
      </w:r>
      <w:r w:rsidR="00D64F3A">
        <w:t>, however</w:t>
      </w:r>
      <w:r w:rsidR="002D022F">
        <w:t xml:space="preserve">.  </w:t>
      </w:r>
      <w:r w:rsidR="00280E8E">
        <w:t xml:space="preserve">PG&amp;E </w:t>
      </w:r>
      <w:r w:rsidR="002D022F">
        <w:t>ask</w:t>
      </w:r>
      <w:r w:rsidR="00637A77">
        <w:t>ed</w:t>
      </w:r>
      <w:r w:rsidR="00AC397A">
        <w:t xml:space="preserve"> </w:t>
      </w:r>
      <w:r w:rsidR="00CB591E">
        <w:t xml:space="preserve">how </w:t>
      </w:r>
      <w:r w:rsidR="002D022F">
        <w:t>it</w:t>
      </w:r>
      <w:r w:rsidR="00280E8E">
        <w:t xml:space="preserve"> should </w:t>
      </w:r>
      <w:r w:rsidRPr="005C4D8B" w:rsidR="005C4D8B">
        <w:t xml:space="preserve">establish controls and processes </w:t>
      </w:r>
      <w:r w:rsidR="00280E8E">
        <w:t xml:space="preserve">to </w:t>
      </w:r>
      <w:r w:rsidRPr="005C4D8B" w:rsidR="005C4D8B">
        <w:t>identify when a member of the public’s injury is life-threatening or</w:t>
      </w:r>
      <w:r w:rsidR="00306204">
        <w:t xml:space="preserve"> </w:t>
      </w:r>
      <w:r w:rsidRPr="005C4D8B" w:rsidR="005C4D8B">
        <w:t>life-altering</w:t>
      </w:r>
      <w:r w:rsidR="00637A77">
        <w:t xml:space="preserve"> and </w:t>
      </w:r>
      <w:r w:rsidR="00924F63">
        <w:t>propose</w:t>
      </w:r>
      <w:r w:rsidR="00637A77">
        <w:t>d</w:t>
      </w:r>
      <w:r w:rsidR="00924F63">
        <w:t xml:space="preserve"> to </w:t>
      </w:r>
      <w:r w:rsidRPr="005C4D8B" w:rsidR="005C4D8B">
        <w:t xml:space="preserve">apply </w:t>
      </w:r>
      <w:r w:rsidR="0031608E">
        <w:t>its</w:t>
      </w:r>
      <w:r w:rsidRPr="005C4D8B" w:rsidR="005C4D8B">
        <w:t xml:space="preserve"> definition to historical data</w:t>
      </w:r>
      <w:r w:rsidR="00C93EA2">
        <w:t xml:space="preserve"> and </w:t>
      </w:r>
      <w:r w:rsidRPr="005C4D8B" w:rsidR="005C4D8B">
        <w:t xml:space="preserve">implement a </w:t>
      </w:r>
      <w:r w:rsidR="00C93EA2">
        <w:t>“</w:t>
      </w:r>
      <w:r w:rsidRPr="005C4D8B" w:rsidR="005C4D8B">
        <w:t>track-only</w:t>
      </w:r>
      <w:r w:rsidR="00C93EA2">
        <w:t>”</w:t>
      </w:r>
      <w:r w:rsidRPr="005C4D8B" w:rsidR="005C4D8B">
        <w:t xml:space="preserve"> period to test and validate the metric</w:t>
      </w:r>
      <w:r w:rsidR="00C93EA2">
        <w:t>.</w:t>
      </w:r>
      <w:r w:rsidR="00C93EA2">
        <w:rPr>
          <w:rStyle w:val="FootnoteReference"/>
        </w:rPr>
        <w:footnoteReference w:id="99"/>
      </w:r>
    </w:p>
    <w:p w:rsidRPr="00354C23" w:rsidR="00354C23" w:rsidP="003F6BB8" w:rsidRDefault="00306490" w14:paraId="442D5809" w14:textId="1F066A9D">
      <w:pPr>
        <w:pStyle w:val="Standard"/>
      </w:pPr>
      <w:r>
        <w:t xml:space="preserve">Regarding </w:t>
      </w:r>
      <w:r w:rsidR="00841A9A">
        <w:t xml:space="preserve">Staff’s proposed SOMs # </w:t>
      </w:r>
      <w:r w:rsidR="00AE7318">
        <w:t xml:space="preserve">1.3 </w:t>
      </w:r>
      <w:r w:rsidR="00B013CD">
        <w:t xml:space="preserve">(Rate of SIF Potential (Employee)) </w:t>
      </w:r>
      <w:r w:rsidR="00AE7318">
        <w:t>and 1.4</w:t>
      </w:r>
      <w:r w:rsidR="00B013CD">
        <w:t xml:space="preserve"> (</w:t>
      </w:r>
      <w:r w:rsidRPr="00991BEC" w:rsidR="00B013CD">
        <w:t>Rate of SIF Potential</w:t>
      </w:r>
      <w:r w:rsidR="00B013CD">
        <w:t xml:space="preserve"> </w:t>
      </w:r>
      <w:r w:rsidRPr="00991BEC" w:rsidR="00B013CD">
        <w:t>(</w:t>
      </w:r>
      <w:r w:rsidR="00B013CD">
        <w:t>Contractor</w:t>
      </w:r>
      <w:r w:rsidRPr="00991BEC" w:rsidR="00B013CD">
        <w:t>)</w:t>
      </w:r>
      <w:r w:rsidR="00B013CD">
        <w:t>)</w:t>
      </w:r>
      <w:r w:rsidR="00AE7318">
        <w:t xml:space="preserve">, Cal Advocates recommends the Commission reclassify these as SPMs.  Cal Advocates </w:t>
      </w:r>
      <w:r w:rsidR="00C10A2C">
        <w:t xml:space="preserve">observes that it is </w:t>
      </w:r>
      <w:r w:rsidRPr="00C10A2C" w:rsidR="00C10A2C">
        <w:t>detrimental to safety to penalize a utility</w:t>
      </w:r>
      <w:r w:rsidR="00C10A2C">
        <w:t xml:space="preserve">, its employees, or contractors </w:t>
      </w:r>
      <w:r w:rsidRPr="00C10A2C" w:rsidR="00C10A2C">
        <w:t xml:space="preserve">for </w:t>
      </w:r>
      <w:r w:rsidRPr="00C10A2C" w:rsidR="00C10A2C">
        <w:lastRenderedPageBreak/>
        <w:t>reporting potentially hazardous conditions</w:t>
      </w:r>
      <w:r w:rsidR="009034CC">
        <w:t>, and</w:t>
      </w:r>
      <w:r w:rsidR="00E870BD">
        <w:t xml:space="preserve"> an</w:t>
      </w:r>
      <w:r w:rsidRPr="00C10A2C" w:rsidR="00C10A2C">
        <w:t xml:space="preserve"> increase in SIF Potential </w:t>
      </w:r>
      <w:r w:rsidR="008C4F72">
        <w:t xml:space="preserve">incidents </w:t>
      </w:r>
      <w:r w:rsidRPr="00C10A2C" w:rsidR="00C10A2C">
        <w:t xml:space="preserve">may indicate either improved reporting or </w:t>
      </w:r>
      <w:r w:rsidR="008C4F72">
        <w:t xml:space="preserve">an </w:t>
      </w:r>
      <w:r w:rsidRPr="00C10A2C" w:rsidR="00C10A2C">
        <w:t xml:space="preserve">increasing number of potentially hazardous conditions. </w:t>
      </w:r>
      <w:r w:rsidR="00FE30C0">
        <w:t xml:space="preserve"> </w:t>
      </w:r>
      <w:r w:rsidRPr="00C10A2C" w:rsidR="00C10A2C">
        <w:t xml:space="preserve">Cal Advocates opposes </w:t>
      </w:r>
      <w:r w:rsidR="00F07681">
        <w:t>us</w:t>
      </w:r>
      <w:r w:rsidR="000D2F05">
        <w:t>e</w:t>
      </w:r>
      <w:r w:rsidR="00F07681">
        <w:t xml:space="preserve"> of SIF </w:t>
      </w:r>
      <w:r w:rsidR="005068F6">
        <w:t>P</w:t>
      </w:r>
      <w:r w:rsidR="00F07681">
        <w:t xml:space="preserve">otential </w:t>
      </w:r>
      <w:r w:rsidRPr="00C10A2C" w:rsidR="00C10A2C">
        <w:t>as a</w:t>
      </w:r>
      <w:r w:rsidR="007F3204">
        <w:t>n</w:t>
      </w:r>
      <w:r w:rsidRPr="00C10A2C" w:rsidR="00C10A2C">
        <w:t xml:space="preserve"> SOM</w:t>
      </w:r>
      <w:r w:rsidR="00F07681">
        <w:t xml:space="preserve"> </w:t>
      </w:r>
      <w:r w:rsidR="00533AFE">
        <w:t>because</w:t>
      </w:r>
      <w:r w:rsidRPr="00C10A2C" w:rsidR="00C10A2C">
        <w:t xml:space="preserve"> that ambiguity may incentivize underreporting.</w:t>
      </w:r>
      <w:r w:rsidR="00F07681">
        <w:t xml:space="preserve">  In reply comments, PG&amp;E agrees. </w:t>
      </w:r>
    </w:p>
    <w:p w:rsidR="00354C23" w:rsidP="004B37B2" w:rsidRDefault="00354C23" w14:paraId="22256F16" w14:textId="416A8C8B">
      <w:pPr>
        <w:pStyle w:val="Heading4"/>
      </w:pPr>
      <w:bookmarkStart w:name="_Toc80890884" w:id="103"/>
      <w:bookmarkStart w:name="_Toc87361185" w:id="104"/>
      <w:r>
        <w:t>10.5.1.2</w:t>
      </w:r>
      <w:r>
        <w:tab/>
        <w:t>Discussion</w:t>
      </w:r>
      <w:bookmarkEnd w:id="103"/>
      <w:bookmarkEnd w:id="104"/>
    </w:p>
    <w:p w:rsidR="005863BF" w:rsidP="005863BF" w:rsidRDefault="003F6BB8" w14:paraId="12D33287" w14:textId="3CDE77B7">
      <w:pPr>
        <w:pStyle w:val="Standard"/>
      </w:pPr>
      <w:r>
        <w:t>We adopt a SIF Actual (Public) SOM for PG&amp;E</w:t>
      </w:r>
      <w:r w:rsidR="00874E5E">
        <w:t xml:space="preserve"> </w:t>
      </w:r>
      <w:r w:rsidR="00DE3F2A">
        <w:t xml:space="preserve">using a modified version of the definition </w:t>
      </w:r>
      <w:r w:rsidR="00874E5E">
        <w:t xml:space="preserve">PG&amp;E </w:t>
      </w:r>
      <w:r w:rsidR="00DE3F2A">
        <w:t xml:space="preserve">offered </w:t>
      </w:r>
      <w:r w:rsidR="00874E5E">
        <w:t xml:space="preserve">in its </w:t>
      </w:r>
      <w:r w:rsidR="00FA6080">
        <w:t>February 12, 2021</w:t>
      </w:r>
      <w:r w:rsidR="00436762">
        <w:t>,</w:t>
      </w:r>
      <w:r w:rsidR="00FA6080">
        <w:t xml:space="preserve"> f</w:t>
      </w:r>
      <w:r w:rsidR="00436762">
        <w:t>ilin</w:t>
      </w:r>
      <w:r w:rsidR="00FA6080">
        <w:t>g</w:t>
      </w:r>
      <w:r w:rsidR="0099555A">
        <w:t>, as follows:</w:t>
      </w:r>
      <w:r w:rsidR="00051166">
        <w:t xml:space="preserve"> </w:t>
      </w:r>
    </w:p>
    <w:p w:rsidR="00C64A8C" w:rsidP="002D63CD" w:rsidRDefault="009C318F" w14:paraId="4E03033F" w14:textId="77ED8AB1">
      <w:pPr>
        <w:pStyle w:val="BlockQuote"/>
        <w:spacing w:line="240" w:lineRule="auto"/>
        <w:ind w:right="1440" w:firstLine="0"/>
      </w:pPr>
      <w:r w:rsidRPr="00775D74">
        <w:t xml:space="preserve">A fatality or personal injury requiring in-patient hospitalization for other than medical observations </w:t>
      </w:r>
      <w:r w:rsidR="00C84EAE">
        <w:t xml:space="preserve">that an authority having jurisdiction has determined resulted directly from incorrect operation of equipment, </w:t>
      </w:r>
      <w:r w:rsidRPr="00775D74">
        <w:t xml:space="preserve">failure or malfunction of </w:t>
      </w:r>
      <w:r w:rsidR="00C84EAE">
        <w:t>utility-owned equipment, or failu</w:t>
      </w:r>
      <w:r w:rsidR="00086321">
        <w:t>re to comply with any Commission rule</w:t>
      </w:r>
      <w:r w:rsidR="00807229">
        <w:t xml:space="preserve"> or standard.</w:t>
      </w:r>
      <w:r w:rsidR="00086321">
        <w:t xml:space="preserve"> Equipment includes utility or contractor vehicles and aircraft used during the course of business. </w:t>
      </w:r>
      <w:r w:rsidRPr="00775D74">
        <w:t xml:space="preserve"> </w:t>
      </w:r>
    </w:p>
    <w:p w:rsidR="0019691D" w:rsidRDefault="0019691D" w14:paraId="73A3E5AE" w14:textId="02F6DC0E">
      <w:pPr>
        <w:pStyle w:val="Standard"/>
      </w:pPr>
      <w:r>
        <w:t>We modif</w:t>
      </w:r>
      <w:r w:rsidR="004C17B0">
        <w:t>y</w:t>
      </w:r>
      <w:r>
        <w:t xml:space="preserve"> </w:t>
      </w:r>
      <w:r w:rsidR="0058346D">
        <w:t xml:space="preserve">the definition of SIF Actual (Public) as proposed by </w:t>
      </w:r>
      <w:r>
        <w:t>PG&amp;E in several ways</w:t>
      </w:r>
      <w:r w:rsidR="003C788D">
        <w:t xml:space="preserve"> (</w:t>
      </w:r>
      <w:r w:rsidRPr="00C962CC" w:rsidR="003C788D">
        <w:rPr>
          <w:i/>
          <w:iCs/>
        </w:rPr>
        <w:t>see</w:t>
      </w:r>
      <w:r w:rsidR="003C788D">
        <w:t xml:space="preserve"> section 1</w:t>
      </w:r>
      <w:r w:rsidR="0099555A">
        <w:t>0.3</w:t>
      </w:r>
      <w:r w:rsidR="00A72D6F">
        <w:t>) and</w:t>
      </w:r>
      <w:r w:rsidR="0058346D">
        <w:t xml:space="preserve"> adopt this modified </w:t>
      </w:r>
      <w:r w:rsidR="00AC6960">
        <w:t>definition as part of the Staff</w:t>
      </w:r>
      <w:r w:rsidR="009B3778">
        <w:t xml:space="preserve"> Proposal</w:t>
      </w:r>
      <w:r>
        <w:t xml:space="preserve">. </w:t>
      </w:r>
      <w:r w:rsidR="00041CE2">
        <w:t xml:space="preserve"> </w:t>
      </w:r>
      <w:r w:rsidR="00612001">
        <w:t xml:space="preserve">First, we remove the concept of “life-altering” as subjective.  Second, we retain the concept that </w:t>
      </w:r>
      <w:r w:rsidR="004C17B0">
        <w:t xml:space="preserve">it must be “determined” that a </w:t>
      </w:r>
      <w:r w:rsidR="004F4002">
        <w:t xml:space="preserve">fatality or serious injury </w:t>
      </w:r>
      <w:r w:rsidR="004C17B0">
        <w:t>resulted from or was caused by PG&amp;E equipment but clarif</w:t>
      </w:r>
      <w:r w:rsidR="00C81519">
        <w:t>y</w:t>
      </w:r>
      <w:r w:rsidR="004C17B0">
        <w:t xml:space="preserve"> this to </w:t>
      </w:r>
      <w:r w:rsidR="00430C5A">
        <w:t xml:space="preserve">state that any </w:t>
      </w:r>
      <w:r w:rsidR="004C17B0">
        <w:t xml:space="preserve">determination will </w:t>
      </w:r>
      <w:r w:rsidR="00C81519">
        <w:t>be made by an “authority having jurisdiction.”</w:t>
      </w:r>
      <w:r w:rsidR="00430C5A">
        <w:t xml:space="preserve">  Third, we found the </w:t>
      </w:r>
      <w:r w:rsidR="0074202B">
        <w:t xml:space="preserve">phrase “resulting from work on or caused by failure or malfunction” to inadequately reflect the range of </w:t>
      </w:r>
      <w:r w:rsidR="00890705">
        <w:t xml:space="preserve">areas that should be tracked and considered; therefore, we </w:t>
      </w:r>
      <w:r w:rsidR="007569CC">
        <w:t xml:space="preserve">add the phase “resulting from incorrect operation of equipment.” </w:t>
      </w:r>
      <w:r w:rsidR="00041CE2">
        <w:t xml:space="preserve"> </w:t>
      </w:r>
      <w:r w:rsidR="0079428E">
        <w:t xml:space="preserve">Fourth, we specify that PG&amp;E equipment includes not only stationary facilities but </w:t>
      </w:r>
      <w:r w:rsidR="00F83104">
        <w:t xml:space="preserve">vehicles and aircraft.  </w:t>
      </w:r>
    </w:p>
    <w:p w:rsidR="000C1AB1" w:rsidRDefault="00D06451" w14:paraId="722DA3B2" w14:textId="3DA38930">
      <w:pPr>
        <w:pStyle w:val="Standard"/>
      </w:pPr>
      <w:r>
        <w:t xml:space="preserve">We agree with Cal Advocates and TURN that </w:t>
      </w:r>
      <w:r w:rsidR="0099555A">
        <w:t>adopt</w:t>
      </w:r>
      <w:r>
        <w:t>ing this as a SOM adds a comprehensive view of PG&amp;E’s safety performance</w:t>
      </w:r>
      <w:r w:rsidR="00D64F3A">
        <w:t xml:space="preserve">.  </w:t>
      </w:r>
      <w:r w:rsidR="009D1856">
        <w:t xml:space="preserve">Staff is correct that civil or </w:t>
      </w:r>
      <w:r w:rsidR="009D1856">
        <w:lastRenderedPageBreak/>
        <w:t xml:space="preserve">criminal penalties are applicable if authorities determine that an incident </w:t>
      </w:r>
      <w:r w:rsidRPr="00BC36AE" w:rsidR="009D1856">
        <w:t>resulted from work on</w:t>
      </w:r>
      <w:r w:rsidRPr="00DC74E1" w:rsidR="009D1856">
        <w:t xml:space="preserve"> or </w:t>
      </w:r>
      <w:r w:rsidRPr="00BC36AE" w:rsidR="009D1856">
        <w:t>was caused by</w:t>
      </w:r>
      <w:r w:rsidRPr="00DC74E1" w:rsidR="009D1856">
        <w:t xml:space="preserve"> a failure or malfunction of PG&amp;E facilities</w:t>
      </w:r>
      <w:r w:rsidR="009D1856">
        <w:t xml:space="preserve">.  However, it is also appropriate that poor performance in this most serious of areas </w:t>
      </w:r>
      <w:r w:rsidR="00070897">
        <w:t>bears consideration</w:t>
      </w:r>
      <w:r w:rsidR="009D1856">
        <w:t xml:space="preserve"> in Commission use of the EOE Process.  </w:t>
      </w:r>
      <w:r w:rsidR="00D64F3A">
        <w:t xml:space="preserve">We </w:t>
      </w:r>
      <w:r w:rsidR="000C1AB1">
        <w:t>also</w:t>
      </w:r>
      <w:r w:rsidR="00D64F3A">
        <w:t xml:space="preserve"> believe this SOM</w:t>
      </w:r>
      <w:r>
        <w:t xml:space="preserve"> is appropriate to use in relation to </w:t>
      </w:r>
      <w:r w:rsidR="0082156C">
        <w:t xml:space="preserve">PG&amp;E </w:t>
      </w:r>
      <w:r>
        <w:t xml:space="preserve">executive compensation </w:t>
      </w:r>
      <w:r w:rsidR="0082156C">
        <w:t xml:space="preserve">determinations.  </w:t>
      </w:r>
    </w:p>
    <w:p w:rsidR="00FA6080" w:rsidP="00FA6080" w:rsidRDefault="00FC3988" w14:paraId="431133A6" w14:textId="3A8311A5">
      <w:pPr>
        <w:pStyle w:val="Standard"/>
      </w:pPr>
      <w:r w:rsidRPr="00FC3988">
        <w:t>We do not as</w:t>
      </w:r>
      <w:r>
        <w:t>k</w:t>
      </w:r>
      <w:r w:rsidRPr="00FC3988">
        <w:t xml:space="preserve"> the TWG established in this decision to develop controls and processes to identify when a member of the public’s injury is life-threatening or life-altering, </w:t>
      </w:r>
      <w:r w:rsidR="00BF680A">
        <w:t xml:space="preserve">as requested by PG&amp;E, </w:t>
      </w:r>
      <w:r w:rsidR="00790E22">
        <w:t xml:space="preserve">as this is </w:t>
      </w:r>
      <w:r w:rsidRPr="00FC3988">
        <w:t>unnecessary</w:t>
      </w:r>
      <w:r w:rsidR="000C1AB1">
        <w:t xml:space="preserve"> given the modifications we adopt here</w:t>
      </w:r>
      <w:r w:rsidRPr="00FC3988">
        <w:t xml:space="preserve">.  </w:t>
      </w:r>
      <w:r w:rsidR="000C1AB1">
        <w:t>Additionally, w</w:t>
      </w:r>
      <w:r w:rsidR="003D6CDF">
        <w:t xml:space="preserve">ith regards to </w:t>
      </w:r>
      <w:r w:rsidR="00B6062A">
        <w:t>the required one</w:t>
      </w:r>
      <w:r w:rsidR="00C962CC">
        <w:noBreakHyphen/>
      </w:r>
      <w:r w:rsidR="00B6062A">
        <w:t xml:space="preserve"> and fiv</w:t>
      </w:r>
      <w:r w:rsidR="00726224">
        <w:t>e-</w:t>
      </w:r>
      <w:r w:rsidR="00B6062A">
        <w:t>year targets for SOM</w:t>
      </w:r>
      <w:r w:rsidR="00D64F3A">
        <w:t xml:space="preserve">s adopted in </w:t>
      </w:r>
      <w:r w:rsidR="00C962CC">
        <w:t>S</w:t>
      </w:r>
      <w:r w:rsidR="00D64F3A">
        <w:t>ection 10.4.</w:t>
      </w:r>
      <w:r w:rsidR="00A91362">
        <w:t>4</w:t>
      </w:r>
      <w:r w:rsidR="00B6062A">
        <w:t xml:space="preserve"> </w:t>
      </w:r>
      <w:r w:rsidR="00691161">
        <w:t xml:space="preserve">(presented in </w:t>
      </w:r>
      <w:r w:rsidR="00C962CC">
        <w:t>S</w:t>
      </w:r>
      <w:r w:rsidR="00691161">
        <w:t>ection</w:t>
      </w:r>
      <w:r w:rsidR="00C962CC">
        <w:t> </w:t>
      </w:r>
      <w:r w:rsidR="00691161">
        <w:t xml:space="preserve">10.4.2), </w:t>
      </w:r>
      <w:r w:rsidR="00B6062A">
        <w:t xml:space="preserve">we clarify that PG&amp;E may propose directional targets </w:t>
      </w:r>
      <w:r w:rsidR="000D598F">
        <w:t>(</w:t>
      </w:r>
      <w:r w:rsidRPr="00FE30C0" w:rsidR="000D598F">
        <w:rPr>
          <w:i/>
          <w:iCs/>
        </w:rPr>
        <w:t>i.e</w:t>
      </w:r>
      <w:r w:rsidR="000D598F">
        <w:t xml:space="preserve">. that do not consist of numerical values) </w:t>
      </w:r>
      <w:r w:rsidR="00B6062A">
        <w:t>for th</w:t>
      </w:r>
      <w:r w:rsidR="0099555A">
        <w:t>e adopted</w:t>
      </w:r>
      <w:r w:rsidR="009D1856">
        <w:t xml:space="preserve"> SIF Actual (Public) SOM</w:t>
      </w:r>
      <w:r w:rsidR="00DA63FA">
        <w:t>.</w:t>
      </w:r>
      <w:r w:rsidR="006E0AE7">
        <w:t xml:space="preserve"> </w:t>
      </w:r>
    </w:p>
    <w:p w:rsidRPr="00775D74" w:rsidR="00874E5E" w:rsidP="00874E5E" w:rsidRDefault="004A41C0" w14:paraId="000CCFEE" w14:textId="5148C08E">
      <w:pPr>
        <w:pStyle w:val="Standard"/>
      </w:pPr>
      <w:r>
        <w:t xml:space="preserve">Regarding </w:t>
      </w:r>
      <w:r w:rsidR="009507B7">
        <w:t xml:space="preserve">Rate of </w:t>
      </w:r>
      <w:r>
        <w:t>SIF Potential SOMs (</w:t>
      </w:r>
      <w:r w:rsidR="009507B7">
        <w:t xml:space="preserve">#1.3, 1.4), we </w:t>
      </w:r>
      <w:r w:rsidR="005744DC">
        <w:t>do not adopt th</w:t>
      </w:r>
      <w:r w:rsidR="00ED2CB7">
        <w:t xml:space="preserve">ese as SOMs.  Instead, </w:t>
      </w:r>
      <w:r w:rsidR="006E5EC6">
        <w:t xml:space="preserve">as discussed </w:t>
      </w:r>
      <w:r w:rsidRPr="00775D74" w:rsidR="0003532D">
        <w:t xml:space="preserve">in </w:t>
      </w:r>
      <w:r w:rsidRPr="00775D74" w:rsidR="002D63CD">
        <w:t>S</w:t>
      </w:r>
      <w:r w:rsidRPr="00775D74" w:rsidR="0003532D">
        <w:t xml:space="preserve">ection </w:t>
      </w:r>
      <w:r w:rsidRPr="00775D74" w:rsidR="00B677C7">
        <w:t>11.4.2</w:t>
      </w:r>
      <w:r w:rsidRPr="00775D74" w:rsidR="0003532D">
        <w:t xml:space="preserve">, </w:t>
      </w:r>
      <w:r w:rsidRPr="00775D74" w:rsidR="00ED2CB7">
        <w:t xml:space="preserve">we </w:t>
      </w:r>
      <w:r w:rsidRPr="00775D74" w:rsidR="009507B7">
        <w:t>recategorize these as SPMs</w:t>
      </w:r>
      <w:r w:rsidRPr="00775D74" w:rsidR="00DB6BAA">
        <w:t xml:space="preserve"> that will apply to all IOUs.  We agree with Cal Advocates that </w:t>
      </w:r>
      <w:r w:rsidRPr="00775D74" w:rsidR="006932D1">
        <w:t>because improved reporting can result in an increase in these metrics</w:t>
      </w:r>
      <w:r w:rsidR="0099555A">
        <w:t>,</w:t>
      </w:r>
      <w:r w:rsidRPr="00775D74" w:rsidR="006932D1">
        <w:t xml:space="preserve"> </w:t>
      </w:r>
      <w:r w:rsidRPr="00775D74" w:rsidR="00424A76">
        <w:t>they are best used to monitor trends, not as a basis to initiate enforcement actions</w:t>
      </w:r>
      <w:r w:rsidRPr="00775D74" w:rsidR="00874E5E">
        <w:t xml:space="preserve">.  </w:t>
      </w:r>
    </w:p>
    <w:p w:rsidR="007F6290" w:rsidP="009E0317" w:rsidRDefault="009E0317" w14:paraId="6119D9FF" w14:textId="1343ABE4">
      <w:pPr>
        <w:pStyle w:val="Heading3"/>
      </w:pPr>
      <w:bookmarkStart w:name="_Toc80890885" w:id="105"/>
      <w:bookmarkStart w:name="_Toc87361186" w:id="106"/>
      <w:r w:rsidRPr="00775D74">
        <w:t>10.5.2</w:t>
      </w:r>
      <w:r w:rsidRPr="00775D74">
        <w:tab/>
      </w:r>
      <w:r w:rsidRPr="00775D74" w:rsidR="007F6290">
        <w:t>Reliability</w:t>
      </w:r>
      <w:r w:rsidRPr="00775D74" w:rsidR="00651791">
        <w:t xml:space="preserve"> </w:t>
      </w:r>
      <w:r w:rsidRPr="00775D74" w:rsidR="007F6290">
        <w:t>Related SOMs</w:t>
      </w:r>
      <w:r w:rsidRPr="00775D74" w:rsidR="0077585A">
        <w:t xml:space="preserve"> </w:t>
      </w:r>
      <w:r w:rsidRPr="00775D74" w:rsidR="002D63CD">
        <w:br/>
      </w:r>
      <w:r w:rsidRPr="00775D74" w:rsidR="0077585A">
        <w:t>(#s 2.1 – 2.12)</w:t>
      </w:r>
      <w:bookmarkEnd w:id="105"/>
      <w:bookmarkEnd w:id="106"/>
    </w:p>
    <w:p w:rsidR="00FA5BB2" w:rsidP="00853D22" w:rsidRDefault="00BB5D7E" w14:paraId="27440ED9" w14:textId="1C606672">
      <w:pPr>
        <w:pStyle w:val="Standard"/>
        <w:rPr>
          <w:szCs w:val="26"/>
        </w:rPr>
      </w:pPr>
      <w:r>
        <w:rPr>
          <w:szCs w:val="26"/>
        </w:rPr>
        <w:t xml:space="preserve">The </w:t>
      </w:r>
      <w:r w:rsidRPr="00B85431" w:rsidR="007F6290">
        <w:rPr>
          <w:szCs w:val="26"/>
        </w:rPr>
        <w:t xml:space="preserve">Staff </w:t>
      </w:r>
      <w:r>
        <w:rPr>
          <w:szCs w:val="26"/>
        </w:rPr>
        <w:t>Proposal recommend</w:t>
      </w:r>
      <w:r w:rsidR="00FE2F78">
        <w:rPr>
          <w:szCs w:val="26"/>
        </w:rPr>
        <w:t>s</w:t>
      </w:r>
      <w:r>
        <w:rPr>
          <w:szCs w:val="26"/>
        </w:rPr>
        <w:t xml:space="preserve"> the Commission adopt </w:t>
      </w:r>
      <w:r w:rsidRPr="00B85431" w:rsidR="00344C95">
        <w:rPr>
          <w:szCs w:val="26"/>
        </w:rPr>
        <w:t>12</w:t>
      </w:r>
      <w:r w:rsidRPr="00B85431" w:rsidR="007F6290">
        <w:rPr>
          <w:szCs w:val="26"/>
        </w:rPr>
        <w:t xml:space="preserve"> reliability</w:t>
      </w:r>
      <w:r w:rsidRPr="00B85431" w:rsidR="00651791">
        <w:rPr>
          <w:szCs w:val="26"/>
        </w:rPr>
        <w:t xml:space="preserve"> </w:t>
      </w:r>
      <w:r w:rsidRPr="00B85431" w:rsidR="007F6290">
        <w:rPr>
          <w:szCs w:val="26"/>
        </w:rPr>
        <w:t>related S</w:t>
      </w:r>
      <w:r w:rsidR="00854ACD">
        <w:rPr>
          <w:szCs w:val="26"/>
        </w:rPr>
        <w:t>OMs</w:t>
      </w:r>
      <w:r w:rsidRPr="00B85431" w:rsidR="007F6290">
        <w:rPr>
          <w:szCs w:val="26"/>
        </w:rPr>
        <w:t xml:space="preserve">.  </w:t>
      </w:r>
      <w:r w:rsidRPr="00B85431" w:rsidR="00651791">
        <w:rPr>
          <w:szCs w:val="26"/>
        </w:rPr>
        <w:t xml:space="preserve">This includes </w:t>
      </w:r>
      <w:r w:rsidR="00380879">
        <w:rPr>
          <w:szCs w:val="26"/>
        </w:rPr>
        <w:t xml:space="preserve">seven SOMs related to </w:t>
      </w:r>
      <w:r w:rsidR="00762AA3">
        <w:rPr>
          <w:szCs w:val="26"/>
        </w:rPr>
        <w:t>s</w:t>
      </w:r>
      <w:r w:rsidRPr="00380879" w:rsidR="00380879">
        <w:rPr>
          <w:szCs w:val="26"/>
        </w:rPr>
        <w:t xml:space="preserve">ystem </w:t>
      </w:r>
      <w:r w:rsidR="00762AA3">
        <w:rPr>
          <w:szCs w:val="26"/>
        </w:rPr>
        <w:t>a</w:t>
      </w:r>
      <w:r w:rsidRPr="00380879" w:rsidR="00380879">
        <w:rPr>
          <w:szCs w:val="26"/>
        </w:rPr>
        <w:t xml:space="preserve">verage </w:t>
      </w:r>
      <w:r w:rsidR="00762AA3">
        <w:rPr>
          <w:szCs w:val="26"/>
        </w:rPr>
        <w:t>i</w:t>
      </w:r>
      <w:r w:rsidRPr="00380879" w:rsidR="00380879">
        <w:rPr>
          <w:szCs w:val="26"/>
        </w:rPr>
        <w:t xml:space="preserve">nterruption </w:t>
      </w:r>
      <w:r w:rsidR="00762AA3">
        <w:rPr>
          <w:szCs w:val="26"/>
        </w:rPr>
        <w:t>d</w:t>
      </w:r>
      <w:r w:rsidRPr="00380879" w:rsidR="00380879">
        <w:rPr>
          <w:szCs w:val="26"/>
        </w:rPr>
        <w:t>uration (SAIDI)</w:t>
      </w:r>
      <w:r w:rsidR="00762AA3">
        <w:rPr>
          <w:szCs w:val="26"/>
        </w:rPr>
        <w:t>, s</w:t>
      </w:r>
      <w:r w:rsidRPr="00762AA3" w:rsidR="00762AA3">
        <w:rPr>
          <w:szCs w:val="26"/>
        </w:rPr>
        <w:t xml:space="preserve">ystem </w:t>
      </w:r>
      <w:r w:rsidR="00762AA3">
        <w:rPr>
          <w:szCs w:val="26"/>
        </w:rPr>
        <w:t>a</w:t>
      </w:r>
      <w:r w:rsidRPr="00762AA3" w:rsidR="00762AA3">
        <w:rPr>
          <w:szCs w:val="26"/>
        </w:rPr>
        <w:t xml:space="preserve">verage </w:t>
      </w:r>
      <w:r w:rsidR="00B82114">
        <w:rPr>
          <w:szCs w:val="26"/>
        </w:rPr>
        <w:t>i</w:t>
      </w:r>
      <w:r w:rsidRPr="00762AA3" w:rsidR="00762AA3">
        <w:rPr>
          <w:szCs w:val="26"/>
        </w:rPr>
        <w:t xml:space="preserve">nterruption </w:t>
      </w:r>
      <w:r w:rsidR="00B82114">
        <w:rPr>
          <w:szCs w:val="26"/>
        </w:rPr>
        <w:t>frequency</w:t>
      </w:r>
      <w:r w:rsidRPr="00762AA3" w:rsidR="00762AA3">
        <w:rPr>
          <w:szCs w:val="26"/>
        </w:rPr>
        <w:t xml:space="preserve"> (SAI</w:t>
      </w:r>
      <w:r w:rsidR="00B82114">
        <w:rPr>
          <w:szCs w:val="26"/>
        </w:rPr>
        <w:t>F</w:t>
      </w:r>
      <w:r w:rsidRPr="00762AA3" w:rsidR="00762AA3">
        <w:rPr>
          <w:szCs w:val="26"/>
        </w:rPr>
        <w:t>I)</w:t>
      </w:r>
      <w:r w:rsidR="00762AA3">
        <w:rPr>
          <w:szCs w:val="26"/>
        </w:rPr>
        <w:t xml:space="preserve">, and </w:t>
      </w:r>
      <w:r w:rsidR="00B82114">
        <w:rPr>
          <w:szCs w:val="26"/>
        </w:rPr>
        <w:t>c</w:t>
      </w:r>
      <w:r w:rsidRPr="00762AA3" w:rsidR="00762AA3">
        <w:rPr>
          <w:szCs w:val="26"/>
        </w:rPr>
        <w:t xml:space="preserve">ustomer </w:t>
      </w:r>
      <w:r w:rsidR="00B82114">
        <w:rPr>
          <w:szCs w:val="26"/>
        </w:rPr>
        <w:t>a</w:t>
      </w:r>
      <w:r w:rsidRPr="00762AA3" w:rsidR="00762AA3">
        <w:rPr>
          <w:szCs w:val="26"/>
        </w:rPr>
        <w:t xml:space="preserve">verage </w:t>
      </w:r>
      <w:r w:rsidR="00B82114">
        <w:rPr>
          <w:szCs w:val="26"/>
        </w:rPr>
        <w:t>i</w:t>
      </w:r>
      <w:r w:rsidRPr="00762AA3" w:rsidR="00762AA3">
        <w:rPr>
          <w:szCs w:val="26"/>
        </w:rPr>
        <w:t xml:space="preserve">nterruption </w:t>
      </w:r>
      <w:r w:rsidR="00B82114">
        <w:rPr>
          <w:szCs w:val="26"/>
        </w:rPr>
        <w:t>d</w:t>
      </w:r>
      <w:r w:rsidRPr="00762AA3" w:rsidR="00762AA3">
        <w:rPr>
          <w:szCs w:val="26"/>
        </w:rPr>
        <w:t xml:space="preserve">uration </w:t>
      </w:r>
      <w:r w:rsidR="00B82114">
        <w:rPr>
          <w:szCs w:val="26"/>
        </w:rPr>
        <w:t>i</w:t>
      </w:r>
      <w:r w:rsidRPr="00762AA3" w:rsidR="00762AA3">
        <w:rPr>
          <w:szCs w:val="26"/>
        </w:rPr>
        <w:t xml:space="preserve">ndex </w:t>
      </w:r>
      <w:r w:rsidR="00B82114">
        <w:rPr>
          <w:szCs w:val="26"/>
        </w:rPr>
        <w:t>(CAI</w:t>
      </w:r>
      <w:r w:rsidR="00A91362">
        <w:rPr>
          <w:szCs w:val="26"/>
        </w:rPr>
        <w:t>D</w:t>
      </w:r>
      <w:r w:rsidR="00B82114">
        <w:rPr>
          <w:szCs w:val="26"/>
        </w:rPr>
        <w:t>I)</w:t>
      </w:r>
      <w:r w:rsidR="00E42ECD">
        <w:rPr>
          <w:szCs w:val="26"/>
        </w:rPr>
        <w:t xml:space="preserve">, </w:t>
      </w:r>
      <w:r>
        <w:rPr>
          <w:szCs w:val="26"/>
        </w:rPr>
        <w:t xml:space="preserve">three </w:t>
      </w:r>
      <w:r w:rsidRPr="00B85431" w:rsidR="00651791">
        <w:rPr>
          <w:szCs w:val="26"/>
        </w:rPr>
        <w:t xml:space="preserve">PSPS related SOMs and </w:t>
      </w:r>
      <w:r w:rsidR="00C9316F">
        <w:rPr>
          <w:szCs w:val="26"/>
        </w:rPr>
        <w:t>two</w:t>
      </w:r>
      <w:r w:rsidR="00FE30C0">
        <w:rPr>
          <w:szCs w:val="26"/>
        </w:rPr>
        <w:t> </w:t>
      </w:r>
      <w:r w:rsidRPr="00B85431" w:rsidR="00651791">
        <w:rPr>
          <w:szCs w:val="26"/>
        </w:rPr>
        <w:t>SOMs related to system average outages due to vegetation and equipment damage</w:t>
      </w:r>
      <w:r w:rsidRPr="00B85431" w:rsidR="00344C95">
        <w:rPr>
          <w:szCs w:val="26"/>
        </w:rPr>
        <w:t xml:space="preserve"> </w:t>
      </w:r>
      <w:r w:rsidRPr="00B85431" w:rsidR="00651791">
        <w:rPr>
          <w:szCs w:val="26"/>
        </w:rPr>
        <w:t xml:space="preserve">in </w:t>
      </w:r>
      <w:r w:rsidR="00196D58">
        <w:rPr>
          <w:szCs w:val="26"/>
        </w:rPr>
        <w:t xml:space="preserve">Tier 2 and Tier 3 </w:t>
      </w:r>
      <w:r w:rsidRPr="00B85431" w:rsidR="00651791">
        <w:rPr>
          <w:szCs w:val="26"/>
        </w:rPr>
        <w:t>high fire threat districts (HFTDs).</w:t>
      </w:r>
    </w:p>
    <w:p w:rsidRPr="00155F12" w:rsidR="00854ACD" w:rsidP="002058B9" w:rsidRDefault="00854ACD" w14:paraId="113FE46E" w14:textId="130567E3">
      <w:pPr>
        <w:pStyle w:val="Standard"/>
        <w:keepNext/>
        <w:rPr>
          <w:szCs w:val="26"/>
        </w:rPr>
      </w:pPr>
      <w:r w:rsidRPr="00155F12">
        <w:rPr>
          <w:szCs w:val="26"/>
        </w:rPr>
        <w:lastRenderedPageBreak/>
        <w:t xml:space="preserve">The reliability SOMs proposed by Staff are: </w:t>
      </w:r>
    </w:p>
    <w:p w:rsidRPr="00775D74" w:rsidR="00854ACD" w:rsidP="00142E2E" w:rsidRDefault="00923B05" w14:paraId="2EFB5077" w14:textId="26260639">
      <w:pPr>
        <w:pStyle w:val="Standard"/>
        <w:keepNext/>
        <w:numPr>
          <w:ilvl w:val="0"/>
          <w:numId w:val="25"/>
        </w:numPr>
        <w:spacing w:after="120" w:line="240" w:lineRule="auto"/>
        <w:ind w:left="1080" w:right="1440"/>
        <w:rPr>
          <w:szCs w:val="26"/>
        </w:rPr>
      </w:pPr>
      <w:r w:rsidRPr="00ED04D1">
        <w:rPr>
          <w:color w:val="000000" w:themeColor="text1"/>
          <w:szCs w:val="26"/>
        </w:rPr>
        <w:t>2.</w:t>
      </w:r>
      <w:r w:rsidRPr="00775D74">
        <w:rPr>
          <w:color w:val="000000" w:themeColor="text1"/>
          <w:szCs w:val="26"/>
        </w:rPr>
        <w:t xml:space="preserve">1: </w:t>
      </w:r>
      <w:r w:rsidRPr="00775D74" w:rsidR="002D63CD">
        <w:rPr>
          <w:color w:val="000000" w:themeColor="text1"/>
          <w:szCs w:val="26"/>
        </w:rPr>
        <w:t xml:space="preserve"> </w:t>
      </w:r>
      <w:r w:rsidRPr="00775D74" w:rsidR="00F929A8">
        <w:rPr>
          <w:color w:val="000000" w:themeColor="text1"/>
          <w:szCs w:val="26"/>
        </w:rPr>
        <w:t>System Average Interruption Duration (SAIDI) (Unplanned)</w:t>
      </w:r>
    </w:p>
    <w:p w:rsidRPr="00775D74" w:rsidR="00F929A8" w:rsidP="00142E2E" w:rsidRDefault="00923B05" w14:paraId="5F3A7DAB" w14:textId="1BC97B9F">
      <w:pPr>
        <w:pStyle w:val="Standard"/>
        <w:numPr>
          <w:ilvl w:val="0"/>
          <w:numId w:val="25"/>
        </w:numPr>
        <w:spacing w:after="120" w:line="240" w:lineRule="auto"/>
        <w:ind w:left="1080" w:right="1440"/>
        <w:rPr>
          <w:szCs w:val="26"/>
        </w:rPr>
      </w:pPr>
      <w:r w:rsidRPr="00775D74">
        <w:rPr>
          <w:szCs w:val="26"/>
        </w:rPr>
        <w:t>2.2</w:t>
      </w:r>
      <w:r w:rsidRPr="00775D74" w:rsidR="001E0A38">
        <w:rPr>
          <w:szCs w:val="26"/>
        </w:rPr>
        <w:t>:</w:t>
      </w:r>
      <w:r w:rsidRPr="00775D74" w:rsidR="002D63CD">
        <w:rPr>
          <w:szCs w:val="26"/>
        </w:rPr>
        <w:t xml:space="preserve"> </w:t>
      </w:r>
      <w:r w:rsidRPr="00775D74">
        <w:rPr>
          <w:szCs w:val="26"/>
        </w:rPr>
        <w:t xml:space="preserve"> </w:t>
      </w:r>
      <w:r w:rsidRPr="00775D74" w:rsidR="0058548D">
        <w:rPr>
          <w:szCs w:val="26"/>
        </w:rPr>
        <w:t>System Average Interruption Duration (SAIDI) (All</w:t>
      </w:r>
      <w:r w:rsidRPr="00775D74" w:rsidR="00987E00">
        <w:rPr>
          <w:szCs w:val="26"/>
        </w:rPr>
        <w:t> </w:t>
      </w:r>
      <w:r w:rsidRPr="00775D74" w:rsidR="0058548D">
        <w:rPr>
          <w:szCs w:val="26"/>
        </w:rPr>
        <w:t>Outages)</w:t>
      </w:r>
    </w:p>
    <w:p w:rsidRPr="00775D74" w:rsidR="00D52ECF" w:rsidP="00142E2E" w:rsidRDefault="00923B05" w14:paraId="15877B5A" w14:textId="1B983E1C">
      <w:pPr>
        <w:pStyle w:val="Standard"/>
        <w:numPr>
          <w:ilvl w:val="0"/>
          <w:numId w:val="25"/>
        </w:numPr>
        <w:spacing w:after="120" w:line="240" w:lineRule="auto"/>
        <w:ind w:left="1080" w:right="1440"/>
        <w:rPr>
          <w:szCs w:val="26"/>
        </w:rPr>
      </w:pPr>
      <w:r w:rsidRPr="00775D74">
        <w:rPr>
          <w:szCs w:val="26"/>
        </w:rPr>
        <w:t>2.3:</w:t>
      </w:r>
      <w:r w:rsidRPr="00775D74" w:rsidR="002D63CD">
        <w:rPr>
          <w:szCs w:val="26"/>
        </w:rPr>
        <w:t xml:space="preserve"> </w:t>
      </w:r>
      <w:r w:rsidRPr="00775D74">
        <w:rPr>
          <w:szCs w:val="26"/>
        </w:rPr>
        <w:t xml:space="preserve"> </w:t>
      </w:r>
      <w:r w:rsidRPr="00775D74" w:rsidR="00D52ECF">
        <w:rPr>
          <w:szCs w:val="26"/>
        </w:rPr>
        <w:t>System Average Interruption Frequency (SAIFI) (</w:t>
      </w:r>
      <w:r w:rsidRPr="00775D74" w:rsidR="00D52ECF">
        <w:rPr>
          <w:rFonts w:cstheme="minorHAnsi"/>
          <w:szCs w:val="26"/>
        </w:rPr>
        <w:t>Unplanned</w:t>
      </w:r>
      <w:r w:rsidRPr="00775D74" w:rsidR="00D52ECF">
        <w:rPr>
          <w:szCs w:val="26"/>
        </w:rPr>
        <w:t>)</w:t>
      </w:r>
    </w:p>
    <w:p w:rsidRPr="00775D74" w:rsidR="009D0805" w:rsidP="00142E2E" w:rsidRDefault="00923B05" w14:paraId="2CB2C39D" w14:textId="3A936641">
      <w:pPr>
        <w:pStyle w:val="Standard"/>
        <w:numPr>
          <w:ilvl w:val="0"/>
          <w:numId w:val="25"/>
        </w:numPr>
        <w:spacing w:after="120" w:line="240" w:lineRule="auto"/>
        <w:ind w:left="1080" w:right="1440"/>
        <w:rPr>
          <w:szCs w:val="26"/>
        </w:rPr>
      </w:pPr>
      <w:r w:rsidRPr="00775D74">
        <w:rPr>
          <w:color w:val="000000" w:themeColor="text1"/>
          <w:szCs w:val="26"/>
        </w:rPr>
        <w:t xml:space="preserve">2.4: </w:t>
      </w:r>
      <w:r w:rsidRPr="00775D74" w:rsidR="002D63CD">
        <w:rPr>
          <w:color w:val="000000" w:themeColor="text1"/>
          <w:szCs w:val="26"/>
        </w:rPr>
        <w:t xml:space="preserve"> </w:t>
      </w:r>
      <w:r w:rsidRPr="00775D74" w:rsidR="009D0805">
        <w:rPr>
          <w:szCs w:val="26"/>
        </w:rPr>
        <w:t>System</w:t>
      </w:r>
      <w:r w:rsidRPr="00775D74" w:rsidR="009D0805">
        <w:rPr>
          <w:color w:val="000000" w:themeColor="text1"/>
          <w:szCs w:val="26"/>
        </w:rPr>
        <w:t xml:space="preserve"> Average Interruption Frequency (SAIFI) (</w:t>
      </w:r>
      <w:r w:rsidRPr="00775D74" w:rsidR="009D0805">
        <w:rPr>
          <w:rFonts w:cstheme="minorHAnsi"/>
          <w:szCs w:val="26"/>
        </w:rPr>
        <w:t>All</w:t>
      </w:r>
      <w:r w:rsidRPr="00775D74" w:rsidR="00987E00">
        <w:rPr>
          <w:rFonts w:cstheme="minorHAnsi"/>
          <w:szCs w:val="26"/>
        </w:rPr>
        <w:t> </w:t>
      </w:r>
      <w:r w:rsidRPr="00775D74" w:rsidR="009D0805">
        <w:rPr>
          <w:rFonts w:cstheme="minorHAnsi"/>
          <w:szCs w:val="26"/>
        </w:rPr>
        <w:t>Outages</w:t>
      </w:r>
      <w:r w:rsidRPr="00775D74" w:rsidR="009D0805">
        <w:rPr>
          <w:color w:val="000000" w:themeColor="text1"/>
          <w:szCs w:val="26"/>
        </w:rPr>
        <w:t>)</w:t>
      </w:r>
    </w:p>
    <w:p w:rsidRPr="00ED04D1" w:rsidR="006040AC" w:rsidP="00142E2E" w:rsidRDefault="00923B05" w14:paraId="50914CF9" w14:textId="43C69A4A">
      <w:pPr>
        <w:pStyle w:val="Standard"/>
        <w:numPr>
          <w:ilvl w:val="0"/>
          <w:numId w:val="25"/>
        </w:numPr>
        <w:spacing w:after="120" w:line="240" w:lineRule="auto"/>
        <w:ind w:left="1080" w:right="1440"/>
        <w:rPr>
          <w:szCs w:val="26"/>
        </w:rPr>
      </w:pPr>
      <w:r w:rsidRPr="00775D74">
        <w:rPr>
          <w:szCs w:val="26"/>
        </w:rPr>
        <w:t xml:space="preserve">2.5: </w:t>
      </w:r>
      <w:r w:rsidRPr="00775D74" w:rsidR="002D63CD">
        <w:rPr>
          <w:szCs w:val="26"/>
        </w:rPr>
        <w:t xml:space="preserve"> </w:t>
      </w:r>
      <w:r w:rsidRPr="00775D74" w:rsidR="006040AC">
        <w:rPr>
          <w:szCs w:val="26"/>
        </w:rPr>
        <w:t xml:space="preserve">Customer </w:t>
      </w:r>
      <w:r w:rsidRPr="00775D74" w:rsidR="006040AC">
        <w:rPr>
          <w:color w:val="000000" w:themeColor="text1"/>
          <w:szCs w:val="26"/>
        </w:rPr>
        <w:t>Average</w:t>
      </w:r>
      <w:r w:rsidRPr="00775D74" w:rsidR="006040AC">
        <w:rPr>
          <w:szCs w:val="26"/>
        </w:rPr>
        <w:t xml:space="preserve"> Interruption Duration Index (CAIDI) (Unplanned</w:t>
      </w:r>
      <w:r w:rsidRPr="00ED04D1" w:rsidR="006040AC">
        <w:rPr>
          <w:szCs w:val="26"/>
        </w:rPr>
        <w:t>)</w:t>
      </w:r>
    </w:p>
    <w:p w:rsidRPr="00775D74" w:rsidR="00E80C81" w:rsidP="00142E2E" w:rsidRDefault="00155F12" w14:paraId="3F583CCB" w14:textId="3519D815">
      <w:pPr>
        <w:pStyle w:val="Standard"/>
        <w:numPr>
          <w:ilvl w:val="0"/>
          <w:numId w:val="25"/>
        </w:numPr>
        <w:spacing w:after="120" w:line="240" w:lineRule="auto"/>
        <w:ind w:left="1080" w:right="1440"/>
        <w:rPr>
          <w:szCs w:val="26"/>
        </w:rPr>
      </w:pPr>
      <w:r w:rsidRPr="00ED04D1">
        <w:rPr>
          <w:szCs w:val="26"/>
        </w:rPr>
        <w:t>2</w:t>
      </w:r>
      <w:r w:rsidRPr="00775D74">
        <w:rPr>
          <w:szCs w:val="26"/>
        </w:rPr>
        <w:t xml:space="preserve">.6: </w:t>
      </w:r>
      <w:r w:rsidRPr="00775D74" w:rsidR="002D63CD">
        <w:rPr>
          <w:szCs w:val="26"/>
        </w:rPr>
        <w:t xml:space="preserve"> </w:t>
      </w:r>
      <w:r w:rsidRPr="00775D74" w:rsidR="00E80C81">
        <w:rPr>
          <w:szCs w:val="26"/>
        </w:rPr>
        <w:t>Customer Average Interruption Duration Index (CAIDI) (All Outages)</w:t>
      </w:r>
    </w:p>
    <w:p w:rsidRPr="00775D74" w:rsidR="00E80C81" w:rsidP="00142E2E" w:rsidRDefault="00155F12" w14:paraId="5154F9E6" w14:textId="3B83773E">
      <w:pPr>
        <w:pStyle w:val="Standard"/>
        <w:numPr>
          <w:ilvl w:val="0"/>
          <w:numId w:val="25"/>
        </w:numPr>
        <w:spacing w:after="120" w:line="240" w:lineRule="auto"/>
        <w:ind w:left="1080" w:right="1440"/>
        <w:rPr>
          <w:szCs w:val="26"/>
        </w:rPr>
      </w:pPr>
      <w:r w:rsidRPr="00775D74">
        <w:rPr>
          <w:szCs w:val="26"/>
        </w:rPr>
        <w:t>2.7:</w:t>
      </w:r>
      <w:r w:rsidRPr="00775D74" w:rsidR="002D63CD">
        <w:rPr>
          <w:szCs w:val="26"/>
        </w:rPr>
        <w:t xml:space="preserve"> </w:t>
      </w:r>
      <w:r w:rsidRPr="00775D74">
        <w:rPr>
          <w:szCs w:val="26"/>
        </w:rPr>
        <w:t xml:space="preserve"> System </w:t>
      </w:r>
      <w:r w:rsidRPr="00775D74">
        <w:rPr>
          <w:color w:val="000000" w:themeColor="text1"/>
          <w:szCs w:val="26"/>
        </w:rPr>
        <w:t>Average</w:t>
      </w:r>
      <w:r w:rsidRPr="00775D74">
        <w:rPr>
          <w:szCs w:val="26"/>
        </w:rPr>
        <w:t xml:space="preserve"> Customers Impacted (All Outages)</w:t>
      </w:r>
    </w:p>
    <w:p w:rsidRPr="00775D74" w:rsidR="00CF17C6" w:rsidP="00142E2E" w:rsidRDefault="00CF17C6" w14:paraId="3E4A99D5" w14:textId="4EF5B46C">
      <w:pPr>
        <w:pStyle w:val="Standard"/>
        <w:numPr>
          <w:ilvl w:val="0"/>
          <w:numId w:val="25"/>
        </w:numPr>
        <w:spacing w:after="120" w:line="240" w:lineRule="auto"/>
        <w:ind w:left="1080" w:right="1440"/>
        <w:rPr>
          <w:szCs w:val="26"/>
        </w:rPr>
      </w:pPr>
      <w:r w:rsidRPr="00775D74">
        <w:rPr>
          <w:szCs w:val="26"/>
        </w:rPr>
        <w:t xml:space="preserve">2.8: </w:t>
      </w:r>
      <w:r w:rsidRPr="00775D74" w:rsidR="002D63CD">
        <w:rPr>
          <w:szCs w:val="26"/>
        </w:rPr>
        <w:t xml:space="preserve"> </w:t>
      </w:r>
      <w:r w:rsidRPr="00775D74">
        <w:rPr>
          <w:szCs w:val="26"/>
        </w:rPr>
        <w:t xml:space="preserve">Number </w:t>
      </w:r>
      <w:r w:rsidRPr="00775D74">
        <w:rPr>
          <w:color w:val="000000" w:themeColor="text1"/>
          <w:szCs w:val="26"/>
        </w:rPr>
        <w:t>of</w:t>
      </w:r>
      <w:r w:rsidRPr="00775D74">
        <w:rPr>
          <w:szCs w:val="26"/>
        </w:rPr>
        <w:t xml:space="preserve"> PSPS events in a calendar year</w:t>
      </w:r>
    </w:p>
    <w:p w:rsidRPr="00775D74" w:rsidR="00CF17C6" w:rsidP="00142E2E" w:rsidRDefault="00CF17C6" w14:paraId="6FC7F00D" w14:textId="3D8268A7">
      <w:pPr>
        <w:pStyle w:val="Standard"/>
        <w:numPr>
          <w:ilvl w:val="0"/>
          <w:numId w:val="25"/>
        </w:numPr>
        <w:spacing w:after="120" w:line="240" w:lineRule="auto"/>
        <w:ind w:left="1080" w:right="1440"/>
        <w:rPr>
          <w:szCs w:val="26"/>
        </w:rPr>
      </w:pPr>
      <w:r w:rsidRPr="00775D74">
        <w:rPr>
          <w:szCs w:val="26"/>
        </w:rPr>
        <w:t xml:space="preserve">2.9: </w:t>
      </w:r>
      <w:r w:rsidRPr="00775D74" w:rsidR="002D63CD">
        <w:rPr>
          <w:szCs w:val="26"/>
        </w:rPr>
        <w:t xml:space="preserve"> </w:t>
      </w:r>
      <w:r w:rsidRPr="00775D74">
        <w:rPr>
          <w:szCs w:val="26"/>
        </w:rPr>
        <w:t xml:space="preserve">Duration </w:t>
      </w:r>
      <w:r w:rsidRPr="00775D74">
        <w:rPr>
          <w:color w:val="000000" w:themeColor="text1"/>
          <w:szCs w:val="26"/>
        </w:rPr>
        <w:t>of</w:t>
      </w:r>
      <w:r w:rsidRPr="00775D74">
        <w:rPr>
          <w:szCs w:val="26"/>
        </w:rPr>
        <w:t xml:space="preserve"> each PSPS Event in hours in a calendar year</w:t>
      </w:r>
    </w:p>
    <w:p w:rsidRPr="00775D74" w:rsidR="00CF17C6" w:rsidP="00142E2E" w:rsidRDefault="00CF17C6" w14:paraId="390A27C4" w14:textId="43176056">
      <w:pPr>
        <w:pStyle w:val="Standard"/>
        <w:numPr>
          <w:ilvl w:val="0"/>
          <w:numId w:val="25"/>
        </w:numPr>
        <w:spacing w:after="120" w:line="240" w:lineRule="auto"/>
        <w:ind w:left="1080" w:right="1440"/>
        <w:rPr>
          <w:szCs w:val="26"/>
        </w:rPr>
      </w:pPr>
      <w:r w:rsidRPr="00775D74">
        <w:rPr>
          <w:szCs w:val="26"/>
        </w:rPr>
        <w:t xml:space="preserve">2.10: </w:t>
      </w:r>
      <w:r w:rsidRPr="00775D74" w:rsidR="002D63CD">
        <w:rPr>
          <w:szCs w:val="26"/>
        </w:rPr>
        <w:t xml:space="preserve"> </w:t>
      </w:r>
      <w:r w:rsidRPr="00775D74">
        <w:rPr>
          <w:szCs w:val="26"/>
        </w:rPr>
        <w:t>Number of customers Impacted by each PSPS Event in a calendar year</w:t>
      </w:r>
    </w:p>
    <w:p w:rsidRPr="00775D74" w:rsidR="005E6E00" w:rsidP="00142E2E" w:rsidRDefault="005E6E00" w14:paraId="1AD7A0EA" w14:textId="72D7998F">
      <w:pPr>
        <w:pStyle w:val="Standard"/>
        <w:numPr>
          <w:ilvl w:val="0"/>
          <w:numId w:val="25"/>
        </w:numPr>
        <w:spacing w:after="120" w:line="240" w:lineRule="auto"/>
        <w:ind w:left="1080" w:right="1440"/>
        <w:rPr>
          <w:szCs w:val="26"/>
        </w:rPr>
      </w:pPr>
      <w:r w:rsidRPr="00775D74">
        <w:rPr>
          <w:szCs w:val="26"/>
        </w:rPr>
        <w:t xml:space="preserve">2.11: </w:t>
      </w:r>
      <w:r w:rsidRPr="00775D74" w:rsidR="002D63CD">
        <w:rPr>
          <w:szCs w:val="26"/>
        </w:rPr>
        <w:t xml:space="preserve"> </w:t>
      </w:r>
      <w:r w:rsidRPr="00775D74" w:rsidR="000D0F04">
        <w:rPr>
          <w:szCs w:val="26"/>
        </w:rPr>
        <w:t>System Average Outages due to Vegetation and Equipment Damage in HFTD Areas (Major Event Days)</w:t>
      </w:r>
    </w:p>
    <w:p w:rsidRPr="00ED04D1" w:rsidR="00460962" w:rsidP="00142E2E" w:rsidRDefault="00460962" w14:paraId="77C2613F" w14:textId="542AE661">
      <w:pPr>
        <w:pStyle w:val="Standard"/>
        <w:numPr>
          <w:ilvl w:val="0"/>
          <w:numId w:val="25"/>
        </w:numPr>
        <w:spacing w:after="120" w:line="240" w:lineRule="auto"/>
        <w:ind w:left="1080" w:right="1440"/>
        <w:rPr>
          <w:szCs w:val="26"/>
        </w:rPr>
      </w:pPr>
      <w:r w:rsidRPr="00775D74">
        <w:rPr>
          <w:szCs w:val="26"/>
        </w:rPr>
        <w:t xml:space="preserve">2.12: </w:t>
      </w:r>
      <w:r w:rsidRPr="00775D74" w:rsidR="002D63CD">
        <w:rPr>
          <w:szCs w:val="26"/>
        </w:rPr>
        <w:t xml:space="preserve"> </w:t>
      </w:r>
      <w:r w:rsidRPr="00775D74">
        <w:rPr>
          <w:szCs w:val="26"/>
        </w:rPr>
        <w:t>System Average Outages due to Vegetation and Equipment Damage</w:t>
      </w:r>
      <w:r w:rsidRPr="00ED04D1">
        <w:rPr>
          <w:szCs w:val="26"/>
        </w:rPr>
        <w:t xml:space="preserve"> in HFTD Areas (Non-Major Event Days)</w:t>
      </w:r>
    </w:p>
    <w:p w:rsidRPr="00E700EE" w:rsidR="007F6290" w:rsidP="00E700EE" w:rsidRDefault="00E700EE" w14:paraId="53D0BBD8" w14:textId="0633AD85">
      <w:pPr>
        <w:pStyle w:val="Heading4"/>
        <w:rPr>
          <w:rFonts w:ascii="Book Antiqua" w:hAnsi="Book Antiqua"/>
        </w:rPr>
      </w:pPr>
      <w:bookmarkStart w:name="_Toc80890886" w:id="107"/>
      <w:bookmarkStart w:name="_Toc87361187" w:id="108"/>
      <w:r>
        <w:t>10.5.2.1</w:t>
      </w:r>
      <w:r>
        <w:tab/>
      </w:r>
      <w:r w:rsidR="003A30BD">
        <w:t xml:space="preserve">SAIDI, SAIFI, and CAIDI Related </w:t>
      </w:r>
      <w:r>
        <w:t xml:space="preserve">SOMs </w:t>
      </w:r>
      <w:r w:rsidR="00737289">
        <w:t>(</w:t>
      </w:r>
      <w:r>
        <w:t>#s</w:t>
      </w:r>
      <w:r w:rsidR="00D13011">
        <w:t xml:space="preserve"> </w:t>
      </w:r>
      <w:r w:rsidR="00682B4B">
        <w:t>2.1 – 2.7</w:t>
      </w:r>
      <w:bookmarkEnd w:id="107"/>
      <w:r w:rsidR="00737289">
        <w:t>)</w:t>
      </w:r>
      <w:bookmarkEnd w:id="108"/>
    </w:p>
    <w:p w:rsidR="00443E75" w:rsidP="00636466" w:rsidRDefault="00964D77" w14:paraId="11694866" w14:textId="6E070B0E">
      <w:pPr>
        <w:pStyle w:val="Heading5"/>
      </w:pPr>
      <w:bookmarkStart w:name="_Toc80890887" w:id="109"/>
      <w:bookmarkStart w:name="_Toc87361188" w:id="110"/>
      <w:r>
        <w:t>10.5.2.1</w:t>
      </w:r>
      <w:r w:rsidR="00636466">
        <w:t>.1</w:t>
      </w:r>
      <w:r>
        <w:tab/>
      </w:r>
      <w:r w:rsidR="00E700EE">
        <w:t>Staff Proposal</w:t>
      </w:r>
      <w:bookmarkEnd w:id="109"/>
      <w:bookmarkEnd w:id="110"/>
      <w:r w:rsidR="00E700EE">
        <w:t xml:space="preserve"> </w:t>
      </w:r>
    </w:p>
    <w:p w:rsidR="00C9316F" w:rsidP="00BB791B" w:rsidRDefault="00C9316F" w14:paraId="59007BE2" w14:textId="18B47FDE">
      <w:pPr>
        <w:pStyle w:val="Standard"/>
        <w:rPr>
          <w:szCs w:val="26"/>
        </w:rPr>
      </w:pPr>
      <w:r>
        <w:rPr>
          <w:szCs w:val="26"/>
        </w:rPr>
        <w:t xml:space="preserve">Regarding </w:t>
      </w:r>
      <w:r w:rsidR="00E42ECD">
        <w:rPr>
          <w:szCs w:val="26"/>
        </w:rPr>
        <w:t xml:space="preserve">its </w:t>
      </w:r>
      <w:r w:rsidR="0011267A">
        <w:rPr>
          <w:szCs w:val="26"/>
        </w:rPr>
        <w:t xml:space="preserve">proposed </w:t>
      </w:r>
      <w:r w:rsidR="00E42ECD">
        <w:rPr>
          <w:szCs w:val="26"/>
        </w:rPr>
        <w:t>SAIDI, SAIF</w:t>
      </w:r>
      <w:r w:rsidR="000B5D0D">
        <w:rPr>
          <w:szCs w:val="26"/>
        </w:rPr>
        <w:t xml:space="preserve">I, and CAIDI </w:t>
      </w:r>
      <w:r>
        <w:rPr>
          <w:szCs w:val="26"/>
        </w:rPr>
        <w:t xml:space="preserve">related SOMs, Staff states that </w:t>
      </w:r>
      <w:r w:rsidR="001F78AF">
        <w:rPr>
          <w:szCs w:val="26"/>
        </w:rPr>
        <w:t>the</w:t>
      </w:r>
      <w:r w:rsidR="0011267A">
        <w:rPr>
          <w:szCs w:val="26"/>
        </w:rPr>
        <w:t>:</w:t>
      </w:r>
    </w:p>
    <w:p w:rsidRPr="00B90ECC" w:rsidR="00B13334" w:rsidP="002D63CD" w:rsidRDefault="00B13334" w14:paraId="4289EB7C" w14:textId="7B2BDE6E">
      <w:pPr>
        <w:pStyle w:val="BlockQuote"/>
        <w:spacing w:line="240" w:lineRule="auto"/>
        <w:ind w:right="1440" w:firstLine="0"/>
        <w:rPr>
          <w:szCs w:val="26"/>
        </w:rPr>
      </w:pPr>
      <w:r w:rsidRPr="00775D74">
        <w:rPr>
          <w:szCs w:val="26"/>
        </w:rPr>
        <w:t xml:space="preserve">Commission requires that SOMs track </w:t>
      </w:r>
      <w:r w:rsidRPr="00775D74" w:rsidR="00B90ECC">
        <w:rPr>
          <w:szCs w:val="26"/>
        </w:rPr>
        <w:t>‘</w:t>
      </w:r>
      <w:r w:rsidRPr="00775D74">
        <w:rPr>
          <w:szCs w:val="26"/>
        </w:rPr>
        <w:t>quality of service and quality of management</w:t>
      </w:r>
      <w:r w:rsidRPr="00775D74" w:rsidR="00B90ECC">
        <w:rPr>
          <w:szCs w:val="26"/>
        </w:rPr>
        <w:t>’</w:t>
      </w:r>
      <w:r w:rsidRPr="00775D74">
        <w:rPr>
          <w:szCs w:val="26"/>
        </w:rPr>
        <w:t xml:space="preserve"> issues</w:t>
      </w:r>
      <w:r w:rsidRPr="00775D74" w:rsidR="00616300">
        <w:rPr>
          <w:szCs w:val="26"/>
        </w:rPr>
        <w:t xml:space="preserve"> [footnote omitted]. </w:t>
      </w:r>
      <w:r w:rsidRPr="00775D74" w:rsidR="002D63CD">
        <w:rPr>
          <w:szCs w:val="26"/>
        </w:rPr>
        <w:t xml:space="preserve"> </w:t>
      </w:r>
      <w:r w:rsidRPr="00775D74">
        <w:rPr>
          <w:szCs w:val="26"/>
        </w:rPr>
        <w:t xml:space="preserve">Reliability risks go to the very heart of these service and management </w:t>
      </w:r>
      <w:r w:rsidRPr="00775D74">
        <w:rPr>
          <w:szCs w:val="26"/>
        </w:rPr>
        <w:lastRenderedPageBreak/>
        <w:t>priorities</w:t>
      </w:r>
      <w:r w:rsidRPr="00775D74" w:rsidR="00616300">
        <w:rPr>
          <w:szCs w:val="26"/>
        </w:rPr>
        <w:t xml:space="preserve"> [footnote omitted].</w:t>
      </w:r>
      <w:r w:rsidRPr="00775D74">
        <w:rPr>
          <w:szCs w:val="26"/>
        </w:rPr>
        <w:t xml:space="preserve">  According to the American Customer Satisfaction Index Energy Utilities Report 2020-2021 comparing utilities nationally, PG&amp;E </w:t>
      </w:r>
      <w:r w:rsidRPr="00775D74" w:rsidR="00616300">
        <w:rPr>
          <w:szCs w:val="26"/>
        </w:rPr>
        <w:t>‘</w:t>
      </w:r>
      <w:r w:rsidRPr="00775D74">
        <w:rPr>
          <w:szCs w:val="26"/>
        </w:rPr>
        <w:t>remains worst in class for both electric service reliability and electric service restoration</w:t>
      </w:r>
      <w:r w:rsidRPr="00775D74" w:rsidR="00616300">
        <w:rPr>
          <w:szCs w:val="26"/>
        </w:rPr>
        <w:t>’ [footnote omitted].</w:t>
      </w:r>
      <w:r w:rsidRPr="00775D74">
        <w:rPr>
          <w:szCs w:val="26"/>
        </w:rPr>
        <w:t xml:space="preserve">  Based on the 2019 Annual Electric Reliability Reports, which are submitted annually to the Commission, PG&amp;E performed comparatively poorly across several reliability metrics compared to other California Investor-Owned Utilities (IOUs)</w:t>
      </w:r>
      <w:r w:rsidRPr="00775D74" w:rsidR="00670B61">
        <w:rPr>
          <w:szCs w:val="26"/>
        </w:rPr>
        <w:t xml:space="preserve"> [footnote omitted].</w:t>
      </w:r>
      <w:r w:rsidRPr="00775D74">
        <w:rPr>
          <w:szCs w:val="26"/>
        </w:rPr>
        <w:t xml:space="preserve"> Providing reliable service is a fundamental responsibility of an IOU. As such, EOE </w:t>
      </w:r>
      <w:r w:rsidRPr="00775D74" w:rsidR="00C642B3">
        <w:rPr>
          <w:szCs w:val="26"/>
        </w:rPr>
        <w:t>P</w:t>
      </w:r>
      <w:r w:rsidRPr="00775D74">
        <w:rPr>
          <w:szCs w:val="26"/>
        </w:rPr>
        <w:t>rocess</w:t>
      </w:r>
      <w:r w:rsidRPr="00775D74" w:rsidR="00C642B3">
        <w:rPr>
          <w:szCs w:val="26"/>
        </w:rPr>
        <w:t>…</w:t>
      </w:r>
      <w:r w:rsidRPr="00775D74">
        <w:rPr>
          <w:szCs w:val="26"/>
        </w:rPr>
        <w:t xml:space="preserve"> reliability metrics for PG&amp;E are appropriate for inclusion.</w:t>
      </w:r>
      <w:r w:rsidRPr="00775D74" w:rsidR="00C642B3">
        <w:rPr>
          <w:rStyle w:val="FootnoteReference"/>
          <w:szCs w:val="26"/>
        </w:rPr>
        <w:footnoteReference w:id="100"/>
      </w:r>
    </w:p>
    <w:p w:rsidRPr="00B90ECC" w:rsidR="00752630" w:rsidP="00752630" w:rsidRDefault="00D31F71" w14:paraId="595D500D" w14:textId="2502B2F5">
      <w:pPr>
        <w:pStyle w:val="Standard"/>
        <w:rPr>
          <w:szCs w:val="26"/>
        </w:rPr>
      </w:pPr>
      <w:r w:rsidRPr="00B90ECC">
        <w:rPr>
          <w:szCs w:val="26"/>
        </w:rPr>
        <w:t>SAIDI is a reliability metric that measures the average length of time of power outages that customers experience in a period of time</w:t>
      </w:r>
      <w:r w:rsidR="002B79DB">
        <w:rPr>
          <w:szCs w:val="26"/>
        </w:rPr>
        <w:t>.</w:t>
      </w:r>
      <w:r w:rsidRPr="00B90ECC">
        <w:rPr>
          <w:szCs w:val="26"/>
          <w:vertAlign w:val="superscript"/>
        </w:rPr>
        <w:footnoteReference w:id="101"/>
      </w:r>
      <w:r w:rsidRPr="00B90ECC">
        <w:rPr>
          <w:szCs w:val="26"/>
        </w:rPr>
        <w:t xml:space="preserve">  </w:t>
      </w:r>
      <w:r w:rsidRPr="00B90ECC" w:rsidR="00A75E27">
        <w:rPr>
          <w:szCs w:val="26"/>
        </w:rPr>
        <w:t>Staff recommends the Commission adopt</w:t>
      </w:r>
      <w:r w:rsidRPr="00B90ECC" w:rsidR="0088774D">
        <w:rPr>
          <w:szCs w:val="26"/>
        </w:rPr>
        <w:t xml:space="preserve"> a SAIDI (Unplanned) SOM as proposed by PG&amp;E, </w:t>
      </w:r>
      <w:r w:rsidRPr="00B90ECC" w:rsidR="00A75E27">
        <w:rPr>
          <w:szCs w:val="26"/>
        </w:rPr>
        <w:t xml:space="preserve">with </w:t>
      </w:r>
      <w:r w:rsidRPr="00B90ECC" w:rsidR="00056EE4">
        <w:rPr>
          <w:szCs w:val="26"/>
        </w:rPr>
        <w:t xml:space="preserve">slight </w:t>
      </w:r>
      <w:r w:rsidRPr="00B90ECC" w:rsidR="00A75E27">
        <w:rPr>
          <w:szCs w:val="26"/>
        </w:rPr>
        <w:t>modifications to the definition.</w:t>
      </w:r>
      <w:r w:rsidRPr="00B90ECC" w:rsidR="0088774D">
        <w:rPr>
          <w:rStyle w:val="FootnoteReference"/>
          <w:szCs w:val="26"/>
        </w:rPr>
        <w:footnoteReference w:id="102"/>
      </w:r>
      <w:r w:rsidRPr="00B90ECC" w:rsidR="00A75E27">
        <w:rPr>
          <w:szCs w:val="26"/>
        </w:rPr>
        <w:t xml:space="preserve"> </w:t>
      </w:r>
      <w:r w:rsidRPr="00B90ECC" w:rsidR="00684050">
        <w:rPr>
          <w:szCs w:val="26"/>
        </w:rPr>
        <w:t xml:space="preserve"> Staff also recommends adoption of a SAIDI (All Outages) SOM to provide an additional perspective on all outage durations that better reflects customer</w:t>
      </w:r>
      <w:r w:rsidRPr="00B90ECC" w:rsidR="00857DED">
        <w:rPr>
          <w:szCs w:val="26"/>
        </w:rPr>
        <w:t>s’</w:t>
      </w:r>
      <w:r w:rsidRPr="00B90ECC" w:rsidR="00684050">
        <w:rPr>
          <w:szCs w:val="26"/>
        </w:rPr>
        <w:t xml:space="preserve"> experience</w:t>
      </w:r>
      <w:r w:rsidRPr="00B90ECC" w:rsidR="00857DED">
        <w:rPr>
          <w:szCs w:val="26"/>
        </w:rPr>
        <w:t>s.</w:t>
      </w:r>
    </w:p>
    <w:p w:rsidR="0037156D" w:rsidP="00A804FF" w:rsidRDefault="0011267A" w14:paraId="0A1BC2E2" w14:textId="6F54B5D7">
      <w:pPr>
        <w:pStyle w:val="Standard"/>
        <w:rPr>
          <w:szCs w:val="26"/>
        </w:rPr>
      </w:pPr>
      <w:r w:rsidRPr="00B90ECC">
        <w:rPr>
          <w:szCs w:val="26"/>
        </w:rPr>
        <w:t>SAIFI is a reliability metric that characterizes the average number of sustained power interruptions for each customer in a calendar year</w:t>
      </w:r>
      <w:r w:rsidRPr="00B90ECC" w:rsidR="00FD30C6">
        <w:rPr>
          <w:szCs w:val="26"/>
        </w:rPr>
        <w:t>.</w:t>
      </w:r>
      <w:r w:rsidRPr="00B90ECC">
        <w:rPr>
          <w:szCs w:val="26"/>
          <w:vertAlign w:val="superscript"/>
        </w:rPr>
        <w:footnoteReference w:id="103"/>
      </w:r>
      <w:r w:rsidRPr="00B90ECC" w:rsidR="00FD30C6">
        <w:rPr>
          <w:szCs w:val="26"/>
        </w:rPr>
        <w:t xml:space="preserve">  </w:t>
      </w:r>
      <w:r w:rsidR="0048176F">
        <w:rPr>
          <w:szCs w:val="26"/>
        </w:rPr>
        <w:t>Staff propose</w:t>
      </w:r>
      <w:r w:rsidR="00043379">
        <w:rPr>
          <w:szCs w:val="26"/>
        </w:rPr>
        <w:t>s</w:t>
      </w:r>
      <w:r w:rsidR="0048176F">
        <w:rPr>
          <w:szCs w:val="26"/>
        </w:rPr>
        <w:t xml:space="preserve"> two SAIFI metrics.  </w:t>
      </w:r>
      <w:r w:rsidR="002E6499">
        <w:rPr>
          <w:szCs w:val="26"/>
        </w:rPr>
        <w:t xml:space="preserve">A </w:t>
      </w:r>
      <w:r w:rsidRPr="00B90ECC" w:rsidR="00FD30C6">
        <w:rPr>
          <w:szCs w:val="26"/>
        </w:rPr>
        <w:t xml:space="preserve">SAIFI </w:t>
      </w:r>
      <w:r w:rsidR="002E6499">
        <w:rPr>
          <w:szCs w:val="26"/>
        </w:rPr>
        <w:t xml:space="preserve">(Unplanned) SOM </w:t>
      </w:r>
      <w:r w:rsidRPr="00B90ECC" w:rsidR="00FD30C6">
        <w:rPr>
          <w:szCs w:val="26"/>
        </w:rPr>
        <w:t>measures sustained interruptions</w:t>
      </w:r>
      <w:r w:rsidR="0048176F">
        <w:rPr>
          <w:szCs w:val="26"/>
        </w:rPr>
        <w:t xml:space="preserve">, </w:t>
      </w:r>
      <w:r w:rsidRPr="00B90ECC" w:rsidR="00FD30C6">
        <w:rPr>
          <w:szCs w:val="26"/>
        </w:rPr>
        <w:t>excludes planned outages and outages due to Major Event Days (MEDs)</w:t>
      </w:r>
      <w:r w:rsidR="0048176F">
        <w:rPr>
          <w:szCs w:val="26"/>
        </w:rPr>
        <w:t>,</w:t>
      </w:r>
      <w:r w:rsidR="002E6499">
        <w:rPr>
          <w:szCs w:val="26"/>
        </w:rPr>
        <w:t xml:space="preserve"> and would </w:t>
      </w:r>
      <w:r w:rsidRPr="00B90ECC" w:rsidR="00D83A8A">
        <w:rPr>
          <w:szCs w:val="26"/>
        </w:rPr>
        <w:t>reflect the reliability of the grid during routine circumstances</w:t>
      </w:r>
      <w:r w:rsidRPr="00B90ECC" w:rsidR="00BF3FEC">
        <w:rPr>
          <w:szCs w:val="26"/>
        </w:rPr>
        <w:t>, according to Staff.</w:t>
      </w:r>
      <w:r w:rsidRPr="00B90ECC" w:rsidR="002E6499">
        <w:rPr>
          <w:szCs w:val="26"/>
          <w:vertAlign w:val="superscript"/>
        </w:rPr>
        <w:footnoteReference w:id="104"/>
      </w:r>
      <w:r w:rsidR="00150666">
        <w:rPr>
          <w:szCs w:val="26"/>
        </w:rPr>
        <w:t xml:space="preserve">  </w:t>
      </w:r>
      <w:r w:rsidRPr="00B90ECC" w:rsidR="00752630">
        <w:rPr>
          <w:szCs w:val="26"/>
        </w:rPr>
        <w:t xml:space="preserve">A SAIFI (All Outages) SOM would include </w:t>
      </w:r>
      <w:r w:rsidRPr="00B90ECC" w:rsidR="00752630">
        <w:rPr>
          <w:szCs w:val="26"/>
        </w:rPr>
        <w:lastRenderedPageBreak/>
        <w:t>the average frequency of all sustained interruptions, per customer, due to outages from</w:t>
      </w:r>
      <w:r w:rsidR="00150666">
        <w:rPr>
          <w:szCs w:val="26"/>
        </w:rPr>
        <w:t xml:space="preserve"> all causes.  Staff states that </w:t>
      </w:r>
      <w:r w:rsidR="00043379">
        <w:rPr>
          <w:iCs/>
          <w:szCs w:val="26"/>
        </w:rPr>
        <w:t>a SAI</w:t>
      </w:r>
      <w:r w:rsidR="002264C9">
        <w:rPr>
          <w:iCs/>
          <w:szCs w:val="26"/>
        </w:rPr>
        <w:t>F</w:t>
      </w:r>
      <w:r w:rsidR="00043379">
        <w:rPr>
          <w:iCs/>
          <w:szCs w:val="26"/>
        </w:rPr>
        <w:t>I (All Outages) SOM</w:t>
      </w:r>
      <w:r w:rsidR="00150666">
        <w:rPr>
          <w:szCs w:val="26"/>
        </w:rPr>
        <w:t xml:space="preserve"> </w:t>
      </w:r>
      <w:r w:rsidRPr="00B90ECC" w:rsidR="00752630">
        <w:rPr>
          <w:szCs w:val="26"/>
        </w:rPr>
        <w:t xml:space="preserve">would provide </w:t>
      </w:r>
      <w:r w:rsidRPr="00B90ECC" w:rsidR="00857DED">
        <w:rPr>
          <w:szCs w:val="26"/>
        </w:rPr>
        <w:t>a more comprehensive picture of reliability performance under any outage circumstance, ranging from routine to extreme.</w:t>
      </w:r>
      <w:r w:rsidR="00EF2CBB">
        <w:rPr>
          <w:szCs w:val="26"/>
        </w:rPr>
        <w:t xml:space="preserve">  </w:t>
      </w:r>
    </w:p>
    <w:p w:rsidRPr="00D11E99" w:rsidR="00A804FF" w:rsidP="00A804FF" w:rsidRDefault="004366A5" w14:paraId="617590CF" w14:textId="36976E17">
      <w:pPr>
        <w:pStyle w:val="Standard"/>
        <w:rPr>
          <w:strike/>
        </w:rPr>
      </w:pPr>
      <w:r w:rsidRPr="6DC41CE5">
        <w:t xml:space="preserve">As defined by </w:t>
      </w:r>
      <w:r w:rsidR="004D64C1">
        <w:t>the Institute of Electr</w:t>
      </w:r>
      <w:r w:rsidR="002748EB">
        <w:t>ical</w:t>
      </w:r>
      <w:r w:rsidR="004D64C1">
        <w:t xml:space="preserve"> and Electr</w:t>
      </w:r>
      <w:r w:rsidR="00786A93">
        <w:t>onic</w:t>
      </w:r>
      <w:r w:rsidR="004D64C1">
        <w:t xml:space="preserve"> Engineers</w:t>
      </w:r>
      <w:r w:rsidR="0097529E">
        <w:t xml:space="preserve"> </w:t>
      </w:r>
      <w:r w:rsidR="004D64C1">
        <w:t>(</w:t>
      </w:r>
      <w:r w:rsidRPr="6DC41CE5">
        <w:t>IEEE</w:t>
      </w:r>
      <w:r w:rsidR="0097529E">
        <w:t>)</w:t>
      </w:r>
      <w:r w:rsidRPr="6DC41CE5">
        <w:t xml:space="preserve"> Standard 1366-2001</w:t>
      </w:r>
      <w:r w:rsidRPr="004366A5">
        <w:rPr>
          <w:szCs w:val="26"/>
        </w:rPr>
        <w:t xml:space="preserve">, </w:t>
      </w:r>
      <w:r w:rsidRPr="6DC41CE5" w:rsidR="0037156D">
        <w:t>a</w:t>
      </w:r>
      <w:r w:rsidRPr="6DC41CE5">
        <w:t xml:space="preserve"> Major Event Day is a day when the daily SAIDI exceeds a threshold value, T</w:t>
      </w:r>
      <w:r w:rsidRPr="6DC41CE5">
        <w:rPr>
          <w:vertAlign w:val="subscript"/>
        </w:rPr>
        <w:t>MED</w:t>
      </w:r>
      <w:r w:rsidRPr="6DC41CE5">
        <w:t>, that is 2.5 standard deviations above the mean of the lognormal distribution based on daily SAIDI values for the previous five years</w:t>
      </w:r>
      <w:r w:rsidR="0037156D">
        <w:rPr>
          <w:szCs w:val="26"/>
        </w:rPr>
        <w:t>.</w:t>
      </w:r>
      <w:r w:rsidRPr="6DC41CE5" w:rsidR="0037156D">
        <w:rPr>
          <w:rStyle w:val="FootnoteReference"/>
        </w:rPr>
        <w:footnoteReference w:id="105"/>
      </w:r>
      <w:r w:rsidRPr="6DC41CE5">
        <w:t xml:space="preserve">  Statistically, days having a daily system SAIDI greater than T</w:t>
      </w:r>
      <w:r w:rsidRPr="6DC41CE5">
        <w:rPr>
          <w:vertAlign w:val="subscript"/>
        </w:rPr>
        <w:t>MED</w:t>
      </w:r>
      <w:r w:rsidRPr="6DC41CE5">
        <w:t xml:space="preserve"> are days when the energy delivery system experiences stresses beyond those normally expected—such as severe weather.</w:t>
      </w:r>
      <w:r w:rsidRPr="6DC41CE5" w:rsidR="00A42666">
        <w:rPr>
          <w:rStyle w:val="FootnoteReference"/>
        </w:rPr>
        <w:footnoteReference w:id="106"/>
      </w:r>
      <w:r w:rsidRPr="004366A5">
        <w:rPr>
          <w:szCs w:val="26"/>
        </w:rPr>
        <w:t xml:space="preserve"> </w:t>
      </w:r>
      <w:r w:rsidR="00D74263">
        <w:rPr>
          <w:szCs w:val="26"/>
        </w:rPr>
        <w:t xml:space="preserve"> </w:t>
      </w:r>
    </w:p>
    <w:p w:rsidR="0011267A" w:rsidP="00A804FF" w:rsidRDefault="00C05E48" w14:paraId="3A061EA5" w14:textId="5364C5D3">
      <w:pPr>
        <w:pStyle w:val="Standard"/>
        <w:rPr>
          <w:szCs w:val="26"/>
        </w:rPr>
      </w:pPr>
      <w:r w:rsidRPr="00B90ECC">
        <w:rPr>
          <w:szCs w:val="26"/>
        </w:rPr>
        <w:t>Staff recommend</w:t>
      </w:r>
      <w:r>
        <w:rPr>
          <w:szCs w:val="26"/>
        </w:rPr>
        <w:t>s</w:t>
      </w:r>
      <w:r w:rsidRPr="00B90ECC">
        <w:rPr>
          <w:szCs w:val="26"/>
        </w:rPr>
        <w:t xml:space="preserve"> adoption of </w:t>
      </w:r>
      <w:r>
        <w:rPr>
          <w:szCs w:val="26"/>
        </w:rPr>
        <w:t xml:space="preserve">two CAIDI SOMs. </w:t>
      </w:r>
      <w:r w:rsidR="00041CE2">
        <w:rPr>
          <w:szCs w:val="26"/>
        </w:rPr>
        <w:t xml:space="preserve"> </w:t>
      </w:r>
      <w:r w:rsidR="00043379">
        <w:rPr>
          <w:szCs w:val="26"/>
        </w:rPr>
        <w:t>First, Staff recommends a</w:t>
      </w:r>
      <w:r>
        <w:rPr>
          <w:szCs w:val="26"/>
        </w:rPr>
        <w:t xml:space="preserve"> </w:t>
      </w:r>
      <w:r w:rsidRPr="00B90ECC" w:rsidR="00A804FF">
        <w:rPr>
          <w:szCs w:val="26"/>
        </w:rPr>
        <w:t xml:space="preserve">CAIDI </w:t>
      </w:r>
      <w:r w:rsidRPr="00B90ECC" w:rsidR="00597327">
        <w:rPr>
          <w:szCs w:val="26"/>
        </w:rPr>
        <w:t xml:space="preserve">(Unplanned) </w:t>
      </w:r>
      <w:r>
        <w:rPr>
          <w:szCs w:val="26"/>
        </w:rPr>
        <w:t>SOM</w:t>
      </w:r>
      <w:r w:rsidR="00043379">
        <w:rPr>
          <w:szCs w:val="26"/>
        </w:rPr>
        <w:t>, which is</w:t>
      </w:r>
      <w:r>
        <w:rPr>
          <w:szCs w:val="26"/>
        </w:rPr>
        <w:t xml:space="preserve"> </w:t>
      </w:r>
      <w:r w:rsidRPr="00B90ECC" w:rsidR="00A804FF">
        <w:rPr>
          <w:szCs w:val="26"/>
        </w:rPr>
        <w:t xml:space="preserve">a reliability metric </w:t>
      </w:r>
      <w:r>
        <w:rPr>
          <w:szCs w:val="26"/>
        </w:rPr>
        <w:t xml:space="preserve">addressing the </w:t>
      </w:r>
      <w:r w:rsidRPr="00B90ECC" w:rsidR="00A804FF">
        <w:rPr>
          <w:szCs w:val="26"/>
        </w:rPr>
        <w:t>average time required to restore service to customers</w:t>
      </w:r>
      <w:r w:rsidRPr="00B90ECC" w:rsidR="00A52218">
        <w:rPr>
          <w:szCs w:val="26"/>
        </w:rPr>
        <w:t xml:space="preserve"> affected by unplanned outages</w:t>
      </w:r>
      <w:r w:rsidRPr="00B90ECC" w:rsidR="00A804FF">
        <w:rPr>
          <w:szCs w:val="26"/>
        </w:rPr>
        <w:t>.</w:t>
      </w:r>
      <w:r w:rsidRPr="00B90ECC" w:rsidR="00A804FF">
        <w:rPr>
          <w:szCs w:val="26"/>
          <w:vertAlign w:val="superscript"/>
        </w:rPr>
        <w:footnoteReference w:id="107"/>
      </w:r>
      <w:r w:rsidRPr="00B90ECC" w:rsidR="00A804FF">
        <w:rPr>
          <w:szCs w:val="26"/>
        </w:rPr>
        <w:t xml:space="preserve">  </w:t>
      </w:r>
      <w:r w:rsidRPr="00B90ECC" w:rsidR="00752630">
        <w:rPr>
          <w:szCs w:val="26"/>
        </w:rPr>
        <w:t xml:space="preserve"> </w:t>
      </w:r>
      <w:r w:rsidR="00150666">
        <w:rPr>
          <w:szCs w:val="26"/>
        </w:rPr>
        <w:t xml:space="preserve">Staff states that a </w:t>
      </w:r>
      <w:r w:rsidRPr="00B90ECC" w:rsidR="00597327">
        <w:rPr>
          <w:szCs w:val="26"/>
        </w:rPr>
        <w:t xml:space="preserve">CAIDI (All Outages) metric </w:t>
      </w:r>
      <w:r w:rsidR="00150666">
        <w:rPr>
          <w:szCs w:val="26"/>
        </w:rPr>
        <w:t xml:space="preserve">would </w:t>
      </w:r>
      <w:r w:rsidRPr="00B90ECC" w:rsidR="00597327">
        <w:rPr>
          <w:szCs w:val="26"/>
        </w:rPr>
        <w:t>provide a comprehensive picture of reliability performance under any outage circumstance</w:t>
      </w:r>
      <w:r w:rsidRPr="00B90ECC" w:rsidR="005B0EA1">
        <w:rPr>
          <w:szCs w:val="26"/>
        </w:rPr>
        <w:t>.  Staff also recommends adopti</w:t>
      </w:r>
      <w:r w:rsidRPr="00B90ECC" w:rsidR="00F76D3F">
        <w:rPr>
          <w:szCs w:val="26"/>
        </w:rPr>
        <w:t>on of a</w:t>
      </w:r>
      <w:r w:rsidRPr="00B90ECC" w:rsidR="005B0EA1">
        <w:rPr>
          <w:szCs w:val="26"/>
        </w:rPr>
        <w:t xml:space="preserve"> System Average Customers Impacted (All Outages)</w:t>
      </w:r>
      <w:r w:rsidRPr="00B90ECC" w:rsidR="005B0EA1">
        <w:rPr>
          <w:i/>
          <w:szCs w:val="26"/>
        </w:rPr>
        <w:t xml:space="preserve"> </w:t>
      </w:r>
      <w:r w:rsidRPr="00B90ECC" w:rsidR="005B0EA1">
        <w:rPr>
          <w:szCs w:val="26"/>
        </w:rPr>
        <w:t xml:space="preserve">SOM </w:t>
      </w:r>
      <w:r w:rsidRPr="00B90ECC" w:rsidR="00F76D3F">
        <w:rPr>
          <w:szCs w:val="26"/>
        </w:rPr>
        <w:t xml:space="preserve">that addresses </w:t>
      </w:r>
      <w:r w:rsidRPr="00B90ECC" w:rsidR="005B0EA1">
        <w:rPr>
          <w:szCs w:val="26"/>
        </w:rPr>
        <w:t>all transmission and distribution outages</w:t>
      </w:r>
      <w:r w:rsidRPr="00B90ECC" w:rsidR="004B0E0F">
        <w:rPr>
          <w:szCs w:val="26"/>
        </w:rPr>
        <w:t xml:space="preserve"> for any reason</w:t>
      </w:r>
      <w:r w:rsidRPr="00B90ECC" w:rsidR="00F76D3F">
        <w:rPr>
          <w:szCs w:val="26"/>
        </w:rPr>
        <w:t>.</w:t>
      </w:r>
    </w:p>
    <w:p w:rsidRPr="00DB774E" w:rsidR="008B39B6" w:rsidP="00DB774E" w:rsidRDefault="008B39B6" w14:paraId="0AFE9F1F" w14:textId="4446D42E">
      <w:pPr>
        <w:pStyle w:val="Heading5"/>
      </w:pPr>
      <w:bookmarkStart w:name="_Toc80890888" w:id="111"/>
      <w:bookmarkStart w:name="_Toc87361189" w:id="112"/>
      <w:r w:rsidRPr="00BE70E1">
        <w:t>10.5.2.</w:t>
      </w:r>
      <w:r w:rsidRPr="00DB774E">
        <w:t>1</w:t>
      </w:r>
      <w:r w:rsidRPr="00BE70E1">
        <w:t>.</w:t>
      </w:r>
      <w:r w:rsidRPr="00DB774E">
        <w:t>2</w:t>
      </w:r>
      <w:r w:rsidRPr="00BE70E1">
        <w:tab/>
      </w:r>
      <w:r w:rsidRPr="00DB774E">
        <w:t>Party Comments</w:t>
      </w:r>
      <w:bookmarkEnd w:id="111"/>
      <w:bookmarkEnd w:id="112"/>
    </w:p>
    <w:p w:rsidRPr="00BE70E1" w:rsidR="00FF7826" w:rsidP="00A025FA" w:rsidRDefault="00FF7826" w14:paraId="10F1FCC5" w14:textId="1FD0DCB0">
      <w:pPr>
        <w:spacing w:line="360" w:lineRule="auto"/>
        <w:ind w:firstLine="720"/>
        <w:rPr>
          <w:szCs w:val="26"/>
        </w:rPr>
      </w:pPr>
      <w:r w:rsidRPr="00BE70E1">
        <w:rPr>
          <w:szCs w:val="26"/>
        </w:rPr>
        <w:t>Parties raise a number of concerns with Staff’s proposed reliability related SOMs.  Cal Advocates states that th</w:t>
      </w:r>
      <w:r w:rsidRPr="00BE70E1">
        <w:rPr>
          <w:rFonts w:eastAsiaTheme="minorHAnsi"/>
          <w:szCs w:val="26"/>
        </w:rPr>
        <w:t xml:space="preserve">e Commission should consider if some </w:t>
      </w:r>
      <w:r w:rsidRPr="00BE70E1">
        <w:rPr>
          <w:szCs w:val="26"/>
        </w:rPr>
        <w:lastRenderedPageBreak/>
        <w:t>r</w:t>
      </w:r>
      <w:r w:rsidRPr="00BE70E1">
        <w:rPr>
          <w:rFonts w:eastAsiaTheme="minorHAnsi"/>
          <w:szCs w:val="26"/>
        </w:rPr>
        <w:t>eliability related metrics should be adopted initially as SPMs.</w:t>
      </w:r>
      <w:r w:rsidRPr="00BE70E1">
        <w:rPr>
          <w:szCs w:val="26"/>
        </w:rPr>
        <w:t xml:space="preserve">  PG&amp;E opposes Commission adoption of any reliability related SOM that pertains to “all outages,” including those proposed by Staff as SAIFI, SAIDI, CAIDI, and System Average Customers Impacted SOMs for the overarching reason that “SOMs should be attainable.”</w:t>
      </w:r>
      <w:r w:rsidRPr="00BE70E1">
        <w:rPr>
          <w:szCs w:val="26"/>
          <w:vertAlign w:val="superscript"/>
        </w:rPr>
        <w:footnoteReference w:id="108"/>
      </w:r>
      <w:r w:rsidRPr="00BE70E1">
        <w:rPr>
          <w:szCs w:val="26"/>
        </w:rPr>
        <w:t xml:space="preserve">  A</w:t>
      </w:r>
      <w:r w:rsidR="0067363D">
        <w:rPr>
          <w:szCs w:val="26"/>
        </w:rPr>
        <w:t>dditionally</w:t>
      </w:r>
      <w:r w:rsidRPr="00BE70E1">
        <w:rPr>
          <w:szCs w:val="26"/>
        </w:rPr>
        <w:t>, PG&amp;E oppose</w:t>
      </w:r>
      <w:r w:rsidR="004A2A5B">
        <w:rPr>
          <w:szCs w:val="26"/>
        </w:rPr>
        <w:t>s</w:t>
      </w:r>
      <w:r w:rsidRPr="00BE70E1">
        <w:rPr>
          <w:szCs w:val="26"/>
        </w:rPr>
        <w:t xml:space="preserve"> these metrics because:</w:t>
      </w:r>
    </w:p>
    <w:p w:rsidRPr="00775D74" w:rsidR="00FF7826" w:rsidP="002D63CD" w:rsidRDefault="00FF7826" w14:paraId="2E7AC019" w14:textId="3C65C0F8">
      <w:pPr>
        <w:spacing w:after="120"/>
        <w:ind w:left="720" w:right="1440"/>
      </w:pPr>
      <w:r w:rsidRPr="00775D74">
        <w:t xml:space="preserve">PG&amp;E anticipates increased planned outages over the next couple of years to perform necessary safety work. </w:t>
      </w:r>
      <w:r w:rsidRPr="00775D74" w:rsidR="002D63CD">
        <w:t xml:space="preserve"> </w:t>
      </w:r>
      <w:r w:rsidRPr="00775D74">
        <w:t xml:space="preserve">By including planned outages, the Commission could potentially put PG&amp;E into enhanced enforcement as a result of PG&amp;E executing risk reduction work. </w:t>
      </w:r>
      <w:r w:rsidRPr="00775D74" w:rsidR="002D63CD">
        <w:t xml:space="preserve"> </w:t>
      </w:r>
      <w:r w:rsidRPr="00775D74">
        <w:t>This is counterproductive. Therefore, the Commission should not include these indicators, and instead adopt SOMs that properly measure utilities’ work towards system improvements.</w:t>
      </w:r>
      <w:r w:rsidRPr="00775D74">
        <w:rPr>
          <w:vertAlign w:val="superscript"/>
        </w:rPr>
        <w:footnoteReference w:id="109"/>
      </w:r>
    </w:p>
    <w:p w:rsidRPr="00775D74" w:rsidR="00FF7826" w:rsidP="00FF7826" w:rsidRDefault="00FF7826" w14:paraId="6C46C279" w14:textId="2AAF0EDA">
      <w:pPr>
        <w:spacing w:line="360" w:lineRule="auto"/>
        <w:ind w:firstLine="720"/>
        <w:rPr>
          <w:szCs w:val="26"/>
        </w:rPr>
      </w:pPr>
      <w:r w:rsidRPr="00775D74">
        <w:rPr>
          <w:szCs w:val="26"/>
        </w:rPr>
        <w:t>PG&amp;E further proposes the Commission consider reclassifying Staff’s proposed SAIDI, SAIFI, and CAIDI (All Outages) SOMs as SPMs and reject</w:t>
      </w:r>
      <w:r w:rsidR="00766BBC">
        <w:rPr>
          <w:szCs w:val="26"/>
        </w:rPr>
        <w:t>ing</w:t>
      </w:r>
      <w:r w:rsidRPr="00775D74">
        <w:rPr>
          <w:szCs w:val="26"/>
        </w:rPr>
        <w:t xml:space="preserve"> Staff’s proposed SAIFI and CAIDI (Unplanned) SOMs because these use the same data as would a SAIDI (Unplanned) SOM and </w:t>
      </w:r>
      <w:r w:rsidR="000B2469">
        <w:rPr>
          <w:szCs w:val="26"/>
        </w:rPr>
        <w:t>would</w:t>
      </w:r>
      <w:r w:rsidRPr="00775D74">
        <w:rPr>
          <w:szCs w:val="26"/>
        </w:rPr>
        <w:t xml:space="preserve"> not add significant new insights into PG&amp;E’s performance. </w:t>
      </w:r>
    </w:p>
    <w:p w:rsidRPr="00775D74" w:rsidR="008B39B6" w:rsidP="003C4BC3" w:rsidRDefault="008B39B6" w14:paraId="16B60843" w14:textId="3E420F63">
      <w:pPr>
        <w:pStyle w:val="Heading5"/>
        <w:rPr>
          <w:rFonts w:ascii="Book Antiqua" w:hAnsi="Book Antiqua"/>
        </w:rPr>
      </w:pPr>
      <w:bookmarkStart w:name="_Toc80890889" w:id="113"/>
      <w:bookmarkStart w:name="_Toc87361190" w:id="114"/>
      <w:r w:rsidRPr="00775D74">
        <w:t>10.5.2.</w:t>
      </w:r>
      <w:r w:rsidRPr="00775D74" w:rsidR="00802EE1">
        <w:t>1</w:t>
      </w:r>
      <w:r w:rsidRPr="00775D74">
        <w:t>.3</w:t>
      </w:r>
      <w:r w:rsidRPr="00775D74">
        <w:tab/>
        <w:t>Discussion</w:t>
      </w:r>
      <w:bookmarkEnd w:id="113"/>
      <w:bookmarkEnd w:id="114"/>
    </w:p>
    <w:p w:rsidRPr="00775D74" w:rsidR="00070262" w:rsidP="00070262" w:rsidRDefault="00070262" w14:paraId="03A82C88" w14:textId="18D97C8B">
      <w:pPr>
        <w:spacing w:line="360" w:lineRule="auto"/>
        <w:ind w:firstLine="720"/>
      </w:pPr>
      <w:r w:rsidRPr="00775D74">
        <w:t>We adopt Staff’s reliability related SOMs, #s 2.1</w:t>
      </w:r>
      <w:r w:rsidRPr="00775D74" w:rsidR="00433D60">
        <w:t xml:space="preserve"> </w:t>
      </w:r>
      <w:r w:rsidRPr="00775D74" w:rsidR="00B943F1">
        <w:t xml:space="preserve">(System Average Interruption Duration (SAIDI) (Unplanned)) </w:t>
      </w:r>
      <w:r w:rsidRPr="00775D74">
        <w:t>and 2.3</w:t>
      </w:r>
      <w:r w:rsidRPr="00775D74" w:rsidR="00B943F1">
        <w:t xml:space="preserve"> (System Average Interruption Frequency (SAIFI) (Unplanned)).</w:t>
      </w:r>
      <w:r w:rsidRPr="00775D74">
        <w:t xml:space="preserve">  These metrics are reasonable and provide insight into PG&amp;E’s overall reliability performance, which we expect to show significant improvement in coming months and years. </w:t>
      </w:r>
    </w:p>
    <w:p w:rsidR="00070262" w:rsidP="00070262" w:rsidRDefault="00070262" w14:paraId="65C1027E" w14:textId="294C0773">
      <w:pPr>
        <w:spacing w:line="360" w:lineRule="auto"/>
        <w:ind w:firstLine="720"/>
      </w:pPr>
      <w:r w:rsidRPr="00775D74">
        <w:t>We do not adopt Staff’s recommended SOMs for SAIDI, SAIFI, CAIDI, and System Average Customers Impacted (All Outages)</w:t>
      </w:r>
      <w:r w:rsidRPr="00775D74" w:rsidR="007514D7">
        <w:t xml:space="preserve">, </w:t>
      </w:r>
      <w:r w:rsidRPr="00775D74" w:rsidR="007514D7">
        <w:rPr>
          <w:i/>
          <w:iCs/>
        </w:rPr>
        <w:t>i.e.</w:t>
      </w:r>
      <w:r w:rsidRPr="00775D74" w:rsidR="007514D7">
        <w:t xml:space="preserve"> SOMs #s 2.2, 2.4</w:t>
      </w:r>
      <w:r w:rsidRPr="00775D74" w:rsidR="003A54B1">
        <w:t xml:space="preserve">, 2.6 </w:t>
      </w:r>
      <w:r w:rsidRPr="00775D74" w:rsidR="003A54B1">
        <w:lastRenderedPageBreak/>
        <w:t>and</w:t>
      </w:r>
      <w:r w:rsidRPr="00775D74" w:rsidR="002D63CD">
        <w:t> </w:t>
      </w:r>
      <w:r w:rsidRPr="00775D74" w:rsidR="003A54B1">
        <w:t>2.7</w:t>
      </w:r>
      <w:r w:rsidRPr="00775D74" w:rsidR="00E2211E">
        <w:t>.</w:t>
      </w:r>
      <w:r w:rsidRPr="00775D74">
        <w:t xml:space="preserve">  We do not think it is useful to adopt SOMs that includes planned outages undertaken to perform safety or</w:t>
      </w:r>
      <w:r w:rsidRPr="00BE70E1">
        <w:t xml:space="preserve"> reliability improvements.  We agree with PG&amp;E that using such a SOM for enforcement purposes is problematic.  Additionally, metrics that are substantially similar to SOMs addressing all outages are included in the </w:t>
      </w:r>
      <w:r w:rsidR="00D5085A">
        <w:t xml:space="preserve">OEIS </w:t>
      </w:r>
      <w:r w:rsidRPr="00BE70E1">
        <w:t xml:space="preserve">WMP </w:t>
      </w:r>
      <w:r w:rsidR="00D5085A">
        <w:t xml:space="preserve">Guidelines </w:t>
      </w:r>
      <w:r w:rsidR="00AF22FA">
        <w:t xml:space="preserve">on </w:t>
      </w:r>
      <w:r w:rsidRPr="00BE70E1">
        <w:t>PSPS metrics.</w:t>
      </w:r>
    </w:p>
    <w:p w:rsidRPr="00BE70E1" w:rsidR="00433D60" w:rsidP="00070262" w:rsidRDefault="00433D60" w14:paraId="372A275B" w14:textId="5B2F8070">
      <w:pPr>
        <w:spacing w:line="360" w:lineRule="auto"/>
        <w:ind w:firstLine="720"/>
      </w:pPr>
      <w:r>
        <w:t xml:space="preserve">We also do not adopt SOM #2.5 </w:t>
      </w:r>
      <w:r w:rsidR="00417B85">
        <w:t>(</w:t>
      </w:r>
      <w:r w:rsidRPr="00417B85" w:rsidR="00417B85">
        <w:t>Customer Average Interruption Duration Index (CAIDI) (Unplanned)</w:t>
      </w:r>
      <w:r w:rsidR="00417B85">
        <w:t xml:space="preserve">) </w:t>
      </w:r>
      <w:r>
        <w:t>as the information this provides can be derived from SOMs #s 2.1 and 2.3.</w:t>
      </w:r>
    </w:p>
    <w:p w:rsidR="00964D77" w:rsidP="00932498" w:rsidRDefault="00964D77" w14:paraId="18569711" w14:textId="68EC5040">
      <w:pPr>
        <w:pStyle w:val="Heading4"/>
      </w:pPr>
      <w:bookmarkStart w:name="_Toc80890890" w:id="115"/>
      <w:bookmarkStart w:name="_Toc87361191" w:id="116"/>
      <w:r>
        <w:t>10.5.2.2</w:t>
      </w:r>
      <w:r w:rsidR="00636466">
        <w:t>.</w:t>
      </w:r>
      <w:r w:rsidR="00636466">
        <w:tab/>
      </w:r>
      <w:r>
        <w:t>PSPS Related SOMs</w:t>
      </w:r>
      <w:r w:rsidR="00682B4B">
        <w:t xml:space="preserve"> </w:t>
      </w:r>
      <w:r w:rsidR="00737289">
        <w:t>(</w:t>
      </w:r>
      <w:r w:rsidR="00682B4B">
        <w:t>#s</w:t>
      </w:r>
      <w:r w:rsidR="00901485">
        <w:t xml:space="preserve"> 2.8 – 2.10</w:t>
      </w:r>
      <w:bookmarkEnd w:id="115"/>
      <w:r w:rsidR="00737289">
        <w:t>)</w:t>
      </w:r>
      <w:bookmarkEnd w:id="116"/>
    </w:p>
    <w:p w:rsidRPr="00B85431" w:rsidR="00C305D2" w:rsidP="00C305D2" w:rsidRDefault="00C305D2" w14:paraId="054A2C0D" w14:textId="1805818E">
      <w:pPr>
        <w:pStyle w:val="Standard"/>
        <w:rPr>
          <w:szCs w:val="26"/>
        </w:rPr>
      </w:pPr>
      <w:r w:rsidRPr="00B85431">
        <w:rPr>
          <w:szCs w:val="26"/>
        </w:rPr>
        <w:t xml:space="preserve">The </w:t>
      </w:r>
      <w:r>
        <w:rPr>
          <w:szCs w:val="26"/>
        </w:rPr>
        <w:t>SOMs Ruling</w:t>
      </w:r>
      <w:r w:rsidRPr="00B85431">
        <w:rPr>
          <w:szCs w:val="26"/>
        </w:rPr>
        <w:t xml:space="preserve"> </w:t>
      </w:r>
      <w:r w:rsidR="00BE2C3B">
        <w:rPr>
          <w:szCs w:val="26"/>
        </w:rPr>
        <w:t xml:space="preserve">directs </w:t>
      </w:r>
      <w:r>
        <w:rPr>
          <w:szCs w:val="26"/>
        </w:rPr>
        <w:t xml:space="preserve">PG&amp;E </w:t>
      </w:r>
      <w:r w:rsidR="00BE2C3B">
        <w:rPr>
          <w:szCs w:val="26"/>
        </w:rPr>
        <w:t>to</w:t>
      </w:r>
      <w:r w:rsidDel="00BE2C3B">
        <w:rPr>
          <w:szCs w:val="26"/>
        </w:rPr>
        <w:t xml:space="preserve"> </w:t>
      </w:r>
      <w:r>
        <w:rPr>
          <w:szCs w:val="26"/>
        </w:rPr>
        <w:t xml:space="preserve">consider </w:t>
      </w:r>
      <w:r w:rsidRPr="00B85431">
        <w:rPr>
          <w:szCs w:val="26"/>
        </w:rPr>
        <w:t>requirements regarding the management and minimization of PSPS events adopted in R.18-12-005</w:t>
      </w:r>
      <w:r>
        <w:rPr>
          <w:szCs w:val="26"/>
        </w:rPr>
        <w:t xml:space="preserve"> when developing and proposing SOMs.</w:t>
      </w:r>
      <w:r w:rsidRPr="00125E69">
        <w:rPr>
          <w:szCs w:val="26"/>
          <w:vertAlign w:val="superscript"/>
        </w:rPr>
        <w:footnoteReference w:id="110"/>
      </w:r>
      <w:r w:rsidRPr="00125E69">
        <w:rPr>
          <w:szCs w:val="26"/>
        </w:rPr>
        <w:t xml:space="preserve"> </w:t>
      </w:r>
      <w:r w:rsidRPr="00B85431">
        <w:rPr>
          <w:szCs w:val="26"/>
        </w:rPr>
        <w:t xml:space="preserve"> D.19-05-042</w:t>
      </w:r>
      <w:r>
        <w:rPr>
          <w:iCs/>
          <w:szCs w:val="26"/>
        </w:rPr>
        <w:t>,</w:t>
      </w:r>
      <w:r>
        <w:rPr>
          <w:szCs w:val="26"/>
        </w:rPr>
        <w:t xml:space="preserve"> </w:t>
      </w:r>
      <w:r w:rsidRPr="00B85431">
        <w:rPr>
          <w:szCs w:val="26"/>
        </w:rPr>
        <w:t>D.20-05-051</w:t>
      </w:r>
      <w:r>
        <w:rPr>
          <w:iCs/>
          <w:szCs w:val="26"/>
        </w:rPr>
        <w:t>, and D.21-06-034</w:t>
      </w:r>
      <w:r>
        <w:rPr>
          <w:szCs w:val="26"/>
        </w:rPr>
        <w:t xml:space="preserve"> require the </w:t>
      </w:r>
      <w:r w:rsidRPr="00B85431">
        <w:rPr>
          <w:szCs w:val="26"/>
        </w:rPr>
        <w:t>electric IOU</w:t>
      </w:r>
      <w:r>
        <w:rPr>
          <w:szCs w:val="26"/>
        </w:rPr>
        <w:t xml:space="preserve">s </w:t>
      </w:r>
      <w:r w:rsidRPr="00B85431">
        <w:rPr>
          <w:szCs w:val="26"/>
        </w:rPr>
        <w:t>to submit a post event report on each PSPS event to the Commission within 10 days, regardless of whether de-energization has actually occurred</w:t>
      </w:r>
      <w:r>
        <w:rPr>
          <w:szCs w:val="26"/>
        </w:rPr>
        <w:t>,</w:t>
      </w:r>
      <w:r w:rsidRPr="00B85431">
        <w:rPr>
          <w:szCs w:val="26"/>
        </w:rPr>
        <w:t xml:space="preserve"> and the report must describe the quantitative and qualitative factors the IOU </w:t>
      </w:r>
      <w:r w:rsidRPr="004D6F4F">
        <w:rPr>
          <w:szCs w:val="26"/>
        </w:rPr>
        <w:t>considered in calling, sustaining, or curtailing each PSPS event, among other details.</w:t>
      </w:r>
      <w:r w:rsidRPr="004D6F4F">
        <w:rPr>
          <w:szCs w:val="26"/>
          <w:vertAlign w:val="superscript"/>
        </w:rPr>
        <w:footnoteReference w:id="111"/>
      </w:r>
      <w:r w:rsidRPr="004D6F4F">
        <w:rPr>
          <w:szCs w:val="26"/>
        </w:rPr>
        <w:t xml:space="preserve">  Additionally, as of 2021, IOUs must include in their WMPs specific short, medium, and long-term actions </w:t>
      </w:r>
      <w:r w:rsidRPr="004D6F4F" w:rsidR="002B3619">
        <w:rPr>
          <w:szCs w:val="26"/>
        </w:rPr>
        <w:t xml:space="preserve">they </w:t>
      </w:r>
      <w:r w:rsidRPr="004D6F4F">
        <w:rPr>
          <w:szCs w:val="26"/>
        </w:rPr>
        <w:t xml:space="preserve">will </w:t>
      </w:r>
      <w:r w:rsidRPr="004D6F4F" w:rsidR="00630B5A">
        <w:rPr>
          <w:szCs w:val="26"/>
        </w:rPr>
        <w:t>t</w:t>
      </w:r>
      <w:r w:rsidRPr="004D6F4F">
        <w:rPr>
          <w:szCs w:val="26"/>
        </w:rPr>
        <w:t>ake to reduce the impact of and need for PSPS events</w:t>
      </w:r>
      <w:r w:rsidRPr="004D6F4F">
        <w:rPr>
          <w:iCs/>
          <w:szCs w:val="26"/>
        </w:rPr>
        <w:t>.</w:t>
      </w:r>
      <w:r w:rsidRPr="004D6F4F">
        <w:rPr>
          <w:szCs w:val="26"/>
          <w:vertAlign w:val="superscript"/>
        </w:rPr>
        <w:footnoteReference w:id="112"/>
      </w:r>
      <w:r w:rsidRPr="004D6F4F">
        <w:rPr>
          <w:szCs w:val="26"/>
          <w:vertAlign w:val="superscript"/>
        </w:rPr>
        <w:t xml:space="preserve"> </w:t>
      </w:r>
      <w:r w:rsidRPr="004D6F4F">
        <w:rPr>
          <w:szCs w:val="26"/>
        </w:rPr>
        <w:t xml:space="preserve"> “Failure to comply</w:t>
      </w:r>
      <w:r w:rsidRPr="00B85431">
        <w:rPr>
          <w:szCs w:val="26"/>
        </w:rPr>
        <w:t>” with PSPS protocols is an EOE Process Step 1 triggering event.</w:t>
      </w:r>
      <w:r w:rsidRPr="00644245">
        <w:rPr>
          <w:szCs w:val="26"/>
          <w:vertAlign w:val="superscript"/>
        </w:rPr>
        <w:footnoteReference w:id="113"/>
      </w:r>
    </w:p>
    <w:p w:rsidRPr="00932498" w:rsidR="00932498" w:rsidP="00932498" w:rsidRDefault="00932498" w14:paraId="0108CC16" w14:textId="15502EFC">
      <w:pPr>
        <w:pStyle w:val="Heading5"/>
      </w:pPr>
      <w:bookmarkStart w:name="_Toc80890891" w:id="117"/>
      <w:bookmarkStart w:name="_Toc87361192" w:id="118"/>
      <w:r>
        <w:lastRenderedPageBreak/>
        <w:t>10.5.2.2.1</w:t>
      </w:r>
      <w:r>
        <w:tab/>
        <w:t>Staff Proposal</w:t>
      </w:r>
      <w:bookmarkEnd w:id="117"/>
      <w:bookmarkEnd w:id="118"/>
      <w:r>
        <w:t xml:space="preserve"> </w:t>
      </w:r>
    </w:p>
    <w:p w:rsidR="00D51EB1" w:rsidP="00D51EB1" w:rsidRDefault="004F0E04" w14:paraId="23B73C05" w14:textId="033CDC6C">
      <w:pPr>
        <w:pStyle w:val="Standard"/>
        <w:rPr>
          <w:szCs w:val="26"/>
        </w:rPr>
      </w:pPr>
      <w:r w:rsidRPr="00BB791B">
        <w:rPr>
          <w:szCs w:val="26"/>
        </w:rPr>
        <w:t>Regarding its proposed PSPS related SOMs, Staff state that, “[c]onsidering the significant impacts customers and communities may incur during a PSPS event, it is important for the Commission to include PSPS related metrics in the SOMs for purposes of the EOE Process,” because this will “further incentivize progress on the implementation of mitigation measures to reduce the impact of PSPS events on Californians.”</w:t>
      </w:r>
      <w:r w:rsidRPr="00BB791B">
        <w:rPr>
          <w:rStyle w:val="FootnoteReference"/>
          <w:szCs w:val="26"/>
        </w:rPr>
        <w:footnoteReference w:id="114"/>
      </w:r>
      <w:r w:rsidRPr="00BB791B" w:rsidR="00030E1D">
        <w:rPr>
          <w:szCs w:val="26"/>
        </w:rPr>
        <w:t xml:space="preserve">  Staff state that PG&amp;E</w:t>
      </w:r>
      <w:r w:rsidR="009E0CC4">
        <w:rPr>
          <w:szCs w:val="26"/>
        </w:rPr>
        <w:t xml:space="preserve"> </w:t>
      </w:r>
      <w:r w:rsidRPr="00BB791B" w:rsidR="00030E1D">
        <w:rPr>
          <w:szCs w:val="26"/>
        </w:rPr>
        <w:t xml:space="preserve">system improvements </w:t>
      </w:r>
      <w:r w:rsidR="0055663A">
        <w:rPr>
          <w:szCs w:val="26"/>
        </w:rPr>
        <w:t>“</w:t>
      </w:r>
      <w:r w:rsidRPr="00BB791B" w:rsidR="00030E1D">
        <w:rPr>
          <w:szCs w:val="26"/>
        </w:rPr>
        <w:t>should result in decreased trends in the duration, frequency, and number of customers impacted by PSPS events over time, even in the face of extreme weather conditions and dry vegetation.</w:t>
      </w:r>
      <w:r w:rsidR="0055663A">
        <w:rPr>
          <w:szCs w:val="26"/>
        </w:rPr>
        <w:t>”</w:t>
      </w:r>
      <w:r w:rsidRPr="00BB791B" w:rsidR="0055663A">
        <w:rPr>
          <w:rStyle w:val="FootnoteReference"/>
          <w:szCs w:val="26"/>
        </w:rPr>
        <w:footnoteReference w:id="115"/>
      </w:r>
      <w:r w:rsidRPr="00BB791B" w:rsidR="00030E1D">
        <w:rPr>
          <w:szCs w:val="26"/>
        </w:rPr>
        <w:t xml:space="preserve">  </w:t>
      </w:r>
      <w:r w:rsidR="00707F4A">
        <w:rPr>
          <w:szCs w:val="26"/>
        </w:rPr>
        <w:t>Staff state that it is important to measure the duration of PSPS events</w:t>
      </w:r>
      <w:r w:rsidR="00E401C4">
        <w:rPr>
          <w:szCs w:val="26"/>
        </w:rPr>
        <w:t xml:space="preserve"> from the first notification of a potential shutoff because customers, particularly </w:t>
      </w:r>
      <w:r w:rsidR="00C60F80">
        <w:rPr>
          <w:szCs w:val="26"/>
        </w:rPr>
        <w:t>a</w:t>
      </w:r>
      <w:r w:rsidRPr="00E2211E" w:rsidR="00E2211E">
        <w:rPr>
          <w:szCs w:val="26"/>
        </w:rPr>
        <w:t>ccess and</w:t>
      </w:r>
      <w:r w:rsidR="00C60F80">
        <w:rPr>
          <w:szCs w:val="26"/>
        </w:rPr>
        <w:t xml:space="preserve"> f</w:t>
      </w:r>
      <w:r w:rsidRPr="00E2211E" w:rsidR="00E2211E">
        <w:rPr>
          <w:szCs w:val="26"/>
        </w:rPr>
        <w:t xml:space="preserve">unctional </w:t>
      </w:r>
      <w:r w:rsidR="00C60F80">
        <w:rPr>
          <w:szCs w:val="26"/>
        </w:rPr>
        <w:t>n</w:t>
      </w:r>
      <w:r w:rsidRPr="00E2211E" w:rsidR="00E2211E">
        <w:rPr>
          <w:szCs w:val="26"/>
        </w:rPr>
        <w:t>eeds</w:t>
      </w:r>
      <w:r w:rsidR="00E401C4">
        <w:rPr>
          <w:szCs w:val="26"/>
        </w:rPr>
        <w:t xml:space="preserve"> customers, expend significant time and resources preparing for potential PSPS events.  </w:t>
      </w:r>
      <w:r w:rsidRPr="00BB791B" w:rsidR="00030E1D">
        <w:rPr>
          <w:szCs w:val="26"/>
        </w:rPr>
        <w:t>Staff</w:t>
      </w:r>
      <w:r w:rsidRPr="00BB791B" w:rsidR="00BB791B">
        <w:rPr>
          <w:szCs w:val="26"/>
        </w:rPr>
        <w:t xml:space="preserve"> state </w:t>
      </w:r>
      <w:r w:rsidR="009E0CC4">
        <w:rPr>
          <w:szCs w:val="26"/>
        </w:rPr>
        <w:t>they</w:t>
      </w:r>
      <w:r w:rsidRPr="00BB791B" w:rsidR="00BB791B">
        <w:rPr>
          <w:szCs w:val="26"/>
        </w:rPr>
        <w:t xml:space="preserve"> could </w:t>
      </w:r>
      <w:r w:rsidRPr="00BB791B" w:rsidR="00030E1D">
        <w:rPr>
          <w:szCs w:val="26"/>
        </w:rPr>
        <w:t>consider approaches to normaliz</w:t>
      </w:r>
      <w:r w:rsidR="00E401C4">
        <w:rPr>
          <w:szCs w:val="26"/>
        </w:rPr>
        <w:t>ing</w:t>
      </w:r>
      <w:r w:rsidRPr="00BB791B" w:rsidR="00030E1D">
        <w:rPr>
          <w:szCs w:val="26"/>
        </w:rPr>
        <w:t xml:space="preserve"> </w:t>
      </w:r>
      <w:r w:rsidR="009E0CC4">
        <w:rPr>
          <w:szCs w:val="26"/>
        </w:rPr>
        <w:t xml:space="preserve">PSPS related </w:t>
      </w:r>
      <w:r w:rsidRPr="00BB791B" w:rsidR="00030E1D">
        <w:rPr>
          <w:szCs w:val="26"/>
        </w:rPr>
        <w:t xml:space="preserve">SOMs to reduce </w:t>
      </w:r>
      <w:r w:rsidR="00593CBC">
        <w:rPr>
          <w:szCs w:val="26"/>
        </w:rPr>
        <w:t xml:space="preserve">their variability due to </w:t>
      </w:r>
      <w:r w:rsidRPr="00BB791B" w:rsidR="00030E1D">
        <w:rPr>
          <w:szCs w:val="26"/>
        </w:rPr>
        <w:t xml:space="preserve">exogenous </w:t>
      </w:r>
      <w:r w:rsidR="00593CBC">
        <w:rPr>
          <w:szCs w:val="26"/>
        </w:rPr>
        <w:t xml:space="preserve">factors like weather patterns. </w:t>
      </w:r>
    </w:p>
    <w:p w:rsidRPr="00BE70E1" w:rsidR="00FC2ECD" w:rsidP="003C4BC3" w:rsidRDefault="00FC2ECD" w14:paraId="42D18E61" w14:textId="6AAEE2F2">
      <w:pPr>
        <w:pStyle w:val="Heading5"/>
      </w:pPr>
      <w:bookmarkStart w:name="_Toc80890892" w:id="119"/>
      <w:bookmarkStart w:name="_Toc87361193" w:id="120"/>
      <w:r w:rsidRPr="00BE70E1">
        <w:t>10.5.2.2.2</w:t>
      </w:r>
      <w:r w:rsidRPr="00BE70E1">
        <w:tab/>
        <w:t>P</w:t>
      </w:r>
      <w:r>
        <w:t>arty Comments</w:t>
      </w:r>
      <w:bookmarkEnd w:id="119"/>
      <w:bookmarkEnd w:id="120"/>
    </w:p>
    <w:p w:rsidRPr="00BE70E1" w:rsidR="00FC2ECD" w:rsidP="00FC2ECD" w:rsidRDefault="00FC2ECD" w14:paraId="7C5006C9" w14:textId="3FE79940">
      <w:pPr>
        <w:spacing w:line="360" w:lineRule="auto"/>
        <w:ind w:firstLine="720"/>
        <w:rPr>
          <w:szCs w:val="26"/>
        </w:rPr>
      </w:pPr>
      <w:r w:rsidRPr="00BE70E1">
        <w:rPr>
          <w:szCs w:val="26"/>
        </w:rPr>
        <w:t xml:space="preserve">Regarding PSPS related SOMs, Cal Advocates recommends the Commission adopt six additional PSPS related SOMs to ensure that PG&amp;E is completing meaningful work to reduce the effect and duration of PSPS events on customers.  Cal Advocates states that its proposed PSPS related SOMs would </w:t>
      </w:r>
      <w:r w:rsidRPr="00BE70E1">
        <w:rPr>
          <w:rFonts w:eastAsiaTheme="minorHAnsi"/>
          <w:szCs w:val="26"/>
        </w:rPr>
        <w:t xml:space="preserve">provide </w:t>
      </w:r>
      <w:r w:rsidRPr="00BE70E1">
        <w:rPr>
          <w:szCs w:val="26"/>
        </w:rPr>
        <w:t xml:space="preserve">a </w:t>
      </w:r>
      <w:r w:rsidRPr="00BE70E1">
        <w:rPr>
          <w:rFonts w:eastAsiaTheme="minorHAnsi"/>
          <w:szCs w:val="26"/>
        </w:rPr>
        <w:t xml:space="preserve">level of granularity needed to capture </w:t>
      </w:r>
      <w:r w:rsidRPr="00BE70E1">
        <w:rPr>
          <w:szCs w:val="26"/>
        </w:rPr>
        <w:t xml:space="preserve">PSPS </w:t>
      </w:r>
      <w:r w:rsidRPr="00BE70E1">
        <w:rPr>
          <w:rFonts w:eastAsiaTheme="minorHAnsi"/>
          <w:szCs w:val="26"/>
        </w:rPr>
        <w:t>impact</w:t>
      </w:r>
      <w:r w:rsidRPr="00BE70E1">
        <w:rPr>
          <w:szCs w:val="26"/>
        </w:rPr>
        <w:t>s</w:t>
      </w:r>
      <w:r w:rsidRPr="00BE70E1">
        <w:rPr>
          <w:rFonts w:eastAsiaTheme="minorHAnsi"/>
          <w:szCs w:val="26"/>
        </w:rPr>
        <w:t xml:space="preserve"> on customers</w:t>
      </w:r>
      <w:r w:rsidRPr="00BE70E1">
        <w:rPr>
          <w:szCs w:val="26"/>
        </w:rPr>
        <w:t>, to determine</w:t>
      </w:r>
      <w:r w:rsidRPr="00BE70E1">
        <w:rPr>
          <w:rFonts w:eastAsiaTheme="minorHAnsi"/>
          <w:szCs w:val="26"/>
        </w:rPr>
        <w:t xml:space="preserve"> if repeat circuits and/or customers are affected by each PSPS event</w:t>
      </w:r>
      <w:r w:rsidRPr="00BE70E1">
        <w:rPr>
          <w:szCs w:val="26"/>
        </w:rPr>
        <w:t xml:space="preserve">, and </w:t>
      </w:r>
      <w:r w:rsidRPr="00BE70E1">
        <w:rPr>
          <w:rFonts w:eastAsiaTheme="minorHAnsi"/>
          <w:szCs w:val="26"/>
        </w:rPr>
        <w:t>to identify areas that require additional mitigation efforts</w:t>
      </w:r>
      <w:r w:rsidRPr="00BE70E1">
        <w:rPr>
          <w:szCs w:val="26"/>
        </w:rPr>
        <w:t xml:space="preserve"> </w:t>
      </w:r>
      <w:r w:rsidRPr="00BE70E1">
        <w:rPr>
          <w:rFonts w:eastAsiaTheme="minorHAnsi"/>
          <w:szCs w:val="26"/>
        </w:rPr>
        <w:t xml:space="preserve">such as hardening and/or sectionalizing to reduce the impact and frequency of PSPS events on </w:t>
      </w:r>
      <w:r w:rsidRPr="00BE70E1">
        <w:rPr>
          <w:rFonts w:eastAsiaTheme="minorHAnsi"/>
          <w:szCs w:val="26"/>
        </w:rPr>
        <w:lastRenderedPageBreak/>
        <w:t>communities</w:t>
      </w:r>
      <w:r w:rsidRPr="00BE70E1">
        <w:rPr>
          <w:szCs w:val="26"/>
        </w:rPr>
        <w:t xml:space="preserve">.  </w:t>
      </w:r>
      <w:r w:rsidRPr="00BE70E1">
        <w:rPr>
          <w:rFonts w:eastAsiaTheme="minorHAnsi"/>
          <w:szCs w:val="26"/>
        </w:rPr>
        <w:t xml:space="preserve">MGRA recommends that the Commission prioritize utility work that reduces the overall number and impact of PSPS events and consider a more rigorous and regular review of utility PSPS post-event reports. </w:t>
      </w:r>
    </w:p>
    <w:p w:rsidR="00FC2ECD" w:rsidP="00FC2ECD" w:rsidRDefault="00FC2ECD" w14:paraId="25214E46" w14:textId="61745FDA">
      <w:pPr>
        <w:spacing w:line="360" w:lineRule="auto"/>
        <w:ind w:firstLine="720"/>
        <w:rPr>
          <w:rFonts w:eastAsiaTheme="minorHAnsi"/>
          <w:szCs w:val="26"/>
        </w:rPr>
      </w:pPr>
      <w:r w:rsidRPr="00BE70E1">
        <w:rPr>
          <w:rFonts w:eastAsiaTheme="minorHAnsi"/>
          <w:szCs w:val="26"/>
        </w:rPr>
        <w:t>In contrast, PG&amp;E contends that the PSPS SOMs proposed by Staff and Cal</w:t>
      </w:r>
      <w:r w:rsidR="004D6F4F">
        <w:rPr>
          <w:rFonts w:eastAsiaTheme="minorHAnsi"/>
          <w:szCs w:val="26"/>
        </w:rPr>
        <w:t> </w:t>
      </w:r>
      <w:r w:rsidRPr="00BE70E1">
        <w:rPr>
          <w:rFonts w:eastAsiaTheme="minorHAnsi"/>
          <w:szCs w:val="26"/>
        </w:rPr>
        <w:t>Advocates would penalize PG&amp;E</w:t>
      </w:r>
      <w:r w:rsidR="00D01863">
        <w:rPr>
          <w:rFonts w:eastAsiaTheme="minorHAnsi"/>
          <w:szCs w:val="26"/>
        </w:rPr>
        <w:t>’s</w:t>
      </w:r>
      <w:r w:rsidRPr="00BE70E1">
        <w:rPr>
          <w:rFonts w:eastAsiaTheme="minorHAnsi"/>
          <w:szCs w:val="26"/>
        </w:rPr>
        <w:t xml:space="preserve"> use of PSPS events</w:t>
      </w:r>
      <w:r w:rsidR="00577188">
        <w:rPr>
          <w:rFonts w:eastAsiaTheme="minorHAnsi"/>
          <w:szCs w:val="26"/>
        </w:rPr>
        <w:t xml:space="preserve"> to mitigate </w:t>
      </w:r>
      <w:r w:rsidR="00A722C6">
        <w:rPr>
          <w:rFonts w:eastAsiaTheme="minorHAnsi"/>
          <w:szCs w:val="26"/>
        </w:rPr>
        <w:t>risk of a</w:t>
      </w:r>
      <w:r w:rsidR="00577188">
        <w:rPr>
          <w:rFonts w:eastAsiaTheme="minorHAnsi"/>
          <w:szCs w:val="26"/>
        </w:rPr>
        <w:t xml:space="preserve"> catastrophic wildfire</w:t>
      </w:r>
      <w:r w:rsidRPr="00BE70E1">
        <w:rPr>
          <w:rFonts w:eastAsiaTheme="minorHAnsi"/>
          <w:szCs w:val="26"/>
        </w:rPr>
        <w:t>, which it agrees are a “measure of last resort and should not be used excessively or as a substitute or proactive measures.”</w:t>
      </w:r>
      <w:r w:rsidRPr="00BE70E1">
        <w:rPr>
          <w:rFonts w:eastAsiaTheme="minorHAnsi"/>
          <w:szCs w:val="26"/>
          <w:vertAlign w:val="superscript"/>
        </w:rPr>
        <w:footnoteReference w:id="116"/>
      </w:r>
      <w:r w:rsidRPr="00BE70E1">
        <w:rPr>
          <w:rFonts w:eastAsiaTheme="minorHAnsi"/>
          <w:szCs w:val="26"/>
        </w:rPr>
        <w:t xml:space="preserve">  PG&amp;E argues that R.18-12-005 is the appropriate p</w:t>
      </w:r>
      <w:r w:rsidR="00335E0A">
        <w:rPr>
          <w:rFonts w:eastAsiaTheme="minorHAnsi"/>
          <w:szCs w:val="26"/>
        </w:rPr>
        <w:t>roceeding</w:t>
      </w:r>
      <w:r w:rsidRPr="00BE70E1">
        <w:rPr>
          <w:rFonts w:eastAsiaTheme="minorHAnsi"/>
          <w:szCs w:val="26"/>
        </w:rPr>
        <w:t xml:space="preserve"> for</w:t>
      </w:r>
      <w:r w:rsidR="00335E0A">
        <w:rPr>
          <w:rFonts w:eastAsiaTheme="minorHAnsi"/>
          <w:szCs w:val="26"/>
        </w:rPr>
        <w:t xml:space="preserve"> Commission</w:t>
      </w:r>
      <w:r w:rsidRPr="00BE70E1">
        <w:rPr>
          <w:rFonts w:eastAsiaTheme="minorHAnsi"/>
          <w:szCs w:val="26"/>
        </w:rPr>
        <w:t xml:space="preserve"> development of PSPS related policy guidance </w:t>
      </w:r>
      <w:r w:rsidR="00185A6D">
        <w:rPr>
          <w:rFonts w:eastAsiaTheme="minorHAnsi"/>
          <w:szCs w:val="26"/>
        </w:rPr>
        <w:t>and that</w:t>
      </w:r>
      <w:r w:rsidRPr="00BE70E1" w:rsidR="00185A6D">
        <w:rPr>
          <w:rFonts w:eastAsiaTheme="minorHAnsi"/>
          <w:szCs w:val="26"/>
        </w:rPr>
        <w:t xml:space="preserve"> </w:t>
      </w:r>
      <w:r w:rsidR="004F5D71">
        <w:rPr>
          <w:rFonts w:eastAsiaTheme="minorHAnsi"/>
          <w:szCs w:val="26"/>
        </w:rPr>
        <w:t>the</w:t>
      </w:r>
      <w:r w:rsidR="00797476">
        <w:rPr>
          <w:rFonts w:eastAsiaTheme="minorHAnsi"/>
          <w:szCs w:val="26"/>
        </w:rPr>
        <w:t xml:space="preserve"> most recent decision in that proceeding </w:t>
      </w:r>
      <w:r w:rsidRPr="00BE70E1">
        <w:rPr>
          <w:rFonts w:eastAsiaTheme="minorHAnsi"/>
          <w:szCs w:val="26"/>
        </w:rPr>
        <w:t xml:space="preserve">declined to adopt any </w:t>
      </w:r>
      <w:r w:rsidRPr="00BE70E1">
        <w:rPr>
          <w:szCs w:val="26"/>
        </w:rPr>
        <w:t>“rigid triggers or criteria”</w:t>
      </w:r>
      <w:r w:rsidRPr="00BE70E1">
        <w:rPr>
          <w:rFonts w:eastAsiaTheme="minorHAnsi"/>
          <w:szCs w:val="26"/>
        </w:rPr>
        <w:t xml:space="preserve"> that could remove flexibility from an IOU’s decision to initiate a PSPS event, with discussion of this issue referencing safety concerns.</w:t>
      </w:r>
      <w:r w:rsidRPr="00BE70E1">
        <w:rPr>
          <w:rFonts w:eastAsiaTheme="minorHAnsi"/>
          <w:szCs w:val="26"/>
          <w:vertAlign w:val="superscript"/>
        </w:rPr>
        <w:footnoteReference w:id="117"/>
      </w:r>
      <w:r w:rsidRPr="00BE70E1">
        <w:rPr>
          <w:rFonts w:eastAsiaTheme="minorHAnsi"/>
          <w:szCs w:val="26"/>
        </w:rPr>
        <w:t xml:space="preserve">  PG&amp;E states the Commission should reject Staff’s proposed SOMs #2.8</w:t>
      </w:r>
      <w:r w:rsidR="00335E0A">
        <w:rPr>
          <w:rFonts w:eastAsiaTheme="minorHAnsi"/>
          <w:szCs w:val="26"/>
        </w:rPr>
        <w:t xml:space="preserve"> </w:t>
      </w:r>
      <w:r w:rsidR="00F359C2">
        <w:rPr>
          <w:rFonts w:eastAsiaTheme="minorHAnsi"/>
          <w:szCs w:val="26"/>
        </w:rPr>
        <w:t>–</w:t>
      </w:r>
      <w:r w:rsidR="00335E0A">
        <w:rPr>
          <w:rFonts w:eastAsiaTheme="minorHAnsi"/>
          <w:szCs w:val="26"/>
        </w:rPr>
        <w:t xml:space="preserve"> </w:t>
      </w:r>
      <w:r w:rsidR="00F359C2">
        <w:rPr>
          <w:rFonts w:eastAsiaTheme="minorHAnsi"/>
          <w:szCs w:val="26"/>
        </w:rPr>
        <w:t>2.10</w:t>
      </w:r>
      <w:r w:rsidRPr="00BE70E1">
        <w:rPr>
          <w:rFonts w:eastAsiaTheme="minorHAnsi"/>
          <w:szCs w:val="26"/>
        </w:rPr>
        <w:t xml:space="preserve"> because these </w:t>
      </w:r>
      <w:r w:rsidR="00D35730">
        <w:rPr>
          <w:rFonts w:eastAsiaTheme="minorHAnsi"/>
          <w:szCs w:val="26"/>
        </w:rPr>
        <w:t xml:space="preserve">would </w:t>
      </w:r>
      <w:r w:rsidRPr="00BE70E1">
        <w:rPr>
          <w:rFonts w:eastAsiaTheme="minorHAnsi"/>
          <w:szCs w:val="26"/>
        </w:rPr>
        <w:t xml:space="preserve">track raw PSPS-related data (number, size, and duration), which is not the appropriate basis on which to initiate enforcement actions. </w:t>
      </w:r>
    </w:p>
    <w:p w:rsidRPr="00FA15FD" w:rsidR="00FA15FD" w:rsidP="00FA15FD" w:rsidRDefault="00FA15FD" w14:paraId="4C477A24" w14:textId="09065229">
      <w:pPr>
        <w:pStyle w:val="Heading5"/>
      </w:pPr>
      <w:bookmarkStart w:name="_Toc80890893" w:id="121"/>
      <w:bookmarkStart w:name="_Toc87361194" w:id="122"/>
      <w:r w:rsidRPr="00FA15FD">
        <w:t>10.5.2.2.3</w:t>
      </w:r>
      <w:r w:rsidRPr="00FA15FD">
        <w:tab/>
      </w:r>
      <w:r w:rsidR="003C4BC3">
        <w:t>Discussion</w:t>
      </w:r>
      <w:bookmarkEnd w:id="121"/>
      <w:bookmarkEnd w:id="122"/>
    </w:p>
    <w:p w:rsidRPr="00BE70E1" w:rsidR="00FA15FD" w:rsidP="00FA15FD" w:rsidRDefault="00647CDF" w14:paraId="41ECD8AF" w14:textId="7E284F0B">
      <w:pPr>
        <w:spacing w:line="360" w:lineRule="auto"/>
        <w:ind w:firstLine="720"/>
      </w:pPr>
      <w:r>
        <w:rPr>
          <w:szCs w:val="26"/>
        </w:rPr>
        <w:t>For multiple reasons</w:t>
      </w:r>
      <w:r w:rsidR="00EB5F6D">
        <w:rPr>
          <w:szCs w:val="26"/>
        </w:rPr>
        <w:t>, w</w:t>
      </w:r>
      <w:r w:rsidRPr="00BE70E1" w:rsidR="00FA15FD">
        <w:rPr>
          <w:szCs w:val="26"/>
        </w:rPr>
        <w:t xml:space="preserve">e do not adopt Staff’s recommended PSPS related SOMs.  We also do not adopt Cal Advocates’ PSPS related SOMs at this time as these remain poorly defined.  However, we require SPD Staff, in collaboration with SED and OEIS Staff, to carefully monitor PG&amp;E’s performance against the PSPS </w:t>
      </w:r>
      <w:r w:rsidR="00B53F4E">
        <w:rPr>
          <w:szCs w:val="26"/>
        </w:rPr>
        <w:t>Guidelines</w:t>
      </w:r>
      <w:r w:rsidR="00F704E3">
        <w:rPr>
          <w:szCs w:val="26"/>
        </w:rPr>
        <w:t xml:space="preserve"> established in </w:t>
      </w:r>
      <w:r w:rsidRPr="00B85431" w:rsidR="00322D18">
        <w:rPr>
          <w:szCs w:val="26"/>
        </w:rPr>
        <w:t>R.18-12-005</w:t>
      </w:r>
      <w:r w:rsidR="00971301">
        <w:rPr>
          <w:szCs w:val="26"/>
        </w:rPr>
        <w:t xml:space="preserve"> (and subsequent proceedings)</w:t>
      </w:r>
      <w:r w:rsidR="006947E0">
        <w:rPr>
          <w:szCs w:val="26"/>
        </w:rPr>
        <w:t xml:space="preserve">, </w:t>
      </w:r>
      <w:r w:rsidR="00971301">
        <w:rPr>
          <w:szCs w:val="26"/>
        </w:rPr>
        <w:t xml:space="preserve">and </w:t>
      </w:r>
      <w:r w:rsidRPr="00BE70E1" w:rsidR="00FA15FD">
        <w:rPr>
          <w:szCs w:val="26"/>
        </w:rPr>
        <w:t xml:space="preserve">PSPS related metrics required </w:t>
      </w:r>
      <w:r w:rsidR="00E05174">
        <w:rPr>
          <w:szCs w:val="26"/>
        </w:rPr>
        <w:t xml:space="preserve">in </w:t>
      </w:r>
      <w:r w:rsidR="004015EF">
        <w:rPr>
          <w:szCs w:val="26"/>
        </w:rPr>
        <w:t>the OEIS</w:t>
      </w:r>
      <w:r w:rsidRPr="00BE70E1" w:rsidR="00FA15FD">
        <w:rPr>
          <w:szCs w:val="26"/>
        </w:rPr>
        <w:t xml:space="preserve"> WMP </w:t>
      </w:r>
      <w:r w:rsidR="00277867">
        <w:rPr>
          <w:szCs w:val="26"/>
        </w:rPr>
        <w:t>G</w:t>
      </w:r>
      <w:r w:rsidRPr="00BE70E1" w:rsidR="00FA15FD">
        <w:rPr>
          <w:szCs w:val="26"/>
        </w:rPr>
        <w:t>uidelines</w:t>
      </w:r>
      <w:r w:rsidR="006947E0">
        <w:rPr>
          <w:szCs w:val="26"/>
        </w:rPr>
        <w:t xml:space="preserve">, </w:t>
      </w:r>
      <w:r w:rsidRPr="00BE70E1" w:rsidR="00FA15FD">
        <w:rPr>
          <w:szCs w:val="26"/>
        </w:rPr>
        <w:t xml:space="preserve">and </w:t>
      </w:r>
      <w:r w:rsidR="00ED3FE4">
        <w:rPr>
          <w:szCs w:val="26"/>
        </w:rPr>
        <w:t xml:space="preserve">to </w:t>
      </w:r>
      <w:r w:rsidRPr="00BE70E1" w:rsidR="00FA15FD">
        <w:rPr>
          <w:szCs w:val="26"/>
        </w:rPr>
        <w:t xml:space="preserve">report to us </w:t>
      </w:r>
      <w:r w:rsidRPr="00BE70E1" w:rsidR="00FA15FD">
        <w:rPr>
          <w:szCs w:val="26"/>
        </w:rPr>
        <w:lastRenderedPageBreak/>
        <w:t xml:space="preserve">any concerning trends such that we may reconsider our decision on this matter as warranted. </w:t>
      </w:r>
    </w:p>
    <w:p w:rsidRPr="00BE70E1" w:rsidR="00FA15FD" w:rsidP="00FA15FD" w:rsidRDefault="00FA15FD" w14:paraId="364191B5" w14:textId="089801F3">
      <w:pPr>
        <w:spacing w:line="360" w:lineRule="auto"/>
        <w:ind w:firstLine="720"/>
        <w:rPr>
          <w:szCs w:val="26"/>
        </w:rPr>
      </w:pPr>
      <w:r w:rsidRPr="00BE70E1">
        <w:rPr>
          <w:szCs w:val="26"/>
        </w:rPr>
        <w:t xml:space="preserve">Because PSPS events have the dual </w:t>
      </w:r>
      <w:r w:rsidR="00830513">
        <w:rPr>
          <w:szCs w:val="26"/>
        </w:rPr>
        <w:t xml:space="preserve">potential </w:t>
      </w:r>
      <w:r w:rsidRPr="00BE70E1">
        <w:rPr>
          <w:szCs w:val="26"/>
        </w:rPr>
        <w:t xml:space="preserve">of both </w:t>
      </w:r>
      <w:r w:rsidR="00830513">
        <w:rPr>
          <w:szCs w:val="26"/>
        </w:rPr>
        <w:t xml:space="preserve">mitigating and aggravating </w:t>
      </w:r>
      <w:r w:rsidRPr="00BE70E1">
        <w:rPr>
          <w:szCs w:val="26"/>
        </w:rPr>
        <w:t xml:space="preserve">safety risks, we are concerned that adopting PSPS related SOMs for enforcement purposes at this time sends a mixed message at best and/or the wrong signal at worst.  We have </w:t>
      </w:r>
      <w:r w:rsidR="00433C73">
        <w:rPr>
          <w:szCs w:val="26"/>
        </w:rPr>
        <w:t>clearly and consistently</w:t>
      </w:r>
      <w:r w:rsidRPr="00BE70E1">
        <w:rPr>
          <w:szCs w:val="26"/>
        </w:rPr>
        <w:t xml:space="preserve"> </w:t>
      </w:r>
      <w:r w:rsidR="00DD4008">
        <w:rPr>
          <w:szCs w:val="26"/>
        </w:rPr>
        <w:t>stated</w:t>
      </w:r>
      <w:r w:rsidRPr="00BE70E1">
        <w:rPr>
          <w:szCs w:val="26"/>
        </w:rPr>
        <w:t xml:space="preserve"> that IOUs must use PSPS events only as a very last resort to avoid severe wildfire risk events; we underscore that guidance again here.</w:t>
      </w:r>
      <w:r w:rsidRPr="00BE70E1">
        <w:rPr>
          <w:szCs w:val="26"/>
          <w:vertAlign w:val="superscript"/>
        </w:rPr>
        <w:footnoteReference w:id="118"/>
      </w:r>
      <w:r w:rsidRPr="00BE70E1">
        <w:rPr>
          <w:szCs w:val="26"/>
        </w:rPr>
        <w:t xml:space="preserve">  </w:t>
      </w:r>
      <w:r w:rsidR="00BC1B24">
        <w:rPr>
          <w:szCs w:val="26"/>
        </w:rPr>
        <w:t xml:space="preserve"> </w:t>
      </w:r>
    </w:p>
    <w:p w:rsidR="00CA6307" w:rsidP="00FA15FD" w:rsidRDefault="00A06309" w14:paraId="04D7B062" w14:textId="5C060718">
      <w:pPr>
        <w:spacing w:line="360" w:lineRule="auto"/>
        <w:ind w:firstLine="720"/>
        <w:rPr>
          <w:szCs w:val="26"/>
        </w:rPr>
      </w:pPr>
      <w:r>
        <w:rPr>
          <w:szCs w:val="26"/>
        </w:rPr>
        <w:t xml:space="preserve">The </w:t>
      </w:r>
      <w:r w:rsidR="00623556">
        <w:rPr>
          <w:szCs w:val="26"/>
        </w:rPr>
        <w:t>Commission has open proceedings</w:t>
      </w:r>
      <w:r w:rsidR="000F58C4">
        <w:rPr>
          <w:szCs w:val="26"/>
        </w:rPr>
        <w:t xml:space="preserve"> regarding PSPS events, including R.</w:t>
      </w:r>
      <w:r w:rsidR="00645ED5">
        <w:rPr>
          <w:szCs w:val="26"/>
        </w:rPr>
        <w:t>18-</w:t>
      </w:r>
      <w:r w:rsidRPr="00645ED5" w:rsidR="00645ED5">
        <w:rPr>
          <w:szCs w:val="26"/>
        </w:rPr>
        <w:t xml:space="preserve">12-005 </w:t>
      </w:r>
      <w:r w:rsidRPr="00645ED5" w:rsidR="00645ED5">
        <w:rPr>
          <w:i/>
          <w:iCs/>
          <w:szCs w:val="26"/>
        </w:rPr>
        <w:t>Order Instituting Rulemaking to Examine Electric Utility De-Energization of Power Lines in Dangerous Conditions</w:t>
      </w:r>
      <w:r w:rsidRPr="00645ED5" w:rsidR="00645ED5">
        <w:rPr>
          <w:szCs w:val="26"/>
        </w:rPr>
        <w:t xml:space="preserve"> </w:t>
      </w:r>
      <w:r w:rsidR="000F58C4">
        <w:rPr>
          <w:szCs w:val="26"/>
        </w:rPr>
        <w:t>and I.</w:t>
      </w:r>
      <w:r w:rsidR="00DC49C8">
        <w:rPr>
          <w:szCs w:val="26"/>
        </w:rPr>
        <w:t xml:space="preserve">19-11-013 </w:t>
      </w:r>
      <w:r w:rsidRPr="00767508" w:rsidR="00DC49C8">
        <w:rPr>
          <w:i/>
          <w:szCs w:val="26"/>
        </w:rPr>
        <w:t>Order I</w:t>
      </w:r>
      <w:r w:rsidRPr="00767508" w:rsidR="001315BD">
        <w:rPr>
          <w:i/>
          <w:szCs w:val="26"/>
        </w:rPr>
        <w:t>nstituting Investigation on the Commission’s Own Motion on the Late 2019 Public Safety Power Shutoff Events</w:t>
      </w:r>
      <w:r w:rsidR="0060385A">
        <w:rPr>
          <w:szCs w:val="26"/>
        </w:rPr>
        <w:t>, and OEIS has developed</w:t>
      </w:r>
      <w:r w:rsidR="00ED3FE4">
        <w:rPr>
          <w:szCs w:val="26"/>
        </w:rPr>
        <w:t xml:space="preserve"> PSPS</w:t>
      </w:r>
      <w:r w:rsidR="0060385A">
        <w:rPr>
          <w:szCs w:val="26"/>
        </w:rPr>
        <w:t xml:space="preserve"> </w:t>
      </w:r>
      <w:r w:rsidR="00004B8A">
        <w:rPr>
          <w:szCs w:val="26"/>
        </w:rPr>
        <w:t>metrics within the</w:t>
      </w:r>
      <w:r w:rsidR="00CE17A1">
        <w:rPr>
          <w:szCs w:val="26"/>
        </w:rPr>
        <w:t xml:space="preserve"> </w:t>
      </w:r>
      <w:r w:rsidR="00D47650">
        <w:rPr>
          <w:szCs w:val="26"/>
        </w:rPr>
        <w:t xml:space="preserve">OEIS </w:t>
      </w:r>
      <w:r w:rsidR="00CE17A1">
        <w:rPr>
          <w:szCs w:val="26"/>
        </w:rPr>
        <w:t>WMP Guidelines</w:t>
      </w:r>
      <w:r w:rsidR="002D109E">
        <w:rPr>
          <w:szCs w:val="26"/>
        </w:rPr>
        <w:t>.</w:t>
      </w:r>
      <w:r w:rsidR="00D47650">
        <w:rPr>
          <w:rStyle w:val="FootnoteReference"/>
          <w:szCs w:val="26"/>
        </w:rPr>
        <w:footnoteReference w:id="119"/>
      </w:r>
      <w:r w:rsidR="00CE17A1">
        <w:rPr>
          <w:szCs w:val="26"/>
        </w:rPr>
        <w:t xml:space="preserve"> </w:t>
      </w:r>
      <w:r w:rsidR="001315BD">
        <w:rPr>
          <w:szCs w:val="26"/>
        </w:rPr>
        <w:t xml:space="preserve"> </w:t>
      </w:r>
      <w:r w:rsidRPr="00BE70E1" w:rsidR="00FA15FD">
        <w:rPr>
          <w:szCs w:val="26"/>
        </w:rPr>
        <w:t>The PSPS related SOMs proposed by Staff and Cal Advocates are too blunt a tool to serve</w:t>
      </w:r>
      <w:r w:rsidRPr="00BE70E1" w:rsidDel="00E87E62" w:rsidR="00FA15FD">
        <w:rPr>
          <w:szCs w:val="26"/>
        </w:rPr>
        <w:t xml:space="preserve"> the </w:t>
      </w:r>
      <w:r w:rsidRPr="00BE70E1" w:rsidR="00FA15FD">
        <w:rPr>
          <w:szCs w:val="26"/>
        </w:rPr>
        <w:t xml:space="preserve">purpose of minimizing PSPS events </w:t>
      </w:r>
      <w:r w:rsidR="00E87E62">
        <w:rPr>
          <w:szCs w:val="26"/>
        </w:rPr>
        <w:t xml:space="preserve">or mitigating their impacts on </w:t>
      </w:r>
      <w:r w:rsidRPr="00BE70E1" w:rsidR="00FA15FD">
        <w:rPr>
          <w:szCs w:val="26"/>
        </w:rPr>
        <w:t>customer</w:t>
      </w:r>
      <w:r w:rsidR="00E87E62">
        <w:rPr>
          <w:szCs w:val="26"/>
        </w:rPr>
        <w:t>s</w:t>
      </w:r>
      <w:r w:rsidRPr="00BE70E1" w:rsidR="00FA15FD">
        <w:rPr>
          <w:szCs w:val="26"/>
        </w:rPr>
        <w:t>, in our view.  Other tools are available for this critical purpose, including the Commission’s inherent authority to conduct post-PSPS event reasonableness reviews at our discretion,</w:t>
      </w:r>
      <w:r w:rsidRPr="00BE70E1" w:rsidR="00FA15FD">
        <w:rPr>
          <w:szCs w:val="26"/>
          <w:vertAlign w:val="superscript"/>
        </w:rPr>
        <w:footnoteReference w:id="120"/>
      </w:r>
      <w:r w:rsidRPr="00BE70E1" w:rsidR="00FA15FD">
        <w:rPr>
          <w:szCs w:val="26"/>
        </w:rPr>
        <w:t xml:space="preserve"> requirements within the approved </w:t>
      </w:r>
      <w:r w:rsidR="004015EF">
        <w:rPr>
          <w:szCs w:val="26"/>
        </w:rPr>
        <w:t xml:space="preserve">OEIS </w:t>
      </w:r>
      <w:r w:rsidRPr="00BE70E1" w:rsidR="00FA15FD">
        <w:rPr>
          <w:szCs w:val="26"/>
        </w:rPr>
        <w:t xml:space="preserve">WMP Guidelines that IOUs extensively report on their rationale </w:t>
      </w:r>
      <w:r w:rsidRPr="00BE70E1" w:rsidR="00FA15FD">
        <w:rPr>
          <w:szCs w:val="26"/>
        </w:rPr>
        <w:lastRenderedPageBreak/>
        <w:t>for initiating PSPS events</w:t>
      </w:r>
      <w:r w:rsidRPr="00BE70E1" w:rsidR="00FA15FD">
        <w:rPr>
          <w:szCs w:val="26"/>
          <w:vertAlign w:val="superscript"/>
        </w:rPr>
        <w:footnoteReference w:id="121"/>
      </w:r>
      <w:r w:rsidRPr="00BE70E1" w:rsidR="00FA15FD">
        <w:rPr>
          <w:szCs w:val="26"/>
        </w:rPr>
        <w:t xml:space="preserve"> and undertake targeted work to minimize and eliminate PSPS events,</w:t>
      </w:r>
      <w:r w:rsidRPr="00BE70E1" w:rsidR="00FA15FD">
        <w:rPr>
          <w:szCs w:val="26"/>
          <w:vertAlign w:val="superscript"/>
        </w:rPr>
        <w:footnoteReference w:id="122"/>
      </w:r>
      <w:r w:rsidRPr="00BE70E1" w:rsidR="00FA15FD">
        <w:rPr>
          <w:szCs w:val="26"/>
        </w:rPr>
        <w:t xml:space="preserve"> and requirements adopted in R.18-12-005 that IOUs identify impacts on vulnerable customers from PSPS events</w:t>
      </w:r>
      <w:r w:rsidRPr="00CC0078" w:rsidR="00FA15FD">
        <w:rPr>
          <w:szCs w:val="26"/>
        </w:rPr>
        <w:t>.</w:t>
      </w:r>
      <w:r w:rsidRPr="00CC0078" w:rsidR="00FA15FD">
        <w:rPr>
          <w:szCs w:val="26"/>
          <w:vertAlign w:val="superscript"/>
        </w:rPr>
        <w:footnoteReference w:id="123"/>
      </w:r>
      <w:r w:rsidRPr="00CC0078" w:rsidR="00FA15FD">
        <w:rPr>
          <w:szCs w:val="26"/>
        </w:rPr>
        <w:t xml:space="preserve">  </w:t>
      </w:r>
    </w:p>
    <w:p w:rsidRPr="00BE70E1" w:rsidR="00FA15FD" w:rsidP="00FA15FD" w:rsidRDefault="00FA15FD" w14:paraId="0C7FA852" w14:textId="55D87B89">
      <w:pPr>
        <w:spacing w:line="360" w:lineRule="auto"/>
        <w:ind w:firstLine="720"/>
        <w:rPr>
          <w:szCs w:val="26"/>
        </w:rPr>
      </w:pPr>
      <w:r w:rsidRPr="00CC0078">
        <w:rPr>
          <w:szCs w:val="26"/>
        </w:rPr>
        <w:t>Additionally, the Phase I, Track 1</w:t>
      </w:r>
      <w:r w:rsidR="00FF5567">
        <w:rPr>
          <w:szCs w:val="26"/>
        </w:rPr>
        <w:t xml:space="preserve"> </w:t>
      </w:r>
      <w:r w:rsidR="00692B45">
        <w:rPr>
          <w:szCs w:val="26"/>
        </w:rPr>
        <w:t>working group</w:t>
      </w:r>
      <w:r w:rsidRPr="00CC0078">
        <w:rPr>
          <w:szCs w:val="26"/>
        </w:rPr>
        <w:t xml:space="preserve"> in this proceeding </w:t>
      </w:r>
      <w:r w:rsidRPr="00CC0078" w:rsidR="00E07821">
        <w:rPr>
          <w:szCs w:val="26"/>
        </w:rPr>
        <w:t xml:space="preserve">has been </w:t>
      </w:r>
      <w:r w:rsidRPr="00CC0078">
        <w:rPr>
          <w:szCs w:val="26"/>
        </w:rPr>
        <w:t>discussing potential methods for the IOUs to quanti</w:t>
      </w:r>
      <w:r w:rsidR="00F437F8">
        <w:rPr>
          <w:szCs w:val="26"/>
        </w:rPr>
        <w:t>f</w:t>
      </w:r>
      <w:r w:rsidRPr="00CC0078">
        <w:rPr>
          <w:szCs w:val="26"/>
        </w:rPr>
        <w:t xml:space="preserve">y safety impacts on customers from PSPS events to improve how PSPS events are modeled </w:t>
      </w:r>
      <w:r w:rsidRPr="00CC0078" w:rsidR="00862353">
        <w:rPr>
          <w:szCs w:val="26"/>
        </w:rPr>
        <w:t xml:space="preserve">as risk events </w:t>
      </w:r>
      <w:r w:rsidRPr="00CC0078">
        <w:rPr>
          <w:szCs w:val="26"/>
        </w:rPr>
        <w:t xml:space="preserve">in the RDF.  Section </w:t>
      </w:r>
      <w:r w:rsidRPr="00CC0078" w:rsidR="00F84717">
        <w:rPr>
          <w:szCs w:val="26"/>
        </w:rPr>
        <w:t>7.3</w:t>
      </w:r>
      <w:r w:rsidRPr="00CC0078">
        <w:rPr>
          <w:szCs w:val="26"/>
        </w:rPr>
        <w:t xml:space="preserve"> </w:t>
      </w:r>
      <w:r w:rsidRPr="00CC0078" w:rsidR="00F84717">
        <w:rPr>
          <w:szCs w:val="26"/>
        </w:rPr>
        <w:t xml:space="preserve">directs </w:t>
      </w:r>
      <w:r w:rsidR="00CC0078">
        <w:rPr>
          <w:szCs w:val="26"/>
        </w:rPr>
        <w:t xml:space="preserve">Staff and parties to continue </w:t>
      </w:r>
      <w:r w:rsidRPr="00CC0078" w:rsidR="00F84717">
        <w:rPr>
          <w:szCs w:val="26"/>
        </w:rPr>
        <w:t>this work</w:t>
      </w:r>
      <w:r w:rsidR="00230139">
        <w:rPr>
          <w:szCs w:val="26"/>
        </w:rPr>
        <w:t xml:space="preserve">, including </w:t>
      </w:r>
      <w:r w:rsidR="007831EE">
        <w:rPr>
          <w:szCs w:val="26"/>
        </w:rPr>
        <w:t xml:space="preserve">potentially </w:t>
      </w:r>
      <w:r w:rsidR="00230139">
        <w:rPr>
          <w:szCs w:val="26"/>
        </w:rPr>
        <w:t>develop</w:t>
      </w:r>
      <w:r w:rsidR="007831EE">
        <w:rPr>
          <w:szCs w:val="26"/>
        </w:rPr>
        <w:t>ing</w:t>
      </w:r>
      <w:r w:rsidR="00230139">
        <w:rPr>
          <w:szCs w:val="26"/>
        </w:rPr>
        <w:t xml:space="preserve"> a </w:t>
      </w:r>
      <w:r w:rsidRPr="00CC0078" w:rsidR="00E07821">
        <w:rPr>
          <w:szCs w:val="26"/>
        </w:rPr>
        <w:t>proposal providing more detailed guidance on</w:t>
      </w:r>
      <w:r w:rsidR="00230139">
        <w:rPr>
          <w:szCs w:val="26"/>
        </w:rPr>
        <w:t xml:space="preserve"> t</w:t>
      </w:r>
      <w:r w:rsidRPr="00CC0078" w:rsidR="00E07821">
        <w:rPr>
          <w:szCs w:val="26"/>
        </w:rPr>
        <w:t>his topic</w:t>
      </w:r>
      <w:r w:rsidR="00230139">
        <w:rPr>
          <w:szCs w:val="26"/>
        </w:rPr>
        <w:t>.</w:t>
      </w:r>
    </w:p>
    <w:p w:rsidRPr="00FA15FD" w:rsidR="00FF7826" w:rsidP="00FA15FD" w:rsidRDefault="00FA15FD" w14:paraId="162DC7C5" w14:textId="504360C4">
      <w:pPr>
        <w:spacing w:line="360" w:lineRule="auto"/>
        <w:ind w:firstLine="720"/>
      </w:pPr>
      <w:r w:rsidRPr="27F4F0EE">
        <w:t xml:space="preserve">We also note that required </w:t>
      </w:r>
      <w:r w:rsidR="006552E4">
        <w:t xml:space="preserve">OEIS </w:t>
      </w:r>
      <w:r w:rsidRPr="27F4F0EE">
        <w:t xml:space="preserve">WMP </w:t>
      </w:r>
      <w:r w:rsidR="006552E4">
        <w:t>Guidelines</w:t>
      </w:r>
      <w:r w:rsidRPr="27F4F0EE">
        <w:t xml:space="preserve"> metrics largely include Staff’s proposed PSPS related SOMs.</w:t>
      </w:r>
      <w:r w:rsidRPr="27F4F0EE">
        <w:rPr>
          <w:vertAlign w:val="superscript"/>
        </w:rPr>
        <w:footnoteReference w:id="124"/>
      </w:r>
      <w:r w:rsidRPr="27F4F0EE">
        <w:t xml:space="preserve">  It is </w:t>
      </w:r>
      <w:r w:rsidR="002D109E">
        <w:t>appropriate</w:t>
      </w:r>
      <w:r w:rsidRPr="27F4F0EE" w:rsidR="002D109E">
        <w:t xml:space="preserve"> </w:t>
      </w:r>
      <w:r w:rsidRPr="27F4F0EE">
        <w:t xml:space="preserve">in our view for SPD Staff to coordinate with OEIS Staff to review PG&amp;E’s </w:t>
      </w:r>
      <w:r w:rsidR="002A47C8">
        <w:t>performance</w:t>
      </w:r>
      <w:r w:rsidRPr="27F4F0EE" w:rsidR="002A47C8">
        <w:t xml:space="preserve"> </w:t>
      </w:r>
      <w:r w:rsidRPr="27F4F0EE">
        <w:t xml:space="preserve">against </w:t>
      </w:r>
      <w:r w:rsidR="00AF5DC5">
        <w:t xml:space="preserve">the </w:t>
      </w:r>
      <w:r w:rsidR="00D95297">
        <w:t xml:space="preserve">OEIS </w:t>
      </w:r>
      <w:r w:rsidRPr="27F4F0EE">
        <w:t xml:space="preserve">WMP </w:t>
      </w:r>
      <w:r w:rsidR="00D95297">
        <w:t xml:space="preserve">Guidelines and </w:t>
      </w:r>
      <w:r w:rsidR="00624B0D">
        <w:t xml:space="preserve">related </w:t>
      </w:r>
      <w:r w:rsidRPr="27F4F0EE">
        <w:t xml:space="preserve">PSPS metrics and </w:t>
      </w:r>
      <w:r w:rsidR="00AF5DC5">
        <w:t xml:space="preserve">the </w:t>
      </w:r>
      <w:r w:rsidR="002A47C8">
        <w:t xml:space="preserve">PSPS </w:t>
      </w:r>
      <w:r w:rsidR="001631C4">
        <w:t xml:space="preserve">Guidelines </w:t>
      </w:r>
      <w:r w:rsidRPr="00AF5DC5" w:rsidR="00AF5DC5">
        <w:t>established in R.18-12-005 (and subsequent proceedings)</w:t>
      </w:r>
      <w:r w:rsidR="001631C4">
        <w:t xml:space="preserve"> </w:t>
      </w:r>
      <w:r w:rsidRPr="27F4F0EE">
        <w:t xml:space="preserve">and to </w:t>
      </w:r>
      <w:r w:rsidRPr="27F4F0EE" w:rsidR="0096384C">
        <w:t xml:space="preserve">consider </w:t>
      </w:r>
      <w:r w:rsidRPr="27F4F0EE">
        <w:t xml:space="preserve">poor performance on these over time as </w:t>
      </w:r>
      <w:r w:rsidRPr="27F4F0EE" w:rsidR="0096384C">
        <w:t>part of the indicator lights</w:t>
      </w:r>
      <w:r w:rsidRPr="27F4F0EE" w:rsidR="005440AD">
        <w:t xml:space="preserve"> in the</w:t>
      </w:r>
      <w:r w:rsidR="0096384C">
        <w:rPr>
          <w:szCs w:val="26"/>
        </w:rPr>
        <w:t xml:space="preserve"> </w:t>
      </w:r>
      <w:r w:rsidRPr="27F4F0EE" w:rsidR="007C0288">
        <w:t xml:space="preserve">Staff evaluation </w:t>
      </w:r>
      <w:r w:rsidRPr="27F4F0EE" w:rsidR="0096384C">
        <w:t>approach discussed</w:t>
      </w:r>
      <w:r w:rsidRPr="27F4F0EE" w:rsidR="00230D7D">
        <w:t xml:space="preserve"> in section</w:t>
      </w:r>
      <w:r w:rsidR="0096384C">
        <w:rPr>
          <w:szCs w:val="26"/>
        </w:rPr>
        <w:t xml:space="preserve"> </w:t>
      </w:r>
      <w:r w:rsidRPr="27F4F0EE" w:rsidR="001E256A">
        <w:t>10.4</w:t>
      </w:r>
      <w:r w:rsidRPr="00BE70E1">
        <w:rPr>
          <w:szCs w:val="26"/>
        </w:rPr>
        <w:t>.</w:t>
      </w:r>
      <w:r w:rsidRPr="27F4F0EE" w:rsidR="00E254E3">
        <w:rPr>
          <w:rStyle w:val="FootnoteReference"/>
        </w:rPr>
        <w:footnoteReference w:id="125"/>
      </w:r>
      <w:r w:rsidRPr="27F4F0EE">
        <w:t xml:space="preserve">  The </w:t>
      </w:r>
      <w:r w:rsidR="001631C4">
        <w:t xml:space="preserve">PSPS Guidelines are well </w:t>
      </w:r>
      <w:r w:rsidR="001631C4">
        <w:lastRenderedPageBreak/>
        <w:t xml:space="preserve">established and the </w:t>
      </w:r>
      <w:r w:rsidR="00624B0D">
        <w:t xml:space="preserve">OEIS </w:t>
      </w:r>
      <w:r w:rsidRPr="27F4F0EE">
        <w:t xml:space="preserve">WMP PSPS event metrics are well defined, reporting on them has begun, and all IOUs are required to report </w:t>
      </w:r>
      <w:r w:rsidR="00FA2CCE">
        <w:t xml:space="preserve">in </w:t>
      </w:r>
      <w:r w:rsidRPr="27F4F0EE">
        <w:t>the</w:t>
      </w:r>
      <w:r w:rsidR="00FA2CCE">
        <w:t>se areas</w:t>
      </w:r>
      <w:r w:rsidRPr="27F4F0EE">
        <w:t>, which allows for analysis</w:t>
      </w:r>
      <w:r w:rsidRPr="27F4F0EE" w:rsidR="00370712">
        <w:t xml:space="preserve"> across </w:t>
      </w:r>
      <w:r w:rsidRPr="27F4F0EE" w:rsidR="003E3B08">
        <w:t>all</w:t>
      </w:r>
      <w:r w:rsidRPr="27F4F0EE" w:rsidR="00370712">
        <w:t xml:space="preserve"> IOUs</w:t>
      </w:r>
      <w:r w:rsidRPr="00BE70E1">
        <w:rPr>
          <w:szCs w:val="26"/>
        </w:rPr>
        <w:t xml:space="preserve">.  </w:t>
      </w:r>
    </w:p>
    <w:p w:rsidR="00964D77" w:rsidP="00932498" w:rsidRDefault="00047FA9" w14:paraId="5005DA5B" w14:textId="1C1ADA75">
      <w:pPr>
        <w:pStyle w:val="Heading4"/>
      </w:pPr>
      <w:bookmarkStart w:name="_Toc80890894" w:id="123"/>
      <w:bookmarkStart w:name="_Toc87361195" w:id="124"/>
      <w:r>
        <w:t>10.5.2.</w:t>
      </w:r>
      <w:r w:rsidR="00932498">
        <w:t>3</w:t>
      </w:r>
      <w:r>
        <w:tab/>
        <w:t xml:space="preserve">SOMs </w:t>
      </w:r>
      <w:r w:rsidR="003E2D54">
        <w:t xml:space="preserve">on </w:t>
      </w:r>
      <w:r w:rsidR="00C91578">
        <w:t xml:space="preserve">Outages </w:t>
      </w:r>
      <w:r>
        <w:t>in HFTDs</w:t>
      </w:r>
      <w:r w:rsidR="00987E00">
        <w:br/>
      </w:r>
      <w:r w:rsidR="003A30BD">
        <w:t xml:space="preserve">(#s </w:t>
      </w:r>
      <w:r w:rsidR="00B073DD">
        <w:t>2.11 – 2.12)</w:t>
      </w:r>
      <w:bookmarkEnd w:id="123"/>
      <w:bookmarkEnd w:id="124"/>
    </w:p>
    <w:p w:rsidRPr="00932498" w:rsidR="00932498" w:rsidP="00932498" w:rsidRDefault="00932498" w14:paraId="3C30373F" w14:textId="3B2B77AC">
      <w:pPr>
        <w:pStyle w:val="Heading5"/>
      </w:pPr>
      <w:bookmarkStart w:name="_Toc80890895" w:id="125"/>
      <w:bookmarkStart w:name="_Toc87361196" w:id="126"/>
      <w:r>
        <w:t>10.5.2.3.1</w:t>
      </w:r>
      <w:r>
        <w:tab/>
        <w:t>Staff Proposal</w:t>
      </w:r>
      <w:bookmarkEnd w:id="125"/>
      <w:bookmarkEnd w:id="126"/>
      <w:r>
        <w:t xml:space="preserve"> </w:t>
      </w:r>
    </w:p>
    <w:p w:rsidR="00253946" w:rsidP="008F072F" w:rsidRDefault="009261F2" w14:paraId="34F514B6" w14:textId="726040D8">
      <w:pPr>
        <w:pStyle w:val="Standard"/>
        <w:rPr>
          <w:iCs/>
          <w:szCs w:val="26"/>
        </w:rPr>
      </w:pPr>
      <w:r>
        <w:rPr>
          <w:szCs w:val="26"/>
        </w:rPr>
        <w:t xml:space="preserve">The </w:t>
      </w:r>
      <w:r w:rsidR="001F3885">
        <w:rPr>
          <w:szCs w:val="26"/>
        </w:rPr>
        <w:t>OEIS</w:t>
      </w:r>
      <w:r>
        <w:rPr>
          <w:szCs w:val="26"/>
        </w:rPr>
        <w:t xml:space="preserve"> WMP </w:t>
      </w:r>
      <w:r w:rsidR="00162D41">
        <w:rPr>
          <w:szCs w:val="26"/>
        </w:rPr>
        <w:t xml:space="preserve">Guidelines </w:t>
      </w:r>
      <w:r w:rsidRPr="009B0B75">
        <w:rPr>
          <w:iCs/>
          <w:szCs w:val="26"/>
        </w:rPr>
        <w:t xml:space="preserve">reporting template </w:t>
      </w:r>
      <w:r>
        <w:rPr>
          <w:iCs/>
          <w:szCs w:val="26"/>
        </w:rPr>
        <w:t xml:space="preserve">currently </w:t>
      </w:r>
      <w:r w:rsidRPr="009B0B75">
        <w:rPr>
          <w:iCs/>
          <w:szCs w:val="26"/>
        </w:rPr>
        <w:t xml:space="preserve">contains granular categories of electric outage types including </w:t>
      </w:r>
      <w:r>
        <w:rPr>
          <w:iCs/>
          <w:szCs w:val="26"/>
        </w:rPr>
        <w:t xml:space="preserve">those caused by contact with </w:t>
      </w:r>
      <w:r w:rsidRPr="009B0B75">
        <w:rPr>
          <w:iCs/>
          <w:szCs w:val="26"/>
        </w:rPr>
        <w:t xml:space="preserve">vegetation and various types of equipment damage. </w:t>
      </w:r>
      <w:r>
        <w:rPr>
          <w:iCs/>
          <w:szCs w:val="26"/>
        </w:rPr>
        <w:t xml:space="preserve"> Nonetheless, </w:t>
      </w:r>
      <w:r w:rsidR="00CB306B">
        <w:rPr>
          <w:szCs w:val="26"/>
        </w:rPr>
        <w:t xml:space="preserve">Staff propose two </w:t>
      </w:r>
      <w:r w:rsidRPr="00B85431" w:rsidR="00231902">
        <w:rPr>
          <w:szCs w:val="26"/>
        </w:rPr>
        <w:t xml:space="preserve">SOMs </w:t>
      </w:r>
      <w:r w:rsidR="00CB306B">
        <w:rPr>
          <w:szCs w:val="26"/>
        </w:rPr>
        <w:t xml:space="preserve">to track </w:t>
      </w:r>
      <w:r w:rsidRPr="00B85431" w:rsidR="00231902">
        <w:rPr>
          <w:szCs w:val="26"/>
        </w:rPr>
        <w:t xml:space="preserve">system average outages due to vegetation and equipment damage in </w:t>
      </w:r>
      <w:r w:rsidR="00CB306B">
        <w:rPr>
          <w:szCs w:val="26"/>
        </w:rPr>
        <w:t xml:space="preserve">Tier 2 (elevated) and Tier 3 (extreme) </w:t>
      </w:r>
      <w:r w:rsidRPr="00B85431" w:rsidR="00231902">
        <w:rPr>
          <w:szCs w:val="26"/>
        </w:rPr>
        <w:t>HFTDs</w:t>
      </w:r>
      <w:r w:rsidR="00CB306B">
        <w:rPr>
          <w:szCs w:val="26"/>
        </w:rPr>
        <w:t>.</w:t>
      </w:r>
      <w:r w:rsidR="00231902">
        <w:rPr>
          <w:szCs w:val="26"/>
        </w:rPr>
        <w:t xml:space="preserve"> </w:t>
      </w:r>
      <w:r w:rsidR="00CB306B">
        <w:rPr>
          <w:szCs w:val="26"/>
        </w:rPr>
        <w:t xml:space="preserve"> Staff’s proposed SOM #2.</w:t>
      </w:r>
      <w:r w:rsidR="002F0030">
        <w:rPr>
          <w:szCs w:val="26"/>
        </w:rPr>
        <w:t xml:space="preserve">11 </w:t>
      </w:r>
      <w:r w:rsidR="004B2D5A">
        <w:rPr>
          <w:szCs w:val="26"/>
        </w:rPr>
        <w:t>(</w:t>
      </w:r>
      <w:r w:rsidRPr="004B2D5A" w:rsidR="004B2D5A">
        <w:rPr>
          <w:szCs w:val="26"/>
        </w:rPr>
        <w:t>System Average Outages due to Vegetation and Equipment Damage in HFTD Areas (Major Event Days)</w:t>
      </w:r>
      <w:r w:rsidR="00F93B00">
        <w:rPr>
          <w:szCs w:val="26"/>
        </w:rPr>
        <w:t>)</w:t>
      </w:r>
      <w:r w:rsidRPr="004B2D5A" w:rsidR="004B2D5A">
        <w:rPr>
          <w:szCs w:val="26"/>
        </w:rPr>
        <w:t xml:space="preserve"> </w:t>
      </w:r>
      <w:r w:rsidR="002F0030">
        <w:rPr>
          <w:szCs w:val="26"/>
        </w:rPr>
        <w:t>would track the frequency of such outages during MEDs</w:t>
      </w:r>
      <w:r w:rsidR="006118F2">
        <w:rPr>
          <w:szCs w:val="26"/>
        </w:rPr>
        <w:t>.  T</w:t>
      </w:r>
      <w:r w:rsidR="002F0030">
        <w:rPr>
          <w:szCs w:val="26"/>
        </w:rPr>
        <w:t xml:space="preserve">he proposed SOM #2.12 </w:t>
      </w:r>
      <w:r w:rsidR="004B2D5A">
        <w:rPr>
          <w:szCs w:val="26"/>
        </w:rPr>
        <w:t>(</w:t>
      </w:r>
      <w:r w:rsidRPr="004B2D5A" w:rsidR="004B2D5A">
        <w:rPr>
          <w:szCs w:val="26"/>
        </w:rPr>
        <w:t>System Average Outages due to Vegetation and Equipment Damage in HFTD Areas (Non-Major Event Days)</w:t>
      </w:r>
      <w:r w:rsidR="004B2D5A">
        <w:rPr>
          <w:szCs w:val="26"/>
        </w:rPr>
        <w:t>)</w:t>
      </w:r>
      <w:r w:rsidRPr="004B2D5A" w:rsidR="004B2D5A">
        <w:rPr>
          <w:szCs w:val="26"/>
        </w:rPr>
        <w:t xml:space="preserve"> </w:t>
      </w:r>
      <w:r w:rsidR="002F0030">
        <w:rPr>
          <w:szCs w:val="26"/>
        </w:rPr>
        <w:t>would track th</w:t>
      </w:r>
      <w:r w:rsidR="00043379">
        <w:rPr>
          <w:szCs w:val="26"/>
        </w:rPr>
        <w:t>eir frequency</w:t>
      </w:r>
      <w:r w:rsidR="002F0030">
        <w:rPr>
          <w:szCs w:val="26"/>
        </w:rPr>
        <w:t xml:space="preserve"> during non-MED days.</w:t>
      </w:r>
      <w:r w:rsidR="00803ACF">
        <w:rPr>
          <w:szCs w:val="26"/>
        </w:rPr>
        <w:t xml:space="preserve"> </w:t>
      </w:r>
    </w:p>
    <w:p w:rsidR="00221226" w:rsidP="009261F2" w:rsidRDefault="00CC5824" w14:paraId="6A7C36CA" w14:textId="759C018B">
      <w:pPr>
        <w:pStyle w:val="Standard"/>
        <w:rPr>
          <w:szCs w:val="26"/>
        </w:rPr>
      </w:pPr>
      <w:r>
        <w:rPr>
          <w:szCs w:val="26"/>
        </w:rPr>
        <w:t>Staff stat</w:t>
      </w:r>
      <w:r w:rsidR="001B7182">
        <w:rPr>
          <w:szCs w:val="26"/>
        </w:rPr>
        <w:t>e</w:t>
      </w:r>
      <w:r>
        <w:rPr>
          <w:szCs w:val="26"/>
        </w:rPr>
        <w:t xml:space="preserve"> that </w:t>
      </w:r>
      <w:r w:rsidRPr="00CC5824">
        <w:rPr>
          <w:szCs w:val="26"/>
        </w:rPr>
        <w:t xml:space="preserve">measuring outages due to vegetation contact or equipment damage can provide visibility </w:t>
      </w:r>
      <w:r>
        <w:rPr>
          <w:szCs w:val="26"/>
        </w:rPr>
        <w:t>in</w:t>
      </w:r>
      <w:r w:rsidRPr="00CC5824">
        <w:rPr>
          <w:szCs w:val="26"/>
        </w:rPr>
        <w:t xml:space="preserve">to </w:t>
      </w:r>
      <w:r w:rsidR="00B2214B">
        <w:rPr>
          <w:szCs w:val="26"/>
        </w:rPr>
        <w:t xml:space="preserve">the effectiveness of </w:t>
      </w:r>
      <w:r w:rsidR="00BA4DEB">
        <w:rPr>
          <w:szCs w:val="26"/>
        </w:rPr>
        <w:t xml:space="preserve">an </w:t>
      </w:r>
      <w:r w:rsidR="00A61DD0">
        <w:rPr>
          <w:szCs w:val="26"/>
        </w:rPr>
        <w:t>IOU</w:t>
      </w:r>
      <w:r w:rsidR="00BA4DEB">
        <w:rPr>
          <w:szCs w:val="26"/>
        </w:rPr>
        <w:t>’s</w:t>
      </w:r>
      <w:r w:rsidR="00A61DD0">
        <w:rPr>
          <w:szCs w:val="26"/>
        </w:rPr>
        <w:t xml:space="preserve"> </w:t>
      </w:r>
      <w:r w:rsidRPr="00CC5824">
        <w:rPr>
          <w:szCs w:val="26"/>
        </w:rPr>
        <w:t xml:space="preserve">vegetation management </w:t>
      </w:r>
      <w:r w:rsidR="005B1A3C">
        <w:rPr>
          <w:szCs w:val="26"/>
        </w:rPr>
        <w:t xml:space="preserve">and </w:t>
      </w:r>
      <w:r w:rsidRPr="00CC5824">
        <w:rPr>
          <w:szCs w:val="26"/>
        </w:rPr>
        <w:t>maintenance program</w:t>
      </w:r>
      <w:r w:rsidR="005B1A3C">
        <w:rPr>
          <w:szCs w:val="26"/>
        </w:rPr>
        <w:t>s</w:t>
      </w:r>
      <w:r w:rsidRPr="00CC5824">
        <w:rPr>
          <w:szCs w:val="26"/>
        </w:rPr>
        <w:t xml:space="preserve">, the condition of </w:t>
      </w:r>
      <w:r w:rsidR="00A61DD0">
        <w:rPr>
          <w:szCs w:val="26"/>
        </w:rPr>
        <w:t xml:space="preserve">its </w:t>
      </w:r>
      <w:r w:rsidRPr="00CC5824">
        <w:rPr>
          <w:szCs w:val="26"/>
        </w:rPr>
        <w:t>electric assets,</w:t>
      </w:r>
      <w:r w:rsidR="005B1A3C">
        <w:rPr>
          <w:szCs w:val="26"/>
        </w:rPr>
        <w:t xml:space="preserve"> </w:t>
      </w:r>
      <w:r w:rsidRPr="00CC5824">
        <w:rPr>
          <w:szCs w:val="26"/>
        </w:rPr>
        <w:t xml:space="preserve">the robustness of </w:t>
      </w:r>
      <w:r w:rsidR="00A61DD0">
        <w:rPr>
          <w:szCs w:val="26"/>
        </w:rPr>
        <w:t xml:space="preserve">its </w:t>
      </w:r>
      <w:r w:rsidRPr="00CC5824">
        <w:rPr>
          <w:szCs w:val="26"/>
        </w:rPr>
        <w:t xml:space="preserve">circuit protection, and the overall resilience of </w:t>
      </w:r>
      <w:r w:rsidR="00A61DD0">
        <w:rPr>
          <w:szCs w:val="26"/>
        </w:rPr>
        <w:t>its</w:t>
      </w:r>
      <w:r w:rsidRPr="00CC5824">
        <w:rPr>
          <w:szCs w:val="26"/>
        </w:rPr>
        <w:t xml:space="preserve"> circuits. </w:t>
      </w:r>
      <w:r w:rsidR="00803ACF">
        <w:rPr>
          <w:szCs w:val="26"/>
        </w:rPr>
        <w:t xml:space="preserve"> </w:t>
      </w:r>
      <w:r w:rsidR="00C80CBB">
        <w:rPr>
          <w:szCs w:val="26"/>
        </w:rPr>
        <w:t>Staff state that this</w:t>
      </w:r>
      <w:r w:rsidDel="00C80CBB" w:rsidR="009261F2">
        <w:rPr>
          <w:szCs w:val="26"/>
        </w:rPr>
        <w:t xml:space="preserve"> </w:t>
      </w:r>
      <w:r w:rsidR="009261F2">
        <w:rPr>
          <w:szCs w:val="26"/>
        </w:rPr>
        <w:t>can allow</w:t>
      </w:r>
      <w:r w:rsidR="005B1A3C">
        <w:rPr>
          <w:szCs w:val="26"/>
        </w:rPr>
        <w:t xml:space="preserve"> for the </w:t>
      </w:r>
      <w:r w:rsidRPr="00803ACF" w:rsidR="00803ACF">
        <w:rPr>
          <w:szCs w:val="26"/>
        </w:rPr>
        <w:t xml:space="preserve">identification of hazard conditions, and that although </w:t>
      </w:r>
      <w:r w:rsidR="003721BC">
        <w:rPr>
          <w:szCs w:val="26"/>
        </w:rPr>
        <w:t xml:space="preserve">generally </w:t>
      </w:r>
      <w:r w:rsidRPr="00803ACF" w:rsidR="00803ACF">
        <w:rPr>
          <w:szCs w:val="26"/>
        </w:rPr>
        <w:t xml:space="preserve">a </w:t>
      </w:r>
      <w:r w:rsidR="003721BC">
        <w:rPr>
          <w:szCs w:val="26"/>
        </w:rPr>
        <w:t>“lagging”</w:t>
      </w:r>
      <w:r w:rsidRPr="00803ACF" w:rsidR="00803ACF">
        <w:rPr>
          <w:szCs w:val="26"/>
        </w:rPr>
        <w:t xml:space="preserve"> indicator</w:t>
      </w:r>
      <w:r w:rsidR="00135493">
        <w:rPr>
          <w:iCs/>
          <w:szCs w:val="26"/>
        </w:rPr>
        <w:t xml:space="preserve">, </w:t>
      </w:r>
      <w:r w:rsidRPr="00803ACF" w:rsidR="00803ACF">
        <w:rPr>
          <w:szCs w:val="26"/>
        </w:rPr>
        <w:t>can also be considered a leading indicator if areas or circuits subject to wildfire ignitions are identified prior to the ignition of a major wildfire.</w:t>
      </w:r>
      <w:r w:rsidRPr="00221226" w:rsidR="00803ACF">
        <w:rPr>
          <w:szCs w:val="26"/>
          <w:vertAlign w:val="superscript"/>
        </w:rPr>
        <w:footnoteReference w:id="126"/>
      </w:r>
      <w:r w:rsidRPr="00803ACF" w:rsidR="00803ACF">
        <w:rPr>
          <w:szCs w:val="26"/>
        </w:rPr>
        <w:t xml:space="preserve">  </w:t>
      </w:r>
      <w:r w:rsidR="00221226">
        <w:rPr>
          <w:iCs/>
          <w:szCs w:val="26"/>
        </w:rPr>
        <w:t xml:space="preserve">Staff note that this metric is similar to but </w:t>
      </w:r>
      <w:r w:rsidR="00221226">
        <w:rPr>
          <w:iCs/>
          <w:szCs w:val="26"/>
        </w:rPr>
        <w:lastRenderedPageBreak/>
        <w:t xml:space="preserve">provides </w:t>
      </w:r>
      <w:r w:rsidRPr="00DD3B27" w:rsidR="00221226">
        <w:rPr>
          <w:iCs/>
          <w:szCs w:val="26"/>
        </w:rPr>
        <w:t xml:space="preserve">additional granularity </w:t>
      </w:r>
      <w:r w:rsidR="00221226">
        <w:rPr>
          <w:iCs/>
          <w:szCs w:val="26"/>
        </w:rPr>
        <w:t xml:space="preserve">as compared to </w:t>
      </w:r>
      <w:r w:rsidRPr="00DD3B27" w:rsidR="00221226">
        <w:rPr>
          <w:iCs/>
          <w:szCs w:val="26"/>
        </w:rPr>
        <w:t xml:space="preserve">the Wires Down </w:t>
      </w:r>
      <w:r w:rsidR="00221226">
        <w:rPr>
          <w:iCs/>
          <w:szCs w:val="26"/>
        </w:rPr>
        <w:t xml:space="preserve">SOMs #s 3.1 – 3.3.  This is because </w:t>
      </w:r>
      <w:r w:rsidRPr="00DD3B27" w:rsidR="00221226">
        <w:rPr>
          <w:iCs/>
          <w:szCs w:val="26"/>
        </w:rPr>
        <w:t xml:space="preserve">an outage due to vegetation contact </w:t>
      </w:r>
      <w:r w:rsidR="00221226">
        <w:rPr>
          <w:iCs/>
          <w:szCs w:val="26"/>
        </w:rPr>
        <w:t>is not necessar</w:t>
      </w:r>
      <w:r w:rsidR="007132B4">
        <w:rPr>
          <w:iCs/>
          <w:szCs w:val="26"/>
        </w:rPr>
        <w:t>ily</w:t>
      </w:r>
      <w:r w:rsidR="00221226">
        <w:rPr>
          <w:iCs/>
          <w:szCs w:val="26"/>
        </w:rPr>
        <w:t xml:space="preserve"> </w:t>
      </w:r>
      <w:r w:rsidRPr="00DD3B27" w:rsidR="00221226">
        <w:rPr>
          <w:iCs/>
          <w:szCs w:val="26"/>
        </w:rPr>
        <w:t xml:space="preserve">accompanied by </w:t>
      </w:r>
      <w:r w:rsidR="00AA367F">
        <w:rPr>
          <w:iCs/>
          <w:szCs w:val="26"/>
        </w:rPr>
        <w:t xml:space="preserve">a </w:t>
      </w:r>
      <w:r w:rsidR="00221226">
        <w:rPr>
          <w:iCs/>
          <w:szCs w:val="26"/>
        </w:rPr>
        <w:t>w</w:t>
      </w:r>
      <w:r w:rsidRPr="00DD3B27" w:rsidR="00221226">
        <w:rPr>
          <w:iCs/>
          <w:szCs w:val="26"/>
        </w:rPr>
        <w:t xml:space="preserve">ires </w:t>
      </w:r>
      <w:r w:rsidR="00221226">
        <w:rPr>
          <w:iCs/>
          <w:szCs w:val="26"/>
        </w:rPr>
        <w:t>d</w:t>
      </w:r>
      <w:r w:rsidRPr="00DD3B27" w:rsidR="00221226">
        <w:rPr>
          <w:iCs/>
          <w:szCs w:val="26"/>
        </w:rPr>
        <w:t>own event</w:t>
      </w:r>
      <w:r w:rsidR="00221226">
        <w:rPr>
          <w:iCs/>
          <w:szCs w:val="26"/>
        </w:rPr>
        <w:t>.</w:t>
      </w:r>
    </w:p>
    <w:p w:rsidR="00231902" w:rsidP="00C7498D" w:rsidRDefault="00D51EB1" w14:paraId="4EB949F8" w14:textId="2051BDBE">
      <w:pPr>
        <w:pStyle w:val="Standard"/>
        <w:rPr>
          <w:szCs w:val="26"/>
        </w:rPr>
      </w:pPr>
      <w:r>
        <w:rPr>
          <w:szCs w:val="26"/>
        </w:rPr>
        <w:t xml:space="preserve">Staff recommend that the Commission require </w:t>
      </w:r>
      <w:r w:rsidRPr="00D51EB1">
        <w:rPr>
          <w:szCs w:val="26"/>
        </w:rPr>
        <w:t>PG&amp;E</w:t>
      </w:r>
      <w:r w:rsidR="001263E3">
        <w:rPr>
          <w:szCs w:val="26"/>
        </w:rPr>
        <w:t xml:space="preserve"> reporting on these SOMs</w:t>
      </w:r>
      <w:r w:rsidRPr="00D51EB1">
        <w:rPr>
          <w:szCs w:val="26"/>
        </w:rPr>
        <w:t xml:space="preserve"> </w:t>
      </w:r>
      <w:r w:rsidR="001263E3">
        <w:rPr>
          <w:szCs w:val="26"/>
        </w:rPr>
        <w:t xml:space="preserve">to </w:t>
      </w:r>
      <w:r w:rsidRPr="00D51EB1">
        <w:rPr>
          <w:szCs w:val="26"/>
        </w:rPr>
        <w:t xml:space="preserve">delineate outages due to contact with vegetation versus </w:t>
      </w:r>
      <w:r w:rsidR="001263E3">
        <w:rPr>
          <w:szCs w:val="26"/>
        </w:rPr>
        <w:t>those</w:t>
      </w:r>
      <w:r w:rsidRPr="00D51EB1">
        <w:rPr>
          <w:szCs w:val="26"/>
        </w:rPr>
        <w:t xml:space="preserve"> caused by equipment</w:t>
      </w:r>
      <w:r w:rsidR="00C4056D">
        <w:rPr>
          <w:szCs w:val="26"/>
        </w:rPr>
        <w:t xml:space="preserve"> </w:t>
      </w:r>
      <w:r w:rsidR="006D60B8">
        <w:rPr>
          <w:szCs w:val="26"/>
        </w:rPr>
        <w:t>damage</w:t>
      </w:r>
      <w:r w:rsidRPr="00D51EB1">
        <w:rPr>
          <w:szCs w:val="26"/>
        </w:rPr>
        <w:t xml:space="preserve"> and </w:t>
      </w:r>
      <w:r w:rsidR="00583FFE">
        <w:rPr>
          <w:szCs w:val="26"/>
        </w:rPr>
        <w:t xml:space="preserve">outages occurring on </w:t>
      </w:r>
      <w:r w:rsidRPr="00D51EB1">
        <w:rPr>
          <w:szCs w:val="26"/>
        </w:rPr>
        <w:t xml:space="preserve">distribution </w:t>
      </w:r>
      <w:r w:rsidR="00141476">
        <w:rPr>
          <w:szCs w:val="26"/>
        </w:rPr>
        <w:t xml:space="preserve">assets </w:t>
      </w:r>
      <w:r w:rsidRPr="00D51EB1">
        <w:rPr>
          <w:szCs w:val="26"/>
        </w:rPr>
        <w:t xml:space="preserve">versus </w:t>
      </w:r>
      <w:r w:rsidR="00141476">
        <w:rPr>
          <w:szCs w:val="26"/>
        </w:rPr>
        <w:t xml:space="preserve">those occurring on </w:t>
      </w:r>
      <w:r w:rsidRPr="00D51EB1">
        <w:rPr>
          <w:szCs w:val="26"/>
        </w:rPr>
        <w:t>transmission assets.  For equipment damage</w:t>
      </w:r>
      <w:r w:rsidR="009D1B53">
        <w:rPr>
          <w:szCs w:val="26"/>
        </w:rPr>
        <w:t xml:space="preserve"> </w:t>
      </w:r>
      <w:r w:rsidRPr="00D51EB1">
        <w:rPr>
          <w:szCs w:val="26"/>
        </w:rPr>
        <w:t xml:space="preserve">related outages, </w:t>
      </w:r>
      <w:r w:rsidR="001263E3">
        <w:rPr>
          <w:szCs w:val="26"/>
        </w:rPr>
        <w:t xml:space="preserve">Staff recommend </w:t>
      </w:r>
      <w:r w:rsidRPr="00D51EB1">
        <w:rPr>
          <w:szCs w:val="26"/>
        </w:rPr>
        <w:t>th</w:t>
      </w:r>
      <w:r w:rsidR="001263E3">
        <w:rPr>
          <w:szCs w:val="26"/>
        </w:rPr>
        <w:t xml:space="preserve">at </w:t>
      </w:r>
      <w:r w:rsidR="009D1B53">
        <w:rPr>
          <w:szCs w:val="26"/>
        </w:rPr>
        <w:t xml:space="preserve">reported </w:t>
      </w:r>
      <w:r w:rsidR="001263E3">
        <w:rPr>
          <w:szCs w:val="26"/>
        </w:rPr>
        <w:t xml:space="preserve">data </w:t>
      </w:r>
      <w:r w:rsidRPr="00D51EB1">
        <w:rPr>
          <w:szCs w:val="26"/>
        </w:rPr>
        <w:t>be segregated by overhead versus underground</w:t>
      </w:r>
      <w:r w:rsidR="00190B6E">
        <w:rPr>
          <w:szCs w:val="26"/>
        </w:rPr>
        <w:t xml:space="preserve"> assets</w:t>
      </w:r>
      <w:r w:rsidRPr="00D51EB1">
        <w:rPr>
          <w:szCs w:val="26"/>
        </w:rPr>
        <w:t>.</w:t>
      </w:r>
      <w:r w:rsidR="001263E3">
        <w:rPr>
          <w:rStyle w:val="FootnoteReference"/>
          <w:szCs w:val="26"/>
        </w:rPr>
        <w:footnoteReference w:id="127"/>
      </w:r>
    </w:p>
    <w:p w:rsidRPr="00BE70E1" w:rsidR="00802EE1" w:rsidP="00C073DA" w:rsidRDefault="00802EE1" w14:paraId="23592DD8" w14:textId="4DDDAE97">
      <w:pPr>
        <w:pStyle w:val="Heading5"/>
      </w:pPr>
      <w:bookmarkStart w:name="_Toc80890896" w:id="127"/>
      <w:bookmarkStart w:name="_Toc87361197" w:id="128"/>
      <w:r w:rsidRPr="00BE70E1">
        <w:t>10.5.2.</w:t>
      </w:r>
      <w:r w:rsidR="00E83C10">
        <w:rPr>
          <w:rFonts w:eastAsiaTheme="minorHAnsi"/>
        </w:rPr>
        <w:t>3.2</w:t>
      </w:r>
      <w:r w:rsidRPr="00BE70E1">
        <w:tab/>
      </w:r>
      <w:r w:rsidR="00FA15FD">
        <w:rPr>
          <w:rFonts w:eastAsiaTheme="minorHAnsi"/>
        </w:rPr>
        <w:t>Party Comments</w:t>
      </w:r>
      <w:bookmarkEnd w:id="127"/>
      <w:bookmarkEnd w:id="128"/>
    </w:p>
    <w:p w:rsidRPr="00BE70E1" w:rsidR="00802EE1" w:rsidP="00802EE1" w:rsidRDefault="00802EE1" w14:paraId="2F406D6B" w14:textId="7AE8F5CA">
      <w:pPr>
        <w:spacing w:line="360" w:lineRule="auto"/>
        <w:ind w:firstLine="720"/>
        <w:rPr>
          <w:rFonts w:eastAsiaTheme="minorHAnsi"/>
        </w:rPr>
      </w:pPr>
      <w:r w:rsidRPr="00BE70E1">
        <w:rPr>
          <w:rFonts w:eastAsiaTheme="minorHAnsi"/>
        </w:rPr>
        <w:t xml:space="preserve">As a general matter, PG&amp;E opposes any SOMs limited to HFTDs only.  PG&amp;E argues that SOMs limited to HFTDs violate </w:t>
      </w:r>
      <w:r w:rsidR="008F62BC">
        <w:rPr>
          <w:rFonts w:eastAsiaTheme="minorHAnsi"/>
        </w:rPr>
        <w:t xml:space="preserve">the </w:t>
      </w:r>
      <w:r w:rsidRPr="00BE70E1">
        <w:rPr>
          <w:rFonts w:eastAsiaTheme="minorHAnsi"/>
        </w:rPr>
        <w:t>SOMs Ruling guidance because SOMs limited to HFTDs are “detailed, focused metrics” that are “highly granular.”</w:t>
      </w:r>
      <w:r w:rsidRPr="00BE70E1">
        <w:rPr>
          <w:rFonts w:eastAsiaTheme="minorHAnsi"/>
          <w:vertAlign w:val="superscript"/>
        </w:rPr>
        <w:footnoteReference w:id="128"/>
      </w:r>
      <w:r w:rsidRPr="00BE70E1">
        <w:rPr>
          <w:rFonts w:eastAsiaTheme="minorHAnsi"/>
        </w:rPr>
        <w:t xml:space="preserve">  </w:t>
      </w:r>
    </w:p>
    <w:p w:rsidRPr="00BE70E1" w:rsidR="00802EE1" w:rsidP="00802EE1" w:rsidRDefault="00802EE1" w14:paraId="55B27351" w14:textId="29834E5D">
      <w:pPr>
        <w:spacing w:line="360" w:lineRule="auto"/>
        <w:ind w:firstLine="720"/>
        <w:rPr>
          <w:rFonts w:eastAsiaTheme="minorHAnsi"/>
        </w:rPr>
      </w:pPr>
      <w:r w:rsidRPr="00BE70E1">
        <w:rPr>
          <w:rFonts w:eastAsiaTheme="minorHAnsi"/>
        </w:rPr>
        <w:t>PG&amp;E also objects across the board to any SOM that includes MEDs, as Staff’s proposed SOM #2.11</w:t>
      </w:r>
      <w:r w:rsidR="00140459">
        <w:rPr>
          <w:rFonts w:eastAsiaTheme="minorHAnsi"/>
        </w:rPr>
        <w:t xml:space="preserve"> does</w:t>
      </w:r>
      <w:r w:rsidRPr="00BE70E1">
        <w:rPr>
          <w:rFonts w:eastAsiaTheme="minorHAnsi"/>
        </w:rPr>
        <w:t>.  PG&amp;E’s concern with SOMs that include MEDs is that “by definition, [MEDs] are those where circumstances “</w:t>
      </w:r>
      <w:r w:rsidRPr="00BE70E1">
        <w:rPr>
          <w:rFonts w:eastAsiaTheme="minorHAnsi"/>
          <w:i/>
          <w:iCs/>
        </w:rPr>
        <w:t>exceed</w:t>
      </w:r>
      <w:r w:rsidR="00120D80">
        <w:rPr>
          <w:rFonts w:eastAsiaTheme="minorHAnsi"/>
          <w:i/>
          <w:iCs/>
        </w:rPr>
        <w:t xml:space="preserve"> [  ] </w:t>
      </w:r>
      <w:r w:rsidRPr="00BE70E1">
        <w:rPr>
          <w:rFonts w:eastAsiaTheme="minorHAnsi"/>
          <w:i/>
          <w:iCs/>
        </w:rPr>
        <w:t>reasonable design and or operational limits</w:t>
      </w:r>
      <w:r w:rsidRPr="00BE70E1">
        <w:rPr>
          <w:rFonts w:eastAsiaTheme="minorHAnsi"/>
        </w:rPr>
        <w:t xml:space="preserve"> of the electric power system.”</w:t>
      </w:r>
      <w:r w:rsidRPr="00BE70E1">
        <w:rPr>
          <w:rFonts w:eastAsiaTheme="minorHAnsi"/>
          <w:vertAlign w:val="superscript"/>
        </w:rPr>
        <w:footnoteReference w:id="129"/>
      </w:r>
      <w:r w:rsidRPr="00BE70E1">
        <w:rPr>
          <w:rFonts w:eastAsiaTheme="minorHAnsi"/>
        </w:rPr>
        <w:t xml:space="preserve"> </w:t>
      </w:r>
      <w:r w:rsidR="00987E00">
        <w:rPr>
          <w:rFonts w:eastAsiaTheme="minorHAnsi"/>
        </w:rPr>
        <w:t xml:space="preserve"> </w:t>
      </w:r>
      <w:r w:rsidRPr="00BE70E1">
        <w:rPr>
          <w:rFonts w:eastAsiaTheme="minorHAnsi"/>
        </w:rPr>
        <w:t>PG&amp;E argues that adopting SOMs that include MEDs is improper because these are “not attainable or beyond PG&amp;E’s control.”</w:t>
      </w:r>
      <w:r w:rsidRPr="00BE70E1">
        <w:rPr>
          <w:szCs w:val="26"/>
          <w:vertAlign w:val="superscript"/>
        </w:rPr>
        <w:footnoteReference w:id="130"/>
      </w:r>
      <w:r w:rsidRPr="00BE70E1">
        <w:rPr>
          <w:szCs w:val="26"/>
        </w:rPr>
        <w:t xml:space="preserve"> </w:t>
      </w:r>
      <w:r w:rsidR="00987E00">
        <w:rPr>
          <w:szCs w:val="26"/>
        </w:rPr>
        <w:t xml:space="preserve"> </w:t>
      </w:r>
      <w:r w:rsidRPr="00BE70E1">
        <w:rPr>
          <w:rFonts w:eastAsiaTheme="minorHAnsi"/>
        </w:rPr>
        <w:t xml:space="preserve">Further, PG&amp;E argues that adopting SOMs with MEDs creates a perverse incentive for PG&amp;E to focus on </w:t>
      </w:r>
      <w:r w:rsidRPr="00BE70E1">
        <w:rPr>
          <w:rFonts w:eastAsiaTheme="minorHAnsi"/>
        </w:rPr>
        <w:lastRenderedPageBreak/>
        <w:t>system performance outside of reasonable limits without concurrently providing guidance on the improvements it should make.</w:t>
      </w:r>
      <w:r w:rsidRPr="00BE70E1">
        <w:rPr>
          <w:rFonts w:eastAsiaTheme="minorHAnsi"/>
          <w:vertAlign w:val="superscript"/>
        </w:rPr>
        <w:footnoteReference w:id="131"/>
      </w:r>
      <w:r w:rsidRPr="00BE70E1">
        <w:rPr>
          <w:rFonts w:eastAsiaTheme="minorHAnsi"/>
        </w:rPr>
        <w:t xml:space="preserve">  PG&amp;E contends that its performance on SOMs that include MEDs “</w:t>
      </w:r>
      <w:r w:rsidRPr="00BE70E1">
        <w:rPr>
          <w:szCs w:val="26"/>
        </w:rPr>
        <w:t>will vary greatly regardless of PG&amp;E’s commitment and the quality of its efforts” and</w:t>
      </w:r>
      <w:r w:rsidRPr="00BE70E1">
        <w:rPr>
          <w:rFonts w:eastAsiaTheme="minorHAnsi"/>
        </w:rPr>
        <w:t xml:space="preserve"> there is “no reasonable workplan that PG&amp;E could pu</w:t>
      </w:r>
      <w:r w:rsidR="00237426">
        <w:rPr>
          <w:rFonts w:eastAsiaTheme="minorHAnsi"/>
        </w:rPr>
        <w:t>t</w:t>
      </w:r>
      <w:r w:rsidRPr="00BE70E1">
        <w:rPr>
          <w:rFonts w:eastAsiaTheme="minorHAnsi"/>
        </w:rPr>
        <w:t xml:space="preserve"> in place” to meet any targets associated with SOMs that include MEDs.  </w:t>
      </w:r>
    </w:p>
    <w:p w:rsidRPr="00BE70E1" w:rsidR="00802EE1" w:rsidP="00802EE1" w:rsidRDefault="00802EE1" w14:paraId="39FED546" w14:textId="2D621E21">
      <w:pPr>
        <w:spacing w:line="360" w:lineRule="auto"/>
        <w:ind w:firstLine="720"/>
        <w:rPr>
          <w:rFonts w:eastAsiaTheme="minorHAnsi"/>
        </w:rPr>
      </w:pPr>
      <w:r w:rsidRPr="00BE70E1">
        <w:rPr>
          <w:rFonts w:eastAsiaTheme="minorHAnsi"/>
        </w:rPr>
        <w:t xml:space="preserve">In contrast, although TURN does not comment on SOMs #s 2.11 and 2.12, </w:t>
      </w:r>
      <w:r w:rsidR="00C34F42">
        <w:rPr>
          <w:rFonts w:eastAsiaTheme="minorHAnsi"/>
        </w:rPr>
        <w:t xml:space="preserve">TURN states, </w:t>
      </w:r>
      <w:r w:rsidRPr="00BE70E1">
        <w:rPr>
          <w:rFonts w:eastAsiaTheme="minorHAnsi"/>
        </w:rPr>
        <w:t>more generally regarding SOMs that include MEDs,</w:t>
      </w:r>
      <w:r w:rsidRPr="00BE70E1">
        <w:rPr>
          <w:rFonts w:eastAsiaTheme="minorHAnsi"/>
          <w:szCs w:val="26"/>
        </w:rPr>
        <w:t xml:space="preserve"> </w:t>
      </w:r>
      <w:r w:rsidRPr="00BE70E1">
        <w:rPr>
          <w:szCs w:val="26"/>
        </w:rPr>
        <w:t>that:</w:t>
      </w:r>
    </w:p>
    <w:p w:rsidRPr="00BE70E1" w:rsidR="00802EE1" w:rsidP="00802EE1" w:rsidRDefault="00802EE1" w14:paraId="0048B906" w14:textId="3F4AB2DE">
      <w:pPr>
        <w:spacing w:after="120"/>
        <w:ind w:left="720" w:right="720"/>
      </w:pPr>
      <w:r w:rsidRPr="00BE70E1">
        <w:t>…excluding [</w:t>
      </w:r>
      <w:r w:rsidR="00C34F42">
        <w:t>MEDs]</w:t>
      </w:r>
      <w:r w:rsidRPr="00BE70E1">
        <w:t xml:space="preserve"> would exclude information on PG&amp;E’s operations under more extreme circumstances and provide a significantly incomplete picture of the safety of PG&amp;E’s operations. PG&amp;E’s success serving its customers is demonstrated by the provision of safe and reliable service both on a typical day and on MEDs when its system is most </w:t>
      </w:r>
      <w:r w:rsidRPr="00775D74">
        <w:t xml:space="preserve">vulnerable. </w:t>
      </w:r>
      <w:r w:rsidRPr="00775D74" w:rsidR="002D63CD">
        <w:t xml:space="preserve"> </w:t>
      </w:r>
      <w:r w:rsidRPr="00775D74">
        <w:t>MEDs</w:t>
      </w:r>
      <w:r w:rsidRPr="00BE70E1">
        <w:t xml:space="preserve"> usually coincide with major storms and other weather events; events which PG&amp;E argues are ‘beyond PG&amp;E’s control and are not predictable.’ While the weather may be outside of PG&amp;E’s control, the utility’s response to weather events is wholly within its control.</w:t>
      </w:r>
      <w:r w:rsidRPr="00BE70E1">
        <w:rPr>
          <w:vertAlign w:val="superscript"/>
        </w:rPr>
        <w:footnoteReference w:id="132"/>
      </w:r>
    </w:p>
    <w:p w:rsidRPr="00BE70E1" w:rsidR="00802EE1" w:rsidP="00802EE1" w:rsidRDefault="00802EE1" w14:paraId="00EEBF73" w14:textId="6798ACF1">
      <w:pPr>
        <w:spacing w:line="360" w:lineRule="auto"/>
        <w:ind w:firstLine="720"/>
      </w:pPr>
      <w:r w:rsidRPr="00BE70E1">
        <w:rPr>
          <w:rFonts w:eastAsiaTheme="minorHAnsi"/>
        </w:rPr>
        <w:t xml:space="preserve">MGRA supports </w:t>
      </w:r>
      <w:r w:rsidR="00C34F42">
        <w:rPr>
          <w:rFonts w:eastAsiaTheme="minorHAnsi"/>
        </w:rPr>
        <w:t>Commission</w:t>
      </w:r>
      <w:r w:rsidRPr="00BE70E1">
        <w:rPr>
          <w:rFonts w:eastAsiaTheme="minorHAnsi"/>
        </w:rPr>
        <w:t xml:space="preserve"> adoption of SOMs #s 2.11 and 2.12.  </w:t>
      </w:r>
      <w:r w:rsidRPr="00BE70E1">
        <w:t>MGRA emphasizes that “utilities are responsible for preparing their systems to withstand location conditions.”</w:t>
      </w:r>
      <w:r w:rsidRPr="00BE70E1">
        <w:rPr>
          <w:vertAlign w:val="superscript"/>
        </w:rPr>
        <w:footnoteReference w:id="133"/>
      </w:r>
      <w:r w:rsidRPr="00BE70E1">
        <w:t xml:space="preserve">  Like TURN, MGRA contends that it is exactly during fire-weather and other severe weather events that a utility’s “preparedness, resilience, and operational capacity” have the greatest impact on </w:t>
      </w:r>
      <w:r w:rsidRPr="00BE70E1">
        <w:lastRenderedPageBreak/>
        <w:t>public safety.</w:t>
      </w:r>
      <w:r w:rsidRPr="00BE70E1">
        <w:rPr>
          <w:vertAlign w:val="superscript"/>
        </w:rPr>
        <w:footnoteReference w:id="134"/>
      </w:r>
      <w:r w:rsidRPr="00BE70E1">
        <w:rPr>
          <w:szCs w:val="26"/>
        </w:rPr>
        <w:t xml:space="preserve">  M</w:t>
      </w:r>
      <w:r w:rsidR="00AB2D83">
        <w:rPr>
          <w:szCs w:val="26"/>
        </w:rPr>
        <w:t>GRA states that m</w:t>
      </w:r>
      <w:r w:rsidRPr="00BE70E1">
        <w:t>etric</w:t>
      </w:r>
      <w:r w:rsidR="00336796">
        <w:t>s</w:t>
      </w:r>
      <w:r w:rsidRPr="00BE70E1">
        <w:t xml:space="preserve"> that can be influenced by external driver events such as weather conditions should be “normalized,” “prior to setting any benchmarking, performance goals, or triggering thresholds</w:t>
      </w:r>
      <w:r w:rsidR="009C2DEF">
        <w:t>.</w:t>
      </w:r>
      <w:r w:rsidRPr="00BE70E1">
        <w:t>”</w:t>
      </w:r>
      <w:r w:rsidRPr="00BE70E1">
        <w:rPr>
          <w:vertAlign w:val="superscript"/>
        </w:rPr>
        <w:footnoteReference w:id="135"/>
      </w:r>
      <w:r w:rsidRPr="00BE70E1">
        <w:t xml:space="preserve">  However, MGRA does not contend that it is necessary for the Commission to have in place a specific normalization technique prior to adopting SOMs that include MEDs.    </w:t>
      </w:r>
    </w:p>
    <w:p w:rsidRPr="00BE70E1" w:rsidR="00802EE1" w:rsidP="00802EE1" w:rsidRDefault="00802EE1" w14:paraId="62334EF5" w14:textId="672F8200">
      <w:pPr>
        <w:spacing w:line="360" w:lineRule="auto"/>
        <w:ind w:firstLine="720"/>
        <w:rPr>
          <w:rFonts w:eastAsiaTheme="minorHAnsi"/>
          <w:szCs w:val="26"/>
        </w:rPr>
      </w:pPr>
      <w:r w:rsidRPr="00BE70E1">
        <w:rPr>
          <w:rFonts w:eastAsiaTheme="minorHAnsi"/>
        </w:rPr>
        <w:t>Cal Advocates does not comment on SOMs #s 2.11 and 2.12 but contends elsewhere that “[f]or the purposes of the SOMs, ensuring that PG&amp;E adequately completes authorized and identified safety and reliability work, particularly in HFTD areas, is of the utmost importance.”</w:t>
      </w:r>
      <w:r w:rsidRPr="00BE70E1">
        <w:rPr>
          <w:rFonts w:eastAsiaTheme="minorHAnsi"/>
          <w:vertAlign w:val="superscript"/>
        </w:rPr>
        <w:footnoteReference w:id="136"/>
      </w:r>
      <w:r w:rsidRPr="00BE70E1">
        <w:rPr>
          <w:rFonts w:eastAsiaTheme="minorHAnsi"/>
        </w:rPr>
        <w:t xml:space="preserve">   </w:t>
      </w:r>
    </w:p>
    <w:p w:rsidRPr="00BE70E1" w:rsidR="00E83C10" w:rsidP="00C073DA" w:rsidRDefault="00E83C10" w14:paraId="4EAC0018" w14:textId="5CE1E9C8">
      <w:pPr>
        <w:pStyle w:val="Heading5"/>
      </w:pPr>
      <w:bookmarkStart w:name="_Toc80890897" w:id="129"/>
      <w:bookmarkStart w:name="_Toc87361198" w:id="130"/>
      <w:r w:rsidRPr="00BE70E1">
        <w:t>10.5.2.</w:t>
      </w:r>
      <w:r>
        <w:rPr>
          <w:rFonts w:eastAsiaTheme="minorHAnsi"/>
        </w:rPr>
        <w:t>3.3</w:t>
      </w:r>
      <w:r w:rsidRPr="00BE70E1">
        <w:tab/>
      </w:r>
      <w:r>
        <w:rPr>
          <w:rFonts w:eastAsiaTheme="minorHAnsi"/>
        </w:rPr>
        <w:t>Discussion</w:t>
      </w:r>
      <w:bookmarkEnd w:id="129"/>
      <w:bookmarkEnd w:id="130"/>
    </w:p>
    <w:p w:rsidR="00EC7B6A" w:rsidP="00DB774E" w:rsidRDefault="00DB774E" w14:paraId="22775279" w14:textId="583D52AF">
      <w:pPr>
        <w:spacing w:line="360" w:lineRule="auto"/>
        <w:ind w:firstLine="720"/>
        <w:rPr>
          <w:szCs w:val="26"/>
        </w:rPr>
      </w:pPr>
      <w:r w:rsidRPr="00BE70E1">
        <w:rPr>
          <w:szCs w:val="26"/>
        </w:rPr>
        <w:t xml:space="preserve">Regarding SOMs relating to vegetation and equipment in HFTDs, we approve Staff’s proposed SOMs #s 2.11 and 2.12, which reflect system average outages due to vegetation and equipment damage in Tier 2 and Tier 3 HFTDs on both MEDs (#2.11) and non-MED (#2.12) days. </w:t>
      </w:r>
      <w:r w:rsidR="00987E00">
        <w:rPr>
          <w:szCs w:val="26"/>
        </w:rPr>
        <w:t xml:space="preserve"> </w:t>
      </w:r>
      <w:r w:rsidRPr="00BE70E1">
        <w:rPr>
          <w:szCs w:val="26"/>
        </w:rPr>
        <w:t xml:space="preserve">Outages in HFTDs due to contact by vegetation and/or equipment damage should trend downward in coming years, regardless of weather patterns. </w:t>
      </w:r>
      <w:r w:rsidR="0062455C">
        <w:rPr>
          <w:szCs w:val="26"/>
        </w:rPr>
        <w:t xml:space="preserve"> </w:t>
      </w:r>
      <w:r w:rsidRPr="00BE70E1">
        <w:rPr>
          <w:szCs w:val="26"/>
        </w:rPr>
        <w:t xml:space="preserve">SOMs #s 2.11 and 2.12 provide important tools for this Commission to track and hold PG&amp;E accountable for progress on this goal.  </w:t>
      </w:r>
    </w:p>
    <w:p w:rsidR="00C85A65" w:rsidP="00DB774E" w:rsidRDefault="00DB774E" w14:paraId="5E7B604A" w14:textId="61F1C648">
      <w:pPr>
        <w:spacing w:line="360" w:lineRule="auto"/>
        <w:ind w:firstLine="720"/>
      </w:pPr>
      <w:r>
        <w:t>We disagree with PG&amp;E that it should not be required to plan for or be held accountable to reducing outages caused by vegetation or equipment damage during all types of weather.  Instead, we reaffirm, as noted by MGRA, that PG&amp;E has a</w:t>
      </w:r>
      <w:r w:rsidRPr="00BE70E1">
        <w:t xml:space="preserve"> duty under </w:t>
      </w:r>
      <w:r w:rsidR="00C34F42">
        <w:t>Section</w:t>
      </w:r>
      <w:r w:rsidRPr="00BE70E1">
        <w:t xml:space="preserve"> 451 and Rule 31.1 to design, build, and </w:t>
      </w:r>
      <w:r w:rsidRPr="00BE70E1">
        <w:lastRenderedPageBreak/>
        <w:t xml:space="preserve">maintain facilities based on known local wind conditions.  </w:t>
      </w:r>
      <w:r>
        <w:t xml:space="preserve">As stated by TURN and MGRA, while weather events are important drivers, they are not determinative of outcomes.  It is </w:t>
      </w:r>
      <w:r w:rsidRPr="00BE70E1">
        <w:t xml:space="preserve">exactly under strong weather conditions that the utility’s preparedness and operational capacity have the greatest impact on public safety.  </w:t>
      </w:r>
    </w:p>
    <w:p w:rsidR="00974A00" w:rsidP="00DB774E" w:rsidRDefault="00DB774E" w14:paraId="50D25FBA" w14:textId="61F1C648">
      <w:pPr>
        <w:spacing w:line="360" w:lineRule="auto"/>
        <w:ind w:firstLine="720"/>
      </w:pPr>
      <w:r w:rsidRPr="00BE70E1">
        <w:t>We note MGRA’s recommendation regarding normalization of data as it relates to thresholds, benchmarks, or performance targets</w:t>
      </w:r>
      <w:r w:rsidR="00D91DA4">
        <w:t xml:space="preserve">.  We agree with MGRA that </w:t>
      </w:r>
      <w:r w:rsidR="00F56DB4">
        <w:t xml:space="preserve">more data and analysis </w:t>
      </w:r>
      <w:r w:rsidR="00E8556E">
        <w:t xml:space="preserve">are </w:t>
      </w:r>
      <w:r w:rsidR="00F56DB4">
        <w:t xml:space="preserve">needed to develop appropriate normalization methodologies. </w:t>
      </w:r>
      <w:r w:rsidR="00987E00">
        <w:t xml:space="preserve"> </w:t>
      </w:r>
      <w:r w:rsidR="00421D2C">
        <w:t>We</w:t>
      </w:r>
      <w:r w:rsidRPr="00BE70E1">
        <w:t xml:space="preserve"> </w:t>
      </w:r>
      <w:r w:rsidR="00677D94">
        <w:t>encourage</w:t>
      </w:r>
      <w:r w:rsidRPr="00BE70E1" w:rsidDel="00677D94">
        <w:t xml:space="preserve"> </w:t>
      </w:r>
      <w:r w:rsidRPr="00BE70E1">
        <w:t xml:space="preserve">Staff to further explore this topic as resources permit </w:t>
      </w:r>
      <w:r w:rsidR="004B2804">
        <w:t xml:space="preserve">and invite parties to provide Staff with normalization methodologies that may be feasible for this purpose as they become available. </w:t>
      </w:r>
      <w:r w:rsidR="005D6CA5">
        <w:t xml:space="preserve"> </w:t>
      </w:r>
    </w:p>
    <w:p w:rsidRPr="00BE70E1" w:rsidR="00DB774E" w:rsidP="00DB774E" w:rsidRDefault="005D6CA5" w14:paraId="1E4FC7D6" w14:textId="0FDCFD26">
      <w:pPr>
        <w:spacing w:line="360" w:lineRule="auto"/>
        <w:ind w:firstLine="720"/>
      </w:pPr>
      <w:r>
        <w:t xml:space="preserve">In addition, we clarify that </w:t>
      </w:r>
      <w:r w:rsidRPr="00847A52" w:rsidR="00FD18B9">
        <w:t>regard</w:t>
      </w:r>
      <w:r w:rsidR="006D3A14">
        <w:t>ing</w:t>
      </w:r>
      <w:r w:rsidRPr="00847A52" w:rsidR="00FD18B9">
        <w:t xml:space="preserve"> the required one and five-year targets for SOMs adopted in Section 10.4.4 (presented in Section 10.4.2), </w:t>
      </w:r>
      <w:r w:rsidR="00FD18B9">
        <w:t xml:space="preserve">PG&amp;E </w:t>
      </w:r>
      <w:r>
        <w:t xml:space="preserve">may </w:t>
      </w:r>
      <w:r w:rsidRPr="00C32A64">
        <w:t>propose directional targets (</w:t>
      </w:r>
      <w:r w:rsidRPr="00E36693">
        <w:rPr>
          <w:i/>
          <w:iCs/>
        </w:rPr>
        <w:t>i.e</w:t>
      </w:r>
      <w:r w:rsidRPr="00C32A64">
        <w:t xml:space="preserve">. that do not consist of numerical values) </w:t>
      </w:r>
      <w:r w:rsidRPr="00330744" w:rsidR="00903FFD">
        <w:t>that consider</w:t>
      </w:r>
      <w:r w:rsidR="00903FFD">
        <w:t xml:space="preserve"> exogenous factors such as ext</w:t>
      </w:r>
      <w:r w:rsidRPr="00330744" w:rsidR="00903FFD">
        <w:t xml:space="preserve">reme weather events </w:t>
      </w:r>
      <w:r>
        <w:t xml:space="preserve">for Staff’s proposed SOM #2.11 </w:t>
      </w:r>
      <w:r w:rsidRPr="00C32A64">
        <w:t>System Average Outages due to Vegetation and Equipment Damage in HFTD Areas (Major Event Days)</w:t>
      </w:r>
      <w:r>
        <w:t xml:space="preserve"> (SOM # 2.3 as adopted</w:t>
      </w:r>
      <w:r w:rsidR="00A426A4">
        <w:t xml:space="preserve"> here</w:t>
      </w:r>
      <w:r>
        <w:t>).</w:t>
      </w:r>
      <w:r w:rsidR="001D5BF4">
        <w:t xml:space="preserve">  </w:t>
      </w:r>
      <w:r w:rsidRPr="001D5BF4" w:rsidR="001D5BF4">
        <w:t>M</w:t>
      </w:r>
      <w:r w:rsidR="001D5BF4">
        <w:t xml:space="preserve">EDs </w:t>
      </w:r>
      <w:r w:rsidR="00B73D6D">
        <w:t xml:space="preserve">are currently excluded from </w:t>
      </w:r>
      <w:r w:rsidR="009F6451">
        <w:t xml:space="preserve">many utility reporting requirements.  </w:t>
      </w:r>
      <w:r w:rsidRPr="001D5BF4" w:rsidR="001D5BF4">
        <w:t>This makes it challenging to specify a number or rate of wire down incidents that could be seen as acceptable at present, (</w:t>
      </w:r>
      <w:r w:rsidRPr="00041CE2" w:rsidR="001D5BF4">
        <w:rPr>
          <w:i/>
          <w:iCs/>
        </w:rPr>
        <w:t>i.e</w:t>
      </w:r>
      <w:r w:rsidRPr="001D5BF4" w:rsidR="001D5BF4">
        <w:t>., that could comprise the basis of numerical targets).  However, we believe that PG&amp;E equipment must show greater resiliency to M</w:t>
      </w:r>
      <w:r w:rsidR="001D5BF4">
        <w:t xml:space="preserve">EDs </w:t>
      </w:r>
      <w:r w:rsidRPr="001D5BF4" w:rsidR="001D5BF4">
        <w:t>over the longer-term, even if there is some volatility year-to-year due to the uncertain nature and severity of these types of events.  Authorizing PG&amp;E to propose directional targets for th</w:t>
      </w:r>
      <w:r w:rsidR="00F17486">
        <w:t xml:space="preserve">is </w:t>
      </w:r>
      <w:r w:rsidRPr="001D5BF4" w:rsidR="001D5BF4">
        <w:t>SOM</w:t>
      </w:r>
      <w:r w:rsidR="00F17486">
        <w:t xml:space="preserve"> </w:t>
      </w:r>
      <w:r w:rsidRPr="001D5BF4" w:rsidR="001D5BF4">
        <w:t>strikes a reasonable balance between this aim and current data constraints.</w:t>
      </w:r>
    </w:p>
    <w:p w:rsidRPr="00BE70E1" w:rsidR="00DB774E" w:rsidP="00DB774E" w:rsidRDefault="00DB774E" w14:paraId="75B22F89" w14:textId="0082CC5F">
      <w:pPr>
        <w:spacing w:line="360" w:lineRule="auto"/>
        <w:ind w:firstLine="720"/>
        <w:rPr>
          <w:szCs w:val="26"/>
        </w:rPr>
      </w:pPr>
      <w:r w:rsidRPr="00BE70E1">
        <w:rPr>
          <w:szCs w:val="26"/>
        </w:rPr>
        <w:lastRenderedPageBreak/>
        <w:t xml:space="preserve">SOMs #2.11 and 2.12 appear not to track vegetation contact or equipment damage on de-energized lines during PSPS events because events of this nature could not cause an outage on an already de-energized line.  </w:t>
      </w:r>
      <w:r w:rsidR="00D91DA4">
        <w:rPr>
          <w:szCs w:val="26"/>
        </w:rPr>
        <w:t>However, a</w:t>
      </w:r>
      <w:r w:rsidRPr="00BE70E1">
        <w:rPr>
          <w:szCs w:val="26"/>
        </w:rPr>
        <w:t>ssessments of equipment damage or vegetation contact occurring during a PSPS event that would likely have caused an ignition had the line been energized may provide important information on IOU wildfire preparations.</w:t>
      </w:r>
      <w:r w:rsidRPr="00BE70E1">
        <w:rPr>
          <w:szCs w:val="26"/>
          <w:vertAlign w:val="superscript"/>
        </w:rPr>
        <w:footnoteReference w:id="137"/>
      </w:r>
      <w:r w:rsidRPr="00BE70E1">
        <w:rPr>
          <w:szCs w:val="26"/>
        </w:rPr>
        <w:t xml:space="preserve">  We encourage Staff to consider this topic while reviewing PG&amp;E’s SOMs performance and perhaps when considering any future modifications to our adopted SPMs. </w:t>
      </w:r>
    </w:p>
    <w:p w:rsidRPr="00DB774E" w:rsidR="00802EE1" w:rsidP="00DB774E" w:rsidRDefault="00DB774E" w14:paraId="15B7124C" w14:textId="0802B646">
      <w:pPr>
        <w:spacing w:line="360" w:lineRule="auto"/>
        <w:ind w:firstLine="720"/>
        <w:rPr>
          <w:szCs w:val="26"/>
        </w:rPr>
      </w:pPr>
      <w:r w:rsidRPr="00BE70E1">
        <w:rPr>
          <w:szCs w:val="26"/>
        </w:rPr>
        <w:t>PG&amp;E’s assertion that SOMs restricted to Tier 2 and Tier 3 HFTD are “improper” is specious and ill</w:t>
      </w:r>
      <w:r w:rsidR="004848CA">
        <w:rPr>
          <w:szCs w:val="26"/>
        </w:rPr>
        <w:t>-</w:t>
      </w:r>
      <w:r w:rsidRPr="00BE70E1">
        <w:rPr>
          <w:szCs w:val="26"/>
        </w:rPr>
        <w:t>advised.  This is particularly true given that Tier 2 and Tier 3 HFTDs comprise over 50 percent of PG&amp;E’s service territory and represent the customers most vulnerable to extreme wildfire risk</w:t>
      </w:r>
      <w:r w:rsidR="00152EDB">
        <w:rPr>
          <w:szCs w:val="26"/>
        </w:rPr>
        <w:t>.</w:t>
      </w:r>
    </w:p>
    <w:p w:rsidR="00E54488" w:rsidP="00651791" w:rsidRDefault="00651791" w14:paraId="21524C65" w14:textId="3DC1194A">
      <w:pPr>
        <w:pStyle w:val="Heading3"/>
      </w:pPr>
      <w:bookmarkStart w:name="_Toc80890898" w:id="131"/>
      <w:bookmarkStart w:name="_Toc87361199" w:id="132"/>
      <w:r>
        <w:t>10.5.3</w:t>
      </w:r>
      <w:r>
        <w:tab/>
      </w:r>
      <w:r w:rsidR="00E54488">
        <w:t>Electricity</w:t>
      </w:r>
      <w:r w:rsidR="009E2C75">
        <w:t xml:space="preserve"> </w:t>
      </w:r>
      <w:r w:rsidR="00E54488">
        <w:t>Related SOMs</w:t>
      </w:r>
      <w:r w:rsidR="00725C10">
        <w:t xml:space="preserve"> (#s 3.1 – 3.15)</w:t>
      </w:r>
      <w:bookmarkEnd w:id="131"/>
      <w:bookmarkEnd w:id="132"/>
    </w:p>
    <w:p w:rsidRPr="00173897" w:rsidR="00BE2F23" w:rsidP="00173897" w:rsidRDefault="00651791" w14:paraId="6964E64F" w14:textId="028C5513">
      <w:pPr>
        <w:pStyle w:val="Standard"/>
      </w:pPr>
      <w:r>
        <w:t xml:space="preserve">Staff proposed </w:t>
      </w:r>
      <w:r w:rsidR="00344C95">
        <w:t>15</w:t>
      </w:r>
      <w:r>
        <w:t xml:space="preserve"> electricity</w:t>
      </w:r>
      <w:r w:rsidR="009E2C75">
        <w:t xml:space="preserve"> </w:t>
      </w:r>
      <w:r>
        <w:t>related SOMs</w:t>
      </w:r>
      <w:r w:rsidR="00ED04D1">
        <w:t xml:space="preserve">, </w:t>
      </w:r>
      <w:r w:rsidR="00344C95">
        <w:t>includ</w:t>
      </w:r>
      <w:r w:rsidR="00ED04D1">
        <w:t>ing</w:t>
      </w:r>
      <w:r w:rsidR="00344C95">
        <w:t xml:space="preserve"> three SOMs related to wires down events, </w:t>
      </w:r>
      <w:r w:rsidR="000A7FEE">
        <w:t>eight</w:t>
      </w:r>
      <w:r w:rsidR="00344C95">
        <w:t xml:space="preserve"> SOMs related to patrols, inspections and compliance, and four </w:t>
      </w:r>
      <w:r w:rsidR="000A7FEE">
        <w:t xml:space="preserve">SOMs </w:t>
      </w:r>
      <w:r w:rsidR="00344C95">
        <w:t>related to ignitions and wildfire.</w:t>
      </w:r>
      <w:r w:rsidR="00ED04D1">
        <w:t xml:space="preserve">  Staff’s proposed electricity related SOMs are as follows: </w:t>
      </w:r>
    </w:p>
    <w:p w:rsidRPr="00173897" w:rsidR="006D476D" w:rsidP="00142E2E" w:rsidRDefault="00173897" w14:paraId="4AE99EF4" w14:textId="4A0E6BFD">
      <w:pPr>
        <w:pStyle w:val="Standard"/>
        <w:numPr>
          <w:ilvl w:val="0"/>
          <w:numId w:val="20"/>
        </w:numPr>
        <w:spacing w:after="120" w:line="240" w:lineRule="auto"/>
        <w:ind w:left="1080" w:right="1440"/>
        <w:rPr>
          <w:szCs w:val="26"/>
        </w:rPr>
      </w:pPr>
      <w:r w:rsidRPr="00173897">
        <w:rPr>
          <w:szCs w:val="26"/>
        </w:rPr>
        <w:t>3.1</w:t>
      </w:r>
      <w:r>
        <w:rPr>
          <w:szCs w:val="26"/>
        </w:rPr>
        <w:t xml:space="preserve"> </w:t>
      </w:r>
      <w:r w:rsidRPr="00173897">
        <w:rPr>
          <w:szCs w:val="26"/>
        </w:rPr>
        <w:t>Wires Down Major Event Days in HFTD Areas</w:t>
      </w:r>
    </w:p>
    <w:p w:rsidRPr="00173897" w:rsidR="006D476D" w:rsidP="00142E2E" w:rsidRDefault="006D476D" w14:paraId="2ED24296" w14:textId="416CD132">
      <w:pPr>
        <w:pStyle w:val="Standard"/>
        <w:numPr>
          <w:ilvl w:val="0"/>
          <w:numId w:val="20"/>
        </w:numPr>
        <w:spacing w:after="120" w:line="240" w:lineRule="auto"/>
        <w:ind w:left="1080" w:right="1440"/>
        <w:rPr>
          <w:szCs w:val="26"/>
        </w:rPr>
      </w:pPr>
      <w:r w:rsidRPr="00173897">
        <w:rPr>
          <w:szCs w:val="26"/>
        </w:rPr>
        <w:t>3.2</w:t>
      </w:r>
      <w:r w:rsidRPr="00173897" w:rsidR="00CB15AA">
        <w:rPr>
          <w:szCs w:val="26"/>
        </w:rPr>
        <w:t xml:space="preserve"> Wires Down Non-Major Event Days in HFTD Areas</w:t>
      </w:r>
    </w:p>
    <w:p w:rsidRPr="00173897" w:rsidR="006D476D" w:rsidP="00142E2E" w:rsidRDefault="006D476D" w14:paraId="445AB62E" w14:textId="792DFC05">
      <w:pPr>
        <w:pStyle w:val="Standard"/>
        <w:numPr>
          <w:ilvl w:val="0"/>
          <w:numId w:val="20"/>
        </w:numPr>
        <w:spacing w:after="120" w:line="240" w:lineRule="auto"/>
        <w:ind w:left="1080" w:right="1440"/>
        <w:rPr>
          <w:szCs w:val="26"/>
        </w:rPr>
      </w:pPr>
      <w:bookmarkStart w:name="_Hlk81385513" w:id="133"/>
      <w:r w:rsidRPr="00173897">
        <w:rPr>
          <w:szCs w:val="26"/>
        </w:rPr>
        <w:t>3.</w:t>
      </w:r>
      <w:r w:rsidR="00CA0DB7">
        <w:rPr>
          <w:szCs w:val="26"/>
        </w:rPr>
        <w:t>3</w:t>
      </w:r>
      <w:r w:rsidRPr="00173897" w:rsidR="0045174C">
        <w:rPr>
          <w:rFonts w:ascii="Times New Roman" w:hAnsi="Times New Roman"/>
          <w:szCs w:val="26"/>
        </w:rPr>
        <w:t xml:space="preserve"> </w:t>
      </w:r>
      <w:r w:rsidRPr="00173897" w:rsidR="0045174C">
        <w:rPr>
          <w:szCs w:val="26"/>
        </w:rPr>
        <w:t>Wires Down Red Flag Warning Days in HFTD Areas</w:t>
      </w:r>
    </w:p>
    <w:bookmarkEnd w:id="133"/>
    <w:p w:rsidRPr="00173897" w:rsidR="006D476D" w:rsidP="00142E2E" w:rsidRDefault="006D476D" w14:paraId="3BD77F41" w14:textId="24CBD3FE">
      <w:pPr>
        <w:pStyle w:val="Standard"/>
        <w:numPr>
          <w:ilvl w:val="0"/>
          <w:numId w:val="20"/>
        </w:numPr>
        <w:spacing w:after="120" w:line="240" w:lineRule="auto"/>
        <w:ind w:left="1080" w:right="1440"/>
        <w:rPr>
          <w:szCs w:val="26"/>
        </w:rPr>
      </w:pPr>
      <w:r w:rsidRPr="00173897">
        <w:rPr>
          <w:szCs w:val="26"/>
        </w:rPr>
        <w:t>3.4</w:t>
      </w:r>
      <w:r w:rsidRPr="00173897" w:rsidR="007823DF">
        <w:rPr>
          <w:szCs w:val="26"/>
        </w:rPr>
        <w:t xml:space="preserve"> </w:t>
      </w:r>
      <w:r w:rsidRPr="00173897" w:rsidR="007823DF">
        <w:rPr>
          <w:rFonts w:eastAsia="Calibri"/>
          <w:szCs w:val="26"/>
        </w:rPr>
        <w:t xml:space="preserve">Overhead </w:t>
      </w:r>
      <w:r w:rsidRPr="005B1379" w:rsidR="007823DF">
        <w:rPr>
          <w:szCs w:val="26"/>
        </w:rPr>
        <w:t>Distribution</w:t>
      </w:r>
      <w:r w:rsidRPr="00173897" w:rsidR="007823DF">
        <w:rPr>
          <w:rFonts w:eastAsia="Calibri"/>
          <w:szCs w:val="26"/>
        </w:rPr>
        <w:t xml:space="preserve"> </w:t>
      </w:r>
      <w:r w:rsidRPr="00173897" w:rsidR="007823DF">
        <w:rPr>
          <w:szCs w:val="26"/>
        </w:rPr>
        <w:t>Patrols Compliance in HFTD Areas</w:t>
      </w:r>
    </w:p>
    <w:p w:rsidRPr="00173897" w:rsidR="006D476D" w:rsidP="00142E2E" w:rsidRDefault="006D476D" w14:paraId="5BD7DD29" w14:textId="62F316C8">
      <w:pPr>
        <w:pStyle w:val="Standard"/>
        <w:numPr>
          <w:ilvl w:val="0"/>
          <w:numId w:val="20"/>
        </w:numPr>
        <w:spacing w:after="120" w:line="240" w:lineRule="auto"/>
        <w:ind w:left="1080" w:right="1440"/>
        <w:rPr>
          <w:szCs w:val="26"/>
        </w:rPr>
      </w:pPr>
      <w:r w:rsidRPr="00173897">
        <w:rPr>
          <w:szCs w:val="26"/>
        </w:rPr>
        <w:t>3.5</w:t>
      </w:r>
      <w:r w:rsidRPr="00173897" w:rsidR="002F6F76">
        <w:rPr>
          <w:szCs w:val="26"/>
        </w:rPr>
        <w:t xml:space="preserve"> Overhead Distribution Detailed Inspections Compliance in HFTD</w:t>
      </w:r>
      <w:r w:rsidRPr="00173897" w:rsidR="002F6F76">
        <w:rPr>
          <w:rFonts w:eastAsia="Calibri"/>
          <w:szCs w:val="26"/>
        </w:rPr>
        <w:t xml:space="preserve"> Areas</w:t>
      </w:r>
    </w:p>
    <w:p w:rsidRPr="00173897" w:rsidR="006D476D" w:rsidP="00142E2E" w:rsidRDefault="006D476D" w14:paraId="681C35CB" w14:textId="6DB029D9">
      <w:pPr>
        <w:pStyle w:val="Standard"/>
        <w:numPr>
          <w:ilvl w:val="0"/>
          <w:numId w:val="20"/>
        </w:numPr>
        <w:spacing w:after="120" w:line="240" w:lineRule="auto"/>
        <w:ind w:left="1080" w:right="1440"/>
        <w:rPr>
          <w:szCs w:val="26"/>
        </w:rPr>
      </w:pPr>
      <w:r w:rsidRPr="00173897">
        <w:rPr>
          <w:szCs w:val="26"/>
        </w:rPr>
        <w:lastRenderedPageBreak/>
        <w:t>3.6</w:t>
      </w:r>
      <w:r w:rsidRPr="00173897" w:rsidR="00095E3C">
        <w:rPr>
          <w:szCs w:val="26"/>
        </w:rPr>
        <w:t xml:space="preserve"> Overhead Transmission Patrols Compliance in HFTD Areas</w:t>
      </w:r>
    </w:p>
    <w:p w:rsidRPr="00173897" w:rsidR="006D476D" w:rsidP="00142E2E" w:rsidRDefault="006D476D" w14:paraId="69723EF1" w14:textId="21797037">
      <w:pPr>
        <w:pStyle w:val="Standard"/>
        <w:numPr>
          <w:ilvl w:val="0"/>
          <w:numId w:val="20"/>
        </w:numPr>
        <w:spacing w:after="120" w:line="240" w:lineRule="auto"/>
        <w:ind w:left="1080" w:right="1440"/>
        <w:rPr>
          <w:szCs w:val="26"/>
        </w:rPr>
      </w:pPr>
      <w:r w:rsidRPr="00173897">
        <w:rPr>
          <w:szCs w:val="26"/>
        </w:rPr>
        <w:t>3.7</w:t>
      </w:r>
      <w:r w:rsidRPr="00173897" w:rsidR="00A0383C">
        <w:rPr>
          <w:szCs w:val="26"/>
        </w:rPr>
        <w:t xml:space="preserve"> Overhead Transmission Detailed Inspections Compliance in HFTD</w:t>
      </w:r>
      <w:r w:rsidRPr="00173897" w:rsidR="00A0383C">
        <w:rPr>
          <w:rFonts w:eastAsia="Calibri"/>
          <w:szCs w:val="26"/>
        </w:rPr>
        <w:t xml:space="preserve"> Areas</w:t>
      </w:r>
    </w:p>
    <w:p w:rsidRPr="00173897" w:rsidR="006D476D" w:rsidP="00142E2E" w:rsidRDefault="006D476D" w14:paraId="68FDA546" w14:textId="630AF835">
      <w:pPr>
        <w:pStyle w:val="Standard"/>
        <w:numPr>
          <w:ilvl w:val="0"/>
          <w:numId w:val="20"/>
        </w:numPr>
        <w:spacing w:after="120" w:line="240" w:lineRule="auto"/>
        <w:ind w:left="1080" w:right="1440"/>
        <w:rPr>
          <w:szCs w:val="26"/>
        </w:rPr>
      </w:pPr>
      <w:r w:rsidRPr="00173897">
        <w:rPr>
          <w:szCs w:val="26"/>
        </w:rPr>
        <w:t>3.8</w:t>
      </w:r>
      <w:r w:rsidRPr="00173897" w:rsidR="002C531C">
        <w:rPr>
          <w:szCs w:val="26"/>
        </w:rPr>
        <w:t xml:space="preserve"> Distribution Vegetation/Conductor Clearance Inspections in HFTD Areas</w:t>
      </w:r>
    </w:p>
    <w:p w:rsidRPr="00173897" w:rsidR="006D476D" w:rsidP="00142E2E" w:rsidRDefault="006D476D" w14:paraId="64279A1C" w14:textId="418DAA26">
      <w:pPr>
        <w:pStyle w:val="Standard"/>
        <w:numPr>
          <w:ilvl w:val="0"/>
          <w:numId w:val="20"/>
        </w:numPr>
        <w:spacing w:after="120" w:line="240" w:lineRule="auto"/>
        <w:ind w:left="1080" w:right="1440"/>
        <w:rPr>
          <w:szCs w:val="26"/>
        </w:rPr>
      </w:pPr>
      <w:r w:rsidRPr="00173897">
        <w:rPr>
          <w:szCs w:val="26"/>
        </w:rPr>
        <w:t>3.9</w:t>
      </w:r>
      <w:r w:rsidRPr="00173897" w:rsidR="003F4975">
        <w:rPr>
          <w:szCs w:val="26"/>
        </w:rPr>
        <w:t xml:space="preserve"> Transmission Vegetation/Conductor Clearance Inspections in HFTD Areas</w:t>
      </w:r>
    </w:p>
    <w:p w:rsidRPr="00173897" w:rsidR="006D476D" w:rsidP="00142E2E" w:rsidRDefault="006D476D" w14:paraId="25018B67" w14:textId="41921BC8">
      <w:pPr>
        <w:pStyle w:val="Standard"/>
        <w:numPr>
          <w:ilvl w:val="0"/>
          <w:numId w:val="20"/>
        </w:numPr>
        <w:spacing w:after="120" w:line="240" w:lineRule="auto"/>
        <w:ind w:left="1080" w:right="1440"/>
        <w:rPr>
          <w:szCs w:val="26"/>
        </w:rPr>
      </w:pPr>
      <w:r w:rsidRPr="00173897">
        <w:rPr>
          <w:szCs w:val="26"/>
        </w:rPr>
        <w:t>3.10</w:t>
      </w:r>
      <w:r w:rsidRPr="00173897" w:rsidR="009F2D65">
        <w:rPr>
          <w:szCs w:val="26"/>
        </w:rPr>
        <w:t xml:space="preserve"> Backlog Compliance Metrics in HFTD</w:t>
      </w:r>
    </w:p>
    <w:p w:rsidRPr="00173897" w:rsidR="006D476D" w:rsidP="00142E2E" w:rsidRDefault="006D476D" w14:paraId="5BA5E9F5" w14:textId="4D53CA6B">
      <w:pPr>
        <w:pStyle w:val="Standard"/>
        <w:numPr>
          <w:ilvl w:val="0"/>
          <w:numId w:val="20"/>
        </w:numPr>
        <w:spacing w:after="120" w:line="240" w:lineRule="auto"/>
        <w:ind w:left="1080" w:right="1440"/>
        <w:rPr>
          <w:szCs w:val="26"/>
        </w:rPr>
      </w:pPr>
      <w:r w:rsidRPr="00173897">
        <w:rPr>
          <w:szCs w:val="26"/>
        </w:rPr>
        <w:t>3.</w:t>
      </w:r>
      <w:r w:rsidRPr="00173897" w:rsidR="00130F7E">
        <w:rPr>
          <w:szCs w:val="26"/>
        </w:rPr>
        <w:t>11 Electric Emergency Response Time</w:t>
      </w:r>
    </w:p>
    <w:p w:rsidRPr="00173897" w:rsidR="00130F7E" w:rsidP="00142E2E" w:rsidRDefault="00130F7E" w14:paraId="7B8A51FF" w14:textId="4F29D55C">
      <w:pPr>
        <w:pStyle w:val="Standard"/>
        <w:numPr>
          <w:ilvl w:val="0"/>
          <w:numId w:val="20"/>
        </w:numPr>
        <w:spacing w:after="120" w:line="240" w:lineRule="auto"/>
        <w:ind w:left="1080" w:right="1440"/>
        <w:rPr>
          <w:szCs w:val="26"/>
        </w:rPr>
      </w:pPr>
      <w:r w:rsidRPr="00173897">
        <w:rPr>
          <w:szCs w:val="26"/>
        </w:rPr>
        <w:t>3.12</w:t>
      </w:r>
      <w:r w:rsidRPr="00173897" w:rsidR="00D104B8">
        <w:rPr>
          <w:szCs w:val="26"/>
        </w:rPr>
        <w:t xml:space="preserve"> Number of CPUC-Reportable Ignitions in HFTD Areas (Distribution)</w:t>
      </w:r>
    </w:p>
    <w:p w:rsidRPr="00173897" w:rsidR="00130F7E" w:rsidP="00142E2E" w:rsidRDefault="003D67AE" w14:paraId="67A5D9A7" w14:textId="00E81892">
      <w:pPr>
        <w:pStyle w:val="Standard"/>
        <w:numPr>
          <w:ilvl w:val="0"/>
          <w:numId w:val="20"/>
        </w:numPr>
        <w:spacing w:after="120" w:line="240" w:lineRule="auto"/>
        <w:ind w:left="1080" w:right="1440"/>
        <w:rPr>
          <w:szCs w:val="26"/>
        </w:rPr>
      </w:pPr>
      <w:r w:rsidRPr="00173897">
        <w:rPr>
          <w:szCs w:val="26"/>
        </w:rPr>
        <w:t>3.13 Percentage of CPUC-Reportable Ignitions in HFTD (Distribution)</w:t>
      </w:r>
    </w:p>
    <w:p w:rsidRPr="00173897" w:rsidR="0018066E" w:rsidP="00142E2E" w:rsidRDefault="0018066E" w14:paraId="12C5F7C2" w14:textId="444016A2">
      <w:pPr>
        <w:pStyle w:val="Standard"/>
        <w:numPr>
          <w:ilvl w:val="0"/>
          <w:numId w:val="20"/>
        </w:numPr>
        <w:spacing w:after="120" w:line="240" w:lineRule="auto"/>
        <w:ind w:left="1080" w:right="1440"/>
        <w:rPr>
          <w:szCs w:val="26"/>
        </w:rPr>
      </w:pPr>
      <w:r w:rsidRPr="00173897">
        <w:rPr>
          <w:szCs w:val="26"/>
        </w:rPr>
        <w:t>3.14 Number of CPUC-Reportable Ignitions in HFTD (Transmission)</w:t>
      </w:r>
    </w:p>
    <w:p w:rsidRPr="005B1379" w:rsidR="00173897" w:rsidP="00142E2E" w:rsidRDefault="00173897" w14:paraId="35FABC1B" w14:textId="2BF64F18">
      <w:pPr>
        <w:pStyle w:val="Standard"/>
        <w:numPr>
          <w:ilvl w:val="0"/>
          <w:numId w:val="20"/>
        </w:numPr>
        <w:spacing w:after="120" w:line="240" w:lineRule="auto"/>
        <w:ind w:left="1080" w:right="1440"/>
        <w:rPr>
          <w:szCs w:val="26"/>
        </w:rPr>
      </w:pPr>
      <w:r w:rsidRPr="00173897">
        <w:rPr>
          <w:szCs w:val="26"/>
        </w:rPr>
        <w:t>3.15 Percentage of CPUC-Reportable Ignitions in HFTD (Transmission)</w:t>
      </w:r>
    </w:p>
    <w:p w:rsidRPr="00091D4E" w:rsidR="006C0E37" w:rsidP="005B1379" w:rsidRDefault="006C0E37" w14:paraId="1E9B5FF9" w14:textId="46C57461">
      <w:pPr>
        <w:pStyle w:val="Heading4"/>
        <w:spacing w:before="240"/>
      </w:pPr>
      <w:bookmarkStart w:name="_Toc80890899" w:id="134"/>
      <w:bookmarkStart w:name="_Toc87361200" w:id="135"/>
      <w:r>
        <w:t>10.5.3.1</w:t>
      </w:r>
      <w:r>
        <w:tab/>
        <w:t>SOMs Related to Wires Down Events</w:t>
      </w:r>
      <w:r w:rsidR="00F21904">
        <w:t xml:space="preserve"> (#s 3.1 – 3.3)</w:t>
      </w:r>
      <w:bookmarkEnd w:id="134"/>
      <w:bookmarkEnd w:id="135"/>
      <w:r w:rsidR="00F21904">
        <w:t xml:space="preserve"> </w:t>
      </w:r>
    </w:p>
    <w:p w:rsidR="009A4562" w:rsidP="00D940DD" w:rsidRDefault="000A7FEE" w14:paraId="5C4A678C" w14:textId="5AA32DA2">
      <w:pPr>
        <w:pStyle w:val="Heading5"/>
      </w:pPr>
      <w:bookmarkStart w:name="_Toc80890900" w:id="136"/>
      <w:bookmarkStart w:name="_Toc87361201" w:id="137"/>
      <w:r>
        <w:t>10.5.3.1</w:t>
      </w:r>
      <w:r w:rsidR="00D940DD">
        <w:t>.1</w:t>
      </w:r>
      <w:r w:rsidR="00D940DD">
        <w:tab/>
      </w:r>
      <w:r w:rsidR="00F21904">
        <w:t>Staff Proposal</w:t>
      </w:r>
      <w:bookmarkEnd w:id="136"/>
      <w:bookmarkEnd w:id="137"/>
    </w:p>
    <w:p w:rsidR="0079233C" w:rsidP="00F67656" w:rsidRDefault="00BD2AA1" w14:paraId="0AD9ABCB" w14:textId="2D1FD469">
      <w:pPr>
        <w:pStyle w:val="Standard"/>
      </w:pPr>
      <w:r w:rsidRPr="00BD2AA1">
        <w:t xml:space="preserve">Staff’s proposed SOMs #s </w:t>
      </w:r>
      <w:r w:rsidR="004D47F6">
        <w:t xml:space="preserve">3.1- 3.3 </w:t>
      </w:r>
      <w:r w:rsidRPr="00BD2AA1">
        <w:t xml:space="preserve">address </w:t>
      </w:r>
      <w:r w:rsidR="004D47F6">
        <w:t>wires down</w:t>
      </w:r>
      <w:r w:rsidR="00066446">
        <w:t xml:space="preserve"> events</w:t>
      </w:r>
      <w:r w:rsidR="004D47F6">
        <w:t xml:space="preserve"> in Tier 2 and Tier 3 HFTDs</w:t>
      </w:r>
      <w:r w:rsidR="006C189B">
        <w:t>, with SOM</w:t>
      </w:r>
      <w:r w:rsidR="00390E93">
        <w:t xml:space="preserve"> #</w:t>
      </w:r>
      <w:r w:rsidR="006E3430">
        <w:t xml:space="preserve">3.1 based only on </w:t>
      </w:r>
      <w:r w:rsidR="000A3DF8">
        <w:t>MEDs</w:t>
      </w:r>
      <w:r w:rsidR="006E3430">
        <w:t>, SOM #3.2 excluding MEDs,</w:t>
      </w:r>
      <w:r w:rsidR="006A2DC7">
        <w:t xml:space="preserve"> an</w:t>
      </w:r>
      <w:r w:rsidR="004D47F6">
        <w:t xml:space="preserve">d </w:t>
      </w:r>
      <w:r w:rsidR="006E3430">
        <w:t xml:space="preserve">SOM #3.3 based only </w:t>
      </w:r>
      <w:r w:rsidR="004D47F6">
        <w:t>on red flag warning days.</w:t>
      </w:r>
      <w:r w:rsidR="009F767C">
        <w:rPr>
          <w:rStyle w:val="FootnoteReference"/>
        </w:rPr>
        <w:footnoteReference w:id="138"/>
      </w:r>
      <w:r w:rsidR="009F767C">
        <w:t xml:space="preserve">  </w:t>
      </w:r>
      <w:r w:rsidRPr="69708557" w:rsidR="00EB0D9C">
        <w:t xml:space="preserve">As proposed by </w:t>
      </w:r>
      <w:r w:rsidRPr="69708557" w:rsidR="00BD33B1">
        <w:t>Staff</w:t>
      </w:r>
      <w:r w:rsidRPr="69708557" w:rsidR="00EB0D9C">
        <w:t xml:space="preserve">, metrics </w:t>
      </w:r>
      <w:r w:rsidR="00205075">
        <w:t xml:space="preserve">#s </w:t>
      </w:r>
      <w:r w:rsidRPr="69708557" w:rsidR="0028186C">
        <w:t xml:space="preserve">3.1 – 3.3 would </w:t>
      </w:r>
      <w:r w:rsidRPr="69708557" w:rsidR="009F767C">
        <w:t xml:space="preserve">track all </w:t>
      </w:r>
      <w:r w:rsidRPr="69708557" w:rsidR="0028186C">
        <w:t xml:space="preserve">risk </w:t>
      </w:r>
      <w:r w:rsidRPr="69708557" w:rsidR="009F767C">
        <w:t>events involving transmission or primary distribution conductors that contact the ground or a foreign object, such as</w:t>
      </w:r>
      <w:r w:rsidR="00EC239E">
        <w:t xml:space="preserve"> a</w:t>
      </w:r>
      <w:r w:rsidRPr="69708557" w:rsidR="009F767C">
        <w:t xml:space="preserve"> </w:t>
      </w:r>
      <w:r w:rsidRPr="69708557" w:rsidR="009F767C">
        <w:lastRenderedPageBreak/>
        <w:t xml:space="preserve">structure, vehicle, </w:t>
      </w:r>
      <w:r w:rsidR="00EC239E">
        <w:t xml:space="preserve">or </w:t>
      </w:r>
      <w:r w:rsidRPr="69708557" w:rsidR="009F767C">
        <w:t>tre</w:t>
      </w:r>
      <w:r w:rsidRPr="69708557" w:rsidR="00434D71">
        <w:t>e</w:t>
      </w:r>
      <w:r w:rsidR="00EC239E">
        <w:t xml:space="preserve">.  Staff state that </w:t>
      </w:r>
      <w:r w:rsidRPr="69708557" w:rsidR="00434D71">
        <w:t>a</w:t>
      </w:r>
      <w:r w:rsidRPr="69708557" w:rsidR="009F767C">
        <w:t xml:space="preserve">nalyzing trend data </w:t>
      </w:r>
      <w:r w:rsidR="00EC239E">
        <w:t xml:space="preserve">in these areas </w:t>
      </w:r>
      <w:r w:rsidRPr="69708557" w:rsidR="009F767C">
        <w:t>may</w:t>
      </w:r>
      <w:r w:rsidR="00EC239E">
        <w:t xml:space="preserve"> help identify </w:t>
      </w:r>
      <w:r w:rsidRPr="69708557" w:rsidR="009F767C">
        <w:t>problem spots</w:t>
      </w:r>
      <w:r w:rsidRPr="69708557" w:rsidR="001B103A">
        <w:t xml:space="preserve"> and serve </w:t>
      </w:r>
      <w:r w:rsidRPr="69708557" w:rsidR="009F767C">
        <w:t xml:space="preserve">as a leading indicator to predict future potential failures.  </w:t>
      </w:r>
      <w:r w:rsidRPr="69708557" w:rsidR="00455236">
        <w:t xml:space="preserve">Staff state that </w:t>
      </w:r>
      <w:r w:rsidRPr="69708557" w:rsidR="0024243F">
        <w:t xml:space="preserve">tracking wires </w:t>
      </w:r>
      <w:r w:rsidRPr="69708557" w:rsidR="00F67656">
        <w:t xml:space="preserve">down </w:t>
      </w:r>
      <w:r w:rsidRPr="69708557" w:rsidR="0024243F">
        <w:t xml:space="preserve">by distribution and transmission systems and their segments </w:t>
      </w:r>
      <w:r w:rsidRPr="69708557" w:rsidR="0028186C">
        <w:t xml:space="preserve">will help the </w:t>
      </w:r>
      <w:r w:rsidRPr="69708557" w:rsidR="0024243F">
        <w:t>Commission determine whether utility operations and capital investments are resulting in safety improvements</w:t>
      </w:r>
      <w:r w:rsidR="0057634A">
        <w:rPr>
          <w:iCs/>
        </w:rPr>
        <w:t>,</w:t>
      </w:r>
      <w:r w:rsidRPr="69708557" w:rsidR="0024243F">
        <w:t xml:space="preserve"> as promised in </w:t>
      </w:r>
      <w:r w:rsidRPr="69708557" w:rsidR="0057634A">
        <w:t xml:space="preserve">annual WMPs, </w:t>
      </w:r>
      <w:r w:rsidRPr="69708557" w:rsidR="00455236">
        <w:t xml:space="preserve">including success at </w:t>
      </w:r>
      <w:r w:rsidRPr="69708557" w:rsidR="0024243F">
        <w:t xml:space="preserve">system hardening.  </w:t>
      </w:r>
      <w:r w:rsidRPr="69708557" w:rsidR="006E3430">
        <w:t xml:space="preserve">Staff state that PG&amp;E should reduce wires down risk events in these circumstances and as such </w:t>
      </w:r>
      <w:r w:rsidRPr="69708557" w:rsidR="009563C6">
        <w:t>SOMs #</w:t>
      </w:r>
      <w:r w:rsidR="00E9148D">
        <w:t>s</w:t>
      </w:r>
      <w:r w:rsidRPr="69708557" w:rsidR="009563C6">
        <w:t xml:space="preserve"> 3.1 – 3.3 are </w:t>
      </w:r>
      <w:r w:rsidRPr="69708557" w:rsidR="006E3430">
        <w:t xml:space="preserve">suitable for </w:t>
      </w:r>
      <w:r w:rsidRPr="69708557" w:rsidR="009563C6">
        <w:t>use with the</w:t>
      </w:r>
      <w:r w:rsidRPr="69708557" w:rsidR="006E3430">
        <w:t xml:space="preserve"> EOE Process</w:t>
      </w:r>
      <w:r w:rsidRPr="00BD33B1" w:rsidR="006E3430">
        <w:rPr>
          <w:iCs/>
        </w:rPr>
        <w:t>.</w:t>
      </w:r>
      <w:r w:rsidRPr="69708557" w:rsidR="006E3430">
        <w:rPr>
          <w:vertAlign w:val="superscript"/>
        </w:rPr>
        <w:footnoteReference w:id="139"/>
      </w:r>
      <w:r w:rsidRPr="00BD33B1" w:rsidR="006E3430">
        <w:rPr>
          <w:iCs/>
        </w:rPr>
        <w:t xml:space="preserve"> </w:t>
      </w:r>
    </w:p>
    <w:p w:rsidR="001775FC" w:rsidP="001775FC" w:rsidRDefault="001775FC" w14:paraId="428015F9" w14:textId="77777777">
      <w:pPr>
        <w:pStyle w:val="Standard"/>
      </w:pPr>
      <w:r>
        <w:t>Staff strongly recommend the Commission include MEDs in wires down SOMs, providing the following rationale:</w:t>
      </w:r>
    </w:p>
    <w:p w:rsidRPr="00775D74" w:rsidR="001775FC" w:rsidP="002D63CD" w:rsidRDefault="001775FC" w14:paraId="46D7CED1" w14:textId="513B4299">
      <w:pPr>
        <w:pStyle w:val="BlockQuote"/>
        <w:spacing w:line="240" w:lineRule="auto"/>
        <w:ind w:right="1440" w:firstLine="0"/>
      </w:pPr>
      <w:r w:rsidRPr="00775D74">
        <w:t>Since design and maintenance requirements for overhead circuits as specified in GO 95 do not reference [MEDs], there is no direct linkage between a circuit failing on a [MED] and violation of GO 95’s design and maintenance requirements.  GO 95 specifies wind loading force related minimum strength requirements for overhead conductors in GO 95 Sections</w:t>
      </w:r>
      <w:r w:rsidR="00041CE2">
        <w:t> </w:t>
      </w:r>
      <w:r w:rsidRPr="00775D74">
        <w:t xml:space="preserve">43.1 and 43.2.  These wind loading forces can be translated into minimum wind speeds that different conductor types must be able to withstand.  Coupled with local wind gust speed data, PG&amp;E could potentially determine whether a particular conductor failed below the minimum wind speed.  Nevertheless, failure in this particular conductor may not be solely due to wind loading/speeds.   </w:t>
      </w:r>
    </w:p>
    <w:p w:rsidR="00914C10" w:rsidP="002D63CD" w:rsidRDefault="001775FC" w14:paraId="0F417636" w14:textId="269C838F">
      <w:pPr>
        <w:pStyle w:val="BlockQuote"/>
        <w:spacing w:line="240" w:lineRule="auto"/>
        <w:ind w:right="1440" w:firstLine="0"/>
      </w:pPr>
      <w:r w:rsidRPr="00775D74">
        <w:t xml:space="preserve">A metric that measures failure of overhead conductors on [MEDs] gives visibility to the vulnerability of PG&amp;E’s overhead electric assets to extreme weather events.  As indicated earlier…this metric has relevance in the context of </w:t>
      </w:r>
      <w:r w:rsidRPr="00775D74">
        <w:lastRenderedPageBreak/>
        <w:t>risk-based decision making and the expectation for a utility to address safety and reliability risks, notwithstanding extreme weather events.  Although a wires down [MED] metric by itself may not necessarily point to deficiencies in PG&amp;E’s compliance with design and maintenance requirements in GO</w:t>
      </w:r>
      <w:r w:rsidRPr="00775D74" w:rsidR="002D63CD">
        <w:t> </w:t>
      </w:r>
      <w:r w:rsidRPr="00775D74">
        <w:t>95, it can serve as an indicator to help direct attention to areas that warrant closer oversight by the Commission.</w:t>
      </w:r>
      <w:r w:rsidRPr="00775D74" w:rsidR="00914C10">
        <w:rPr>
          <w:rStyle w:val="FootnoteReference"/>
        </w:rPr>
        <w:footnoteReference w:id="140"/>
      </w:r>
      <w:r>
        <w:t xml:space="preserve">  </w:t>
      </w:r>
    </w:p>
    <w:p w:rsidR="00AA4CA0" w:rsidP="00914C10" w:rsidRDefault="009563C6" w14:paraId="301043E0" w14:textId="312FBBB9">
      <w:pPr>
        <w:pStyle w:val="Standard"/>
      </w:pPr>
      <w:r>
        <w:t xml:space="preserve">Staff notes that, historically, as </w:t>
      </w:r>
      <w:r w:rsidRPr="009F767C">
        <w:t xml:space="preserve">reported by utilities, one third </w:t>
      </w:r>
      <w:r>
        <w:t>of wires down events, excluding MEDs, have been caused by wi</w:t>
      </w:r>
      <w:r w:rsidR="00240CF9">
        <w:t xml:space="preserve">th </w:t>
      </w:r>
      <w:r>
        <w:t>contact with</w:t>
      </w:r>
      <w:r w:rsidRPr="009F767C">
        <w:t xml:space="preserve"> vegetation, one third by equipment failure and one quarter by a third party.</w:t>
      </w:r>
      <w:r w:rsidR="00470DF1">
        <w:rPr>
          <w:rStyle w:val="FootnoteReference"/>
          <w:iCs/>
        </w:rPr>
        <w:footnoteReference w:id="141"/>
      </w:r>
    </w:p>
    <w:p w:rsidR="00F21904" w:rsidP="00F21904" w:rsidRDefault="00F21904" w14:paraId="1B28B693" w14:textId="7D40E608">
      <w:pPr>
        <w:pStyle w:val="Heading5"/>
      </w:pPr>
      <w:bookmarkStart w:name="_Toc80890901" w:id="138"/>
      <w:bookmarkStart w:name="_Toc87361202" w:id="139"/>
      <w:r>
        <w:t>10.5.3.1.</w:t>
      </w:r>
      <w:r w:rsidR="00365D00">
        <w:t>2</w:t>
      </w:r>
      <w:r>
        <w:tab/>
        <w:t>Party Comments</w:t>
      </w:r>
      <w:bookmarkEnd w:id="138"/>
      <w:bookmarkEnd w:id="139"/>
    </w:p>
    <w:p w:rsidRPr="00252A89" w:rsidR="0032554E" w:rsidP="00113C0F" w:rsidRDefault="0032554E" w14:paraId="7F009CFE" w14:textId="39248E5F">
      <w:pPr>
        <w:spacing w:line="360" w:lineRule="auto"/>
        <w:ind w:firstLine="720"/>
        <w:rPr>
          <w:szCs w:val="26"/>
        </w:rPr>
      </w:pPr>
      <w:r w:rsidRPr="1F071A21">
        <w:rPr>
          <w:szCs w:val="26"/>
        </w:rPr>
        <w:t xml:space="preserve">Cal Advocates supports Staff’s proposed SOMs #s 3.1 – 3.3 but recommends the Commission adopt separate SOMs for transmission and primary distribution.  </w:t>
      </w:r>
    </w:p>
    <w:p w:rsidRPr="00252A89" w:rsidR="0032554E" w:rsidP="005B1379" w:rsidRDefault="0032554E" w14:paraId="5593AE17" w14:textId="47DE79EA">
      <w:pPr>
        <w:pStyle w:val="Standard"/>
      </w:pPr>
      <w:r w:rsidRPr="00252A89">
        <w:t xml:space="preserve">PG&amp;E objects to SOMs #s 3.1 – 3.3 because they include MEDs, HFTDs, and red flag warning days and, as such, are “not attainable” and “excessively granular.”  PG&amp;E also opposes Staff’s proposed definition of wires down events, stating that the definition is confusing and includes low risk scenarios.  PG&amp;E requests </w:t>
      </w:r>
      <w:r w:rsidR="00FB1285">
        <w:t>the Commission</w:t>
      </w:r>
      <w:r w:rsidRPr="00252A89">
        <w:t xml:space="preserve"> clarify the definition of wires down event to indicate it applies to conductors or splices that become “physically” broken, not just electrically broken.  PG&amp;E states that </w:t>
      </w:r>
      <w:r w:rsidR="00FB1285">
        <w:t xml:space="preserve">the second </w:t>
      </w:r>
      <w:r w:rsidRPr="00252A89">
        <w:t>condition</w:t>
      </w:r>
      <w:r w:rsidR="00FB1285">
        <w:t xml:space="preserve"> </w:t>
      </w:r>
      <w:r w:rsidRPr="00252A89">
        <w:t>of Staff’s definition could be understood as including “an enormous number of very-low risk events that are not presently reported.  It is common for ties holding conductors to fail</w:t>
      </w:r>
      <w:r w:rsidR="00150961">
        <w:t>.</w:t>
      </w:r>
      <w:r w:rsidRPr="00252A89">
        <w:t>”</w:t>
      </w:r>
      <w:r w:rsidRPr="00252A89">
        <w:rPr>
          <w:vertAlign w:val="superscript"/>
        </w:rPr>
        <w:footnoteReference w:id="142"/>
      </w:r>
      <w:r w:rsidRPr="00252A89">
        <w:t xml:space="preserve">  PG&amp;E asserts that tracking these occurrences would impose significant additional costs and burdens for little or no benefit.  PG&amp;E also raises concerns </w:t>
      </w:r>
      <w:r w:rsidRPr="00252A89">
        <w:lastRenderedPageBreak/>
        <w:t>with regard to reporting wires down incidents caused by third parties, wh</w:t>
      </w:r>
      <w:r w:rsidR="00B842E9">
        <w:t>o</w:t>
      </w:r>
      <w:r w:rsidRPr="00252A89">
        <w:t xml:space="preserve"> are not held to GO 95 requirements</w:t>
      </w:r>
      <w:r w:rsidR="00B842E9">
        <w:t>,</w:t>
      </w:r>
      <w:r w:rsidRPr="00252A89">
        <w:t xml:space="preserve"> and requests the Commission ensure that wires down events included in a SOM cannot be triggered by third parties. </w:t>
      </w:r>
    </w:p>
    <w:p w:rsidRPr="00775D74" w:rsidR="0032554E" w:rsidP="0032554E" w:rsidRDefault="0032554E" w14:paraId="1D8A7EE6" w14:textId="568CC337">
      <w:pPr>
        <w:spacing w:line="360" w:lineRule="auto"/>
        <w:ind w:firstLine="720"/>
      </w:pPr>
      <w:r w:rsidRPr="00252A89">
        <w:t xml:space="preserve">PG&amp;E states that the Commission should reject Staff’s proposed definition of wires down event and </w:t>
      </w:r>
      <w:r w:rsidR="00035284">
        <w:t>instead adopt</w:t>
      </w:r>
      <w:r w:rsidRPr="00252A89">
        <w:t xml:space="preserve"> the definition in place since 2013 and used by the electricity industry </w:t>
      </w:r>
      <w:r w:rsidRPr="00775D74">
        <w:t>nationally</w:t>
      </w:r>
      <w:r w:rsidR="009A113B">
        <w:t xml:space="preserve"> and in WMP reporting</w:t>
      </w:r>
      <w:r w:rsidRPr="00775D74">
        <w:t>:</w:t>
      </w:r>
      <w:r w:rsidRPr="00775D74" w:rsidR="002D63CD">
        <w:t xml:space="preserve"> </w:t>
      </w:r>
      <w:r w:rsidRPr="00775D74">
        <w:t xml:space="preserve"> “[i]nstances where a normally energized electric transmission or primary distribution conductor is broken, or remains intact, and falls from its intended position to rest on the ground or a foreign object. </w:t>
      </w:r>
      <w:r w:rsidRPr="00775D74" w:rsidR="002D63CD">
        <w:t xml:space="preserve"> </w:t>
      </w:r>
      <w:r w:rsidRPr="00775D74">
        <w:t>A conductor is considered energized unless confirmed in an idle state (</w:t>
      </w:r>
      <w:r w:rsidRPr="00775D74">
        <w:rPr>
          <w:i/>
          <w:iCs/>
        </w:rPr>
        <w:t>i.e</w:t>
      </w:r>
      <w:r w:rsidRPr="00775D74">
        <w:t>., normally de-energized)—excludes Major Event Days as defined by the IEEE.”</w:t>
      </w:r>
      <w:r w:rsidRPr="00775D74">
        <w:rPr>
          <w:vertAlign w:val="superscript"/>
        </w:rPr>
        <w:footnoteReference w:id="143"/>
      </w:r>
    </w:p>
    <w:p w:rsidRPr="00775D74" w:rsidR="00F21904" w:rsidP="00F21904" w:rsidRDefault="00F21904" w14:paraId="593974D9" w14:textId="1996D39A">
      <w:pPr>
        <w:pStyle w:val="Heading5"/>
      </w:pPr>
      <w:bookmarkStart w:name="_Toc80890902" w:id="140"/>
      <w:bookmarkStart w:name="_Toc87361203" w:id="141"/>
      <w:r w:rsidRPr="00775D74">
        <w:t>10.5.3.1.</w:t>
      </w:r>
      <w:r w:rsidRPr="00775D74" w:rsidR="00365D00">
        <w:t>3</w:t>
      </w:r>
      <w:r w:rsidRPr="00775D74">
        <w:tab/>
        <w:t>Discussion</w:t>
      </w:r>
      <w:bookmarkEnd w:id="140"/>
      <w:bookmarkEnd w:id="141"/>
    </w:p>
    <w:p w:rsidR="009C3655" w:rsidP="00EC73D3" w:rsidRDefault="001850E3" w14:paraId="33D86DC0" w14:textId="580C620C">
      <w:pPr>
        <w:pStyle w:val="Standard"/>
      </w:pPr>
      <w:r w:rsidRPr="00775D74">
        <w:t>We adopt a modified version of Staff’s proposed definition of “Wires Down” event</w:t>
      </w:r>
      <w:r w:rsidRPr="00775D74" w:rsidR="00EC73D3">
        <w:t xml:space="preserve"> for application to all </w:t>
      </w:r>
      <w:r w:rsidRPr="00775D74" w:rsidR="00CA6762">
        <w:t xml:space="preserve">electricity related SOMs (#s 3.1 – </w:t>
      </w:r>
      <w:r w:rsidRPr="00775D74" w:rsidR="00160FA3">
        <w:t>3.14</w:t>
      </w:r>
      <w:r w:rsidRPr="00775D74" w:rsidR="00CA6762">
        <w:t>)</w:t>
      </w:r>
      <w:r w:rsidRPr="00775D74">
        <w:t xml:space="preserve">.  </w:t>
      </w:r>
      <w:r w:rsidRPr="00775D74" w:rsidR="00035284">
        <w:t>As suggested by PG&amp;E, w</w:t>
      </w:r>
      <w:r w:rsidRPr="00775D74" w:rsidR="001F6AD0">
        <w:t xml:space="preserve">e </w:t>
      </w:r>
      <w:r w:rsidR="007658D1">
        <w:t xml:space="preserve">modify Staff’s proposed definition to </w:t>
      </w:r>
      <w:r w:rsidRPr="00775D74" w:rsidR="001F6AD0">
        <w:t xml:space="preserve">define wires down as occurring “when a normally energized </w:t>
      </w:r>
      <w:r w:rsidRPr="00775D74" w:rsidR="00862546">
        <w:t>overhead primary or transmission conductor is broken</w:t>
      </w:r>
      <w:r w:rsidRPr="00775D74" w:rsidR="004E5D24">
        <w:t>, or remains intact</w:t>
      </w:r>
      <w:r w:rsidRPr="00775D74" w:rsidR="006E233D">
        <w:t>,</w:t>
      </w:r>
      <w:r w:rsidRPr="00775D74" w:rsidR="00862546">
        <w:t xml:space="preserve"> and falls from its intended position to rest on the ground or a foreign object</w:t>
      </w:r>
      <w:r w:rsidRPr="00775D74" w:rsidR="006E233D">
        <w:t>; a conductor is considered energized unless confirmed in an idle state (</w:t>
      </w:r>
      <w:r w:rsidRPr="00775D74" w:rsidR="006E233D">
        <w:rPr>
          <w:i/>
          <w:iCs/>
        </w:rPr>
        <w:t>i.e</w:t>
      </w:r>
      <w:r w:rsidRPr="00775D74" w:rsidR="006E233D">
        <w:t>.</w:t>
      </w:r>
      <w:r w:rsidRPr="00775D74" w:rsidR="00A57594">
        <w:t> </w:t>
      </w:r>
      <w:r w:rsidRPr="0032341B" w:rsidR="006E233D">
        <w:t>normally de-energized</w:t>
      </w:r>
      <w:r w:rsidRPr="0032341B" w:rsidR="00D103EC">
        <w:t>)</w:t>
      </w:r>
      <w:r w:rsidRPr="0032341B" w:rsidR="00420FAE">
        <w:t>,</w:t>
      </w:r>
      <w:r w:rsidRPr="0032341B" w:rsidR="0071219A">
        <w:t>”</w:t>
      </w:r>
      <w:r w:rsidRPr="0032341B" w:rsidR="00420FAE">
        <w:t xml:space="preserve"> but remove</w:t>
      </w:r>
      <w:r w:rsidRPr="0032341B" w:rsidR="00603C83">
        <w:t xml:space="preserve"> or</w:t>
      </w:r>
      <w:r w:rsidRPr="0032341B" w:rsidR="00420FAE">
        <w:t xml:space="preserve"> </w:t>
      </w:r>
      <w:r w:rsidRPr="0032341B" w:rsidR="00FE73DF">
        <w:t xml:space="preserve">include </w:t>
      </w:r>
      <w:r w:rsidRPr="0032341B" w:rsidR="00420FAE">
        <w:t>M</w:t>
      </w:r>
      <w:r w:rsidRPr="0032341B" w:rsidR="00CD475E">
        <w:t>ED</w:t>
      </w:r>
      <w:r w:rsidRPr="0032341B" w:rsidR="00420FAE">
        <w:t>s</w:t>
      </w:r>
      <w:r w:rsidRPr="0032341B" w:rsidR="00FE73DF">
        <w:t xml:space="preserve"> as appropriate depending on the SOM</w:t>
      </w:r>
      <w:r w:rsidRPr="00775D74" w:rsidR="00862546">
        <w:t>.  We find this definition to be suitable for our purposes for SOMs</w:t>
      </w:r>
      <w:r w:rsidRPr="00775D74" w:rsidR="00206DC7">
        <w:t xml:space="preserve"> # 3.1 – 3.3</w:t>
      </w:r>
      <w:r w:rsidRPr="00775D74" w:rsidR="00862546">
        <w:t xml:space="preserve"> at this time.  However, we incorporate Staff’s </w:t>
      </w:r>
      <w:r w:rsidRPr="00775D74" w:rsidR="00D05816">
        <w:t>proposed broader definition for “wires down” into a new</w:t>
      </w:r>
      <w:r w:rsidRPr="00775D74" w:rsidR="00F75E1E">
        <w:t xml:space="preserve"> </w:t>
      </w:r>
      <w:r w:rsidRPr="00775D74" w:rsidR="00D05816">
        <w:t>“</w:t>
      </w:r>
      <w:r w:rsidRPr="00775D74" w:rsidR="00F75E1E">
        <w:t>overhead conductor safety index” SPM t</w:t>
      </w:r>
      <w:r w:rsidRPr="00775D74" w:rsidR="00D05816">
        <w:t>hat we adop</w:t>
      </w:r>
      <w:r w:rsidRPr="00775D74" w:rsidR="00F75E1E">
        <w:t xml:space="preserve">t </w:t>
      </w:r>
      <w:r w:rsidRPr="00775D74" w:rsidR="00D05816">
        <w:t xml:space="preserve">later in </w:t>
      </w:r>
      <w:r w:rsidRPr="00775D74" w:rsidR="00A57594">
        <w:t>S</w:t>
      </w:r>
      <w:r w:rsidRPr="00775D74" w:rsidR="00D05816">
        <w:t xml:space="preserve">ection </w:t>
      </w:r>
      <w:r w:rsidRPr="00775D74" w:rsidR="005C7AE1">
        <w:t>11.4.2</w:t>
      </w:r>
      <w:r w:rsidRPr="00775D74" w:rsidR="00F75E1E">
        <w:t>.</w:t>
      </w:r>
      <w:r w:rsidR="001332EF">
        <w:t xml:space="preserve"> </w:t>
      </w:r>
    </w:p>
    <w:p w:rsidRPr="006047B1" w:rsidR="003463A0" w:rsidP="006047B1" w:rsidRDefault="00113C0F" w14:paraId="645C194F" w14:textId="038BCBEC">
      <w:pPr>
        <w:pStyle w:val="Standard"/>
        <w:rPr>
          <w:strike/>
        </w:rPr>
      </w:pPr>
      <w:r w:rsidRPr="00733FD5">
        <w:lastRenderedPageBreak/>
        <w:t xml:space="preserve">We </w:t>
      </w:r>
      <w:r w:rsidRPr="00733FD5" w:rsidR="009B646B">
        <w:t>agree</w:t>
      </w:r>
      <w:r w:rsidRPr="00733FD5" w:rsidR="00733FD5">
        <w:t xml:space="preserve"> w</w:t>
      </w:r>
      <w:r w:rsidRPr="00733FD5" w:rsidR="009B646B">
        <w:t>ith</w:t>
      </w:r>
      <w:r w:rsidRPr="006872FC" w:rsidR="009B646B">
        <w:t xml:space="preserve"> Cal Advocates’ recommendation to adopt distinc</w:t>
      </w:r>
      <w:r w:rsidRPr="006872FC" w:rsidR="000F4BDD">
        <w:t>t</w:t>
      </w:r>
      <w:r w:rsidRPr="006872FC" w:rsidR="009B646B">
        <w:t xml:space="preserve"> wires down SOMs for </w:t>
      </w:r>
      <w:r w:rsidRPr="006872FC" w:rsidR="000F4BDD">
        <w:t>transmission and primary distribution circuits</w:t>
      </w:r>
      <w:r w:rsidR="00274728">
        <w:t xml:space="preserve"> and make this change to the </w:t>
      </w:r>
      <w:r w:rsidR="004E6E89">
        <w:t xml:space="preserve">final </w:t>
      </w:r>
      <w:r w:rsidR="00274728">
        <w:t>adopted SOMs</w:t>
      </w:r>
      <w:r w:rsidR="00C7119E">
        <w:t xml:space="preserve"> </w:t>
      </w:r>
      <w:r w:rsidR="006D039D">
        <w:t xml:space="preserve">#s 3.1 </w:t>
      </w:r>
      <w:r w:rsidR="00C202B1">
        <w:t>–</w:t>
      </w:r>
      <w:r w:rsidR="006D039D">
        <w:t xml:space="preserve"> </w:t>
      </w:r>
      <w:r w:rsidR="00C202B1">
        <w:t>3.6</w:t>
      </w:r>
      <w:r w:rsidR="00160FA3">
        <w:t xml:space="preserve">.  </w:t>
      </w:r>
      <w:r w:rsidR="00B1796A">
        <w:t>S</w:t>
      </w:r>
      <w:r w:rsidR="00C961C1">
        <w:t>eparat</w:t>
      </w:r>
      <w:r w:rsidR="00B1796A">
        <w:t>ing</w:t>
      </w:r>
      <w:r w:rsidR="00C961C1">
        <w:t xml:space="preserve"> reporting on </w:t>
      </w:r>
      <w:r w:rsidR="0078647F">
        <w:t>transmission and primary distribution circuits</w:t>
      </w:r>
      <w:r w:rsidR="00B1796A">
        <w:t xml:space="preserve"> will help Staff </w:t>
      </w:r>
      <w:r w:rsidR="00DF49CF">
        <w:t xml:space="preserve">target problem areas in their review. </w:t>
      </w:r>
      <w:r w:rsidR="00C202B1">
        <w:t xml:space="preserve"> </w:t>
      </w:r>
      <w:r w:rsidR="000374E6">
        <w:t xml:space="preserve">We also modify Staff’s proposed definition of </w:t>
      </w:r>
      <w:r w:rsidRPr="001F1E75" w:rsidR="000374E6">
        <w:t>Wires Down Red Flag Warning Days in HFTD Areas</w:t>
      </w:r>
      <w:r w:rsidR="000374E6">
        <w:t xml:space="preserve"> (SOM #3.1 as proposed; SOMs #s 3.5 and 3.6 as adopted) </w:t>
      </w:r>
      <w:r w:rsidR="0052389E">
        <w:t xml:space="preserve">to better </w:t>
      </w:r>
      <w:r w:rsidRPr="0052389E" w:rsidR="0052389E">
        <w:t xml:space="preserve">reflect the risk exposure associated with that metric. Rather than dividing wires down during red flag warning days in HFTD by circuit miles in HFTD, </w:t>
      </w:r>
      <w:r w:rsidR="004F34D7">
        <w:t xml:space="preserve">we replace the </w:t>
      </w:r>
      <w:r w:rsidRPr="0052389E" w:rsidR="0052389E">
        <w:t xml:space="preserve">denominator </w:t>
      </w:r>
      <w:r w:rsidR="004F34D7">
        <w:t xml:space="preserve">in both instances </w:t>
      </w:r>
      <w:r w:rsidRPr="0052389E" w:rsidR="0052389E">
        <w:t>with “Red Flag Warning Circuit Miles days</w:t>
      </w:r>
      <w:r w:rsidR="004F34D7">
        <w:t>.</w:t>
      </w:r>
      <w:r w:rsidRPr="0052389E" w:rsidR="0052389E">
        <w:t xml:space="preserve">” </w:t>
      </w:r>
      <w:r w:rsidR="00486CD5">
        <w:t xml:space="preserve"> </w:t>
      </w:r>
      <w:r w:rsidR="004F34D7">
        <w:t xml:space="preserve">This </w:t>
      </w:r>
      <w:r w:rsidRPr="0052389E" w:rsidR="0052389E">
        <w:t>refine</w:t>
      </w:r>
      <w:r w:rsidR="004F34D7">
        <w:t xml:space="preserve">ment </w:t>
      </w:r>
      <w:r w:rsidR="00B62EB2">
        <w:t>makes this metric s</w:t>
      </w:r>
      <w:r w:rsidRPr="0052389E" w:rsidR="0052389E">
        <w:t>ubstantially similar to the definition for</w:t>
      </w:r>
      <w:r w:rsidR="00B62EB2">
        <w:t xml:space="preserve"> a similar metric in </w:t>
      </w:r>
      <w:r w:rsidR="001D2BB1">
        <w:t xml:space="preserve">the OEIS </w:t>
      </w:r>
      <w:r w:rsidR="00C54AA3">
        <w:t xml:space="preserve">WMP </w:t>
      </w:r>
      <w:r w:rsidR="001D2BB1">
        <w:t>Gui</w:t>
      </w:r>
      <w:r w:rsidRPr="0052389E" w:rsidR="0052389E">
        <w:t>delines</w:t>
      </w:r>
      <w:r w:rsidR="001D2BB1">
        <w:t>.</w:t>
      </w:r>
      <w:r w:rsidR="001D2BB1">
        <w:rPr>
          <w:rStyle w:val="FootnoteReference"/>
        </w:rPr>
        <w:footnoteReference w:id="144"/>
      </w:r>
      <w:r w:rsidRPr="0052389E" w:rsidR="0052389E">
        <w:t xml:space="preserve"> </w:t>
      </w:r>
      <w:r w:rsidR="00707F70">
        <w:t xml:space="preserve"> The definitions thus become “number of wires down events in HFTD</w:t>
      </w:r>
      <w:r w:rsidR="00BB7D3B">
        <w:t xml:space="preserve"> Areas </w:t>
      </w:r>
      <w:r w:rsidR="00707F70">
        <w:t>on Red Flag Warning Days involv</w:t>
      </w:r>
      <w:r w:rsidR="00565145">
        <w:t xml:space="preserve">ing overhead primary distribution (or transmission) circuits divided by Red Flag Warning Distribution </w:t>
      </w:r>
      <w:r w:rsidR="00BB7D3B">
        <w:t xml:space="preserve">(or Transmission) </w:t>
      </w:r>
      <w:r w:rsidR="00565145">
        <w:t xml:space="preserve">Circuit-Miles Days in HFTD </w:t>
      </w:r>
      <w:r w:rsidR="00BB7D3B">
        <w:t xml:space="preserve">Areas </w:t>
      </w:r>
      <w:r w:rsidR="00565145">
        <w:t>in a calendar year.”</w:t>
      </w:r>
    </w:p>
    <w:p w:rsidR="00801EFC" w:rsidP="002979E7" w:rsidRDefault="003E601F" w14:paraId="655E1A06" w14:textId="721B6E06">
      <w:pPr>
        <w:pStyle w:val="Standard"/>
      </w:pPr>
      <w:r>
        <w:t xml:space="preserve">We discuss </w:t>
      </w:r>
      <w:r w:rsidRPr="00775D74">
        <w:t xml:space="preserve">in </w:t>
      </w:r>
      <w:r w:rsidRPr="00775D74" w:rsidR="00A57594">
        <w:t>S</w:t>
      </w:r>
      <w:r w:rsidR="00A57594">
        <w:t>e</w:t>
      </w:r>
      <w:r>
        <w:t>ction 10.5.2.3 our rationale for adopting SOMs that include M</w:t>
      </w:r>
      <w:r w:rsidR="007A5CD5">
        <w:t>ED</w:t>
      </w:r>
      <w:r>
        <w:t xml:space="preserve">s, or that are based solely on </w:t>
      </w:r>
      <w:r w:rsidR="00C7119E">
        <w:t>M</w:t>
      </w:r>
      <w:r w:rsidR="007A5CD5">
        <w:t>ED</w:t>
      </w:r>
      <w:r>
        <w:t xml:space="preserve">s and/or </w:t>
      </w:r>
      <w:r w:rsidR="00B0094E">
        <w:t xml:space="preserve">on </w:t>
      </w:r>
      <w:r>
        <w:t xml:space="preserve">Tier 2 and Tier 3 HFTDs, and do not repeat that discussion here. </w:t>
      </w:r>
      <w:r w:rsidR="00301B51">
        <w:t xml:space="preserve"> </w:t>
      </w:r>
      <w:r w:rsidR="007B20A7">
        <w:t xml:space="preserve">However, </w:t>
      </w:r>
      <w:r w:rsidR="00A426A4">
        <w:t>regarding</w:t>
      </w:r>
      <w:r w:rsidRPr="00847A52" w:rsidR="00847A52">
        <w:t xml:space="preserve"> the required one and five-year targets for SOMs adopted in Section 10.4.4 (presented in Section 10.4.2), we clarify that PG&amp;E may propose directional targets (i.e. that do not consist of numerical values) </w:t>
      </w:r>
      <w:r w:rsidR="00C2364D">
        <w:t>that</w:t>
      </w:r>
      <w:r w:rsidRPr="00330744" w:rsidR="00903FFD">
        <w:t xml:space="preserve"> consider</w:t>
      </w:r>
      <w:r w:rsidR="00903FFD">
        <w:t xml:space="preserve"> exogenous factors such as ext</w:t>
      </w:r>
      <w:r w:rsidRPr="00330744" w:rsidR="00903FFD">
        <w:t xml:space="preserve">reme weather events </w:t>
      </w:r>
      <w:r w:rsidRPr="00847A52" w:rsidR="00847A52">
        <w:t xml:space="preserve">for </w:t>
      </w:r>
      <w:r w:rsidR="009D2D27">
        <w:t xml:space="preserve">the </w:t>
      </w:r>
      <w:r w:rsidR="000255AA">
        <w:t xml:space="preserve">final </w:t>
      </w:r>
      <w:r w:rsidRPr="00847A52" w:rsidR="00847A52">
        <w:t xml:space="preserve">adopted SOMs </w:t>
      </w:r>
      <w:r w:rsidR="0061107B">
        <w:t xml:space="preserve">#s </w:t>
      </w:r>
      <w:r w:rsidRPr="00847A52" w:rsidR="00FE2848">
        <w:t xml:space="preserve">3.1 Wires Down Major Event Days in HFTD Areas (Distribution), 3.3 Wires Down Major Event Days in HFTD Areas </w:t>
      </w:r>
      <w:r w:rsidRPr="00847A52" w:rsidR="00FE2848">
        <w:lastRenderedPageBreak/>
        <w:t>(Transmission), SOMs 3.5 Wires Down Red Flag Warning Days in HFTD Areas (Distribution) and 3.6 Wires Down Red Flag Warning Days in HFTD Areas (Transmission).</w:t>
      </w:r>
      <w:r w:rsidR="00CF434A">
        <w:t xml:space="preserve"> </w:t>
      </w:r>
    </w:p>
    <w:p w:rsidR="009C3655" w:rsidP="002979E7" w:rsidRDefault="00760A15" w14:paraId="75967DCB" w14:textId="251ADF59">
      <w:pPr>
        <w:pStyle w:val="Standard"/>
      </w:pPr>
      <w:r>
        <w:t xml:space="preserve">As noted above, </w:t>
      </w:r>
      <w:r w:rsidRPr="001D5BF4" w:rsidR="00E872DF">
        <w:t>M</w:t>
      </w:r>
      <w:r w:rsidR="00E872DF">
        <w:t xml:space="preserve">EDs </w:t>
      </w:r>
      <w:r w:rsidR="00751D66">
        <w:t xml:space="preserve">and Red Flag Warning Days </w:t>
      </w:r>
      <w:r w:rsidR="00E872DF">
        <w:t xml:space="preserve">are currently excluded from many utility reporting requirements. </w:t>
      </w:r>
      <w:r w:rsidR="00486CD5">
        <w:t xml:space="preserve"> </w:t>
      </w:r>
      <w:r w:rsidRPr="00DC0A65" w:rsidR="001D5BF4">
        <w:t>This makes it challenging to specify a number or rate of wire down incidents that could be seen as acceptable at present, (</w:t>
      </w:r>
      <w:r w:rsidRPr="00486CD5" w:rsidR="001D5BF4">
        <w:rPr>
          <w:i/>
          <w:iCs/>
        </w:rPr>
        <w:t>i.e</w:t>
      </w:r>
      <w:r w:rsidRPr="00DC0A65" w:rsidR="001D5BF4">
        <w:t>., that could comprise the basis of numerical targets).  However, we believe that PG&amp;E equipment must show greater resiliency to</w:t>
      </w:r>
      <w:r w:rsidR="001D5BF4">
        <w:t xml:space="preserve"> </w:t>
      </w:r>
      <w:r w:rsidR="00801EFC">
        <w:t xml:space="preserve">both </w:t>
      </w:r>
      <w:r w:rsidR="001D5BF4">
        <w:t>MEDs</w:t>
      </w:r>
      <w:r w:rsidR="00801EFC">
        <w:t xml:space="preserve"> and Red Flag Warning Days</w:t>
      </w:r>
      <w:r w:rsidR="001D5BF4">
        <w:t xml:space="preserve"> </w:t>
      </w:r>
      <w:r w:rsidRPr="00DC0A65" w:rsidR="001D5BF4">
        <w:t>over the longer-term, even if there is some volatility year-to-year due to the uncertain nature and severity of these types of events.  Authorizing PG&amp;E to propose directional targets for these SOMs strikes a reasonable balance between this aim and current data constraints.</w:t>
      </w:r>
    </w:p>
    <w:p w:rsidRPr="009563C6" w:rsidR="00F21904" w:rsidP="00D14B27" w:rsidRDefault="00F21904" w14:paraId="66F33442" w14:textId="149C4F77">
      <w:pPr>
        <w:pStyle w:val="Heading4"/>
      </w:pPr>
      <w:bookmarkStart w:name="_Toc80890903" w:id="142"/>
      <w:bookmarkStart w:name="_Toc87361204" w:id="143"/>
      <w:r>
        <w:t>10.5.3.2</w:t>
      </w:r>
      <w:r>
        <w:tab/>
      </w:r>
      <w:r w:rsidRPr="00F21904">
        <w:t>SOMs Related to Patrols, Inspections and Compliance</w:t>
      </w:r>
      <w:r w:rsidR="00533332">
        <w:t xml:space="preserve"> (#s 3.4 – 3.11)</w:t>
      </w:r>
      <w:bookmarkEnd w:id="142"/>
      <w:bookmarkEnd w:id="143"/>
    </w:p>
    <w:p w:rsidR="00D940DD" w:rsidP="00630DBB" w:rsidRDefault="00630DBB" w14:paraId="2F822308" w14:textId="49E3AC9C">
      <w:pPr>
        <w:pStyle w:val="Heading5"/>
      </w:pPr>
      <w:bookmarkStart w:name="_Toc80890904" w:id="144"/>
      <w:bookmarkStart w:name="_Toc87361205" w:id="145"/>
      <w:r>
        <w:t>10.5.3.</w:t>
      </w:r>
      <w:r w:rsidR="00D14B27">
        <w:t>2.1</w:t>
      </w:r>
      <w:r>
        <w:tab/>
      </w:r>
      <w:r w:rsidR="00D14B27">
        <w:t>Staff Proposal</w:t>
      </w:r>
      <w:bookmarkEnd w:id="144"/>
      <w:bookmarkEnd w:id="145"/>
    </w:p>
    <w:p w:rsidRPr="00A31A9C" w:rsidR="00A31A9C" w:rsidP="00A31A9C" w:rsidRDefault="00A31A9C" w14:paraId="236311AC" w14:textId="5955B5A1">
      <w:pPr>
        <w:pStyle w:val="Standard"/>
        <w:rPr>
          <w:iCs/>
        </w:rPr>
      </w:pPr>
      <w:r w:rsidRPr="00A31A9C">
        <w:rPr>
          <w:iCs/>
        </w:rPr>
        <w:t xml:space="preserve">Utilities report maintenance related metrics on </w:t>
      </w:r>
      <w:r w:rsidR="00942047">
        <w:rPr>
          <w:iCs/>
        </w:rPr>
        <w:t xml:space="preserve">an </w:t>
      </w:r>
      <w:r w:rsidRPr="00A31A9C">
        <w:rPr>
          <w:iCs/>
        </w:rPr>
        <w:t xml:space="preserve">annual basis as part of their </w:t>
      </w:r>
      <w:r w:rsidR="004527F1">
        <w:rPr>
          <w:iCs/>
        </w:rPr>
        <w:t>WMPs</w:t>
      </w:r>
      <w:r w:rsidR="002630D8">
        <w:rPr>
          <w:iCs/>
        </w:rPr>
        <w:t xml:space="preserve"> and report these metrics </w:t>
      </w:r>
      <w:r w:rsidRPr="00A31A9C">
        <w:rPr>
          <w:iCs/>
        </w:rPr>
        <w:t xml:space="preserve">separately for distribution and transmission systems.  Some of </w:t>
      </w:r>
      <w:r w:rsidR="00240CF9">
        <w:rPr>
          <w:iCs/>
        </w:rPr>
        <w:t xml:space="preserve">the WMP </w:t>
      </w:r>
      <w:r w:rsidRPr="00A31A9C">
        <w:rPr>
          <w:iCs/>
        </w:rPr>
        <w:t>metrics track total miles inspected and inspection findings</w:t>
      </w:r>
      <w:r w:rsidR="00C7119E">
        <w:rPr>
          <w:iCs/>
        </w:rPr>
        <w:t xml:space="preserve">. </w:t>
      </w:r>
      <w:r w:rsidR="00750E9B">
        <w:rPr>
          <w:iCs/>
        </w:rPr>
        <w:t xml:space="preserve"> </w:t>
      </w:r>
      <w:r w:rsidR="00C7119E">
        <w:rPr>
          <w:iCs/>
        </w:rPr>
        <w:t>R</w:t>
      </w:r>
      <w:r w:rsidR="00F0441B">
        <w:rPr>
          <w:iCs/>
        </w:rPr>
        <w:t>eporting on r</w:t>
      </w:r>
      <w:r w:rsidR="00C7119E">
        <w:rPr>
          <w:iCs/>
        </w:rPr>
        <w:t>elevant WMP metrics</w:t>
      </w:r>
      <w:r w:rsidR="0055531A">
        <w:rPr>
          <w:iCs/>
        </w:rPr>
        <w:t xml:space="preserve"> </w:t>
      </w:r>
      <w:r w:rsidR="00F0441B">
        <w:rPr>
          <w:iCs/>
        </w:rPr>
        <w:t xml:space="preserve">is </w:t>
      </w:r>
      <w:r w:rsidR="0055531A">
        <w:rPr>
          <w:iCs/>
        </w:rPr>
        <w:t>separated</w:t>
      </w:r>
      <w:r w:rsidDel="00C7119E" w:rsidR="00240CF9">
        <w:rPr>
          <w:iCs/>
        </w:rPr>
        <w:t xml:space="preserve"> </w:t>
      </w:r>
      <w:r w:rsidRPr="00A31A9C">
        <w:rPr>
          <w:iCs/>
        </w:rPr>
        <w:t xml:space="preserve">into 28 sub-metrics to better inform the Commission </w:t>
      </w:r>
      <w:r w:rsidR="00F0441B">
        <w:rPr>
          <w:iCs/>
        </w:rPr>
        <w:t>about</w:t>
      </w:r>
      <w:r w:rsidRPr="00A31A9C">
        <w:rPr>
          <w:iCs/>
        </w:rPr>
        <w:t xml:space="preserve"> utility operations and grid conditions. </w:t>
      </w:r>
    </w:p>
    <w:p w:rsidR="00EA254D" w:rsidP="005B1379" w:rsidRDefault="004527F1" w14:paraId="3C0A7C0B" w14:textId="1F56F982">
      <w:pPr>
        <w:pStyle w:val="Standard"/>
      </w:pPr>
      <w:r>
        <w:t xml:space="preserve">The Track 2 Staff Proposal </w:t>
      </w:r>
      <w:r w:rsidR="00240CF9">
        <w:t>propose</w:t>
      </w:r>
      <w:r w:rsidR="004F7F09">
        <w:t xml:space="preserve">s </w:t>
      </w:r>
      <w:r w:rsidR="00533332">
        <w:t xml:space="preserve">six </w:t>
      </w:r>
      <w:r w:rsidR="00240CF9">
        <w:t xml:space="preserve">SOMs </w:t>
      </w:r>
      <w:r w:rsidR="00E01033">
        <w:t xml:space="preserve">addressing </w:t>
      </w:r>
      <w:r>
        <w:t>c</w:t>
      </w:r>
      <w:r w:rsidRPr="00A31A9C" w:rsidR="00A31A9C">
        <w:t>ircuit patrols and inspections</w:t>
      </w:r>
      <w:r w:rsidR="004F7F09">
        <w:t>, SOMs #s 3.4 – 3.</w:t>
      </w:r>
      <w:r w:rsidR="00533956">
        <w:t>9</w:t>
      </w:r>
      <w:r w:rsidR="00F1781D">
        <w:t xml:space="preserve">.  Staff state that SOMs </w:t>
      </w:r>
      <w:r w:rsidR="00533956">
        <w:t xml:space="preserve">#s 3.4 – 3.7 </w:t>
      </w:r>
      <w:r w:rsidR="00E01033">
        <w:t xml:space="preserve">would </w:t>
      </w:r>
      <w:r w:rsidRPr="00A31A9C" w:rsidR="00A31A9C">
        <w:t xml:space="preserve">track </w:t>
      </w:r>
      <w:r w:rsidR="00E01033">
        <w:t>PG&amp;E</w:t>
      </w:r>
      <w:r w:rsidR="00567A0D">
        <w:t>’s</w:t>
      </w:r>
      <w:r w:rsidR="00E01033">
        <w:t xml:space="preserve"> performance </w:t>
      </w:r>
      <w:r w:rsidR="0024389B">
        <w:t>o</w:t>
      </w:r>
      <w:r w:rsidR="00567A0D">
        <w:t>n</w:t>
      </w:r>
      <w:r w:rsidRPr="00A31A9C" w:rsidR="00A31A9C">
        <w:t xml:space="preserve"> inspecting and maintaining distribution and transmission assets including conductors, connectors, poles, towers, crossarms</w:t>
      </w:r>
      <w:r w:rsidR="00A244E3">
        <w:t>,</w:t>
      </w:r>
      <w:r w:rsidRPr="00A31A9C" w:rsidR="00A31A9C">
        <w:t xml:space="preserve"> and other essential equipment</w:t>
      </w:r>
      <w:r w:rsidR="00E01033">
        <w:t xml:space="preserve"> to enable their safe operation</w:t>
      </w:r>
      <w:r w:rsidR="00533956">
        <w:t xml:space="preserve">, </w:t>
      </w:r>
      <w:r w:rsidR="002D1821">
        <w:t xml:space="preserve">and on </w:t>
      </w:r>
      <w:r w:rsidRPr="00A31A9C" w:rsidR="00533956">
        <w:t>inspect</w:t>
      </w:r>
      <w:r w:rsidR="00533956">
        <w:t>ions</w:t>
      </w:r>
      <w:r w:rsidRPr="00A31A9C" w:rsidR="00533956">
        <w:t xml:space="preserve"> or patrol</w:t>
      </w:r>
      <w:r w:rsidR="00533956">
        <w:t>s of</w:t>
      </w:r>
      <w:r w:rsidRPr="00A31A9C" w:rsidR="00533956">
        <w:t xml:space="preserve"> overhead circuits </w:t>
      </w:r>
      <w:r w:rsidR="00533956">
        <w:t xml:space="preserve">that occur </w:t>
      </w:r>
      <w:r w:rsidRPr="00A31A9C" w:rsidR="00533956">
        <w:t>less frequently than scheduled</w:t>
      </w:r>
      <w:r w:rsidRPr="00A31A9C" w:rsidR="00A31A9C">
        <w:t>.</w:t>
      </w:r>
      <w:r w:rsidR="00F1781D">
        <w:t xml:space="preserve">  </w:t>
      </w:r>
      <w:r w:rsidR="00033CF4">
        <w:t xml:space="preserve">Staff </w:t>
      </w:r>
      <w:r w:rsidR="00707743">
        <w:t xml:space="preserve">state that they </w:t>
      </w:r>
      <w:r w:rsidR="00033CF4">
        <w:t xml:space="preserve">consider inspections and patrols to be </w:t>
      </w:r>
      <w:r w:rsidRPr="00A31A9C" w:rsidR="00033CF4">
        <w:t xml:space="preserve">frontline defenses </w:t>
      </w:r>
      <w:r w:rsidR="00033CF4">
        <w:t xml:space="preserve">that </w:t>
      </w:r>
      <w:r w:rsidRPr="00A31A9C" w:rsidR="00033CF4">
        <w:lastRenderedPageBreak/>
        <w:t xml:space="preserve">prevent hazardous conditions from developing </w:t>
      </w:r>
      <w:r w:rsidR="00033CF4">
        <w:t>or</w:t>
      </w:r>
      <w:r w:rsidRPr="00A31A9C" w:rsidR="00033CF4">
        <w:t xml:space="preserve"> escalating into serious incidents</w:t>
      </w:r>
      <w:r w:rsidR="00033CF4">
        <w:t>.</w:t>
      </w:r>
      <w:r w:rsidR="00F1781D">
        <w:t xml:space="preserve"> </w:t>
      </w:r>
      <w:r w:rsidR="00533956">
        <w:t xml:space="preserve"> </w:t>
      </w:r>
      <w:r w:rsidR="00033CF4">
        <w:t xml:space="preserve">Staff recommend </w:t>
      </w:r>
      <w:r w:rsidR="0079765A">
        <w:t xml:space="preserve">four SOMs in this area because </w:t>
      </w:r>
      <w:r w:rsidR="0055531A">
        <w:t xml:space="preserve">of the </w:t>
      </w:r>
      <w:r w:rsidRPr="00A03BE9" w:rsidR="00A03BE9">
        <w:t>value in having this level of granularity to help pinpoint deficient areas</w:t>
      </w:r>
      <w:r w:rsidR="00A03BE9">
        <w:t>.</w:t>
      </w:r>
      <w:r w:rsidR="00A03BE9">
        <w:rPr>
          <w:rStyle w:val="FootnoteReference"/>
          <w:iCs/>
        </w:rPr>
        <w:footnoteReference w:id="145"/>
      </w:r>
      <w:r w:rsidR="004B4A0E">
        <w:t xml:space="preserve">  </w:t>
      </w:r>
    </w:p>
    <w:p w:rsidR="00FB2331" w:rsidP="00EA254D" w:rsidRDefault="004B4A0E" w14:paraId="0806A32D" w14:textId="20C7DB13">
      <w:pPr>
        <w:pStyle w:val="Standard"/>
        <w:rPr>
          <w:iCs/>
        </w:rPr>
      </w:pPr>
      <w:r>
        <w:rPr>
          <w:iCs/>
        </w:rPr>
        <w:t>Staff</w:t>
      </w:r>
      <w:r w:rsidR="00102FA6">
        <w:rPr>
          <w:iCs/>
        </w:rPr>
        <w:t xml:space="preserve"> state that they</w:t>
      </w:r>
      <w:r>
        <w:rPr>
          <w:iCs/>
        </w:rPr>
        <w:t xml:space="preserve"> propose </w:t>
      </w:r>
      <w:r w:rsidRPr="004B4A0E">
        <w:rPr>
          <w:iCs/>
        </w:rPr>
        <w:t xml:space="preserve">two </w:t>
      </w:r>
      <w:r w:rsidR="00102FA6">
        <w:rPr>
          <w:iCs/>
        </w:rPr>
        <w:t xml:space="preserve">additional </w:t>
      </w:r>
      <w:r w:rsidR="00117622">
        <w:rPr>
          <w:iCs/>
        </w:rPr>
        <w:t>vegetation</w:t>
      </w:r>
      <w:r w:rsidR="0048437E">
        <w:rPr>
          <w:iCs/>
        </w:rPr>
        <w:t xml:space="preserve"> and </w:t>
      </w:r>
      <w:r w:rsidR="00117622">
        <w:rPr>
          <w:iCs/>
        </w:rPr>
        <w:t>conductor clearance inspection compliance SOMs (</w:t>
      </w:r>
      <w:r w:rsidR="00BB1F97">
        <w:rPr>
          <w:iCs/>
        </w:rPr>
        <w:t>#</w:t>
      </w:r>
      <w:r w:rsidR="00117622">
        <w:rPr>
          <w:iCs/>
        </w:rPr>
        <w:t>s 3.</w:t>
      </w:r>
      <w:r w:rsidR="0048437E">
        <w:rPr>
          <w:iCs/>
        </w:rPr>
        <w:t>8</w:t>
      </w:r>
      <w:r w:rsidR="00EE6C45">
        <w:rPr>
          <w:iCs/>
        </w:rPr>
        <w:t xml:space="preserve"> and 3.</w:t>
      </w:r>
      <w:r w:rsidR="0048437E">
        <w:rPr>
          <w:iCs/>
        </w:rPr>
        <w:t>9</w:t>
      </w:r>
      <w:r w:rsidR="00EE6C45">
        <w:rPr>
          <w:iCs/>
        </w:rPr>
        <w:t xml:space="preserve">) </w:t>
      </w:r>
      <w:r w:rsidR="007E718C">
        <w:rPr>
          <w:iCs/>
        </w:rPr>
        <w:t>because</w:t>
      </w:r>
      <w:r w:rsidR="00437D85">
        <w:rPr>
          <w:iCs/>
        </w:rPr>
        <w:t xml:space="preserve"> vegetation-related inspections are recorded by circuit miles, as compared to patrol metrics</w:t>
      </w:r>
      <w:r w:rsidR="0097272D">
        <w:rPr>
          <w:iCs/>
        </w:rPr>
        <w:t xml:space="preserve">, which PG&amp;E tracks by number of structures inspected. </w:t>
      </w:r>
      <w:r w:rsidR="00EA254D">
        <w:rPr>
          <w:iCs/>
        </w:rPr>
        <w:t xml:space="preserve"> </w:t>
      </w:r>
    </w:p>
    <w:p w:rsidR="00A07597" w:rsidP="00A07597" w:rsidRDefault="0048437E" w14:paraId="06E7A72B" w14:textId="24B50B2E">
      <w:pPr>
        <w:pStyle w:val="Standard"/>
        <w:rPr>
          <w:iCs/>
        </w:rPr>
      </w:pPr>
      <w:r>
        <w:rPr>
          <w:iCs/>
        </w:rPr>
        <w:t>Staff propose</w:t>
      </w:r>
      <w:r w:rsidR="00420A4F">
        <w:rPr>
          <w:iCs/>
        </w:rPr>
        <w:t xml:space="preserve"> </w:t>
      </w:r>
      <w:r>
        <w:rPr>
          <w:iCs/>
        </w:rPr>
        <w:t>a</w:t>
      </w:r>
      <w:r w:rsidR="004B683F">
        <w:rPr>
          <w:iCs/>
        </w:rPr>
        <w:t>n</w:t>
      </w:r>
      <w:r>
        <w:rPr>
          <w:iCs/>
        </w:rPr>
        <w:t xml:space="preserve"> </w:t>
      </w:r>
      <w:r w:rsidR="005118EE">
        <w:rPr>
          <w:iCs/>
        </w:rPr>
        <w:t>SOM addressing backlog compliance in HFTD (</w:t>
      </w:r>
      <w:r w:rsidR="008B242D">
        <w:rPr>
          <w:iCs/>
        </w:rPr>
        <w:t xml:space="preserve">#3.10) and one on electric emergency response time (#3.11). </w:t>
      </w:r>
      <w:r w:rsidR="00717204">
        <w:rPr>
          <w:iCs/>
        </w:rPr>
        <w:t xml:space="preserve"> Regarding its proposed backlog metric, Staff state that this SOM</w:t>
      </w:r>
      <w:r w:rsidR="00C64E82">
        <w:rPr>
          <w:iCs/>
        </w:rPr>
        <w:t xml:space="preserve"> </w:t>
      </w:r>
      <w:r w:rsidR="00717204">
        <w:rPr>
          <w:iCs/>
        </w:rPr>
        <w:t>track</w:t>
      </w:r>
      <w:r w:rsidR="00525A35">
        <w:rPr>
          <w:iCs/>
        </w:rPr>
        <w:t>s</w:t>
      </w:r>
      <w:r w:rsidR="00F8428C">
        <w:rPr>
          <w:iCs/>
        </w:rPr>
        <w:t xml:space="preserve"> the number and percent of</w:t>
      </w:r>
      <w:r w:rsidR="00717204">
        <w:rPr>
          <w:iCs/>
        </w:rPr>
        <w:t xml:space="preserve"> </w:t>
      </w:r>
      <w:r w:rsidRPr="00717204" w:rsidR="00717204">
        <w:rPr>
          <w:iCs/>
        </w:rPr>
        <w:t>overdue maintenance</w:t>
      </w:r>
      <w:r w:rsidR="00C41143">
        <w:rPr>
          <w:iCs/>
        </w:rPr>
        <w:t xml:space="preserve"> </w:t>
      </w:r>
      <w:r w:rsidRPr="00717204" w:rsidR="00717204">
        <w:rPr>
          <w:iCs/>
        </w:rPr>
        <w:t xml:space="preserve">and </w:t>
      </w:r>
      <w:r w:rsidR="0016594E">
        <w:rPr>
          <w:iCs/>
        </w:rPr>
        <w:t xml:space="preserve">implementation of </w:t>
      </w:r>
      <w:r w:rsidRPr="00717204" w:rsidR="00717204">
        <w:rPr>
          <w:iCs/>
        </w:rPr>
        <w:t>corrective work orders</w:t>
      </w:r>
      <w:r w:rsidR="00F8428C">
        <w:rPr>
          <w:iCs/>
        </w:rPr>
        <w:t xml:space="preserve"> in the last year</w:t>
      </w:r>
      <w:r w:rsidRPr="00717204" w:rsidR="00717204">
        <w:rPr>
          <w:iCs/>
        </w:rPr>
        <w:t xml:space="preserve">, including </w:t>
      </w:r>
      <w:r w:rsidR="00081F19">
        <w:rPr>
          <w:iCs/>
        </w:rPr>
        <w:t xml:space="preserve">work orders </w:t>
      </w:r>
      <w:r w:rsidRPr="00717204" w:rsidR="00717204">
        <w:rPr>
          <w:iCs/>
        </w:rPr>
        <w:t xml:space="preserve">generated </w:t>
      </w:r>
      <w:r w:rsidR="00254816">
        <w:rPr>
          <w:iCs/>
        </w:rPr>
        <w:t xml:space="preserve">from </w:t>
      </w:r>
      <w:r w:rsidRPr="00717204" w:rsidR="00717204">
        <w:rPr>
          <w:iCs/>
        </w:rPr>
        <w:t>patrols and inspections</w:t>
      </w:r>
      <w:r w:rsidR="00254816">
        <w:rPr>
          <w:iCs/>
        </w:rPr>
        <w:t xml:space="preserve">, </w:t>
      </w:r>
      <w:r w:rsidRPr="00717204" w:rsidR="00717204">
        <w:rPr>
          <w:iCs/>
        </w:rPr>
        <w:t>electric system hardening</w:t>
      </w:r>
      <w:r w:rsidR="00254816">
        <w:rPr>
          <w:iCs/>
        </w:rPr>
        <w:t xml:space="preserve"> programs,</w:t>
      </w:r>
      <w:r w:rsidRPr="00717204" w:rsidR="00717204">
        <w:rPr>
          <w:iCs/>
        </w:rPr>
        <w:t xml:space="preserve"> and</w:t>
      </w:r>
      <w:r w:rsidR="00254816">
        <w:rPr>
          <w:iCs/>
        </w:rPr>
        <w:t xml:space="preserve"> e</w:t>
      </w:r>
      <w:r w:rsidRPr="00717204" w:rsidR="00717204">
        <w:rPr>
          <w:iCs/>
        </w:rPr>
        <w:t xml:space="preserve">nhanced </w:t>
      </w:r>
      <w:r w:rsidR="00254816">
        <w:rPr>
          <w:iCs/>
        </w:rPr>
        <w:t>v</w:t>
      </w:r>
      <w:r w:rsidRPr="00717204" w:rsidR="00717204">
        <w:rPr>
          <w:iCs/>
        </w:rPr>
        <w:t xml:space="preserve">egetation </w:t>
      </w:r>
      <w:r w:rsidR="00254816">
        <w:rPr>
          <w:iCs/>
        </w:rPr>
        <w:t>m</w:t>
      </w:r>
      <w:r w:rsidRPr="00717204" w:rsidR="00717204">
        <w:rPr>
          <w:iCs/>
        </w:rPr>
        <w:t>anagement programs</w:t>
      </w:r>
      <w:r w:rsidR="00067F40">
        <w:rPr>
          <w:iCs/>
        </w:rPr>
        <w:t xml:space="preserve">.  </w:t>
      </w:r>
    </w:p>
    <w:p w:rsidR="00717204" w:rsidP="00A07597" w:rsidRDefault="00A07597" w14:paraId="38FB8DF3" w14:textId="36EF7516">
      <w:pPr>
        <w:pStyle w:val="Standard"/>
        <w:rPr>
          <w:iCs/>
        </w:rPr>
      </w:pPr>
      <w:r>
        <w:rPr>
          <w:iCs/>
        </w:rPr>
        <w:t>Staff observe that t</w:t>
      </w:r>
      <w:r w:rsidRPr="00717204" w:rsidR="00717204">
        <w:rPr>
          <w:iCs/>
        </w:rPr>
        <w:t xml:space="preserve">he longer system maintenance is delayed or the longer a deficient or unsafe condition remains uncorrected the greater </w:t>
      </w:r>
      <w:r w:rsidR="00F8428C">
        <w:rPr>
          <w:iCs/>
        </w:rPr>
        <w:t xml:space="preserve">is </w:t>
      </w:r>
      <w:r w:rsidRPr="00717204" w:rsidR="00717204">
        <w:rPr>
          <w:iCs/>
        </w:rPr>
        <w:t xml:space="preserve">the likelihood for the condition to result in an actual incident.  </w:t>
      </w:r>
      <w:r w:rsidR="00F8428C">
        <w:rPr>
          <w:iCs/>
        </w:rPr>
        <w:t>W</w:t>
      </w:r>
      <w:r w:rsidRPr="00717204" w:rsidR="00717204">
        <w:rPr>
          <w:iCs/>
        </w:rPr>
        <w:t xml:space="preserve">hen an unsafe or deficient condition is corrected early, the extent of deterioration to the equipment </w:t>
      </w:r>
      <w:r w:rsidR="00F8428C">
        <w:rPr>
          <w:iCs/>
        </w:rPr>
        <w:t>is</w:t>
      </w:r>
      <w:r w:rsidRPr="00717204" w:rsidR="00717204">
        <w:rPr>
          <w:iCs/>
        </w:rPr>
        <w:t xml:space="preserve"> less, which </w:t>
      </w:r>
      <w:r w:rsidR="00FA5048">
        <w:rPr>
          <w:iCs/>
        </w:rPr>
        <w:t xml:space="preserve">typically </w:t>
      </w:r>
      <w:r w:rsidRPr="00717204" w:rsidR="00717204">
        <w:rPr>
          <w:iCs/>
        </w:rPr>
        <w:t>reduce</w:t>
      </w:r>
      <w:r w:rsidR="00FA5048">
        <w:rPr>
          <w:iCs/>
        </w:rPr>
        <w:t xml:space="preserve">s </w:t>
      </w:r>
      <w:r w:rsidRPr="00717204" w:rsidR="00717204">
        <w:rPr>
          <w:iCs/>
        </w:rPr>
        <w:t>the likelihood and consequence of a</w:t>
      </w:r>
      <w:r w:rsidR="00FA5048">
        <w:rPr>
          <w:iCs/>
        </w:rPr>
        <w:t>ny</w:t>
      </w:r>
      <w:r w:rsidRPr="00717204" w:rsidR="00717204">
        <w:rPr>
          <w:iCs/>
        </w:rPr>
        <w:t xml:space="preserve"> incident.  </w:t>
      </w:r>
    </w:p>
    <w:p w:rsidR="0048437E" w:rsidP="00846098" w:rsidRDefault="006A1533" w14:paraId="137E3985" w14:textId="15437B98">
      <w:pPr>
        <w:pStyle w:val="Standard"/>
        <w:rPr>
          <w:iCs/>
        </w:rPr>
      </w:pPr>
      <w:r>
        <w:rPr>
          <w:iCs/>
        </w:rPr>
        <w:t xml:space="preserve">Regarding its proposed electric emergency response time SOM (#3.11), Staff indicate that </w:t>
      </w:r>
      <w:r w:rsidR="00362A7D">
        <w:rPr>
          <w:iCs/>
        </w:rPr>
        <w:t xml:space="preserve">this SOM is based on </w:t>
      </w:r>
      <w:r w:rsidR="000C119E">
        <w:rPr>
          <w:iCs/>
        </w:rPr>
        <w:t xml:space="preserve">one of </w:t>
      </w:r>
      <w:r w:rsidR="00FA5048">
        <w:rPr>
          <w:iCs/>
        </w:rPr>
        <w:t xml:space="preserve">PG&amp;E’s </w:t>
      </w:r>
      <w:r w:rsidR="00652058">
        <w:rPr>
          <w:iCs/>
        </w:rPr>
        <w:t xml:space="preserve">Proposed SOMs.  Staff agree with PG&amp;E that electric emergency response time is </w:t>
      </w:r>
      <w:r w:rsidR="00FB1E6B">
        <w:rPr>
          <w:iCs/>
        </w:rPr>
        <w:t xml:space="preserve">key to evaluating </w:t>
      </w:r>
      <w:r w:rsidR="001F33FB">
        <w:rPr>
          <w:iCs/>
        </w:rPr>
        <w:t>safe</w:t>
      </w:r>
      <w:r w:rsidR="00A17994">
        <w:rPr>
          <w:iCs/>
        </w:rPr>
        <w:t>ty</w:t>
      </w:r>
      <w:r w:rsidR="00FB1E6B">
        <w:rPr>
          <w:iCs/>
        </w:rPr>
        <w:t xml:space="preserve"> </w:t>
      </w:r>
      <w:r w:rsidR="008132B8">
        <w:rPr>
          <w:iCs/>
        </w:rPr>
        <w:t>risk</w:t>
      </w:r>
      <w:r w:rsidR="0021062F">
        <w:rPr>
          <w:iCs/>
        </w:rPr>
        <w:t xml:space="preserve">s from </w:t>
      </w:r>
      <w:r w:rsidRPr="0021062F" w:rsidR="0021062F">
        <w:rPr>
          <w:iCs/>
        </w:rPr>
        <w:t>failure of electric distribution overhead assets</w:t>
      </w:r>
      <w:r w:rsidR="00446169">
        <w:rPr>
          <w:iCs/>
        </w:rPr>
        <w:t xml:space="preserve">, </w:t>
      </w:r>
      <w:r w:rsidRPr="0021062F" w:rsidR="0021062F">
        <w:rPr>
          <w:iCs/>
        </w:rPr>
        <w:t>quality of service</w:t>
      </w:r>
      <w:r w:rsidR="00446169">
        <w:rPr>
          <w:iCs/>
        </w:rPr>
        <w:t>,</w:t>
      </w:r>
      <w:r w:rsidRPr="0021062F" w:rsidR="0021062F">
        <w:rPr>
          <w:iCs/>
        </w:rPr>
        <w:t xml:space="preserve"> and</w:t>
      </w:r>
      <w:r w:rsidR="00446169">
        <w:rPr>
          <w:iCs/>
        </w:rPr>
        <w:t xml:space="preserve"> quality of</w:t>
      </w:r>
      <w:r w:rsidRPr="0021062F" w:rsidR="0021062F">
        <w:rPr>
          <w:iCs/>
        </w:rPr>
        <w:t xml:space="preserve"> management</w:t>
      </w:r>
      <w:r w:rsidR="00B21F01">
        <w:rPr>
          <w:iCs/>
        </w:rPr>
        <w:t>.</w:t>
      </w:r>
      <w:r w:rsidR="00B21F01">
        <w:rPr>
          <w:rStyle w:val="FootnoteReference"/>
          <w:iCs/>
        </w:rPr>
        <w:footnoteReference w:id="146"/>
      </w:r>
    </w:p>
    <w:p w:rsidR="00FA5048" w:rsidP="00846098" w:rsidRDefault="00FA5048" w14:paraId="5097B983" w14:textId="58E935C2">
      <w:pPr>
        <w:pStyle w:val="Standard"/>
        <w:rPr>
          <w:iCs/>
        </w:rPr>
      </w:pPr>
      <w:r>
        <w:rPr>
          <w:iCs/>
        </w:rPr>
        <w:lastRenderedPageBreak/>
        <w:t>Staff states that SOMs #s 3.1 – 3.</w:t>
      </w:r>
      <w:r w:rsidR="00446169">
        <w:rPr>
          <w:iCs/>
        </w:rPr>
        <w:t>11</w:t>
      </w:r>
      <w:r>
        <w:rPr>
          <w:iCs/>
        </w:rPr>
        <w:t xml:space="preserve"> have both </w:t>
      </w:r>
      <w:r w:rsidRPr="00A31A9C">
        <w:rPr>
          <w:iCs/>
        </w:rPr>
        <w:t>lagging-</w:t>
      </w:r>
      <w:r>
        <w:rPr>
          <w:iCs/>
        </w:rPr>
        <w:t xml:space="preserve"> and </w:t>
      </w:r>
      <w:r w:rsidRPr="00A31A9C">
        <w:rPr>
          <w:iCs/>
        </w:rPr>
        <w:t>leading-indicator characteristics.</w:t>
      </w:r>
      <w:r w:rsidRPr="00446169" w:rsidR="00446169">
        <w:rPr>
          <w:iCs/>
        </w:rPr>
        <w:t xml:space="preserve"> </w:t>
      </w:r>
    </w:p>
    <w:p w:rsidR="00D14B27" w:rsidP="00D14B27" w:rsidRDefault="00D14B27" w14:paraId="13F89A01" w14:textId="27E93E9F">
      <w:pPr>
        <w:pStyle w:val="Heading5"/>
      </w:pPr>
      <w:bookmarkStart w:name="_Toc80890905" w:id="146"/>
      <w:bookmarkStart w:name="_Toc87361206" w:id="147"/>
      <w:r>
        <w:t>10.5.3.2.2</w:t>
      </w:r>
      <w:r>
        <w:tab/>
        <w:t>Party Comments</w:t>
      </w:r>
      <w:bookmarkEnd w:id="146"/>
      <w:bookmarkEnd w:id="147"/>
    </w:p>
    <w:p w:rsidRPr="00252A89" w:rsidR="00984B54" w:rsidP="00984B54" w:rsidRDefault="00984B54" w14:paraId="6DFD2FA5" w14:textId="04028CBA">
      <w:pPr>
        <w:spacing w:line="360" w:lineRule="auto"/>
        <w:ind w:firstLine="720"/>
      </w:pPr>
      <w:r w:rsidRPr="00252A89">
        <w:t>PG&amp;E opposes Staff’s proposed SOMs #s 3.4 – 3.7 and 3.10 regarding compliance with patrol and inspection requirements and work order backlog because</w:t>
      </w:r>
      <w:r w:rsidR="00243E26">
        <w:t xml:space="preserve"> </w:t>
      </w:r>
      <w:r w:rsidRPr="00252A89">
        <w:t>they would apply only in Tier 2 and Tier 3 HFTDs</w:t>
      </w:r>
      <w:r w:rsidR="00243E26">
        <w:t>.</w:t>
      </w:r>
      <w:r w:rsidRPr="00252A89">
        <w:t xml:space="preserve">  PG&amp;E further notes that the Commission may revise GO 165</w:t>
      </w:r>
      <w:r w:rsidRPr="00E96BB7" w:rsidR="00E96BB7">
        <w:t xml:space="preserve"> </w:t>
      </w:r>
      <w:r w:rsidR="00040187">
        <w:t>(General Order on I</w:t>
      </w:r>
      <w:r w:rsidRPr="00E96BB7" w:rsidR="00E96BB7">
        <w:t>nspection Requirements for Electric Distribution and Transmission</w:t>
      </w:r>
      <w:r w:rsidR="00E96BB7">
        <w:t xml:space="preserve"> </w:t>
      </w:r>
      <w:r w:rsidRPr="00E96BB7" w:rsidR="00E96BB7">
        <w:t>Facilities</w:t>
      </w:r>
      <w:r w:rsidR="00E96BB7">
        <w:t>)</w:t>
      </w:r>
      <w:r w:rsidRPr="00252A89">
        <w:t xml:space="preserve">, including to update scope and cycle times for inspections and patrols, and so should defer adopting SOMs #s 3.4 – 3.7 and 3.10 at this time so as to not impose requirements that will be changed in the future.  PG&amp;E supports SOMs #3.8 if it </w:t>
      </w:r>
      <w:r w:rsidR="003E0BB1">
        <w:t xml:space="preserve">is </w:t>
      </w:r>
      <w:r w:rsidRPr="00252A89">
        <w:t>modified to refer to all PG&amp;E service territory, not just Tier 2 and Tier 3 HFTDs.</w:t>
      </w:r>
      <w:r w:rsidRPr="00252A89">
        <w:rPr>
          <w:vertAlign w:val="superscript"/>
        </w:rPr>
        <w:footnoteReference w:id="147"/>
      </w:r>
      <w:r w:rsidRPr="00252A89">
        <w:t xml:space="preserve">  </w:t>
      </w:r>
    </w:p>
    <w:p w:rsidRPr="00252A89" w:rsidR="0019047B" w:rsidP="00B8458A" w:rsidRDefault="00984B54" w14:paraId="14772AA6" w14:textId="70DD696C">
      <w:pPr>
        <w:spacing w:line="360" w:lineRule="auto"/>
        <w:ind w:firstLine="720"/>
      </w:pPr>
      <w:r w:rsidRPr="00252A89">
        <w:t xml:space="preserve">Cal Advocates supports SOM #3.10 regarding backlog compliance as critical to ensuring that essential safety and reliability work occurs.  It notes that uncompleted work orders and inspections have earlier been identified as key elements leading to the devastating Zogg, North Bay, and Camp fires.  </w:t>
      </w:r>
      <w:r w:rsidR="002669AA">
        <w:t>However, Cal Advocates recommends removing the term “compliance” from the metric to remove ambiguity</w:t>
      </w:r>
      <w:r w:rsidR="00B8458A">
        <w:t>.</w:t>
      </w:r>
    </w:p>
    <w:p w:rsidRPr="00775D74" w:rsidR="00984B54" w:rsidP="00984B54" w:rsidRDefault="00984B54" w14:paraId="6775D1EB" w14:textId="35FF9392">
      <w:pPr>
        <w:spacing w:line="360" w:lineRule="auto"/>
        <w:ind w:firstLine="720"/>
      </w:pPr>
      <w:r w:rsidRPr="00252A89">
        <w:t xml:space="preserve">Cal Advocates further proposes to add a new SOM #3.10.1 on safety and reliability work authorized but not scheduled.  Cal Advocates observes that a February 2021 WSD audit indicated PG&amp;E had failed to prioritize work identified as needed on its top 20 highest risk circuits, resulting in PG&amp;E’s placement in Step 1 of the EOE Process.  Cal Advocates proposes to define </w:t>
      </w:r>
      <w:r w:rsidR="00C741FF">
        <w:t xml:space="preserve">its new proposed </w:t>
      </w:r>
      <w:r w:rsidRPr="00775D74">
        <w:t>SOM as:</w:t>
      </w:r>
    </w:p>
    <w:p w:rsidRPr="00252A89" w:rsidR="00BA20C3" w:rsidP="00A57594" w:rsidRDefault="00DE0AB4" w14:paraId="2E03016F" w14:textId="77777777">
      <w:pPr>
        <w:spacing w:after="120"/>
        <w:ind w:left="720" w:right="1440"/>
      </w:pPr>
      <w:r w:rsidRPr="00775D74">
        <w:lastRenderedPageBreak/>
        <w:t>Safety and reliability work authorized in PG&amp;E’s [GRC] but not scheduled, measured… in authorized [dollars] versus dollars spent and units of work authorized versus units of work completed.</w:t>
      </w:r>
      <w:r w:rsidRPr="00775D74" w:rsidR="00984B54">
        <w:rPr>
          <w:vertAlign w:val="superscript"/>
        </w:rPr>
        <w:footnoteReference w:id="148"/>
      </w:r>
    </w:p>
    <w:p w:rsidRPr="00252A89" w:rsidR="00984B54" w:rsidP="00984B54" w:rsidRDefault="00984B54" w14:paraId="445AC9BA" w14:textId="39ADB33A">
      <w:pPr>
        <w:spacing w:line="360" w:lineRule="auto"/>
        <w:ind w:firstLine="720"/>
      </w:pPr>
      <w:r w:rsidRPr="00252A89">
        <w:t>Cal Advocates states that Section 451 and Commission guidance in D.11</w:t>
      </w:r>
      <w:r w:rsidR="005B1379">
        <w:noBreakHyphen/>
      </w:r>
      <w:r w:rsidRPr="00252A89">
        <w:t xml:space="preserve">05-018 on PG&amp;E’s 2011 GRC </w:t>
      </w:r>
      <w:r w:rsidR="00C741FF">
        <w:t xml:space="preserve">mean </w:t>
      </w:r>
      <w:r w:rsidRPr="00252A89">
        <w:t>that PG&amp;E has the obligation to spend what is necessary to ensure safe service regardless of authorized cost levels, “even if that condition requires more expenditures than the Commission has authorized.”</w:t>
      </w:r>
      <w:r w:rsidRPr="00252A89">
        <w:rPr>
          <w:vertAlign w:val="superscript"/>
        </w:rPr>
        <w:footnoteReference w:id="149"/>
      </w:r>
      <w:r w:rsidRPr="00252A89">
        <w:t xml:space="preserve">  </w:t>
      </w:r>
      <w:r w:rsidR="00B8458A">
        <w:t>PG&amp;E opposes this</w:t>
      </w:r>
      <w:r w:rsidR="00C741FF">
        <w:t xml:space="preserve"> </w:t>
      </w:r>
      <w:r w:rsidR="00B8458A">
        <w:t>additional metric</w:t>
      </w:r>
      <w:r w:rsidR="00B67FF4">
        <w:t>,</w:t>
      </w:r>
      <w:r w:rsidR="00B8458A">
        <w:t xml:space="preserve"> stating that it is not necessary because the EOE Process already </w:t>
      </w:r>
      <w:r w:rsidR="00C65499">
        <w:t xml:space="preserve">includes a trigger for “insufficient progress toward approved safety or risk-driven investments” and the suggested information is available in the annual </w:t>
      </w:r>
      <w:r w:rsidRPr="001F62EB" w:rsidR="001F62EB">
        <w:t>R</w:t>
      </w:r>
      <w:r w:rsidR="00D2387A">
        <w:t>SAR</w:t>
      </w:r>
      <w:r w:rsidR="008D6C61">
        <w:t xml:space="preserve">. </w:t>
      </w:r>
    </w:p>
    <w:p w:rsidRPr="00984B54" w:rsidR="0032554E" w:rsidP="00984B54" w:rsidRDefault="00984B54" w14:paraId="3A14303B" w14:textId="6E6F6B31">
      <w:pPr>
        <w:spacing w:line="360" w:lineRule="auto"/>
        <w:ind w:firstLine="720"/>
      </w:pPr>
      <w:r w:rsidRPr="00252A89">
        <w:t>Cal Advocates supports Staff’s proposed SOM #3.11</w:t>
      </w:r>
      <w:r w:rsidR="00A45E7E">
        <w:t xml:space="preserve">, </w:t>
      </w:r>
      <w:r w:rsidRPr="00A45E7E" w:rsidR="00A45E7E">
        <w:t>Electric Emergency Response Time</w:t>
      </w:r>
      <w:r w:rsidR="00A45E7E">
        <w:t>,</w:t>
      </w:r>
      <w:r w:rsidRPr="00252A89">
        <w:t xml:space="preserve"> with the modification that response times be defined in five</w:t>
      </w:r>
      <w:r w:rsidR="00750E9B">
        <w:noBreakHyphen/>
      </w:r>
      <w:r w:rsidRPr="00252A89">
        <w:t xml:space="preserve">minute increments to align with General Order 112-F 1232.2c, proposed for use in SOM #4.4 regarding natural gas, rather than the 60-minute threshold proposed by Staff.  Cal Advocates asserts that a 60-minute response threshold has in the past been inadequate to prevent severe injuries and PG&amp;E should be capable of matching its average </w:t>
      </w:r>
      <w:r w:rsidR="00067C76">
        <w:t xml:space="preserve">electric </w:t>
      </w:r>
      <w:r w:rsidRPr="00252A89">
        <w:t xml:space="preserve">response time to </w:t>
      </w:r>
      <w:r w:rsidR="003718CE">
        <w:t xml:space="preserve">that of </w:t>
      </w:r>
      <w:r w:rsidRPr="00252A89">
        <w:t>natural gas odor calls of 21.8</w:t>
      </w:r>
      <w:r w:rsidR="00750E9B">
        <w:t> </w:t>
      </w:r>
      <w:r w:rsidRPr="00252A89">
        <w:t>minutes.  Cal Advocates recommends that SPM #3</w:t>
      </w:r>
      <w:r w:rsidR="00A45E7E">
        <w:t xml:space="preserve">, </w:t>
      </w:r>
      <w:r w:rsidRPr="00A45E7E" w:rsidR="00A45E7E">
        <w:t>Electric Emergency Response</w:t>
      </w:r>
      <w:r w:rsidR="0062166C">
        <w:t xml:space="preserve"> Time</w:t>
      </w:r>
      <w:r w:rsidR="00A45E7E">
        <w:t>,</w:t>
      </w:r>
      <w:r w:rsidRPr="00A45E7E" w:rsidR="00A45E7E">
        <w:t xml:space="preserve"> </w:t>
      </w:r>
      <w:r w:rsidRPr="00252A89">
        <w:t xml:space="preserve">be similarly modified, as discussed below.  PG&amp;E supports SOM #3.11.  </w:t>
      </w:r>
    </w:p>
    <w:p w:rsidR="00D14B27" w:rsidP="00D14B27" w:rsidRDefault="00D14B27" w14:paraId="4338DC79" w14:textId="60936DEA">
      <w:pPr>
        <w:pStyle w:val="Heading5"/>
      </w:pPr>
      <w:bookmarkStart w:name="_Toc80890906" w:id="148"/>
      <w:bookmarkStart w:name="_Toc87361207" w:id="149"/>
      <w:r>
        <w:t>10.5.3.2.</w:t>
      </w:r>
      <w:r w:rsidR="000417F7">
        <w:t>3</w:t>
      </w:r>
      <w:r>
        <w:tab/>
        <w:t>Discussion</w:t>
      </w:r>
      <w:bookmarkEnd w:id="148"/>
      <w:bookmarkEnd w:id="149"/>
    </w:p>
    <w:p w:rsidR="00E03C84" w:rsidP="00731F6D" w:rsidRDefault="00EE7749" w14:paraId="618DD525" w14:textId="425FBA18">
      <w:pPr>
        <w:pStyle w:val="Standard"/>
      </w:pPr>
      <w:r>
        <w:t>We adopt</w:t>
      </w:r>
      <w:r w:rsidR="00E11E73">
        <w:t xml:space="preserve"> Staff’s proposed SOMs relating to inspections compliance and work order backlogs, with minor modifications.  We </w:t>
      </w:r>
      <w:r w:rsidR="005123B5">
        <w:t xml:space="preserve">disagree with </w:t>
      </w:r>
      <w:r w:rsidR="00345CB5">
        <w:t xml:space="preserve">and are </w:t>
      </w:r>
      <w:r w:rsidR="00345CB5">
        <w:lastRenderedPageBreak/>
        <w:t xml:space="preserve">disturbed by </w:t>
      </w:r>
      <w:r w:rsidR="005123B5">
        <w:t>PG&amp;E</w:t>
      </w:r>
      <w:r w:rsidR="00345CB5">
        <w:t xml:space="preserve">’s assertion </w:t>
      </w:r>
      <w:r w:rsidR="005123B5">
        <w:t>that these SOMs are “too granular</w:t>
      </w:r>
      <w:r w:rsidR="00345CB5">
        <w:t xml:space="preserve">.”  We do not consider SOMs limited to the over half of PG&amp;E’s territory </w:t>
      </w:r>
      <w:r w:rsidR="00E03C84">
        <w:t xml:space="preserve">subject to elevated or extreme risk of </w:t>
      </w:r>
      <w:r w:rsidR="00345CB5">
        <w:t>wildfire</w:t>
      </w:r>
      <w:r w:rsidR="00E03C84">
        <w:t>s</w:t>
      </w:r>
      <w:r w:rsidR="00345CB5">
        <w:t xml:space="preserve"> to be a “narrow” focus</w:t>
      </w:r>
      <w:r w:rsidR="00CA0DB7">
        <w:t>.</w:t>
      </w:r>
    </w:p>
    <w:p w:rsidR="00731F6D" w:rsidP="0069284F" w:rsidRDefault="009F711B" w14:paraId="0A5C9E18" w14:textId="6D73036E">
      <w:pPr>
        <w:pStyle w:val="Standard"/>
      </w:pPr>
      <w:r>
        <w:t xml:space="preserve">We also disagree with PG&amp;E’s suggestion to defer adopting SOM </w:t>
      </w:r>
      <w:r w:rsidR="007E1590">
        <w:t>#</w:t>
      </w:r>
      <w:r w:rsidR="001B6142">
        <w:t>s</w:t>
      </w:r>
      <w:r w:rsidR="007E1590">
        <w:t xml:space="preserve"> 3.4 – 3.7 and 3.10 until such time as the Commission updates </w:t>
      </w:r>
      <w:r w:rsidR="00431ECA">
        <w:t xml:space="preserve">GO 165.  </w:t>
      </w:r>
      <w:r w:rsidR="001124EE">
        <w:t>As defined, t</w:t>
      </w:r>
      <w:r w:rsidR="00431ECA">
        <w:t xml:space="preserve">hese </w:t>
      </w:r>
      <w:r w:rsidRPr="009F711B">
        <w:t xml:space="preserve">SOMs </w:t>
      </w:r>
      <w:r w:rsidR="00431ECA">
        <w:t xml:space="preserve">are </w:t>
      </w:r>
      <w:r w:rsidRPr="009F711B">
        <w:t>independent of</w:t>
      </w:r>
      <w:r w:rsidR="0043021A">
        <w:t xml:space="preserve"> </w:t>
      </w:r>
      <w:r w:rsidR="00563EA3">
        <w:t xml:space="preserve">any </w:t>
      </w:r>
      <w:r w:rsidRPr="009F711B">
        <w:t xml:space="preserve">specifications </w:t>
      </w:r>
      <w:r w:rsidR="00563EA3">
        <w:t xml:space="preserve">contained </w:t>
      </w:r>
      <w:r w:rsidRPr="009F711B">
        <w:t>in GO</w:t>
      </w:r>
      <w:r w:rsidR="00313BEC">
        <w:t xml:space="preserve"> </w:t>
      </w:r>
      <w:r w:rsidRPr="009F711B">
        <w:t xml:space="preserve">165.  </w:t>
      </w:r>
      <w:r w:rsidR="00572F7A">
        <w:t>Staff’s proposed SOM</w:t>
      </w:r>
      <w:r w:rsidR="006B6EA2">
        <w:t xml:space="preserve">s are </w:t>
      </w:r>
      <w:r w:rsidRPr="00572F7A" w:rsidR="00572F7A">
        <w:t xml:space="preserve">flexible and </w:t>
      </w:r>
      <w:r w:rsidR="006B6EA2">
        <w:t xml:space="preserve">should remain </w:t>
      </w:r>
      <w:r w:rsidRPr="00572F7A" w:rsidR="00572F7A">
        <w:t xml:space="preserve">applicable regardless of any future revisions </w:t>
      </w:r>
      <w:r w:rsidR="00313BEC">
        <w:t>to</w:t>
      </w:r>
      <w:r w:rsidRPr="00572F7A" w:rsidR="00313BEC">
        <w:t xml:space="preserve"> </w:t>
      </w:r>
      <w:r w:rsidRPr="00572F7A" w:rsidR="00572F7A">
        <w:t>GO</w:t>
      </w:r>
      <w:r w:rsidR="00B05C5C">
        <w:t xml:space="preserve"> </w:t>
      </w:r>
      <w:r w:rsidRPr="00572F7A" w:rsidR="00572F7A">
        <w:t>165</w:t>
      </w:r>
      <w:r w:rsidR="006B6EA2">
        <w:t>.</w:t>
      </w:r>
      <w:r w:rsidR="0069284F">
        <w:t xml:space="preserve">  However, we </w:t>
      </w:r>
      <w:r w:rsidR="00BA1ACE">
        <w:t>adopt a modified version of</w:t>
      </w:r>
      <w:r w:rsidR="0069284F">
        <w:t xml:space="preserve"> Staff’s proposed SOM #3.10 Backlog Compliance Metrics in HFTDs.  We change the name of the metric to “GO-95 Corrective </w:t>
      </w:r>
      <w:r w:rsidRPr="00115832" w:rsidR="0069284F">
        <w:t>Actions in HFTDs” as more appropriate and update</w:t>
      </w:r>
      <w:r w:rsidR="000F0367">
        <w:t xml:space="preserve"> </w:t>
      </w:r>
      <w:r w:rsidRPr="00115832" w:rsidR="0069284F">
        <w:t xml:space="preserve">the description to focus on the number of “Priority Level 2” notifications in Tier 2 and </w:t>
      </w:r>
      <w:r w:rsidR="00FD4868">
        <w:t xml:space="preserve">Tier </w:t>
      </w:r>
      <w:r w:rsidRPr="00115832" w:rsidR="0069284F">
        <w:t>3 HFTDs, consistent with GO 95 Rule 18 provisions.</w:t>
      </w:r>
      <w:r w:rsidR="0069284F">
        <w:t xml:space="preserve">  This metric now aligns with SPM #43 as proposed by Staff (#29 as adopted) and is more clearly defined and aligned with the way work</w:t>
      </w:r>
      <w:r w:rsidR="001478BB">
        <w:t xml:space="preserve"> </w:t>
      </w:r>
      <w:r w:rsidR="0069284F">
        <w:t>orders are generated.</w:t>
      </w:r>
    </w:p>
    <w:p w:rsidR="00B9221D" w:rsidP="00B9221D" w:rsidRDefault="00E92B3C" w14:paraId="76ADE75B" w14:textId="7080DF84">
      <w:pPr>
        <w:pStyle w:val="Standard"/>
      </w:pPr>
      <w:r>
        <w:t xml:space="preserve">We agree with Cal Advocates </w:t>
      </w:r>
      <w:r w:rsidR="00191F8A">
        <w:t xml:space="preserve">and </w:t>
      </w:r>
      <w:r>
        <w:t xml:space="preserve">remove the term “compliance” from </w:t>
      </w:r>
      <w:r w:rsidR="00066E96">
        <w:t xml:space="preserve">Staff’s proposed </w:t>
      </w:r>
      <w:r>
        <w:t xml:space="preserve">SOMs #s 3.4 – 3.7, as this term is unnecessary and adds confusion. </w:t>
      </w:r>
      <w:r w:rsidR="00B9221D">
        <w:t xml:space="preserve">We also modify </w:t>
      </w:r>
      <w:r w:rsidR="00066E96">
        <w:t xml:space="preserve">these SOMs </w:t>
      </w:r>
      <w:r w:rsidR="00B9221D">
        <w:t xml:space="preserve">to add the word “missed” to the name </w:t>
      </w:r>
      <w:r w:rsidR="00A26029">
        <w:t xml:space="preserve">of these SOMs </w:t>
      </w:r>
      <w:r w:rsidR="00B9221D">
        <w:t xml:space="preserve">to align </w:t>
      </w:r>
      <w:r w:rsidR="00A26029">
        <w:t>them</w:t>
      </w:r>
      <w:r w:rsidR="00B9221D">
        <w:t xml:space="preserve"> with SPM #33 (#26 as adopted).</w:t>
      </w:r>
    </w:p>
    <w:p w:rsidR="00B9221D" w:rsidP="00B9221D" w:rsidRDefault="00B9221D" w14:paraId="08918BA4" w14:textId="0CA29B6A">
      <w:pPr>
        <w:pStyle w:val="Standard"/>
      </w:pPr>
      <w:r>
        <w:t>We do not adopt Staff’s proposed SOM #3.8 and #3.9 Distribution and Transmission Vegetation/ Conductor Clearance Inspections in HFTD Areas as there are no</w:t>
      </w:r>
      <w:r w:rsidR="00932291">
        <w:t xml:space="preserve"> </w:t>
      </w:r>
      <w:r>
        <w:t xml:space="preserve">frequency requirements for such inspections in any </w:t>
      </w:r>
      <w:r w:rsidR="005B36E9">
        <w:t>G</w:t>
      </w:r>
      <w:r>
        <w:t xml:space="preserve">eneral </w:t>
      </w:r>
      <w:r w:rsidR="005B36E9">
        <w:t>O</w:t>
      </w:r>
      <w:r>
        <w:t xml:space="preserve">rder. </w:t>
      </w:r>
    </w:p>
    <w:p w:rsidR="0095570B" w:rsidP="004D6F4F" w:rsidRDefault="00B9221D" w14:paraId="155E96F8" w14:textId="0AA7DB2D">
      <w:pPr>
        <w:pStyle w:val="Standard"/>
        <w:ind w:right="-90"/>
      </w:pPr>
      <w:r>
        <w:t>We modify Staff’s proposed SOM #3.11 (</w:t>
      </w:r>
      <w:r w:rsidR="003346B6">
        <w:t>#</w:t>
      </w:r>
      <w:r>
        <w:t>3.1</w:t>
      </w:r>
      <w:r w:rsidR="00965FCE">
        <w:t>2</w:t>
      </w:r>
      <w:r>
        <w:t xml:space="preserve"> as adopted)</w:t>
      </w:r>
      <w:r w:rsidR="00965FCE">
        <w:t>, Electric Emergency Response Time</w:t>
      </w:r>
      <w:r w:rsidR="00DE403C">
        <w:t>,</w:t>
      </w:r>
      <w:r w:rsidR="00965FCE">
        <w:t xml:space="preserve"> </w:t>
      </w:r>
      <w:r>
        <w:t>to align it with SPM #3</w:t>
      </w:r>
      <w:r w:rsidR="00965FCE">
        <w:t xml:space="preserve">, with the same name, </w:t>
      </w:r>
      <w:r>
        <w:t>as adopted in this decision, focusing on average response times</w:t>
      </w:r>
      <w:r w:rsidR="0070143E">
        <w:t>,</w:t>
      </w:r>
      <w:r>
        <w:t xml:space="preserve"> </w:t>
      </w:r>
      <w:r w:rsidR="0070143E">
        <w:t xml:space="preserve">to reflect outliers, </w:t>
      </w:r>
      <w:r>
        <w:t xml:space="preserve">and broadening the metric beyond just 911 calls.  </w:t>
      </w:r>
      <w:r w:rsidR="008320B1">
        <w:t xml:space="preserve">We do not adopt </w:t>
      </w:r>
      <w:r w:rsidRPr="006704EF" w:rsidR="008320B1">
        <w:t xml:space="preserve">Cal Advocates’ </w:t>
      </w:r>
      <w:r w:rsidRPr="006704EF" w:rsidR="008320B1">
        <w:lastRenderedPageBreak/>
        <w:t>suggestion to reduce the reporting duration threshold for SOM #3.11 from 60 to five minutes</w:t>
      </w:r>
      <w:r w:rsidR="008320B1">
        <w:t xml:space="preserve">.  </w:t>
      </w:r>
      <w:r w:rsidR="006559CC">
        <w:t>A five</w:t>
      </w:r>
      <w:r w:rsidR="000F6B53">
        <w:t>-</w:t>
      </w:r>
      <w:r w:rsidR="006559CC">
        <w:t>minut</w:t>
      </w:r>
      <w:r w:rsidR="00E752AC">
        <w:t>e</w:t>
      </w:r>
      <w:r w:rsidR="006559CC">
        <w:t xml:space="preserve"> reporting threshold is too short </w:t>
      </w:r>
      <w:r w:rsidR="00DF3550">
        <w:t xml:space="preserve">as </w:t>
      </w:r>
      <w:r w:rsidR="00ED1258">
        <w:t xml:space="preserve">it is impractical to expect PG&amp;E to </w:t>
      </w:r>
      <w:r w:rsidR="00DF3550">
        <w:t>respon</w:t>
      </w:r>
      <w:r w:rsidR="00ED1258">
        <w:t>d</w:t>
      </w:r>
      <w:r w:rsidR="00DF3550">
        <w:t xml:space="preserve"> to emergency </w:t>
      </w:r>
      <w:r w:rsidR="000F6B53">
        <w:t xml:space="preserve">calls in crowded urban areas or dispersed </w:t>
      </w:r>
      <w:r w:rsidR="00E752AC">
        <w:t xml:space="preserve">rural </w:t>
      </w:r>
      <w:r w:rsidR="000F6B53">
        <w:t xml:space="preserve">areas </w:t>
      </w:r>
      <w:r w:rsidR="00881FA0">
        <w:t>in five</w:t>
      </w:r>
      <w:r w:rsidR="0021773D">
        <w:t>-</w:t>
      </w:r>
      <w:r w:rsidR="00881FA0">
        <w:t xml:space="preserve">minute increments </w:t>
      </w:r>
      <w:r w:rsidR="005967BC">
        <w:t>or to measure PG&amp;E</w:t>
      </w:r>
      <w:r w:rsidR="00881FA0">
        <w:t>’s</w:t>
      </w:r>
      <w:r w:rsidR="005967BC">
        <w:t xml:space="preserve"> response at this</w:t>
      </w:r>
      <w:r w:rsidR="00881FA0">
        <w:t xml:space="preserve"> level of detail. </w:t>
      </w:r>
      <w:r w:rsidR="0069284F">
        <w:t xml:space="preserve"> </w:t>
      </w:r>
    </w:p>
    <w:p w:rsidRPr="00775D74" w:rsidR="00AC56E0" w:rsidP="00486CD5" w:rsidRDefault="0069284F" w14:paraId="185A7D5C" w14:textId="6828577D">
      <w:pPr>
        <w:pStyle w:val="Standard"/>
        <w:ind w:right="-360"/>
      </w:pPr>
      <w:r>
        <w:t xml:space="preserve">We also do not </w:t>
      </w:r>
      <w:r w:rsidRPr="006704EF">
        <w:t>adopt Cal Advocates’ suggested additional SOM</w:t>
      </w:r>
      <w:r>
        <w:t xml:space="preserve"> #3.10.1</w:t>
      </w:r>
      <w:r w:rsidRPr="006704EF">
        <w:t xml:space="preserve"> addressing safety and reliability work authorized but not scheduled</w:t>
      </w:r>
      <w:r>
        <w:t xml:space="preserve">.  Cal Advocates did not provide a clear definition for this proposed </w:t>
      </w:r>
      <w:r w:rsidR="00813B60">
        <w:t xml:space="preserve">new </w:t>
      </w:r>
      <w:r w:rsidR="00371D2C">
        <w:t>SOM,</w:t>
      </w:r>
      <w:r>
        <w:t xml:space="preserve"> and we agree with </w:t>
      </w:r>
      <w:r w:rsidRPr="006704EF">
        <w:t xml:space="preserve">PG&amp;E </w:t>
      </w:r>
      <w:r>
        <w:t xml:space="preserve">that the Commission can obtain this information through the </w:t>
      </w:r>
      <w:r w:rsidRPr="00775D74">
        <w:t>RSAR reports.</w:t>
      </w:r>
    </w:p>
    <w:p w:rsidRPr="0048437E" w:rsidR="00D14B27" w:rsidP="00AF1C18" w:rsidRDefault="00D14B27" w14:paraId="64C5D13A" w14:textId="2B5D2020">
      <w:pPr>
        <w:pStyle w:val="Heading4"/>
      </w:pPr>
      <w:bookmarkStart w:name="_Toc80890907" w:id="150"/>
      <w:bookmarkStart w:name="_Toc87361208" w:id="151"/>
      <w:r w:rsidRPr="00775D74">
        <w:t>10.5.</w:t>
      </w:r>
      <w:r w:rsidRPr="00775D74" w:rsidR="00731F6D">
        <w:t>3</w:t>
      </w:r>
      <w:r w:rsidRPr="00775D74">
        <w:t>.3</w:t>
      </w:r>
      <w:r w:rsidRPr="00775D74">
        <w:tab/>
        <w:t xml:space="preserve">SOMs Related to Ignitions </w:t>
      </w:r>
      <w:r w:rsidRPr="00775D74" w:rsidR="00A57594">
        <w:br/>
      </w:r>
      <w:r w:rsidRPr="00775D74">
        <w:t>and Wildfires</w:t>
      </w:r>
      <w:r w:rsidRPr="00775D74" w:rsidR="0043021A">
        <w:t xml:space="preserve"> (#s 3.12 – 3.15)</w:t>
      </w:r>
      <w:bookmarkEnd w:id="150"/>
      <w:bookmarkEnd w:id="151"/>
    </w:p>
    <w:p w:rsidR="00D940DD" w:rsidP="00035F8A" w:rsidRDefault="00630DBB" w14:paraId="079DDDEF" w14:textId="086112CB">
      <w:pPr>
        <w:pStyle w:val="Heading5"/>
      </w:pPr>
      <w:bookmarkStart w:name="_Toc80890908" w:id="152"/>
      <w:bookmarkStart w:name="_Toc87361209" w:id="153"/>
      <w:r>
        <w:t>10</w:t>
      </w:r>
      <w:r w:rsidR="00035F8A">
        <w:t>.5.</w:t>
      </w:r>
      <w:r w:rsidR="00731F6D">
        <w:t>3</w:t>
      </w:r>
      <w:r w:rsidR="000475B5">
        <w:t>.3</w:t>
      </w:r>
      <w:r w:rsidR="00731F6D">
        <w:t>.1</w:t>
      </w:r>
      <w:r w:rsidR="00035F8A">
        <w:tab/>
      </w:r>
      <w:bookmarkStart w:name="_Hlk78202651" w:id="154"/>
      <w:r>
        <w:t>S</w:t>
      </w:r>
      <w:bookmarkEnd w:id="154"/>
      <w:r w:rsidR="00D14B27">
        <w:t>taff Proposal</w:t>
      </w:r>
      <w:bookmarkEnd w:id="152"/>
      <w:bookmarkEnd w:id="153"/>
    </w:p>
    <w:p w:rsidR="008B2519" w:rsidP="00856738" w:rsidRDefault="006E40A6" w14:paraId="62C96D7D" w14:textId="30B4312A">
      <w:pPr>
        <w:pStyle w:val="Standard"/>
        <w:rPr>
          <w:iCs/>
        </w:rPr>
      </w:pPr>
      <w:r>
        <w:t xml:space="preserve">Staff propose </w:t>
      </w:r>
      <w:r w:rsidR="007630B6">
        <w:t xml:space="preserve">four </w:t>
      </w:r>
      <w:r w:rsidR="00D7354E">
        <w:t>wild</w:t>
      </w:r>
      <w:r>
        <w:t>fire ignition SOMs</w:t>
      </w:r>
      <w:r w:rsidR="00CD22BA">
        <w:t xml:space="preserve"> </w:t>
      </w:r>
      <w:r w:rsidR="007630B6">
        <w:t xml:space="preserve">(#s </w:t>
      </w:r>
      <w:r w:rsidR="005D1FA8">
        <w:t xml:space="preserve">3.12-3.15) </w:t>
      </w:r>
      <w:r w:rsidR="00CD22BA">
        <w:t>based on the format required</w:t>
      </w:r>
      <w:r w:rsidR="005D1FA8">
        <w:t xml:space="preserve"> for similar reporting</w:t>
      </w:r>
      <w:r w:rsidR="00CD22BA">
        <w:t xml:space="preserve"> in </w:t>
      </w:r>
      <w:r w:rsidR="00D47650">
        <w:t xml:space="preserve">the OEIS </w:t>
      </w:r>
      <w:r w:rsidR="00CD22BA">
        <w:t>WMP</w:t>
      </w:r>
      <w:r w:rsidR="005D1FA8">
        <w:t xml:space="preserve"> </w:t>
      </w:r>
      <w:r w:rsidR="00277867">
        <w:t>G</w:t>
      </w:r>
      <w:r w:rsidR="005D1FA8">
        <w:t>uidelines</w:t>
      </w:r>
      <w:r w:rsidR="00CD22BA">
        <w:t xml:space="preserve">. </w:t>
      </w:r>
      <w:r w:rsidR="00856738">
        <w:t xml:space="preserve"> </w:t>
      </w:r>
      <w:r w:rsidR="00856738">
        <w:rPr>
          <w:iCs/>
        </w:rPr>
        <w:t>Staff state that a</w:t>
      </w:r>
      <w:r w:rsidRPr="00856738" w:rsidR="00856738">
        <w:rPr>
          <w:iCs/>
        </w:rPr>
        <w:t xml:space="preserve">nalyzing data </w:t>
      </w:r>
      <w:r w:rsidR="00856738">
        <w:rPr>
          <w:iCs/>
        </w:rPr>
        <w:t xml:space="preserve">on </w:t>
      </w:r>
      <w:r w:rsidRPr="00856738" w:rsidR="00856738">
        <w:rPr>
          <w:iCs/>
        </w:rPr>
        <w:t xml:space="preserve">the number of ignitions in </w:t>
      </w:r>
      <w:r w:rsidR="00856738">
        <w:rPr>
          <w:iCs/>
        </w:rPr>
        <w:t xml:space="preserve">Tier 2 and Tier 3 </w:t>
      </w:r>
      <w:r w:rsidRPr="00856738" w:rsidR="00856738">
        <w:rPr>
          <w:iCs/>
        </w:rPr>
        <w:t>HFTD</w:t>
      </w:r>
      <w:r w:rsidR="00856738">
        <w:rPr>
          <w:iCs/>
        </w:rPr>
        <w:t>s</w:t>
      </w:r>
      <w:r w:rsidRPr="00856738" w:rsidR="00856738">
        <w:rPr>
          <w:iCs/>
        </w:rPr>
        <w:t xml:space="preserve"> caused by</w:t>
      </w:r>
      <w:r w:rsidR="00CB056E">
        <w:rPr>
          <w:iCs/>
        </w:rPr>
        <w:t xml:space="preserve"> PG&amp;E equipment will give the </w:t>
      </w:r>
      <w:r w:rsidRPr="00856738" w:rsidR="00856738">
        <w:rPr>
          <w:iCs/>
        </w:rPr>
        <w:t xml:space="preserve">Commission </w:t>
      </w:r>
      <w:r w:rsidR="00E55740">
        <w:rPr>
          <w:iCs/>
        </w:rPr>
        <w:t xml:space="preserve">the </w:t>
      </w:r>
      <w:r w:rsidRPr="00856738" w:rsidR="00856738">
        <w:rPr>
          <w:iCs/>
        </w:rPr>
        <w:t>ability to determine whether utility operations and capital investments are resulting in safety improvements.  Figure</w:t>
      </w:r>
      <w:r w:rsidR="00750E9B">
        <w:rPr>
          <w:iCs/>
        </w:rPr>
        <w:t> </w:t>
      </w:r>
      <w:r w:rsidR="00D15BB4">
        <w:rPr>
          <w:iCs/>
        </w:rPr>
        <w:t>1</w:t>
      </w:r>
      <w:r w:rsidRPr="00856738" w:rsidR="00856738">
        <w:rPr>
          <w:iCs/>
        </w:rPr>
        <w:t xml:space="preserve"> below shows the suspected primary causes of ignitions in PG&amp;E service territory during the years 2014 – 2016.</w:t>
      </w:r>
      <w:r w:rsidRPr="00E55740" w:rsidR="00856738">
        <w:rPr>
          <w:bCs/>
          <w:iCs/>
          <w:vertAlign w:val="superscript"/>
        </w:rPr>
        <w:footnoteReference w:id="150"/>
      </w:r>
      <w:r w:rsidR="00DA624D">
        <w:rPr>
          <w:iCs/>
        </w:rPr>
        <w:t xml:space="preserve">  </w:t>
      </w:r>
      <w:r w:rsidR="0044223F">
        <w:rPr>
          <w:iCs/>
        </w:rPr>
        <w:t xml:space="preserve">Figure </w:t>
      </w:r>
      <w:r w:rsidR="00D15BB4">
        <w:rPr>
          <w:iCs/>
        </w:rPr>
        <w:t>2</w:t>
      </w:r>
      <w:r w:rsidR="0044223F">
        <w:rPr>
          <w:iCs/>
        </w:rPr>
        <w:t xml:space="preserve"> below shows updated data on suspected primary causes of ignitions for the years 2017- 2020.</w:t>
      </w:r>
    </w:p>
    <w:p w:rsidRPr="00856738" w:rsidR="00856738" w:rsidP="00775D74" w:rsidRDefault="00856738" w14:paraId="58863E56" w14:textId="6BF1A24C">
      <w:pPr>
        <w:pStyle w:val="Standard"/>
        <w:keepNext/>
        <w:keepLines/>
      </w:pPr>
      <w:r w:rsidRPr="00856738">
        <w:lastRenderedPageBreak/>
        <w:t xml:space="preserve">Figure </w:t>
      </w:r>
      <w:r w:rsidR="00D15BB4">
        <w:t>1</w:t>
      </w:r>
      <w:r w:rsidRPr="00856738">
        <w:t>: PG&amp;E Fire Incidents by Suspected Ignition Cause</w:t>
      </w:r>
      <w:r w:rsidR="00885CB0">
        <w:t xml:space="preserve"> (2014 – 2016)</w:t>
      </w:r>
    </w:p>
    <w:p w:rsidR="004D6F4F" w:rsidP="004D6F4F" w:rsidRDefault="00856738" w14:paraId="493072CB" w14:textId="77777777">
      <w:pPr>
        <w:pStyle w:val="Standard"/>
        <w:keepNext/>
        <w:keepLines/>
        <w:ind w:firstLine="0"/>
        <w:jc w:val="center"/>
        <w:rPr>
          <w:iCs/>
        </w:rPr>
      </w:pPr>
      <w:r w:rsidRPr="00856738">
        <w:rPr>
          <w:iCs/>
          <w:noProof/>
        </w:rPr>
        <w:drawing>
          <wp:inline distT="0" distB="0" distL="0" distR="0" wp14:anchorId="09244E89" wp14:editId="3DCDC1C4">
            <wp:extent cx="5410200" cy="2920349"/>
            <wp:effectExtent l="0" t="0" r="0" b="0"/>
            <wp:docPr id="1327427296" name="Picture 132742729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427296" name="Picture 1327427296" descr="Chart&#10;&#10;Description automatically generated"/>
                    <pic:cNvPicPr/>
                  </pic:nvPicPr>
                  <pic:blipFill rotWithShape="1">
                    <a:blip r:embed="rId19">
                      <a:extLst>
                        <a:ext uri="{28A0092B-C50C-407E-A947-70E740481C1C}">
                          <a14:useLocalDpi xmlns:a14="http://schemas.microsoft.com/office/drawing/2010/main" val="0"/>
                        </a:ext>
                      </a:extLst>
                    </a:blip>
                    <a:srcRect l="1398" t="8498" r="2175" b="7068"/>
                    <a:stretch/>
                  </pic:blipFill>
                  <pic:spPr bwMode="auto">
                    <a:xfrm>
                      <a:off x="0" y="0"/>
                      <a:ext cx="5425076" cy="2928379"/>
                    </a:xfrm>
                    <a:prstGeom prst="rect">
                      <a:avLst/>
                    </a:prstGeom>
                    <a:ln>
                      <a:noFill/>
                    </a:ln>
                    <a:extLst>
                      <a:ext uri="{53640926-AAD7-44D8-BBD7-CCE9431645EC}">
                        <a14:shadowObscured xmlns:a14="http://schemas.microsoft.com/office/drawing/2010/main"/>
                      </a:ext>
                    </a:extLst>
                  </pic:spPr>
                </pic:pic>
              </a:graphicData>
            </a:graphic>
          </wp:inline>
        </w:drawing>
      </w:r>
    </w:p>
    <w:p w:rsidRPr="00856738" w:rsidR="0064219C" w:rsidP="004D6F4F" w:rsidRDefault="0064219C" w14:paraId="472B6036" w14:textId="672D52A1">
      <w:pPr>
        <w:pStyle w:val="Standard"/>
        <w:keepNext/>
        <w:keepLines/>
        <w:spacing w:before="480"/>
        <w:ind w:firstLine="0"/>
        <w:jc w:val="center"/>
        <w:rPr>
          <w:iCs/>
        </w:rPr>
      </w:pPr>
      <w:r>
        <w:rPr>
          <w:iCs/>
        </w:rPr>
        <w:t xml:space="preserve">Figure </w:t>
      </w:r>
      <w:r w:rsidR="00D15BB4">
        <w:rPr>
          <w:iCs/>
        </w:rPr>
        <w:t>2</w:t>
      </w:r>
      <w:r>
        <w:rPr>
          <w:iCs/>
        </w:rPr>
        <w:t xml:space="preserve">: </w:t>
      </w:r>
      <w:r w:rsidRPr="00856738">
        <w:t>PG&amp;E Fire Incidents by Suspected Ignition Cause</w:t>
      </w:r>
      <w:r>
        <w:t xml:space="preserve"> (2017 – 2020)</w:t>
      </w:r>
    </w:p>
    <w:p w:rsidRPr="00856738" w:rsidR="00A35C52" w:rsidP="00775D74" w:rsidRDefault="00011BEA" w14:paraId="2E3F6C59" w14:textId="317D3318">
      <w:pPr>
        <w:pStyle w:val="Standard"/>
        <w:keepNext/>
        <w:keepLines/>
        <w:ind w:firstLine="0"/>
        <w:jc w:val="center"/>
        <w:rPr>
          <w:iCs/>
        </w:rPr>
      </w:pPr>
      <w:r>
        <w:rPr>
          <w:noProof/>
        </w:rPr>
        <w:drawing>
          <wp:inline distT="0" distB="0" distL="0" distR="0" wp14:anchorId="2B1DFC2F" wp14:editId="3F53514A">
            <wp:extent cx="6105525" cy="3886200"/>
            <wp:effectExtent l="0" t="0" r="9525" b="0"/>
            <wp:docPr id="3" name="Chart 3">
              <a:extLst xmlns:a="http://schemas.openxmlformats.org/drawingml/2006/main">
                <a:ext uri="{FF2B5EF4-FFF2-40B4-BE49-F238E27FC236}">
                  <a16:creationId xmlns:a16="http://schemas.microsoft.com/office/drawing/2014/main" id="{5153E5DF-55C3-4B15-AA7D-DE7831791E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856738" w:rsidR="00ED7CDC" w:rsidP="00C00777" w:rsidRDefault="00ED7CDC" w14:paraId="405B9190" w14:textId="54296E59">
      <w:pPr>
        <w:pStyle w:val="Standard"/>
        <w:keepNext/>
        <w:rPr>
          <w:iCs/>
        </w:rPr>
      </w:pPr>
      <w:r w:rsidRPr="00F0016A">
        <w:rPr>
          <w:iCs/>
        </w:rPr>
        <w:lastRenderedPageBreak/>
        <w:t xml:space="preserve">D.14-02-015 adopted a “Fire Incident Data Collection Plan” that requires </w:t>
      </w:r>
      <w:r>
        <w:rPr>
          <w:iCs/>
        </w:rPr>
        <w:t xml:space="preserve">the large </w:t>
      </w:r>
      <w:r w:rsidRPr="00F0016A">
        <w:rPr>
          <w:iCs/>
        </w:rPr>
        <w:t>IOUs to collect and annually report certain information that would be useful in identifying operational and/or environmental trends relevant to</w:t>
      </w:r>
      <w:r w:rsidR="00750E9B">
        <w:rPr>
          <w:iCs/>
        </w:rPr>
        <w:t xml:space="preserve"> </w:t>
      </w:r>
      <w:r w:rsidRPr="00F0016A">
        <w:rPr>
          <w:iCs/>
        </w:rPr>
        <w:t>fire</w:t>
      </w:r>
      <w:r w:rsidR="00750E9B">
        <w:rPr>
          <w:iCs/>
        </w:rPr>
        <w:noBreakHyphen/>
      </w:r>
      <w:r w:rsidRPr="00F0016A">
        <w:rPr>
          <w:iCs/>
        </w:rPr>
        <w:t>related events</w:t>
      </w:r>
      <w:r>
        <w:rPr>
          <w:iCs/>
        </w:rPr>
        <w:t xml:space="preserve">.  However, reporting pursuant to D.14-02-015 excludes major fires under </w:t>
      </w:r>
      <w:r w:rsidRPr="008B2519">
        <w:rPr>
          <w:iCs/>
        </w:rPr>
        <w:t xml:space="preserve">investigation or subject to litigation. </w:t>
      </w:r>
      <w:r>
        <w:rPr>
          <w:iCs/>
        </w:rPr>
        <w:t xml:space="preserve"> </w:t>
      </w:r>
      <w:r w:rsidRPr="008B2519">
        <w:rPr>
          <w:iCs/>
        </w:rPr>
        <w:t xml:space="preserve">To </w:t>
      </w:r>
      <w:r>
        <w:rPr>
          <w:iCs/>
        </w:rPr>
        <w:t xml:space="preserve">address this omission, </w:t>
      </w:r>
      <w:r w:rsidRPr="008B2519">
        <w:rPr>
          <w:iCs/>
        </w:rPr>
        <w:t>Staff</w:t>
      </w:r>
      <w:r w:rsidR="001E6FE2">
        <w:rPr>
          <w:iCs/>
        </w:rPr>
        <w:t xml:space="preserve"> state that its</w:t>
      </w:r>
      <w:r>
        <w:rPr>
          <w:iCs/>
        </w:rPr>
        <w:t xml:space="preserve"> proposed </w:t>
      </w:r>
      <w:r w:rsidR="001E6FE2">
        <w:rPr>
          <w:iCs/>
        </w:rPr>
        <w:t xml:space="preserve">definitions for </w:t>
      </w:r>
      <w:r>
        <w:rPr>
          <w:iCs/>
        </w:rPr>
        <w:t>SOM</w:t>
      </w:r>
      <w:r w:rsidR="00233D7F">
        <w:rPr>
          <w:iCs/>
        </w:rPr>
        <w:t xml:space="preserve"> #</w:t>
      </w:r>
      <w:r>
        <w:rPr>
          <w:iCs/>
        </w:rPr>
        <w:t>s 3.12 – 3.15</w:t>
      </w:r>
      <w:r w:rsidDel="001E6FE2">
        <w:rPr>
          <w:iCs/>
        </w:rPr>
        <w:t xml:space="preserve"> </w:t>
      </w:r>
      <w:r>
        <w:rPr>
          <w:iCs/>
        </w:rPr>
        <w:t xml:space="preserve">expand on </w:t>
      </w:r>
      <w:r w:rsidR="007313E7">
        <w:rPr>
          <w:iCs/>
        </w:rPr>
        <w:t xml:space="preserve">that adopted in </w:t>
      </w:r>
      <w:r w:rsidRPr="008B2519">
        <w:rPr>
          <w:iCs/>
        </w:rPr>
        <w:t xml:space="preserve">D.14-02-015 to include </w:t>
      </w:r>
      <w:r>
        <w:rPr>
          <w:iCs/>
        </w:rPr>
        <w:t xml:space="preserve">Commission </w:t>
      </w:r>
      <w:r w:rsidRPr="008B2519">
        <w:rPr>
          <w:iCs/>
        </w:rPr>
        <w:t>reportable ignitions and any ignitions determined by</w:t>
      </w:r>
      <w:r>
        <w:rPr>
          <w:iCs/>
        </w:rPr>
        <w:t xml:space="preserve"> any investigation conducted by the </w:t>
      </w:r>
      <w:r w:rsidR="00460B04">
        <w:rPr>
          <w:iCs/>
        </w:rPr>
        <w:t>a</w:t>
      </w:r>
      <w:r w:rsidRPr="008B2519">
        <w:rPr>
          <w:iCs/>
        </w:rPr>
        <w:t xml:space="preserve">uthority </w:t>
      </w:r>
      <w:r w:rsidR="00460B04">
        <w:rPr>
          <w:iCs/>
        </w:rPr>
        <w:t>h</w:t>
      </w:r>
      <w:r w:rsidRPr="008B2519">
        <w:rPr>
          <w:iCs/>
        </w:rPr>
        <w:t xml:space="preserve">aving </w:t>
      </w:r>
      <w:r w:rsidR="00460B04">
        <w:rPr>
          <w:iCs/>
        </w:rPr>
        <w:t>j</w:t>
      </w:r>
      <w:r w:rsidRPr="008B2519">
        <w:rPr>
          <w:iCs/>
        </w:rPr>
        <w:t xml:space="preserve">urisdiction to </w:t>
      </w:r>
      <w:r>
        <w:rPr>
          <w:iCs/>
        </w:rPr>
        <w:t xml:space="preserve">have </w:t>
      </w:r>
      <w:r w:rsidRPr="008B2519">
        <w:rPr>
          <w:iCs/>
        </w:rPr>
        <w:t>originate</w:t>
      </w:r>
      <w:r>
        <w:rPr>
          <w:iCs/>
        </w:rPr>
        <w:t>d</w:t>
      </w:r>
      <w:r w:rsidRPr="008B2519">
        <w:rPr>
          <w:iCs/>
        </w:rPr>
        <w:t xml:space="preserve"> from utility infrastructure. </w:t>
      </w:r>
    </w:p>
    <w:p w:rsidR="00984B54" w:rsidP="00984B54" w:rsidRDefault="00984B54" w14:paraId="77212FB3" w14:textId="2EB274CD">
      <w:pPr>
        <w:pStyle w:val="Heading5"/>
      </w:pPr>
      <w:bookmarkStart w:name="_Toc80890909" w:id="155"/>
      <w:bookmarkStart w:name="_Toc87361210" w:id="156"/>
      <w:r>
        <w:t>10.5.3.3.2</w:t>
      </w:r>
      <w:r>
        <w:tab/>
        <w:t>Party Comments</w:t>
      </w:r>
      <w:bookmarkEnd w:id="155"/>
      <w:bookmarkEnd w:id="156"/>
    </w:p>
    <w:p w:rsidRPr="00252A89" w:rsidR="00BA20C3" w:rsidP="004525AF" w:rsidRDefault="004525AF" w14:paraId="47E11E1A" w14:textId="33AC9413">
      <w:pPr>
        <w:spacing w:line="360" w:lineRule="auto"/>
        <w:ind w:firstLine="720"/>
      </w:pPr>
      <w:r w:rsidRPr="00252A89">
        <w:t xml:space="preserve">Parties generally support Staff’s proposed SOMs relating to ignitions and wildfires.  </w:t>
      </w:r>
      <w:r w:rsidR="00D37C52">
        <w:t xml:space="preserve">However, </w:t>
      </w:r>
      <w:r w:rsidRPr="00252A89">
        <w:t xml:space="preserve">PG&amp;E again argues that SOMs #s 3.12 – 3.15 are “excessively granular” because they refer only to Tier 2 and Tier 3 HFTDs.   PG&amp;E </w:t>
      </w:r>
      <w:r w:rsidR="00D37C52">
        <w:t xml:space="preserve">states it </w:t>
      </w:r>
      <w:r w:rsidRPr="00252A89">
        <w:t xml:space="preserve">would support these SOMs if they </w:t>
      </w:r>
      <w:r w:rsidR="007313E7">
        <w:t>we</w:t>
      </w:r>
      <w:r w:rsidRPr="00252A89">
        <w:t xml:space="preserve">re modified to combine reporting on transmission and distribution circuits in a single SOM. </w:t>
      </w:r>
    </w:p>
    <w:p w:rsidR="00984B54" w:rsidP="00984B54" w:rsidRDefault="00984B54" w14:paraId="7AD9E02D" w14:textId="0436488D">
      <w:pPr>
        <w:pStyle w:val="Heading5"/>
      </w:pPr>
      <w:bookmarkStart w:name="_Toc80890910" w:id="157"/>
      <w:bookmarkStart w:name="_Toc87361211" w:id="158"/>
      <w:r>
        <w:t>10.5.3.3.3</w:t>
      </w:r>
      <w:r>
        <w:tab/>
        <w:t>Discussion</w:t>
      </w:r>
      <w:bookmarkEnd w:id="157"/>
      <w:bookmarkEnd w:id="158"/>
    </w:p>
    <w:p w:rsidR="00E700EE" w:rsidP="000A7FEE" w:rsidRDefault="008471E0" w14:paraId="0648DD4B" w14:textId="7EB95F49">
      <w:pPr>
        <w:pStyle w:val="Standard"/>
      </w:pPr>
      <w:r>
        <w:t xml:space="preserve">We adopt Staff’s proposed SOMs #s </w:t>
      </w:r>
      <w:r w:rsidR="0026405B">
        <w:t xml:space="preserve">3.12 – 3.15 </w:t>
      </w:r>
      <w:r w:rsidR="00D3791E">
        <w:t xml:space="preserve">with minor </w:t>
      </w:r>
      <w:r w:rsidR="00642E4B">
        <w:t>modifications</w:t>
      </w:r>
      <w:r w:rsidR="00565B22">
        <w:t xml:space="preserve"> to correct some typographical errors in Staff’s proposal. </w:t>
      </w:r>
      <w:r w:rsidR="00750E9B">
        <w:t xml:space="preserve"> </w:t>
      </w:r>
      <w:r w:rsidR="008E294C">
        <w:t xml:space="preserve">We agree with Staff that PG&amp;E should report separately </w:t>
      </w:r>
      <w:r w:rsidR="006F786F">
        <w:t xml:space="preserve">in these areas </w:t>
      </w:r>
      <w:r w:rsidR="00065563">
        <w:t xml:space="preserve">to ensure that the Commission has data disaggregated by distribution and transmission systems regarding ignitions.  </w:t>
      </w:r>
      <w:r w:rsidR="007313E7">
        <w:t>As stated earlier, we disagree with PG&amp;E that SOMs targeting over half of PG&amp;E’s service territory are “excessively granular.”</w:t>
      </w:r>
    </w:p>
    <w:p w:rsidR="00817AEF" w:rsidP="00817AEF" w:rsidRDefault="00817AEF" w14:paraId="4FAD5806" w14:textId="304C4FC3">
      <w:pPr>
        <w:pStyle w:val="Heading3"/>
      </w:pPr>
      <w:bookmarkStart w:name="_Toc80890911" w:id="159"/>
      <w:bookmarkStart w:name="_Toc87361212" w:id="160"/>
      <w:r>
        <w:t>10.5.4</w:t>
      </w:r>
      <w:r>
        <w:tab/>
        <w:t>Natural Gas Related SOMs</w:t>
      </w:r>
      <w:r w:rsidR="002D71F0">
        <w:t xml:space="preserve"> (#s 4.1 – 4.8)</w:t>
      </w:r>
      <w:bookmarkEnd w:id="159"/>
      <w:bookmarkEnd w:id="160"/>
    </w:p>
    <w:p w:rsidR="00817AEF" w:rsidP="004F4A56" w:rsidRDefault="00817AEF" w14:paraId="00634676" w14:textId="4A87FADD">
      <w:pPr>
        <w:pStyle w:val="Standard"/>
      </w:pPr>
      <w:r>
        <w:t xml:space="preserve">Staff proposed </w:t>
      </w:r>
      <w:r w:rsidR="00133276">
        <w:t>eight</w:t>
      </w:r>
      <w:r>
        <w:t xml:space="preserve"> natural gas related SOMs</w:t>
      </w:r>
      <w:r w:rsidR="00133276">
        <w:t xml:space="preserve"> as </w:t>
      </w:r>
      <w:r w:rsidR="00FF3F1B">
        <w:t>follows:</w:t>
      </w:r>
      <w:r w:rsidR="00133276">
        <w:t xml:space="preserve"> </w:t>
      </w:r>
    </w:p>
    <w:p w:rsidRPr="00D86268" w:rsidR="00133276" w:rsidP="00142E2E" w:rsidRDefault="009A78F0" w14:paraId="3B29F66B" w14:textId="6EB14274">
      <w:pPr>
        <w:pStyle w:val="Standard"/>
        <w:numPr>
          <w:ilvl w:val="0"/>
          <w:numId w:val="21"/>
        </w:numPr>
        <w:spacing w:after="120" w:line="240" w:lineRule="auto"/>
        <w:ind w:left="1080" w:right="1440"/>
        <w:rPr>
          <w:szCs w:val="26"/>
        </w:rPr>
      </w:pPr>
      <w:r w:rsidRPr="00D86268">
        <w:rPr>
          <w:szCs w:val="26"/>
        </w:rPr>
        <w:t>4.1</w:t>
      </w:r>
      <w:r w:rsidRPr="00D86268" w:rsidR="00B75F20">
        <w:rPr>
          <w:szCs w:val="26"/>
        </w:rPr>
        <w:t xml:space="preserve"> Number of Gas Dig-Ins per 1000 U</w:t>
      </w:r>
      <w:r w:rsidR="00F80219">
        <w:rPr>
          <w:szCs w:val="26"/>
        </w:rPr>
        <w:t>nderground Service Alert</w:t>
      </w:r>
      <w:r w:rsidRPr="00D86268" w:rsidR="00B75F20">
        <w:rPr>
          <w:szCs w:val="26"/>
        </w:rPr>
        <w:t xml:space="preserve"> tickets on Transmission and Distribution pipelines</w:t>
      </w:r>
    </w:p>
    <w:p w:rsidRPr="00D86268" w:rsidR="009A78F0" w:rsidP="00142E2E" w:rsidRDefault="009A78F0" w14:paraId="0482972F" w14:textId="778007CC">
      <w:pPr>
        <w:pStyle w:val="Standard"/>
        <w:numPr>
          <w:ilvl w:val="0"/>
          <w:numId w:val="21"/>
        </w:numPr>
        <w:spacing w:after="120" w:line="240" w:lineRule="auto"/>
        <w:ind w:left="1080" w:right="1440"/>
        <w:rPr>
          <w:szCs w:val="26"/>
        </w:rPr>
      </w:pPr>
      <w:r w:rsidRPr="00D86268">
        <w:rPr>
          <w:szCs w:val="26"/>
        </w:rPr>
        <w:t>4.2</w:t>
      </w:r>
      <w:r w:rsidRPr="00D86268" w:rsidR="00553047">
        <w:rPr>
          <w:szCs w:val="26"/>
        </w:rPr>
        <w:t xml:space="preserve"> Number of Overpressure Events</w:t>
      </w:r>
    </w:p>
    <w:p w:rsidRPr="00D86268" w:rsidR="009A78F0" w:rsidP="00142E2E" w:rsidRDefault="009A78F0" w14:paraId="46A0048D" w14:textId="010928DB">
      <w:pPr>
        <w:pStyle w:val="Standard"/>
        <w:numPr>
          <w:ilvl w:val="0"/>
          <w:numId w:val="21"/>
        </w:numPr>
        <w:spacing w:after="120" w:line="240" w:lineRule="auto"/>
        <w:ind w:left="1080" w:right="1440"/>
        <w:rPr>
          <w:szCs w:val="26"/>
        </w:rPr>
      </w:pPr>
      <w:r w:rsidRPr="00D86268">
        <w:rPr>
          <w:szCs w:val="26"/>
        </w:rPr>
        <w:lastRenderedPageBreak/>
        <w:t>4.3</w:t>
      </w:r>
      <w:r w:rsidRPr="00D86268" w:rsidR="007305E1">
        <w:rPr>
          <w:szCs w:val="26"/>
        </w:rPr>
        <w:t xml:space="preserve"> Normalized Overpressure Events</w:t>
      </w:r>
    </w:p>
    <w:p w:rsidRPr="00D86268" w:rsidR="009A78F0" w:rsidP="00142E2E" w:rsidRDefault="009A78F0" w14:paraId="0618B74C" w14:textId="63B8AB22">
      <w:pPr>
        <w:pStyle w:val="Standard"/>
        <w:numPr>
          <w:ilvl w:val="0"/>
          <w:numId w:val="21"/>
        </w:numPr>
        <w:spacing w:after="120" w:line="240" w:lineRule="auto"/>
        <w:ind w:left="1080" w:right="1440"/>
        <w:rPr>
          <w:szCs w:val="26"/>
        </w:rPr>
      </w:pPr>
      <w:r w:rsidRPr="00D86268">
        <w:rPr>
          <w:szCs w:val="26"/>
        </w:rPr>
        <w:t>4.4</w:t>
      </w:r>
      <w:r w:rsidRPr="00D86268" w:rsidR="00F85393">
        <w:rPr>
          <w:szCs w:val="26"/>
        </w:rPr>
        <w:t xml:space="preserve"> Time to Respond On-site </w:t>
      </w:r>
      <w:r w:rsidRPr="00D86268" w:rsidR="00F85393">
        <w:rPr>
          <w:rFonts w:eastAsia="Yu Mincho"/>
          <w:szCs w:val="26"/>
        </w:rPr>
        <w:t>to Emergency Notification</w:t>
      </w:r>
    </w:p>
    <w:p w:rsidRPr="00D86268" w:rsidR="009A78F0" w:rsidP="00142E2E" w:rsidRDefault="009A78F0" w14:paraId="47655905" w14:textId="6FA62F55">
      <w:pPr>
        <w:pStyle w:val="Standard"/>
        <w:numPr>
          <w:ilvl w:val="0"/>
          <w:numId w:val="21"/>
        </w:numPr>
        <w:spacing w:after="120" w:line="240" w:lineRule="auto"/>
        <w:ind w:left="1080" w:right="1440"/>
        <w:rPr>
          <w:szCs w:val="26"/>
        </w:rPr>
      </w:pPr>
      <w:r w:rsidRPr="00D86268">
        <w:rPr>
          <w:szCs w:val="26"/>
        </w:rPr>
        <w:t>4.5</w:t>
      </w:r>
      <w:r w:rsidRPr="00D86268" w:rsidR="00833739">
        <w:rPr>
          <w:szCs w:val="26"/>
        </w:rPr>
        <w:t xml:space="preserve"> Gas Shut-In Time, Mains</w:t>
      </w:r>
    </w:p>
    <w:p w:rsidRPr="00D86268" w:rsidR="009A78F0" w:rsidP="00142E2E" w:rsidRDefault="009A78F0" w14:paraId="5E1A2EDB" w14:textId="7E16146E">
      <w:pPr>
        <w:pStyle w:val="Standard"/>
        <w:numPr>
          <w:ilvl w:val="0"/>
          <w:numId w:val="21"/>
        </w:numPr>
        <w:spacing w:after="120" w:line="240" w:lineRule="auto"/>
        <w:ind w:left="1080" w:right="1440"/>
        <w:rPr>
          <w:szCs w:val="26"/>
        </w:rPr>
      </w:pPr>
      <w:r w:rsidRPr="00D86268">
        <w:rPr>
          <w:szCs w:val="26"/>
        </w:rPr>
        <w:t>4.6</w:t>
      </w:r>
      <w:r w:rsidRPr="00D86268" w:rsidR="00ED49F6">
        <w:rPr>
          <w:szCs w:val="26"/>
        </w:rPr>
        <w:t xml:space="preserve"> Gas Shut-In Time, Services</w:t>
      </w:r>
    </w:p>
    <w:p w:rsidRPr="00D86268" w:rsidR="009A78F0" w:rsidP="00142E2E" w:rsidRDefault="009A78F0" w14:paraId="6E588C72" w14:textId="60030B3B">
      <w:pPr>
        <w:pStyle w:val="Standard"/>
        <w:numPr>
          <w:ilvl w:val="0"/>
          <w:numId w:val="21"/>
        </w:numPr>
        <w:spacing w:after="120" w:line="240" w:lineRule="auto"/>
        <w:ind w:left="1080" w:right="1440"/>
        <w:rPr>
          <w:szCs w:val="26"/>
        </w:rPr>
      </w:pPr>
      <w:r w:rsidRPr="00D86268">
        <w:rPr>
          <w:szCs w:val="26"/>
        </w:rPr>
        <w:t>4.7</w:t>
      </w:r>
      <w:r w:rsidRPr="00D86268" w:rsidR="00967B5D">
        <w:rPr>
          <w:szCs w:val="26"/>
        </w:rPr>
        <w:t xml:space="preserve"> Uncontrolled Release of Gas on Transmission Pipelines</w:t>
      </w:r>
    </w:p>
    <w:p w:rsidRPr="00C00777" w:rsidR="00D86268" w:rsidP="00142E2E" w:rsidRDefault="009A78F0" w14:paraId="212C3A62" w14:textId="43FB16A4">
      <w:pPr>
        <w:pStyle w:val="Standard"/>
        <w:numPr>
          <w:ilvl w:val="0"/>
          <w:numId w:val="21"/>
        </w:numPr>
        <w:spacing w:after="120" w:line="240" w:lineRule="auto"/>
        <w:ind w:left="1080" w:right="1440"/>
        <w:rPr>
          <w:szCs w:val="26"/>
        </w:rPr>
      </w:pPr>
      <w:r w:rsidRPr="00D86268">
        <w:rPr>
          <w:szCs w:val="26"/>
        </w:rPr>
        <w:t>4.8</w:t>
      </w:r>
      <w:r w:rsidRPr="00D86268" w:rsidR="00D86268">
        <w:rPr>
          <w:szCs w:val="26"/>
        </w:rPr>
        <w:t xml:space="preserve"> Time to Resolve Hazardous Conditions</w:t>
      </w:r>
    </w:p>
    <w:p w:rsidR="000A7FEE" w:rsidP="00142E2E" w:rsidRDefault="000A7FEE" w14:paraId="4DFD6D36" w14:textId="5CC5F107">
      <w:pPr>
        <w:pStyle w:val="Heading4"/>
        <w:numPr>
          <w:ilvl w:val="3"/>
          <w:numId w:val="24"/>
        </w:numPr>
        <w:spacing w:before="240"/>
      </w:pPr>
      <w:bookmarkStart w:name="_Toc80890912" w:id="161"/>
      <w:bookmarkStart w:name="_Toc87361213" w:id="162"/>
      <w:r>
        <w:t>Party Comments</w:t>
      </w:r>
      <w:bookmarkEnd w:id="161"/>
      <w:bookmarkEnd w:id="162"/>
    </w:p>
    <w:p w:rsidR="004A55E6" w:rsidP="00767508" w:rsidRDefault="00A53A60" w14:paraId="10088693" w14:textId="66262D17">
      <w:pPr>
        <w:pStyle w:val="Standard"/>
      </w:pPr>
      <w:r>
        <w:t>PG&amp;E comment</w:t>
      </w:r>
      <w:r w:rsidR="001A3726">
        <w:t>s</w:t>
      </w:r>
      <w:r>
        <w:t xml:space="preserve"> on Staff’s proposed natural gas SOMs</w:t>
      </w:r>
      <w:r w:rsidR="001A3726">
        <w:t xml:space="preserve"> and </w:t>
      </w:r>
      <w:r w:rsidR="00453B4F">
        <w:t xml:space="preserve">recommends </w:t>
      </w:r>
      <w:r w:rsidR="002B1FC8">
        <w:t xml:space="preserve">several </w:t>
      </w:r>
      <w:r w:rsidR="00453B4F">
        <w:t>modifications</w:t>
      </w:r>
      <w:r w:rsidR="002B1FC8">
        <w:t xml:space="preserve">.  First, PG&amp;E recommends </w:t>
      </w:r>
      <w:r w:rsidR="00F00D0F">
        <w:t>the Commission</w:t>
      </w:r>
      <w:r w:rsidR="002B1FC8">
        <w:t xml:space="preserve"> m</w:t>
      </w:r>
      <w:r w:rsidRPr="00A75CE5" w:rsidR="00AE1AAB">
        <w:t xml:space="preserve">odify SOM #4.1 </w:t>
      </w:r>
      <w:r w:rsidRPr="00A75CE5" w:rsidR="00EC124C">
        <w:t>b</w:t>
      </w:r>
      <w:r w:rsidR="00DD75F9">
        <w:t xml:space="preserve">y revising </w:t>
      </w:r>
      <w:r w:rsidRPr="00A75CE5" w:rsidR="00EC124C">
        <w:t>the definition</w:t>
      </w:r>
      <w:r w:rsidRPr="00A75CE5" w:rsidR="00E4760C">
        <w:t xml:space="preserve"> to </w:t>
      </w:r>
      <w:r w:rsidRPr="00A75CE5" w:rsidR="00A75CE5">
        <w:t xml:space="preserve">better </w:t>
      </w:r>
      <w:r w:rsidRPr="00A75CE5" w:rsidR="00E4760C">
        <w:t>focus on the number of gas dig-ins per 1,000 Underground Service Alert tickets received for gas</w:t>
      </w:r>
      <w:r w:rsidR="002B1FC8">
        <w:t>.  PG&amp;E suggests we e</w:t>
      </w:r>
      <w:r w:rsidR="00453B4F">
        <w:t xml:space="preserve">liminate SOM #4.3 because it is duplicative of SOM </w:t>
      </w:r>
      <w:r w:rsidR="00492FF0">
        <w:t>#</w:t>
      </w:r>
      <w:r w:rsidR="00453B4F">
        <w:t>4.2</w:t>
      </w:r>
      <w:r w:rsidR="00792C9F">
        <w:t>, with the addition of normalization to the number of pressure transducers</w:t>
      </w:r>
      <w:r w:rsidR="001F49A6">
        <w:t>, which Staff can calculate if they wish</w:t>
      </w:r>
      <w:r w:rsidR="002B1FC8">
        <w:t xml:space="preserve">.  </w:t>
      </w:r>
      <w:r w:rsidR="006D21E4">
        <w:t>PG&amp;E recommends we specify “average” time reporting increments for SOM #4.4 regarding time to respond on-site to emergency notification</w:t>
      </w:r>
      <w:r w:rsidR="0059113D">
        <w:t xml:space="preserve"> to align this with American Gas Association reporting</w:t>
      </w:r>
      <w:r w:rsidR="006D21E4">
        <w:t xml:space="preserve">.  </w:t>
      </w:r>
      <w:r w:rsidR="002B1FC8">
        <w:t xml:space="preserve">PG&amp;E recommends </w:t>
      </w:r>
      <w:r w:rsidR="00B81E80">
        <w:t>the Commission</w:t>
      </w:r>
      <w:r w:rsidR="002B1FC8">
        <w:t xml:space="preserve"> m</w:t>
      </w:r>
      <w:r w:rsidR="003E552B">
        <w:t>odify SOM</w:t>
      </w:r>
      <w:r w:rsidR="00321C9E">
        <w:t>s</w:t>
      </w:r>
      <w:r w:rsidR="004A55E6">
        <w:t xml:space="preserve"> #s</w:t>
      </w:r>
      <w:r w:rsidR="003E552B">
        <w:t xml:space="preserve"> </w:t>
      </w:r>
      <w:r w:rsidR="004A55E6">
        <w:t>4.5, 4.6</w:t>
      </w:r>
      <w:r w:rsidR="00F35EA6">
        <w:t>, and 4.8</w:t>
      </w:r>
      <w:r w:rsidR="003E552B">
        <w:t xml:space="preserve"> </w:t>
      </w:r>
      <w:r w:rsidR="00B81E80">
        <w:t xml:space="preserve">as proposed by Staff </w:t>
      </w:r>
      <w:r w:rsidR="003C4700">
        <w:t>by</w:t>
      </w:r>
      <w:r w:rsidR="00B81E80">
        <w:t xml:space="preserve"> </w:t>
      </w:r>
      <w:r w:rsidR="003C4700">
        <w:t>r</w:t>
      </w:r>
      <w:r w:rsidR="00321C9E">
        <w:t>eplac</w:t>
      </w:r>
      <w:r w:rsidR="003C4700">
        <w:t>ing</w:t>
      </w:r>
      <w:r w:rsidR="00321C9E">
        <w:t xml:space="preserve"> </w:t>
      </w:r>
      <w:r w:rsidR="00587993">
        <w:t xml:space="preserve">the recommended “average” </w:t>
      </w:r>
      <w:r w:rsidR="00321C9E">
        <w:t xml:space="preserve">time increments </w:t>
      </w:r>
      <w:r w:rsidR="00B45E59">
        <w:t>with</w:t>
      </w:r>
      <w:r w:rsidR="00587993">
        <w:t xml:space="preserve"> “</w:t>
      </w:r>
      <w:r w:rsidR="00A64118">
        <w:t>median</w:t>
      </w:r>
      <w:r w:rsidR="00587993">
        <w:t>”</w:t>
      </w:r>
      <w:r w:rsidR="00321C9E">
        <w:t xml:space="preserve"> time</w:t>
      </w:r>
      <w:r w:rsidR="00A64118">
        <w:t xml:space="preserve"> </w:t>
      </w:r>
      <w:r w:rsidR="00587993">
        <w:t xml:space="preserve">increments </w:t>
      </w:r>
      <w:r w:rsidR="00A64118">
        <w:t>and delet</w:t>
      </w:r>
      <w:r w:rsidR="003C4700">
        <w:t>ing</w:t>
      </w:r>
      <w:r w:rsidR="00A64118">
        <w:t xml:space="preserve"> reference to GO 112</w:t>
      </w:r>
      <w:r w:rsidR="004322F3">
        <w:t>-</w:t>
      </w:r>
      <w:r w:rsidR="00A64118">
        <w:t>F 123.2(e)</w:t>
      </w:r>
      <w:r w:rsidR="002B1FC8">
        <w:t>.  PG&amp;E also recommends we m</w:t>
      </w:r>
      <w:r w:rsidR="00321C9E">
        <w:t xml:space="preserve">odify SOM </w:t>
      </w:r>
      <w:r w:rsidR="00B06A83">
        <w:t xml:space="preserve">#4.7 </w:t>
      </w:r>
      <w:r w:rsidR="00962B95">
        <w:t xml:space="preserve">by defining reportable leaks as </w:t>
      </w:r>
      <w:r w:rsidR="00C763AC">
        <w:t xml:space="preserve">only </w:t>
      </w:r>
      <w:r w:rsidR="00962B95">
        <w:t>those that are not reportable u</w:t>
      </w:r>
      <w:r w:rsidR="00A64118">
        <w:t>nder Code of Federal Regulations (CFR) 191.3</w:t>
      </w:r>
      <w:r w:rsidR="002B1FC8">
        <w:t>.</w:t>
      </w:r>
    </w:p>
    <w:p w:rsidR="00BE2E4A" w:rsidRDefault="00BE2E4A" w14:paraId="2FE28C5D" w14:textId="5031DD44">
      <w:pPr>
        <w:pStyle w:val="Standard"/>
      </w:pPr>
      <w:r>
        <w:t>No other party commented on these SOMs.</w:t>
      </w:r>
    </w:p>
    <w:p w:rsidR="000A7FEE" w:rsidP="00767508" w:rsidRDefault="000A7FEE" w14:paraId="3868FFDB" w14:textId="169F7BA6">
      <w:pPr>
        <w:pStyle w:val="Heading4"/>
        <w:spacing w:after="0" w:line="360" w:lineRule="auto"/>
      </w:pPr>
      <w:bookmarkStart w:name="_Toc80890913" w:id="163"/>
      <w:bookmarkStart w:name="_Toc87361214" w:id="164"/>
      <w:r>
        <w:t>10.5.4.2</w:t>
      </w:r>
      <w:r>
        <w:tab/>
        <w:t>Discussion</w:t>
      </w:r>
      <w:bookmarkEnd w:id="163"/>
      <w:bookmarkEnd w:id="164"/>
    </w:p>
    <w:p w:rsidR="00F85302" w:rsidP="000A7FEE" w:rsidRDefault="00BE2E4A" w14:paraId="44832824" w14:textId="70E68C0F">
      <w:pPr>
        <w:pStyle w:val="Standard"/>
      </w:pPr>
      <w:r>
        <w:t xml:space="preserve">We adopt </w:t>
      </w:r>
      <w:r w:rsidR="002F3135">
        <w:t>Staff’s proposed SOMs #s 4.1 – 4.8 with modifications</w:t>
      </w:r>
      <w:r w:rsidR="00AF439F">
        <w:t xml:space="preserve"> that reflect</w:t>
      </w:r>
      <w:r w:rsidR="004F710B">
        <w:t xml:space="preserve"> </w:t>
      </w:r>
      <w:r w:rsidR="002F3135">
        <w:t xml:space="preserve">some but not all of PG&amp;E’s recommended changes.  </w:t>
      </w:r>
      <w:r w:rsidR="000F7225">
        <w:t>We modify SOM #4.1 as suggested by PG&amp;E</w:t>
      </w:r>
      <w:r w:rsidR="00A75CE5">
        <w:t xml:space="preserve"> </w:t>
      </w:r>
      <w:r w:rsidRPr="00A75CE5" w:rsidR="00A75CE5">
        <w:t xml:space="preserve">to better focus on the number of gas dig-ins </w:t>
      </w:r>
      <w:r w:rsidRPr="00A75CE5" w:rsidR="00A75CE5">
        <w:lastRenderedPageBreak/>
        <w:t>per</w:t>
      </w:r>
      <w:r w:rsidR="00C14146">
        <w:t> </w:t>
      </w:r>
      <w:r w:rsidRPr="00A75CE5" w:rsidR="00A75CE5">
        <w:t>1,000</w:t>
      </w:r>
      <w:r w:rsidR="00C14146">
        <w:t> </w:t>
      </w:r>
      <w:r w:rsidRPr="00A75CE5" w:rsidR="00A75CE5">
        <w:t>Underground Service Alert tickets received for gas</w:t>
      </w:r>
      <w:r w:rsidR="00A75CE5">
        <w:t xml:space="preserve"> </w:t>
      </w:r>
      <w:r w:rsidR="000F7225">
        <w:t xml:space="preserve">as reasonable and clarifying.  </w:t>
      </w:r>
      <w:r w:rsidR="006C2FB2">
        <w:t>We delete SOM #4.3 as redundant, as observed by PG&amp;E</w:t>
      </w:r>
      <w:r w:rsidR="000F7225">
        <w:t>.</w:t>
      </w:r>
      <w:r w:rsidR="006C2FB2">
        <w:t xml:space="preserve"> </w:t>
      </w:r>
      <w:r w:rsidR="00911ABF">
        <w:t xml:space="preserve"> </w:t>
      </w:r>
      <w:bookmarkStart w:name="_Hlk82697564" w:id="165"/>
      <w:r w:rsidR="006D21E4">
        <w:t>We accept PG&amp;E’s proposed modification to SOM #</w:t>
      </w:r>
      <w:r w:rsidRPr="0000777D" w:rsidR="006D21E4">
        <w:t>4.</w:t>
      </w:r>
      <w:r w:rsidR="006D21E4">
        <w:t>4</w:t>
      </w:r>
      <w:r w:rsidRPr="0000777D" w:rsidR="006D21E4">
        <w:t xml:space="preserve"> </w:t>
      </w:r>
      <w:r w:rsidR="006D21E4">
        <w:t xml:space="preserve">by requiring reporting based on average </w:t>
      </w:r>
      <w:r w:rsidRPr="0000777D" w:rsidR="006D21E4">
        <w:t>time increments</w:t>
      </w:r>
      <w:r w:rsidR="006D21E4">
        <w:t xml:space="preserve">; this aligns SOM #4.4 with time to respond on-site to emergency notification </w:t>
      </w:r>
      <w:r w:rsidR="0059113D">
        <w:t xml:space="preserve">required by </w:t>
      </w:r>
      <w:r w:rsidR="006D21E4">
        <w:t xml:space="preserve">the American Gas Association.  </w:t>
      </w:r>
      <w:r w:rsidR="006C2FB2">
        <w:t>We accept PG&amp;E’s proposed modification to SOM #</w:t>
      </w:r>
      <w:r w:rsidRPr="0000777D" w:rsidR="0000777D">
        <w:t>4.</w:t>
      </w:r>
      <w:r w:rsidR="006D21E4">
        <w:t>5</w:t>
      </w:r>
      <w:r w:rsidRPr="0000777D" w:rsidR="0000777D">
        <w:t xml:space="preserve">, </w:t>
      </w:r>
      <w:r w:rsidR="00911ABF">
        <w:t>by re</w:t>
      </w:r>
      <w:r w:rsidR="004D562B">
        <w:t>quiring reporting based on median</w:t>
      </w:r>
      <w:r w:rsidR="0000777D">
        <w:t xml:space="preserve"> </w:t>
      </w:r>
      <w:r w:rsidRPr="0000777D" w:rsidR="0000777D">
        <w:t xml:space="preserve">time increments and </w:t>
      </w:r>
      <w:r w:rsidRPr="00C82C2F" w:rsidR="00D34F49">
        <w:t xml:space="preserve">requiring PG&amp;E to </w:t>
      </w:r>
      <w:r w:rsidRPr="00C82C2F" w:rsidR="00930D2E">
        <w:t xml:space="preserve">include as supplemental information </w:t>
      </w:r>
      <w:r w:rsidRPr="00C82C2F" w:rsidR="00D34F49">
        <w:t xml:space="preserve">the data used to determine </w:t>
      </w:r>
      <w:r w:rsidR="004B1EE9">
        <w:t>median</w:t>
      </w:r>
      <w:r w:rsidRPr="00C82C2F" w:rsidR="00D34F49">
        <w:t xml:space="preserve"> </w:t>
      </w:r>
      <w:r w:rsidRPr="00C82C2F" w:rsidR="00930D2E">
        <w:t>t</w:t>
      </w:r>
      <w:r w:rsidRPr="00C82C2F" w:rsidR="00D34F49">
        <w:t>ime increments as defined in GO 112-F 123.2</w:t>
      </w:r>
      <w:r w:rsidRPr="00C82C2F" w:rsidR="00C83485">
        <w:t>(c)</w:t>
      </w:r>
      <w:r w:rsidRPr="00C82C2F" w:rsidR="00C82C2F">
        <w:t xml:space="preserve">.  </w:t>
      </w:r>
      <w:r w:rsidR="007B1BDF">
        <w:t xml:space="preserve">We </w:t>
      </w:r>
      <w:r w:rsidR="00BA7A43">
        <w:t xml:space="preserve">also </w:t>
      </w:r>
      <w:r w:rsidR="007B1BDF">
        <w:t xml:space="preserve">clarify SOMs #s </w:t>
      </w:r>
      <w:r w:rsidRPr="0000777D" w:rsidR="007B1BDF">
        <w:t>4.</w:t>
      </w:r>
      <w:r w:rsidR="006D21E4">
        <w:t>6</w:t>
      </w:r>
      <w:r w:rsidRPr="0000777D" w:rsidR="007B1BDF">
        <w:t xml:space="preserve"> and 4.</w:t>
      </w:r>
      <w:r w:rsidR="006D21E4">
        <w:t>8</w:t>
      </w:r>
      <w:r w:rsidR="007B1BDF">
        <w:t xml:space="preserve"> to require reporting of the median </w:t>
      </w:r>
      <w:r w:rsidR="005167E7">
        <w:t xml:space="preserve">rather than average </w:t>
      </w:r>
      <w:r w:rsidR="007B1BDF">
        <w:t>response time</w:t>
      </w:r>
      <w:r w:rsidR="005167E7">
        <w:t xml:space="preserve"> as more relevant</w:t>
      </w:r>
      <w:r w:rsidR="0070143E">
        <w:t xml:space="preserve"> in these instances</w:t>
      </w:r>
      <w:r w:rsidR="007B1BDF">
        <w:t>.</w:t>
      </w:r>
      <w:r w:rsidR="00593E4E">
        <w:rPr>
          <w:rStyle w:val="FootnoteReference"/>
        </w:rPr>
        <w:footnoteReference w:id="151"/>
      </w:r>
    </w:p>
    <w:bookmarkEnd w:id="165"/>
    <w:p w:rsidR="000A7FEE" w:rsidP="00F85302" w:rsidRDefault="009543E1" w14:paraId="35E571DD" w14:textId="4729271C">
      <w:pPr>
        <w:pStyle w:val="Standard"/>
      </w:pPr>
      <w:r w:rsidRPr="00C82C2F">
        <w:t>We d</w:t>
      </w:r>
      <w:r>
        <w:t xml:space="preserve">o not adopt PG&amp;E’s requested modification to SOM #4.7 to eliminate </w:t>
      </w:r>
      <w:r w:rsidR="009472F7">
        <w:t xml:space="preserve">reporting of leakages required to be reported pursuant to </w:t>
      </w:r>
      <w:r w:rsidR="00D2582E">
        <w:t xml:space="preserve">49 </w:t>
      </w:r>
      <w:r w:rsidR="009472F7">
        <w:t>CFR 191.3.  PG&amp;E does not provide a rationale for this request</w:t>
      </w:r>
      <w:r w:rsidR="00593E4E">
        <w:t>,</w:t>
      </w:r>
      <w:r w:rsidR="009472F7">
        <w:t xml:space="preserve"> and we believe reporting the full </w:t>
      </w:r>
      <w:r w:rsidR="00F156BB">
        <w:t xml:space="preserve">number of leaks and failures that occur on transmission lines </w:t>
      </w:r>
      <w:r w:rsidR="004D5380">
        <w:t xml:space="preserve">is reasonable and </w:t>
      </w:r>
      <w:r w:rsidR="00911ABF">
        <w:t xml:space="preserve">will provide us with </w:t>
      </w:r>
      <w:r w:rsidR="004D5380">
        <w:t xml:space="preserve">essential safety </w:t>
      </w:r>
      <w:r w:rsidR="00911ABF">
        <w:t>oversight informatio</w:t>
      </w:r>
      <w:r w:rsidR="004D5380">
        <w:t>n</w:t>
      </w:r>
      <w:r w:rsidR="00F156BB">
        <w:t xml:space="preserve">. </w:t>
      </w:r>
    </w:p>
    <w:p w:rsidR="00593CC1" w:rsidP="001852F9" w:rsidRDefault="001852F9" w14:paraId="05C64AFB" w14:textId="1B8E5084">
      <w:pPr>
        <w:pStyle w:val="Heading3"/>
      </w:pPr>
      <w:bookmarkStart w:name="_Toc80890914" w:id="167"/>
      <w:bookmarkStart w:name="_Toc87361215" w:id="168"/>
      <w:r>
        <w:t>10.5.5</w:t>
      </w:r>
      <w:r>
        <w:tab/>
      </w:r>
      <w:r w:rsidR="00593CC1">
        <w:t>Quality of Service</w:t>
      </w:r>
      <w:r w:rsidR="001231F6">
        <w:t xml:space="preserve"> and </w:t>
      </w:r>
      <w:r w:rsidR="00593CC1">
        <w:t>Management,  Affordability</w:t>
      </w:r>
      <w:r w:rsidR="001231F6">
        <w:t>,</w:t>
      </w:r>
      <w:r w:rsidR="006448CD">
        <w:t xml:space="preserve"> and</w:t>
      </w:r>
      <w:r w:rsidR="004D5380">
        <w:t xml:space="preserve"> </w:t>
      </w:r>
      <w:r w:rsidR="006448CD">
        <w:t>Risk-Driven Investments</w:t>
      </w:r>
      <w:bookmarkEnd w:id="167"/>
      <w:bookmarkEnd w:id="168"/>
    </w:p>
    <w:p w:rsidR="00227588" w:rsidP="00227588" w:rsidRDefault="00227588" w14:paraId="59F74A1C" w14:textId="102B8400">
      <w:pPr>
        <w:pStyle w:val="Standard"/>
        <w:rPr>
          <w:iCs/>
        </w:rPr>
      </w:pPr>
      <w:r w:rsidRPr="00227588">
        <w:rPr>
          <w:iCs/>
        </w:rPr>
        <w:t xml:space="preserve">D.20-05-053 states that “the Commission will consider metrics to measure PG&amp;E’s quality of service and quality of management in the proceeding </w:t>
      </w:r>
      <w:r w:rsidRPr="00227588">
        <w:rPr>
          <w:iCs/>
        </w:rPr>
        <w:lastRenderedPageBreak/>
        <w:t>addressing Safety and Operational Metric</w:t>
      </w:r>
      <w:r w:rsidRPr="00C962CC">
        <w:rPr>
          <w:iCs/>
        </w:rPr>
        <w:t>s</w:t>
      </w:r>
      <w:r w:rsidRPr="00C962CC">
        <w:t>.</w:t>
      </w:r>
      <w:r w:rsidRPr="00C962CC" w:rsidR="001231F6">
        <w:t>”</w:t>
      </w:r>
      <w:r w:rsidRPr="00C962CC">
        <w:rPr>
          <w:iCs/>
          <w:vertAlign w:val="superscript"/>
        </w:rPr>
        <w:footnoteReference w:id="152"/>
      </w:r>
      <w:r w:rsidRPr="00767508" w:rsidR="001231F6">
        <w:t xml:space="preserve"> </w:t>
      </w:r>
      <w:r w:rsidRPr="001231F6">
        <w:t xml:space="preserve"> Accordingly</w:t>
      </w:r>
      <w:r w:rsidRPr="00227588">
        <w:rPr>
          <w:iCs/>
        </w:rPr>
        <w:t xml:space="preserve">, the </w:t>
      </w:r>
      <w:r w:rsidR="000E13D2">
        <w:rPr>
          <w:iCs/>
        </w:rPr>
        <w:t xml:space="preserve">SOMs Ruling </w:t>
      </w:r>
      <w:r>
        <w:rPr>
          <w:iCs/>
        </w:rPr>
        <w:t xml:space="preserve">indicates </w:t>
      </w:r>
      <w:r w:rsidRPr="00227588">
        <w:rPr>
          <w:iCs/>
        </w:rPr>
        <w:t>that PG&amp;E should consider guidance in D.20-05-053 on “quality of service and quality of management metrics, which should constitute a significant portion of the proposed ‘operational’ metrics.</w:t>
      </w:r>
      <w:r w:rsidRPr="0024305D" w:rsidR="0024305D">
        <w:rPr>
          <w:iCs/>
        </w:rPr>
        <w:t>”</w:t>
      </w:r>
      <w:r w:rsidRPr="00227588" w:rsidR="0024305D">
        <w:rPr>
          <w:iCs/>
          <w:vertAlign w:val="superscript"/>
        </w:rPr>
        <w:footnoteReference w:id="153"/>
      </w:r>
      <w:r w:rsidRPr="00227588" w:rsidR="0024305D">
        <w:rPr>
          <w:iCs/>
        </w:rPr>
        <w:t xml:space="preserve">  </w:t>
      </w:r>
      <w:r w:rsidR="0024305D">
        <w:rPr>
          <w:iCs/>
        </w:rPr>
        <w:t xml:space="preserve">The SOMs Ruling directs </w:t>
      </w:r>
      <w:r w:rsidRPr="00227588">
        <w:rPr>
          <w:iCs/>
        </w:rPr>
        <w:t xml:space="preserve">PG&amp;E </w:t>
      </w:r>
      <w:r w:rsidR="0024305D">
        <w:rPr>
          <w:iCs/>
        </w:rPr>
        <w:t xml:space="preserve">to </w:t>
      </w:r>
      <w:r w:rsidRPr="00227588">
        <w:rPr>
          <w:iCs/>
        </w:rPr>
        <w:t>include metrics on customer engagement, satisfaction, and welfare in its proposed quality of service and management metrics</w:t>
      </w:r>
      <w:r w:rsidR="0024305D">
        <w:rPr>
          <w:iCs/>
        </w:rPr>
        <w:t>.</w:t>
      </w:r>
      <w:r w:rsidR="006448CD">
        <w:rPr>
          <w:iCs/>
        </w:rPr>
        <w:t xml:space="preserve"> </w:t>
      </w:r>
    </w:p>
    <w:p w:rsidR="00B87CCF" w:rsidP="00B87CCF" w:rsidRDefault="00611228" w14:paraId="38A97FCB" w14:textId="61257379">
      <w:pPr>
        <w:pStyle w:val="Standard"/>
        <w:rPr>
          <w:iCs/>
        </w:rPr>
      </w:pPr>
      <w:r>
        <w:rPr>
          <w:iCs/>
        </w:rPr>
        <w:t xml:space="preserve">The Scoping Memo asks </w:t>
      </w:r>
      <w:r w:rsidR="00B87CCF">
        <w:rPr>
          <w:iCs/>
        </w:rPr>
        <w:t xml:space="preserve">if the Commission should </w:t>
      </w:r>
      <w:r w:rsidRPr="00611228">
        <w:rPr>
          <w:iCs/>
        </w:rPr>
        <w:t>identify a metric to assess levels of safety or risk-driven investments</w:t>
      </w:r>
      <w:r w:rsidR="00B87CCF">
        <w:rPr>
          <w:iCs/>
        </w:rPr>
        <w:t xml:space="preserve">, as discussed in D.20-05-053.  </w:t>
      </w:r>
      <w:r w:rsidRPr="00572E2F" w:rsidR="00572E2F">
        <w:rPr>
          <w:iCs/>
        </w:rPr>
        <w:t xml:space="preserve">Step 1 </w:t>
      </w:r>
      <w:r w:rsidR="00572E2F">
        <w:rPr>
          <w:iCs/>
        </w:rPr>
        <w:t xml:space="preserve">of the EOE Process </w:t>
      </w:r>
      <w:r w:rsidRPr="00572E2F" w:rsidR="00572E2F">
        <w:rPr>
          <w:iCs/>
        </w:rPr>
        <w:t>includes a triggering event that would occur if PG&amp;E demonstrates insufficient progress toward approved safety or risk-driven investments related to the electric and gas busines</w:t>
      </w:r>
      <w:r w:rsidRPr="00C962CC" w:rsidR="00572E2F">
        <w:rPr>
          <w:iCs/>
        </w:rPr>
        <w:t>s.</w:t>
      </w:r>
      <w:r w:rsidRPr="00C962CC" w:rsidR="00572E2F">
        <w:rPr>
          <w:iCs/>
          <w:vertAlign w:val="superscript"/>
        </w:rPr>
        <w:footnoteReference w:id="154"/>
      </w:r>
      <w:r w:rsidRPr="00572E2F" w:rsidR="00572E2F">
        <w:rPr>
          <w:b/>
          <w:iCs/>
          <w:vertAlign w:val="superscript"/>
        </w:rPr>
        <w:t xml:space="preserve"> </w:t>
      </w:r>
      <w:r w:rsidRPr="00572E2F" w:rsidR="00572E2F">
        <w:rPr>
          <w:iCs/>
        </w:rPr>
        <w:t xml:space="preserve">  </w:t>
      </w:r>
    </w:p>
    <w:p w:rsidR="006D274C" w:rsidP="006D274C" w:rsidRDefault="006D274C" w14:paraId="48F7132A" w14:textId="58077FF8">
      <w:pPr>
        <w:pStyle w:val="Heading4"/>
      </w:pPr>
      <w:bookmarkStart w:name="_Toc80890915" w:id="170"/>
      <w:bookmarkStart w:name="_Toc87361216" w:id="171"/>
      <w:r>
        <w:t>10.5.5.1</w:t>
      </w:r>
      <w:r>
        <w:tab/>
        <w:t>Staff Proposals</w:t>
      </w:r>
      <w:bookmarkEnd w:id="170"/>
      <w:bookmarkEnd w:id="171"/>
      <w:r>
        <w:t xml:space="preserve"> </w:t>
      </w:r>
    </w:p>
    <w:p w:rsidRPr="009C25E3" w:rsidR="009C25E3" w:rsidP="00F62E76" w:rsidRDefault="009C25E3" w14:paraId="522BE26C" w14:textId="471EB2E8">
      <w:pPr>
        <w:pStyle w:val="Standard"/>
        <w:rPr>
          <w:iCs/>
        </w:rPr>
      </w:pPr>
      <w:r w:rsidRPr="009C25E3">
        <w:rPr>
          <w:iCs/>
        </w:rPr>
        <w:t xml:space="preserve">For a </w:t>
      </w:r>
      <w:r w:rsidR="00BB0694">
        <w:rPr>
          <w:iCs/>
        </w:rPr>
        <w:t>q</w:t>
      </w:r>
      <w:r w:rsidRPr="009C25E3">
        <w:rPr>
          <w:iCs/>
        </w:rPr>
        <w:t>uality</w:t>
      </w:r>
      <w:r w:rsidR="00BB0694">
        <w:rPr>
          <w:iCs/>
        </w:rPr>
        <w:t>-</w:t>
      </w:r>
      <w:r w:rsidRPr="009C25E3">
        <w:rPr>
          <w:iCs/>
        </w:rPr>
        <w:t>of</w:t>
      </w:r>
      <w:r w:rsidR="00BB0694">
        <w:rPr>
          <w:iCs/>
        </w:rPr>
        <w:t>-s</w:t>
      </w:r>
      <w:r w:rsidRPr="009C25E3">
        <w:rPr>
          <w:iCs/>
        </w:rPr>
        <w:t xml:space="preserve">ervice SOM, Staff </w:t>
      </w:r>
      <w:r w:rsidR="00BB0694">
        <w:rPr>
          <w:iCs/>
        </w:rPr>
        <w:t>recommends an a</w:t>
      </w:r>
      <w:r w:rsidRPr="009C25E3">
        <w:rPr>
          <w:iCs/>
        </w:rPr>
        <w:t xml:space="preserve">verage </w:t>
      </w:r>
      <w:r w:rsidR="00BB0694">
        <w:rPr>
          <w:iCs/>
        </w:rPr>
        <w:t>s</w:t>
      </w:r>
      <w:r w:rsidRPr="009C25E3">
        <w:rPr>
          <w:iCs/>
        </w:rPr>
        <w:t xml:space="preserve">peed to </w:t>
      </w:r>
      <w:r w:rsidR="00BB0694">
        <w:rPr>
          <w:iCs/>
        </w:rPr>
        <w:t>a</w:t>
      </w:r>
      <w:r w:rsidRPr="009C25E3">
        <w:rPr>
          <w:iCs/>
        </w:rPr>
        <w:t xml:space="preserve">nswer for </w:t>
      </w:r>
      <w:r w:rsidR="00BB0694">
        <w:rPr>
          <w:iCs/>
        </w:rPr>
        <w:t>e</w:t>
      </w:r>
      <w:r w:rsidRPr="009C25E3">
        <w:rPr>
          <w:iCs/>
        </w:rPr>
        <w:t>mergencies</w:t>
      </w:r>
      <w:r w:rsidR="00BB0694">
        <w:rPr>
          <w:iCs/>
        </w:rPr>
        <w:t xml:space="preserve"> metric</w:t>
      </w:r>
      <w:r w:rsidR="00282336">
        <w:rPr>
          <w:iCs/>
        </w:rPr>
        <w:t>, also proposed by PG&amp;E</w:t>
      </w:r>
      <w:r w:rsidRPr="009C25E3">
        <w:rPr>
          <w:iCs/>
        </w:rPr>
        <w:t>.</w:t>
      </w:r>
      <w:r>
        <w:rPr>
          <w:iCs/>
        </w:rPr>
        <w:t xml:space="preserve"> </w:t>
      </w:r>
      <w:r w:rsidR="00BB0694">
        <w:rPr>
          <w:iCs/>
        </w:rPr>
        <w:t xml:space="preserve"> </w:t>
      </w:r>
      <w:r>
        <w:rPr>
          <w:iCs/>
        </w:rPr>
        <w:t xml:space="preserve">Staff indicate that </w:t>
      </w:r>
      <w:r w:rsidR="00282336">
        <w:rPr>
          <w:iCs/>
        </w:rPr>
        <w:t>other</w:t>
      </w:r>
      <w:r w:rsidR="00F00D02">
        <w:rPr>
          <w:iCs/>
        </w:rPr>
        <w:t xml:space="preserve"> SOMs s</w:t>
      </w:r>
      <w:r w:rsidR="005F49C5">
        <w:rPr>
          <w:iCs/>
        </w:rPr>
        <w:t xml:space="preserve">uch as </w:t>
      </w:r>
      <w:r w:rsidR="00F00D02">
        <w:rPr>
          <w:iCs/>
        </w:rPr>
        <w:t xml:space="preserve">those on </w:t>
      </w:r>
      <w:r w:rsidR="005F49C5">
        <w:rPr>
          <w:iCs/>
        </w:rPr>
        <w:t>electric and gas emergency response time</w:t>
      </w:r>
      <w:r w:rsidR="00F00D02">
        <w:rPr>
          <w:iCs/>
        </w:rPr>
        <w:t xml:space="preserve"> and SAIDI (unplanned) address quality of service as well. </w:t>
      </w:r>
      <w:r w:rsidR="00F62E76">
        <w:rPr>
          <w:iCs/>
        </w:rPr>
        <w:t xml:space="preserve">The Staff </w:t>
      </w:r>
      <w:r w:rsidR="001D1A8B">
        <w:rPr>
          <w:iCs/>
        </w:rPr>
        <w:t>(</w:t>
      </w:r>
      <w:r w:rsidR="00F62E76">
        <w:rPr>
          <w:iCs/>
        </w:rPr>
        <w:t xml:space="preserve">and </w:t>
      </w:r>
      <w:r w:rsidRPr="009C25E3">
        <w:rPr>
          <w:iCs/>
        </w:rPr>
        <w:t>PG&amp;E</w:t>
      </w:r>
      <w:r w:rsidR="001D1A8B">
        <w:rPr>
          <w:iCs/>
        </w:rPr>
        <w:t>)</w:t>
      </w:r>
      <w:r w:rsidRPr="009C25E3">
        <w:rPr>
          <w:iCs/>
        </w:rPr>
        <w:t xml:space="preserve"> proposal on this is as follows:</w:t>
      </w:r>
    </w:p>
    <w:p w:rsidRPr="00775D74" w:rsidR="009C25E3" w:rsidP="00A57594" w:rsidRDefault="009C25E3" w14:paraId="789A1DAD" w14:textId="1B687C0C">
      <w:pPr>
        <w:pStyle w:val="BlockQuote"/>
        <w:spacing w:line="240" w:lineRule="auto"/>
        <w:ind w:right="1440" w:firstLine="0"/>
      </w:pPr>
      <w:r w:rsidRPr="00775D74">
        <w:t>The Average Speed of Answer for Emergencies metric is a safety measure relating to multiple risks, as well as a quality of service and management measure, and is defined as follows:</w:t>
      </w:r>
    </w:p>
    <w:p w:rsidRPr="009C25E3" w:rsidR="009C25E3" w:rsidP="00A57594" w:rsidRDefault="009C25E3" w14:paraId="4B716AE3" w14:textId="126BA6F6">
      <w:pPr>
        <w:pStyle w:val="BlockQuote"/>
        <w:spacing w:line="240" w:lineRule="auto"/>
        <w:ind w:right="1440" w:firstLine="0"/>
      </w:pPr>
      <w:r w:rsidRPr="00775D74">
        <w:t>Average Speed of Answer in seconds for Emergency calls handled in Contact Center Operations.</w:t>
      </w:r>
      <w:r w:rsidRPr="00775D74" w:rsidR="00103BF3">
        <w:rPr>
          <w:rStyle w:val="FootnoteReference"/>
        </w:rPr>
        <w:footnoteReference w:id="155"/>
      </w:r>
    </w:p>
    <w:p w:rsidR="009C25E3" w:rsidP="009C25E3" w:rsidRDefault="00891F1D" w14:paraId="591E55D0" w14:textId="51C54659">
      <w:pPr>
        <w:pStyle w:val="Standard"/>
        <w:rPr>
          <w:iCs/>
        </w:rPr>
      </w:pPr>
      <w:r>
        <w:rPr>
          <w:iCs/>
        </w:rPr>
        <w:lastRenderedPageBreak/>
        <w:t xml:space="preserve">Staff state that this proposed SOM </w:t>
      </w:r>
      <w:r w:rsidRPr="009C25E3" w:rsidR="009C25E3">
        <w:rPr>
          <w:iCs/>
        </w:rPr>
        <w:t xml:space="preserve">is a leading indicator, outcome-based, </w:t>
      </w:r>
      <w:r w:rsidRPr="003D6AA4" w:rsidR="009C25E3">
        <w:rPr>
          <w:iCs/>
        </w:rPr>
        <w:t>benchmarkable, and relies on objective data.</w:t>
      </w:r>
      <w:r w:rsidRPr="003D6AA4" w:rsidR="008B5A3C">
        <w:rPr>
          <w:iCs/>
        </w:rPr>
        <w:t xml:space="preserve">  </w:t>
      </w:r>
      <w:r w:rsidRPr="003D6AA4" w:rsidR="00F96C72">
        <w:rPr>
          <w:iCs/>
        </w:rPr>
        <w:t>Staff inadvertently omitted this proposed SOM from Appendix C</w:t>
      </w:r>
      <w:r w:rsidR="00FC01B0">
        <w:rPr>
          <w:iCs/>
        </w:rPr>
        <w:t xml:space="preserve"> to the Staff Proposal (</w:t>
      </w:r>
      <w:r w:rsidRPr="003D6AA4" w:rsidR="00F96C72">
        <w:rPr>
          <w:iCs/>
        </w:rPr>
        <w:t>Staff</w:t>
      </w:r>
      <w:r w:rsidRPr="003D6AA4" w:rsidR="00384A20">
        <w:rPr>
          <w:iCs/>
        </w:rPr>
        <w:t>’s</w:t>
      </w:r>
      <w:r w:rsidRPr="003D6AA4" w:rsidR="00F96C72">
        <w:rPr>
          <w:iCs/>
        </w:rPr>
        <w:t xml:space="preserve"> Proposed SOMs</w:t>
      </w:r>
      <w:r w:rsidR="00FC01B0">
        <w:rPr>
          <w:iCs/>
        </w:rPr>
        <w:t>)</w:t>
      </w:r>
      <w:r w:rsidRPr="003D6AA4" w:rsidR="00940522">
        <w:rPr>
          <w:iCs/>
        </w:rPr>
        <w:t xml:space="preserve">, so we have added </w:t>
      </w:r>
      <w:r w:rsidR="00C563AD">
        <w:rPr>
          <w:iCs/>
        </w:rPr>
        <w:t xml:space="preserve">it </w:t>
      </w:r>
      <w:r w:rsidRPr="003D6AA4" w:rsidR="00940522">
        <w:rPr>
          <w:iCs/>
        </w:rPr>
        <w:t>into Appendi</w:t>
      </w:r>
      <w:r w:rsidRPr="003D6AA4" w:rsidR="00384A20">
        <w:rPr>
          <w:iCs/>
        </w:rPr>
        <w:t>ces</w:t>
      </w:r>
      <w:r w:rsidRPr="003D6AA4" w:rsidR="00940522">
        <w:rPr>
          <w:iCs/>
        </w:rPr>
        <w:t xml:space="preserve"> A </w:t>
      </w:r>
      <w:r w:rsidRPr="003D6AA4" w:rsidR="00384A20">
        <w:rPr>
          <w:iCs/>
        </w:rPr>
        <w:t xml:space="preserve">and </w:t>
      </w:r>
      <w:r w:rsidR="000B3A90">
        <w:rPr>
          <w:iCs/>
        </w:rPr>
        <w:t>E</w:t>
      </w:r>
      <w:r w:rsidRPr="003D6AA4" w:rsidR="00384A20">
        <w:rPr>
          <w:iCs/>
        </w:rPr>
        <w:t xml:space="preserve"> </w:t>
      </w:r>
      <w:r w:rsidRPr="003D6AA4" w:rsidR="00940522">
        <w:rPr>
          <w:iCs/>
        </w:rPr>
        <w:t>of this decision</w:t>
      </w:r>
      <w:r w:rsidRPr="003D6AA4" w:rsidR="00400A40">
        <w:rPr>
          <w:iCs/>
        </w:rPr>
        <w:t>.</w:t>
      </w:r>
      <w:r w:rsidR="00C23AC4">
        <w:rPr>
          <w:iCs/>
        </w:rPr>
        <w:t xml:space="preserve">  </w:t>
      </w:r>
    </w:p>
    <w:p w:rsidRPr="005F6D52" w:rsidR="009C25E3" w:rsidP="005F6D52" w:rsidRDefault="00E5275B" w14:paraId="34A35C82" w14:textId="6FE6D543">
      <w:pPr>
        <w:pStyle w:val="Standard"/>
        <w:rPr>
          <w:i/>
          <w:iCs/>
        </w:rPr>
      </w:pPr>
      <w:r>
        <w:rPr>
          <w:iCs/>
        </w:rPr>
        <w:t>Staff did not propose a quality-of-management metric</w:t>
      </w:r>
      <w:r w:rsidR="00E37131">
        <w:rPr>
          <w:iCs/>
        </w:rPr>
        <w:t xml:space="preserve">.  Staff assert that </w:t>
      </w:r>
      <w:r w:rsidR="00EA2569">
        <w:rPr>
          <w:iCs/>
        </w:rPr>
        <w:t xml:space="preserve">they believe other EOE Process elements sufficiently address this. </w:t>
      </w:r>
      <w:r w:rsidR="007D7A2C">
        <w:rPr>
          <w:iCs/>
        </w:rPr>
        <w:t xml:space="preserve"> </w:t>
      </w:r>
      <w:r w:rsidR="00EA2569">
        <w:rPr>
          <w:iCs/>
        </w:rPr>
        <w:t xml:space="preserve">Specifically, Staff point to </w:t>
      </w:r>
      <w:r w:rsidR="00273D53">
        <w:rPr>
          <w:iCs/>
        </w:rPr>
        <w:t>the triggering event for EOE Process Step 1, relating to safety culture asses</w:t>
      </w:r>
      <w:r w:rsidR="00E440D5">
        <w:rPr>
          <w:iCs/>
        </w:rPr>
        <w:t xml:space="preserve">sments. </w:t>
      </w:r>
      <w:r w:rsidR="007D7A2C">
        <w:rPr>
          <w:iCs/>
        </w:rPr>
        <w:t xml:space="preserve"> </w:t>
      </w:r>
      <w:r w:rsidR="00E440D5">
        <w:rPr>
          <w:iCs/>
        </w:rPr>
        <w:t>Staff observe that D.18-11-050</w:t>
      </w:r>
      <w:r w:rsidR="00FA1621">
        <w:rPr>
          <w:iCs/>
        </w:rPr>
        <w:t xml:space="preserve"> </w:t>
      </w:r>
      <w:r w:rsidRPr="00FA1621" w:rsidR="00FA1621">
        <w:rPr>
          <w:i/>
          <w:iCs/>
        </w:rPr>
        <w:t>Decision Ordering PG&amp;E to Implement the Recommendations of the NorthStar Report</w:t>
      </w:r>
      <w:r w:rsidR="00F941A5">
        <w:rPr>
          <w:i/>
          <w:iCs/>
        </w:rPr>
        <w:t xml:space="preserve"> </w:t>
      </w:r>
      <w:r w:rsidRPr="005F6D52" w:rsidR="00F941A5">
        <w:t>adopted over 60 safety</w:t>
      </w:r>
      <w:r w:rsidR="00F941A5">
        <w:rPr>
          <w:iCs/>
        </w:rPr>
        <w:t xml:space="preserve"> culture improvement</w:t>
      </w:r>
      <w:r w:rsidR="00967319">
        <w:rPr>
          <w:iCs/>
        </w:rPr>
        <w:t xml:space="preserve"> requirements</w:t>
      </w:r>
      <w:r w:rsidR="005F6D52">
        <w:rPr>
          <w:iCs/>
        </w:rPr>
        <w:t xml:space="preserve">, </w:t>
      </w:r>
      <w:r w:rsidR="00B3367B">
        <w:t>which are sufficient to address quality-of-management improvements</w:t>
      </w:r>
      <w:r w:rsidR="005F6D52">
        <w:t xml:space="preserve"> </w:t>
      </w:r>
      <w:r w:rsidR="00B3367B">
        <w:t xml:space="preserve">in Staff’s </w:t>
      </w:r>
      <w:r w:rsidRPr="005F6D52" w:rsidR="00B3367B">
        <w:t>view</w:t>
      </w:r>
      <w:r w:rsidRPr="005F6D52" w:rsidR="005F6D52">
        <w:t>.</w:t>
      </w:r>
      <w:r w:rsidRPr="005F6D52" w:rsidR="005F6D52">
        <w:rPr>
          <w:rStyle w:val="FootnoteReference"/>
        </w:rPr>
        <w:footnoteReference w:id="156"/>
      </w:r>
      <w:r w:rsidRPr="005F6D52" w:rsidR="005F6D52">
        <w:t xml:space="preserve">  </w:t>
      </w:r>
      <w:r w:rsidRPr="005F6D52" w:rsidR="00131261">
        <w:t>Staff</w:t>
      </w:r>
      <w:r w:rsidR="00131261">
        <w:rPr>
          <w:iCs/>
        </w:rPr>
        <w:t xml:space="preserve"> notes that SPD </w:t>
      </w:r>
      <w:r w:rsidRPr="00131261" w:rsidR="00131261">
        <w:rPr>
          <w:iCs/>
        </w:rPr>
        <w:t>reviews quarterly reports from PG&amp;E and regularly consults with North Star to ensure progress is being made on these recommendations.</w:t>
      </w:r>
    </w:p>
    <w:p w:rsidR="007328F5" w:rsidP="00227588" w:rsidRDefault="007328F5" w14:paraId="49CF0205" w14:textId="7073B077">
      <w:pPr>
        <w:pStyle w:val="Standard"/>
        <w:rPr>
          <w:iCs/>
        </w:rPr>
      </w:pPr>
      <w:r>
        <w:rPr>
          <w:iCs/>
        </w:rPr>
        <w:t>Staff did not recommend an affordability SOM</w:t>
      </w:r>
      <w:r w:rsidR="001F16B4">
        <w:rPr>
          <w:iCs/>
        </w:rPr>
        <w:t xml:space="preserve">.  Staff state that because the Commission approves PG&amp;E rates, basing enforcement on the affordability of rates is problematic. </w:t>
      </w:r>
      <w:r w:rsidR="005F6D52">
        <w:rPr>
          <w:iCs/>
        </w:rPr>
        <w:t xml:space="preserve"> Staff also did not recommend a specific SOM to track PG&amp;E progress on risk or safety-related investments.  However, Staff note that several of their proposed SOMs address this issue indirectly, primar</w:t>
      </w:r>
      <w:r w:rsidR="0082351F">
        <w:rPr>
          <w:iCs/>
        </w:rPr>
        <w:t xml:space="preserve">ily SOMs </w:t>
      </w:r>
      <w:r w:rsidR="001174A7">
        <w:rPr>
          <w:iCs/>
        </w:rPr>
        <w:t>related to vegetation management</w:t>
      </w:r>
      <w:r w:rsidR="006905F6">
        <w:rPr>
          <w:iCs/>
        </w:rPr>
        <w:t xml:space="preserve"> and patrols.  </w:t>
      </w:r>
    </w:p>
    <w:p w:rsidRPr="00227588" w:rsidR="006D274C" w:rsidP="006D274C" w:rsidRDefault="000A1A1A" w14:paraId="409A44C4" w14:textId="4C5E998E">
      <w:pPr>
        <w:pStyle w:val="Heading4"/>
        <w:rPr>
          <w:rFonts w:ascii="Book Antiqua" w:hAnsi="Book Antiqua"/>
        </w:rPr>
      </w:pPr>
      <w:bookmarkStart w:name="_Toc80890916" w:id="172"/>
      <w:bookmarkStart w:name="_Toc87361217" w:id="173"/>
      <w:r>
        <w:t>10.5.5.2</w:t>
      </w:r>
      <w:r>
        <w:tab/>
      </w:r>
      <w:r w:rsidR="006D274C">
        <w:t>Discussion</w:t>
      </w:r>
      <w:bookmarkEnd w:id="172"/>
      <w:bookmarkEnd w:id="173"/>
    </w:p>
    <w:p w:rsidRPr="00C00DE3" w:rsidR="00C00DE3" w:rsidP="00593CC1" w:rsidRDefault="000A1A1A" w14:paraId="231340E1" w14:textId="5D3BD4F6">
      <w:pPr>
        <w:pStyle w:val="Standard"/>
        <w:rPr>
          <w:iCs/>
        </w:rPr>
      </w:pPr>
      <w:r>
        <w:t>We adopt Staff and PG</w:t>
      </w:r>
      <w:r w:rsidDel="00C563AD">
        <w:t xml:space="preserve">&amp;E’s </w:t>
      </w:r>
      <w:r>
        <w:t xml:space="preserve">proposed SOM </w:t>
      </w:r>
      <w:r w:rsidR="00103BF3">
        <w:t xml:space="preserve">on </w:t>
      </w:r>
      <w:r w:rsidR="00103BF3">
        <w:rPr>
          <w:iCs/>
        </w:rPr>
        <w:t>a</w:t>
      </w:r>
      <w:r w:rsidRPr="009C25E3" w:rsidR="00103BF3">
        <w:rPr>
          <w:iCs/>
        </w:rPr>
        <w:t xml:space="preserve">verage </w:t>
      </w:r>
      <w:r w:rsidR="00103BF3">
        <w:rPr>
          <w:iCs/>
        </w:rPr>
        <w:t>s</w:t>
      </w:r>
      <w:r w:rsidRPr="009C25E3" w:rsidR="00103BF3">
        <w:rPr>
          <w:iCs/>
        </w:rPr>
        <w:t xml:space="preserve">peed to </w:t>
      </w:r>
      <w:r w:rsidR="00103BF3">
        <w:rPr>
          <w:iCs/>
        </w:rPr>
        <w:t>a</w:t>
      </w:r>
      <w:r w:rsidRPr="009C25E3" w:rsidR="00103BF3">
        <w:rPr>
          <w:iCs/>
        </w:rPr>
        <w:t xml:space="preserve">nswer for </w:t>
      </w:r>
      <w:r w:rsidR="00103BF3">
        <w:rPr>
          <w:iCs/>
        </w:rPr>
        <w:t>e</w:t>
      </w:r>
      <w:r w:rsidRPr="009C25E3" w:rsidR="00103BF3">
        <w:rPr>
          <w:iCs/>
        </w:rPr>
        <w:t>mergencies</w:t>
      </w:r>
      <w:r w:rsidR="00103BF3">
        <w:rPr>
          <w:iCs/>
        </w:rPr>
        <w:t xml:space="preserve"> </w:t>
      </w:r>
      <w:r w:rsidR="00E72AB3">
        <w:rPr>
          <w:iCs/>
        </w:rPr>
        <w:t>as defined by Staff and PG&amp;E</w:t>
      </w:r>
      <w:r w:rsidR="00AD5272">
        <w:rPr>
          <w:iCs/>
        </w:rPr>
        <w:t xml:space="preserve"> with the clarification that this refers to </w:t>
      </w:r>
      <w:r w:rsidR="00B52C27">
        <w:rPr>
          <w:iCs/>
        </w:rPr>
        <w:t xml:space="preserve">the time increment </w:t>
      </w:r>
      <w:r w:rsidR="00714646">
        <w:rPr>
          <w:iCs/>
        </w:rPr>
        <w:t xml:space="preserve">it </w:t>
      </w:r>
      <w:r w:rsidR="00B52C27">
        <w:rPr>
          <w:iCs/>
        </w:rPr>
        <w:t xml:space="preserve">takes for an </w:t>
      </w:r>
      <w:r w:rsidR="009742F5">
        <w:rPr>
          <w:iCs/>
        </w:rPr>
        <w:t>operator answer to a call, not an emergency crew’s response time to the location of the emergency</w:t>
      </w:r>
      <w:r w:rsidR="00B52C27">
        <w:rPr>
          <w:iCs/>
        </w:rPr>
        <w:t xml:space="preserve">, which is </w:t>
      </w:r>
      <w:r w:rsidR="00B52C27">
        <w:rPr>
          <w:iCs/>
        </w:rPr>
        <w:lastRenderedPageBreak/>
        <w:t>addressed elsewhere</w:t>
      </w:r>
      <w:r w:rsidR="00E72AB3">
        <w:rPr>
          <w:iCs/>
        </w:rPr>
        <w:t xml:space="preserve">.  This is a reasonable metric to track quality of customer service as </w:t>
      </w:r>
      <w:r w:rsidR="00B52C27">
        <w:rPr>
          <w:iCs/>
        </w:rPr>
        <w:t xml:space="preserve">this </w:t>
      </w:r>
      <w:r w:rsidR="00E72AB3">
        <w:rPr>
          <w:iCs/>
        </w:rPr>
        <w:t>relate</w:t>
      </w:r>
      <w:r w:rsidR="00B52C27">
        <w:rPr>
          <w:iCs/>
        </w:rPr>
        <w:t>s</w:t>
      </w:r>
      <w:r w:rsidR="00E72AB3">
        <w:rPr>
          <w:iCs/>
        </w:rPr>
        <w:t xml:space="preserve"> to safety. </w:t>
      </w:r>
      <w:r w:rsidR="00407986">
        <w:rPr>
          <w:iCs/>
        </w:rPr>
        <w:t xml:space="preserve"> </w:t>
      </w:r>
      <w:r w:rsidR="00C00DE3">
        <w:rPr>
          <w:iCs/>
        </w:rPr>
        <w:t xml:space="preserve">We concur with Staff that </w:t>
      </w:r>
      <w:r w:rsidR="00A1438C">
        <w:rPr>
          <w:iCs/>
        </w:rPr>
        <w:t xml:space="preserve">given the </w:t>
      </w:r>
      <w:r w:rsidR="00F1673C">
        <w:rPr>
          <w:iCs/>
        </w:rPr>
        <w:t>other triggering events in the EOE process,</w:t>
      </w:r>
      <w:r w:rsidR="00C00DE3">
        <w:rPr>
          <w:iCs/>
        </w:rPr>
        <w:t xml:space="preserve"> it is unnecessary to adopt quality of management, affordability, and/or risk-driven investments </w:t>
      </w:r>
      <w:r w:rsidR="00144A47">
        <w:rPr>
          <w:iCs/>
        </w:rPr>
        <w:t xml:space="preserve">SOMs </w:t>
      </w:r>
      <w:r w:rsidR="00C00DE3">
        <w:rPr>
          <w:iCs/>
        </w:rPr>
        <w:t xml:space="preserve">at this time. </w:t>
      </w:r>
    </w:p>
    <w:p w:rsidR="00133276" w:rsidP="001852F9" w:rsidRDefault="00593CC1" w14:paraId="52B67EF4" w14:textId="365B554C">
      <w:pPr>
        <w:pStyle w:val="Heading3"/>
      </w:pPr>
      <w:bookmarkStart w:name="_Toc80890917" w:id="174"/>
      <w:bookmarkStart w:name="_Toc87361218" w:id="175"/>
      <w:r>
        <w:t>10.5.6</w:t>
      </w:r>
      <w:r>
        <w:tab/>
      </w:r>
      <w:r w:rsidR="00133276">
        <w:t>Clean Energy Related SOM</w:t>
      </w:r>
      <w:r w:rsidR="002D71F0">
        <w:t xml:space="preserve"> </w:t>
      </w:r>
      <w:r w:rsidR="008C2FC5">
        <w:t>(</w:t>
      </w:r>
      <w:r w:rsidR="00C029A9">
        <w:t># 5.1</w:t>
      </w:r>
      <w:bookmarkEnd w:id="174"/>
      <w:r w:rsidR="008C2FC5">
        <w:t>)</w:t>
      </w:r>
      <w:bookmarkEnd w:id="175"/>
    </w:p>
    <w:p w:rsidR="007855CB" w:rsidP="00B64E47" w:rsidRDefault="0084173B" w14:paraId="58841DC0" w14:textId="0F20C319">
      <w:pPr>
        <w:pStyle w:val="Standard"/>
      </w:pPr>
      <w:r w:rsidRPr="0073674E">
        <w:rPr>
          <w:iCs/>
        </w:rPr>
        <w:t>D</w:t>
      </w:r>
      <w:r w:rsidRPr="004563CE">
        <w:rPr>
          <w:iCs/>
        </w:rPr>
        <w:t>.20-05-053 describes SOMs as “attainable Safety and Operational Metrics that, if achieved, would ensure that PG&amp;E provides safe, reliable, and affordable service consistent with California’s clean energy goals.”</w:t>
      </w:r>
      <w:r w:rsidRPr="00486CD5">
        <w:rPr>
          <w:bCs/>
          <w:iCs/>
          <w:vertAlign w:val="superscript"/>
        </w:rPr>
        <w:footnoteReference w:id="157"/>
      </w:r>
      <w:r w:rsidRPr="00486CD5">
        <w:rPr>
          <w:bCs/>
          <w:iCs/>
        </w:rPr>
        <w:t xml:space="preserve">  </w:t>
      </w:r>
      <w:r>
        <w:rPr>
          <w:iCs/>
        </w:rPr>
        <w:t xml:space="preserve">In an effort to reflect the “clean energy” portion of this directive, </w:t>
      </w:r>
      <w:r>
        <w:t xml:space="preserve">the </w:t>
      </w:r>
      <w:r w:rsidR="00133276">
        <w:t xml:space="preserve">Staff </w:t>
      </w:r>
      <w:r>
        <w:t>P</w:t>
      </w:r>
      <w:r w:rsidR="00133276">
        <w:t>ropos</w:t>
      </w:r>
      <w:r w:rsidR="00514D0F">
        <w:t>al recommends</w:t>
      </w:r>
      <w:r w:rsidR="00C928E4">
        <w:t xml:space="preserve"> that PG&amp;E report on any Commission established clean energy ta</w:t>
      </w:r>
      <w:r w:rsidR="00B64E47">
        <w:t xml:space="preserve">rgets that it has </w:t>
      </w:r>
      <w:r w:rsidR="003D3E00">
        <w:t>“</w:t>
      </w:r>
      <w:r w:rsidR="00B64E47">
        <w:t>failed to meet</w:t>
      </w:r>
      <w:r w:rsidR="003D3E00">
        <w:t>”</w:t>
      </w:r>
      <w:r w:rsidR="00B64E47">
        <w:t xml:space="preserve"> during the reporting period.</w:t>
      </w:r>
      <w:r w:rsidR="003D3E00">
        <w:rPr>
          <w:rStyle w:val="FootnoteReference"/>
        </w:rPr>
        <w:footnoteReference w:id="158"/>
      </w:r>
      <w:r w:rsidR="00B64E47">
        <w:t xml:space="preserve"> </w:t>
      </w:r>
      <w:r w:rsidR="00DD5878">
        <w:t xml:space="preserve"> Staff </w:t>
      </w:r>
      <w:r w:rsidR="00115BFF">
        <w:t xml:space="preserve">state that they </w:t>
      </w:r>
      <w:r w:rsidR="00DD5878">
        <w:t xml:space="preserve">considered </w:t>
      </w:r>
      <w:r w:rsidR="005E37BE">
        <w:t xml:space="preserve">informal proposals from PCF and UCAN </w:t>
      </w:r>
      <w:r w:rsidR="00EB6220">
        <w:t>in this area</w:t>
      </w:r>
      <w:r w:rsidR="00F90ACA">
        <w:t xml:space="preserve"> </w:t>
      </w:r>
      <w:r w:rsidR="00EB6220">
        <w:t xml:space="preserve">but declined to incorporate these parties’ suggestions.  </w:t>
      </w:r>
    </w:p>
    <w:p w:rsidR="007855CB" w:rsidP="007855CB" w:rsidRDefault="007855CB" w14:paraId="54BAA69C" w14:textId="6218178F">
      <w:pPr>
        <w:pStyle w:val="Heading4"/>
      </w:pPr>
      <w:bookmarkStart w:name="_Toc80890918" w:id="176"/>
      <w:bookmarkStart w:name="_Toc87361219" w:id="177"/>
      <w:r>
        <w:t>10.5.6.1</w:t>
      </w:r>
      <w:r>
        <w:tab/>
        <w:t>Party Comments</w:t>
      </w:r>
      <w:bookmarkEnd w:id="176"/>
      <w:bookmarkEnd w:id="177"/>
    </w:p>
    <w:p w:rsidR="00563879" w:rsidP="007855CB" w:rsidRDefault="007855CB" w14:paraId="5283FC70" w14:textId="77777777">
      <w:pPr>
        <w:pStyle w:val="Standard"/>
      </w:pPr>
      <w:r>
        <w:t>PCF comments that</w:t>
      </w:r>
      <w:r w:rsidR="003560D6">
        <w:t xml:space="preserve"> r</w:t>
      </w:r>
      <w:r w:rsidRPr="002158EB" w:rsidR="003560D6">
        <w:t>educing GHG emissions furthers safety and reliability goals</w:t>
      </w:r>
      <w:r w:rsidR="003560D6">
        <w:t xml:space="preserve"> and </w:t>
      </w:r>
      <w:r w:rsidR="00115BFF">
        <w:t xml:space="preserve">argues that </w:t>
      </w:r>
      <w:r w:rsidR="002158EB">
        <w:t xml:space="preserve">the Commission should </w:t>
      </w:r>
      <w:r w:rsidR="003560D6">
        <w:t xml:space="preserve">adopt </w:t>
      </w:r>
      <w:r w:rsidR="00DB368B">
        <w:t xml:space="preserve">specific </w:t>
      </w:r>
      <w:r w:rsidRPr="002158EB" w:rsidR="002158EB">
        <w:t xml:space="preserve">GHG and clean energy </w:t>
      </w:r>
      <w:r w:rsidR="003560D6">
        <w:t xml:space="preserve">related SOMs </w:t>
      </w:r>
      <w:r w:rsidR="00DB368B">
        <w:t xml:space="preserve">and </w:t>
      </w:r>
      <w:r w:rsidRPr="002158EB" w:rsidR="002158EB">
        <w:t>evaluate whether PG&amp;</w:t>
      </w:r>
      <w:r w:rsidR="003560D6">
        <w:t>E</w:t>
      </w:r>
      <w:r w:rsidRPr="002158EB" w:rsidR="002158EB">
        <w:t xml:space="preserve"> can more quickly reduce </w:t>
      </w:r>
      <w:r w:rsidR="00115BFF">
        <w:t>its</w:t>
      </w:r>
      <w:r w:rsidR="00C16703">
        <w:t xml:space="preserve"> GHG </w:t>
      </w:r>
      <w:r w:rsidRPr="002158EB" w:rsidR="002158EB">
        <w:t xml:space="preserve">emissions. </w:t>
      </w:r>
      <w:r w:rsidR="003560D6">
        <w:t xml:space="preserve"> </w:t>
      </w:r>
      <w:r w:rsidR="00903B99">
        <w:t xml:space="preserve">PCF suggests additional metrics related to total number of methane leaks, total methane loss from leaks, total number of vented emissions, total methane loss from vented emissions and others.  </w:t>
      </w:r>
    </w:p>
    <w:p w:rsidRPr="007855CB" w:rsidR="007855CB" w:rsidP="007855CB" w:rsidRDefault="00AE3FBB" w14:paraId="674E268C" w14:textId="245EF7ED">
      <w:pPr>
        <w:pStyle w:val="Standard"/>
      </w:pPr>
      <w:r>
        <w:t xml:space="preserve">In comments on the proposed decision, PG&amp;E comments that </w:t>
      </w:r>
      <w:r w:rsidR="0013011F">
        <w:t>SOM #5.1</w:t>
      </w:r>
      <w:r w:rsidR="00A41F53">
        <w:t xml:space="preserve"> should be limited to PG&amp;E’s minimum procurement obligation </w:t>
      </w:r>
      <w:r w:rsidR="00C26FBA">
        <w:t xml:space="preserve">assigned to its bundled service customers because direct access load serving entities </w:t>
      </w:r>
      <w:r w:rsidR="00982B96">
        <w:t xml:space="preserve">may have elected to opt-out of or failed to reach their own separate procurement </w:t>
      </w:r>
      <w:r w:rsidR="00982B96">
        <w:lastRenderedPageBreak/>
        <w:t>obligations.  PG&amp;E also recommends we remove the phrase "zero</w:t>
      </w:r>
      <w:r w:rsidR="003673D8">
        <w:t xml:space="preserve">-emitting” </w:t>
      </w:r>
      <w:r w:rsidR="00D91245">
        <w:t>from the definition of the metric because D.19-11-016 does not include this term in its mandate</w:t>
      </w:r>
      <w:r w:rsidR="00563879">
        <w:t>.</w:t>
      </w:r>
      <w:r w:rsidR="00F80FD2">
        <w:rPr>
          <w:rStyle w:val="FootnoteReference"/>
        </w:rPr>
        <w:footnoteReference w:id="159"/>
      </w:r>
      <w:r w:rsidR="00563879">
        <w:t xml:space="preserve"> </w:t>
      </w:r>
    </w:p>
    <w:p w:rsidR="007855CB" w:rsidP="007855CB" w:rsidRDefault="007855CB" w14:paraId="5C80C4A3" w14:textId="1CC59235">
      <w:pPr>
        <w:pStyle w:val="Heading4"/>
      </w:pPr>
      <w:bookmarkStart w:name="_Toc80890919" w:id="178"/>
      <w:bookmarkStart w:name="_Toc87361220" w:id="179"/>
      <w:r>
        <w:t>10.5.6.1</w:t>
      </w:r>
      <w:r>
        <w:tab/>
        <w:t>Discussion</w:t>
      </w:r>
      <w:bookmarkEnd w:id="178"/>
      <w:bookmarkEnd w:id="179"/>
    </w:p>
    <w:p w:rsidR="000F5D67" w:rsidP="00D14107" w:rsidRDefault="00A3728C" w14:paraId="4DCA8FFA" w14:textId="618F5D7B">
      <w:pPr>
        <w:pStyle w:val="Standard"/>
      </w:pPr>
      <w:r>
        <w:t xml:space="preserve">We </w:t>
      </w:r>
      <w:r w:rsidR="00C23AC4">
        <w:t xml:space="preserve">adopt </w:t>
      </w:r>
      <w:r>
        <w:t>Staff’s recommend</w:t>
      </w:r>
      <w:r w:rsidR="00C23AC4">
        <w:t xml:space="preserve">ed clean energy SOM </w:t>
      </w:r>
      <w:r w:rsidR="00A97B51">
        <w:t xml:space="preserve">with </w:t>
      </w:r>
      <w:r w:rsidR="00872C62">
        <w:t xml:space="preserve">one </w:t>
      </w:r>
      <w:r w:rsidR="00A97B51">
        <w:t>modification</w:t>
      </w:r>
      <w:r w:rsidR="000F5D67">
        <w:t xml:space="preserve">.  We direct PG&amp;E to report </w:t>
      </w:r>
      <w:r w:rsidR="0078742F">
        <w:t xml:space="preserve">under SOM </w:t>
      </w:r>
      <w:r w:rsidR="00E03692">
        <w:t xml:space="preserve">#5.1 </w:t>
      </w:r>
      <w:r w:rsidR="000F5D67">
        <w:t xml:space="preserve">on its progress towards </w:t>
      </w:r>
      <w:r w:rsidR="009C4156">
        <w:t xml:space="preserve">PG&amp;E procurement obligations as adopted in </w:t>
      </w:r>
      <w:r w:rsidR="007A0427">
        <w:t>D.19</w:t>
      </w:r>
      <w:r w:rsidR="00C962CC">
        <w:noBreakHyphen/>
      </w:r>
      <w:r w:rsidR="007A0427">
        <w:t>11-016</w:t>
      </w:r>
      <w:r w:rsidR="0094680A">
        <w:t xml:space="preserve"> </w:t>
      </w:r>
      <w:r w:rsidRPr="00767508" w:rsidR="00752E9C">
        <w:rPr>
          <w:i/>
        </w:rPr>
        <w:t>D</w:t>
      </w:r>
      <w:r w:rsidR="00752E9C">
        <w:rPr>
          <w:i/>
          <w:iCs/>
        </w:rPr>
        <w:t xml:space="preserve">ecision </w:t>
      </w:r>
      <w:r w:rsidRPr="00767508" w:rsidR="00752E9C">
        <w:rPr>
          <w:i/>
        </w:rPr>
        <w:t>R</w:t>
      </w:r>
      <w:r w:rsidR="00752E9C">
        <w:rPr>
          <w:i/>
          <w:iCs/>
        </w:rPr>
        <w:t>equiring</w:t>
      </w:r>
      <w:r w:rsidRPr="00767508" w:rsidR="00752E9C">
        <w:rPr>
          <w:i/>
        </w:rPr>
        <w:t xml:space="preserve"> E</w:t>
      </w:r>
      <w:r w:rsidR="00752E9C">
        <w:rPr>
          <w:i/>
          <w:iCs/>
        </w:rPr>
        <w:t>lectric</w:t>
      </w:r>
      <w:r w:rsidRPr="00767508" w:rsidR="00752E9C">
        <w:rPr>
          <w:i/>
        </w:rPr>
        <w:t xml:space="preserve"> S</w:t>
      </w:r>
      <w:r w:rsidR="00752E9C">
        <w:rPr>
          <w:i/>
          <w:iCs/>
        </w:rPr>
        <w:t xml:space="preserve">ystem </w:t>
      </w:r>
      <w:r w:rsidRPr="00767508" w:rsidR="00752E9C">
        <w:rPr>
          <w:i/>
        </w:rPr>
        <w:t>R</w:t>
      </w:r>
      <w:r w:rsidR="00752E9C">
        <w:rPr>
          <w:i/>
          <w:iCs/>
        </w:rPr>
        <w:t xml:space="preserve">eliability </w:t>
      </w:r>
      <w:r w:rsidRPr="00767508" w:rsidR="00752E9C">
        <w:rPr>
          <w:i/>
        </w:rPr>
        <w:t>P</w:t>
      </w:r>
      <w:r w:rsidR="00752E9C">
        <w:rPr>
          <w:i/>
          <w:iCs/>
        </w:rPr>
        <w:t xml:space="preserve">rocurement for </w:t>
      </w:r>
      <w:r w:rsidRPr="00767508" w:rsidR="00752E9C">
        <w:rPr>
          <w:i/>
        </w:rPr>
        <w:t>2021-2023</w:t>
      </w:r>
      <w:r w:rsidR="00CE2199">
        <w:t xml:space="preserve">, </w:t>
      </w:r>
      <w:r w:rsidR="00560E56">
        <w:t>D.21-06-035</w:t>
      </w:r>
      <w:r w:rsidRPr="00991BEC" w:rsidR="00560E56">
        <w:rPr>
          <w:i/>
          <w:iCs/>
        </w:rPr>
        <w:t xml:space="preserve"> Decision Requiring Procurement to Address Mid-term Reliability (2023 - 2026),</w:t>
      </w:r>
      <w:r w:rsidR="00560E56">
        <w:t xml:space="preserve"> </w:t>
      </w:r>
      <w:r w:rsidR="00BD30E2">
        <w:t xml:space="preserve">and any subsequent decision(s) </w:t>
      </w:r>
      <w:r w:rsidR="00560E56">
        <w:t xml:space="preserve">adopted in </w:t>
      </w:r>
      <w:r w:rsidR="00FF16FC">
        <w:t>R.20-05-003</w:t>
      </w:r>
      <w:r w:rsidR="00C24BDF">
        <w:t xml:space="preserve"> </w:t>
      </w:r>
      <w:r w:rsidRPr="00C962CC" w:rsidR="00C24BDF">
        <w:rPr>
          <w:i/>
          <w:iCs/>
        </w:rPr>
        <w:t>Rulemaking to Continue Electric Integrated Resource Planning and Related Procurement Processes</w:t>
      </w:r>
      <w:r w:rsidR="00BD30E2">
        <w:rPr>
          <w:i/>
          <w:iCs/>
        </w:rPr>
        <w:t xml:space="preserve"> </w:t>
      </w:r>
      <w:r w:rsidRPr="00656BD7" w:rsidR="00BD30E2">
        <w:t>or a successor proceeding updating these requirements</w:t>
      </w:r>
      <w:r w:rsidR="00560E56">
        <w:t xml:space="preserve">.  </w:t>
      </w:r>
      <w:r w:rsidR="003B3F79">
        <w:t>R</w:t>
      </w:r>
      <w:r w:rsidR="000161F7">
        <w:t xml:space="preserve">equiring PG&amp;E to report on </w:t>
      </w:r>
      <w:r w:rsidR="002F45AA">
        <w:t xml:space="preserve">its </w:t>
      </w:r>
      <w:r w:rsidR="000161F7">
        <w:t xml:space="preserve">progress </w:t>
      </w:r>
      <w:r w:rsidR="002F45AA">
        <w:t xml:space="preserve">towards </w:t>
      </w:r>
      <w:r w:rsidR="000161F7">
        <w:t>th</w:t>
      </w:r>
      <w:r w:rsidR="002F45AA">
        <w:t>e</w:t>
      </w:r>
      <w:r w:rsidR="008B2DE9">
        <w:t xml:space="preserve"> </w:t>
      </w:r>
      <w:r w:rsidR="002F45AA">
        <w:t xml:space="preserve">clean energy procurement </w:t>
      </w:r>
      <w:r w:rsidR="000161F7">
        <w:t>goal</w:t>
      </w:r>
      <w:r w:rsidR="002F45AA">
        <w:t>s</w:t>
      </w:r>
      <w:r w:rsidR="000161F7">
        <w:t xml:space="preserve"> </w:t>
      </w:r>
      <w:r w:rsidR="008B2DE9">
        <w:t xml:space="preserve">adopted in these decisions </w:t>
      </w:r>
      <w:r w:rsidR="000161F7">
        <w:t xml:space="preserve">aligns with direction in D.20-05-053 that the SOMs </w:t>
      </w:r>
      <w:r w:rsidR="0084173B">
        <w:t xml:space="preserve">serve </w:t>
      </w:r>
      <w:r w:rsidR="0078757E">
        <w:t xml:space="preserve">to track PG&amp;E’s provision of </w:t>
      </w:r>
      <w:r w:rsidR="003B3F79">
        <w:t xml:space="preserve">service consistent with California’s clean energy goals. </w:t>
      </w:r>
      <w:r w:rsidR="00C90A11">
        <w:t xml:space="preserve"> The final decision </w:t>
      </w:r>
      <w:r w:rsidRPr="00C90A11" w:rsidR="00C90A11">
        <w:t>remove</w:t>
      </w:r>
      <w:r w:rsidR="00C90A11">
        <w:t>s</w:t>
      </w:r>
      <w:r w:rsidRPr="00C90A11" w:rsidR="00C90A11">
        <w:t xml:space="preserve"> the phrase “zero-emitting”</w:t>
      </w:r>
      <w:r w:rsidR="00C90A11">
        <w:t xml:space="preserve"> from the definition of this SOM </w:t>
      </w:r>
      <w:r w:rsidRPr="00C90A11" w:rsidR="00C90A11">
        <w:t>but does not expressly limit reporting obligations to PG&amp;E’s bundled customers.  PG&amp;E’s procurement obligations are specified in Commission decisions so we do not need to define those here.</w:t>
      </w:r>
    </w:p>
    <w:p w:rsidR="00D0034B" w:rsidP="00B64E47" w:rsidRDefault="003560D6" w14:paraId="5CCA1324" w14:textId="18DF23E2">
      <w:pPr>
        <w:pStyle w:val="Standard"/>
      </w:pPr>
      <w:r>
        <w:t xml:space="preserve">We disagree with PCF that </w:t>
      </w:r>
      <w:r w:rsidR="003F1370">
        <w:t xml:space="preserve">requiring PG&amp;E to report on additional </w:t>
      </w:r>
      <w:r w:rsidR="00C73A63">
        <w:t xml:space="preserve">clean energy </w:t>
      </w:r>
      <w:r w:rsidR="003F1370">
        <w:t xml:space="preserve">goals related to methane emissions under this </w:t>
      </w:r>
      <w:r w:rsidR="00CE30C0">
        <w:t xml:space="preserve">SOM is </w:t>
      </w:r>
      <w:r w:rsidR="00CC0AD4">
        <w:t xml:space="preserve">warranted at this time.  </w:t>
      </w:r>
      <w:r w:rsidR="007E0A67">
        <w:t>In D.17-06-015,</w:t>
      </w:r>
      <w:r w:rsidR="00951680">
        <w:t xml:space="preserve"> </w:t>
      </w:r>
      <w:r w:rsidR="007E0A67">
        <w:t>t</w:t>
      </w:r>
      <w:r w:rsidRPr="00BD396C" w:rsidR="00BD396C">
        <w:t>he Commission established the Natural Gas Leak Abatement</w:t>
      </w:r>
      <w:r w:rsidR="003B3F79">
        <w:t xml:space="preserve"> </w:t>
      </w:r>
      <w:r w:rsidRPr="00BD396C" w:rsidR="00BD396C">
        <w:t xml:space="preserve">Program </w:t>
      </w:r>
      <w:r w:rsidR="00C37131">
        <w:t xml:space="preserve">(NGLA Program) </w:t>
      </w:r>
      <w:r w:rsidRPr="00BD396C" w:rsidR="00BD396C">
        <w:t>to reduce natural gas emissions of the jurisdictional gas companies in California, as directed by S</w:t>
      </w:r>
      <w:r w:rsidR="001B50B0">
        <w:t xml:space="preserve">enate </w:t>
      </w:r>
      <w:r w:rsidRPr="00BD396C" w:rsidR="00BD396C">
        <w:t>B</w:t>
      </w:r>
      <w:r w:rsidR="001B50B0">
        <w:t>ill</w:t>
      </w:r>
      <w:r w:rsidRPr="00BD396C" w:rsidR="00BD396C">
        <w:t xml:space="preserve"> 1371</w:t>
      </w:r>
      <w:r w:rsidR="001B50B0">
        <w:t xml:space="preserve"> (Lara, </w:t>
      </w:r>
      <w:r w:rsidR="001B50B0">
        <w:lastRenderedPageBreak/>
        <w:t>2016)</w:t>
      </w:r>
      <w:r w:rsidRPr="00BD396C" w:rsidR="00BD396C">
        <w:t xml:space="preserve">.  The program requires </w:t>
      </w:r>
      <w:r w:rsidR="00400A58">
        <w:t>gas</w:t>
      </w:r>
      <w:r w:rsidRPr="00BD396C" w:rsidR="00BD396C">
        <w:t xml:space="preserve"> companies to report emission volumes annually and to file a </w:t>
      </w:r>
      <w:r w:rsidR="00CC0AD4">
        <w:t>c</w:t>
      </w:r>
      <w:r w:rsidRPr="00BD396C" w:rsidR="00BD396C">
        <w:t xml:space="preserve">ompliance </w:t>
      </w:r>
      <w:r w:rsidR="00CC0AD4">
        <w:t>p</w:t>
      </w:r>
      <w:r w:rsidRPr="00BD396C" w:rsidR="00BD396C">
        <w:t xml:space="preserve">lan every two years.  </w:t>
      </w:r>
      <w:r w:rsidRPr="00BD396C" w:rsidR="00594DFC">
        <w:t xml:space="preserve">The NGLA Program adopted a </w:t>
      </w:r>
      <w:r w:rsidR="10512674">
        <w:t>base</w:t>
      </w:r>
      <w:r w:rsidRPr="00BD396C" w:rsidR="00594DFC">
        <w:t xml:space="preserve"> year of 2015 because 2013 </w:t>
      </w:r>
      <w:r w:rsidR="00A34F89">
        <w:t xml:space="preserve">emission </w:t>
      </w:r>
      <w:r w:rsidRPr="00BD396C" w:rsidR="00594DFC">
        <w:t>levels could not be established</w:t>
      </w:r>
      <w:r w:rsidR="00594DFC">
        <w:t xml:space="preserve"> due to the lack of the data at the time </w:t>
      </w:r>
      <w:r w:rsidR="00596CCD">
        <w:t>D.17-06-015 was adopted</w:t>
      </w:r>
      <w:r w:rsidRPr="00BD396C" w:rsidR="00594DFC">
        <w:t>.</w:t>
      </w:r>
      <w:r w:rsidR="00594DFC">
        <w:t xml:space="preserve">  </w:t>
      </w:r>
    </w:p>
    <w:p w:rsidR="00BD396C" w:rsidP="00B64E47" w:rsidRDefault="00D0034B" w14:paraId="75BA6922" w14:textId="57DDA117">
      <w:pPr>
        <w:pStyle w:val="Standard"/>
      </w:pPr>
      <w:r w:rsidRPr="00BD396C">
        <w:t>SB 1383</w:t>
      </w:r>
      <w:r>
        <w:t xml:space="preserve"> </w:t>
      </w:r>
      <w:r w:rsidRPr="00BD396C">
        <w:t xml:space="preserve">established </w:t>
      </w:r>
      <w:r>
        <w:t>a</w:t>
      </w:r>
      <w:r w:rsidRPr="00BD396C">
        <w:t xml:space="preserve"> state-wide goal of reducing methane emissions forty</w:t>
      </w:r>
      <w:r w:rsidR="00750E9B">
        <w:t> </w:t>
      </w:r>
      <w:r w:rsidRPr="00BD396C">
        <w:t>percent below the 2013 level by the year 2030.</w:t>
      </w:r>
      <w:r w:rsidRPr="00BD396C">
        <w:rPr>
          <w:vertAlign w:val="superscript"/>
        </w:rPr>
        <w:footnoteReference w:id="160"/>
      </w:r>
      <w:r w:rsidRPr="00BD396C">
        <w:t xml:space="preserve">  </w:t>
      </w:r>
      <w:r w:rsidR="002A7145">
        <w:t>D.19-08-020</w:t>
      </w:r>
      <w:r w:rsidDel="00B44BF5" w:rsidR="00DF7049">
        <w:t xml:space="preserve"> </w:t>
      </w:r>
      <w:r w:rsidR="00DF7049">
        <w:t xml:space="preserve">established a </w:t>
      </w:r>
      <w:r w:rsidR="00245465">
        <w:t xml:space="preserve">financial incentive for </w:t>
      </w:r>
      <w:r w:rsidR="00A14703">
        <w:t>companies to demonstrate progress</w:t>
      </w:r>
      <w:r w:rsidR="002B0F8C">
        <w:t xml:space="preserve"> towards the 2030</w:t>
      </w:r>
      <w:r w:rsidR="00750E9B">
        <w:t> </w:t>
      </w:r>
      <w:r w:rsidR="002B0F8C">
        <w:t>target</w:t>
      </w:r>
      <w:r w:rsidR="000B2EDE">
        <w:t xml:space="preserve"> </w:t>
      </w:r>
      <w:r w:rsidR="00296031">
        <w:t xml:space="preserve">and adopted </w:t>
      </w:r>
      <w:r w:rsidR="00671182">
        <w:t>an intermediate goal of 20 percent reduction by 2025.</w:t>
      </w:r>
      <w:r>
        <w:rPr>
          <w:rStyle w:val="FootnoteReference"/>
        </w:rPr>
        <w:footnoteReference w:id="161"/>
      </w:r>
      <w:r w:rsidR="00671182">
        <w:t xml:space="preserve">  </w:t>
      </w:r>
      <w:r w:rsidR="001720E9">
        <w:t xml:space="preserve">However, </w:t>
      </w:r>
      <w:r w:rsidR="007A0D7A">
        <w:t>Commission Staff report that the methods currently available to estimate emissions under th</w:t>
      </w:r>
      <w:r w:rsidR="001720E9">
        <w:t>e N</w:t>
      </w:r>
      <w:r w:rsidR="00596CCD">
        <w:t>GLA P</w:t>
      </w:r>
      <w:r w:rsidR="001720E9">
        <w:t xml:space="preserve">rogram and to track IOU progress against </w:t>
      </w:r>
      <w:r w:rsidR="00296031">
        <w:t xml:space="preserve">our </w:t>
      </w:r>
      <w:r w:rsidR="001720E9">
        <w:t>adopted methane emission reductions goals</w:t>
      </w:r>
      <w:r w:rsidR="007A0D7A">
        <w:t xml:space="preserve"> </w:t>
      </w:r>
      <w:r w:rsidR="00531704">
        <w:t xml:space="preserve">lack </w:t>
      </w:r>
      <w:r w:rsidR="007A0D7A">
        <w:t>sufficient accuracy</w:t>
      </w:r>
      <w:r w:rsidR="00194419">
        <w:t xml:space="preserve"> to use as a SOM</w:t>
      </w:r>
      <w:r w:rsidR="007A0D7A">
        <w:t xml:space="preserve">.  </w:t>
      </w:r>
      <w:r w:rsidR="007C736E">
        <w:t>As such, it is premature to adopt the metrics suggested by PCF</w:t>
      </w:r>
      <w:r w:rsidR="007A0D7A">
        <w:t>.</w:t>
      </w:r>
      <w:r w:rsidDel="007A0D7A" w:rsidR="007C736E">
        <w:t xml:space="preserve"> </w:t>
      </w:r>
    </w:p>
    <w:p w:rsidR="00431879" w:rsidP="00B64E47" w:rsidRDefault="00431879" w14:paraId="7162E717" w14:textId="5A37E3C2">
      <w:pPr>
        <w:pStyle w:val="Standard"/>
      </w:pPr>
      <w:r>
        <w:t xml:space="preserve">We also do not adopt Staff’s recommended approach that PG&amp;E report on </w:t>
      </w:r>
      <w:r w:rsidR="00A8104A">
        <w:t xml:space="preserve">any </w:t>
      </w:r>
      <w:r>
        <w:t xml:space="preserve">clean energy goals that it </w:t>
      </w:r>
      <w:r w:rsidR="00B72F3C">
        <w:t>“</w:t>
      </w:r>
      <w:r>
        <w:t>failed to meet</w:t>
      </w:r>
      <w:r w:rsidR="00A8104A">
        <w:t>,</w:t>
      </w:r>
      <w:r w:rsidR="00B72F3C">
        <w:t>”</w:t>
      </w:r>
      <w:r>
        <w:t xml:space="preserve"> as this is vague</w:t>
      </w:r>
      <w:r w:rsidR="00AD6112">
        <w:t xml:space="preserve">.  Instead, </w:t>
      </w:r>
      <w:r>
        <w:t>SOM</w:t>
      </w:r>
      <w:r w:rsidR="00C962CC">
        <w:t> </w:t>
      </w:r>
      <w:r w:rsidR="00B72F3C">
        <w:t xml:space="preserve">#5.1 </w:t>
      </w:r>
      <w:r>
        <w:t xml:space="preserve">we adopt here reflects </w:t>
      </w:r>
      <w:r w:rsidR="00B72F3C">
        <w:t xml:space="preserve">one of </w:t>
      </w:r>
      <w:r>
        <w:t>California’s most important</w:t>
      </w:r>
      <w:r w:rsidR="002A7145">
        <w:t xml:space="preserve"> and most </w:t>
      </w:r>
      <w:r>
        <w:t>overarching clean energy goal</w:t>
      </w:r>
      <w:r w:rsidR="00B72F3C">
        <w:t>s</w:t>
      </w:r>
      <w:r>
        <w:t xml:space="preserve">. </w:t>
      </w:r>
    </w:p>
    <w:p w:rsidR="00A3728C" w:rsidP="00B64E47" w:rsidRDefault="002A7145" w14:paraId="0EEE2C4C" w14:textId="511B79DF">
      <w:pPr>
        <w:pStyle w:val="Standard"/>
      </w:pPr>
      <w:r>
        <w:t>W</w:t>
      </w:r>
      <w:r w:rsidR="009964A3">
        <w:t xml:space="preserve">e note that Staff’s Track 1 recommendations propose increased attention to climate change as a risk driver </w:t>
      </w:r>
      <w:r w:rsidR="00D62F8C">
        <w:t xml:space="preserve">in Phase II and section </w:t>
      </w:r>
      <w:r w:rsidR="004B0770">
        <w:t xml:space="preserve">9.2.2. </w:t>
      </w:r>
      <w:r w:rsidR="00D62F8C">
        <w:t xml:space="preserve">directs Staff and parties to consider </w:t>
      </w:r>
      <w:r w:rsidR="00D43A45">
        <w:t>climate change issues</w:t>
      </w:r>
      <w:r w:rsidR="00D62F8C">
        <w:t xml:space="preserve"> as they develop </w:t>
      </w:r>
      <w:r w:rsidR="007C736E">
        <w:t>a</w:t>
      </w:r>
      <w:r>
        <w:t>n</w:t>
      </w:r>
      <w:r w:rsidR="00D62F8C">
        <w:t xml:space="preserve"> </w:t>
      </w:r>
      <w:r w:rsidR="00F93912">
        <w:t>u</w:t>
      </w:r>
      <w:r w:rsidR="00D62F8C">
        <w:t>pdated S-MAP Roadmap</w:t>
      </w:r>
      <w:r>
        <w:t>.</w:t>
      </w:r>
    </w:p>
    <w:p w:rsidR="00561B16" w:rsidP="00561B16" w:rsidRDefault="00F93919" w14:paraId="6770D99D" w14:textId="1C1DB8B1">
      <w:pPr>
        <w:pStyle w:val="Heading1"/>
      </w:pPr>
      <w:bookmarkStart w:name="_Toc80890920" w:id="180"/>
      <w:bookmarkStart w:name="_Toc87361221" w:id="181"/>
      <w:r>
        <w:lastRenderedPageBreak/>
        <w:t>11.</w:t>
      </w:r>
      <w:r>
        <w:tab/>
      </w:r>
      <w:r w:rsidR="002A0DED">
        <w:t>Safety and Performance Metrics</w:t>
      </w:r>
      <w:bookmarkEnd w:id="180"/>
      <w:bookmarkEnd w:id="181"/>
    </w:p>
    <w:p w:rsidRPr="000D0AFD" w:rsidR="000D0AFD" w:rsidP="000D0AFD" w:rsidRDefault="000D0AFD" w14:paraId="37D78068" w14:textId="3591E2E1">
      <w:pPr>
        <w:pStyle w:val="Heading2"/>
      </w:pPr>
      <w:bookmarkStart w:name="_Toc80890921" w:id="182"/>
      <w:bookmarkStart w:name="_Toc87361222" w:id="183"/>
      <w:r>
        <w:t>11.</w:t>
      </w:r>
      <w:r w:rsidR="00B179C6">
        <w:t>1</w:t>
      </w:r>
      <w:r w:rsidR="00B179C6">
        <w:tab/>
      </w:r>
      <w:r>
        <w:t>Background on SPMs</w:t>
      </w:r>
      <w:bookmarkEnd w:id="182"/>
      <w:bookmarkEnd w:id="183"/>
    </w:p>
    <w:p w:rsidRPr="008E14B1" w:rsidR="008E14B1" w:rsidP="004F4A56" w:rsidRDefault="00862B4C" w14:paraId="6FFF9DC7" w14:textId="522152BA">
      <w:pPr>
        <w:pStyle w:val="Standard"/>
        <w:rPr>
          <w:iCs/>
        </w:rPr>
      </w:pPr>
      <w:r>
        <w:rPr>
          <w:iCs/>
        </w:rPr>
        <w:t xml:space="preserve">The </w:t>
      </w:r>
      <w:r w:rsidR="00116510">
        <w:rPr>
          <w:iCs/>
        </w:rPr>
        <w:t xml:space="preserve">2014 </w:t>
      </w:r>
      <w:r>
        <w:rPr>
          <w:iCs/>
        </w:rPr>
        <w:t>Risk Decision</w:t>
      </w:r>
      <w:r w:rsidR="00063150">
        <w:rPr>
          <w:iCs/>
        </w:rPr>
        <w:t xml:space="preserve">, </w:t>
      </w:r>
      <w:r w:rsidR="00875B81">
        <w:rPr>
          <w:iCs/>
        </w:rPr>
        <w:t xml:space="preserve">adopted in the </w:t>
      </w:r>
      <w:r>
        <w:rPr>
          <w:iCs/>
        </w:rPr>
        <w:t xml:space="preserve">2013 </w:t>
      </w:r>
      <w:r w:rsidR="00875B81">
        <w:rPr>
          <w:iCs/>
        </w:rPr>
        <w:t xml:space="preserve">Risk </w:t>
      </w:r>
      <w:r w:rsidR="000664BA">
        <w:rPr>
          <w:iCs/>
        </w:rPr>
        <w:t>Rulemaking</w:t>
      </w:r>
      <w:r w:rsidR="00063150">
        <w:rPr>
          <w:iCs/>
        </w:rPr>
        <w:t xml:space="preserve">, </w:t>
      </w:r>
      <w:r w:rsidR="008E14B1">
        <w:rPr>
          <w:iCs/>
        </w:rPr>
        <w:t xml:space="preserve">states that </w:t>
      </w:r>
      <w:r w:rsidRPr="008E14B1" w:rsidR="008E14B1">
        <w:rPr>
          <w:iCs/>
        </w:rPr>
        <w:t xml:space="preserve">energy utilities’ risk-based decision-making systems should be regularly evaluated in terms of the implementation of best practices, industry standards, and </w:t>
      </w:r>
      <w:r w:rsidR="00BD6303">
        <w:rPr>
          <w:iCs/>
        </w:rPr>
        <w:t>“</w:t>
      </w:r>
      <w:r w:rsidRPr="008E14B1" w:rsidR="008E14B1">
        <w:rPr>
          <w:iCs/>
        </w:rPr>
        <w:t>the associated metrics of the security and safety</w:t>
      </w:r>
      <w:r w:rsidR="00BD6303">
        <w:rPr>
          <w:iCs/>
        </w:rPr>
        <w:t>”</w:t>
      </w:r>
      <w:r w:rsidRPr="008E14B1" w:rsidR="008E14B1">
        <w:rPr>
          <w:iCs/>
        </w:rPr>
        <w:t xml:space="preserve"> of its electric grid, gas pipelines, and facilities.</w:t>
      </w:r>
      <w:r w:rsidR="00C932F6">
        <w:rPr>
          <w:rStyle w:val="FootnoteReference"/>
          <w:iCs/>
        </w:rPr>
        <w:footnoteReference w:id="162"/>
      </w:r>
      <w:r w:rsidR="00C932F6">
        <w:rPr>
          <w:iCs/>
        </w:rPr>
        <w:t xml:space="preserve">  Towards this end, </w:t>
      </w:r>
      <w:r w:rsidR="008472AC">
        <w:rPr>
          <w:iCs/>
        </w:rPr>
        <w:t xml:space="preserve">the </w:t>
      </w:r>
      <w:r w:rsidR="00E82A27">
        <w:rPr>
          <w:iCs/>
        </w:rPr>
        <w:t xml:space="preserve">S-MAP Proceeding </w:t>
      </w:r>
      <w:r w:rsidR="00BD6303">
        <w:rPr>
          <w:iCs/>
        </w:rPr>
        <w:t>Phase</w:t>
      </w:r>
      <w:r w:rsidR="00486CD5">
        <w:rPr>
          <w:iCs/>
        </w:rPr>
        <w:t> </w:t>
      </w:r>
      <w:r w:rsidR="00BD6303">
        <w:rPr>
          <w:iCs/>
        </w:rPr>
        <w:t xml:space="preserve">I </w:t>
      </w:r>
      <w:r w:rsidR="008472AC">
        <w:rPr>
          <w:iCs/>
        </w:rPr>
        <w:t xml:space="preserve">Scoping Memo </w:t>
      </w:r>
      <w:r w:rsidR="0064263A">
        <w:rPr>
          <w:iCs/>
        </w:rPr>
        <w:t>direct</w:t>
      </w:r>
      <w:r w:rsidR="005F28CE">
        <w:rPr>
          <w:iCs/>
        </w:rPr>
        <w:t>s</w:t>
      </w:r>
      <w:r w:rsidR="0064263A">
        <w:rPr>
          <w:iCs/>
        </w:rPr>
        <w:t xml:space="preserve"> Staff to develop and propose safety metrics.</w:t>
      </w:r>
      <w:r w:rsidR="00EC52AB">
        <w:rPr>
          <w:rStyle w:val="FootnoteReference"/>
          <w:iCs/>
        </w:rPr>
        <w:footnoteReference w:id="163"/>
      </w:r>
    </w:p>
    <w:p w:rsidR="00E94C26" w:rsidP="004F4A56" w:rsidRDefault="0014484A" w14:paraId="22EAF72A" w14:textId="0E5BF203">
      <w:pPr>
        <w:pStyle w:val="Standard"/>
        <w:rPr>
          <w:iCs/>
        </w:rPr>
      </w:pPr>
      <w:r>
        <w:rPr>
          <w:iCs/>
        </w:rPr>
        <w:t xml:space="preserve">D.19-04-020 adopts 26 </w:t>
      </w:r>
      <w:r w:rsidR="00D6053E">
        <w:rPr>
          <w:iCs/>
        </w:rPr>
        <w:t xml:space="preserve">SPMs to be used by the Commission to track the safety performance of the four IOUs.  </w:t>
      </w:r>
      <w:r w:rsidR="001C7B1F">
        <w:rPr>
          <w:iCs/>
        </w:rPr>
        <w:t>D.19-04-020 direct</w:t>
      </w:r>
      <w:r w:rsidR="00724A11">
        <w:rPr>
          <w:iCs/>
        </w:rPr>
        <w:t>ed</w:t>
      </w:r>
      <w:r w:rsidR="001C7B1F">
        <w:rPr>
          <w:iCs/>
        </w:rPr>
        <w:t xml:space="preserve"> the IOUs to file their first set of SPMs by March 31, 2020</w:t>
      </w:r>
      <w:r w:rsidR="000A7530">
        <w:rPr>
          <w:iCs/>
        </w:rPr>
        <w:t>,</w:t>
      </w:r>
      <w:r w:rsidR="001C7B1F">
        <w:rPr>
          <w:iCs/>
        </w:rPr>
        <w:t xml:space="preserve"> and annually thereafter</w:t>
      </w:r>
      <w:r w:rsidR="000A7530">
        <w:rPr>
          <w:iCs/>
        </w:rPr>
        <w:t xml:space="preserve">, and to </w:t>
      </w:r>
      <w:r w:rsidRPr="000A7530" w:rsidR="000A7530">
        <w:rPr>
          <w:iCs/>
        </w:rPr>
        <w:t xml:space="preserve">include data for the last ten years for all </w:t>
      </w:r>
      <w:r w:rsidR="000A7530">
        <w:rPr>
          <w:iCs/>
        </w:rPr>
        <w:t xml:space="preserve">SPMs </w:t>
      </w:r>
      <w:r w:rsidR="00576459">
        <w:rPr>
          <w:iCs/>
        </w:rPr>
        <w:t>in each filing</w:t>
      </w:r>
      <w:r w:rsidR="00CD1756">
        <w:rPr>
          <w:iCs/>
        </w:rPr>
        <w:t>.  D.19-04-020 also direct</w:t>
      </w:r>
      <w:r w:rsidR="00724A11">
        <w:rPr>
          <w:iCs/>
        </w:rPr>
        <w:t>ed</w:t>
      </w:r>
      <w:r w:rsidR="00CD1756">
        <w:rPr>
          <w:iCs/>
        </w:rPr>
        <w:t xml:space="preserve"> </w:t>
      </w:r>
      <w:r w:rsidR="00576459">
        <w:rPr>
          <w:iCs/>
        </w:rPr>
        <w:t xml:space="preserve">SED </w:t>
      </w:r>
      <w:r w:rsidR="00CD1756">
        <w:rPr>
          <w:iCs/>
        </w:rPr>
        <w:t>Staff to annually file a review of each IOU’s SPM report, in a staggered schedul</w:t>
      </w:r>
      <w:r w:rsidR="003059FD">
        <w:rPr>
          <w:iCs/>
        </w:rPr>
        <w:t>e</w:t>
      </w:r>
      <w:r w:rsidR="00F239AA">
        <w:rPr>
          <w:iCs/>
        </w:rPr>
        <w:t xml:space="preserve"> and </w:t>
      </w:r>
      <w:r w:rsidR="00170E01">
        <w:rPr>
          <w:iCs/>
        </w:rPr>
        <w:t>direct</w:t>
      </w:r>
      <w:r w:rsidR="00724A11">
        <w:rPr>
          <w:iCs/>
        </w:rPr>
        <w:t>ed</w:t>
      </w:r>
      <w:r w:rsidR="00170E01">
        <w:rPr>
          <w:iCs/>
        </w:rPr>
        <w:t xml:space="preserve"> </w:t>
      </w:r>
      <w:r w:rsidRPr="00170E01" w:rsidR="00170E01">
        <w:rPr>
          <w:iCs/>
        </w:rPr>
        <w:t xml:space="preserve">SED </w:t>
      </w:r>
      <w:r w:rsidR="00170E01">
        <w:rPr>
          <w:iCs/>
        </w:rPr>
        <w:t xml:space="preserve">Staff to </w:t>
      </w:r>
      <w:r w:rsidRPr="00170E01" w:rsidR="00170E01">
        <w:rPr>
          <w:iCs/>
        </w:rPr>
        <w:t xml:space="preserve">convey the </w:t>
      </w:r>
      <w:r w:rsidR="00170E01">
        <w:rPr>
          <w:iCs/>
        </w:rPr>
        <w:t xml:space="preserve">SPM reports and </w:t>
      </w:r>
      <w:r w:rsidR="00576459">
        <w:rPr>
          <w:iCs/>
        </w:rPr>
        <w:t xml:space="preserve">SED’s </w:t>
      </w:r>
      <w:r w:rsidR="00170E01">
        <w:rPr>
          <w:iCs/>
        </w:rPr>
        <w:t>review</w:t>
      </w:r>
      <w:r w:rsidR="00576459">
        <w:rPr>
          <w:iCs/>
        </w:rPr>
        <w:t>s</w:t>
      </w:r>
      <w:r w:rsidR="00170E01">
        <w:rPr>
          <w:iCs/>
        </w:rPr>
        <w:t xml:space="preserve"> to the </w:t>
      </w:r>
      <w:r w:rsidRPr="00170E01" w:rsidR="00170E01">
        <w:rPr>
          <w:iCs/>
        </w:rPr>
        <w:t>Electric Safety and Reliability</w:t>
      </w:r>
      <w:r w:rsidR="00170E01">
        <w:rPr>
          <w:iCs/>
        </w:rPr>
        <w:t xml:space="preserve"> </w:t>
      </w:r>
      <w:r w:rsidRPr="00170E01" w:rsidR="00170E01">
        <w:rPr>
          <w:iCs/>
        </w:rPr>
        <w:t>Branch</w:t>
      </w:r>
      <w:r w:rsidR="00576459">
        <w:rPr>
          <w:iCs/>
        </w:rPr>
        <w:t xml:space="preserve"> </w:t>
      </w:r>
      <w:r w:rsidRPr="00170E01" w:rsidR="00170E01">
        <w:rPr>
          <w:iCs/>
        </w:rPr>
        <w:t>and the Gas Safety and Reliability Branch) of the</w:t>
      </w:r>
      <w:r w:rsidR="00170E01">
        <w:rPr>
          <w:iCs/>
        </w:rPr>
        <w:t xml:space="preserve"> </w:t>
      </w:r>
      <w:r w:rsidRPr="00170E01" w:rsidR="00170E01">
        <w:rPr>
          <w:iCs/>
        </w:rPr>
        <w:t>Commission</w:t>
      </w:r>
      <w:r w:rsidR="00170E01">
        <w:rPr>
          <w:iCs/>
        </w:rPr>
        <w:t xml:space="preserve"> for </w:t>
      </w:r>
      <w:r w:rsidR="00576459">
        <w:rPr>
          <w:iCs/>
        </w:rPr>
        <w:t>“</w:t>
      </w:r>
      <w:r w:rsidR="00D32B5E">
        <w:rPr>
          <w:iCs/>
        </w:rPr>
        <w:t xml:space="preserve">consideration when undertaking </w:t>
      </w:r>
      <w:r w:rsidRPr="00170E01" w:rsidR="00170E01">
        <w:rPr>
          <w:iCs/>
        </w:rPr>
        <w:t>safety inspections and compliance audit</w:t>
      </w:r>
      <w:r w:rsidR="00D32B5E">
        <w:rPr>
          <w:iCs/>
        </w:rPr>
        <w:t>s.</w:t>
      </w:r>
      <w:r w:rsidR="00576459">
        <w:rPr>
          <w:iCs/>
        </w:rPr>
        <w:t>”</w:t>
      </w:r>
      <w:r w:rsidR="00D32B5E">
        <w:rPr>
          <w:rStyle w:val="FootnoteReference"/>
          <w:iCs/>
        </w:rPr>
        <w:footnoteReference w:id="164"/>
      </w:r>
    </w:p>
    <w:p w:rsidR="004D12EC" w:rsidP="004D12EC" w:rsidRDefault="003059FD" w14:paraId="43589E2F" w14:textId="454CA199">
      <w:pPr>
        <w:pStyle w:val="Standard"/>
        <w:rPr>
          <w:iCs/>
        </w:rPr>
      </w:pPr>
      <w:r>
        <w:rPr>
          <w:iCs/>
        </w:rPr>
        <w:t xml:space="preserve">D.19-04-020 discusses the potential bias that </w:t>
      </w:r>
      <w:r w:rsidR="006E7327">
        <w:rPr>
          <w:iCs/>
        </w:rPr>
        <w:t>occur</w:t>
      </w:r>
      <w:r w:rsidR="000E5064">
        <w:rPr>
          <w:iCs/>
        </w:rPr>
        <w:t>s</w:t>
      </w:r>
      <w:r w:rsidR="006E7327">
        <w:rPr>
          <w:iCs/>
        </w:rPr>
        <w:t xml:space="preserve"> when </w:t>
      </w:r>
      <w:r>
        <w:rPr>
          <w:iCs/>
        </w:rPr>
        <w:t xml:space="preserve">reporting </w:t>
      </w:r>
      <w:r w:rsidR="006E7327">
        <w:rPr>
          <w:iCs/>
        </w:rPr>
        <w:t xml:space="preserve">SPMs </w:t>
      </w:r>
      <w:r>
        <w:rPr>
          <w:iCs/>
        </w:rPr>
        <w:t>associated with compensation</w:t>
      </w:r>
      <w:r w:rsidR="006E7327">
        <w:rPr>
          <w:iCs/>
        </w:rPr>
        <w:t xml:space="preserve">.  D.19-04-020 </w:t>
      </w:r>
      <w:r>
        <w:rPr>
          <w:iCs/>
        </w:rPr>
        <w:t xml:space="preserve">therefore </w:t>
      </w:r>
      <w:r w:rsidRPr="003059FD">
        <w:rPr>
          <w:iCs/>
        </w:rPr>
        <w:t>require</w:t>
      </w:r>
      <w:r>
        <w:rPr>
          <w:iCs/>
        </w:rPr>
        <w:t>s</w:t>
      </w:r>
      <w:r w:rsidRPr="003059FD">
        <w:rPr>
          <w:iCs/>
        </w:rPr>
        <w:t xml:space="preserve"> the IOUs to clearly identify a</w:t>
      </w:r>
      <w:r w:rsidR="006E7327">
        <w:rPr>
          <w:iCs/>
        </w:rPr>
        <w:t>ny SPMs</w:t>
      </w:r>
      <w:r w:rsidRPr="003059FD">
        <w:rPr>
          <w:iCs/>
        </w:rPr>
        <w:t xml:space="preserve"> linked to or used in any way for the</w:t>
      </w:r>
      <w:r>
        <w:rPr>
          <w:iCs/>
        </w:rPr>
        <w:t xml:space="preserve"> </w:t>
      </w:r>
      <w:r w:rsidRPr="003059FD">
        <w:rPr>
          <w:iCs/>
        </w:rPr>
        <w:t>purpose of determining executive compensation levels and/or incentives</w:t>
      </w:r>
      <w:r>
        <w:rPr>
          <w:iCs/>
        </w:rPr>
        <w:t>.</w:t>
      </w:r>
      <w:r w:rsidR="004A000F">
        <w:rPr>
          <w:iCs/>
        </w:rPr>
        <w:t xml:space="preserve"> </w:t>
      </w:r>
      <w:r w:rsidR="00B83B90">
        <w:rPr>
          <w:iCs/>
        </w:rPr>
        <w:t xml:space="preserve"> </w:t>
      </w:r>
      <w:r w:rsidR="004A000F">
        <w:rPr>
          <w:iCs/>
        </w:rPr>
        <w:t xml:space="preserve">D.19-04-020 requires the IOUs to provide a narrative contextualization </w:t>
      </w:r>
      <w:r w:rsidR="00631FE0">
        <w:rPr>
          <w:iCs/>
        </w:rPr>
        <w:t xml:space="preserve">for the </w:t>
      </w:r>
      <w:r w:rsidR="004A000F">
        <w:rPr>
          <w:iCs/>
        </w:rPr>
        <w:t>SPMs.</w:t>
      </w:r>
      <w:r w:rsidR="00461D42">
        <w:rPr>
          <w:rStyle w:val="FootnoteReference"/>
          <w:iCs/>
        </w:rPr>
        <w:footnoteReference w:id="165"/>
      </w:r>
    </w:p>
    <w:p w:rsidRPr="000A7530" w:rsidR="007A5949" w:rsidP="004D12EC" w:rsidRDefault="007A5949" w14:paraId="6814B5F2" w14:textId="5F71AEA4">
      <w:pPr>
        <w:pStyle w:val="Standard"/>
        <w:rPr>
          <w:iCs/>
        </w:rPr>
      </w:pPr>
      <w:r>
        <w:rPr>
          <w:iCs/>
        </w:rPr>
        <w:lastRenderedPageBreak/>
        <w:t xml:space="preserve">D.19-04-020 </w:t>
      </w:r>
      <w:r w:rsidRPr="007A5949">
        <w:rPr>
          <w:iCs/>
        </w:rPr>
        <w:t>emphasize</w:t>
      </w:r>
      <w:r>
        <w:rPr>
          <w:iCs/>
        </w:rPr>
        <w:t>s</w:t>
      </w:r>
      <w:r w:rsidRPr="007A5949">
        <w:rPr>
          <w:iCs/>
        </w:rPr>
        <w:t xml:space="preserve"> that th</w:t>
      </w:r>
      <w:r>
        <w:rPr>
          <w:iCs/>
        </w:rPr>
        <w:t>e 26 SPMs it adopt</w:t>
      </w:r>
      <w:r w:rsidR="009D68B5">
        <w:rPr>
          <w:iCs/>
        </w:rPr>
        <w:t>ed</w:t>
      </w:r>
      <w:r>
        <w:rPr>
          <w:iCs/>
        </w:rPr>
        <w:t xml:space="preserve"> </w:t>
      </w:r>
      <w:r w:rsidR="009D68B5">
        <w:rPr>
          <w:iCs/>
        </w:rPr>
        <w:t>wa</w:t>
      </w:r>
      <w:r>
        <w:rPr>
          <w:iCs/>
        </w:rPr>
        <w:t xml:space="preserve">s </w:t>
      </w:r>
      <w:r w:rsidRPr="007A5949">
        <w:rPr>
          <w:iCs/>
        </w:rPr>
        <w:t>an initial list that may be added to and refined over time.</w:t>
      </w:r>
      <w:r w:rsidR="00B83B90">
        <w:rPr>
          <w:iCs/>
        </w:rPr>
        <w:t xml:space="preserve">  </w:t>
      </w:r>
      <w:r w:rsidR="006E7327">
        <w:rPr>
          <w:iCs/>
        </w:rPr>
        <w:t xml:space="preserve">D.19-04-020 </w:t>
      </w:r>
      <w:r w:rsidR="00270267">
        <w:rPr>
          <w:iCs/>
        </w:rPr>
        <w:t xml:space="preserve">directs Staff to </w:t>
      </w:r>
      <w:r w:rsidR="00FD517D">
        <w:rPr>
          <w:iCs/>
        </w:rPr>
        <w:t xml:space="preserve">biennially </w:t>
      </w:r>
      <w:r w:rsidRPr="007A5949">
        <w:rPr>
          <w:iCs/>
        </w:rPr>
        <w:t xml:space="preserve">convene </w:t>
      </w:r>
      <w:r w:rsidR="000A55DA">
        <w:rPr>
          <w:iCs/>
        </w:rPr>
        <w:t xml:space="preserve">the S-MAP Proceeding TWG </w:t>
      </w:r>
      <w:r w:rsidRPr="007A5949">
        <w:rPr>
          <w:iCs/>
        </w:rPr>
        <w:t>to discuss the S</w:t>
      </w:r>
      <w:r w:rsidR="00270267">
        <w:rPr>
          <w:iCs/>
        </w:rPr>
        <w:t xml:space="preserve">PMs </w:t>
      </w:r>
      <w:r w:rsidRPr="007A5949">
        <w:rPr>
          <w:iCs/>
        </w:rPr>
        <w:t>and any needed changes</w:t>
      </w:r>
      <w:r w:rsidR="00270ABF">
        <w:rPr>
          <w:iCs/>
        </w:rPr>
        <w:t xml:space="preserve">, </w:t>
      </w:r>
      <w:r w:rsidR="00A566D7">
        <w:rPr>
          <w:iCs/>
        </w:rPr>
        <w:t xml:space="preserve">authorizes Staff </w:t>
      </w:r>
      <w:r w:rsidRPr="007A5949">
        <w:rPr>
          <w:iCs/>
        </w:rPr>
        <w:t xml:space="preserve">to initiate Commission Resolutions to update the </w:t>
      </w:r>
      <w:r w:rsidR="00A566D7">
        <w:rPr>
          <w:iCs/>
        </w:rPr>
        <w:t>SPMs</w:t>
      </w:r>
      <w:r w:rsidR="00270ABF">
        <w:rPr>
          <w:iCs/>
        </w:rPr>
        <w:t>,</w:t>
      </w:r>
      <w:r w:rsidR="00A566D7">
        <w:rPr>
          <w:iCs/>
        </w:rPr>
        <w:t xml:space="preserve"> and </w:t>
      </w:r>
      <w:r w:rsidR="00D16D38">
        <w:rPr>
          <w:iCs/>
        </w:rPr>
        <w:t>suggest</w:t>
      </w:r>
      <w:r w:rsidR="00FD517D">
        <w:rPr>
          <w:iCs/>
        </w:rPr>
        <w:t>s</w:t>
      </w:r>
      <w:r w:rsidR="00D16D38">
        <w:rPr>
          <w:iCs/>
        </w:rPr>
        <w:t xml:space="preserve"> that Staff and the</w:t>
      </w:r>
      <w:r w:rsidR="000A55DA">
        <w:rPr>
          <w:iCs/>
        </w:rPr>
        <w:t xml:space="preserve"> TWG </w:t>
      </w:r>
      <w:r w:rsidR="00D16D38">
        <w:rPr>
          <w:iCs/>
        </w:rPr>
        <w:t xml:space="preserve">should </w:t>
      </w:r>
      <w:r w:rsidRPr="007A5949">
        <w:rPr>
          <w:iCs/>
        </w:rPr>
        <w:t xml:space="preserve">prepare and periodically update a high-level </w:t>
      </w:r>
      <w:r w:rsidR="00FD517D">
        <w:rPr>
          <w:iCs/>
        </w:rPr>
        <w:t xml:space="preserve">SPM </w:t>
      </w:r>
      <w:r w:rsidRPr="007A5949">
        <w:rPr>
          <w:iCs/>
        </w:rPr>
        <w:t>work plan.</w:t>
      </w:r>
      <w:r w:rsidR="00AB5AA0">
        <w:rPr>
          <w:rStyle w:val="FootnoteReference"/>
          <w:iCs/>
        </w:rPr>
        <w:footnoteReference w:id="166"/>
      </w:r>
      <w:r w:rsidR="00406B8F">
        <w:rPr>
          <w:iCs/>
        </w:rPr>
        <w:t xml:space="preserve">  D.19-04-020 </w:t>
      </w:r>
      <w:r w:rsidR="00FD517D">
        <w:rPr>
          <w:iCs/>
        </w:rPr>
        <w:t xml:space="preserve">indicates </w:t>
      </w:r>
      <w:r w:rsidR="00406B8F">
        <w:rPr>
          <w:iCs/>
        </w:rPr>
        <w:t>the Commission’s intent that “[g]</w:t>
      </w:r>
      <w:r w:rsidRPr="00406B8F" w:rsidR="00406B8F">
        <w:rPr>
          <w:iCs/>
        </w:rPr>
        <w:t>oing forward, the Commission should develop additional safety metrics</w:t>
      </w:r>
      <w:r w:rsidR="00406B8F">
        <w:rPr>
          <w:iCs/>
        </w:rPr>
        <w:t xml:space="preserve"> t</w:t>
      </w:r>
      <w:r w:rsidRPr="00406B8F" w:rsidR="00406B8F">
        <w:rPr>
          <w:iCs/>
        </w:rPr>
        <w:t>hat correspond to the top safety risks and top risk drivers identified in IOU</w:t>
      </w:r>
      <w:r w:rsidR="00406B8F">
        <w:rPr>
          <w:iCs/>
        </w:rPr>
        <w:t xml:space="preserve"> </w:t>
      </w:r>
      <w:r w:rsidRPr="00406B8F" w:rsidR="00406B8F">
        <w:rPr>
          <w:iCs/>
        </w:rPr>
        <w:t>RAMPs</w:t>
      </w:r>
      <w:r w:rsidR="00406B8F">
        <w:rPr>
          <w:iCs/>
        </w:rPr>
        <w:t>.”</w:t>
      </w:r>
      <w:r w:rsidR="00406B8F">
        <w:rPr>
          <w:rStyle w:val="FootnoteReference"/>
          <w:iCs/>
        </w:rPr>
        <w:footnoteReference w:id="167"/>
      </w:r>
    </w:p>
    <w:p w:rsidR="004F2392" w:rsidP="00B675DC" w:rsidRDefault="004F2392" w14:paraId="1716A62D" w14:textId="7B474E34">
      <w:pPr>
        <w:pStyle w:val="Standard"/>
        <w:rPr>
          <w:iCs/>
        </w:rPr>
      </w:pPr>
      <w:r>
        <w:rPr>
          <w:iCs/>
        </w:rPr>
        <w:t>D.19-04-020 consider</w:t>
      </w:r>
      <w:r w:rsidR="008E06ED">
        <w:rPr>
          <w:iCs/>
        </w:rPr>
        <w:t>s</w:t>
      </w:r>
      <w:r>
        <w:rPr>
          <w:iCs/>
        </w:rPr>
        <w:t xml:space="preserve"> but did not adopt </w:t>
      </w:r>
      <w:r w:rsidR="00213464">
        <w:rPr>
          <w:iCs/>
        </w:rPr>
        <w:t xml:space="preserve">SPMs related to Safety Management Systems (SMS) and electric overhead conductors. </w:t>
      </w:r>
      <w:r w:rsidR="008E06ED">
        <w:rPr>
          <w:iCs/>
        </w:rPr>
        <w:t xml:space="preserve"> </w:t>
      </w:r>
      <w:r w:rsidR="00213464">
        <w:rPr>
          <w:iCs/>
        </w:rPr>
        <w:t xml:space="preserve">Instead, </w:t>
      </w:r>
      <w:r w:rsidR="008E06ED">
        <w:rPr>
          <w:iCs/>
        </w:rPr>
        <w:t>D.19</w:t>
      </w:r>
      <w:r w:rsidR="00750E9B">
        <w:rPr>
          <w:iCs/>
        </w:rPr>
        <w:noBreakHyphen/>
      </w:r>
      <w:r w:rsidR="008E06ED">
        <w:rPr>
          <w:iCs/>
        </w:rPr>
        <w:t>04</w:t>
      </w:r>
      <w:r w:rsidR="00750E9B">
        <w:rPr>
          <w:iCs/>
        </w:rPr>
        <w:noBreakHyphen/>
      </w:r>
      <w:r w:rsidR="008E06ED">
        <w:rPr>
          <w:iCs/>
        </w:rPr>
        <w:t xml:space="preserve">020 </w:t>
      </w:r>
      <w:r w:rsidR="00213464">
        <w:rPr>
          <w:iCs/>
        </w:rPr>
        <w:t>direct</w:t>
      </w:r>
      <w:r w:rsidR="003260C6">
        <w:rPr>
          <w:iCs/>
        </w:rPr>
        <w:t xml:space="preserve">s </w:t>
      </w:r>
      <w:r w:rsidR="00213464">
        <w:rPr>
          <w:iCs/>
        </w:rPr>
        <w:t xml:space="preserve">Staff to reconvene the </w:t>
      </w:r>
      <w:r w:rsidR="002B01CE">
        <w:rPr>
          <w:iCs/>
        </w:rPr>
        <w:t xml:space="preserve">TWG </w:t>
      </w:r>
      <w:r w:rsidR="00DF4083">
        <w:rPr>
          <w:iCs/>
        </w:rPr>
        <w:t xml:space="preserve">established in A.15-05-002 </w:t>
      </w:r>
      <w:r w:rsidRPr="00DF4083" w:rsidR="00DF4083">
        <w:rPr>
          <w:i/>
        </w:rPr>
        <w:t>et al</w:t>
      </w:r>
      <w:r w:rsidR="00DF4083">
        <w:rPr>
          <w:iCs/>
        </w:rPr>
        <w:t xml:space="preserve"> </w:t>
      </w:r>
      <w:r w:rsidR="00213464">
        <w:rPr>
          <w:iCs/>
        </w:rPr>
        <w:t>to develop a proposal on these items</w:t>
      </w:r>
      <w:r w:rsidR="00941FA4">
        <w:rPr>
          <w:iCs/>
        </w:rPr>
        <w:t xml:space="preserve"> to the extent feasible. </w:t>
      </w:r>
      <w:r w:rsidR="00DE1E80">
        <w:rPr>
          <w:iCs/>
        </w:rPr>
        <w:t xml:space="preserve"> </w:t>
      </w:r>
      <w:r w:rsidR="00941FA4">
        <w:rPr>
          <w:iCs/>
        </w:rPr>
        <w:t>D.19-04-020 direct</w:t>
      </w:r>
      <w:r w:rsidR="003260C6">
        <w:rPr>
          <w:iCs/>
        </w:rPr>
        <w:t xml:space="preserve">s </w:t>
      </w:r>
      <w:r w:rsidR="00941FA4">
        <w:rPr>
          <w:iCs/>
        </w:rPr>
        <w:t xml:space="preserve">the electric IOUs to </w:t>
      </w:r>
      <w:r w:rsidR="00E923C3">
        <w:rPr>
          <w:iCs/>
        </w:rPr>
        <w:t>initiate this work by pro</w:t>
      </w:r>
      <w:r w:rsidR="00DF4083">
        <w:rPr>
          <w:iCs/>
        </w:rPr>
        <w:t>posing</w:t>
      </w:r>
      <w:r w:rsidR="00E923C3">
        <w:rPr>
          <w:iCs/>
        </w:rPr>
        <w:t xml:space="preserve"> an </w:t>
      </w:r>
      <w:r w:rsidRPr="00E923C3" w:rsidR="00E923C3">
        <w:rPr>
          <w:iCs/>
        </w:rPr>
        <w:t xml:space="preserve">updated </w:t>
      </w:r>
      <w:r w:rsidR="00E923C3">
        <w:rPr>
          <w:iCs/>
        </w:rPr>
        <w:t>e</w:t>
      </w:r>
      <w:r w:rsidRPr="00E923C3" w:rsidR="00E923C3">
        <w:rPr>
          <w:iCs/>
        </w:rPr>
        <w:t xml:space="preserve">lectric </w:t>
      </w:r>
      <w:r w:rsidR="00E923C3">
        <w:rPr>
          <w:iCs/>
        </w:rPr>
        <w:t>o</w:t>
      </w:r>
      <w:r w:rsidRPr="00E923C3" w:rsidR="00E923C3">
        <w:rPr>
          <w:iCs/>
        </w:rPr>
        <w:t xml:space="preserve">verhead </w:t>
      </w:r>
      <w:r w:rsidR="00E923C3">
        <w:rPr>
          <w:iCs/>
        </w:rPr>
        <w:t>c</w:t>
      </w:r>
      <w:r w:rsidRPr="00E923C3" w:rsidR="00E923C3">
        <w:rPr>
          <w:iCs/>
        </w:rPr>
        <w:t xml:space="preserve">onductor </w:t>
      </w:r>
      <w:r w:rsidR="00E923C3">
        <w:rPr>
          <w:iCs/>
        </w:rPr>
        <w:t>“i</w:t>
      </w:r>
      <w:r w:rsidRPr="00E923C3" w:rsidR="00E923C3">
        <w:rPr>
          <w:iCs/>
        </w:rPr>
        <w:t>ndex</w:t>
      </w:r>
      <w:r w:rsidR="00E923C3">
        <w:rPr>
          <w:iCs/>
        </w:rPr>
        <w:t>”</w:t>
      </w:r>
      <w:r w:rsidRPr="00E923C3" w:rsidR="00E923C3">
        <w:rPr>
          <w:iCs/>
        </w:rPr>
        <w:t xml:space="preserve"> and</w:t>
      </w:r>
      <w:r w:rsidR="00E923C3">
        <w:rPr>
          <w:iCs/>
        </w:rPr>
        <w:t xml:space="preserve"> </w:t>
      </w:r>
      <w:r w:rsidR="00DF4083">
        <w:rPr>
          <w:iCs/>
        </w:rPr>
        <w:t xml:space="preserve">associated safety </w:t>
      </w:r>
      <w:r w:rsidRPr="00E923C3" w:rsidR="00E923C3">
        <w:rPr>
          <w:iCs/>
        </w:rPr>
        <w:t>metrics</w:t>
      </w:r>
      <w:r w:rsidR="00E923C3">
        <w:rPr>
          <w:iCs/>
        </w:rPr>
        <w:t xml:space="preserve"> </w:t>
      </w:r>
      <w:r w:rsidR="00D24AD9">
        <w:rPr>
          <w:iCs/>
        </w:rPr>
        <w:t xml:space="preserve">within 45 days. </w:t>
      </w:r>
      <w:r w:rsidR="00DE1E80">
        <w:rPr>
          <w:iCs/>
        </w:rPr>
        <w:t xml:space="preserve"> D.19-04-020 direct</w:t>
      </w:r>
      <w:r w:rsidR="00DF4083">
        <w:rPr>
          <w:iCs/>
        </w:rPr>
        <w:t>s</w:t>
      </w:r>
      <w:r w:rsidR="00DE1E80">
        <w:rPr>
          <w:iCs/>
        </w:rPr>
        <w:t xml:space="preserve"> Staff to submit a proposal on electric overhead conductor </w:t>
      </w:r>
      <w:r w:rsidR="00373ABA">
        <w:rPr>
          <w:iCs/>
        </w:rPr>
        <w:t xml:space="preserve">metrics </w:t>
      </w:r>
      <w:r w:rsidR="00DE1E80">
        <w:rPr>
          <w:iCs/>
        </w:rPr>
        <w:t xml:space="preserve">and SMS </w:t>
      </w:r>
      <w:r w:rsidR="004738C8">
        <w:rPr>
          <w:iCs/>
        </w:rPr>
        <w:t xml:space="preserve">metrics </w:t>
      </w:r>
      <w:r w:rsidR="00373ABA">
        <w:rPr>
          <w:iCs/>
        </w:rPr>
        <w:t xml:space="preserve">within 180 days, if feasible.  D.19-04-020 guidance on </w:t>
      </w:r>
      <w:r w:rsidR="00614D06">
        <w:rPr>
          <w:iCs/>
        </w:rPr>
        <w:t xml:space="preserve">developing </w:t>
      </w:r>
      <w:r w:rsidR="00373ABA">
        <w:rPr>
          <w:iCs/>
        </w:rPr>
        <w:t>SMSs emphasize</w:t>
      </w:r>
      <w:r w:rsidR="00DF4083">
        <w:rPr>
          <w:iCs/>
        </w:rPr>
        <w:t>s</w:t>
      </w:r>
      <w:r w:rsidR="00373ABA">
        <w:rPr>
          <w:iCs/>
        </w:rPr>
        <w:t xml:space="preserve"> the areas of safety decision-making, safety communications, continuous learning related to safety, backlog data, and near-miss data.</w:t>
      </w:r>
      <w:r w:rsidR="00373ABA">
        <w:rPr>
          <w:rStyle w:val="FootnoteReference"/>
          <w:iCs/>
        </w:rPr>
        <w:footnoteReference w:id="168"/>
      </w:r>
    </w:p>
    <w:p w:rsidR="005A1B52" w:rsidP="00B675DC" w:rsidRDefault="00573598" w14:paraId="36D4AC60" w14:textId="5C8A2391">
      <w:pPr>
        <w:pStyle w:val="Standard"/>
        <w:rPr>
          <w:iCs/>
        </w:rPr>
      </w:pPr>
      <w:r>
        <w:rPr>
          <w:iCs/>
        </w:rPr>
        <w:t xml:space="preserve">On </w:t>
      </w:r>
      <w:r w:rsidRPr="00573598">
        <w:rPr>
          <w:iCs/>
        </w:rPr>
        <w:t xml:space="preserve">June 30, 2019, the three large electric IOUs submitted </w:t>
      </w:r>
      <w:r>
        <w:rPr>
          <w:iCs/>
        </w:rPr>
        <w:t xml:space="preserve">a proposal on </w:t>
      </w:r>
      <w:r w:rsidRPr="00573598">
        <w:rPr>
          <w:iCs/>
        </w:rPr>
        <w:t xml:space="preserve">electric overhead conductor metrics to the </w:t>
      </w:r>
      <w:r>
        <w:rPr>
          <w:iCs/>
        </w:rPr>
        <w:t>S-MAP</w:t>
      </w:r>
      <w:r w:rsidR="002B7C5F">
        <w:rPr>
          <w:iCs/>
        </w:rPr>
        <w:t xml:space="preserve"> TWG</w:t>
      </w:r>
      <w:r w:rsidRPr="00573598">
        <w:rPr>
          <w:iCs/>
        </w:rPr>
        <w:t xml:space="preserve">.  The three IOUs proposed metrics </w:t>
      </w:r>
      <w:r w:rsidR="00986BA4">
        <w:rPr>
          <w:iCs/>
        </w:rPr>
        <w:t xml:space="preserve">that </w:t>
      </w:r>
      <w:r w:rsidRPr="00573598">
        <w:rPr>
          <w:iCs/>
        </w:rPr>
        <w:t xml:space="preserve">could be considered as either standalone safety metrics or as component metrics to be used in an updated </w:t>
      </w:r>
      <w:r w:rsidR="00986BA4">
        <w:rPr>
          <w:iCs/>
        </w:rPr>
        <w:t xml:space="preserve">electric overhead conductor </w:t>
      </w:r>
      <w:r w:rsidR="00986BA4">
        <w:rPr>
          <w:iCs/>
        </w:rPr>
        <w:lastRenderedPageBreak/>
        <w:t xml:space="preserve">index. </w:t>
      </w:r>
      <w:r w:rsidR="00F15A33">
        <w:rPr>
          <w:iCs/>
        </w:rPr>
        <w:t xml:space="preserve"> The S-MAP </w:t>
      </w:r>
      <w:r w:rsidR="002B7C5F">
        <w:rPr>
          <w:iCs/>
        </w:rPr>
        <w:t xml:space="preserve">TWG </w:t>
      </w:r>
      <w:r w:rsidR="00F15A33">
        <w:rPr>
          <w:iCs/>
        </w:rPr>
        <w:t xml:space="preserve">held several meetings during </w:t>
      </w:r>
      <w:r w:rsidR="00233BC1">
        <w:rPr>
          <w:iCs/>
        </w:rPr>
        <w:t>the second half of 2019</w:t>
      </w:r>
      <w:r w:rsidR="005A149A">
        <w:rPr>
          <w:iCs/>
        </w:rPr>
        <w:t xml:space="preserve">.  Staff </w:t>
      </w:r>
      <w:r w:rsidR="00785FB9">
        <w:rPr>
          <w:iCs/>
        </w:rPr>
        <w:t xml:space="preserve">drew </w:t>
      </w:r>
      <w:r w:rsidR="005A149A">
        <w:rPr>
          <w:iCs/>
        </w:rPr>
        <w:t>on t</w:t>
      </w:r>
      <w:r w:rsidR="00233BC1">
        <w:rPr>
          <w:iCs/>
        </w:rPr>
        <w:t xml:space="preserve">hese discussions </w:t>
      </w:r>
      <w:r w:rsidR="005A149A">
        <w:rPr>
          <w:iCs/>
        </w:rPr>
        <w:t xml:space="preserve">to inform </w:t>
      </w:r>
      <w:r w:rsidR="006F66AF">
        <w:rPr>
          <w:iCs/>
        </w:rPr>
        <w:t xml:space="preserve">Staff’s Proposed SPMs, and </w:t>
      </w:r>
      <w:r w:rsidR="00C962CC">
        <w:rPr>
          <w:iCs/>
        </w:rPr>
        <w:t>S</w:t>
      </w:r>
      <w:r w:rsidR="006F66AF">
        <w:rPr>
          <w:iCs/>
        </w:rPr>
        <w:t>ection</w:t>
      </w:r>
      <w:r w:rsidR="00C00777">
        <w:rPr>
          <w:iCs/>
        </w:rPr>
        <w:t> </w:t>
      </w:r>
      <w:r w:rsidR="006F66AF">
        <w:rPr>
          <w:iCs/>
        </w:rPr>
        <w:t xml:space="preserve">11.4.2 of this decision adopts a new SPM #46 (SPM #32 in final) on </w:t>
      </w:r>
      <w:r w:rsidR="00233BC1">
        <w:rPr>
          <w:iCs/>
        </w:rPr>
        <w:t xml:space="preserve">overhead conductor </w:t>
      </w:r>
      <w:r w:rsidR="006F66AF">
        <w:rPr>
          <w:iCs/>
        </w:rPr>
        <w:t>safety index.</w:t>
      </w:r>
    </w:p>
    <w:p w:rsidR="004F2392" w:rsidP="00B675DC" w:rsidRDefault="006F66AF" w14:paraId="0A0AB44A" w14:textId="405F3EB2">
      <w:pPr>
        <w:pStyle w:val="Standard"/>
        <w:rPr>
          <w:iCs/>
        </w:rPr>
      </w:pPr>
      <w:r>
        <w:rPr>
          <w:iCs/>
        </w:rPr>
        <w:t xml:space="preserve"> </w:t>
      </w:r>
      <w:r w:rsidR="00AD3711">
        <w:rPr>
          <w:iCs/>
        </w:rPr>
        <w:t xml:space="preserve">The S-MAP </w:t>
      </w:r>
      <w:r w:rsidR="002B7C5F">
        <w:rPr>
          <w:iCs/>
        </w:rPr>
        <w:t xml:space="preserve">TWG </w:t>
      </w:r>
      <w:r w:rsidR="00AD3711">
        <w:rPr>
          <w:iCs/>
        </w:rPr>
        <w:t>also discussed SMS</w:t>
      </w:r>
      <w:r w:rsidR="004738C8">
        <w:rPr>
          <w:iCs/>
        </w:rPr>
        <w:t xml:space="preserve"> metrics but</w:t>
      </w:r>
      <w:r w:rsidR="005A149A">
        <w:rPr>
          <w:iCs/>
        </w:rPr>
        <w:t xml:space="preserve"> there was not broad party agreement on this topic and Staff did not further develop </w:t>
      </w:r>
      <w:r w:rsidR="00B77E65">
        <w:rPr>
          <w:iCs/>
        </w:rPr>
        <w:t xml:space="preserve">or offer </w:t>
      </w:r>
      <w:r w:rsidR="005A149A">
        <w:rPr>
          <w:iCs/>
        </w:rPr>
        <w:t>proposals in this area.</w:t>
      </w:r>
    </w:p>
    <w:p w:rsidRPr="000004CF" w:rsidR="000004CF" w:rsidP="00B750AA" w:rsidRDefault="00B750AA" w14:paraId="5FB69DB3" w14:textId="266C3471">
      <w:pPr>
        <w:pStyle w:val="Standard"/>
        <w:rPr>
          <w:iCs/>
        </w:rPr>
      </w:pPr>
      <w:r>
        <w:t>The OIR in this proceeding asks if the Commission should consider adopting any SMS metrics and/or metrics related to electric overhead conductors.</w:t>
      </w:r>
      <w:r>
        <w:rPr>
          <w:rStyle w:val="FootnoteReference"/>
        </w:rPr>
        <w:footnoteReference w:id="169"/>
      </w:r>
      <w:r>
        <w:t xml:space="preserve">  </w:t>
      </w:r>
      <w:r w:rsidR="00BA491C">
        <w:rPr>
          <w:iCs/>
        </w:rPr>
        <w:t>Additionally, t</w:t>
      </w:r>
      <w:r w:rsidRPr="000004CF" w:rsidR="000004CF">
        <w:rPr>
          <w:iCs/>
        </w:rPr>
        <w:t xml:space="preserve">he Scoping Memo includes the following issues </w:t>
      </w:r>
      <w:r w:rsidR="005A149A">
        <w:rPr>
          <w:iCs/>
        </w:rPr>
        <w:t xml:space="preserve">on </w:t>
      </w:r>
      <w:r w:rsidRPr="000004CF" w:rsidR="000004CF">
        <w:rPr>
          <w:iCs/>
        </w:rPr>
        <w:t>SPMs:</w:t>
      </w:r>
    </w:p>
    <w:p w:rsidRPr="000004CF" w:rsidR="000004CF" w:rsidP="00C00777" w:rsidRDefault="000004CF" w14:paraId="7BCCC00E" w14:textId="467BD70D">
      <w:pPr>
        <w:pStyle w:val="ListBullet"/>
        <w:ind w:left="1080" w:right="1440"/>
      </w:pPr>
      <w:r w:rsidRPr="000004CF">
        <w:t>Should the Commission refine any of the 26</w:t>
      </w:r>
      <w:r w:rsidR="005A149A">
        <w:t xml:space="preserve"> SPMs </w:t>
      </w:r>
      <w:r w:rsidRPr="000004CF">
        <w:t xml:space="preserve">adopted in D.19-04-020? Should the Commission adopt additional </w:t>
      </w:r>
      <w:r w:rsidR="005A149A">
        <w:t>SPMs</w:t>
      </w:r>
      <w:r w:rsidRPr="000004CF">
        <w:t xml:space="preserve"> to those adopted in D.19-04-020?</w:t>
      </w:r>
    </w:p>
    <w:p w:rsidR="000004CF" w:rsidP="00C00777" w:rsidRDefault="000004CF" w14:paraId="78F0C5BB" w14:textId="1EFBB83B">
      <w:pPr>
        <w:pStyle w:val="ListBullet"/>
        <w:ind w:left="1080" w:right="1440"/>
      </w:pPr>
      <w:r w:rsidRPr="000004CF">
        <w:t xml:space="preserve">Should the Commission develop a method to streamline </w:t>
      </w:r>
      <w:r w:rsidR="005A149A">
        <w:t xml:space="preserve">SPM </w:t>
      </w:r>
      <w:r w:rsidRPr="000004CF">
        <w:t>development and reporting across proceedings? If so, what methods should be considered?</w:t>
      </w:r>
    </w:p>
    <w:p w:rsidR="00286011" w:rsidP="00B675DC" w:rsidRDefault="00286011" w14:paraId="572D8AEE" w14:textId="16ED3BD1">
      <w:pPr>
        <w:pStyle w:val="Standard"/>
        <w:rPr>
          <w:iCs/>
        </w:rPr>
      </w:pPr>
      <w:r w:rsidRPr="00286011">
        <w:rPr>
          <w:iCs/>
        </w:rPr>
        <w:t xml:space="preserve">On April 21, 2021, Staff </w:t>
      </w:r>
      <w:r w:rsidR="005A149A">
        <w:rPr>
          <w:iCs/>
        </w:rPr>
        <w:t xml:space="preserve">informally </w:t>
      </w:r>
      <w:r w:rsidRPr="00286011">
        <w:rPr>
          <w:iCs/>
        </w:rPr>
        <w:t xml:space="preserve">circulated </w:t>
      </w:r>
      <w:r>
        <w:rPr>
          <w:iCs/>
        </w:rPr>
        <w:t xml:space="preserve">a </w:t>
      </w:r>
      <w:r w:rsidRPr="00286011">
        <w:rPr>
          <w:iCs/>
        </w:rPr>
        <w:t xml:space="preserve">Draft Staff Proposal </w:t>
      </w:r>
      <w:r w:rsidR="005A149A">
        <w:rPr>
          <w:iCs/>
        </w:rPr>
        <w:t xml:space="preserve">to parties </w:t>
      </w:r>
      <w:r w:rsidRPr="00286011">
        <w:rPr>
          <w:iCs/>
        </w:rPr>
        <w:t>suggest</w:t>
      </w:r>
      <w:r w:rsidR="005A149A">
        <w:rPr>
          <w:iCs/>
        </w:rPr>
        <w:t xml:space="preserve">ing </w:t>
      </w:r>
      <w:r w:rsidRPr="00286011">
        <w:rPr>
          <w:iCs/>
        </w:rPr>
        <w:t xml:space="preserve">additions and modifications to the 26 SPMs </w:t>
      </w:r>
      <w:r w:rsidR="005A149A">
        <w:rPr>
          <w:iCs/>
        </w:rPr>
        <w:t xml:space="preserve">adopted </w:t>
      </w:r>
      <w:r w:rsidRPr="00286011">
        <w:rPr>
          <w:iCs/>
        </w:rPr>
        <w:t>in D.19</w:t>
      </w:r>
      <w:r w:rsidR="00C00777">
        <w:rPr>
          <w:iCs/>
        </w:rPr>
        <w:noBreakHyphen/>
      </w:r>
      <w:r w:rsidRPr="00286011">
        <w:rPr>
          <w:iCs/>
        </w:rPr>
        <w:t>04</w:t>
      </w:r>
      <w:r w:rsidR="00C00777">
        <w:rPr>
          <w:iCs/>
        </w:rPr>
        <w:noBreakHyphen/>
      </w:r>
      <w:r w:rsidRPr="00286011">
        <w:rPr>
          <w:iCs/>
        </w:rPr>
        <w:t xml:space="preserve">02.  On May 11, 2021, parties provided informal </w:t>
      </w:r>
      <w:r w:rsidR="005A149A">
        <w:rPr>
          <w:iCs/>
        </w:rPr>
        <w:t xml:space="preserve">written </w:t>
      </w:r>
      <w:r w:rsidRPr="00286011">
        <w:rPr>
          <w:iCs/>
        </w:rPr>
        <w:t xml:space="preserve">comments </w:t>
      </w:r>
      <w:r w:rsidR="005A149A">
        <w:rPr>
          <w:iCs/>
        </w:rPr>
        <w:t xml:space="preserve">to Staff </w:t>
      </w:r>
      <w:r w:rsidRPr="00286011">
        <w:rPr>
          <w:iCs/>
        </w:rPr>
        <w:t xml:space="preserve">on the Draft Staff Proposal.  </w:t>
      </w:r>
    </w:p>
    <w:p w:rsidR="009135B3" w:rsidP="004B0770" w:rsidRDefault="005A149A" w14:paraId="6F5DF0E2" w14:textId="20249A9C">
      <w:pPr>
        <w:pStyle w:val="Standard"/>
        <w:rPr>
          <w:iCs/>
        </w:rPr>
      </w:pPr>
      <w:r>
        <w:rPr>
          <w:iCs/>
        </w:rPr>
        <w:t xml:space="preserve">The </w:t>
      </w:r>
      <w:r w:rsidRPr="004B2414" w:rsidR="009135B3">
        <w:rPr>
          <w:iCs/>
        </w:rPr>
        <w:t>June 4, 2021 ALJ</w:t>
      </w:r>
      <w:r>
        <w:rPr>
          <w:iCs/>
        </w:rPr>
        <w:t xml:space="preserve"> ruling</w:t>
      </w:r>
      <w:r w:rsidRPr="004B2414" w:rsidR="009135B3">
        <w:rPr>
          <w:iCs/>
        </w:rPr>
        <w:t xml:space="preserve"> </w:t>
      </w:r>
      <w:r w:rsidR="00654C79">
        <w:rPr>
          <w:iCs/>
        </w:rPr>
        <w:t xml:space="preserve">issuing the Staff Proposal for comment </w:t>
      </w:r>
      <w:r w:rsidRPr="004B2414" w:rsidR="009135B3">
        <w:rPr>
          <w:iCs/>
        </w:rPr>
        <w:t xml:space="preserve">appended </w:t>
      </w:r>
      <w:r w:rsidR="009135B3">
        <w:rPr>
          <w:iCs/>
        </w:rPr>
        <w:t xml:space="preserve">a Staff Track 2 SPM proposal in </w:t>
      </w:r>
      <w:r w:rsidRPr="00D05E04" w:rsidR="00D05E04">
        <w:rPr>
          <w:iCs/>
        </w:rPr>
        <w:t>Appendix D: Summary Table of Staff Recommended Modifications/Additions to Safety Performance Metrics Developed Pursuant to D.19-04-020 (Staff SPM Proposal).</w:t>
      </w:r>
      <w:r w:rsidR="00654C79">
        <w:rPr>
          <w:iCs/>
        </w:rPr>
        <w:t xml:space="preserve">  The Staff Proposal </w:t>
      </w:r>
      <w:r w:rsidR="00654C79">
        <w:rPr>
          <w:iCs/>
        </w:rPr>
        <w:lastRenderedPageBreak/>
        <w:t>include</w:t>
      </w:r>
      <w:r w:rsidR="00356674">
        <w:rPr>
          <w:iCs/>
        </w:rPr>
        <w:t>s</w:t>
      </w:r>
      <w:r w:rsidR="00654C79">
        <w:rPr>
          <w:iCs/>
        </w:rPr>
        <w:t xml:space="preserve"> a discussion of Staff’s </w:t>
      </w:r>
      <w:r w:rsidR="00F340DA">
        <w:rPr>
          <w:iCs/>
        </w:rPr>
        <w:t xml:space="preserve">considerations in developing the Staff SPM Proposal in section </w:t>
      </w:r>
      <w:r w:rsidR="00C864FC">
        <w:rPr>
          <w:iCs/>
        </w:rPr>
        <w:t>11</w:t>
      </w:r>
      <w:r w:rsidR="00F340DA">
        <w:rPr>
          <w:iCs/>
        </w:rPr>
        <w:t xml:space="preserve"> of the Staff Track 2 Recommendations. </w:t>
      </w:r>
    </w:p>
    <w:p w:rsidR="00286011" w:rsidP="00286011" w:rsidRDefault="00286011" w14:paraId="374FA582" w14:textId="17A6E7A8">
      <w:pPr>
        <w:pStyle w:val="Heading2"/>
      </w:pPr>
      <w:bookmarkStart w:name="_Toc80890922" w:id="184"/>
      <w:bookmarkStart w:name="_Toc87361223" w:id="185"/>
      <w:r>
        <w:t>11.2</w:t>
      </w:r>
      <w:r>
        <w:tab/>
        <w:t>Staff</w:t>
      </w:r>
      <w:r w:rsidR="00B179C6">
        <w:t>’s</w:t>
      </w:r>
      <w:r>
        <w:t xml:space="preserve"> SPM Proposal</w:t>
      </w:r>
      <w:bookmarkEnd w:id="184"/>
      <w:bookmarkEnd w:id="185"/>
      <w:r w:rsidR="0004111C">
        <w:t xml:space="preserve"> </w:t>
      </w:r>
    </w:p>
    <w:p w:rsidR="00973C91" w:rsidP="00B675DC" w:rsidRDefault="00630AEC" w14:paraId="454F045C" w14:textId="5716C526">
      <w:pPr>
        <w:pStyle w:val="Standard"/>
      </w:pPr>
      <w:r>
        <w:t xml:space="preserve">Of the 26 existing SPMs, </w:t>
      </w:r>
      <w:r w:rsidR="000A6CAD">
        <w:t>Staff recommend</w:t>
      </w:r>
      <w:r w:rsidR="00F340DA">
        <w:t xml:space="preserve"> that the Commission </w:t>
      </w:r>
      <w:r w:rsidR="000A6CAD">
        <w:t>modify</w:t>
      </w:r>
      <w:r w:rsidR="00F340DA">
        <w:t xml:space="preserve"> </w:t>
      </w:r>
      <w:r w:rsidR="007D21D8">
        <w:t>1</w:t>
      </w:r>
      <w:r w:rsidR="00476BBA">
        <w:t>6</w:t>
      </w:r>
      <w:r w:rsidR="000A6CAD">
        <w:t xml:space="preserve"> </w:t>
      </w:r>
      <w:r w:rsidR="00F340DA">
        <w:t xml:space="preserve">of </w:t>
      </w:r>
      <w:r w:rsidR="00865074">
        <w:t xml:space="preserve">the existing </w:t>
      </w:r>
      <w:r w:rsidR="000A6CAD">
        <w:t>metrics adopted in D.19-04-020</w:t>
      </w:r>
      <w:r w:rsidR="001047E1">
        <w:t>,</w:t>
      </w:r>
      <w:r w:rsidR="00D34B37">
        <w:t xml:space="preserve"> </w:t>
      </w:r>
      <w:r w:rsidR="00874C81">
        <w:t>leav</w:t>
      </w:r>
      <w:r w:rsidR="00DC3042">
        <w:t>e</w:t>
      </w:r>
      <w:r w:rsidR="00874C81">
        <w:t xml:space="preserve"> </w:t>
      </w:r>
      <w:r w:rsidR="006C49C1">
        <w:t>10</w:t>
      </w:r>
      <w:r w:rsidR="00DC3042">
        <w:t xml:space="preserve"> unchanged,</w:t>
      </w:r>
      <w:r w:rsidR="000A6CAD">
        <w:t xml:space="preserve"> and adopt</w:t>
      </w:r>
      <w:r w:rsidR="00F340DA">
        <w:t xml:space="preserve"> </w:t>
      </w:r>
      <w:r w:rsidR="009648BF">
        <w:t>19</w:t>
      </w:r>
      <w:r w:rsidR="00750E9B">
        <w:t> </w:t>
      </w:r>
      <w:r w:rsidR="000A6CAD">
        <w:t>new metrics</w:t>
      </w:r>
      <w:r w:rsidR="009648BF">
        <w:t xml:space="preserve">, for total of </w:t>
      </w:r>
      <w:r w:rsidR="00F21A86">
        <w:t>45 SPMs</w:t>
      </w:r>
      <w:r w:rsidR="006E1E80">
        <w:t>.</w:t>
      </w:r>
      <w:r w:rsidR="00973C91">
        <w:t xml:space="preserve"> </w:t>
      </w:r>
    </w:p>
    <w:p w:rsidR="002C44DA" w:rsidP="005D4434" w:rsidRDefault="00C83737" w14:paraId="7F344104" w14:textId="374C180E">
      <w:pPr>
        <w:pStyle w:val="Standard"/>
        <w:rPr>
          <w:iCs/>
        </w:rPr>
      </w:pPr>
      <w:r>
        <w:t>Most of t</w:t>
      </w:r>
      <w:r w:rsidR="00383523">
        <w:t xml:space="preserve">he existing and proposed SPMs apply to </w:t>
      </w:r>
      <w:r w:rsidR="004D00BB">
        <w:t xml:space="preserve">either all IOUs or all electric or all gas IOUs.  </w:t>
      </w:r>
      <w:r w:rsidR="00560DE1">
        <w:t>Seven</w:t>
      </w:r>
      <w:r w:rsidR="004D00BB">
        <w:t xml:space="preserve"> existing SPMs apply only to PG&amp;E, </w:t>
      </w:r>
      <w:r w:rsidR="00560DE1">
        <w:t xml:space="preserve">however, </w:t>
      </w:r>
      <w:r w:rsidR="004D00BB">
        <w:t xml:space="preserve">and Staff </w:t>
      </w:r>
      <w:r w:rsidR="00560DE1">
        <w:t xml:space="preserve">recommend that one of </w:t>
      </w:r>
      <w:r w:rsidR="006D0A11">
        <w:t>these be expanded to also apply to SCE, SDG&amp;E</w:t>
      </w:r>
      <w:r w:rsidR="00E10103">
        <w:t>,</w:t>
      </w:r>
      <w:r w:rsidR="006D0A11">
        <w:t xml:space="preserve"> and SoCalGas.  </w:t>
      </w:r>
      <w:r w:rsidR="00027B99">
        <w:t xml:space="preserve">In some cases, Staff propose modest modifications to an existing SPM to align the definition with </w:t>
      </w:r>
      <w:r w:rsidR="00D70810">
        <w:t xml:space="preserve">a proposed </w:t>
      </w:r>
      <w:r w:rsidR="00027B99">
        <w:t>PG&amp;E SOM.</w:t>
      </w:r>
      <w:r w:rsidR="005D0012">
        <w:t xml:space="preserve"> </w:t>
      </w:r>
      <w:r w:rsidR="00643009">
        <w:t xml:space="preserve"> </w:t>
      </w:r>
      <w:r w:rsidR="00A06B9A">
        <w:t xml:space="preserve">More generally, </w:t>
      </w:r>
      <w:r w:rsidR="00A06B9A">
        <w:rPr>
          <w:iCs/>
        </w:rPr>
        <w:t>Staff propose u</w:t>
      </w:r>
      <w:r w:rsidRPr="00A06B9A" w:rsidR="00A06B9A">
        <w:rPr>
          <w:iCs/>
        </w:rPr>
        <w:t xml:space="preserve">pdates to the definitions of </w:t>
      </w:r>
      <w:r w:rsidR="00A06B9A">
        <w:rPr>
          <w:iCs/>
        </w:rPr>
        <w:t xml:space="preserve">existing </w:t>
      </w:r>
      <w:r w:rsidRPr="00A06B9A" w:rsidR="00A06B9A">
        <w:rPr>
          <w:iCs/>
        </w:rPr>
        <w:t xml:space="preserve">SPMs </w:t>
      </w:r>
      <w:r w:rsidR="00A06B9A">
        <w:rPr>
          <w:iCs/>
        </w:rPr>
        <w:t xml:space="preserve">to </w:t>
      </w:r>
      <w:r w:rsidRPr="00A06B9A" w:rsidR="00A06B9A">
        <w:rPr>
          <w:iCs/>
        </w:rPr>
        <w:t xml:space="preserve">provide </w:t>
      </w:r>
      <w:r w:rsidR="00A06B9A">
        <w:rPr>
          <w:iCs/>
        </w:rPr>
        <w:t xml:space="preserve">for greater </w:t>
      </w:r>
      <w:r w:rsidRPr="00A06B9A" w:rsidR="00A06B9A">
        <w:rPr>
          <w:iCs/>
        </w:rPr>
        <w:t xml:space="preserve">consistency </w:t>
      </w:r>
      <w:r w:rsidR="00A06B9A">
        <w:rPr>
          <w:iCs/>
        </w:rPr>
        <w:t xml:space="preserve">across </w:t>
      </w:r>
      <w:r w:rsidRPr="00A06B9A" w:rsidR="00A06B9A">
        <w:rPr>
          <w:iCs/>
        </w:rPr>
        <w:t>the various Commission’s proceedings.</w:t>
      </w:r>
      <w:r w:rsidR="00A06B9A">
        <w:rPr>
          <w:rStyle w:val="FootnoteReference"/>
          <w:iCs/>
        </w:rPr>
        <w:footnoteReference w:id="170"/>
      </w:r>
      <w:r w:rsidR="0028165C">
        <w:t xml:space="preserve">  </w:t>
      </w:r>
      <w:r w:rsidRPr="000A7114" w:rsidR="000A7114">
        <w:rPr>
          <w:iCs/>
        </w:rPr>
        <w:t xml:space="preserve">Staff </w:t>
      </w:r>
      <w:r w:rsidR="00510659">
        <w:rPr>
          <w:iCs/>
        </w:rPr>
        <w:t xml:space="preserve">also </w:t>
      </w:r>
      <w:r w:rsidR="00845D6A">
        <w:rPr>
          <w:iCs/>
        </w:rPr>
        <w:t>recommend that Staff across</w:t>
      </w:r>
      <w:r w:rsidR="000A7114">
        <w:rPr>
          <w:iCs/>
        </w:rPr>
        <w:t xml:space="preserve"> </w:t>
      </w:r>
      <w:r w:rsidRPr="000A7114" w:rsidR="000A7114">
        <w:rPr>
          <w:iCs/>
        </w:rPr>
        <w:t>Commission</w:t>
      </w:r>
      <w:r w:rsidR="00845D6A">
        <w:rPr>
          <w:iCs/>
        </w:rPr>
        <w:t xml:space="preserve"> divisions</w:t>
      </w:r>
      <w:r w:rsidRPr="000A7114" w:rsidR="000A7114">
        <w:rPr>
          <w:iCs/>
        </w:rPr>
        <w:t xml:space="preserve"> work to better collaborate and coordinate on the development, organization, storage, and use of data </w:t>
      </w:r>
      <w:r w:rsidR="009B68C1">
        <w:rPr>
          <w:iCs/>
        </w:rPr>
        <w:t>and that a</w:t>
      </w:r>
      <w:r w:rsidRPr="000A7114" w:rsidR="000A7114">
        <w:rPr>
          <w:iCs/>
        </w:rPr>
        <w:t>nalysis and enforcement could be streamlined if data were stored in an accessible repository for use by the public, parties, and the Commission</w:t>
      </w:r>
      <w:r w:rsidR="009B68C1">
        <w:rPr>
          <w:iCs/>
        </w:rPr>
        <w:t>.</w:t>
      </w:r>
      <w:r w:rsidR="009B68C1">
        <w:rPr>
          <w:rStyle w:val="FootnoteReference"/>
          <w:iCs/>
        </w:rPr>
        <w:footnoteReference w:id="171"/>
      </w:r>
      <w:r w:rsidR="009B68C1">
        <w:rPr>
          <w:iCs/>
        </w:rPr>
        <w:t xml:space="preserve">  </w:t>
      </w:r>
    </w:p>
    <w:p w:rsidRPr="00775D74" w:rsidR="00433BBE" w:rsidP="00433BBE" w:rsidRDefault="00433BBE" w14:paraId="73C1E71B" w14:textId="22F04CFC">
      <w:pPr>
        <w:pStyle w:val="Heading2"/>
      </w:pPr>
      <w:bookmarkStart w:name="_Toc80890923" w:id="186"/>
      <w:bookmarkStart w:name="_Toc87361224" w:id="187"/>
      <w:r w:rsidRPr="00775D74">
        <w:t>11.3</w:t>
      </w:r>
      <w:r w:rsidRPr="00775D74" w:rsidR="079772F9">
        <w:t xml:space="preserve"> </w:t>
      </w:r>
      <w:r w:rsidRPr="00775D74">
        <w:tab/>
        <w:t xml:space="preserve">Staff’s Proposed Revisions </w:t>
      </w:r>
      <w:r w:rsidRPr="00775D74" w:rsidR="00A57594">
        <w:br/>
      </w:r>
      <w:r w:rsidRPr="00775D74">
        <w:t>to Existing SPMs</w:t>
      </w:r>
      <w:bookmarkEnd w:id="186"/>
      <w:bookmarkEnd w:id="187"/>
    </w:p>
    <w:p w:rsidRPr="00775D74" w:rsidR="4A383B25" w:rsidP="00DD084D" w:rsidRDefault="002212FE" w14:paraId="72CE8FE7" w14:textId="23F03E94">
      <w:pPr>
        <w:pStyle w:val="Standard"/>
      </w:pPr>
      <w:r w:rsidRPr="00775D74">
        <w:t>The 1</w:t>
      </w:r>
      <w:r w:rsidRPr="00775D74" w:rsidR="00A446C4">
        <w:t>6</w:t>
      </w:r>
      <w:r w:rsidRPr="00775D74">
        <w:t xml:space="preserve"> existing SPMs for which Staff proposed revisions are listed </w:t>
      </w:r>
      <w:r w:rsidRPr="00775D74" w:rsidR="006F57A0">
        <w:t>below:</w:t>
      </w:r>
      <w:r w:rsidRPr="00775D74" w:rsidR="00355E23">
        <w:rPr>
          <w:rStyle w:val="FootnoteReference"/>
        </w:rPr>
        <w:footnoteReference w:id="172"/>
      </w:r>
    </w:p>
    <w:p w:rsidRPr="00775D74" w:rsidR="009015E8" w:rsidP="00142E2E" w:rsidRDefault="003E34A4" w14:paraId="36113BB1" w14:textId="77C624B4">
      <w:pPr>
        <w:pStyle w:val="Standard"/>
        <w:numPr>
          <w:ilvl w:val="0"/>
          <w:numId w:val="22"/>
        </w:numPr>
        <w:spacing w:after="120" w:line="240" w:lineRule="auto"/>
        <w:ind w:left="1080" w:right="1440"/>
        <w:rPr>
          <w:szCs w:val="26"/>
        </w:rPr>
      </w:pPr>
      <w:r w:rsidRPr="00775D74">
        <w:rPr>
          <w:rFonts w:cs="Calibri"/>
          <w:color w:val="000000" w:themeColor="text1"/>
          <w:szCs w:val="26"/>
        </w:rPr>
        <w:lastRenderedPageBreak/>
        <w:t xml:space="preserve">SPM #1: </w:t>
      </w:r>
      <w:r w:rsidRPr="00775D74" w:rsidR="00A57594">
        <w:rPr>
          <w:rFonts w:cs="Calibri"/>
          <w:color w:val="000000" w:themeColor="text1"/>
          <w:szCs w:val="26"/>
        </w:rPr>
        <w:t xml:space="preserve"> </w:t>
      </w:r>
      <w:r w:rsidRPr="00775D74" w:rsidR="005254DF">
        <w:rPr>
          <w:rFonts w:cs="Calibri"/>
          <w:color w:val="000000" w:themeColor="text1"/>
          <w:szCs w:val="26"/>
        </w:rPr>
        <w:t>Transmission &amp; Distribution (T&amp;D) Overhead Wires Down</w:t>
      </w:r>
      <w:r w:rsidRPr="00775D74" w:rsidR="00DE1F3C">
        <w:rPr>
          <w:rFonts w:cs="Calibri"/>
          <w:color w:val="000000" w:themeColor="text1"/>
          <w:szCs w:val="26"/>
        </w:rPr>
        <w:t xml:space="preserve"> (Non-Major Event Days)</w:t>
      </w:r>
    </w:p>
    <w:p w:rsidRPr="00775D74" w:rsidR="003E34A4" w:rsidP="00142E2E" w:rsidRDefault="003E34A4" w14:paraId="1FDAC696" w14:textId="077B0056">
      <w:pPr>
        <w:pStyle w:val="Standard"/>
        <w:numPr>
          <w:ilvl w:val="0"/>
          <w:numId w:val="22"/>
        </w:numPr>
        <w:spacing w:after="120" w:line="240" w:lineRule="auto"/>
        <w:ind w:left="1080" w:right="1440"/>
        <w:rPr>
          <w:szCs w:val="26"/>
        </w:rPr>
      </w:pPr>
      <w:r w:rsidRPr="00775D74">
        <w:rPr>
          <w:rFonts w:cs="Calibri"/>
          <w:color w:val="000000" w:themeColor="text1"/>
          <w:szCs w:val="26"/>
        </w:rPr>
        <w:t xml:space="preserve">SPM #2: </w:t>
      </w:r>
      <w:r w:rsidRPr="00775D74" w:rsidR="00A57594">
        <w:rPr>
          <w:rFonts w:cs="Calibri"/>
          <w:color w:val="000000" w:themeColor="text1"/>
          <w:szCs w:val="26"/>
        </w:rPr>
        <w:t xml:space="preserve"> </w:t>
      </w:r>
      <w:r w:rsidRPr="00775D74">
        <w:rPr>
          <w:rFonts w:cs="Calibri"/>
          <w:color w:val="000000"/>
          <w:szCs w:val="26"/>
        </w:rPr>
        <w:t>Transmission &amp; Distribution (T&amp;D) Overhead Wires Down - Major Event Days</w:t>
      </w:r>
    </w:p>
    <w:p w:rsidRPr="00775D74" w:rsidR="003E34A4" w:rsidP="00142E2E" w:rsidRDefault="003E34A4" w14:paraId="65B9971C" w14:textId="14C888EF">
      <w:pPr>
        <w:pStyle w:val="Standard"/>
        <w:numPr>
          <w:ilvl w:val="0"/>
          <w:numId w:val="22"/>
        </w:numPr>
        <w:spacing w:after="120" w:line="240" w:lineRule="auto"/>
        <w:ind w:left="1080" w:right="1440"/>
        <w:rPr>
          <w:szCs w:val="26"/>
        </w:rPr>
      </w:pPr>
      <w:r w:rsidRPr="00775D74">
        <w:rPr>
          <w:rFonts w:cs="Calibri"/>
          <w:color w:val="000000" w:themeColor="text1"/>
          <w:szCs w:val="26"/>
        </w:rPr>
        <w:t>SPM #5:</w:t>
      </w:r>
      <w:r w:rsidRPr="00775D74">
        <w:rPr>
          <w:szCs w:val="26"/>
        </w:rPr>
        <w:t xml:space="preserve"> </w:t>
      </w:r>
      <w:r w:rsidRPr="00775D74" w:rsidR="00A57594">
        <w:rPr>
          <w:szCs w:val="26"/>
        </w:rPr>
        <w:t xml:space="preserve"> </w:t>
      </w:r>
      <w:r w:rsidRPr="00775D74">
        <w:rPr>
          <w:szCs w:val="26"/>
        </w:rPr>
        <w:t>Gas Dig-in</w:t>
      </w:r>
    </w:p>
    <w:p w:rsidRPr="00775D74" w:rsidR="003E34A4" w:rsidP="00142E2E" w:rsidRDefault="003E34A4" w14:paraId="7327F3F8" w14:textId="6C39FA4F">
      <w:pPr>
        <w:pStyle w:val="Standard"/>
        <w:numPr>
          <w:ilvl w:val="0"/>
          <w:numId w:val="22"/>
        </w:numPr>
        <w:spacing w:after="120" w:line="240" w:lineRule="auto"/>
        <w:ind w:left="1080" w:right="1440"/>
        <w:rPr>
          <w:szCs w:val="26"/>
        </w:rPr>
      </w:pPr>
      <w:r w:rsidRPr="00775D74">
        <w:rPr>
          <w:rFonts w:cs="Calibri"/>
          <w:color w:val="000000" w:themeColor="text1"/>
          <w:szCs w:val="26"/>
        </w:rPr>
        <w:t>SPM #6:</w:t>
      </w:r>
      <w:r w:rsidRPr="00775D74" w:rsidR="00A57594">
        <w:rPr>
          <w:rFonts w:cs="Calibri"/>
          <w:color w:val="000000" w:themeColor="text1"/>
          <w:szCs w:val="26"/>
        </w:rPr>
        <w:t xml:space="preserve"> </w:t>
      </w:r>
      <w:r w:rsidRPr="00775D74">
        <w:rPr>
          <w:szCs w:val="26"/>
        </w:rPr>
        <w:t xml:space="preserve"> Gas In-</w:t>
      </w:r>
      <w:r w:rsidRPr="00775D74">
        <w:rPr>
          <w:rFonts w:cs="Calibri"/>
          <w:color w:val="000000" w:themeColor="text1"/>
          <w:szCs w:val="26"/>
        </w:rPr>
        <w:t>Line</w:t>
      </w:r>
      <w:r w:rsidRPr="00775D74">
        <w:rPr>
          <w:szCs w:val="26"/>
        </w:rPr>
        <w:t xml:space="preserve"> Inspection</w:t>
      </w:r>
    </w:p>
    <w:p w:rsidRPr="00775D74" w:rsidR="003E34A4" w:rsidP="00142E2E" w:rsidRDefault="003E34A4" w14:paraId="130D4B86" w14:textId="07449F77">
      <w:pPr>
        <w:pStyle w:val="Standard"/>
        <w:numPr>
          <w:ilvl w:val="0"/>
          <w:numId w:val="22"/>
        </w:numPr>
        <w:spacing w:after="120" w:line="240" w:lineRule="auto"/>
        <w:ind w:left="1080" w:right="1440"/>
        <w:rPr>
          <w:szCs w:val="26"/>
        </w:rPr>
      </w:pPr>
      <w:r w:rsidRPr="00775D74">
        <w:rPr>
          <w:rFonts w:cs="Calibri"/>
          <w:color w:val="000000" w:themeColor="text1"/>
          <w:szCs w:val="26"/>
        </w:rPr>
        <w:t>SPM #10:</w:t>
      </w:r>
      <w:r w:rsidRPr="00775D74">
        <w:rPr>
          <w:szCs w:val="26"/>
        </w:rPr>
        <w:t xml:space="preserve"> </w:t>
      </w:r>
      <w:r w:rsidRPr="00775D74" w:rsidR="00A57594">
        <w:rPr>
          <w:szCs w:val="26"/>
        </w:rPr>
        <w:t xml:space="preserve"> </w:t>
      </w:r>
      <w:r w:rsidRPr="00775D74">
        <w:rPr>
          <w:szCs w:val="26"/>
        </w:rPr>
        <w:t xml:space="preserve">Cross </w:t>
      </w:r>
      <w:r w:rsidRPr="00775D74">
        <w:rPr>
          <w:rFonts w:cs="Calibri"/>
          <w:color w:val="000000" w:themeColor="text1"/>
          <w:szCs w:val="26"/>
        </w:rPr>
        <w:t>Bore</w:t>
      </w:r>
      <w:r w:rsidRPr="00775D74">
        <w:rPr>
          <w:szCs w:val="26"/>
        </w:rPr>
        <w:t xml:space="preserve"> Intrusions</w:t>
      </w:r>
    </w:p>
    <w:p w:rsidRPr="00775D74" w:rsidR="003E34A4" w:rsidP="00142E2E" w:rsidRDefault="003E34A4" w14:paraId="4506F805" w14:textId="6EA647F5">
      <w:pPr>
        <w:pStyle w:val="Standard"/>
        <w:numPr>
          <w:ilvl w:val="0"/>
          <w:numId w:val="22"/>
        </w:numPr>
        <w:spacing w:after="120" w:line="240" w:lineRule="auto"/>
        <w:ind w:left="1080" w:right="1440"/>
        <w:rPr>
          <w:szCs w:val="26"/>
        </w:rPr>
      </w:pPr>
      <w:r w:rsidRPr="00775D74">
        <w:rPr>
          <w:rFonts w:cs="Calibri"/>
          <w:color w:val="000000" w:themeColor="text1"/>
          <w:szCs w:val="26"/>
        </w:rPr>
        <w:t>SPM #11:</w:t>
      </w:r>
      <w:r w:rsidRPr="00775D74" w:rsidR="00A57594">
        <w:rPr>
          <w:rFonts w:cs="Calibri"/>
          <w:color w:val="000000" w:themeColor="text1"/>
          <w:szCs w:val="26"/>
        </w:rPr>
        <w:t xml:space="preserve"> </w:t>
      </w:r>
      <w:r w:rsidRPr="00775D74">
        <w:rPr>
          <w:szCs w:val="26"/>
        </w:rPr>
        <w:t xml:space="preserve"> Gas </w:t>
      </w:r>
      <w:r w:rsidRPr="00775D74">
        <w:rPr>
          <w:rFonts w:cs="Calibri"/>
          <w:color w:val="000000" w:themeColor="text1"/>
          <w:szCs w:val="26"/>
        </w:rPr>
        <w:t>Emergency</w:t>
      </w:r>
      <w:r w:rsidRPr="00775D74">
        <w:rPr>
          <w:szCs w:val="26"/>
        </w:rPr>
        <w:t xml:space="preserve"> Response</w:t>
      </w:r>
    </w:p>
    <w:p w:rsidRPr="00775D74" w:rsidR="003E34A4" w:rsidP="00142E2E" w:rsidRDefault="003E34A4" w14:paraId="586AF015" w14:textId="7C2376E4">
      <w:pPr>
        <w:pStyle w:val="Standard"/>
        <w:numPr>
          <w:ilvl w:val="0"/>
          <w:numId w:val="22"/>
        </w:numPr>
        <w:spacing w:after="120" w:line="240" w:lineRule="auto"/>
        <w:ind w:left="1080" w:right="1440"/>
        <w:rPr>
          <w:szCs w:val="26"/>
        </w:rPr>
      </w:pPr>
      <w:r w:rsidRPr="00775D74">
        <w:rPr>
          <w:rFonts w:cs="Calibri"/>
          <w:color w:val="000000" w:themeColor="text1"/>
          <w:szCs w:val="26"/>
        </w:rPr>
        <w:t>SPM #12:</w:t>
      </w:r>
      <w:r w:rsidRPr="00775D74">
        <w:rPr>
          <w:szCs w:val="26"/>
        </w:rPr>
        <w:t xml:space="preserve"> </w:t>
      </w:r>
      <w:r w:rsidRPr="00775D74" w:rsidR="00A57594">
        <w:rPr>
          <w:szCs w:val="26"/>
        </w:rPr>
        <w:t xml:space="preserve"> </w:t>
      </w:r>
      <w:r w:rsidRPr="00775D74">
        <w:rPr>
          <w:szCs w:val="26"/>
        </w:rPr>
        <w:t>Natural Gas Storage Baseline Assessments Performed</w:t>
      </w:r>
    </w:p>
    <w:p w:rsidRPr="00775D74" w:rsidR="003E34A4" w:rsidP="00142E2E" w:rsidRDefault="003E34A4" w14:paraId="2BF30EDA" w14:textId="7794F073">
      <w:pPr>
        <w:pStyle w:val="Standard"/>
        <w:numPr>
          <w:ilvl w:val="0"/>
          <w:numId w:val="22"/>
        </w:numPr>
        <w:spacing w:after="120" w:line="240" w:lineRule="auto"/>
        <w:ind w:left="1080" w:right="1440"/>
        <w:rPr>
          <w:szCs w:val="26"/>
        </w:rPr>
      </w:pPr>
      <w:r w:rsidRPr="00775D74">
        <w:rPr>
          <w:rFonts w:cs="Calibri"/>
          <w:color w:val="000000" w:themeColor="text1"/>
          <w:szCs w:val="26"/>
        </w:rPr>
        <w:t>SPM #13:</w:t>
      </w:r>
      <w:r w:rsidRPr="00775D74" w:rsidR="00A57594">
        <w:rPr>
          <w:rFonts w:cs="Calibri"/>
          <w:color w:val="000000" w:themeColor="text1"/>
          <w:szCs w:val="26"/>
        </w:rPr>
        <w:t xml:space="preserve"> </w:t>
      </w:r>
      <w:r w:rsidRPr="00775D74">
        <w:rPr>
          <w:szCs w:val="26"/>
        </w:rPr>
        <w:t xml:space="preserve"> Gas System </w:t>
      </w:r>
      <w:r w:rsidRPr="00775D74">
        <w:rPr>
          <w:rFonts w:cs="Calibri"/>
          <w:color w:val="000000" w:themeColor="text1"/>
          <w:szCs w:val="26"/>
        </w:rPr>
        <w:t>Internal</w:t>
      </w:r>
      <w:r w:rsidRPr="00775D74">
        <w:rPr>
          <w:szCs w:val="26"/>
        </w:rPr>
        <w:t xml:space="preserve"> Inspection Status</w:t>
      </w:r>
    </w:p>
    <w:p w:rsidRPr="00775D74" w:rsidR="003E34A4" w:rsidP="00142E2E" w:rsidRDefault="003E34A4" w14:paraId="467DE65D" w14:textId="27D97413">
      <w:pPr>
        <w:pStyle w:val="Standard"/>
        <w:numPr>
          <w:ilvl w:val="0"/>
          <w:numId w:val="22"/>
        </w:numPr>
        <w:spacing w:after="120" w:line="240" w:lineRule="auto"/>
        <w:ind w:left="1080" w:right="1440"/>
        <w:rPr>
          <w:szCs w:val="26"/>
        </w:rPr>
      </w:pPr>
      <w:r w:rsidRPr="00775D74">
        <w:rPr>
          <w:rFonts w:cs="Calibri"/>
          <w:color w:val="000000" w:themeColor="text1"/>
          <w:szCs w:val="26"/>
        </w:rPr>
        <w:t>SPM #14:</w:t>
      </w:r>
      <w:r w:rsidRPr="00775D74" w:rsidR="00A57594">
        <w:rPr>
          <w:rFonts w:cs="Calibri"/>
          <w:color w:val="000000" w:themeColor="text1"/>
          <w:szCs w:val="26"/>
        </w:rPr>
        <w:t xml:space="preserve"> </w:t>
      </w:r>
      <w:r w:rsidRPr="00775D74">
        <w:rPr>
          <w:szCs w:val="26"/>
        </w:rPr>
        <w:t xml:space="preserve"> Employee </w:t>
      </w:r>
      <w:r w:rsidRPr="00775D74">
        <w:rPr>
          <w:rFonts w:cs="Calibri"/>
          <w:color w:val="000000" w:themeColor="text1"/>
          <w:szCs w:val="26"/>
        </w:rPr>
        <w:t>Serious</w:t>
      </w:r>
      <w:r w:rsidRPr="00775D74">
        <w:rPr>
          <w:szCs w:val="26"/>
        </w:rPr>
        <w:t xml:space="preserve"> Injuries and Fatalities</w:t>
      </w:r>
    </w:p>
    <w:p w:rsidRPr="00775D74" w:rsidR="003E34A4" w:rsidP="00142E2E" w:rsidRDefault="003E34A4" w14:paraId="4C4F587E" w14:textId="5C46BFF6">
      <w:pPr>
        <w:pStyle w:val="Standard"/>
        <w:numPr>
          <w:ilvl w:val="0"/>
          <w:numId w:val="22"/>
        </w:numPr>
        <w:spacing w:after="120" w:line="240" w:lineRule="auto"/>
        <w:ind w:left="1080" w:right="1440"/>
        <w:rPr>
          <w:szCs w:val="26"/>
        </w:rPr>
      </w:pPr>
      <w:r w:rsidRPr="00775D74">
        <w:rPr>
          <w:rFonts w:cs="Calibri"/>
          <w:color w:val="000000" w:themeColor="text1"/>
          <w:szCs w:val="26"/>
        </w:rPr>
        <w:t xml:space="preserve">SPM </w:t>
      </w:r>
      <w:r w:rsidRPr="00775D74" w:rsidR="003F46DD">
        <w:rPr>
          <w:rFonts w:cs="Calibri"/>
          <w:color w:val="000000" w:themeColor="text1"/>
          <w:szCs w:val="26"/>
        </w:rPr>
        <w:t>#17:</w:t>
      </w:r>
      <w:r w:rsidRPr="00775D74" w:rsidR="00A57594">
        <w:rPr>
          <w:rFonts w:cs="Calibri"/>
          <w:color w:val="000000" w:themeColor="text1"/>
          <w:szCs w:val="26"/>
        </w:rPr>
        <w:t xml:space="preserve"> </w:t>
      </w:r>
      <w:r w:rsidRPr="00775D74" w:rsidR="003F46DD">
        <w:rPr>
          <w:szCs w:val="26"/>
        </w:rPr>
        <w:t xml:space="preserve"> Employee </w:t>
      </w:r>
      <w:r w:rsidRPr="00775D74" w:rsidR="003F46DD">
        <w:rPr>
          <w:rFonts w:cs="Calibri"/>
          <w:color w:val="000000" w:themeColor="text1"/>
          <w:szCs w:val="26"/>
        </w:rPr>
        <w:t>OSHA</w:t>
      </w:r>
      <w:r w:rsidRPr="00775D74" w:rsidR="003F46DD">
        <w:rPr>
          <w:szCs w:val="26"/>
        </w:rPr>
        <w:t xml:space="preserve"> Recordables Rate</w:t>
      </w:r>
    </w:p>
    <w:p w:rsidRPr="00775D74" w:rsidR="003F46DD" w:rsidP="00142E2E" w:rsidRDefault="003F46DD" w14:paraId="3517B646" w14:textId="213F3003">
      <w:pPr>
        <w:pStyle w:val="Standard"/>
        <w:numPr>
          <w:ilvl w:val="0"/>
          <w:numId w:val="22"/>
        </w:numPr>
        <w:spacing w:after="120" w:line="240" w:lineRule="auto"/>
        <w:ind w:left="1080" w:right="1440"/>
        <w:rPr>
          <w:szCs w:val="26"/>
        </w:rPr>
      </w:pPr>
      <w:r w:rsidRPr="00775D74">
        <w:rPr>
          <w:rFonts w:cs="Calibri"/>
          <w:color w:val="000000" w:themeColor="text1"/>
          <w:szCs w:val="26"/>
        </w:rPr>
        <w:t>SPM #18:</w:t>
      </w:r>
      <w:r w:rsidRPr="00775D74" w:rsidR="00A57594">
        <w:rPr>
          <w:rFonts w:cs="Calibri"/>
          <w:color w:val="000000" w:themeColor="text1"/>
          <w:szCs w:val="26"/>
        </w:rPr>
        <w:t xml:space="preserve"> </w:t>
      </w:r>
      <w:r w:rsidRPr="00775D74">
        <w:rPr>
          <w:szCs w:val="26"/>
        </w:rPr>
        <w:t xml:space="preserve"> Contractor OSHA Recordables Rate</w:t>
      </w:r>
    </w:p>
    <w:p w:rsidRPr="00775D74" w:rsidR="003F46DD" w:rsidP="00142E2E" w:rsidRDefault="003F46DD" w14:paraId="478CD8A1" w14:textId="1021AF4C">
      <w:pPr>
        <w:pStyle w:val="Standard"/>
        <w:numPr>
          <w:ilvl w:val="0"/>
          <w:numId w:val="22"/>
        </w:numPr>
        <w:spacing w:after="120" w:line="240" w:lineRule="auto"/>
        <w:ind w:left="1080" w:right="1440"/>
        <w:rPr>
          <w:szCs w:val="26"/>
        </w:rPr>
      </w:pPr>
      <w:r w:rsidRPr="00775D74">
        <w:rPr>
          <w:rFonts w:cs="Calibri"/>
          <w:color w:val="000000" w:themeColor="text1"/>
          <w:szCs w:val="26"/>
        </w:rPr>
        <w:t>SPM #19:</w:t>
      </w:r>
      <w:r w:rsidRPr="00775D74">
        <w:rPr>
          <w:szCs w:val="26"/>
        </w:rPr>
        <w:t xml:space="preserve"> </w:t>
      </w:r>
      <w:r w:rsidRPr="00775D74" w:rsidR="00A57594">
        <w:rPr>
          <w:szCs w:val="26"/>
        </w:rPr>
        <w:t xml:space="preserve"> </w:t>
      </w:r>
      <w:r w:rsidRPr="00775D74">
        <w:rPr>
          <w:szCs w:val="26"/>
        </w:rPr>
        <w:t>Contractor Days Away, Restricted, Transfer (DART)</w:t>
      </w:r>
    </w:p>
    <w:p w:rsidRPr="004A6F55" w:rsidR="002212FE" w:rsidP="00142E2E" w:rsidRDefault="003F46DD" w14:paraId="0D2C40A3" w14:textId="774E9FAB">
      <w:pPr>
        <w:pStyle w:val="Standard"/>
        <w:numPr>
          <w:ilvl w:val="0"/>
          <w:numId w:val="22"/>
        </w:numPr>
        <w:spacing w:after="120" w:line="240" w:lineRule="auto"/>
        <w:ind w:left="1080" w:right="1440"/>
        <w:rPr>
          <w:szCs w:val="26"/>
        </w:rPr>
      </w:pPr>
      <w:r w:rsidRPr="00775D74">
        <w:rPr>
          <w:rFonts w:cs="Calibri"/>
          <w:color w:val="000000" w:themeColor="text1"/>
          <w:szCs w:val="26"/>
        </w:rPr>
        <w:t>SPM #20:</w:t>
      </w:r>
      <w:r w:rsidRPr="00775D74">
        <w:rPr>
          <w:szCs w:val="26"/>
        </w:rPr>
        <w:t xml:space="preserve"> </w:t>
      </w:r>
      <w:r w:rsidRPr="00775D74" w:rsidR="00A57594">
        <w:rPr>
          <w:szCs w:val="26"/>
        </w:rPr>
        <w:t xml:space="preserve"> </w:t>
      </w:r>
      <w:r w:rsidRPr="00775D74">
        <w:rPr>
          <w:szCs w:val="26"/>
        </w:rPr>
        <w:t xml:space="preserve">Contractor </w:t>
      </w:r>
      <w:r w:rsidRPr="00775D74">
        <w:rPr>
          <w:rFonts w:cs="Calibri"/>
          <w:color w:val="000000" w:themeColor="text1"/>
          <w:szCs w:val="26"/>
        </w:rPr>
        <w:t>Serious</w:t>
      </w:r>
      <w:r w:rsidRPr="003F46DD">
        <w:rPr>
          <w:szCs w:val="26"/>
        </w:rPr>
        <w:t xml:space="preserve"> Injuries and Fatalities</w:t>
      </w:r>
    </w:p>
    <w:p w:rsidR="00AC27C8" w:rsidP="00DA4A15" w:rsidRDefault="00AC27C8" w14:paraId="58952B95" w14:textId="61D2A597">
      <w:pPr>
        <w:pStyle w:val="Heading3"/>
      </w:pPr>
      <w:bookmarkStart w:name="_Toc80890924" w:id="188"/>
      <w:bookmarkStart w:name="_Toc87361225" w:id="189"/>
      <w:r>
        <w:t>11.3.1</w:t>
      </w:r>
      <w:r>
        <w:tab/>
        <w:t>Party Comments</w:t>
      </w:r>
      <w:r w:rsidR="00A860CB">
        <w:t xml:space="preserve"> on Staff’s Proposed Changes to Existing SPMs</w:t>
      </w:r>
      <w:bookmarkEnd w:id="188"/>
      <w:bookmarkEnd w:id="189"/>
    </w:p>
    <w:p w:rsidR="00BB24B5" w:rsidP="00AC27C8" w:rsidRDefault="006E1E80" w14:paraId="0E054032" w14:textId="68581A4F">
      <w:pPr>
        <w:pStyle w:val="Standard"/>
      </w:pPr>
      <w:r>
        <w:t xml:space="preserve">PG&amp;E states that it largely supports Staff’s proposed SPMs but proposes modifications </w:t>
      </w:r>
      <w:r w:rsidR="00BB24B5">
        <w:t xml:space="preserve">in certain areas to address unclear descriptions that affect tracking and measurement, duplication, and alignment with SOMs. </w:t>
      </w:r>
    </w:p>
    <w:p w:rsidR="00510659" w:rsidP="00BB24B5" w:rsidRDefault="00C72418" w14:paraId="592B7E12" w14:textId="646F6AAC">
      <w:pPr>
        <w:pStyle w:val="Standard"/>
      </w:pPr>
      <w:r>
        <w:t>SCE</w:t>
      </w:r>
      <w:r w:rsidR="00C34EF0">
        <w:t xml:space="preserve"> and SDG&amp;E/</w:t>
      </w:r>
      <w:r w:rsidR="001D2CC2">
        <w:t>SoCalGas</w:t>
      </w:r>
      <w:r w:rsidR="00C34EF0">
        <w:t xml:space="preserve"> </w:t>
      </w:r>
      <w:r w:rsidR="007D660E">
        <w:t xml:space="preserve">state </w:t>
      </w:r>
      <w:r w:rsidR="00586135">
        <w:t>that the Track 2 working group had insufficient time to deliberate on many of Staff’s proposed SPMs</w:t>
      </w:r>
      <w:r w:rsidR="005610E0">
        <w:t xml:space="preserve">. </w:t>
      </w:r>
      <w:r w:rsidR="009A0E31">
        <w:t xml:space="preserve"> </w:t>
      </w:r>
      <w:r w:rsidR="000F0E66">
        <w:t>The</w:t>
      </w:r>
      <w:r w:rsidR="009A0E31">
        <w:t>se</w:t>
      </w:r>
      <w:r w:rsidR="001D2CC2">
        <w:t xml:space="preserve"> IOUs</w:t>
      </w:r>
      <w:r w:rsidR="007D660E">
        <w:t xml:space="preserve"> </w:t>
      </w:r>
      <w:r w:rsidR="00D04876">
        <w:t xml:space="preserve">object to a number of </w:t>
      </w:r>
      <w:r w:rsidR="008172FC">
        <w:t xml:space="preserve">SPMs </w:t>
      </w:r>
      <w:r w:rsidR="00D04876">
        <w:t xml:space="preserve">as </w:t>
      </w:r>
      <w:r w:rsidR="006E3B3E">
        <w:t>hav</w:t>
      </w:r>
      <w:r w:rsidR="00D04876">
        <w:t>ing</w:t>
      </w:r>
      <w:r w:rsidR="006E3B3E">
        <w:t xml:space="preserve"> ambiguous or contradictory definitions</w:t>
      </w:r>
      <w:r w:rsidR="009A0E31">
        <w:t xml:space="preserve"> or because they state they may not have historical data</w:t>
      </w:r>
      <w:r w:rsidR="00510659">
        <w:t xml:space="preserve"> for the SPM</w:t>
      </w:r>
      <w:r w:rsidR="00BD11D6">
        <w:t xml:space="preserve">.  </w:t>
      </w:r>
      <w:r w:rsidR="008172FC">
        <w:t xml:space="preserve">SCE </w:t>
      </w:r>
      <w:r w:rsidR="009C3346">
        <w:t xml:space="preserve">objects to </w:t>
      </w:r>
      <w:r w:rsidR="00860195">
        <w:t>19 of Staff’s proposed SPMs</w:t>
      </w:r>
      <w:r w:rsidR="00D04876">
        <w:t xml:space="preserve">, </w:t>
      </w:r>
      <w:r w:rsidR="00860195">
        <w:t>PG&amp;E objects to 18</w:t>
      </w:r>
      <w:r w:rsidR="00D04876">
        <w:t xml:space="preserve">, and </w:t>
      </w:r>
      <w:r w:rsidR="00C34EF0">
        <w:t>SDG&amp;E/</w:t>
      </w:r>
      <w:r w:rsidR="00D04876">
        <w:t>SoCalGas</w:t>
      </w:r>
      <w:r w:rsidR="00C34EF0">
        <w:t xml:space="preserve"> </w:t>
      </w:r>
      <w:r w:rsidR="00D04876">
        <w:t>object to 13</w:t>
      </w:r>
      <w:r w:rsidR="00860195">
        <w:t xml:space="preserve">.  </w:t>
      </w:r>
      <w:r w:rsidR="0012254F">
        <w:t xml:space="preserve">TURN proposes modifications to </w:t>
      </w:r>
      <w:r w:rsidR="00C26C3D">
        <w:t>three SPMs</w:t>
      </w:r>
      <w:r w:rsidR="00510659">
        <w:t xml:space="preserve"> and </w:t>
      </w:r>
      <w:r w:rsidR="00C26C3D">
        <w:t>Cal Advocates proposes six</w:t>
      </w:r>
      <w:r w:rsidR="00C14146">
        <w:t> </w:t>
      </w:r>
      <w:r w:rsidR="00C26C3D">
        <w:t>additional SPMs.</w:t>
      </w:r>
      <w:r w:rsidR="00941E21">
        <w:t xml:space="preserve">  </w:t>
      </w:r>
    </w:p>
    <w:p w:rsidR="0012254F" w:rsidP="00BB24B5" w:rsidRDefault="007D660E" w14:paraId="6D974D6E" w14:textId="4E8E04D3">
      <w:pPr>
        <w:pStyle w:val="Standard"/>
      </w:pPr>
      <w:r>
        <w:lastRenderedPageBreak/>
        <w:t xml:space="preserve">In reply comments, </w:t>
      </w:r>
      <w:r w:rsidR="00C34EF0">
        <w:t>SDG&amp;E/</w:t>
      </w:r>
      <w:r w:rsidR="00941E21">
        <w:t>SoCalGas recommend that Staff’s</w:t>
      </w:r>
      <w:r w:rsidR="000D1ECD">
        <w:t xml:space="preserve"> proposals for new SPMs be considered against these criteria: </w:t>
      </w:r>
    </w:p>
    <w:p w:rsidRPr="004A2FAF" w:rsidR="004A2FAF" w:rsidP="00142E2E" w:rsidRDefault="004A2FAF" w14:paraId="1FB1BB46" w14:textId="77777777">
      <w:pPr>
        <w:pStyle w:val="Standard"/>
        <w:numPr>
          <w:ilvl w:val="1"/>
          <w:numId w:val="10"/>
        </w:numPr>
        <w:spacing w:after="120" w:line="240" w:lineRule="auto"/>
        <w:ind w:left="1080" w:right="1440"/>
      </w:pPr>
      <w:r w:rsidRPr="004A2FAF">
        <w:t xml:space="preserve">Specific and clear metric definitions/descriptions; </w:t>
      </w:r>
    </w:p>
    <w:p w:rsidRPr="004A2FAF" w:rsidR="004A2FAF" w:rsidP="00142E2E" w:rsidRDefault="004A2FAF" w14:paraId="006A2335" w14:textId="77777777">
      <w:pPr>
        <w:pStyle w:val="Standard"/>
        <w:numPr>
          <w:ilvl w:val="1"/>
          <w:numId w:val="10"/>
        </w:numPr>
        <w:spacing w:after="120" w:line="240" w:lineRule="auto"/>
        <w:ind w:left="1080" w:right="1440"/>
      </w:pPr>
      <w:r w:rsidRPr="004A2FAF">
        <w:t xml:space="preserve">Clear articulation of, and alignment with, a specific safety measurement objective; </w:t>
      </w:r>
    </w:p>
    <w:p w:rsidRPr="004A2FAF" w:rsidR="004A2FAF" w:rsidP="00142E2E" w:rsidRDefault="004A2FAF" w14:paraId="02D55344" w14:textId="77777777">
      <w:pPr>
        <w:pStyle w:val="Standard"/>
        <w:numPr>
          <w:ilvl w:val="1"/>
          <w:numId w:val="10"/>
        </w:numPr>
        <w:spacing w:after="120" w:line="240" w:lineRule="auto"/>
        <w:ind w:left="1080" w:right="1440"/>
      </w:pPr>
      <w:r w:rsidRPr="004A2FAF">
        <w:t xml:space="preserve">Clear units of measure; </w:t>
      </w:r>
    </w:p>
    <w:p w:rsidRPr="004A2FAF" w:rsidR="004A2FAF" w:rsidP="00142E2E" w:rsidRDefault="004A2FAF" w14:paraId="4CE81538" w14:textId="77777777">
      <w:pPr>
        <w:pStyle w:val="Standard"/>
        <w:numPr>
          <w:ilvl w:val="1"/>
          <w:numId w:val="10"/>
        </w:numPr>
        <w:spacing w:after="120" w:line="240" w:lineRule="auto"/>
        <w:ind w:left="1080" w:right="1440"/>
      </w:pPr>
      <w:r w:rsidRPr="004A2FAF">
        <w:t xml:space="preserve">Ability to benchmark each utility (i.e., avoid metrics that aren’t applicable when comparing a utility of size A to another utility of size B); and </w:t>
      </w:r>
    </w:p>
    <w:p w:rsidRPr="004A2FAF" w:rsidR="004A2FAF" w:rsidP="00142E2E" w:rsidRDefault="004A2FAF" w14:paraId="3967478C" w14:textId="56BDFB34">
      <w:pPr>
        <w:pStyle w:val="Standard"/>
        <w:numPr>
          <w:ilvl w:val="1"/>
          <w:numId w:val="10"/>
        </w:numPr>
        <w:spacing w:after="120" w:line="240" w:lineRule="auto"/>
        <w:ind w:left="1080" w:right="1440"/>
      </w:pPr>
      <w:r w:rsidRPr="004A2FAF">
        <w:t>Ability for the utility to gather the data in a process that is neither onerous nor unnecessarily costly</w:t>
      </w:r>
      <w:r w:rsidR="000F5A34">
        <w:t>.</w:t>
      </w:r>
    </w:p>
    <w:p w:rsidR="007A2599" w:rsidP="006B5622" w:rsidRDefault="006B5622" w14:paraId="6516893F" w14:textId="17F5ECBC">
      <w:pPr>
        <w:pStyle w:val="Standard"/>
      </w:pPr>
      <w:r>
        <w:t>The IOUs</w:t>
      </w:r>
      <w:r w:rsidR="007A2599">
        <w:t xml:space="preserve"> object to Staff’s proposed change to the definition of “wires down” used in SPM</w:t>
      </w:r>
      <w:r w:rsidR="0093797F">
        <w:t>s</w:t>
      </w:r>
      <w:r w:rsidR="007A2599">
        <w:t xml:space="preserve"> #</w:t>
      </w:r>
      <w:r w:rsidR="007F7C7D">
        <w:t xml:space="preserve">s </w:t>
      </w:r>
      <w:r w:rsidR="007A2599">
        <w:t>1</w:t>
      </w:r>
      <w:r w:rsidR="0093797F">
        <w:t xml:space="preserve"> and 2</w:t>
      </w:r>
      <w:r w:rsidR="007A2599">
        <w:t xml:space="preserve"> </w:t>
      </w:r>
      <w:r>
        <w:t>and</w:t>
      </w:r>
      <w:r w:rsidR="007A2599">
        <w:t xml:space="preserve"> instead recommend </w:t>
      </w:r>
      <w:r w:rsidRPr="007A2599" w:rsidR="007A2599">
        <w:t xml:space="preserve">modifying the definition to be consistent with the </w:t>
      </w:r>
      <w:r w:rsidR="007A2599">
        <w:t>o</w:t>
      </w:r>
      <w:r w:rsidRPr="007A2599" w:rsidR="007A2599">
        <w:t xml:space="preserve">verhead </w:t>
      </w:r>
      <w:r w:rsidR="007A2599">
        <w:t>w</w:t>
      </w:r>
      <w:r w:rsidRPr="007A2599" w:rsidR="007A2599">
        <w:t xml:space="preserve">ires </w:t>
      </w:r>
      <w:r w:rsidR="007A2599">
        <w:t>d</w:t>
      </w:r>
      <w:r w:rsidRPr="007A2599" w:rsidR="007A2599">
        <w:t xml:space="preserve">own definition </w:t>
      </w:r>
      <w:r w:rsidR="007A2599">
        <w:t xml:space="preserve">required in the WMPs: </w:t>
      </w:r>
      <w:r w:rsidR="00486CD5">
        <w:t xml:space="preserve"> </w:t>
      </w:r>
      <w:r w:rsidRPr="007A2599" w:rsidR="007A2599">
        <w:t>“</w:t>
      </w:r>
      <w:r w:rsidR="00B308F8">
        <w:t>[i]</w:t>
      </w:r>
      <w:r w:rsidRPr="007A2599" w:rsidR="007A2599">
        <w:t>nstance where an electric transmission or distribution conductor is broken and falls from its intended position to rest on the ground or a foreign object.”</w:t>
      </w:r>
      <w:r w:rsidR="00B308F8">
        <w:rPr>
          <w:rStyle w:val="FootnoteReference"/>
        </w:rPr>
        <w:footnoteReference w:id="173"/>
      </w:r>
      <w:r w:rsidR="0093797F">
        <w:t xml:space="preserve"> The IOUs indicate they already report on a quarterly basis on this metric to </w:t>
      </w:r>
      <w:r w:rsidR="00640E6D">
        <w:t xml:space="preserve">OEIS </w:t>
      </w:r>
      <w:r w:rsidR="0093797F">
        <w:t xml:space="preserve">and prefer to keep its definition consistent. </w:t>
      </w:r>
    </w:p>
    <w:p w:rsidR="00E14286" w:rsidP="00E866DB" w:rsidRDefault="005A0DE4" w14:paraId="1F776387" w14:textId="7F473763">
      <w:pPr>
        <w:pStyle w:val="Standard"/>
      </w:pPr>
      <w:r>
        <w:t xml:space="preserve">SDG&amp;E recommends modifying SPM #3 so that it tracks </w:t>
      </w:r>
      <w:r w:rsidR="00140080">
        <w:t>emergency response times from all sources of reporting, including sources outside of 911</w:t>
      </w:r>
      <w:r w:rsidR="00486CD5">
        <w:t> </w:t>
      </w:r>
      <w:r w:rsidR="00140080">
        <w:t>calls.</w:t>
      </w:r>
      <w:r w:rsidR="008641E4">
        <w:rPr>
          <w:rStyle w:val="FootnoteReference"/>
        </w:rPr>
        <w:footnoteReference w:id="174"/>
      </w:r>
      <w:r w:rsidR="00D26EAC">
        <w:t xml:space="preserve"> </w:t>
      </w:r>
      <w:r w:rsidR="006B5425">
        <w:t xml:space="preserve"> </w:t>
      </w:r>
      <w:r w:rsidR="002277E8">
        <w:t xml:space="preserve">Cal Advocates recommends that the response time interval tracked and reported be reduced from 60 </w:t>
      </w:r>
      <w:r w:rsidR="66404D72">
        <w:t>minutes</w:t>
      </w:r>
      <w:r w:rsidR="63E5BBA7">
        <w:t xml:space="preserve"> to </w:t>
      </w:r>
      <w:r w:rsidR="00AB6AFC">
        <w:t>five-minute</w:t>
      </w:r>
      <w:r w:rsidR="139570D5">
        <w:t xml:space="preserve"> increments</w:t>
      </w:r>
      <w:r w:rsidR="63E5BBA7">
        <w:t>.</w:t>
      </w:r>
      <w:r w:rsidR="002277E8">
        <w:t xml:space="preserve">  </w:t>
      </w:r>
      <w:r w:rsidR="00875D17">
        <w:t>SCE does not support th</w:t>
      </w:r>
      <w:r w:rsidR="002277E8">
        <w:t>ese</w:t>
      </w:r>
      <w:r w:rsidR="00875D17">
        <w:t xml:space="preserve"> change</w:t>
      </w:r>
      <w:r w:rsidR="002277E8">
        <w:t>s</w:t>
      </w:r>
      <w:r w:rsidR="00875D17">
        <w:t xml:space="preserve">.  </w:t>
      </w:r>
      <w:r w:rsidR="00D26EAC">
        <w:t xml:space="preserve">SDG&amp;E suggests modest changes to the definition in SPM #4, although Staff did not propose any changes to this metric. </w:t>
      </w:r>
      <w:r w:rsidR="00875D17">
        <w:t xml:space="preserve"> </w:t>
      </w:r>
      <w:r w:rsidR="005F293E">
        <w:t xml:space="preserve"> </w:t>
      </w:r>
    </w:p>
    <w:p w:rsidR="007F4CF7" w:rsidP="007F4CF7" w:rsidRDefault="006B5425" w14:paraId="1FE92642" w14:textId="51704246">
      <w:pPr>
        <w:pStyle w:val="Standard"/>
      </w:pPr>
      <w:r>
        <w:lastRenderedPageBreak/>
        <w:t>SDG&amp;E</w:t>
      </w:r>
      <w:r w:rsidR="003C20E5">
        <w:t>/</w:t>
      </w:r>
      <w:r>
        <w:t xml:space="preserve">SoCalGas support Staff’s </w:t>
      </w:r>
      <w:r w:rsidR="00845687">
        <w:t>modifications to SPMs #s 5</w:t>
      </w:r>
      <w:r w:rsidR="00434B31">
        <w:t xml:space="preserve"> and</w:t>
      </w:r>
      <w:r w:rsidR="00845687">
        <w:t xml:space="preserve"> 6</w:t>
      </w:r>
      <w:r w:rsidR="002C70CF">
        <w:t>, but propose further</w:t>
      </w:r>
      <w:r w:rsidR="00845687">
        <w:t xml:space="preserve"> modifications to the definition</w:t>
      </w:r>
      <w:r w:rsidR="00775F29">
        <w:t xml:space="preserve"> such that it states “</w:t>
      </w:r>
      <w:r w:rsidR="00434B31">
        <w:t>t</w:t>
      </w:r>
      <w:r w:rsidRPr="00775F29" w:rsidR="00775F29">
        <w:t>otal miles of transmission pipelines inspected annually by inline inspection and percentage of miles inspected by inline inspection annually over total transmission pipelines”</w:t>
      </w:r>
      <w:r w:rsidR="002C70CF">
        <w:t>.  SDG&amp;E</w:t>
      </w:r>
      <w:r w:rsidR="003C20E5">
        <w:t>/</w:t>
      </w:r>
      <w:r w:rsidR="002C70CF">
        <w:t>SoCalGas support Staff’s proposed modifications to SPMs #s</w:t>
      </w:r>
      <w:r w:rsidR="00845687">
        <w:t xml:space="preserve"> </w:t>
      </w:r>
      <w:r w:rsidR="001755D8">
        <w:t xml:space="preserve">8, 9, 10, </w:t>
      </w:r>
      <w:r w:rsidR="00F36C53">
        <w:t xml:space="preserve">and </w:t>
      </w:r>
      <w:r w:rsidR="001755D8">
        <w:t>11</w:t>
      </w:r>
      <w:r w:rsidR="00F36C53">
        <w:t>.</w:t>
      </w:r>
      <w:r w:rsidR="007F4CF7">
        <w:t xml:space="preserve">  SoCalGas supports Staff’s SPM #12, which is not applicable to SDG&amp;E.  SD</w:t>
      </w:r>
      <w:r w:rsidR="00F93EE4">
        <w:t>G&amp;E/SoCalGas</w:t>
      </w:r>
      <w:r w:rsidR="007F4CF7">
        <w:t xml:space="preserve"> ha</w:t>
      </w:r>
      <w:r w:rsidR="00F93EE4">
        <w:t>ve</w:t>
      </w:r>
      <w:r w:rsidR="007F4CF7">
        <w:t xml:space="preserve"> concerns about duplication between SPMs #6 and #13, if modified as Staff suggest</w:t>
      </w:r>
      <w:r w:rsidR="00A12063">
        <w:t xml:space="preserve">, </w:t>
      </w:r>
      <w:r w:rsidR="00D110C9">
        <w:t>stating that</w:t>
      </w:r>
      <w:r w:rsidR="00A12063">
        <w:t xml:space="preserve"> SPM #13 duplicat</w:t>
      </w:r>
      <w:r w:rsidR="00434B31">
        <w:t>e</w:t>
      </w:r>
      <w:r w:rsidR="007137AC">
        <w:t>s</w:t>
      </w:r>
      <w:r w:rsidR="00434B31">
        <w:t xml:space="preserve"> SPM</w:t>
      </w:r>
      <w:r w:rsidR="00A12063">
        <w:t xml:space="preserve"> #6.  </w:t>
      </w:r>
      <w:r w:rsidR="009269A4">
        <w:t xml:space="preserve">PG&amp;E suggests </w:t>
      </w:r>
      <w:r w:rsidR="00912C5E">
        <w:t xml:space="preserve">modifying </w:t>
      </w:r>
      <w:r w:rsidR="009269A4">
        <w:t>SPM</w:t>
      </w:r>
      <w:r w:rsidR="00912C5E">
        <w:t>s</w:t>
      </w:r>
      <w:r w:rsidR="009269A4">
        <w:t xml:space="preserve"> #</w:t>
      </w:r>
      <w:r w:rsidR="009679EE">
        <w:t xml:space="preserve">s </w:t>
      </w:r>
      <w:r w:rsidR="009269A4">
        <w:t>8</w:t>
      </w:r>
      <w:r w:rsidR="00680AC9">
        <w:t xml:space="preserve"> and 9 to</w:t>
      </w:r>
      <w:r w:rsidR="009269A4">
        <w:t xml:space="preserve"> </w:t>
      </w:r>
      <w:r w:rsidR="00912C5E">
        <w:t xml:space="preserve">measure median not average shut-in gas time as more relevant. </w:t>
      </w:r>
      <w:r w:rsidR="00B623A0">
        <w:t xml:space="preserve"> PG&amp;E objects to </w:t>
      </w:r>
      <w:r w:rsidR="00E328BA">
        <w:t xml:space="preserve">Staff’s proposed changes to SPM #11 and recommends the Commission retain the current definition, which centers around average response times, not the five-minute interval reporting as suggested by Staff.  </w:t>
      </w:r>
      <w:r w:rsidR="00484B97">
        <w:t xml:space="preserve">Regarding SPM #13, </w:t>
      </w:r>
      <w:r w:rsidR="00E328BA">
        <w:t xml:space="preserve">PG&amp;E suggests that </w:t>
      </w:r>
      <w:r w:rsidR="00484B97">
        <w:t>t</w:t>
      </w:r>
      <w:r w:rsidRPr="00484B97" w:rsidR="00484B97">
        <w:t xml:space="preserve">otal miles inspected should be removed from this item as </w:t>
      </w:r>
      <w:r w:rsidR="00121AFF">
        <w:t>this information</w:t>
      </w:r>
      <w:r w:rsidRPr="00484B97" w:rsidR="00484B97">
        <w:t xml:space="preserve"> is included in </w:t>
      </w:r>
      <w:r w:rsidR="00484B97">
        <w:t xml:space="preserve">PG&amp;E’s </w:t>
      </w:r>
      <w:r w:rsidRPr="00484B97" w:rsidR="00484B97">
        <w:t xml:space="preserve">proposed alternative for </w:t>
      </w:r>
      <w:r w:rsidR="00484B97">
        <w:t>SPM #</w:t>
      </w:r>
      <w:r w:rsidRPr="00484B97" w:rsidR="00484B97">
        <w:t>6</w:t>
      </w:r>
      <w:r w:rsidR="00AB4EE7">
        <w:t xml:space="preserve">, and </w:t>
      </w:r>
      <w:r w:rsidR="00EF79CD">
        <w:t xml:space="preserve">that </w:t>
      </w:r>
      <w:r w:rsidR="00AB4EE7">
        <w:t>p</w:t>
      </w:r>
      <w:r w:rsidRPr="00484B97" w:rsidR="00484B97">
        <w:t xml:space="preserve">ercent of system </w:t>
      </w:r>
      <w:r w:rsidR="00DD4B5C">
        <w:t>“</w:t>
      </w:r>
      <w:r w:rsidRPr="00484B97" w:rsidR="00484B97">
        <w:t>piggable</w:t>
      </w:r>
      <w:r w:rsidR="00DD4B5C">
        <w:t>”</w:t>
      </w:r>
      <w:r w:rsidRPr="00484B97" w:rsidR="00484B97">
        <w:t xml:space="preserve"> should be included as part of </w:t>
      </w:r>
      <w:r w:rsidR="00AB4EE7">
        <w:t>SPM #</w:t>
      </w:r>
      <w:r w:rsidRPr="00484B97" w:rsidR="00484B97">
        <w:t xml:space="preserve">7, (percent </w:t>
      </w:r>
      <w:r w:rsidR="00DD4B5C">
        <w:t>“</w:t>
      </w:r>
      <w:r w:rsidRPr="00484B97" w:rsidR="00484B97">
        <w:t>piggable</w:t>
      </w:r>
      <w:r w:rsidR="00DD4B5C">
        <w:t>”</w:t>
      </w:r>
      <w:r w:rsidRPr="00484B97" w:rsidR="00484B97">
        <w:t xml:space="preserve"> is based on miles upgraded) or should stand alone as its own metric</w:t>
      </w:r>
      <w:r w:rsidR="00AB4EE7">
        <w:t>.</w:t>
      </w:r>
    </w:p>
    <w:p w:rsidR="00A9080B" w:rsidP="00377AF5" w:rsidRDefault="00377AF5" w14:paraId="6E2DAE7F" w14:textId="540214D2">
      <w:pPr>
        <w:pStyle w:val="Standard"/>
      </w:pPr>
      <w:r>
        <w:t>SDG&amp;E</w:t>
      </w:r>
      <w:r w:rsidR="009C4B0B">
        <w:t>/</w:t>
      </w:r>
      <w:r>
        <w:t>SoCalGas support Staff’s proposed SPMs #s 14</w:t>
      </w:r>
      <w:r w:rsidR="005E6649">
        <w:t xml:space="preserve"> and</w:t>
      </w:r>
      <w:r>
        <w:t xml:space="preserve"> 15.  With SCE, these companies also support SPM #s 20, 21, and 23.</w:t>
      </w:r>
      <w:r w:rsidR="009E1E3A">
        <w:t xml:space="preserve"> </w:t>
      </w:r>
      <w:r>
        <w:t xml:space="preserve"> </w:t>
      </w:r>
      <w:r w:rsidR="00F36C53">
        <w:t>SCE</w:t>
      </w:r>
      <w:r w:rsidR="00711B87">
        <w:t xml:space="preserve"> </w:t>
      </w:r>
      <w:r w:rsidR="00651A9E">
        <w:t xml:space="preserve">has concerns about </w:t>
      </w:r>
      <w:r w:rsidR="00711B87">
        <w:t>Staff’s proposed definition for SPM</w:t>
      </w:r>
      <w:r w:rsidR="00DC6917">
        <w:t>s</w:t>
      </w:r>
      <w:r w:rsidR="00711B87">
        <w:t xml:space="preserve"> #</w:t>
      </w:r>
      <w:r w:rsidR="00DC6917">
        <w:t xml:space="preserve">s </w:t>
      </w:r>
      <w:r w:rsidR="00711B87">
        <w:t>14</w:t>
      </w:r>
      <w:r w:rsidR="00DC6917">
        <w:t xml:space="preserve">, 17, </w:t>
      </w:r>
      <w:r w:rsidR="000E53E1">
        <w:t xml:space="preserve">18 and 20 </w:t>
      </w:r>
      <w:r w:rsidR="009F0D68">
        <w:t>regarding</w:t>
      </w:r>
      <w:r w:rsidR="00711B87">
        <w:t xml:space="preserve"> employee </w:t>
      </w:r>
      <w:r w:rsidR="009F0D68">
        <w:t xml:space="preserve">and contractor </w:t>
      </w:r>
      <w:r w:rsidR="00711B87">
        <w:t xml:space="preserve">SIFs </w:t>
      </w:r>
      <w:r w:rsidR="00F96491">
        <w:t>A</w:t>
      </w:r>
      <w:r w:rsidR="00711B87">
        <w:t>ctual</w:t>
      </w:r>
      <w:r w:rsidR="00A832E7">
        <w:t xml:space="preserve">, with respect to differing definitions </w:t>
      </w:r>
      <w:r w:rsidR="00D92924">
        <w:t>of “serious injuries and fatalities” used by OSHA and th</w:t>
      </w:r>
      <w:r w:rsidR="00D57E54">
        <w:t xml:space="preserve">e </w:t>
      </w:r>
      <w:r w:rsidR="001771B3">
        <w:t>Edison Electrical Institute (</w:t>
      </w:r>
      <w:r w:rsidR="00D57E54">
        <w:t>EEI</w:t>
      </w:r>
      <w:r w:rsidR="001771B3">
        <w:t>)</w:t>
      </w:r>
      <w:r w:rsidR="00D57E54">
        <w:t xml:space="preserve"> Occupational Health and Safety Committee</w:t>
      </w:r>
      <w:r w:rsidR="00711B87">
        <w:t xml:space="preserve">.  </w:t>
      </w:r>
      <w:r w:rsidR="00A9080B">
        <w:t>SCE generally supports using the EEI methodology</w:t>
      </w:r>
      <w:r w:rsidR="007776E8">
        <w:t xml:space="preserve">.  </w:t>
      </w:r>
      <w:r w:rsidR="007F4CF7">
        <w:t>Regarding SPM</w:t>
      </w:r>
      <w:r w:rsidR="007776E8">
        <w:t>s</w:t>
      </w:r>
      <w:r w:rsidR="007F4CF7">
        <w:t xml:space="preserve"> #</w:t>
      </w:r>
      <w:r w:rsidR="00DA0ECD">
        <w:t xml:space="preserve">s 17 and </w:t>
      </w:r>
      <w:r w:rsidR="007F4CF7">
        <w:t xml:space="preserve">18, </w:t>
      </w:r>
      <w:r w:rsidR="00F93EE4">
        <w:t>SDG&amp;E/</w:t>
      </w:r>
      <w:r w:rsidR="007F4CF7">
        <w:t>SoCalGas recommend</w:t>
      </w:r>
      <w:r w:rsidR="00AF417E">
        <w:t xml:space="preserve"> modifying</w:t>
      </w:r>
      <w:r w:rsidR="007F4CF7">
        <w:t xml:space="preserve"> the definition to remove the definition of “OSHA recordable” and references to the E</w:t>
      </w:r>
      <w:r w:rsidR="00AC60CE">
        <w:t>EI</w:t>
      </w:r>
      <w:r w:rsidR="007F4CF7">
        <w:t xml:space="preserve">. </w:t>
      </w:r>
      <w:r w:rsidR="00C67017">
        <w:t xml:space="preserve"> </w:t>
      </w:r>
      <w:r w:rsidR="000C4B5A">
        <w:t xml:space="preserve">SDG&amp;E /SoCalGas comment that using </w:t>
      </w:r>
      <w:r w:rsidR="000C4B5A">
        <w:lastRenderedPageBreak/>
        <w:t xml:space="preserve">the EEI Safety Classification and Learning Model to report on SPMs #s 17 and 18 </w:t>
      </w:r>
      <w:r w:rsidR="00035029">
        <w:t xml:space="preserve">as proposed by Staff (SPMs #s 15 and 16 as adopted) </w:t>
      </w:r>
      <w:r w:rsidR="000C4B5A">
        <w:t xml:space="preserve">would require </w:t>
      </w:r>
      <w:r w:rsidR="00412306">
        <w:t xml:space="preserve">a </w:t>
      </w:r>
      <w:r w:rsidR="000C4B5A">
        <w:t xml:space="preserve">costly reconfiguration of current methods and training systems for little gain.  SDG&amp;E/SoCalGas state that their current method </w:t>
      </w:r>
      <w:r w:rsidR="00A9080B">
        <w:t>i</w:t>
      </w:r>
      <w:r w:rsidR="000C4B5A">
        <w:t>s substantially similar to the EEI method and is suitable for reporting purposes for these</w:t>
      </w:r>
      <w:r w:rsidR="00A9080B">
        <w:t xml:space="preserve"> </w:t>
      </w:r>
      <w:r w:rsidR="000C4B5A">
        <w:t>metrics.</w:t>
      </w:r>
      <w:r w:rsidR="00412306">
        <w:t xml:space="preserve">  </w:t>
      </w:r>
    </w:p>
    <w:p w:rsidR="007F3D9F" w:rsidP="00377AF5" w:rsidRDefault="007C62F5" w14:paraId="07FBBA66" w14:textId="4295215C">
      <w:pPr>
        <w:pStyle w:val="Standard"/>
      </w:pPr>
      <w:r>
        <w:t>Regarding SPM #s 14</w:t>
      </w:r>
      <w:r w:rsidR="003B0C11">
        <w:t xml:space="preserve"> and</w:t>
      </w:r>
      <w:r>
        <w:t xml:space="preserve"> 20, </w:t>
      </w:r>
      <w:r w:rsidR="00C67017">
        <w:t>PG&amp;E requests that any SOM</w:t>
      </w:r>
      <w:r w:rsidR="00AC371F">
        <w:t>s</w:t>
      </w:r>
      <w:r w:rsidR="00C67017">
        <w:t xml:space="preserve"> and SPMs on SIF </w:t>
      </w:r>
      <w:r w:rsidR="00F96491">
        <w:t>A</w:t>
      </w:r>
      <w:r w:rsidR="00C67017">
        <w:t xml:space="preserve">ctual </w:t>
      </w:r>
      <w:r w:rsidR="002B3E14">
        <w:t xml:space="preserve">be </w:t>
      </w:r>
      <w:r w:rsidR="00C67017">
        <w:t>aligned.  PG&amp;E suggests eliminating SPM</w:t>
      </w:r>
      <w:r w:rsidR="003B0C11">
        <w:t>s</w:t>
      </w:r>
      <w:r w:rsidR="00C67017">
        <w:t xml:space="preserve"> #16</w:t>
      </w:r>
      <w:r>
        <w:t xml:space="preserve"> </w:t>
      </w:r>
      <w:r w:rsidR="003B0C11">
        <w:t xml:space="preserve">and 21 </w:t>
      </w:r>
      <w:r>
        <w:t>as the same information is included in SPM</w:t>
      </w:r>
      <w:r w:rsidR="003B0C11">
        <w:t>s</w:t>
      </w:r>
      <w:r>
        <w:t xml:space="preserve"> #15</w:t>
      </w:r>
      <w:r w:rsidR="003B0C11">
        <w:t xml:space="preserve"> and </w:t>
      </w:r>
      <w:r w:rsidR="00377AF5">
        <w:t>19</w:t>
      </w:r>
      <w:r>
        <w:t xml:space="preserve">. </w:t>
      </w:r>
      <w:r w:rsidR="006C51B2">
        <w:t xml:space="preserve">  </w:t>
      </w:r>
    </w:p>
    <w:p w:rsidR="00C67017" w:rsidP="00377AF5" w:rsidRDefault="006C51B2" w14:paraId="301EB0A3" w14:textId="11436E32">
      <w:pPr>
        <w:pStyle w:val="Standard"/>
      </w:pPr>
      <w:r>
        <w:t>Cal Advocates proposes SPMs #s 17</w:t>
      </w:r>
      <w:r w:rsidR="0052291B">
        <w:t xml:space="preserve">, </w:t>
      </w:r>
      <w:r>
        <w:t>18</w:t>
      </w:r>
      <w:r w:rsidR="0052291B">
        <w:t>, and 22</w:t>
      </w:r>
      <w:r>
        <w:t xml:space="preserve"> be expanded to create </w:t>
      </w:r>
      <w:r w:rsidR="003C73CC">
        <w:t xml:space="preserve">three </w:t>
      </w:r>
      <w:r>
        <w:t xml:space="preserve">new SPMs that would </w:t>
      </w:r>
      <w:r w:rsidR="0052291B">
        <w:t xml:space="preserve">track rate of SIF </w:t>
      </w:r>
      <w:r w:rsidR="00E47381">
        <w:t>P</w:t>
      </w:r>
      <w:r w:rsidR="0052291B">
        <w:t>otential as this relates to employees</w:t>
      </w:r>
      <w:r w:rsidR="003C73CC">
        <w:t xml:space="preserve">, </w:t>
      </w:r>
      <w:r w:rsidR="0052291B">
        <w:t>contractors</w:t>
      </w:r>
      <w:r w:rsidR="003C73CC">
        <w:t xml:space="preserve">, and the public. </w:t>
      </w:r>
      <w:r w:rsidR="0052291B">
        <w:t xml:space="preserve"> </w:t>
      </w:r>
      <w:r w:rsidR="003C73CC">
        <w:t>Cal Advocates states that the existing</w:t>
      </w:r>
      <w:r w:rsidR="00F53D00">
        <w:t xml:space="preserve"> SPMs</w:t>
      </w:r>
      <w:r w:rsidR="003C73CC">
        <w:t xml:space="preserve"> are “lagging” metrics and its proposed SPMs are “leading” metrics, </w:t>
      </w:r>
      <w:r w:rsidR="00FC5677">
        <w:t xml:space="preserve">for which increased reporting can help to mitigate potential hazards. </w:t>
      </w:r>
    </w:p>
    <w:p w:rsidR="00F36C53" w:rsidP="00F36C53" w:rsidRDefault="007F4CF7" w14:paraId="5BDF2715" w14:textId="4AFDEEFB">
      <w:pPr>
        <w:pStyle w:val="Standard"/>
      </w:pPr>
      <w:r>
        <w:t xml:space="preserve"> </w:t>
      </w:r>
      <w:r w:rsidR="00915534">
        <w:t>SCE suggests moderate modifications to SPMs #22 on SIF</w:t>
      </w:r>
      <w:r w:rsidR="00E47381">
        <w:t xml:space="preserve"> Actual (Public)</w:t>
      </w:r>
      <w:r w:rsidR="00915534">
        <w:t xml:space="preserve">.  SCE supports PG&amp;E’s proposed definition for </w:t>
      </w:r>
      <w:r w:rsidR="001F094E">
        <w:t xml:space="preserve">the </w:t>
      </w:r>
      <w:r w:rsidR="00A06278">
        <w:t xml:space="preserve">similar </w:t>
      </w:r>
      <w:r w:rsidR="001F094E">
        <w:t xml:space="preserve">SOM </w:t>
      </w:r>
      <w:r w:rsidRPr="00853D22" w:rsidR="001F094E">
        <w:t>#</w:t>
      </w:r>
      <w:r w:rsidRPr="00991BEC" w:rsidR="00A21DFB">
        <w:t>1.3</w:t>
      </w:r>
      <w:r w:rsidRPr="00853D22" w:rsidR="001F094E">
        <w:t>,</w:t>
      </w:r>
      <w:r w:rsidR="001F094E">
        <w:t xml:space="preserve"> </w:t>
      </w:r>
      <w:r w:rsidR="00915534">
        <w:t xml:space="preserve">which excludes injuries and fatalities outside of an IOU’s control, for instance those caused by a third-party vehicle collision with utility assets.  </w:t>
      </w:r>
      <w:r w:rsidR="00377AF5">
        <w:t>PG&amp;E suggests changing the category of SPM #</w:t>
      </w:r>
      <w:r w:rsidR="00A860CB">
        <w:t>23 to “aviation” and the name of SPM #26 to Driver Call Complaint Rate.</w:t>
      </w:r>
    </w:p>
    <w:p w:rsidR="009B2001" w:rsidP="009B2001" w:rsidRDefault="009B2001" w14:paraId="5655E16B" w14:textId="24A6EFB6">
      <w:pPr>
        <w:pStyle w:val="Heading3"/>
      </w:pPr>
      <w:bookmarkStart w:name="_Toc80890925" w:id="190"/>
      <w:bookmarkStart w:name="_Toc87361226" w:id="191"/>
      <w:r>
        <w:t>11.3.2</w:t>
      </w:r>
      <w:r>
        <w:tab/>
        <w:t>Discussion</w:t>
      </w:r>
      <w:bookmarkEnd w:id="190"/>
      <w:bookmarkEnd w:id="191"/>
    </w:p>
    <w:p w:rsidR="009B2001" w:rsidP="009B2001" w:rsidRDefault="00701468" w14:paraId="39849A31" w14:textId="04880572">
      <w:pPr>
        <w:pStyle w:val="Standard"/>
      </w:pPr>
      <w:r>
        <w:t xml:space="preserve">We </w:t>
      </w:r>
      <w:r w:rsidR="008E227A">
        <w:t xml:space="preserve">modify </w:t>
      </w:r>
      <w:r w:rsidR="00C7385C">
        <w:t>1</w:t>
      </w:r>
      <w:r w:rsidR="001754B6">
        <w:t>9</w:t>
      </w:r>
      <w:r w:rsidR="00C7385C">
        <w:t xml:space="preserve"> </w:t>
      </w:r>
      <w:r w:rsidR="005D3B1F">
        <w:t xml:space="preserve">of the 26 </w:t>
      </w:r>
      <w:r w:rsidR="00700751">
        <w:t>existing SPM</w:t>
      </w:r>
      <w:r w:rsidR="008E227A">
        <w:t>s</w:t>
      </w:r>
      <w:r w:rsidR="005D3B1F">
        <w:t xml:space="preserve">, delete </w:t>
      </w:r>
      <w:r w:rsidR="00A73E38">
        <w:t>four</w:t>
      </w:r>
      <w:r w:rsidR="005D3B1F">
        <w:t xml:space="preserve">, </w:t>
      </w:r>
      <w:r w:rsidR="002D77C0">
        <w:t xml:space="preserve">and adopt 10 </w:t>
      </w:r>
      <w:r w:rsidR="00C76177">
        <w:t>new SPM</w:t>
      </w:r>
      <w:r w:rsidR="000C3B31">
        <w:t>s proposed by Staff</w:t>
      </w:r>
      <w:r w:rsidR="009B6A19">
        <w:t>, for a final total of 32 SPMs</w:t>
      </w:r>
      <w:r w:rsidR="000C3B31">
        <w:t xml:space="preserve">.  The final </w:t>
      </w:r>
      <w:r w:rsidR="00954643">
        <w:t xml:space="preserve">adopted </w:t>
      </w:r>
      <w:r w:rsidR="002D147C">
        <w:t xml:space="preserve">modified </w:t>
      </w:r>
      <w:r w:rsidR="00954643">
        <w:t xml:space="preserve">SPMs are provided in </w:t>
      </w:r>
      <w:r w:rsidRPr="004E503E" w:rsidR="00954643">
        <w:t xml:space="preserve">Appendix </w:t>
      </w:r>
      <w:r w:rsidRPr="004E503E" w:rsidR="008E227A">
        <w:t>B</w:t>
      </w:r>
      <w:r w:rsidRPr="004E503E" w:rsidR="00954643">
        <w:t>.  A</w:t>
      </w:r>
      <w:r w:rsidR="00954643">
        <w:t xml:space="preserve"> re</w:t>
      </w:r>
      <w:r w:rsidR="007B7ECD">
        <w:t xml:space="preserve">dlined version of </w:t>
      </w:r>
      <w:r w:rsidR="00E91751">
        <w:t xml:space="preserve">the adopted </w:t>
      </w:r>
      <w:r w:rsidR="002D147C">
        <w:t xml:space="preserve">modified </w:t>
      </w:r>
      <w:r w:rsidR="00E91751">
        <w:t xml:space="preserve">SPMs showing the changes from the Staff Proposal </w:t>
      </w:r>
      <w:r w:rsidR="00F05411">
        <w:t xml:space="preserve">is provided in Appendix </w:t>
      </w:r>
      <w:r w:rsidR="00C97D0F">
        <w:t>F</w:t>
      </w:r>
      <w:r w:rsidR="00F05411">
        <w:t xml:space="preserve">.  </w:t>
      </w:r>
      <w:r w:rsidR="00DB6954">
        <w:t>We make the following changes to Staff’s Proposed SPMs before adopting them:</w:t>
      </w:r>
    </w:p>
    <w:p w:rsidRPr="00775D74" w:rsidR="00341547" w:rsidP="00A57594" w:rsidRDefault="00341547" w14:paraId="6362AC98" w14:textId="6EE58DA9">
      <w:pPr>
        <w:pStyle w:val="Standard"/>
        <w:numPr>
          <w:ilvl w:val="0"/>
          <w:numId w:val="16"/>
        </w:numPr>
        <w:spacing w:after="120" w:line="240" w:lineRule="auto"/>
        <w:ind w:left="1080" w:right="1440"/>
      </w:pPr>
      <w:r w:rsidRPr="00775D74">
        <w:rPr>
          <w:u w:val="single"/>
        </w:rPr>
        <w:lastRenderedPageBreak/>
        <w:t>SPM #1</w:t>
      </w:r>
      <w:r w:rsidRPr="00775D74">
        <w:t>:</w:t>
      </w:r>
      <w:r w:rsidRPr="00775D74" w:rsidR="00380193">
        <w:t xml:space="preserve">  </w:t>
      </w:r>
      <w:r w:rsidRPr="00775D74">
        <w:t>Transmission &amp; Distribution (T&amp;D) Overhead Wires-Down Non-Major Event Days</w:t>
      </w:r>
      <w:r w:rsidRPr="00775D74" w:rsidR="00D835C9">
        <w:t xml:space="preserve">:  </w:t>
      </w:r>
      <w:r w:rsidRPr="00775D74" w:rsidR="00406E3C">
        <w:t>As suggested by the IOUs, w</w:t>
      </w:r>
      <w:r w:rsidRPr="00775D74" w:rsidR="00D835C9">
        <w:t xml:space="preserve">e do not adopt Staff’s proposed modifications to this SPM, instead reverting to the original form with minor clarifications </w:t>
      </w:r>
      <w:r w:rsidR="000848F4">
        <w:t>to allow for consistent SPM and WMP reporting in th</w:t>
      </w:r>
      <w:r w:rsidR="00F53D9A">
        <w:t>ese</w:t>
      </w:r>
      <w:r w:rsidR="000848F4">
        <w:t xml:space="preserve"> areas</w:t>
      </w:r>
      <w:r w:rsidRPr="00775D74" w:rsidR="00D835C9">
        <w:t>.</w:t>
      </w:r>
      <w:r w:rsidRPr="00775D74" w:rsidR="00D835C9">
        <w:rPr>
          <w:u w:val="single"/>
        </w:rPr>
        <w:t xml:space="preserve"> </w:t>
      </w:r>
    </w:p>
    <w:p w:rsidRPr="00775D74" w:rsidR="00341547" w:rsidP="00A57594" w:rsidRDefault="00341547" w14:paraId="0F84E9B9" w14:textId="1E6E09EE">
      <w:pPr>
        <w:pStyle w:val="Standard"/>
        <w:numPr>
          <w:ilvl w:val="0"/>
          <w:numId w:val="16"/>
        </w:numPr>
        <w:spacing w:after="120" w:line="240" w:lineRule="auto"/>
        <w:ind w:left="1080" w:right="1440"/>
      </w:pPr>
      <w:r w:rsidRPr="00775D74">
        <w:rPr>
          <w:u w:val="single"/>
        </w:rPr>
        <w:t>SPM #2</w:t>
      </w:r>
      <w:r w:rsidRPr="00775D74">
        <w:t>:</w:t>
      </w:r>
      <w:r w:rsidRPr="00775D74" w:rsidR="00380193">
        <w:t xml:space="preserve">  </w:t>
      </w:r>
      <w:r w:rsidRPr="00A30E71" w:rsidR="00CD0741">
        <w:t>Transmission</w:t>
      </w:r>
      <w:r w:rsidRPr="00775D74" w:rsidR="00CD0741">
        <w:t xml:space="preserve"> &amp; Distribution (T&amp;D) Overhead Wires-Down</w:t>
      </w:r>
      <w:r w:rsidRPr="00775D74" w:rsidR="00380193">
        <w:t xml:space="preserve"> </w:t>
      </w:r>
      <w:r w:rsidRPr="00775D74" w:rsidR="00CD0741">
        <w:t>Major Event Days:</w:t>
      </w:r>
      <w:r w:rsidRPr="00775D74" w:rsidR="00380193">
        <w:t xml:space="preserve">  </w:t>
      </w:r>
      <w:r w:rsidRPr="00775D74" w:rsidR="00406E3C">
        <w:t>As suggested by the IOUs, w</w:t>
      </w:r>
      <w:r w:rsidRPr="00775D74" w:rsidR="00CD0741">
        <w:t xml:space="preserve">e do not adopt Staff’s proposed modifications to this SPM, instead reverting to the original form with minor clarifications </w:t>
      </w:r>
      <w:r w:rsidR="00691161">
        <w:t xml:space="preserve">to allow for consistent SPM and WMP reporting in this areas. </w:t>
      </w:r>
    </w:p>
    <w:p w:rsidRPr="00775D74" w:rsidR="005633D5" w:rsidP="00A57594" w:rsidRDefault="005633D5" w14:paraId="7D085C19" w14:textId="6F2A8CBC">
      <w:pPr>
        <w:pStyle w:val="Standard"/>
        <w:numPr>
          <w:ilvl w:val="0"/>
          <w:numId w:val="16"/>
        </w:numPr>
        <w:spacing w:after="120" w:line="240" w:lineRule="auto"/>
        <w:ind w:left="1080" w:right="1440"/>
      </w:pPr>
      <w:r w:rsidRPr="00775D74">
        <w:rPr>
          <w:u w:val="single"/>
        </w:rPr>
        <w:t>SPM #3</w:t>
      </w:r>
      <w:r w:rsidRPr="00775D74">
        <w:t>:  Electric Emergency Response</w:t>
      </w:r>
      <w:r w:rsidRPr="00775D74" w:rsidR="00B50F1C">
        <w:t xml:space="preserve"> Time</w:t>
      </w:r>
      <w:r w:rsidRPr="00775D74">
        <w:t xml:space="preserve">:  </w:t>
      </w:r>
      <w:r w:rsidRPr="00775D74" w:rsidR="00E802D3">
        <w:t>As suggested by SDG&amp;E, w</w:t>
      </w:r>
      <w:r w:rsidRPr="00775D74">
        <w:t xml:space="preserve">e slightly modify this SPM as proposed by Staff </w:t>
      </w:r>
      <w:r w:rsidRPr="00775D74" w:rsidR="00CC02F9">
        <w:t>to remove references to 911 calling</w:t>
      </w:r>
      <w:r w:rsidRPr="00775D74" w:rsidR="00B50F1C">
        <w:t xml:space="preserve">, </w:t>
      </w:r>
      <w:r w:rsidRPr="00775D74" w:rsidR="00CC02F9">
        <w:t>to</w:t>
      </w:r>
      <w:r w:rsidRPr="00775D74" w:rsidR="009A2A70">
        <w:t xml:space="preserve"> require reporting based on </w:t>
      </w:r>
      <w:r w:rsidRPr="00775D74" w:rsidR="005A1B43">
        <w:t>average</w:t>
      </w:r>
      <w:r w:rsidRPr="00775D74" w:rsidR="009A2A70">
        <w:t xml:space="preserve"> time to respond</w:t>
      </w:r>
      <w:r w:rsidRPr="00775D74" w:rsidR="00B50F1C">
        <w:t xml:space="preserve">, and to </w:t>
      </w:r>
      <w:r w:rsidRPr="00775D74" w:rsidR="00E02F69">
        <w:t>clarify its name</w:t>
      </w:r>
      <w:r w:rsidRPr="00775D74" w:rsidR="00880A30">
        <w:t xml:space="preserve"> by adding the word “time”</w:t>
      </w:r>
      <w:r w:rsidRPr="00775D74" w:rsidR="00E02F69">
        <w:t xml:space="preserve"> to align with SOM #</w:t>
      </w:r>
      <w:r w:rsidRPr="00775D74" w:rsidR="004E11E4">
        <w:t>3.11 (</w:t>
      </w:r>
      <w:r w:rsidRPr="00775D74" w:rsidR="00393DE1">
        <w:t xml:space="preserve">#3.12 as adopted). </w:t>
      </w:r>
      <w:r w:rsidRPr="00775D74" w:rsidR="00842F22">
        <w:t xml:space="preserve"> </w:t>
      </w:r>
      <w:r w:rsidR="00691161">
        <w:t>We</w:t>
      </w:r>
      <w:r w:rsidRPr="009A113B" w:rsidR="009A113B">
        <w:t xml:space="preserve"> specified average for </w:t>
      </w:r>
      <w:r w:rsidR="00593E4E">
        <w:t xml:space="preserve">electric </w:t>
      </w:r>
      <w:r w:rsidRPr="009A113B" w:rsidR="009A113B">
        <w:t xml:space="preserve">emergency response </w:t>
      </w:r>
      <w:r w:rsidR="00593E4E">
        <w:t xml:space="preserve">time </w:t>
      </w:r>
      <w:r w:rsidRPr="009A113B" w:rsidR="009A113B">
        <w:t xml:space="preserve">to conform with the reporting format </w:t>
      </w:r>
      <w:r w:rsidR="00593E4E">
        <w:t xml:space="preserve">for gas emergency response time </w:t>
      </w:r>
      <w:r w:rsidR="00B85073">
        <w:t xml:space="preserve">required by </w:t>
      </w:r>
      <w:r w:rsidR="00593E4E">
        <w:t xml:space="preserve">the American Gas Association.  </w:t>
      </w:r>
      <w:r w:rsidRPr="00775D74" w:rsidR="005931B1">
        <w:t>We do not adopt Cal Advocates’ recommendation to reduce the reporting time period five-minute increments as unnecessary</w:t>
      </w:r>
      <w:r w:rsidRPr="00775D74" w:rsidR="00BA4DCE">
        <w:t xml:space="preserve">. </w:t>
      </w:r>
    </w:p>
    <w:p w:rsidRPr="00775D74" w:rsidR="004F54A2" w:rsidP="00A57594" w:rsidRDefault="004F54A2" w14:paraId="7DFB30EE" w14:textId="1131FA97">
      <w:pPr>
        <w:pStyle w:val="Standard"/>
        <w:numPr>
          <w:ilvl w:val="0"/>
          <w:numId w:val="16"/>
        </w:numPr>
        <w:spacing w:after="120" w:line="240" w:lineRule="auto"/>
        <w:ind w:left="1080" w:right="1440"/>
      </w:pPr>
      <w:r w:rsidRPr="00775D74">
        <w:rPr>
          <w:u w:val="single"/>
        </w:rPr>
        <w:t>SPM #4</w:t>
      </w:r>
      <w:r w:rsidRPr="00775D74">
        <w:t xml:space="preserve">:  Fire Ignitions:  </w:t>
      </w:r>
      <w:r w:rsidRPr="00775D74" w:rsidR="00BB0E5A">
        <w:t xml:space="preserve">We slightly modify this SPM to remove the term “powerline involved” as recommended by SDG&amp;E.  </w:t>
      </w:r>
      <w:r w:rsidRPr="00775D74" w:rsidR="002B51E8">
        <w:t xml:space="preserve">We agree that including the term “powerline involved” may inappropriately prejudge </w:t>
      </w:r>
      <w:r w:rsidRPr="00775D74" w:rsidR="00993F87">
        <w:t xml:space="preserve">the cause of a fire incident. </w:t>
      </w:r>
    </w:p>
    <w:p w:rsidRPr="00775D74" w:rsidR="00487A57" w:rsidP="00A57594" w:rsidRDefault="00487A57" w14:paraId="626C21FB" w14:textId="0B22D7AA">
      <w:pPr>
        <w:pStyle w:val="Standard"/>
        <w:numPr>
          <w:ilvl w:val="0"/>
          <w:numId w:val="16"/>
        </w:numPr>
        <w:spacing w:after="120" w:line="240" w:lineRule="auto"/>
        <w:ind w:left="1080" w:right="1440"/>
      </w:pPr>
      <w:r w:rsidRPr="00775D74">
        <w:rPr>
          <w:u w:val="single"/>
        </w:rPr>
        <w:t>SPM #5</w:t>
      </w:r>
      <w:r w:rsidRPr="00775D74">
        <w:t xml:space="preserve">: </w:t>
      </w:r>
      <w:r w:rsidRPr="00775D74" w:rsidR="004519DA">
        <w:t xml:space="preserve"> </w:t>
      </w:r>
      <w:r w:rsidRPr="00775D74">
        <w:t>Gas Dig-In:  We revise</w:t>
      </w:r>
      <w:r w:rsidRPr="00775D74" w:rsidR="00111AE0">
        <w:t xml:space="preserve"> </w:t>
      </w:r>
      <w:r w:rsidRPr="00775D74">
        <w:t xml:space="preserve">this metric to </w:t>
      </w:r>
      <w:r w:rsidR="00BD7027">
        <w:t>exclude</w:t>
      </w:r>
      <w:r w:rsidRPr="00775D74" w:rsidR="00BD7027">
        <w:t xml:space="preserve"> </w:t>
      </w:r>
      <w:r w:rsidRPr="00775D74" w:rsidR="006E3177">
        <w:t xml:space="preserve">Underground Service Alert </w:t>
      </w:r>
      <w:r w:rsidRPr="00775D74" w:rsidR="00293B15">
        <w:t xml:space="preserve">“tickets” </w:t>
      </w:r>
      <w:r w:rsidR="00BD7027">
        <w:t xml:space="preserve">generated by a utility and its contractors </w:t>
      </w:r>
      <w:r w:rsidRPr="00775D74" w:rsidR="00293B15">
        <w:t xml:space="preserve">and to specify that the metric excludes fiber and electric tickets. </w:t>
      </w:r>
    </w:p>
    <w:p w:rsidRPr="00775D74" w:rsidR="00487A57" w:rsidP="00A57594" w:rsidRDefault="00B028CA" w14:paraId="1384F30E" w14:textId="1D79C0A1">
      <w:pPr>
        <w:pStyle w:val="Standard"/>
        <w:numPr>
          <w:ilvl w:val="0"/>
          <w:numId w:val="16"/>
        </w:numPr>
        <w:spacing w:after="120" w:line="240" w:lineRule="auto"/>
        <w:ind w:left="1080" w:right="1440"/>
      </w:pPr>
      <w:r w:rsidRPr="00775D74">
        <w:rPr>
          <w:u w:val="single"/>
        </w:rPr>
        <w:t>SPM #6</w:t>
      </w:r>
      <w:r w:rsidRPr="00775D74">
        <w:t xml:space="preserve">: </w:t>
      </w:r>
      <w:r w:rsidRPr="00775D74" w:rsidR="004519DA">
        <w:t xml:space="preserve"> </w:t>
      </w:r>
      <w:r w:rsidRPr="00775D74">
        <w:t xml:space="preserve">Gas In-Line Inspection: </w:t>
      </w:r>
      <w:r w:rsidRPr="00775D74" w:rsidR="004519DA">
        <w:t xml:space="preserve"> </w:t>
      </w:r>
      <w:r w:rsidRPr="00775D74" w:rsidR="004E3833">
        <w:t>As suggested by SDG&amp;E</w:t>
      </w:r>
      <w:r w:rsidR="00F93EE4">
        <w:t>/</w:t>
      </w:r>
      <w:r w:rsidRPr="00775D74" w:rsidR="004E3833">
        <w:t>SoCalGas, w</w:t>
      </w:r>
      <w:r w:rsidRPr="00775D74" w:rsidR="0072167C">
        <w:t xml:space="preserve">e revise this metric modestly to add percentage of </w:t>
      </w:r>
      <w:r w:rsidRPr="00775D74" w:rsidR="00655867">
        <w:t xml:space="preserve">transmission lines inspected annually by in-line inspection.  </w:t>
      </w:r>
      <w:r w:rsidRPr="00775D74" w:rsidR="0033297A">
        <w:t>W</w:t>
      </w:r>
      <w:r w:rsidRPr="00775D74" w:rsidR="00EB7AE8">
        <w:t xml:space="preserve">e do not delete this SPM as duplicative of SPM #13, as suggested by </w:t>
      </w:r>
      <w:r w:rsidRPr="00775D74" w:rsidR="00A16A2D">
        <w:t>SDG&amp;E</w:t>
      </w:r>
      <w:r w:rsidR="00F93EE4">
        <w:t>/SoCalGas</w:t>
      </w:r>
      <w:r w:rsidRPr="00775D74" w:rsidR="0033297A">
        <w:t xml:space="preserve"> (</w:t>
      </w:r>
      <w:r w:rsidRPr="00836719" w:rsidR="0033297A">
        <w:rPr>
          <w:i/>
          <w:iCs/>
        </w:rPr>
        <w:t>see</w:t>
      </w:r>
      <w:r w:rsidRPr="00775D74" w:rsidR="0033297A">
        <w:t xml:space="preserve"> </w:t>
      </w:r>
      <w:r w:rsidRPr="00775D74" w:rsidR="0033297A">
        <w:lastRenderedPageBreak/>
        <w:t xml:space="preserve">discussion of </w:t>
      </w:r>
      <w:r w:rsidRPr="00775D74" w:rsidR="00F547EE">
        <w:t>SPM #13 below)</w:t>
      </w:r>
      <w:r w:rsidRPr="00775D74" w:rsidR="00A16A2D">
        <w:t xml:space="preserve">.  </w:t>
      </w:r>
      <w:r w:rsidRPr="00775D74" w:rsidR="009E148F">
        <w:t>SPM #6</w:t>
      </w:r>
      <w:r w:rsidRPr="00775D74" w:rsidR="00655867">
        <w:t xml:space="preserve"> now has two components, one reporting the </w:t>
      </w:r>
      <w:r w:rsidRPr="00775D74" w:rsidR="0033297A">
        <w:t xml:space="preserve">total miles of transmission pipelines </w:t>
      </w:r>
      <w:r w:rsidRPr="00775D74" w:rsidR="00655867">
        <w:t>inspect</w:t>
      </w:r>
      <w:r w:rsidRPr="00775D74" w:rsidR="0033297A">
        <w:t>ed</w:t>
      </w:r>
      <w:r w:rsidRPr="00775D74" w:rsidR="00655867">
        <w:t xml:space="preserve">, the other reporting on percentage of </w:t>
      </w:r>
      <w:r w:rsidRPr="00775D74" w:rsidR="00117E1A">
        <w:t xml:space="preserve">all </w:t>
      </w:r>
      <w:r w:rsidRPr="00775D74" w:rsidR="00655867">
        <w:t>transmission lines annually inspected by in-line inspections.  The reporting of percentage facilitates benchmarking and comparison with other gas operators.</w:t>
      </w:r>
    </w:p>
    <w:p w:rsidRPr="00775D74" w:rsidR="00655867" w:rsidP="00A57594" w:rsidRDefault="00655867" w14:paraId="2BBA5152" w14:textId="62DF990F">
      <w:pPr>
        <w:pStyle w:val="Standard"/>
        <w:numPr>
          <w:ilvl w:val="0"/>
          <w:numId w:val="16"/>
        </w:numPr>
        <w:spacing w:after="120" w:line="240" w:lineRule="auto"/>
        <w:ind w:left="1080" w:right="1440"/>
      </w:pPr>
      <w:r w:rsidRPr="00775D74">
        <w:rPr>
          <w:u w:val="single"/>
        </w:rPr>
        <w:t>SPM #7</w:t>
      </w:r>
      <w:r w:rsidRPr="00775D74">
        <w:t xml:space="preserve">:  Gas In-Line Upgrade:  </w:t>
      </w:r>
      <w:r w:rsidRPr="00775D74" w:rsidR="00111AE0">
        <w:t xml:space="preserve">We </w:t>
      </w:r>
      <w:r w:rsidRPr="00775D74">
        <w:t>slightly revise</w:t>
      </w:r>
      <w:r w:rsidRPr="00775D74" w:rsidR="00111AE0">
        <w:t xml:space="preserve"> this metric</w:t>
      </w:r>
      <w:r w:rsidRPr="00775D74">
        <w:t xml:space="preserve"> for clarity</w:t>
      </w:r>
      <w:r w:rsidRPr="00775D74" w:rsidR="00344560">
        <w:t>, defining this now as “miles of gas transmission lines upgraded annually to permit in-line inspections” and adding the word “inspection” to the metric name.</w:t>
      </w:r>
    </w:p>
    <w:p w:rsidRPr="00775D74" w:rsidR="00655867" w:rsidP="00A57594" w:rsidRDefault="00655867" w14:paraId="7000746A" w14:textId="6D927EEE">
      <w:pPr>
        <w:pStyle w:val="Standard"/>
        <w:numPr>
          <w:ilvl w:val="0"/>
          <w:numId w:val="16"/>
        </w:numPr>
        <w:spacing w:after="120" w:line="240" w:lineRule="auto"/>
        <w:ind w:left="1080" w:right="1440"/>
      </w:pPr>
      <w:r w:rsidRPr="00775D74">
        <w:rPr>
          <w:u w:val="single"/>
        </w:rPr>
        <w:t>SPM #</w:t>
      </w:r>
      <w:r w:rsidRPr="00775D74" w:rsidR="00D846D7">
        <w:rPr>
          <w:u w:val="single"/>
        </w:rPr>
        <w:t>8</w:t>
      </w:r>
      <w:r w:rsidRPr="00775D74" w:rsidR="00D846D7">
        <w:t xml:space="preserve">: </w:t>
      </w:r>
      <w:r w:rsidRPr="00775D74" w:rsidR="004519DA">
        <w:t xml:space="preserve"> </w:t>
      </w:r>
      <w:r w:rsidRPr="00775D74" w:rsidR="00D846D7">
        <w:t xml:space="preserve">Shut In The Gas Average Time- Mains:  </w:t>
      </w:r>
      <w:r w:rsidRPr="00775D74" w:rsidR="00E109A8">
        <w:t>As suggested by PG&amp;E</w:t>
      </w:r>
      <w:r w:rsidRPr="00775D74" w:rsidR="00870162">
        <w:t>, w</w:t>
      </w:r>
      <w:r w:rsidRPr="00775D74" w:rsidR="002859E0">
        <w:t>e modif</w:t>
      </w:r>
      <w:r w:rsidRPr="00775D74" w:rsidR="00111AE0">
        <w:t xml:space="preserve">y </w:t>
      </w:r>
      <w:r w:rsidRPr="00775D74" w:rsidR="00002EBD">
        <w:t>the</w:t>
      </w:r>
      <w:r w:rsidRPr="00775D74" w:rsidR="002859E0">
        <w:t xml:space="preserve"> metric description to specify </w:t>
      </w:r>
      <w:r w:rsidRPr="00775D74" w:rsidR="002B13F5">
        <w:t xml:space="preserve">a </w:t>
      </w:r>
      <w:r w:rsidRPr="00775D74" w:rsidR="002859E0">
        <w:t>median</w:t>
      </w:r>
      <w:r w:rsidRPr="00775D74" w:rsidR="00002EBD">
        <w:t xml:space="preserve"> reporting time requirement</w:t>
      </w:r>
      <w:r w:rsidRPr="00775D74" w:rsidR="002B13F5">
        <w:t xml:space="preserve"> and </w:t>
      </w:r>
      <w:r w:rsidRPr="00775D74" w:rsidR="002859E0">
        <w:t>simplif</w:t>
      </w:r>
      <w:r w:rsidRPr="00775D74" w:rsidR="00111AE0">
        <w:t xml:space="preserve">y it by </w:t>
      </w:r>
      <w:r w:rsidRPr="00775D74" w:rsidR="002859E0">
        <w:t>referencing GO</w:t>
      </w:r>
      <w:r w:rsidRPr="00775D74" w:rsidR="004519DA">
        <w:t> </w:t>
      </w:r>
      <w:r w:rsidRPr="00775D74" w:rsidR="002859E0">
        <w:t>112</w:t>
      </w:r>
      <w:r w:rsidRPr="00775D74" w:rsidR="002B13F5">
        <w:t>-</w:t>
      </w:r>
      <w:r w:rsidRPr="00775D74" w:rsidR="002859E0">
        <w:t>F</w:t>
      </w:r>
      <w:r w:rsidRPr="00775D74" w:rsidR="002B13F5">
        <w:t xml:space="preserve"> </w:t>
      </w:r>
      <w:r w:rsidRPr="00775D74" w:rsidR="00C10FE5">
        <w:t>123.2(c)</w:t>
      </w:r>
      <w:r w:rsidRPr="00775D74" w:rsidR="002859E0">
        <w:t xml:space="preserve">.   </w:t>
      </w:r>
      <w:r w:rsidRPr="00775D74" w:rsidR="004A4C7D">
        <w:t xml:space="preserve">We change the name of the metric accordingly. </w:t>
      </w:r>
    </w:p>
    <w:p w:rsidRPr="00775D74" w:rsidR="00111AE0" w:rsidP="00A57594" w:rsidRDefault="00566E80" w14:paraId="5D6E288C" w14:textId="45824A93">
      <w:pPr>
        <w:pStyle w:val="Standard"/>
        <w:numPr>
          <w:ilvl w:val="0"/>
          <w:numId w:val="16"/>
        </w:numPr>
        <w:spacing w:after="120" w:line="240" w:lineRule="auto"/>
        <w:ind w:left="1080" w:right="1440"/>
      </w:pPr>
      <w:r w:rsidRPr="00775D74">
        <w:rPr>
          <w:u w:val="single"/>
        </w:rPr>
        <w:t>SPM #9</w:t>
      </w:r>
      <w:r w:rsidRPr="00775D74" w:rsidR="004519DA">
        <w:t>:</w:t>
      </w:r>
      <w:r w:rsidRPr="00775D74">
        <w:t xml:space="preserve"> </w:t>
      </w:r>
      <w:r w:rsidRPr="00775D74" w:rsidR="004519DA">
        <w:t xml:space="preserve"> </w:t>
      </w:r>
      <w:r w:rsidRPr="00775D74">
        <w:t xml:space="preserve">Shut In the Gas Average Time Services: </w:t>
      </w:r>
      <w:r w:rsidRPr="00775D74" w:rsidR="004519DA">
        <w:t xml:space="preserve"> </w:t>
      </w:r>
      <w:r w:rsidRPr="00775D74" w:rsidR="00E109A8">
        <w:t>As suggested by PG&amp;E</w:t>
      </w:r>
      <w:r w:rsidRPr="00775D74" w:rsidR="00870162">
        <w:t>, w</w:t>
      </w:r>
      <w:r w:rsidRPr="00775D74">
        <w:t>e modify the metric description to specify a median reporting time requirement and simplify it by referencing GO</w:t>
      </w:r>
      <w:r w:rsidRPr="00775D74" w:rsidR="004519DA">
        <w:t> </w:t>
      </w:r>
      <w:r w:rsidRPr="00775D74">
        <w:t xml:space="preserve">112-F 123.2(c).  </w:t>
      </w:r>
      <w:r w:rsidRPr="00775D74" w:rsidR="004A4C7D">
        <w:t xml:space="preserve">We change the name of the metric accordingly. </w:t>
      </w:r>
      <w:r w:rsidRPr="00775D74">
        <w:t xml:space="preserve"> </w:t>
      </w:r>
    </w:p>
    <w:p w:rsidRPr="00775D74" w:rsidR="00566E80" w:rsidP="00A57594" w:rsidRDefault="00E72C79" w14:paraId="45F18F0D" w14:textId="4780AF09">
      <w:pPr>
        <w:pStyle w:val="Standard"/>
        <w:numPr>
          <w:ilvl w:val="0"/>
          <w:numId w:val="16"/>
        </w:numPr>
        <w:spacing w:after="120" w:line="240" w:lineRule="auto"/>
        <w:ind w:left="1080" w:right="1440"/>
      </w:pPr>
      <w:r w:rsidRPr="00775D74">
        <w:rPr>
          <w:u w:val="single"/>
        </w:rPr>
        <w:t>SPM #10</w:t>
      </w:r>
      <w:r w:rsidRPr="00775D74">
        <w:t xml:space="preserve">: </w:t>
      </w:r>
      <w:r w:rsidRPr="00775D74" w:rsidR="004519DA">
        <w:t xml:space="preserve"> </w:t>
      </w:r>
      <w:r w:rsidRPr="00775D74">
        <w:t xml:space="preserve">Cross Bore Instructions:  </w:t>
      </w:r>
      <w:r w:rsidRPr="00775D74" w:rsidR="006C060C">
        <w:t xml:space="preserve">We modify the metric description to specify that it is reported based on annual data and reclassify it as a lagging metric. </w:t>
      </w:r>
    </w:p>
    <w:p w:rsidRPr="00775D74" w:rsidR="006C060C" w:rsidP="00A57594" w:rsidRDefault="006C060C" w14:paraId="0945AC36" w14:textId="084ED8FD">
      <w:pPr>
        <w:pStyle w:val="Standard"/>
        <w:numPr>
          <w:ilvl w:val="0"/>
          <w:numId w:val="16"/>
        </w:numPr>
        <w:spacing w:after="120" w:line="240" w:lineRule="auto"/>
        <w:ind w:left="1080" w:right="1440"/>
      </w:pPr>
      <w:r w:rsidRPr="00775D74">
        <w:rPr>
          <w:u w:val="single"/>
        </w:rPr>
        <w:t>SPM #11</w:t>
      </w:r>
      <w:r w:rsidRPr="00775D74">
        <w:t>:</w:t>
      </w:r>
      <w:r w:rsidRPr="00775D74" w:rsidR="004519DA">
        <w:t xml:space="preserve"> </w:t>
      </w:r>
      <w:r w:rsidRPr="00775D74">
        <w:t xml:space="preserve"> Gas Emergency Response: </w:t>
      </w:r>
      <w:r w:rsidRPr="00775D74" w:rsidR="00A57594">
        <w:t xml:space="preserve"> </w:t>
      </w:r>
      <w:r w:rsidRPr="00775D74" w:rsidR="00A51974">
        <w:t xml:space="preserve">We modify the metric description </w:t>
      </w:r>
      <w:r w:rsidRPr="00775D74" w:rsidR="00506E63">
        <w:t xml:space="preserve">in response to PG&amp;E comments </w:t>
      </w:r>
      <w:r w:rsidRPr="00775D74" w:rsidR="00A51974">
        <w:t xml:space="preserve">to align it with the emergency response information specified in GO 112 F and to add additional clarity. </w:t>
      </w:r>
    </w:p>
    <w:p w:rsidRPr="00775D74" w:rsidR="00A51974" w:rsidP="00A57594" w:rsidRDefault="00A51974" w14:paraId="48150B91" w14:textId="53E7292B">
      <w:pPr>
        <w:pStyle w:val="Standard"/>
        <w:numPr>
          <w:ilvl w:val="0"/>
          <w:numId w:val="16"/>
        </w:numPr>
        <w:spacing w:after="120" w:line="240" w:lineRule="auto"/>
        <w:ind w:left="1080" w:right="1440"/>
      </w:pPr>
      <w:r w:rsidRPr="00775D74">
        <w:rPr>
          <w:u w:val="single"/>
        </w:rPr>
        <w:t>SPM #12</w:t>
      </w:r>
      <w:r w:rsidRPr="00775D74">
        <w:t xml:space="preserve">: </w:t>
      </w:r>
      <w:r w:rsidRPr="00775D74" w:rsidR="004519DA">
        <w:t xml:space="preserve"> </w:t>
      </w:r>
      <w:r w:rsidRPr="00775D74">
        <w:t xml:space="preserve">Natural Gas Storage Baseline Assessments Performed: </w:t>
      </w:r>
      <w:r w:rsidRPr="00775D74" w:rsidR="00A57594">
        <w:t xml:space="preserve"> </w:t>
      </w:r>
      <w:r w:rsidRPr="00775D74" w:rsidR="007F47B1">
        <w:t>For clarity, w</w:t>
      </w:r>
      <w:r w:rsidRPr="00775D74" w:rsidR="0049632E">
        <w:t xml:space="preserve">e modify the metric description to </w:t>
      </w:r>
      <w:r w:rsidRPr="00775D74" w:rsidR="007F47B1">
        <w:t>require</w:t>
      </w:r>
      <w:r w:rsidRPr="00775D74" w:rsidR="0049632E">
        <w:t xml:space="preserve"> repo</w:t>
      </w:r>
      <w:r w:rsidRPr="00775D74" w:rsidR="004A1A15">
        <w:t>r</w:t>
      </w:r>
      <w:r w:rsidRPr="00775D74" w:rsidR="0049632E">
        <w:t>t</w:t>
      </w:r>
      <w:r w:rsidRPr="00775D74" w:rsidR="007F47B1">
        <w:t>ing</w:t>
      </w:r>
      <w:r w:rsidRPr="00775D74" w:rsidR="0049632E">
        <w:t xml:space="preserve"> in terms of percentage </w:t>
      </w:r>
      <w:r w:rsidRPr="00775D74" w:rsidR="00B5521D">
        <w:t>(num</w:t>
      </w:r>
      <w:r w:rsidRPr="00775D74" w:rsidR="00EA0FCE">
        <w:t xml:space="preserve">ber of assessments completed </w:t>
      </w:r>
      <w:r w:rsidRPr="00775D74" w:rsidR="00606307">
        <w:t xml:space="preserve">versus number of assessments scheduled or targeted) </w:t>
      </w:r>
      <w:r w:rsidRPr="00775D74" w:rsidR="0049632E">
        <w:t>to facili</w:t>
      </w:r>
      <w:r w:rsidRPr="00775D74" w:rsidR="004A1A15">
        <w:t>tate</w:t>
      </w:r>
      <w:r w:rsidRPr="00775D74" w:rsidR="0049632E">
        <w:t xml:space="preserve"> benchma</w:t>
      </w:r>
      <w:r w:rsidRPr="00775D74" w:rsidR="004A1A15">
        <w:t>r</w:t>
      </w:r>
      <w:r w:rsidRPr="00775D74" w:rsidR="0049632E">
        <w:t xml:space="preserve">king with other gas storage operators. </w:t>
      </w:r>
    </w:p>
    <w:p w:rsidRPr="00775D74" w:rsidR="004A1A15" w:rsidP="00A57594" w:rsidRDefault="004A1A15" w14:paraId="03DE39DC" w14:textId="36FFB39C">
      <w:pPr>
        <w:pStyle w:val="Standard"/>
        <w:numPr>
          <w:ilvl w:val="0"/>
          <w:numId w:val="16"/>
        </w:numPr>
        <w:spacing w:after="120" w:line="240" w:lineRule="auto"/>
        <w:ind w:left="1080" w:right="1440"/>
      </w:pPr>
      <w:r w:rsidRPr="00775D74">
        <w:rPr>
          <w:u w:val="single"/>
        </w:rPr>
        <w:t>SPM #</w:t>
      </w:r>
      <w:r w:rsidRPr="00775D74" w:rsidR="00017E4B">
        <w:rPr>
          <w:u w:val="single"/>
        </w:rPr>
        <w:t>13</w:t>
      </w:r>
      <w:r w:rsidRPr="00775D74" w:rsidR="00017E4B">
        <w:t xml:space="preserve">: </w:t>
      </w:r>
      <w:r w:rsidRPr="00775D74" w:rsidR="004519DA">
        <w:t xml:space="preserve"> </w:t>
      </w:r>
      <w:r w:rsidRPr="00775D74" w:rsidR="00A67BA2">
        <w:t>Percentage of the Gas System that can be Internally Inspected</w:t>
      </w:r>
      <w:r w:rsidR="00F269E0">
        <w:t>:</w:t>
      </w:r>
      <w:r w:rsidRPr="00775D74" w:rsidR="00A67BA2">
        <w:t xml:space="preserve"> </w:t>
      </w:r>
      <w:r w:rsidRPr="00775D74" w:rsidR="00A57594">
        <w:t xml:space="preserve"> </w:t>
      </w:r>
      <w:r w:rsidRPr="00775D74" w:rsidR="00017E4B">
        <w:t xml:space="preserve">We change the metric name </w:t>
      </w:r>
      <w:r w:rsidRPr="00775D74" w:rsidR="00A67BA2">
        <w:t xml:space="preserve">to </w:t>
      </w:r>
      <w:r w:rsidRPr="00775D74" w:rsidR="0088327A">
        <w:t>“</w:t>
      </w:r>
      <w:r w:rsidRPr="00775D74" w:rsidR="00A67BA2">
        <w:t xml:space="preserve">Gas </w:t>
      </w:r>
      <w:r w:rsidRPr="00775D74" w:rsidR="00A67BA2">
        <w:lastRenderedPageBreak/>
        <w:t>Pipelines that Can Be Internally Inspected</w:t>
      </w:r>
      <w:r w:rsidRPr="00775D74" w:rsidR="009216F4">
        <w:t>,</w:t>
      </w:r>
      <w:r w:rsidRPr="00775D74" w:rsidR="0088327A">
        <w:t>”</w:t>
      </w:r>
      <w:r w:rsidRPr="00775D74" w:rsidR="009216F4">
        <w:t xml:space="preserve"> modify the </w:t>
      </w:r>
      <w:r w:rsidRPr="00775D74" w:rsidR="00017E4B">
        <w:t xml:space="preserve">description to improve clarity and add percentage information to facilitate comparison across gas utilities. </w:t>
      </w:r>
      <w:r w:rsidRPr="00775D74" w:rsidR="007B54AE">
        <w:t xml:space="preserve"> This metric now differs from SPM #6 in reporting the </w:t>
      </w:r>
      <w:r w:rsidRPr="00775D74" w:rsidR="00ED499B">
        <w:t xml:space="preserve">percentage </w:t>
      </w:r>
      <w:r w:rsidRPr="00775D74" w:rsidR="005F39C7">
        <w:t xml:space="preserve">of gas pipelines that </w:t>
      </w:r>
      <w:r w:rsidRPr="00775D74" w:rsidR="008524B9">
        <w:t xml:space="preserve">are technically capable of being internally inspected as opposed to SPM #6, which reports the total miles of transmission pipelines inspected and the percentage of all transmission lines annually inspected by in-line inspections.  </w:t>
      </w:r>
    </w:p>
    <w:p w:rsidRPr="00775D74" w:rsidR="00017E4B" w:rsidP="00A57594" w:rsidRDefault="00017E4B" w14:paraId="3AF952FC" w14:textId="1D4A51C5">
      <w:pPr>
        <w:pStyle w:val="Standard"/>
        <w:numPr>
          <w:ilvl w:val="0"/>
          <w:numId w:val="16"/>
        </w:numPr>
        <w:spacing w:after="120" w:line="240" w:lineRule="auto"/>
        <w:ind w:left="1080" w:right="1440"/>
      </w:pPr>
      <w:r w:rsidRPr="00775D74">
        <w:rPr>
          <w:u w:val="single"/>
        </w:rPr>
        <w:t>SPM #</w:t>
      </w:r>
      <w:r w:rsidRPr="00775D74" w:rsidR="001F4F32">
        <w:rPr>
          <w:u w:val="single"/>
        </w:rPr>
        <w:t>14</w:t>
      </w:r>
      <w:r w:rsidRPr="00775D74" w:rsidR="001F4F32">
        <w:t xml:space="preserve">: </w:t>
      </w:r>
      <w:r w:rsidRPr="00775D74" w:rsidR="004519DA">
        <w:t xml:space="preserve"> </w:t>
      </w:r>
      <w:r w:rsidRPr="00DC6598" w:rsidR="00DC6598">
        <w:t xml:space="preserve">Employee </w:t>
      </w:r>
      <w:r w:rsidR="002F4C93">
        <w:t>S</w:t>
      </w:r>
      <w:r w:rsidR="00546355">
        <w:t>IF</w:t>
      </w:r>
      <w:r w:rsidR="00AB6EC9">
        <w:t>s</w:t>
      </w:r>
      <w:r w:rsidR="00DC6598">
        <w:t xml:space="preserve">: </w:t>
      </w:r>
      <w:r w:rsidRPr="00775D74" w:rsidR="001F4F32">
        <w:t xml:space="preserve">We delete this metric as </w:t>
      </w:r>
      <w:r w:rsidR="00DC6598">
        <w:t xml:space="preserve">our </w:t>
      </w:r>
      <w:r w:rsidR="00F57CBE">
        <w:t xml:space="preserve">modified </w:t>
      </w:r>
      <w:r w:rsidRPr="00775D74" w:rsidR="001F4F32">
        <w:t xml:space="preserve">SPM </w:t>
      </w:r>
      <w:r w:rsidR="00F57CBE">
        <w:t xml:space="preserve">#17 </w:t>
      </w:r>
      <w:r w:rsidR="005B0659">
        <w:t xml:space="preserve">on </w:t>
      </w:r>
      <w:r w:rsidRPr="00775D74" w:rsidR="001F4F32">
        <w:t>Rate of SIF Actual (Employee) captures the same information expressed more useful</w:t>
      </w:r>
      <w:r w:rsidRPr="00775D74" w:rsidR="00F20892">
        <w:t>ly as a</w:t>
      </w:r>
      <w:r w:rsidRPr="00775D74" w:rsidR="001F4F32">
        <w:t xml:space="preserve"> rate</w:t>
      </w:r>
      <w:r w:rsidRPr="00775D74" w:rsidR="00F20892">
        <w:t xml:space="preserve">, which allows for comparison across IOUs, and </w:t>
      </w:r>
      <w:r w:rsidRPr="00775D74" w:rsidR="00CC7E22">
        <w:t>includes fatalities as well as serious injuries</w:t>
      </w:r>
      <w:r w:rsidRPr="00775D74" w:rsidR="009B6C3F">
        <w:t xml:space="preserve">. </w:t>
      </w:r>
    </w:p>
    <w:p w:rsidRPr="00775D74" w:rsidR="009B6C3F" w:rsidP="00A57594" w:rsidRDefault="009B6C3F" w14:paraId="47FBFABD" w14:textId="49A42E2A">
      <w:pPr>
        <w:pStyle w:val="Standard"/>
        <w:numPr>
          <w:ilvl w:val="0"/>
          <w:numId w:val="16"/>
        </w:numPr>
        <w:spacing w:after="120" w:line="240" w:lineRule="auto"/>
        <w:ind w:left="1080" w:right="1440"/>
      </w:pPr>
      <w:r w:rsidRPr="00775D74">
        <w:rPr>
          <w:u w:val="single"/>
        </w:rPr>
        <w:t>SPM #16</w:t>
      </w:r>
      <w:r w:rsidRPr="00775D74">
        <w:t xml:space="preserve">: </w:t>
      </w:r>
      <w:r w:rsidRPr="00775D74" w:rsidR="004519DA">
        <w:t xml:space="preserve"> </w:t>
      </w:r>
      <w:r w:rsidRPr="00775D74">
        <w:t xml:space="preserve">Employee Lost Workday Case Rate:  We delete this metric </w:t>
      </w:r>
      <w:r w:rsidRPr="00775D74" w:rsidR="008C71F0">
        <w:t xml:space="preserve">as suggested by PG&amp;E </w:t>
      </w:r>
      <w:r w:rsidRPr="00775D74" w:rsidR="00725308">
        <w:t xml:space="preserve">since the information it captures is already included in </w:t>
      </w:r>
      <w:r w:rsidRPr="00775D74" w:rsidR="005D4D66">
        <w:t>SPM #15</w:t>
      </w:r>
      <w:r w:rsidRPr="00775D74" w:rsidR="00E97D6E">
        <w:t xml:space="preserve">, </w:t>
      </w:r>
      <w:r w:rsidRPr="00775D74" w:rsidR="008C71F0">
        <w:t xml:space="preserve">DART Rate. </w:t>
      </w:r>
    </w:p>
    <w:p w:rsidRPr="00775D74" w:rsidR="008C71F0" w:rsidP="00A57594" w:rsidRDefault="3FA0C6B6" w14:paraId="0208FB93" w14:textId="02D8D54B">
      <w:pPr>
        <w:pStyle w:val="Standard"/>
        <w:numPr>
          <w:ilvl w:val="0"/>
          <w:numId w:val="16"/>
        </w:numPr>
        <w:spacing w:after="120" w:line="240" w:lineRule="auto"/>
        <w:ind w:left="1080" w:right="1440"/>
        <w:rPr>
          <w:rFonts w:asciiTheme="minorHAnsi" w:hAnsiTheme="minorHAnsi" w:eastAsiaTheme="minorEastAsia" w:cstheme="minorBidi"/>
        </w:rPr>
      </w:pPr>
      <w:r w:rsidRPr="00775D74">
        <w:rPr>
          <w:u w:val="single"/>
        </w:rPr>
        <w:t>SPM #17</w:t>
      </w:r>
      <w:r w:rsidR="00132FE9">
        <w:rPr>
          <w:u w:val="single"/>
        </w:rPr>
        <w:t xml:space="preserve"> (SPM #15 as adopted)</w:t>
      </w:r>
      <w:r w:rsidRPr="00775D74">
        <w:t xml:space="preserve">: </w:t>
      </w:r>
      <w:r w:rsidRPr="00775D74" w:rsidR="004519DA">
        <w:t xml:space="preserve"> </w:t>
      </w:r>
      <w:r w:rsidRPr="00775D74">
        <w:t xml:space="preserve">Employee OSHA Recordables Rate:  We change the name of this metric to Rate of SIF Actual (Employee) </w:t>
      </w:r>
      <w:r w:rsidRPr="00775D74" w:rsidR="240424FB">
        <w:t xml:space="preserve">and </w:t>
      </w:r>
      <w:r w:rsidR="001517E6">
        <w:t xml:space="preserve">generally </w:t>
      </w:r>
      <w:r w:rsidRPr="00775D74" w:rsidR="240424FB">
        <w:t xml:space="preserve">specify use of the EEI </w:t>
      </w:r>
      <w:r w:rsidRPr="00775D74" w:rsidR="7B66B184">
        <w:t>Occupation</w:t>
      </w:r>
      <w:r w:rsidRPr="00775D74" w:rsidR="7A5D9872">
        <w:t xml:space="preserve">al Health and Safety Committee </w:t>
      </w:r>
      <w:r w:rsidRPr="00775D74" w:rsidR="240424FB">
        <w:t>methodology</w:t>
      </w:r>
      <w:r w:rsidR="004B4C25">
        <w:t>, the “Safety Classification and Learning Model,”</w:t>
      </w:r>
      <w:r w:rsidRPr="00775D74" w:rsidR="2A5F8627">
        <w:t xml:space="preserve"> </w:t>
      </w:r>
      <w:r w:rsidRPr="00775D74" w:rsidR="00F57CBE">
        <w:t xml:space="preserve">for counting serious injuries and fatalities </w:t>
      </w:r>
      <w:r w:rsidRPr="00775D74" w:rsidR="2A5F8627">
        <w:t>as suggested by SCE</w:t>
      </w:r>
      <w:r w:rsidR="001517E6">
        <w:t xml:space="preserve">. </w:t>
      </w:r>
      <w:r w:rsidR="004B4C25">
        <w:t xml:space="preserve"> </w:t>
      </w:r>
      <w:r w:rsidR="006F4134">
        <w:t>However, w</w:t>
      </w:r>
      <w:r w:rsidR="001517E6">
        <w:t xml:space="preserve">e additionally </w:t>
      </w:r>
      <w:r w:rsidR="006020F0">
        <w:t>affirm that</w:t>
      </w:r>
      <w:r w:rsidR="00EE55C2">
        <w:t xml:space="preserve"> </w:t>
      </w:r>
      <w:r w:rsidR="006F4134">
        <w:t xml:space="preserve">if </w:t>
      </w:r>
      <w:r w:rsidRPr="00F12704" w:rsidR="00F12704">
        <w:t>a utility has implemented a replicable, substantially simil</w:t>
      </w:r>
      <w:r w:rsidR="00FB5FC3">
        <w:t xml:space="preserve">ar </w:t>
      </w:r>
      <w:r w:rsidRPr="00F12704" w:rsidR="00F12704">
        <w:t xml:space="preserve">method for assessing </w:t>
      </w:r>
      <w:r w:rsidR="00515A25">
        <w:t xml:space="preserve">SIF Actual, </w:t>
      </w:r>
      <w:r w:rsidRPr="00B20AD4" w:rsidR="00B20AD4">
        <w:t xml:space="preserve">the utility may use that method for reporting this metric. If a utility opts to report the rate of SIF Actual using a method other than the EEI Safety Classification Model, it must explain how its methodology for counting SIF Actual differs and why it chose to use it.  </w:t>
      </w:r>
      <w:r w:rsidR="00CD3BB8">
        <w:t xml:space="preserve">To </w:t>
      </w:r>
      <w:r w:rsidR="00004E28">
        <w:t xml:space="preserve">ensure that this approach </w:t>
      </w:r>
      <w:r w:rsidR="00CD3BB8">
        <w:t>allow</w:t>
      </w:r>
      <w:r w:rsidR="00004E28">
        <w:t>s</w:t>
      </w:r>
      <w:r w:rsidR="00CD3BB8">
        <w:t xml:space="preserve"> for comparison across utilities, </w:t>
      </w:r>
      <w:r w:rsidR="00E56F51">
        <w:t>w</w:t>
      </w:r>
      <w:r w:rsidR="00326B31">
        <w:t xml:space="preserve">e </w:t>
      </w:r>
      <w:r w:rsidR="00B20AD4">
        <w:t xml:space="preserve">also </w:t>
      </w:r>
      <w:r w:rsidR="26858110">
        <w:t>require</w:t>
      </w:r>
      <w:r w:rsidR="00326B31">
        <w:t xml:space="preserve"> </w:t>
      </w:r>
      <w:r w:rsidRPr="00656BD7" w:rsidR="00B20AD4">
        <w:rPr>
          <w:u w:val="single"/>
        </w:rPr>
        <w:t>all</w:t>
      </w:r>
      <w:r w:rsidR="00B20AD4">
        <w:t xml:space="preserve"> </w:t>
      </w:r>
      <w:r w:rsidR="009F7C80">
        <w:t xml:space="preserve">utilities to </w:t>
      </w:r>
      <w:r w:rsidR="00D818A9">
        <w:t xml:space="preserve">report </w:t>
      </w:r>
      <w:r w:rsidR="009F7C80">
        <w:t>SIF Actual</w:t>
      </w:r>
      <w:r w:rsidR="00F32681">
        <w:t xml:space="preserve"> data </w:t>
      </w:r>
      <w:r w:rsidR="00ED15C5">
        <w:t xml:space="preserve">based on </w:t>
      </w:r>
      <w:r w:rsidR="009F7C80">
        <w:t>OSHA</w:t>
      </w:r>
      <w:r w:rsidR="00ED15C5">
        <w:t xml:space="preserve"> reporting</w:t>
      </w:r>
      <w:r w:rsidR="009F7C80">
        <w:t xml:space="preserve"> requirements under </w:t>
      </w:r>
      <w:r w:rsidR="00D818A9">
        <w:t xml:space="preserve">Section </w:t>
      </w:r>
      <w:r w:rsidR="009A1643">
        <w:t xml:space="preserve">6409.1 of California’s </w:t>
      </w:r>
      <w:r w:rsidR="009F7C80">
        <w:t>Labor Code</w:t>
      </w:r>
      <w:r w:rsidR="00FB5FC3">
        <w:t xml:space="preserve">. </w:t>
      </w:r>
      <w:r w:rsidRPr="00775D74" w:rsidR="12B0A003">
        <w:t xml:space="preserve"> </w:t>
      </w:r>
      <w:r w:rsidRPr="00F94484" w:rsidR="00F94484">
        <w:t>We take this approach because close</w:t>
      </w:r>
      <w:r w:rsidR="00135E32">
        <w:t>r</w:t>
      </w:r>
      <w:r w:rsidRPr="00F94484" w:rsidR="00F94484">
        <w:t xml:space="preserve"> examination of the current SDG&amp;E/SoCal Gas SIF </w:t>
      </w:r>
      <w:r w:rsidR="00DA0ECD">
        <w:t>P</w:t>
      </w:r>
      <w:r w:rsidRPr="00F94484" w:rsidR="00F94484">
        <w:t xml:space="preserve">otential and </w:t>
      </w:r>
      <w:r w:rsidR="00DA0ECD">
        <w:t>A</w:t>
      </w:r>
      <w:r w:rsidRPr="00F94484" w:rsidR="00F94484">
        <w:t xml:space="preserve">ctual methodology has assured us the approach is substantially </w:t>
      </w:r>
      <w:r w:rsidRPr="00F94484" w:rsidR="00F94484">
        <w:lastRenderedPageBreak/>
        <w:t>similar to the EEI Safety Classification Model method.</w:t>
      </w:r>
      <w:r w:rsidR="00F94484">
        <w:t xml:space="preserve"> Allowing this flexibility </w:t>
      </w:r>
      <w:r w:rsidR="00C1234D">
        <w:t xml:space="preserve">minimizes </w:t>
      </w:r>
      <w:r w:rsidR="00CB7B7F">
        <w:t xml:space="preserve">compliance costs while still providing for </w:t>
      </w:r>
      <w:r w:rsidR="00287C40">
        <w:t xml:space="preserve">suitable </w:t>
      </w:r>
      <w:r w:rsidR="00CB7B7F">
        <w:t xml:space="preserve">comparison across utilities. </w:t>
      </w:r>
    </w:p>
    <w:p w:rsidRPr="00775D74" w:rsidR="002D3D0C" w:rsidP="00A57594" w:rsidRDefault="00216FB1" w14:paraId="1EF9DEA5" w14:textId="4D6D417D">
      <w:pPr>
        <w:pStyle w:val="Standard"/>
        <w:numPr>
          <w:ilvl w:val="0"/>
          <w:numId w:val="16"/>
        </w:numPr>
        <w:spacing w:after="120" w:line="240" w:lineRule="auto"/>
        <w:ind w:left="1080" w:right="1440"/>
      </w:pPr>
      <w:r w:rsidRPr="00775D74">
        <w:rPr>
          <w:u w:val="single"/>
        </w:rPr>
        <w:t>SPM #18</w:t>
      </w:r>
      <w:r w:rsidR="00421E51">
        <w:rPr>
          <w:u w:val="single"/>
        </w:rPr>
        <w:t xml:space="preserve"> (SPM #16 as adopted)</w:t>
      </w:r>
      <w:r w:rsidRPr="00775D74">
        <w:t xml:space="preserve">: </w:t>
      </w:r>
      <w:r w:rsidRPr="00775D74" w:rsidR="004519DA">
        <w:t xml:space="preserve"> </w:t>
      </w:r>
      <w:r w:rsidRPr="00775D74">
        <w:t xml:space="preserve">Contractor </w:t>
      </w:r>
      <w:r w:rsidRPr="00775D74" w:rsidR="009D70D7">
        <w:t>OSHA</w:t>
      </w:r>
      <w:r w:rsidRPr="00775D74">
        <w:t xml:space="preserve"> Recordables Rate:  We change the name of this metric to Rate of SIF Actual (Contractor) and </w:t>
      </w:r>
      <w:r w:rsidR="00553E02">
        <w:t xml:space="preserve">generally </w:t>
      </w:r>
      <w:r w:rsidRPr="00775D74">
        <w:t xml:space="preserve">specify use of the EEI </w:t>
      </w:r>
      <w:r w:rsidRPr="00775D74" w:rsidR="00CE6F92">
        <w:t>O</w:t>
      </w:r>
      <w:r w:rsidRPr="00775D74" w:rsidR="00FC3810">
        <w:t>ccupational Health and  Safety Committee</w:t>
      </w:r>
      <w:r w:rsidRPr="00775D74" w:rsidR="00CE6F92">
        <w:t xml:space="preserve"> </w:t>
      </w:r>
      <w:r w:rsidRPr="00775D74">
        <w:t>methodology</w:t>
      </w:r>
      <w:r w:rsidRPr="00775D74" w:rsidR="0047590A">
        <w:t xml:space="preserve"> </w:t>
      </w:r>
      <w:r w:rsidRPr="00775D74" w:rsidR="00A56DA3">
        <w:t xml:space="preserve">for counting serious injuries and fatalities </w:t>
      </w:r>
      <w:r w:rsidR="00553E02">
        <w:t xml:space="preserve">as discussed </w:t>
      </w:r>
      <w:r w:rsidR="006C611B">
        <w:t>with regards to SPM #17 above</w:t>
      </w:r>
      <w:r w:rsidR="00755C91">
        <w:t xml:space="preserve">, with </w:t>
      </w:r>
      <w:r w:rsidR="007B6BE0">
        <w:t xml:space="preserve">similar </w:t>
      </w:r>
      <w:r w:rsidR="00796251">
        <w:t>exceptions if a utility is using a “substantially similar” method.</w:t>
      </w:r>
      <w:r w:rsidR="006C611B">
        <w:t xml:space="preserve"> </w:t>
      </w:r>
      <w:r w:rsidR="00F90014">
        <w:t xml:space="preserve">The final requirements for SPM #18 </w:t>
      </w:r>
      <w:r w:rsidR="00391C4B">
        <w:t>are the same as those required for SPM #17, as discussed above, for the same reasons</w:t>
      </w:r>
      <w:r w:rsidRPr="00775D74">
        <w:t xml:space="preserve">.  </w:t>
      </w:r>
    </w:p>
    <w:p w:rsidRPr="00775D74" w:rsidR="00216FB1" w:rsidP="00A57594" w:rsidRDefault="00216FB1" w14:paraId="4C70E2B9" w14:textId="33C88C23">
      <w:pPr>
        <w:pStyle w:val="Standard"/>
        <w:numPr>
          <w:ilvl w:val="0"/>
          <w:numId w:val="16"/>
        </w:numPr>
        <w:spacing w:after="120" w:line="240" w:lineRule="auto"/>
        <w:ind w:left="1080" w:right="1440"/>
      </w:pPr>
      <w:r w:rsidRPr="00775D74">
        <w:rPr>
          <w:u w:val="single"/>
        </w:rPr>
        <w:t>SPM #1</w:t>
      </w:r>
      <w:r w:rsidRPr="00775D74">
        <w:t xml:space="preserve">9: </w:t>
      </w:r>
      <w:r w:rsidRPr="00775D74" w:rsidR="004519DA">
        <w:t xml:space="preserve"> </w:t>
      </w:r>
      <w:r w:rsidRPr="00775D74">
        <w:t xml:space="preserve">Contractor DART: </w:t>
      </w:r>
      <w:r w:rsidRPr="00775D74" w:rsidR="00875412">
        <w:t xml:space="preserve"> </w:t>
      </w:r>
      <w:r w:rsidRPr="00775D74">
        <w:t>We simpl</w:t>
      </w:r>
      <w:r w:rsidRPr="00775D74" w:rsidR="00EA20AE">
        <w:t>if</w:t>
      </w:r>
      <w:r w:rsidRPr="00775D74">
        <w:t xml:space="preserve">y the units of data collection to “OSHA DART Rate” and require SCE, SDG&amp;E, and SoCalGas to report on this metric in addition to PG&amp;E. </w:t>
      </w:r>
    </w:p>
    <w:p w:rsidRPr="00775D74" w:rsidR="00216FB1" w:rsidP="00A57594" w:rsidRDefault="00216FB1" w14:paraId="2C919CC3" w14:textId="2FB4ED96">
      <w:pPr>
        <w:pStyle w:val="Standard"/>
        <w:numPr>
          <w:ilvl w:val="0"/>
          <w:numId w:val="16"/>
        </w:numPr>
        <w:spacing w:after="120" w:line="240" w:lineRule="auto"/>
        <w:ind w:left="1080" w:right="1440"/>
      </w:pPr>
      <w:r w:rsidRPr="00775D74">
        <w:rPr>
          <w:u w:val="single"/>
        </w:rPr>
        <w:t>SPM #20</w:t>
      </w:r>
      <w:r w:rsidRPr="00775D74">
        <w:t xml:space="preserve">: </w:t>
      </w:r>
      <w:r w:rsidRPr="00775D74" w:rsidR="004519DA">
        <w:t xml:space="preserve"> </w:t>
      </w:r>
      <w:r w:rsidRPr="00775D74">
        <w:t>Contractor SIF</w:t>
      </w:r>
      <w:r w:rsidRPr="00775D74" w:rsidR="00F1765E">
        <w:t xml:space="preserve">: </w:t>
      </w:r>
      <w:r w:rsidRPr="00775D74" w:rsidR="00875412">
        <w:t xml:space="preserve"> </w:t>
      </w:r>
      <w:r w:rsidRPr="00775D74" w:rsidR="00F1765E">
        <w:t xml:space="preserve">We delete this metric as </w:t>
      </w:r>
      <w:r w:rsidRPr="00775D74" w:rsidR="00241964">
        <w:t>a</w:t>
      </w:r>
      <w:r w:rsidRPr="00775D74" w:rsidR="00F1765E">
        <w:t xml:space="preserve"> new SPM </w:t>
      </w:r>
      <w:r w:rsidRPr="00775D74" w:rsidR="00241964">
        <w:t xml:space="preserve">on </w:t>
      </w:r>
      <w:r w:rsidRPr="00775D74" w:rsidR="00F1765E">
        <w:t>Rate of SIF Potential (</w:t>
      </w:r>
      <w:r w:rsidR="00982FEC">
        <w:t>Contractor</w:t>
      </w:r>
      <w:r w:rsidRPr="00775D74" w:rsidR="00F1765E">
        <w:t xml:space="preserve">) </w:t>
      </w:r>
      <w:r w:rsidRPr="00775D74" w:rsidR="00241964">
        <w:t xml:space="preserve">that we adopt below </w:t>
      </w:r>
      <w:r w:rsidRPr="00775D74" w:rsidR="00F1765E">
        <w:t xml:space="preserve">captures the same information expressed as a rate and is more useful since it provides information in a way that can be compared across utilities. </w:t>
      </w:r>
    </w:p>
    <w:p w:rsidRPr="00775D74" w:rsidR="00F1765E" w:rsidP="00A57594" w:rsidRDefault="00F1765E" w14:paraId="26D12484" w14:textId="7681CC44">
      <w:pPr>
        <w:pStyle w:val="Standard"/>
        <w:numPr>
          <w:ilvl w:val="0"/>
          <w:numId w:val="16"/>
        </w:numPr>
        <w:spacing w:after="120" w:line="240" w:lineRule="auto"/>
        <w:ind w:left="1080" w:right="1440"/>
      </w:pPr>
      <w:r w:rsidRPr="00775D74">
        <w:rPr>
          <w:u w:val="single"/>
        </w:rPr>
        <w:t>SPM #21</w:t>
      </w:r>
      <w:r w:rsidRPr="00775D74">
        <w:t>:  Contractor Lost Work</w:t>
      </w:r>
      <w:r w:rsidRPr="00775D74" w:rsidR="00E97D6E">
        <w:t>-</w:t>
      </w:r>
      <w:r w:rsidRPr="00775D74">
        <w:t xml:space="preserve">Day Case Rate:  We delete this metric because the information it provides is already included in </w:t>
      </w:r>
      <w:r w:rsidRPr="00775D74" w:rsidR="00E6569E">
        <w:t xml:space="preserve">the DART contractor SPM, as observed by PG&amp;E. </w:t>
      </w:r>
    </w:p>
    <w:p w:rsidRPr="00775D74" w:rsidR="00DB6954" w:rsidP="00A57594" w:rsidRDefault="00DB6954" w14:paraId="260C13F7" w14:textId="0FD2EE8A">
      <w:pPr>
        <w:pStyle w:val="Standard"/>
        <w:numPr>
          <w:ilvl w:val="0"/>
          <w:numId w:val="16"/>
        </w:numPr>
        <w:spacing w:after="120" w:line="240" w:lineRule="auto"/>
        <w:ind w:left="1080" w:right="1440"/>
      </w:pPr>
      <w:r w:rsidRPr="00775D74">
        <w:rPr>
          <w:u w:val="single"/>
        </w:rPr>
        <w:t>SPM #22</w:t>
      </w:r>
      <w:r w:rsidRPr="00775D74">
        <w:t xml:space="preserve">:  We </w:t>
      </w:r>
      <w:r w:rsidRPr="00775D74" w:rsidR="001E593A">
        <w:t xml:space="preserve">do not </w:t>
      </w:r>
      <w:r w:rsidRPr="00775D74">
        <w:t xml:space="preserve">modify the description of this metric to align it with </w:t>
      </w:r>
      <w:r w:rsidRPr="00775D74" w:rsidR="006870B6">
        <w:t>SOM #</w:t>
      </w:r>
      <w:r w:rsidRPr="00775D74" w:rsidR="006D74E7">
        <w:t>1</w:t>
      </w:r>
      <w:r w:rsidRPr="00775D74" w:rsidR="006870B6">
        <w:t>.</w:t>
      </w:r>
      <w:r w:rsidRPr="00775D74" w:rsidR="006D74E7">
        <w:t>3</w:t>
      </w:r>
      <w:r w:rsidRPr="00775D74" w:rsidR="00A648FB">
        <w:t xml:space="preserve"> as suggested by SCE</w:t>
      </w:r>
      <w:r w:rsidRPr="00775D74" w:rsidR="006870B6">
        <w:t xml:space="preserve">, </w:t>
      </w:r>
      <w:r w:rsidRPr="00775D74" w:rsidR="001E593A">
        <w:t xml:space="preserve">because reporting on this </w:t>
      </w:r>
      <w:r w:rsidRPr="00775D74" w:rsidR="00FD50AF">
        <w:t xml:space="preserve">metric as </w:t>
      </w:r>
      <w:r w:rsidR="00982FEC">
        <w:t>currently defined</w:t>
      </w:r>
      <w:r w:rsidRPr="00775D74" w:rsidR="00FD50AF">
        <w:t xml:space="preserve"> has been working well </w:t>
      </w:r>
      <w:r w:rsidRPr="00775D74" w:rsidR="0076399E">
        <w:t>t</w:t>
      </w:r>
      <w:r w:rsidRPr="00775D74" w:rsidR="00FD50AF">
        <w:t>o date</w:t>
      </w:r>
      <w:r w:rsidRPr="00775D74" w:rsidR="0076399E">
        <w:t xml:space="preserve"> </w:t>
      </w:r>
      <w:r w:rsidRPr="00775D74" w:rsidR="00FD50AF">
        <w:t xml:space="preserve">and </w:t>
      </w:r>
      <w:r w:rsidRPr="00775D74" w:rsidR="0076399E">
        <w:t xml:space="preserve">usefully </w:t>
      </w:r>
      <w:r w:rsidRPr="00775D74" w:rsidR="00FD50AF">
        <w:t xml:space="preserve">provides a </w:t>
      </w:r>
      <w:r w:rsidRPr="00775D74" w:rsidR="0087770B">
        <w:t>broader perspective th</w:t>
      </w:r>
      <w:r w:rsidRPr="00775D74" w:rsidR="0076399E">
        <w:t>a</w:t>
      </w:r>
      <w:r w:rsidRPr="00775D74" w:rsidR="0087770B">
        <w:t>n will be achieved with SOM #1.3</w:t>
      </w:r>
      <w:r w:rsidRPr="00775D74" w:rsidR="00EE29BE">
        <w:t xml:space="preserve">.  </w:t>
      </w:r>
    </w:p>
    <w:p w:rsidRPr="00775D74" w:rsidR="00F3022E" w:rsidP="00A57594" w:rsidRDefault="00F3022E" w14:paraId="2E1BF735" w14:textId="2A15CF85">
      <w:pPr>
        <w:pStyle w:val="Standard"/>
        <w:numPr>
          <w:ilvl w:val="0"/>
          <w:numId w:val="16"/>
        </w:numPr>
        <w:spacing w:after="120" w:line="240" w:lineRule="auto"/>
        <w:ind w:left="1080" w:right="1440"/>
      </w:pPr>
      <w:r w:rsidRPr="00775D74">
        <w:rPr>
          <w:u w:val="single"/>
        </w:rPr>
        <w:t>SPM #23:</w:t>
      </w:r>
      <w:r w:rsidRPr="00775D74">
        <w:t xml:space="preserve"> </w:t>
      </w:r>
      <w:r w:rsidRPr="00775D74" w:rsidR="004519DA">
        <w:t xml:space="preserve"> </w:t>
      </w:r>
      <w:r w:rsidRPr="00775D74">
        <w:t>Helicopter/Flight Accident or Incident:  We modify the category of this metric from “vehicle” to “aviation” as suggested by PG&amp;E.</w:t>
      </w:r>
    </w:p>
    <w:p w:rsidRPr="00775D74" w:rsidR="00F3022E" w:rsidP="00A57594" w:rsidRDefault="00F3022E" w14:paraId="2D336250" w14:textId="18A2CA2C">
      <w:pPr>
        <w:pStyle w:val="Standard"/>
        <w:numPr>
          <w:ilvl w:val="0"/>
          <w:numId w:val="16"/>
        </w:numPr>
        <w:spacing w:after="120" w:line="240" w:lineRule="auto"/>
        <w:ind w:left="1080" w:right="1440"/>
      </w:pPr>
      <w:r w:rsidRPr="00775D74">
        <w:rPr>
          <w:u w:val="single"/>
        </w:rPr>
        <w:t>SPM #26</w:t>
      </w:r>
      <w:r w:rsidRPr="00775D74">
        <w:t xml:space="preserve">:  Driver’s Check Rate:  </w:t>
      </w:r>
      <w:r w:rsidRPr="00775D74" w:rsidR="001767A4">
        <w:t xml:space="preserve">We change the name of this metric to “Driver Call Complaint Rate,” as suggested </w:t>
      </w:r>
      <w:r w:rsidRPr="00775D74" w:rsidR="001767A4">
        <w:lastRenderedPageBreak/>
        <w:t xml:space="preserve">by PG&amp;E, and changed the metric description to specify utility-owned vehicles only. </w:t>
      </w:r>
    </w:p>
    <w:p w:rsidR="00D13934" w:rsidP="004A6F55" w:rsidRDefault="00DE7947" w14:paraId="7168536F" w14:textId="7229AF44">
      <w:pPr>
        <w:pStyle w:val="Standard"/>
      </w:pPr>
      <w:r>
        <w:t>We do not modify SPM #</w:t>
      </w:r>
      <w:r w:rsidR="00771147">
        <w:t xml:space="preserve">1 and </w:t>
      </w:r>
      <w:r w:rsidR="007569B6">
        <w:t xml:space="preserve">#2 as suggested by Staff but instead retain the original SPM descriptions for these metrics </w:t>
      </w:r>
      <w:r w:rsidR="002D147C">
        <w:t xml:space="preserve">as </w:t>
      </w:r>
      <w:r w:rsidR="009D325E">
        <w:t>th</w:t>
      </w:r>
      <w:r w:rsidR="00F3772E">
        <w:t>e existing descriptions</w:t>
      </w:r>
      <w:r w:rsidR="009D325E">
        <w:t xml:space="preserve"> reflect a</w:t>
      </w:r>
      <w:r w:rsidR="00D13934">
        <w:t xml:space="preserve">n approach used </w:t>
      </w:r>
      <w:r w:rsidR="009D325E">
        <w:t xml:space="preserve">nationally </w:t>
      </w:r>
      <w:r w:rsidR="009A113B">
        <w:t xml:space="preserve">and in WMP reporting </w:t>
      </w:r>
      <w:r w:rsidR="00D13934">
        <w:t xml:space="preserve">and </w:t>
      </w:r>
      <w:r w:rsidR="009A113B">
        <w:t xml:space="preserve">are </w:t>
      </w:r>
      <w:r w:rsidR="00D13934">
        <w:t>s</w:t>
      </w:r>
      <w:r w:rsidR="007569B6">
        <w:t xml:space="preserve">upported by the IOUs.  However, we reflect Staff’s proposed modifications to </w:t>
      </w:r>
      <w:r w:rsidR="00D13934">
        <w:t>SPMs #s 1 and 2</w:t>
      </w:r>
      <w:r w:rsidR="007569B6">
        <w:t xml:space="preserve"> in a new SPM #</w:t>
      </w:r>
      <w:r w:rsidR="00A41F98">
        <w:t>46</w:t>
      </w:r>
      <w:r w:rsidR="00515832">
        <w:t xml:space="preserve"> (#32 in final version)</w:t>
      </w:r>
      <w:r w:rsidR="007569B6">
        <w:t xml:space="preserve">, “Overhead Conductor </w:t>
      </w:r>
      <w:r w:rsidR="00D13934">
        <w:t xml:space="preserve">Safety </w:t>
      </w:r>
      <w:r w:rsidR="007569B6">
        <w:t xml:space="preserve">Index,” </w:t>
      </w:r>
      <w:r w:rsidR="00DD074E">
        <w:t xml:space="preserve">which we discuss below. </w:t>
      </w:r>
    </w:p>
    <w:p w:rsidR="00D13934" w:rsidP="004A6F55" w:rsidRDefault="00A82685" w14:paraId="62890768" w14:textId="5A6E7BBF">
      <w:pPr>
        <w:pStyle w:val="Standard"/>
      </w:pPr>
      <w:r>
        <w:t xml:space="preserve">We do not adopt a </w:t>
      </w:r>
      <w:r w:rsidR="008E23F8">
        <w:t>R</w:t>
      </w:r>
      <w:r>
        <w:t xml:space="preserve">ate of SIF Potential (Public) as proposed by </w:t>
      </w:r>
      <w:r w:rsidRPr="00775D74">
        <w:t>Cal</w:t>
      </w:r>
      <w:r w:rsidRPr="00775D74" w:rsidR="00990028">
        <w:t> </w:t>
      </w:r>
      <w:r w:rsidRPr="00775D74">
        <w:t xml:space="preserve">Advocates because we are not clear on how the IOUs would calculate this metric. </w:t>
      </w:r>
      <w:r w:rsidRPr="00775D74" w:rsidR="003936F8">
        <w:t xml:space="preserve"> </w:t>
      </w:r>
      <w:r w:rsidRPr="00775D74" w:rsidR="00866FFF">
        <w:t xml:space="preserve">However, </w:t>
      </w:r>
      <w:r w:rsidRPr="00775D74" w:rsidR="00D701D0">
        <w:t xml:space="preserve">in </w:t>
      </w:r>
      <w:r w:rsidRPr="00775D74" w:rsidR="00990028">
        <w:t>S</w:t>
      </w:r>
      <w:r w:rsidRPr="00775D74" w:rsidR="00D701D0">
        <w:t>ection</w:t>
      </w:r>
      <w:r w:rsidR="00D701D0">
        <w:t xml:space="preserve"> 11.4.2 below, we adopt two new SPMs on </w:t>
      </w:r>
      <w:r w:rsidR="008E23F8">
        <w:t>R</w:t>
      </w:r>
      <w:r w:rsidR="00D701D0">
        <w:t xml:space="preserve">ate of SIF Potential (Employee) and </w:t>
      </w:r>
      <w:r w:rsidR="008E23F8">
        <w:t>R</w:t>
      </w:r>
      <w:r w:rsidR="00D701D0">
        <w:t xml:space="preserve">ate of SIF Potential (Contractor) as recommended by Cal Advocates.  </w:t>
      </w:r>
    </w:p>
    <w:p w:rsidR="007801D5" w:rsidP="007801D5" w:rsidRDefault="007801D5" w14:paraId="17165D01" w14:textId="65C0EB50">
      <w:pPr>
        <w:pStyle w:val="Standard"/>
      </w:pPr>
      <w:r>
        <w:t>We disagree with SCE</w:t>
      </w:r>
      <w:r w:rsidR="00C06069">
        <w:t xml:space="preserve"> and SDG&amp;E/</w:t>
      </w:r>
      <w:r>
        <w:t xml:space="preserve">SoCalGas that there has been insufficient time for parties to comment on the SPMs.  We have carefully reviewed parties’ comments on the Staff Proposal and will consider other comments on the proposed decision.  This decision reflects </w:t>
      </w:r>
      <w:r w:rsidR="00215FBE">
        <w:t>requested modifications when we have found them to be reasonable.  The absence of historical data collection on an SPM is not</w:t>
      </w:r>
      <w:r w:rsidR="00D11299">
        <w:t xml:space="preserve"> in itself</w:t>
      </w:r>
      <w:r w:rsidR="00215FBE">
        <w:t xml:space="preserve"> a sufficient reason to reject </w:t>
      </w:r>
      <w:r w:rsidR="00D11299">
        <w:t xml:space="preserve">a metric if utility collection and reporting of the data </w:t>
      </w:r>
      <w:r w:rsidR="00567398">
        <w:t xml:space="preserve">helps to ensure </w:t>
      </w:r>
      <w:r w:rsidR="00C87AD0">
        <w:t xml:space="preserve">public, employee, and contractor </w:t>
      </w:r>
      <w:r w:rsidR="00567398">
        <w:t xml:space="preserve">safety. </w:t>
      </w:r>
      <w:r w:rsidR="004C0525">
        <w:t xml:space="preserve"> </w:t>
      </w:r>
      <w:r w:rsidR="00801602">
        <w:t>T</w:t>
      </w:r>
      <w:r w:rsidR="004C0525">
        <w:t>he</w:t>
      </w:r>
      <w:r w:rsidR="00F909A4">
        <w:t xml:space="preserve"> SPMs as modified </w:t>
      </w:r>
      <w:r w:rsidR="00801602">
        <w:t>here and adopted</w:t>
      </w:r>
      <w:r w:rsidR="00A05D29">
        <w:t xml:space="preserve"> here and</w:t>
      </w:r>
      <w:r w:rsidR="00801602">
        <w:t xml:space="preserve"> in section 11.4.2 below are </w:t>
      </w:r>
      <w:r w:rsidRPr="00801602" w:rsidR="00801602">
        <w:t>reasonable and</w:t>
      </w:r>
      <w:r w:rsidR="00A05D29">
        <w:t xml:space="preserve"> </w:t>
      </w:r>
      <w:r w:rsidRPr="00801602" w:rsidR="00801602">
        <w:t xml:space="preserve">align with the criteria proposed by </w:t>
      </w:r>
      <w:r w:rsidR="00C06069">
        <w:t>SDG&amp;E/</w:t>
      </w:r>
      <w:r w:rsidRPr="00801602" w:rsidR="00801602">
        <w:t>SoCalGas</w:t>
      </w:r>
      <w:r w:rsidR="00801602">
        <w:t>.</w:t>
      </w:r>
    </w:p>
    <w:p w:rsidRPr="00FD0001" w:rsidR="00FD0001" w:rsidP="00FD0001" w:rsidRDefault="00701936" w14:paraId="00399BEB" w14:textId="4C083B7D">
      <w:pPr>
        <w:pStyle w:val="Standard"/>
      </w:pPr>
      <w:r>
        <w:t xml:space="preserve">We direct the IOUs to submit </w:t>
      </w:r>
      <w:r w:rsidR="00CF056D">
        <w:t xml:space="preserve">reports on </w:t>
      </w:r>
      <w:r w:rsidR="00881336">
        <w:t xml:space="preserve">all </w:t>
      </w:r>
      <w:r>
        <w:t>SPMs as adopted here, and the new SPMs adopted in section</w:t>
      </w:r>
      <w:r w:rsidR="00A374D0">
        <w:t xml:space="preserve"> </w:t>
      </w:r>
      <w:r w:rsidR="00B17FB7">
        <w:t>11.4.2</w:t>
      </w:r>
      <w:r w:rsidR="00A05D29">
        <w:t>,</w:t>
      </w:r>
      <w:r w:rsidR="00B17FB7">
        <w:t xml:space="preserve"> </w:t>
      </w:r>
      <w:r w:rsidR="00A82346">
        <w:t>on an annual basis</w:t>
      </w:r>
      <w:r w:rsidR="00D0641B">
        <w:t xml:space="preserve"> by </w:t>
      </w:r>
      <w:r w:rsidR="00B17FB7">
        <w:t>March 31</w:t>
      </w:r>
      <w:r w:rsidRPr="00B17FB7" w:rsidR="00B17FB7">
        <w:rPr>
          <w:vertAlign w:val="superscript"/>
        </w:rPr>
        <w:t>st</w:t>
      </w:r>
      <w:r w:rsidR="00FD0001">
        <w:t>, starting March</w:t>
      </w:r>
      <w:r w:rsidR="009950CF">
        <w:t> </w:t>
      </w:r>
      <w:r w:rsidR="00FD0001">
        <w:t>31,</w:t>
      </w:r>
      <w:r w:rsidR="009950CF">
        <w:t> </w:t>
      </w:r>
      <w:r w:rsidR="00FD0001">
        <w:t xml:space="preserve">2022, </w:t>
      </w:r>
      <w:r w:rsidR="00FD0001">
        <w:rPr>
          <w:iCs/>
        </w:rPr>
        <w:t xml:space="preserve">with </w:t>
      </w:r>
      <w:r w:rsidR="00817C0A">
        <w:rPr>
          <w:iCs/>
        </w:rPr>
        <w:t>each</w:t>
      </w:r>
      <w:r w:rsidR="00FD0001">
        <w:rPr>
          <w:iCs/>
        </w:rPr>
        <w:t xml:space="preserve"> report covering the previous 12-month period.  </w:t>
      </w:r>
    </w:p>
    <w:p w:rsidR="00701936" w:rsidP="005B78C6" w:rsidRDefault="00D0641B" w14:paraId="23DF58B1" w14:textId="72A3E6E9">
      <w:pPr>
        <w:pStyle w:val="Standard"/>
      </w:pPr>
      <w:r>
        <w:lastRenderedPageBreak/>
        <w:t xml:space="preserve">The IOUs shall adhere to </w:t>
      </w:r>
      <w:r w:rsidR="00CC17A1">
        <w:t xml:space="preserve">the guidance </w:t>
      </w:r>
      <w:r>
        <w:t>on submittal of SPMs</w:t>
      </w:r>
      <w:r w:rsidR="00CC17A1">
        <w:t xml:space="preserve"> adopted</w:t>
      </w:r>
      <w:r>
        <w:t xml:space="preserve"> in D.19-04-020 when making their annual </w:t>
      </w:r>
      <w:r w:rsidR="00CC17A1">
        <w:t xml:space="preserve">SPM report </w:t>
      </w:r>
      <w:r>
        <w:t>submissions</w:t>
      </w:r>
      <w:r w:rsidR="00D20ADB">
        <w:t xml:space="preserve">, with two modifications.  First, the IOUs shall serve </w:t>
      </w:r>
      <w:r w:rsidRPr="00D20ADB" w:rsidR="00D20ADB">
        <w:rPr>
          <w:u w:val="single"/>
        </w:rPr>
        <w:t>and file</w:t>
      </w:r>
      <w:r w:rsidR="00D20ADB">
        <w:t xml:space="preserve"> their annual SPM reports in A.15-05-002 </w:t>
      </w:r>
      <w:r w:rsidRPr="00767508" w:rsidR="00D20ADB">
        <w:rPr>
          <w:i/>
        </w:rPr>
        <w:t>et al</w:t>
      </w:r>
      <w:r w:rsidR="00D20ADB">
        <w:t>, R.20</w:t>
      </w:r>
      <w:r w:rsidR="004A6F55">
        <w:noBreakHyphen/>
      </w:r>
      <w:r w:rsidR="00D20ADB">
        <w:t>07</w:t>
      </w:r>
      <w:r w:rsidR="004A6F55">
        <w:noBreakHyphen/>
      </w:r>
      <w:r w:rsidR="00D20ADB">
        <w:t xml:space="preserve">013, and their most recent or current GRC.  Second, the IOUs shall </w:t>
      </w:r>
      <w:r w:rsidR="009A113B">
        <w:rPr>
          <w:iCs/>
        </w:rPr>
        <w:t xml:space="preserve">send their SPM reports to the Director of the Commission’s Safety Policy Division and to </w:t>
      </w:r>
      <w:hyperlink w:history="1" r:id="rId21">
        <w:r w:rsidRPr="00B37095" w:rsidR="00B37095">
          <w:rPr>
            <w:rStyle w:val="Hyperlink"/>
          </w:rPr>
          <w:t>RASA_Email@cpuc.ca.gov</w:t>
        </w:r>
      </w:hyperlink>
      <w:r w:rsidR="00D95FEC">
        <w:t xml:space="preserve">. </w:t>
      </w:r>
    </w:p>
    <w:p w:rsidRPr="00627D96" w:rsidR="008E227A" w:rsidP="00942DCB" w:rsidRDefault="00B44EA0" w14:paraId="7FCC39C7" w14:textId="5A26FBAB">
      <w:pPr>
        <w:pStyle w:val="Standard"/>
      </w:pPr>
      <w:r>
        <w:t xml:space="preserve">The updated numbering of the SPMs </w:t>
      </w:r>
      <w:r w:rsidR="00D13934">
        <w:t xml:space="preserve">as modified and adopted here </w:t>
      </w:r>
      <w:r>
        <w:t xml:space="preserve">is provided in Appendices B and </w:t>
      </w:r>
      <w:r w:rsidR="000926A7">
        <w:t>F</w:t>
      </w:r>
      <w:r>
        <w:t xml:space="preserve">.  </w:t>
      </w:r>
    </w:p>
    <w:p w:rsidR="00C3279E" w:rsidP="004D6F4F" w:rsidRDefault="00A860CB" w14:paraId="5958A534" w14:textId="0308262E">
      <w:pPr>
        <w:pStyle w:val="Heading2"/>
      </w:pPr>
      <w:bookmarkStart w:name="_Toc80890926" w:id="192"/>
      <w:bookmarkStart w:name="_Toc87361227" w:id="193"/>
      <w:r>
        <w:t>11.</w:t>
      </w:r>
      <w:r w:rsidR="009B2001">
        <w:t>4</w:t>
      </w:r>
      <w:r>
        <w:tab/>
      </w:r>
      <w:r w:rsidR="00C3279E">
        <w:t>Staff</w:t>
      </w:r>
      <w:r w:rsidR="00117D92">
        <w:t>’s</w:t>
      </w:r>
      <w:r w:rsidR="00C3279E">
        <w:t xml:space="preserve"> Propos</w:t>
      </w:r>
      <w:r w:rsidR="00117D92">
        <w:t xml:space="preserve">ed </w:t>
      </w:r>
      <w:r w:rsidR="00C3279E">
        <w:t>New SPMs.</w:t>
      </w:r>
      <w:bookmarkEnd w:id="192"/>
      <w:bookmarkEnd w:id="193"/>
    </w:p>
    <w:p w:rsidR="00904CC8" w:rsidP="004D6F4F" w:rsidRDefault="00824375" w14:paraId="33A6625E" w14:textId="4BCAFB40">
      <w:pPr>
        <w:pStyle w:val="Standard"/>
        <w:keepNext/>
      </w:pPr>
      <w:r>
        <w:t>Staff</w:t>
      </w:r>
      <w:r w:rsidR="00A94665">
        <w:t>’s</w:t>
      </w:r>
      <w:r>
        <w:t xml:space="preserve"> propose</w:t>
      </w:r>
      <w:r w:rsidR="00A94665">
        <w:t>d</w:t>
      </w:r>
      <w:r>
        <w:t xml:space="preserve"> </w:t>
      </w:r>
      <w:r w:rsidR="00EC4578">
        <w:t>19</w:t>
      </w:r>
      <w:r>
        <w:t xml:space="preserve"> new SPMs</w:t>
      </w:r>
      <w:r w:rsidR="00FB006F">
        <w:t xml:space="preserve"> (#</w:t>
      </w:r>
      <w:r w:rsidR="007660C1">
        <w:t>s</w:t>
      </w:r>
      <w:r w:rsidR="00E27671">
        <w:t xml:space="preserve"> </w:t>
      </w:r>
      <w:r w:rsidR="00FB006F">
        <w:t>27 - 45)</w:t>
      </w:r>
      <w:r>
        <w:t>, a</w:t>
      </w:r>
      <w:r w:rsidR="003F46DD">
        <w:t>re listed below</w:t>
      </w:r>
      <w:r>
        <w:t xml:space="preserve">. </w:t>
      </w:r>
    </w:p>
    <w:p w:rsidRPr="00300DF6" w:rsidR="00824375" w:rsidP="004D6F4F" w:rsidRDefault="0038268C" w14:paraId="48BADA3C" w14:textId="3756A9F1">
      <w:pPr>
        <w:pStyle w:val="Standard"/>
        <w:keepNext/>
        <w:numPr>
          <w:ilvl w:val="0"/>
          <w:numId w:val="23"/>
        </w:numPr>
        <w:spacing w:after="120" w:line="240" w:lineRule="auto"/>
        <w:ind w:left="1080" w:right="1440"/>
        <w:rPr>
          <w:szCs w:val="26"/>
        </w:rPr>
      </w:pPr>
      <w:r w:rsidRPr="00300DF6">
        <w:rPr>
          <w:szCs w:val="26"/>
        </w:rPr>
        <w:t xml:space="preserve">SPM #27:  </w:t>
      </w:r>
      <w:r w:rsidRPr="00300DF6" w:rsidR="001325D6">
        <w:rPr>
          <w:rFonts w:eastAsiaTheme="minorHAnsi" w:cstheme="minorHAnsi"/>
          <w:color w:val="000000" w:themeColor="text1"/>
          <w:szCs w:val="26"/>
        </w:rPr>
        <w:t>Median Time to Correct Inspection Findings, by Tiers or Grades</w:t>
      </w:r>
    </w:p>
    <w:p w:rsidRPr="00300DF6" w:rsidR="00F8265C" w:rsidP="00142E2E" w:rsidRDefault="00300DF6" w14:paraId="090AC142" w14:textId="5E42CDB0">
      <w:pPr>
        <w:pStyle w:val="Standard"/>
        <w:numPr>
          <w:ilvl w:val="0"/>
          <w:numId w:val="23"/>
        </w:numPr>
        <w:spacing w:after="120" w:line="240" w:lineRule="auto"/>
        <w:ind w:left="1080" w:right="1440"/>
        <w:rPr>
          <w:rFonts w:eastAsiaTheme="minorHAnsi" w:cstheme="minorHAnsi"/>
          <w:b/>
          <w:color w:val="000000" w:themeColor="text1"/>
          <w:szCs w:val="26"/>
        </w:rPr>
      </w:pPr>
      <w:r>
        <w:rPr>
          <w:rFonts w:eastAsiaTheme="minorHAnsi" w:cstheme="minorHAnsi"/>
          <w:color w:val="000000" w:themeColor="text1"/>
          <w:szCs w:val="26"/>
        </w:rPr>
        <w:t>SPM #</w:t>
      </w:r>
      <w:r w:rsidRPr="00300DF6" w:rsidR="00F8265C">
        <w:rPr>
          <w:rFonts w:eastAsiaTheme="minorHAnsi" w:cstheme="minorHAnsi"/>
          <w:color w:val="000000" w:themeColor="text1"/>
          <w:szCs w:val="26"/>
        </w:rPr>
        <w:t>28</w:t>
      </w:r>
      <w:r w:rsidR="008A29C7">
        <w:rPr>
          <w:rFonts w:eastAsiaTheme="minorHAnsi" w:cstheme="minorHAnsi"/>
          <w:color w:val="000000" w:themeColor="text1"/>
          <w:szCs w:val="26"/>
        </w:rPr>
        <w:t>:</w:t>
      </w:r>
      <w:r w:rsidRPr="00300DF6" w:rsidR="00F8265C">
        <w:rPr>
          <w:rFonts w:eastAsiaTheme="minorHAnsi" w:cstheme="minorHAnsi"/>
          <w:color w:val="000000" w:themeColor="text1"/>
          <w:szCs w:val="26"/>
        </w:rPr>
        <w:t xml:space="preserve"> </w:t>
      </w:r>
      <w:r w:rsidR="00875412">
        <w:rPr>
          <w:rFonts w:eastAsiaTheme="minorHAnsi" w:cstheme="minorHAnsi"/>
          <w:color w:val="000000" w:themeColor="text1"/>
          <w:szCs w:val="26"/>
        </w:rPr>
        <w:t xml:space="preserve"> </w:t>
      </w:r>
      <w:r w:rsidRPr="00300DF6" w:rsidR="00F8265C">
        <w:rPr>
          <w:rFonts w:eastAsiaTheme="minorHAnsi" w:cstheme="minorHAnsi"/>
          <w:color w:val="000000" w:themeColor="text1"/>
          <w:szCs w:val="26"/>
        </w:rPr>
        <w:t>Median Time to Correct Inspection Findings, no Segregation by Tiers or Grades</w:t>
      </w:r>
    </w:p>
    <w:p w:rsidRPr="00300DF6" w:rsidR="00B7478E" w:rsidP="00142E2E" w:rsidRDefault="00300DF6" w14:paraId="552EDC8B" w14:textId="43D9D1F2">
      <w:pPr>
        <w:pStyle w:val="Standard"/>
        <w:numPr>
          <w:ilvl w:val="0"/>
          <w:numId w:val="23"/>
        </w:numPr>
        <w:spacing w:after="120" w:line="240" w:lineRule="auto"/>
        <w:ind w:left="1080" w:right="1440"/>
        <w:rPr>
          <w:rFonts w:eastAsiaTheme="minorHAnsi" w:cstheme="minorHAnsi"/>
          <w:b/>
          <w:color w:val="000000" w:themeColor="text1"/>
          <w:szCs w:val="26"/>
        </w:rPr>
      </w:pPr>
      <w:r>
        <w:rPr>
          <w:rFonts w:eastAsiaTheme="minorHAnsi" w:cstheme="minorHAnsi"/>
          <w:color w:val="000000" w:themeColor="text1"/>
          <w:szCs w:val="26"/>
        </w:rPr>
        <w:t>SPM</w:t>
      </w:r>
      <w:r w:rsidR="003A1361">
        <w:rPr>
          <w:rFonts w:eastAsiaTheme="minorHAnsi" w:cstheme="minorHAnsi"/>
          <w:color w:val="000000" w:themeColor="text1"/>
          <w:szCs w:val="26"/>
        </w:rPr>
        <w:t xml:space="preserve"> #</w:t>
      </w:r>
      <w:r w:rsidRPr="00300DF6" w:rsidR="00B7478E">
        <w:rPr>
          <w:rFonts w:eastAsiaTheme="minorHAnsi" w:cstheme="minorHAnsi"/>
          <w:color w:val="000000" w:themeColor="text1"/>
          <w:szCs w:val="26"/>
        </w:rPr>
        <w:t>29</w:t>
      </w:r>
      <w:r w:rsidR="008A29C7">
        <w:rPr>
          <w:rFonts w:eastAsiaTheme="minorHAnsi" w:cstheme="minorHAnsi"/>
          <w:color w:val="000000" w:themeColor="text1"/>
          <w:szCs w:val="26"/>
        </w:rPr>
        <w:t>:</w:t>
      </w:r>
      <w:r w:rsidRPr="00300DF6" w:rsidR="00B7478E">
        <w:rPr>
          <w:rFonts w:eastAsiaTheme="minorHAnsi" w:cstheme="minorHAnsi"/>
          <w:color w:val="000000" w:themeColor="text1"/>
          <w:szCs w:val="26"/>
        </w:rPr>
        <w:t xml:space="preserve"> </w:t>
      </w:r>
      <w:r w:rsidR="00875412">
        <w:rPr>
          <w:rFonts w:eastAsiaTheme="minorHAnsi" w:cstheme="minorHAnsi"/>
          <w:color w:val="000000" w:themeColor="text1"/>
          <w:szCs w:val="26"/>
        </w:rPr>
        <w:t xml:space="preserve"> </w:t>
      </w:r>
      <w:r w:rsidRPr="00300DF6" w:rsidR="00B7478E">
        <w:rPr>
          <w:rFonts w:eastAsiaTheme="minorHAnsi" w:cstheme="minorHAnsi"/>
          <w:color w:val="000000" w:themeColor="text1"/>
          <w:szCs w:val="26"/>
        </w:rPr>
        <w:t xml:space="preserve">CPUC-Reportable Overhead Conductor Failure Incidents </w:t>
      </w:r>
    </w:p>
    <w:p w:rsidRPr="00300DF6" w:rsidR="008F2C2B" w:rsidP="00142E2E" w:rsidRDefault="003A1361" w14:paraId="56DCEC10" w14:textId="472085D6">
      <w:pPr>
        <w:pStyle w:val="Standard"/>
        <w:numPr>
          <w:ilvl w:val="0"/>
          <w:numId w:val="23"/>
        </w:numPr>
        <w:spacing w:after="120" w:line="240" w:lineRule="auto"/>
        <w:ind w:left="1080" w:right="1440"/>
        <w:rPr>
          <w:rFonts w:cstheme="minorHAnsi"/>
          <w:b/>
          <w:iCs/>
          <w:color w:val="000000" w:themeColor="text1"/>
          <w:szCs w:val="26"/>
        </w:rPr>
      </w:pPr>
      <w:r>
        <w:rPr>
          <w:rFonts w:cstheme="minorHAnsi"/>
          <w:iCs/>
          <w:color w:val="000000" w:themeColor="text1"/>
          <w:szCs w:val="26"/>
        </w:rPr>
        <w:t>SPM #</w:t>
      </w:r>
      <w:r w:rsidRPr="00300DF6" w:rsidR="008F2C2B">
        <w:rPr>
          <w:rFonts w:cstheme="minorHAnsi"/>
          <w:iCs/>
          <w:color w:val="000000" w:themeColor="text1"/>
          <w:szCs w:val="26"/>
        </w:rPr>
        <w:t>30</w:t>
      </w:r>
      <w:r w:rsidR="00875412">
        <w:rPr>
          <w:rFonts w:cstheme="minorHAnsi"/>
          <w:iCs/>
          <w:color w:val="000000" w:themeColor="text1"/>
          <w:szCs w:val="26"/>
        </w:rPr>
        <w:t>:</w:t>
      </w:r>
      <w:r w:rsidRPr="00300DF6" w:rsidR="008F2C2B">
        <w:rPr>
          <w:rFonts w:cstheme="minorHAnsi"/>
          <w:iCs/>
          <w:color w:val="000000" w:themeColor="text1"/>
          <w:szCs w:val="26"/>
        </w:rPr>
        <w:t xml:space="preserve"> </w:t>
      </w:r>
      <w:r w:rsidR="00875412">
        <w:rPr>
          <w:rFonts w:cstheme="minorHAnsi"/>
          <w:iCs/>
          <w:color w:val="000000" w:themeColor="text1"/>
          <w:szCs w:val="26"/>
        </w:rPr>
        <w:t xml:space="preserve"> </w:t>
      </w:r>
      <w:r w:rsidRPr="004A6F55" w:rsidR="008F2C2B">
        <w:rPr>
          <w:szCs w:val="26"/>
        </w:rPr>
        <w:t>Wires</w:t>
      </w:r>
      <w:r w:rsidRPr="00300DF6" w:rsidR="008F2C2B">
        <w:rPr>
          <w:rFonts w:cstheme="minorHAnsi"/>
          <w:iCs/>
          <w:color w:val="000000" w:themeColor="text1"/>
          <w:szCs w:val="26"/>
        </w:rPr>
        <w:t xml:space="preserve"> Down Remaining Energized</w:t>
      </w:r>
    </w:p>
    <w:p w:rsidRPr="00300DF6" w:rsidR="00E87B73" w:rsidP="00142E2E" w:rsidRDefault="003A1361" w14:paraId="4179E8E1" w14:textId="24726DEF">
      <w:pPr>
        <w:pStyle w:val="Standard"/>
        <w:numPr>
          <w:ilvl w:val="0"/>
          <w:numId w:val="23"/>
        </w:numPr>
        <w:spacing w:after="120" w:line="240" w:lineRule="auto"/>
        <w:ind w:left="1080" w:right="1440"/>
        <w:rPr>
          <w:rFonts w:eastAsiaTheme="minorHAnsi" w:cstheme="minorHAnsi"/>
          <w:b/>
          <w:color w:val="000000" w:themeColor="text1"/>
          <w:szCs w:val="26"/>
        </w:rPr>
      </w:pPr>
      <w:r>
        <w:rPr>
          <w:rFonts w:eastAsiaTheme="minorHAnsi" w:cstheme="minorHAnsi"/>
          <w:color w:val="000000" w:themeColor="text1"/>
          <w:szCs w:val="26"/>
        </w:rPr>
        <w:t>SPM #</w:t>
      </w:r>
      <w:r w:rsidRPr="00300DF6" w:rsidR="00E87B73">
        <w:rPr>
          <w:rFonts w:eastAsiaTheme="minorHAnsi" w:cstheme="minorHAnsi"/>
          <w:color w:val="000000" w:themeColor="text1"/>
          <w:szCs w:val="26"/>
        </w:rPr>
        <w:t>31</w:t>
      </w:r>
      <w:r w:rsidR="00875412">
        <w:rPr>
          <w:rFonts w:eastAsiaTheme="minorHAnsi" w:cstheme="minorHAnsi"/>
          <w:color w:val="000000" w:themeColor="text1"/>
          <w:szCs w:val="26"/>
        </w:rPr>
        <w:t>:</w:t>
      </w:r>
      <w:r w:rsidRPr="00300DF6" w:rsidR="00E87B73">
        <w:rPr>
          <w:rFonts w:eastAsiaTheme="minorHAnsi" w:cstheme="minorHAnsi"/>
          <w:color w:val="000000" w:themeColor="text1"/>
          <w:szCs w:val="26"/>
        </w:rPr>
        <w:t xml:space="preserve"> </w:t>
      </w:r>
      <w:r w:rsidR="00875412">
        <w:rPr>
          <w:rFonts w:eastAsiaTheme="minorHAnsi" w:cstheme="minorHAnsi"/>
          <w:color w:val="000000" w:themeColor="text1"/>
          <w:szCs w:val="26"/>
        </w:rPr>
        <w:t xml:space="preserve"> </w:t>
      </w:r>
      <w:r w:rsidRPr="004A6F55" w:rsidR="00E87B73">
        <w:rPr>
          <w:szCs w:val="26"/>
        </w:rPr>
        <w:t>Wires</w:t>
      </w:r>
      <w:r w:rsidRPr="00300DF6" w:rsidR="00E87B73">
        <w:rPr>
          <w:rFonts w:eastAsiaTheme="minorHAnsi" w:cstheme="minorHAnsi"/>
          <w:color w:val="000000" w:themeColor="text1"/>
          <w:szCs w:val="26"/>
        </w:rPr>
        <w:t xml:space="preserve"> Down Root Cause Analysis</w:t>
      </w:r>
    </w:p>
    <w:p w:rsidRPr="00300DF6" w:rsidR="009B5C30" w:rsidP="00142E2E" w:rsidRDefault="003A1361" w14:paraId="79A81403" w14:textId="698A0D9D">
      <w:pPr>
        <w:pStyle w:val="Standard"/>
        <w:numPr>
          <w:ilvl w:val="0"/>
          <w:numId w:val="23"/>
        </w:numPr>
        <w:spacing w:after="120" w:line="240" w:lineRule="auto"/>
        <w:ind w:left="1080" w:right="1440"/>
        <w:rPr>
          <w:rFonts w:eastAsiaTheme="minorHAnsi" w:cstheme="minorHAnsi"/>
          <w:b/>
          <w:color w:val="000000" w:themeColor="text1"/>
          <w:szCs w:val="26"/>
        </w:rPr>
      </w:pPr>
      <w:r>
        <w:rPr>
          <w:rFonts w:eastAsiaTheme="minorHAnsi" w:cstheme="minorHAnsi"/>
          <w:color w:val="000000" w:themeColor="text1"/>
          <w:szCs w:val="26"/>
        </w:rPr>
        <w:t>SPM #</w:t>
      </w:r>
      <w:r w:rsidRPr="00300DF6" w:rsidR="009B5C30">
        <w:rPr>
          <w:rFonts w:eastAsiaTheme="minorHAnsi" w:cstheme="minorHAnsi"/>
          <w:color w:val="000000" w:themeColor="text1"/>
          <w:szCs w:val="26"/>
        </w:rPr>
        <w:t>32</w:t>
      </w:r>
      <w:r w:rsidR="00875412">
        <w:rPr>
          <w:rFonts w:eastAsiaTheme="minorHAnsi" w:cstheme="minorHAnsi"/>
          <w:color w:val="000000" w:themeColor="text1"/>
          <w:szCs w:val="26"/>
        </w:rPr>
        <w:t>:</w:t>
      </w:r>
      <w:r w:rsidRPr="00300DF6" w:rsidR="009B5C30">
        <w:rPr>
          <w:rFonts w:eastAsiaTheme="minorHAnsi" w:cstheme="minorHAnsi"/>
          <w:color w:val="000000" w:themeColor="text1"/>
          <w:szCs w:val="26"/>
        </w:rPr>
        <w:t xml:space="preserve"> </w:t>
      </w:r>
      <w:r w:rsidR="00875412">
        <w:rPr>
          <w:rFonts w:eastAsiaTheme="minorHAnsi" w:cstheme="minorHAnsi"/>
          <w:color w:val="000000" w:themeColor="text1"/>
          <w:szCs w:val="26"/>
        </w:rPr>
        <w:t xml:space="preserve"> </w:t>
      </w:r>
      <w:r w:rsidRPr="004A6F55" w:rsidR="009B5C30">
        <w:rPr>
          <w:szCs w:val="26"/>
        </w:rPr>
        <w:t>Wires</w:t>
      </w:r>
      <w:r w:rsidRPr="00300DF6" w:rsidR="009B5C30">
        <w:rPr>
          <w:rFonts w:eastAsiaTheme="minorHAnsi" w:cstheme="minorHAnsi"/>
          <w:color w:val="000000" w:themeColor="text1"/>
          <w:szCs w:val="26"/>
        </w:rPr>
        <w:t xml:space="preserve"> Down by Cause</w:t>
      </w:r>
    </w:p>
    <w:p w:rsidRPr="00300DF6" w:rsidR="001B7005" w:rsidP="00142E2E" w:rsidRDefault="003A1361" w14:paraId="38FD323C" w14:textId="1173400A">
      <w:pPr>
        <w:pStyle w:val="Standard"/>
        <w:numPr>
          <w:ilvl w:val="0"/>
          <w:numId w:val="23"/>
        </w:numPr>
        <w:spacing w:after="120" w:line="240" w:lineRule="auto"/>
        <w:ind w:left="1080" w:right="1440"/>
        <w:rPr>
          <w:rFonts w:eastAsiaTheme="minorHAnsi" w:cstheme="minorHAnsi"/>
          <w:b/>
          <w:color w:val="000000" w:themeColor="text1"/>
          <w:szCs w:val="26"/>
        </w:rPr>
      </w:pPr>
      <w:r>
        <w:rPr>
          <w:rFonts w:eastAsiaTheme="minorHAnsi" w:cstheme="minorHAnsi"/>
          <w:color w:val="000000" w:themeColor="text1"/>
          <w:szCs w:val="26"/>
        </w:rPr>
        <w:t>SPM #</w:t>
      </w:r>
      <w:r w:rsidRPr="00300DF6" w:rsidR="001B7005">
        <w:rPr>
          <w:rFonts w:eastAsiaTheme="minorHAnsi" w:cstheme="minorHAnsi"/>
          <w:color w:val="000000" w:themeColor="text1"/>
          <w:szCs w:val="26"/>
        </w:rPr>
        <w:t>33</w:t>
      </w:r>
      <w:r w:rsidR="00875412">
        <w:rPr>
          <w:rFonts w:eastAsiaTheme="minorHAnsi" w:cstheme="minorHAnsi"/>
          <w:color w:val="000000" w:themeColor="text1"/>
          <w:szCs w:val="26"/>
        </w:rPr>
        <w:t>:</w:t>
      </w:r>
      <w:r w:rsidRPr="00300DF6" w:rsidR="001B7005">
        <w:rPr>
          <w:rFonts w:eastAsiaTheme="minorHAnsi" w:cstheme="minorHAnsi"/>
          <w:color w:val="000000" w:themeColor="text1"/>
          <w:szCs w:val="26"/>
        </w:rPr>
        <w:t xml:space="preserve"> </w:t>
      </w:r>
      <w:r w:rsidR="00875412">
        <w:rPr>
          <w:rFonts w:eastAsiaTheme="minorHAnsi" w:cstheme="minorHAnsi"/>
          <w:color w:val="000000" w:themeColor="text1"/>
          <w:szCs w:val="26"/>
        </w:rPr>
        <w:t xml:space="preserve"> </w:t>
      </w:r>
      <w:r w:rsidRPr="004A6F55" w:rsidR="001B7005">
        <w:rPr>
          <w:szCs w:val="26"/>
        </w:rPr>
        <w:t>Missed</w:t>
      </w:r>
      <w:r w:rsidRPr="00300DF6" w:rsidR="001B7005">
        <w:rPr>
          <w:rFonts w:eastAsiaTheme="minorHAnsi" w:cstheme="minorHAnsi"/>
          <w:color w:val="000000" w:themeColor="text1"/>
          <w:szCs w:val="26"/>
        </w:rPr>
        <w:t xml:space="preserve"> Inspections and Patrols for Electric Circuits</w:t>
      </w:r>
    </w:p>
    <w:p w:rsidRPr="00300DF6" w:rsidR="0043599A" w:rsidP="00142E2E" w:rsidRDefault="003A1361" w14:paraId="212C93D0" w14:textId="782FC038">
      <w:pPr>
        <w:pStyle w:val="Standard"/>
        <w:numPr>
          <w:ilvl w:val="0"/>
          <w:numId w:val="23"/>
        </w:numPr>
        <w:spacing w:after="120" w:line="240" w:lineRule="auto"/>
        <w:ind w:left="1080" w:right="1440"/>
        <w:rPr>
          <w:rFonts w:eastAsiaTheme="minorHAnsi" w:cstheme="minorHAnsi"/>
          <w:b/>
          <w:color w:val="000000" w:themeColor="text1"/>
          <w:szCs w:val="26"/>
        </w:rPr>
      </w:pPr>
      <w:r>
        <w:rPr>
          <w:rFonts w:eastAsiaTheme="minorHAnsi" w:cstheme="minorHAnsi"/>
          <w:color w:val="000000" w:themeColor="text1"/>
          <w:szCs w:val="26"/>
        </w:rPr>
        <w:t>SPM #</w:t>
      </w:r>
      <w:r w:rsidRPr="00300DF6" w:rsidR="0043599A">
        <w:rPr>
          <w:rFonts w:eastAsiaTheme="minorHAnsi" w:cstheme="minorHAnsi"/>
          <w:color w:val="000000" w:themeColor="text1"/>
          <w:szCs w:val="26"/>
        </w:rPr>
        <w:t>34</w:t>
      </w:r>
      <w:r w:rsidR="00875412">
        <w:rPr>
          <w:rFonts w:eastAsiaTheme="minorHAnsi" w:cstheme="minorHAnsi"/>
          <w:color w:val="000000" w:themeColor="text1"/>
          <w:szCs w:val="26"/>
        </w:rPr>
        <w:t xml:space="preserve">: </w:t>
      </w:r>
      <w:r w:rsidRPr="00300DF6" w:rsidR="0043599A">
        <w:rPr>
          <w:rFonts w:eastAsiaTheme="minorHAnsi" w:cstheme="minorHAnsi"/>
          <w:color w:val="000000" w:themeColor="text1"/>
          <w:szCs w:val="26"/>
        </w:rPr>
        <w:t xml:space="preserve"> </w:t>
      </w:r>
      <w:r w:rsidRPr="004A6F55" w:rsidR="0043599A">
        <w:rPr>
          <w:szCs w:val="26"/>
        </w:rPr>
        <w:t>Missed</w:t>
      </w:r>
      <w:r w:rsidRPr="00300DF6" w:rsidR="0043599A">
        <w:rPr>
          <w:rFonts w:eastAsiaTheme="minorHAnsi" w:cstheme="minorHAnsi"/>
          <w:color w:val="000000" w:themeColor="text1"/>
          <w:szCs w:val="26"/>
        </w:rPr>
        <w:t xml:space="preserve"> Vegetation Management Inspections</w:t>
      </w:r>
    </w:p>
    <w:p w:rsidRPr="00300DF6" w:rsidR="00693C52" w:rsidP="00142E2E" w:rsidRDefault="003A1361" w14:paraId="5EB6CA5E" w14:textId="7D86DA65">
      <w:pPr>
        <w:pStyle w:val="Standard"/>
        <w:numPr>
          <w:ilvl w:val="0"/>
          <w:numId w:val="23"/>
        </w:numPr>
        <w:spacing w:after="120" w:line="240" w:lineRule="auto"/>
        <w:ind w:left="1080" w:right="1440"/>
        <w:rPr>
          <w:rFonts w:eastAsiaTheme="minorHAnsi" w:cstheme="minorHAnsi"/>
          <w:b/>
          <w:color w:val="000000" w:themeColor="text1"/>
          <w:szCs w:val="26"/>
        </w:rPr>
      </w:pPr>
      <w:r>
        <w:rPr>
          <w:rFonts w:eastAsiaTheme="minorHAnsi" w:cstheme="minorHAnsi"/>
          <w:color w:val="000000" w:themeColor="text1"/>
          <w:szCs w:val="26"/>
        </w:rPr>
        <w:t>SPM #</w:t>
      </w:r>
      <w:r w:rsidRPr="00300DF6" w:rsidR="00693C52">
        <w:rPr>
          <w:rFonts w:eastAsiaTheme="minorHAnsi" w:cstheme="minorHAnsi"/>
          <w:color w:val="000000" w:themeColor="text1"/>
          <w:szCs w:val="26"/>
        </w:rPr>
        <w:t>35</w:t>
      </w:r>
      <w:r w:rsidR="00875412">
        <w:rPr>
          <w:rFonts w:eastAsiaTheme="minorHAnsi" w:cstheme="minorHAnsi"/>
          <w:color w:val="000000" w:themeColor="text1"/>
          <w:szCs w:val="26"/>
        </w:rPr>
        <w:t>:</w:t>
      </w:r>
      <w:r w:rsidRPr="00300DF6" w:rsidR="00693C52">
        <w:rPr>
          <w:rFonts w:eastAsiaTheme="minorHAnsi" w:cstheme="minorHAnsi"/>
          <w:color w:val="000000" w:themeColor="text1"/>
          <w:szCs w:val="26"/>
        </w:rPr>
        <w:t xml:space="preserve">  </w:t>
      </w:r>
      <w:r w:rsidRPr="004A6F55" w:rsidR="00693C52">
        <w:rPr>
          <w:szCs w:val="26"/>
        </w:rPr>
        <w:t>Overhead</w:t>
      </w:r>
      <w:r w:rsidRPr="00300DF6" w:rsidR="00693C52">
        <w:rPr>
          <w:rFonts w:eastAsiaTheme="minorHAnsi" w:cstheme="minorHAnsi"/>
          <w:color w:val="000000" w:themeColor="text1"/>
          <w:szCs w:val="26"/>
        </w:rPr>
        <w:t xml:space="preserve"> Conductor Wire Size Compliance in HFTD</w:t>
      </w:r>
    </w:p>
    <w:p w:rsidRPr="00300DF6" w:rsidR="00B25E70" w:rsidP="00142E2E" w:rsidRDefault="003A1361" w14:paraId="38590DD1" w14:textId="666EEAA6">
      <w:pPr>
        <w:pStyle w:val="Standard"/>
        <w:numPr>
          <w:ilvl w:val="0"/>
          <w:numId w:val="23"/>
        </w:numPr>
        <w:spacing w:after="120" w:line="240" w:lineRule="auto"/>
        <w:ind w:left="1080" w:right="1440"/>
        <w:rPr>
          <w:rFonts w:eastAsiaTheme="minorHAnsi" w:cstheme="minorHAnsi"/>
          <w:b/>
          <w:color w:val="000000" w:themeColor="text1"/>
          <w:szCs w:val="26"/>
        </w:rPr>
      </w:pPr>
      <w:r>
        <w:rPr>
          <w:rFonts w:eastAsiaTheme="minorHAnsi" w:cstheme="minorHAnsi"/>
          <w:color w:val="000000" w:themeColor="text1"/>
          <w:szCs w:val="26"/>
        </w:rPr>
        <w:t>SPM #</w:t>
      </w:r>
      <w:r w:rsidRPr="00300DF6" w:rsidR="00B25E70">
        <w:rPr>
          <w:rFonts w:eastAsiaTheme="minorHAnsi" w:cstheme="minorHAnsi"/>
          <w:color w:val="000000" w:themeColor="text1"/>
          <w:szCs w:val="26"/>
        </w:rPr>
        <w:t>36</w:t>
      </w:r>
      <w:r w:rsidR="00875412">
        <w:rPr>
          <w:rFonts w:eastAsiaTheme="minorHAnsi" w:cstheme="minorHAnsi"/>
          <w:color w:val="000000" w:themeColor="text1"/>
          <w:szCs w:val="26"/>
        </w:rPr>
        <w:t>:</w:t>
      </w:r>
      <w:r w:rsidRPr="00300DF6" w:rsidR="00B25E70">
        <w:rPr>
          <w:rFonts w:eastAsiaTheme="minorHAnsi" w:cstheme="minorHAnsi"/>
          <w:color w:val="000000" w:themeColor="text1"/>
          <w:szCs w:val="26"/>
        </w:rPr>
        <w:t xml:space="preserve"> </w:t>
      </w:r>
      <w:r w:rsidR="00875412">
        <w:rPr>
          <w:rFonts w:eastAsiaTheme="minorHAnsi" w:cstheme="minorHAnsi"/>
          <w:color w:val="000000" w:themeColor="text1"/>
          <w:szCs w:val="26"/>
        </w:rPr>
        <w:t xml:space="preserve"> </w:t>
      </w:r>
      <w:r w:rsidRPr="00300DF6" w:rsidR="00B25E70">
        <w:rPr>
          <w:rFonts w:eastAsiaTheme="minorHAnsi" w:cstheme="minorHAnsi"/>
          <w:color w:val="000000" w:themeColor="text1"/>
          <w:szCs w:val="26"/>
        </w:rPr>
        <w:t>Overhead Conductor Wire Size Compliance in non-HFTD</w:t>
      </w:r>
    </w:p>
    <w:p w:rsidRPr="00300DF6" w:rsidR="005C7B80" w:rsidP="00142E2E" w:rsidRDefault="003A1361" w14:paraId="40A63791" w14:textId="1A073C18">
      <w:pPr>
        <w:pStyle w:val="Standard"/>
        <w:numPr>
          <w:ilvl w:val="0"/>
          <w:numId w:val="23"/>
        </w:numPr>
        <w:spacing w:after="120" w:line="240" w:lineRule="auto"/>
        <w:ind w:left="1080" w:right="1440"/>
        <w:rPr>
          <w:rFonts w:eastAsiaTheme="minorHAnsi" w:cstheme="minorHAnsi"/>
          <w:b/>
          <w:color w:val="000000" w:themeColor="text1"/>
          <w:szCs w:val="26"/>
        </w:rPr>
      </w:pPr>
      <w:r>
        <w:rPr>
          <w:rFonts w:eastAsiaTheme="minorHAnsi" w:cstheme="minorHAnsi"/>
          <w:color w:val="000000" w:themeColor="text1"/>
          <w:szCs w:val="26"/>
        </w:rPr>
        <w:t>SPM #</w:t>
      </w:r>
      <w:r w:rsidRPr="00300DF6" w:rsidR="005C7B80">
        <w:rPr>
          <w:rFonts w:eastAsiaTheme="minorHAnsi" w:cstheme="minorHAnsi"/>
          <w:color w:val="000000" w:themeColor="text1"/>
          <w:szCs w:val="26"/>
        </w:rPr>
        <w:t>37</w:t>
      </w:r>
      <w:r w:rsidR="00875412">
        <w:rPr>
          <w:rFonts w:eastAsiaTheme="minorHAnsi" w:cstheme="minorHAnsi"/>
          <w:color w:val="000000" w:themeColor="text1"/>
          <w:szCs w:val="26"/>
        </w:rPr>
        <w:t>:</w:t>
      </w:r>
      <w:r w:rsidRPr="00300DF6" w:rsidR="005C7B80">
        <w:rPr>
          <w:rFonts w:eastAsiaTheme="minorHAnsi" w:cstheme="minorHAnsi"/>
          <w:color w:val="000000" w:themeColor="text1"/>
          <w:szCs w:val="26"/>
        </w:rPr>
        <w:t xml:space="preserve"> </w:t>
      </w:r>
      <w:r w:rsidR="00875412">
        <w:rPr>
          <w:rFonts w:eastAsiaTheme="minorHAnsi" w:cstheme="minorHAnsi"/>
          <w:color w:val="000000" w:themeColor="text1"/>
          <w:szCs w:val="26"/>
        </w:rPr>
        <w:t xml:space="preserve"> </w:t>
      </w:r>
      <w:r w:rsidRPr="00300DF6" w:rsidR="005C7B80">
        <w:rPr>
          <w:rFonts w:eastAsiaTheme="minorHAnsi" w:cstheme="minorHAnsi"/>
          <w:color w:val="000000" w:themeColor="text1"/>
          <w:szCs w:val="26"/>
        </w:rPr>
        <w:t xml:space="preserve">Infrared </w:t>
      </w:r>
      <w:r w:rsidRPr="004A6F55" w:rsidR="005C7B80">
        <w:rPr>
          <w:szCs w:val="26"/>
        </w:rPr>
        <w:t>Inspections</w:t>
      </w:r>
      <w:r w:rsidRPr="00300DF6" w:rsidR="005C7B80">
        <w:rPr>
          <w:rFonts w:eastAsiaTheme="minorHAnsi" w:cstheme="minorHAnsi"/>
          <w:color w:val="000000" w:themeColor="text1"/>
          <w:szCs w:val="26"/>
        </w:rPr>
        <w:t xml:space="preserve"> on Electric Distribution Circuits in HFTD</w:t>
      </w:r>
    </w:p>
    <w:p w:rsidRPr="00300DF6" w:rsidR="00364C62" w:rsidP="00142E2E" w:rsidRDefault="003A1361" w14:paraId="230777F2" w14:textId="7E036CC3">
      <w:pPr>
        <w:pStyle w:val="Standard"/>
        <w:numPr>
          <w:ilvl w:val="0"/>
          <w:numId w:val="23"/>
        </w:numPr>
        <w:spacing w:after="120" w:line="240" w:lineRule="auto"/>
        <w:ind w:left="1080" w:right="1440"/>
        <w:rPr>
          <w:rFonts w:eastAsiaTheme="minorHAnsi" w:cstheme="minorHAnsi"/>
          <w:b/>
          <w:color w:val="000000" w:themeColor="text1"/>
          <w:szCs w:val="26"/>
        </w:rPr>
      </w:pPr>
      <w:r>
        <w:rPr>
          <w:rFonts w:eastAsiaTheme="minorHAnsi" w:cstheme="minorHAnsi"/>
          <w:color w:val="000000" w:themeColor="text1"/>
          <w:szCs w:val="26"/>
        </w:rPr>
        <w:t>SPM #</w:t>
      </w:r>
      <w:r w:rsidRPr="00300DF6" w:rsidR="00364C62">
        <w:rPr>
          <w:rFonts w:eastAsiaTheme="minorHAnsi" w:cstheme="minorHAnsi"/>
          <w:color w:val="000000" w:themeColor="text1"/>
          <w:szCs w:val="26"/>
        </w:rPr>
        <w:t>38</w:t>
      </w:r>
      <w:r w:rsidR="00875412">
        <w:rPr>
          <w:rFonts w:eastAsiaTheme="minorHAnsi" w:cstheme="minorHAnsi"/>
          <w:color w:val="000000" w:themeColor="text1"/>
          <w:szCs w:val="26"/>
        </w:rPr>
        <w:t>:</w:t>
      </w:r>
      <w:r w:rsidRPr="00300DF6" w:rsidR="00364C62">
        <w:rPr>
          <w:rFonts w:eastAsiaTheme="minorHAnsi" w:cstheme="minorHAnsi"/>
          <w:color w:val="000000" w:themeColor="text1"/>
          <w:szCs w:val="26"/>
        </w:rPr>
        <w:t xml:space="preserve"> </w:t>
      </w:r>
      <w:r w:rsidR="00875412">
        <w:rPr>
          <w:rFonts w:eastAsiaTheme="minorHAnsi" w:cstheme="minorHAnsi"/>
          <w:color w:val="000000" w:themeColor="text1"/>
          <w:szCs w:val="26"/>
        </w:rPr>
        <w:t xml:space="preserve"> </w:t>
      </w:r>
      <w:r w:rsidRPr="00300DF6" w:rsidR="00364C62">
        <w:rPr>
          <w:rFonts w:eastAsiaTheme="minorHAnsi" w:cstheme="minorHAnsi"/>
          <w:color w:val="000000" w:themeColor="text1"/>
          <w:szCs w:val="26"/>
        </w:rPr>
        <w:t xml:space="preserve">System </w:t>
      </w:r>
      <w:r w:rsidRPr="004A6F55" w:rsidR="00364C62">
        <w:rPr>
          <w:szCs w:val="26"/>
        </w:rPr>
        <w:t>Hardening</w:t>
      </w:r>
      <w:r w:rsidRPr="00300DF6" w:rsidR="00364C62">
        <w:rPr>
          <w:rFonts w:eastAsiaTheme="minorHAnsi" w:cstheme="minorHAnsi"/>
          <w:color w:val="000000" w:themeColor="text1"/>
          <w:szCs w:val="26"/>
        </w:rPr>
        <w:t xml:space="preserve"> in HFTD Areas</w:t>
      </w:r>
    </w:p>
    <w:p w:rsidRPr="00300DF6" w:rsidR="0006605D" w:rsidP="00142E2E" w:rsidRDefault="003A1361" w14:paraId="28145861" w14:textId="1384B597">
      <w:pPr>
        <w:pStyle w:val="Standard"/>
        <w:numPr>
          <w:ilvl w:val="0"/>
          <w:numId w:val="23"/>
        </w:numPr>
        <w:spacing w:after="120" w:line="240" w:lineRule="auto"/>
        <w:ind w:left="1080" w:right="1440"/>
        <w:rPr>
          <w:rFonts w:eastAsiaTheme="minorHAnsi" w:cstheme="minorHAnsi"/>
          <w:b/>
          <w:color w:val="000000" w:themeColor="text1"/>
          <w:szCs w:val="26"/>
        </w:rPr>
      </w:pPr>
      <w:r>
        <w:rPr>
          <w:rFonts w:eastAsiaTheme="minorHAnsi" w:cstheme="minorHAnsi"/>
          <w:color w:val="000000" w:themeColor="text1"/>
          <w:szCs w:val="26"/>
        </w:rPr>
        <w:lastRenderedPageBreak/>
        <w:t xml:space="preserve">SPM # </w:t>
      </w:r>
      <w:r w:rsidRPr="00300DF6" w:rsidR="0006605D">
        <w:rPr>
          <w:rFonts w:eastAsiaTheme="minorHAnsi" w:cstheme="minorHAnsi"/>
          <w:color w:val="000000" w:themeColor="text1"/>
          <w:szCs w:val="26"/>
        </w:rPr>
        <w:t>39</w:t>
      </w:r>
      <w:r w:rsidR="00875412">
        <w:rPr>
          <w:rFonts w:eastAsiaTheme="minorHAnsi" w:cstheme="minorHAnsi"/>
          <w:color w:val="000000" w:themeColor="text1"/>
          <w:szCs w:val="26"/>
        </w:rPr>
        <w:t>:</w:t>
      </w:r>
      <w:r w:rsidRPr="00300DF6" w:rsidR="0006605D">
        <w:rPr>
          <w:rFonts w:eastAsiaTheme="minorHAnsi" w:cstheme="minorHAnsi"/>
          <w:color w:val="000000" w:themeColor="text1"/>
          <w:szCs w:val="26"/>
        </w:rPr>
        <w:t xml:space="preserve"> </w:t>
      </w:r>
      <w:r w:rsidR="00875412">
        <w:rPr>
          <w:rFonts w:eastAsiaTheme="minorHAnsi" w:cstheme="minorHAnsi"/>
          <w:color w:val="000000" w:themeColor="text1"/>
          <w:szCs w:val="26"/>
        </w:rPr>
        <w:t xml:space="preserve"> </w:t>
      </w:r>
      <w:r w:rsidRPr="00300DF6" w:rsidR="0006605D">
        <w:rPr>
          <w:rFonts w:eastAsiaTheme="minorHAnsi" w:cstheme="minorHAnsi"/>
          <w:color w:val="000000" w:themeColor="text1"/>
          <w:szCs w:val="26"/>
        </w:rPr>
        <w:t xml:space="preserve">System </w:t>
      </w:r>
      <w:r w:rsidRPr="004A6F55" w:rsidR="0006605D">
        <w:rPr>
          <w:szCs w:val="26"/>
        </w:rPr>
        <w:t>Undergrounding</w:t>
      </w:r>
      <w:r w:rsidRPr="00300DF6" w:rsidR="0006605D">
        <w:rPr>
          <w:rFonts w:eastAsiaTheme="minorHAnsi" w:cstheme="minorHAnsi"/>
          <w:color w:val="000000" w:themeColor="text1"/>
          <w:szCs w:val="26"/>
        </w:rPr>
        <w:t xml:space="preserve"> in HFTD Areas</w:t>
      </w:r>
    </w:p>
    <w:p w:rsidRPr="00300DF6" w:rsidR="00E52ED7" w:rsidP="00142E2E" w:rsidRDefault="003A1361" w14:paraId="25677BFA" w14:textId="4515AA34">
      <w:pPr>
        <w:pStyle w:val="Standard"/>
        <w:numPr>
          <w:ilvl w:val="0"/>
          <w:numId w:val="23"/>
        </w:numPr>
        <w:spacing w:after="120" w:line="240" w:lineRule="auto"/>
        <w:ind w:left="1080" w:right="1440"/>
        <w:rPr>
          <w:rFonts w:eastAsiaTheme="minorHAnsi" w:cstheme="minorHAnsi"/>
          <w:b/>
          <w:color w:val="000000" w:themeColor="text1"/>
          <w:szCs w:val="26"/>
        </w:rPr>
      </w:pPr>
      <w:r>
        <w:rPr>
          <w:rFonts w:eastAsiaTheme="minorHAnsi" w:cstheme="minorHAnsi"/>
          <w:color w:val="000000" w:themeColor="text1"/>
          <w:szCs w:val="26"/>
        </w:rPr>
        <w:t>SPM #</w:t>
      </w:r>
      <w:r w:rsidRPr="00300DF6" w:rsidR="00E52ED7">
        <w:rPr>
          <w:rFonts w:eastAsiaTheme="minorHAnsi" w:cstheme="minorHAnsi"/>
          <w:color w:val="000000" w:themeColor="text1"/>
          <w:szCs w:val="26"/>
        </w:rPr>
        <w:t>40</w:t>
      </w:r>
      <w:r w:rsidR="00875412">
        <w:rPr>
          <w:rFonts w:eastAsiaTheme="minorHAnsi" w:cstheme="minorHAnsi"/>
          <w:color w:val="000000" w:themeColor="text1"/>
          <w:szCs w:val="26"/>
        </w:rPr>
        <w:t>:</w:t>
      </w:r>
      <w:r w:rsidRPr="00300DF6" w:rsidR="00E52ED7">
        <w:rPr>
          <w:rFonts w:eastAsiaTheme="minorHAnsi" w:cstheme="minorHAnsi"/>
          <w:color w:val="000000" w:themeColor="text1"/>
          <w:szCs w:val="26"/>
        </w:rPr>
        <w:t xml:space="preserve"> </w:t>
      </w:r>
      <w:r w:rsidR="00875412">
        <w:rPr>
          <w:rFonts w:eastAsiaTheme="minorHAnsi" w:cstheme="minorHAnsi"/>
          <w:color w:val="000000" w:themeColor="text1"/>
          <w:szCs w:val="26"/>
        </w:rPr>
        <w:t xml:space="preserve"> </w:t>
      </w:r>
      <w:r w:rsidRPr="004A6F55" w:rsidR="00E52ED7">
        <w:rPr>
          <w:szCs w:val="26"/>
        </w:rPr>
        <w:t>Enhanced</w:t>
      </w:r>
      <w:r w:rsidRPr="00300DF6" w:rsidR="00E52ED7">
        <w:rPr>
          <w:rFonts w:eastAsiaTheme="minorHAnsi" w:cstheme="minorHAnsi"/>
          <w:color w:val="000000" w:themeColor="text1"/>
          <w:szCs w:val="26"/>
        </w:rPr>
        <w:t xml:space="preserve"> Vegetation Management Work Completed</w:t>
      </w:r>
    </w:p>
    <w:p w:rsidRPr="00300DF6" w:rsidR="0066741D" w:rsidP="00142E2E" w:rsidRDefault="003A1361" w14:paraId="3BF970BA" w14:textId="32739A2F">
      <w:pPr>
        <w:pStyle w:val="Standard"/>
        <w:numPr>
          <w:ilvl w:val="0"/>
          <w:numId w:val="23"/>
        </w:numPr>
        <w:spacing w:after="120" w:line="240" w:lineRule="auto"/>
        <w:ind w:left="1080" w:right="1440"/>
        <w:rPr>
          <w:rFonts w:eastAsiaTheme="minorHAnsi" w:cstheme="minorHAnsi"/>
          <w:b/>
          <w:szCs w:val="26"/>
        </w:rPr>
      </w:pPr>
      <w:r>
        <w:rPr>
          <w:rFonts w:eastAsiaTheme="minorHAnsi" w:cstheme="minorHAnsi"/>
          <w:szCs w:val="26"/>
        </w:rPr>
        <w:t>SPM #</w:t>
      </w:r>
      <w:r w:rsidRPr="00300DF6" w:rsidR="0066741D">
        <w:rPr>
          <w:rFonts w:eastAsiaTheme="minorHAnsi" w:cstheme="minorHAnsi"/>
          <w:szCs w:val="26"/>
        </w:rPr>
        <w:t>41</w:t>
      </w:r>
      <w:r w:rsidR="00875412">
        <w:rPr>
          <w:rFonts w:eastAsiaTheme="minorHAnsi" w:cstheme="minorHAnsi"/>
          <w:szCs w:val="26"/>
        </w:rPr>
        <w:t>:</w:t>
      </w:r>
      <w:r w:rsidRPr="00300DF6" w:rsidR="0066741D">
        <w:rPr>
          <w:rFonts w:eastAsiaTheme="minorHAnsi" w:cstheme="minorHAnsi"/>
          <w:szCs w:val="26"/>
        </w:rPr>
        <w:t xml:space="preserve"> </w:t>
      </w:r>
      <w:r w:rsidR="00875412">
        <w:rPr>
          <w:rFonts w:eastAsiaTheme="minorHAnsi" w:cstheme="minorHAnsi"/>
          <w:szCs w:val="26"/>
        </w:rPr>
        <w:t xml:space="preserve"> </w:t>
      </w:r>
      <w:r w:rsidRPr="00300DF6" w:rsidR="0066741D">
        <w:rPr>
          <w:rFonts w:eastAsiaTheme="minorHAnsi" w:cstheme="minorHAnsi"/>
          <w:szCs w:val="26"/>
        </w:rPr>
        <w:t xml:space="preserve">Work Order </w:t>
      </w:r>
      <w:r w:rsidRPr="004A6F55" w:rsidR="0066741D">
        <w:rPr>
          <w:szCs w:val="26"/>
        </w:rPr>
        <w:t>Backlog</w:t>
      </w:r>
    </w:p>
    <w:p w:rsidRPr="00300DF6" w:rsidR="00BD2F80" w:rsidP="00142E2E" w:rsidRDefault="003A1361" w14:paraId="01D158D3" w14:textId="36085210">
      <w:pPr>
        <w:pStyle w:val="Standard"/>
        <w:numPr>
          <w:ilvl w:val="0"/>
          <w:numId w:val="23"/>
        </w:numPr>
        <w:spacing w:after="120" w:line="240" w:lineRule="auto"/>
        <w:ind w:left="1080" w:right="1440"/>
        <w:rPr>
          <w:rFonts w:eastAsiaTheme="minorHAnsi" w:cstheme="minorHAnsi"/>
          <w:b/>
          <w:szCs w:val="26"/>
        </w:rPr>
      </w:pPr>
      <w:r>
        <w:rPr>
          <w:rFonts w:eastAsiaTheme="minorHAnsi" w:cstheme="minorHAnsi"/>
          <w:szCs w:val="26"/>
        </w:rPr>
        <w:t>SPM #</w:t>
      </w:r>
      <w:r w:rsidRPr="00300DF6" w:rsidR="00BD2F80">
        <w:rPr>
          <w:rFonts w:eastAsiaTheme="minorHAnsi" w:cstheme="minorHAnsi"/>
          <w:szCs w:val="26"/>
        </w:rPr>
        <w:t>42</w:t>
      </w:r>
      <w:r w:rsidR="00875412">
        <w:rPr>
          <w:rFonts w:eastAsiaTheme="minorHAnsi" w:cstheme="minorHAnsi"/>
          <w:szCs w:val="26"/>
        </w:rPr>
        <w:t>:</w:t>
      </w:r>
      <w:r w:rsidRPr="00300DF6" w:rsidR="00BD2F80">
        <w:rPr>
          <w:rFonts w:eastAsiaTheme="minorHAnsi" w:cstheme="minorHAnsi"/>
          <w:szCs w:val="26"/>
        </w:rPr>
        <w:t xml:space="preserve"> </w:t>
      </w:r>
      <w:r w:rsidR="00875412">
        <w:rPr>
          <w:rFonts w:eastAsiaTheme="minorHAnsi" w:cstheme="minorHAnsi"/>
          <w:szCs w:val="26"/>
        </w:rPr>
        <w:t xml:space="preserve"> </w:t>
      </w:r>
      <w:r w:rsidRPr="00300DF6" w:rsidR="00BD2F80">
        <w:rPr>
          <w:rFonts w:eastAsiaTheme="minorHAnsi" w:cstheme="minorHAnsi"/>
          <w:szCs w:val="26"/>
        </w:rPr>
        <w:t>Electric Work Order Backlog in HFTD</w:t>
      </w:r>
    </w:p>
    <w:p w:rsidRPr="00300DF6" w:rsidR="00C6779B" w:rsidP="00142E2E" w:rsidRDefault="003A1361" w14:paraId="4B779D6A" w14:textId="3421F8EC">
      <w:pPr>
        <w:pStyle w:val="Standard"/>
        <w:numPr>
          <w:ilvl w:val="0"/>
          <w:numId w:val="23"/>
        </w:numPr>
        <w:spacing w:after="120" w:line="240" w:lineRule="auto"/>
        <w:ind w:left="1080" w:right="1440"/>
        <w:rPr>
          <w:rFonts w:eastAsiaTheme="minorHAnsi" w:cstheme="minorHAnsi"/>
          <w:b/>
          <w:color w:val="000000" w:themeColor="text1"/>
          <w:szCs w:val="26"/>
        </w:rPr>
      </w:pPr>
      <w:r>
        <w:rPr>
          <w:rFonts w:eastAsiaTheme="minorHAnsi" w:cstheme="minorHAnsi"/>
          <w:color w:val="000000" w:themeColor="text1"/>
          <w:szCs w:val="26"/>
        </w:rPr>
        <w:t>SPM #</w:t>
      </w:r>
      <w:r w:rsidRPr="00300DF6" w:rsidR="00C6779B">
        <w:rPr>
          <w:rFonts w:eastAsiaTheme="minorHAnsi" w:cstheme="minorHAnsi"/>
          <w:color w:val="000000" w:themeColor="text1"/>
          <w:szCs w:val="26"/>
        </w:rPr>
        <w:t>43</w:t>
      </w:r>
      <w:r w:rsidR="00875412">
        <w:rPr>
          <w:rFonts w:eastAsiaTheme="minorHAnsi" w:cstheme="minorHAnsi"/>
          <w:color w:val="000000" w:themeColor="text1"/>
          <w:szCs w:val="26"/>
        </w:rPr>
        <w:t>:</w:t>
      </w:r>
      <w:r w:rsidRPr="00300DF6" w:rsidR="00C6779B">
        <w:rPr>
          <w:rFonts w:eastAsiaTheme="minorHAnsi" w:cstheme="minorHAnsi"/>
          <w:color w:val="000000" w:themeColor="text1"/>
          <w:szCs w:val="26"/>
        </w:rPr>
        <w:t xml:space="preserve"> </w:t>
      </w:r>
      <w:r w:rsidR="00875412">
        <w:rPr>
          <w:rFonts w:eastAsiaTheme="minorHAnsi" w:cstheme="minorHAnsi"/>
          <w:color w:val="000000" w:themeColor="text1"/>
          <w:szCs w:val="26"/>
        </w:rPr>
        <w:t xml:space="preserve"> </w:t>
      </w:r>
      <w:r w:rsidRPr="00300DF6" w:rsidR="00C6779B">
        <w:rPr>
          <w:rFonts w:eastAsiaTheme="minorHAnsi" w:cstheme="minorHAnsi"/>
          <w:color w:val="000000" w:themeColor="text1"/>
          <w:szCs w:val="26"/>
        </w:rPr>
        <w:t>GO-95 Corrective Actions in HFTDs</w:t>
      </w:r>
    </w:p>
    <w:p w:rsidRPr="00300DF6" w:rsidR="00857783" w:rsidP="00142E2E" w:rsidRDefault="003A1361" w14:paraId="228810A1" w14:textId="59BAB0EF">
      <w:pPr>
        <w:pStyle w:val="Standard"/>
        <w:numPr>
          <w:ilvl w:val="0"/>
          <w:numId w:val="23"/>
        </w:numPr>
        <w:spacing w:after="120" w:line="240" w:lineRule="auto"/>
        <w:ind w:left="1080" w:right="1440"/>
        <w:rPr>
          <w:rFonts w:eastAsiaTheme="minorHAnsi" w:cstheme="minorHAnsi"/>
          <w:b/>
          <w:color w:val="000000" w:themeColor="text1"/>
          <w:szCs w:val="26"/>
        </w:rPr>
      </w:pPr>
      <w:r>
        <w:rPr>
          <w:rFonts w:eastAsiaTheme="minorHAnsi" w:cstheme="minorHAnsi"/>
          <w:color w:val="000000" w:themeColor="text1"/>
          <w:szCs w:val="26"/>
        </w:rPr>
        <w:t>SPM #</w:t>
      </w:r>
      <w:r w:rsidRPr="00300DF6" w:rsidR="00857783">
        <w:rPr>
          <w:rFonts w:eastAsiaTheme="minorHAnsi" w:cstheme="minorHAnsi"/>
          <w:color w:val="000000" w:themeColor="text1"/>
          <w:szCs w:val="26"/>
        </w:rPr>
        <w:t>44</w:t>
      </w:r>
      <w:r w:rsidR="00875412">
        <w:rPr>
          <w:rFonts w:eastAsiaTheme="minorHAnsi" w:cstheme="minorHAnsi"/>
          <w:color w:val="000000" w:themeColor="text1"/>
          <w:szCs w:val="26"/>
        </w:rPr>
        <w:t>:</w:t>
      </w:r>
      <w:r w:rsidRPr="00300DF6" w:rsidR="00857783">
        <w:rPr>
          <w:rFonts w:eastAsiaTheme="minorHAnsi" w:cstheme="minorHAnsi"/>
          <w:color w:val="000000" w:themeColor="text1"/>
          <w:szCs w:val="26"/>
        </w:rPr>
        <w:t xml:space="preserve"> </w:t>
      </w:r>
      <w:r w:rsidR="00875412">
        <w:rPr>
          <w:rFonts w:eastAsiaTheme="minorHAnsi" w:cstheme="minorHAnsi"/>
          <w:color w:val="000000" w:themeColor="text1"/>
          <w:szCs w:val="26"/>
        </w:rPr>
        <w:t xml:space="preserve"> </w:t>
      </w:r>
      <w:r w:rsidRPr="00300DF6" w:rsidR="00857783">
        <w:rPr>
          <w:rFonts w:eastAsiaTheme="minorHAnsi" w:cstheme="minorHAnsi"/>
          <w:color w:val="000000" w:themeColor="text1"/>
          <w:szCs w:val="26"/>
        </w:rPr>
        <w:t xml:space="preserve">Gas </w:t>
      </w:r>
      <w:r w:rsidRPr="004A6F55" w:rsidR="00857783">
        <w:rPr>
          <w:szCs w:val="26"/>
        </w:rPr>
        <w:t>Overpressure</w:t>
      </w:r>
      <w:r w:rsidRPr="00300DF6" w:rsidR="00857783">
        <w:rPr>
          <w:rFonts w:eastAsiaTheme="minorHAnsi" w:cstheme="minorHAnsi"/>
          <w:color w:val="000000" w:themeColor="text1"/>
          <w:szCs w:val="26"/>
        </w:rPr>
        <w:t xml:space="preserve"> Events</w:t>
      </w:r>
    </w:p>
    <w:p w:rsidRPr="004A6F55" w:rsidR="00327D8D" w:rsidP="00142E2E" w:rsidRDefault="003A1361" w14:paraId="61952943" w14:textId="4628F878">
      <w:pPr>
        <w:pStyle w:val="Standard"/>
        <w:numPr>
          <w:ilvl w:val="0"/>
          <w:numId w:val="23"/>
        </w:numPr>
        <w:spacing w:after="120" w:line="240" w:lineRule="auto"/>
        <w:ind w:left="1080" w:right="1440"/>
        <w:rPr>
          <w:rFonts w:eastAsiaTheme="minorHAnsi" w:cstheme="minorHAnsi"/>
          <w:b/>
          <w:color w:val="000000" w:themeColor="text1"/>
          <w:szCs w:val="26"/>
        </w:rPr>
      </w:pPr>
      <w:r>
        <w:rPr>
          <w:rFonts w:eastAsiaTheme="minorHAnsi" w:cstheme="minorHAnsi"/>
          <w:color w:val="000000" w:themeColor="text1"/>
          <w:szCs w:val="26"/>
        </w:rPr>
        <w:t>SPM #</w:t>
      </w:r>
      <w:r w:rsidRPr="00300DF6" w:rsidR="003D2EC7">
        <w:rPr>
          <w:rFonts w:eastAsiaTheme="minorHAnsi" w:cstheme="minorHAnsi"/>
          <w:color w:val="000000" w:themeColor="text1"/>
          <w:szCs w:val="26"/>
        </w:rPr>
        <w:t>45</w:t>
      </w:r>
      <w:r w:rsidR="00875412">
        <w:rPr>
          <w:rFonts w:eastAsiaTheme="minorHAnsi" w:cstheme="minorHAnsi"/>
          <w:color w:val="000000" w:themeColor="text1"/>
          <w:szCs w:val="26"/>
        </w:rPr>
        <w:t>:</w:t>
      </w:r>
      <w:r w:rsidRPr="00300DF6" w:rsidR="003D2EC7">
        <w:rPr>
          <w:rFonts w:eastAsiaTheme="minorHAnsi" w:cstheme="minorHAnsi"/>
          <w:color w:val="000000" w:themeColor="text1"/>
          <w:szCs w:val="26"/>
        </w:rPr>
        <w:t xml:space="preserve"> </w:t>
      </w:r>
      <w:r w:rsidR="00875412">
        <w:rPr>
          <w:rFonts w:eastAsiaTheme="minorHAnsi" w:cstheme="minorHAnsi"/>
          <w:color w:val="000000" w:themeColor="text1"/>
          <w:szCs w:val="26"/>
        </w:rPr>
        <w:t xml:space="preserve"> </w:t>
      </w:r>
      <w:r w:rsidRPr="00300DF6" w:rsidR="003D2EC7">
        <w:rPr>
          <w:rFonts w:eastAsiaTheme="minorHAnsi" w:cstheme="minorHAnsi"/>
          <w:color w:val="000000" w:themeColor="text1"/>
          <w:szCs w:val="26"/>
        </w:rPr>
        <w:t xml:space="preserve">Gas </w:t>
      </w:r>
      <w:r w:rsidRPr="004A6F55" w:rsidR="003D2EC7">
        <w:rPr>
          <w:szCs w:val="26"/>
        </w:rPr>
        <w:t>In</w:t>
      </w:r>
      <w:r w:rsidRPr="00300DF6" w:rsidR="003D2EC7">
        <w:rPr>
          <w:rFonts w:eastAsiaTheme="minorHAnsi" w:cstheme="minorHAnsi"/>
          <w:color w:val="000000" w:themeColor="text1"/>
          <w:szCs w:val="26"/>
        </w:rPr>
        <w:t>-Line Inspections Missed</w:t>
      </w:r>
    </w:p>
    <w:p w:rsidR="00A860CB" w:rsidP="00A860CB" w:rsidRDefault="00824375" w14:paraId="4039D13F" w14:textId="57E12237">
      <w:pPr>
        <w:pStyle w:val="Heading3"/>
      </w:pPr>
      <w:bookmarkStart w:name="_Toc80890927" w:id="194"/>
      <w:bookmarkStart w:name="_Toc87361228" w:id="195"/>
      <w:r w:rsidRPr="00775D74">
        <w:t>11.</w:t>
      </w:r>
      <w:r w:rsidRPr="00775D74" w:rsidR="00BA20C3">
        <w:t>4</w:t>
      </w:r>
      <w:r w:rsidRPr="00775D74">
        <w:t>.</w:t>
      </w:r>
      <w:r w:rsidRPr="00775D74" w:rsidR="00117D92">
        <w:t>1</w:t>
      </w:r>
      <w:r w:rsidRPr="00775D74">
        <w:tab/>
      </w:r>
      <w:r w:rsidRPr="00775D74" w:rsidR="00A860CB">
        <w:t xml:space="preserve">Party Comments </w:t>
      </w:r>
      <w:r w:rsidRPr="00775D74" w:rsidR="00DA4A15">
        <w:t xml:space="preserve">on </w:t>
      </w:r>
      <w:r w:rsidRPr="00775D74" w:rsidR="00A860CB">
        <w:t xml:space="preserve">Staff’s </w:t>
      </w:r>
      <w:r w:rsidRPr="00775D74" w:rsidR="00990028">
        <w:br/>
      </w:r>
      <w:r w:rsidRPr="00775D74" w:rsidR="00A860CB">
        <w:t>Proposed New SPMs</w:t>
      </w:r>
      <w:bookmarkEnd w:id="194"/>
      <w:bookmarkEnd w:id="195"/>
    </w:p>
    <w:p w:rsidRPr="00AB66AE" w:rsidR="00AB66AE" w:rsidP="00AB66AE" w:rsidRDefault="003741A3" w14:paraId="2B2AFC7E" w14:textId="497B1E01">
      <w:pPr>
        <w:pStyle w:val="Standard"/>
      </w:pPr>
      <w:r w:rsidRPr="00E866DB">
        <w:t>The IOUs, TURN and Cal Advocates</w:t>
      </w:r>
      <w:r w:rsidR="001F096D">
        <w:t xml:space="preserve"> and </w:t>
      </w:r>
      <w:r w:rsidRPr="00E866DB">
        <w:t>comment</w:t>
      </w:r>
      <w:r w:rsidR="007737C0">
        <w:t>ed</w:t>
      </w:r>
      <w:r w:rsidRPr="00E866DB">
        <w:t xml:space="preserve"> on Staff’s new proposed SPMs</w:t>
      </w:r>
      <w:r w:rsidRPr="00E866DB" w:rsidR="00FB006F">
        <w:t>.</w:t>
      </w:r>
      <w:r w:rsidRPr="00911841" w:rsidR="00FB006F">
        <w:t xml:space="preserve">  </w:t>
      </w:r>
      <w:r w:rsidRPr="00AB66AE" w:rsidR="00AB66AE">
        <w:t xml:space="preserve">SDG&amp;E /SoCalGas comment that using the EEI Safety Classification and Learning Model to report on </w:t>
      </w:r>
      <w:r w:rsidR="00215753">
        <w:t xml:space="preserve">the new </w:t>
      </w:r>
      <w:r w:rsidR="00D81B5B">
        <w:t xml:space="preserve">SPMs </w:t>
      </w:r>
      <w:r w:rsidR="00215753">
        <w:t xml:space="preserve">proposed by Staff </w:t>
      </w:r>
      <w:r w:rsidR="00D81B5B">
        <w:t xml:space="preserve">addressing Rate of SIF Potential (Employee and Contractor, SPM #s 17 and 18 as adopted), </w:t>
      </w:r>
      <w:r w:rsidRPr="00AB66AE" w:rsidR="00AB66AE">
        <w:t xml:space="preserve">would require a costly reconfiguration of current methods and training systems for little gain.  SDG&amp;E/SoCalGas state that their current method is substantially similar to the EEI method and is suitable for reporting purposes for these metrics.  </w:t>
      </w:r>
    </w:p>
    <w:p w:rsidR="006022B7" w:rsidP="00911841" w:rsidRDefault="003250CE" w14:paraId="35417AEA" w14:textId="2B253A64">
      <w:pPr>
        <w:pStyle w:val="Standard"/>
      </w:pPr>
      <w:r w:rsidRPr="00FB006F">
        <w:t>SDG&amp;E support</w:t>
      </w:r>
      <w:r w:rsidRPr="00FB006F" w:rsidR="00DC127F">
        <w:t>s</w:t>
      </w:r>
      <w:r w:rsidRPr="00FB006F">
        <w:t xml:space="preserve"> Staff’s suggested new SPMs #s</w:t>
      </w:r>
      <w:r w:rsidRPr="00FB006F" w:rsidR="00DC127F">
        <w:t xml:space="preserve"> 29</w:t>
      </w:r>
      <w:r w:rsidRPr="00FB006F" w:rsidR="00F7485D">
        <w:t xml:space="preserve"> and </w:t>
      </w:r>
      <w:r w:rsidRPr="00FB006F" w:rsidR="00B9518D">
        <w:t>30 (</w:t>
      </w:r>
      <w:r w:rsidRPr="00FB006F" w:rsidR="00F7485D">
        <w:t xml:space="preserve">the latter </w:t>
      </w:r>
      <w:r w:rsidRPr="00FB006F" w:rsidR="00B9518D">
        <w:t>modif</w:t>
      </w:r>
      <w:r w:rsidRPr="00FB006F" w:rsidR="00F7485D">
        <w:t>ied</w:t>
      </w:r>
      <w:r w:rsidRPr="00FB006F" w:rsidR="00B9518D">
        <w:t xml:space="preserve"> to clarify</w:t>
      </w:r>
      <w:r w:rsidR="00B9518D">
        <w:t xml:space="preserve"> the definition of wires down), </w:t>
      </w:r>
      <w:r w:rsidR="00605CEC">
        <w:t>but SCE opposes including these as SPMs</w:t>
      </w:r>
      <w:r w:rsidR="006022B7">
        <w:t xml:space="preserve"> and PG&amp;E states the definition is unclear.</w:t>
      </w:r>
      <w:r w:rsidR="009B2001">
        <w:t xml:space="preserve">  </w:t>
      </w:r>
      <w:r w:rsidR="00E962E3">
        <w:t>SCE</w:t>
      </w:r>
      <w:r w:rsidR="006022B7">
        <w:t xml:space="preserve">, PG&amp;E, </w:t>
      </w:r>
      <w:r w:rsidR="00E962E3">
        <w:t xml:space="preserve">and </w:t>
      </w:r>
      <w:r w:rsidR="00605CEC">
        <w:t>SDG&amp;E support SPM #</w:t>
      </w:r>
      <w:r w:rsidR="00813CDA">
        <w:t>32</w:t>
      </w:r>
      <w:r w:rsidR="004C0B14">
        <w:t xml:space="preserve">, </w:t>
      </w:r>
      <w:r w:rsidR="003569AD">
        <w:t xml:space="preserve">with </w:t>
      </w:r>
      <w:r w:rsidR="00E962E3">
        <w:t>SDG&amp;E propos</w:t>
      </w:r>
      <w:r w:rsidR="00162C54">
        <w:t>ing</w:t>
      </w:r>
      <w:r w:rsidR="00E962E3">
        <w:t xml:space="preserve"> to </w:t>
      </w:r>
      <w:r w:rsidR="00813CDA">
        <w:t>limit this to</w:t>
      </w:r>
      <w:r w:rsidR="006D0C2B">
        <w:t xml:space="preserve"> percentage of wires down causes as related </w:t>
      </w:r>
      <w:r w:rsidR="00DA0921">
        <w:t xml:space="preserve">to </w:t>
      </w:r>
      <w:r w:rsidR="006D0C2B">
        <w:t>vegetation</w:t>
      </w:r>
      <w:r w:rsidR="00D01D27">
        <w:t>.</w:t>
      </w:r>
      <w:r w:rsidR="003014BE">
        <w:t xml:space="preserve">  SDG&amp;E supports SPM</w:t>
      </w:r>
      <w:r w:rsidR="002C70DB">
        <w:t xml:space="preserve"> </w:t>
      </w:r>
      <w:r w:rsidR="003014BE">
        <w:t>#</w:t>
      </w:r>
      <w:r w:rsidR="006D0C2B">
        <w:t>3</w:t>
      </w:r>
      <w:r w:rsidR="008D345C">
        <w:t>3</w:t>
      </w:r>
      <w:r w:rsidR="003014BE">
        <w:t xml:space="preserve"> as does SCE</w:t>
      </w:r>
      <w:r w:rsidR="008D345C">
        <w:t xml:space="preserve"> for SPM #32</w:t>
      </w:r>
      <w:r w:rsidR="003014BE">
        <w:t xml:space="preserve">, with </w:t>
      </w:r>
      <w:r w:rsidR="00F10CA2">
        <w:t xml:space="preserve">some </w:t>
      </w:r>
      <w:r w:rsidR="003014BE">
        <w:t>modifications to the definition</w:t>
      </w:r>
      <w:r w:rsidR="000D29A6">
        <w:t xml:space="preserve">.  </w:t>
      </w:r>
    </w:p>
    <w:p w:rsidR="009C45A4" w:rsidP="006B5425" w:rsidRDefault="000D29A6" w14:paraId="244C2AAD" w14:textId="3E2D4C4B">
      <w:pPr>
        <w:pStyle w:val="Standard"/>
      </w:pPr>
      <w:r>
        <w:t>SDG&amp;E supports SPMs #</w:t>
      </w:r>
      <w:r w:rsidR="002C70DB">
        <w:t>s</w:t>
      </w:r>
      <w:r>
        <w:t xml:space="preserve"> </w:t>
      </w:r>
      <w:r w:rsidR="00FD5B70">
        <w:t>34</w:t>
      </w:r>
      <w:r>
        <w:t>, 37 (with modifications to clarify reporting format), 39</w:t>
      </w:r>
      <w:r w:rsidR="0042347D">
        <w:t xml:space="preserve"> (with clarifications on whether this is a 1:1 replacement or any time a line is undergrounded),</w:t>
      </w:r>
      <w:r w:rsidR="00AC0E7A">
        <w:t xml:space="preserve"> and 43 (with modifications to clarify that </w:t>
      </w:r>
      <w:r w:rsidR="00FB427F">
        <w:t>the</w:t>
      </w:r>
      <w:r w:rsidR="00AC0E7A">
        <w:t xml:space="preserve"> metric is </w:t>
      </w:r>
      <w:r w:rsidR="00AC0E7A">
        <w:lastRenderedPageBreak/>
        <w:t xml:space="preserve">calculated as the percentage of completed infractions due for that year divided by the infractions due that calendar year), </w:t>
      </w:r>
      <w:r>
        <w:t>but SCE disagrees that these should be SPMs.</w:t>
      </w:r>
      <w:r w:rsidR="0042347D">
        <w:t xml:space="preserve">  </w:t>
      </w:r>
      <w:r w:rsidR="005A381E">
        <w:t xml:space="preserve">SCE indicates it does not currently collect data on missed vegetation inspections and thus objects to SPM #34 (which mirrors SOM #3.11 and 3.12). </w:t>
      </w:r>
    </w:p>
    <w:p w:rsidR="006817C5" w:rsidP="006B5425" w:rsidRDefault="006022B7" w14:paraId="75BF3352" w14:textId="2F789702">
      <w:pPr>
        <w:pStyle w:val="Standard"/>
      </w:pPr>
      <w:r>
        <w:t>PG&amp;E has concerns regarding the definition</w:t>
      </w:r>
      <w:r w:rsidR="006817C5">
        <w:t>s</w:t>
      </w:r>
      <w:r>
        <w:t xml:space="preserve"> of SPM</w:t>
      </w:r>
      <w:r w:rsidR="006817C5">
        <w:t>s</w:t>
      </w:r>
      <w:r>
        <w:t xml:space="preserve"> </w:t>
      </w:r>
      <w:r w:rsidR="006817C5">
        <w:t>#34, 35, and 36</w:t>
      </w:r>
      <w:r w:rsidR="00B97F70">
        <w:t xml:space="preserve"> and </w:t>
      </w:r>
      <w:r w:rsidR="00341828">
        <w:t>requests that definitions used in SPMs #s 38 – 40 be modified to alig</w:t>
      </w:r>
      <w:r w:rsidR="00657B8C">
        <w:t>n</w:t>
      </w:r>
      <w:r w:rsidR="00341828">
        <w:t xml:space="preserve"> with those required </w:t>
      </w:r>
      <w:r w:rsidR="00657B8C">
        <w:t>for reporting in the WMPs</w:t>
      </w:r>
      <w:r w:rsidRPr="00B97F70" w:rsidR="00657B8C">
        <w:t>.</w:t>
      </w:r>
      <w:r w:rsidR="00BB6C26">
        <w:t xml:space="preserve">  </w:t>
      </w:r>
      <w:r w:rsidRPr="00B97F70" w:rsidR="00657B8C">
        <w:t>TURN indicates</w:t>
      </w:r>
      <w:r w:rsidRPr="00B97F70" w:rsidR="00E672F4">
        <w:t xml:space="preserve"> concerns</w:t>
      </w:r>
      <w:r w:rsidR="00E672F4">
        <w:t xml:space="preserve"> with SPMs #s </w:t>
      </w:r>
      <w:r w:rsidRPr="00E672F4" w:rsidR="00E672F4">
        <w:t xml:space="preserve">38, 39, and 40 </w:t>
      </w:r>
      <w:r w:rsidR="00E672F4">
        <w:t xml:space="preserve">as written, stating that these </w:t>
      </w:r>
      <w:r w:rsidRPr="00E672F4" w:rsidR="00E672F4">
        <w:t>may encourage quantity over quality</w:t>
      </w:r>
      <w:r w:rsidR="00E672F4">
        <w:t xml:space="preserve"> without c</w:t>
      </w:r>
      <w:r w:rsidRPr="00E672F4" w:rsidR="00E672F4">
        <w:t xml:space="preserve">onsideration for effectiveness, risk ranking, or cost effectiveness. </w:t>
      </w:r>
      <w:r w:rsidR="00E672F4">
        <w:t xml:space="preserve"> </w:t>
      </w:r>
      <w:r w:rsidRPr="00E672F4" w:rsidR="00E672F4">
        <w:t xml:space="preserve">TURN </w:t>
      </w:r>
      <w:r w:rsidR="00E672F4">
        <w:t xml:space="preserve">suggests the Commission either eliminate or modify SPMs #s </w:t>
      </w:r>
      <w:r w:rsidRPr="00E672F4" w:rsidR="00E672F4">
        <w:t>38, 39, 40</w:t>
      </w:r>
      <w:r w:rsidR="00E672F4">
        <w:t xml:space="preserve">, with any </w:t>
      </w:r>
      <w:r w:rsidRPr="00E672F4" w:rsidR="00E672F4">
        <w:t xml:space="preserve">clarification </w:t>
      </w:r>
      <w:r w:rsidR="00E672F4">
        <w:t xml:space="preserve">clearly indicating </w:t>
      </w:r>
      <w:r w:rsidRPr="00E672F4" w:rsidR="00E672F4">
        <w:t xml:space="preserve">that work should be prioritized </w:t>
      </w:r>
      <w:r w:rsidR="00CC6CBB">
        <w:t xml:space="preserve">according to the </w:t>
      </w:r>
      <w:r w:rsidRPr="00E672F4" w:rsidR="00E672F4">
        <w:t>most impactful work.</w:t>
      </w:r>
    </w:p>
    <w:p w:rsidR="005A0DE4" w:rsidP="006B5425" w:rsidRDefault="0042347D" w14:paraId="4E1EFD60" w14:textId="5CE998DE">
      <w:pPr>
        <w:pStyle w:val="Standard"/>
      </w:pPr>
      <w:r>
        <w:t>SDG&amp;E</w:t>
      </w:r>
      <w:r w:rsidR="00AA7DEC">
        <w:t>/SoCalGas</w:t>
      </w:r>
      <w:r>
        <w:t xml:space="preserve"> support SPM #</w:t>
      </w:r>
      <w:r w:rsidR="00BA05BF">
        <w:t>44,</w:t>
      </w:r>
      <w:r w:rsidR="00996F3D">
        <w:t xml:space="preserve"> and 45 (with modifications </w:t>
      </w:r>
      <w:r w:rsidR="00152B5F">
        <w:t xml:space="preserve">to redefine </w:t>
      </w:r>
      <w:r w:rsidR="00F10CA2">
        <w:t xml:space="preserve">these </w:t>
      </w:r>
      <w:r w:rsidR="00152B5F">
        <w:t xml:space="preserve">as “the number of gas pipeline in-line inspections that missed the required reassessment </w:t>
      </w:r>
      <w:r w:rsidR="0078613B">
        <w:t>interval</w:t>
      </w:r>
      <w:r w:rsidR="005D7F2A">
        <w:t>”)</w:t>
      </w:r>
      <w:r w:rsidR="00162294">
        <w:t>.</w:t>
      </w:r>
      <w:r w:rsidR="00F27ED8">
        <w:t xml:space="preserve"> </w:t>
      </w:r>
      <w:r w:rsidR="00781B4E">
        <w:t xml:space="preserve"> </w:t>
      </w:r>
      <w:r w:rsidR="00391B1F">
        <w:t xml:space="preserve">SCE does not comment on these proposals. </w:t>
      </w:r>
      <w:r w:rsidR="00781B4E">
        <w:t xml:space="preserve"> </w:t>
      </w:r>
      <w:r w:rsidR="00BC7655">
        <w:t xml:space="preserve">PG&amp;E suggests </w:t>
      </w:r>
      <w:r w:rsidR="005A381E">
        <w:t xml:space="preserve">modifications to the definition of SPM #45. </w:t>
      </w:r>
    </w:p>
    <w:p w:rsidR="0003436F" w:rsidP="00FB16B1" w:rsidRDefault="005D7F2A" w14:paraId="5DCE4ABF" w14:textId="089A5478">
      <w:pPr>
        <w:pStyle w:val="Standard"/>
      </w:pPr>
      <w:r>
        <w:t>Cal Advocates proposes several additional SPMs</w:t>
      </w:r>
      <w:r w:rsidR="00913EDB">
        <w:t>.  Cal Advocates proposes new SPMs</w:t>
      </w:r>
      <w:r w:rsidR="00401E83">
        <w:t xml:space="preserve"> </w:t>
      </w:r>
      <w:r w:rsidR="00913EDB">
        <w:t>#s 17.1</w:t>
      </w:r>
      <w:r w:rsidR="00162294">
        <w:t xml:space="preserve"> and </w:t>
      </w:r>
      <w:r w:rsidR="00913EDB">
        <w:t xml:space="preserve">18.1, </w:t>
      </w:r>
      <w:r w:rsidR="00401E83">
        <w:t xml:space="preserve">addressing </w:t>
      </w:r>
      <w:r w:rsidR="00913EDB">
        <w:t>Rate of SIF Potential (Employee) and Rate of SIF Potential (Contractor)</w:t>
      </w:r>
      <w:r w:rsidR="00AE4326">
        <w:t>.</w:t>
      </w:r>
      <w:r w:rsidR="00EA6EFF">
        <w:t xml:space="preserve"> Cal Advocates </w:t>
      </w:r>
      <w:r w:rsidR="00D87D64">
        <w:t xml:space="preserve">proposes </w:t>
      </w:r>
      <w:r w:rsidR="00162294">
        <w:t xml:space="preserve">a </w:t>
      </w:r>
      <w:r w:rsidR="00D87D64">
        <w:t xml:space="preserve">new SPM #22.1 </w:t>
      </w:r>
      <w:r w:rsidR="00162294">
        <w:t xml:space="preserve">on </w:t>
      </w:r>
      <w:r w:rsidR="00D87D64">
        <w:t>SIF Potential (Public)</w:t>
      </w:r>
      <w:r w:rsidR="00155A5F">
        <w:t xml:space="preserve"> to encourage reporting of potential hazards by all IOUs.  Cal Advocates proposes </w:t>
      </w:r>
      <w:r w:rsidR="003B23DA">
        <w:t>a new SPM #27.1 on Number of Repeat GO-95 Corrective Actions in HFTDs</w:t>
      </w:r>
      <w:r w:rsidR="00DA378B">
        <w:t>, a new SPM #41.1 on Safety and Rel</w:t>
      </w:r>
      <w:r w:rsidR="004E2479">
        <w:t>iability Work Authorized by Not Scheduled</w:t>
      </w:r>
      <w:r w:rsidR="0003436F">
        <w:t xml:space="preserve">, and a new SPM #43.1 Number of Repeat GO-95 Corrective Actions in HFTDs.  </w:t>
      </w:r>
    </w:p>
    <w:p w:rsidR="0098415E" w:rsidP="0003436F" w:rsidRDefault="0098415E" w14:paraId="01593A33" w14:textId="459770C7">
      <w:pPr>
        <w:pStyle w:val="Standard"/>
      </w:pPr>
      <w:r>
        <w:t>SCE objects to Cal Advocates additional proposed SPMs</w:t>
      </w:r>
      <w:r w:rsidR="00A47309">
        <w:t xml:space="preserve"> as duplicative</w:t>
      </w:r>
      <w:r w:rsidR="004C6F35">
        <w:t xml:space="preserve"> </w:t>
      </w:r>
      <w:r w:rsidR="005D7F2A">
        <w:t>and</w:t>
      </w:r>
      <w:r w:rsidR="004C6F35">
        <w:t xml:space="preserve"> </w:t>
      </w:r>
      <w:r w:rsidR="00A47309">
        <w:t>poorly defined</w:t>
      </w:r>
      <w:r w:rsidR="004C6F35">
        <w:t>.</w:t>
      </w:r>
      <w:r w:rsidR="00A47309">
        <w:t xml:space="preserve"> </w:t>
      </w:r>
    </w:p>
    <w:p w:rsidR="00B179C6" w:rsidP="00117D92" w:rsidRDefault="00B179C6" w14:paraId="60851D7D" w14:textId="676F2B61">
      <w:pPr>
        <w:pStyle w:val="Heading3"/>
      </w:pPr>
      <w:bookmarkStart w:name="_Toc80890928" w:id="196"/>
      <w:bookmarkStart w:name="_Toc87361229" w:id="197"/>
      <w:r>
        <w:lastRenderedPageBreak/>
        <w:t>11.</w:t>
      </w:r>
      <w:r w:rsidR="00BA20C3">
        <w:t>4</w:t>
      </w:r>
      <w:r w:rsidR="00117D92">
        <w:t>.2</w:t>
      </w:r>
      <w:r>
        <w:tab/>
        <w:t>Discussion</w:t>
      </w:r>
      <w:bookmarkEnd w:id="196"/>
      <w:bookmarkEnd w:id="197"/>
    </w:p>
    <w:p w:rsidR="00B179C6" w:rsidP="00B179C6" w:rsidRDefault="00BB6C26" w14:paraId="12A2C799" w14:textId="781B0B1B">
      <w:pPr>
        <w:pStyle w:val="Standard"/>
      </w:pPr>
      <w:r>
        <w:t xml:space="preserve">We adopt </w:t>
      </w:r>
      <w:r w:rsidR="00A5322E">
        <w:t>nine</w:t>
      </w:r>
      <w:r>
        <w:t xml:space="preserve"> of Staff’s 19 proposed new SPMs</w:t>
      </w:r>
      <w:r w:rsidR="00A5322E">
        <w:t xml:space="preserve"> as follows and adopt an additional SPM regarding </w:t>
      </w:r>
      <w:r w:rsidR="00133C5B">
        <w:t>Overhead Conductor Safety Index</w:t>
      </w:r>
      <w:r w:rsidR="00A5322E">
        <w:t>.  SPMs that we do not discuss below are not adopted:</w:t>
      </w:r>
    </w:p>
    <w:p w:rsidRPr="00775D74" w:rsidR="007269BF" w:rsidP="00990028" w:rsidRDefault="00D13934" w14:paraId="4950244D" w14:textId="29A094E9">
      <w:pPr>
        <w:pStyle w:val="Standard"/>
        <w:numPr>
          <w:ilvl w:val="0"/>
          <w:numId w:val="17"/>
        </w:numPr>
        <w:spacing w:after="120" w:line="240" w:lineRule="auto"/>
        <w:ind w:left="1080" w:right="1440"/>
      </w:pPr>
      <w:r w:rsidRPr="00775D74">
        <w:rPr>
          <w:u w:val="single"/>
        </w:rPr>
        <w:t xml:space="preserve">New </w:t>
      </w:r>
      <w:r w:rsidRPr="00775D74" w:rsidR="001072A4">
        <w:rPr>
          <w:u w:val="single"/>
        </w:rPr>
        <w:t xml:space="preserve">SPM </w:t>
      </w:r>
      <w:r w:rsidRPr="00775D74">
        <w:rPr>
          <w:u w:val="single"/>
        </w:rPr>
        <w:t>#17</w:t>
      </w:r>
      <w:r w:rsidRPr="00775D74">
        <w:t xml:space="preserve">:  </w:t>
      </w:r>
      <w:r w:rsidRPr="00775D74" w:rsidR="001072A4">
        <w:t>Rate of SIF Potential (Employee)</w:t>
      </w:r>
      <w:r w:rsidRPr="00775D74" w:rsidR="00946CAF">
        <w:t>:</w:t>
      </w:r>
      <w:r w:rsidR="00421E51">
        <w:rPr>
          <w:rStyle w:val="FootnoteReference"/>
        </w:rPr>
        <w:footnoteReference w:id="175"/>
      </w:r>
      <w:r w:rsidRPr="00775D74" w:rsidR="00946CAF">
        <w:t xml:space="preserve">  </w:t>
      </w:r>
      <w:r w:rsidRPr="00775D74">
        <w:t>W</w:t>
      </w:r>
      <w:r w:rsidRPr="00775D74" w:rsidR="00946CAF">
        <w:t xml:space="preserve">e adopt </w:t>
      </w:r>
      <w:r w:rsidRPr="00775D74">
        <w:t xml:space="preserve">this metric for </w:t>
      </w:r>
      <w:r w:rsidRPr="00775D74" w:rsidR="00946CAF">
        <w:t xml:space="preserve">all IOUs instead of adopting </w:t>
      </w:r>
      <w:r w:rsidRPr="00775D74">
        <w:t>it</w:t>
      </w:r>
      <w:r w:rsidRPr="00775D74" w:rsidR="00946CAF">
        <w:t xml:space="preserve"> as </w:t>
      </w:r>
      <w:r w:rsidRPr="00775D74">
        <w:t xml:space="preserve">a </w:t>
      </w:r>
      <w:r w:rsidRPr="00775D74" w:rsidR="00946CAF">
        <w:t>SOM just for PG&amp;E.  As noted by Cal A</w:t>
      </w:r>
      <w:r w:rsidRPr="00775D74" w:rsidR="00985D79">
        <w:t xml:space="preserve">dvocates, SIF </w:t>
      </w:r>
      <w:r w:rsidRPr="00775D74" w:rsidR="00060366">
        <w:t>P</w:t>
      </w:r>
      <w:r w:rsidRPr="00775D74" w:rsidR="00985D79">
        <w:t xml:space="preserve">otential metrics are best </w:t>
      </w:r>
      <w:r w:rsidR="009D084C">
        <w:t xml:space="preserve">reported </w:t>
      </w:r>
      <w:r w:rsidRPr="00775D74" w:rsidR="00985D79">
        <w:t xml:space="preserve">as SPMs so as not to discourage employee reporting </w:t>
      </w:r>
      <w:r w:rsidRPr="00775D74" w:rsidR="00212379">
        <w:t xml:space="preserve">that could help improve safety conditions. </w:t>
      </w:r>
      <w:r w:rsidR="00AF45BF">
        <w:t>We generally require use of the EEI</w:t>
      </w:r>
      <w:r w:rsidR="00CB218C">
        <w:t xml:space="preserve"> </w:t>
      </w:r>
      <w:r w:rsidRPr="00CB218C" w:rsidR="00CB218C">
        <w:t>Occupational Health and Safety Committee</w:t>
      </w:r>
      <w:r w:rsidR="00CB218C">
        <w:t xml:space="preserve"> </w:t>
      </w:r>
      <w:r w:rsidR="00025A80">
        <w:t xml:space="preserve">method, the </w:t>
      </w:r>
      <w:r w:rsidRPr="00CB218C" w:rsidR="00CB218C">
        <w:t>Safety Classification and Learning Model</w:t>
      </w:r>
      <w:r w:rsidR="00025A80">
        <w:t>,</w:t>
      </w:r>
      <w:r w:rsidR="00CB218C">
        <w:t xml:space="preserve"> for reporting on this metric.  However, as </w:t>
      </w:r>
      <w:r w:rsidR="00326405">
        <w:t xml:space="preserve">we did </w:t>
      </w:r>
      <w:r w:rsidR="00CB218C">
        <w:t xml:space="preserve">for </w:t>
      </w:r>
      <w:r w:rsidR="00B8742D">
        <w:t xml:space="preserve">SPM #s 17 and 18 above (SPM #s 15 and 16 as adopted), we </w:t>
      </w:r>
      <w:r w:rsidR="00326405">
        <w:t xml:space="preserve">allow a utility that has </w:t>
      </w:r>
      <w:r w:rsidR="00FB0062">
        <w:t xml:space="preserve">implemented </w:t>
      </w:r>
      <w:r w:rsidR="001E35AC">
        <w:t xml:space="preserve">a </w:t>
      </w:r>
      <w:r w:rsidR="00F56047">
        <w:t xml:space="preserve">replicable and </w:t>
      </w:r>
      <w:r w:rsidR="001E35AC">
        <w:t xml:space="preserve">substantially similar method </w:t>
      </w:r>
      <w:r w:rsidR="00FC56FA">
        <w:t xml:space="preserve">to </w:t>
      </w:r>
      <w:r w:rsidR="001E35AC">
        <w:t xml:space="preserve">assess SIF </w:t>
      </w:r>
      <w:r w:rsidR="00D63EE7">
        <w:t>Potential</w:t>
      </w:r>
      <w:r w:rsidR="00FC56FA">
        <w:t xml:space="preserve"> to use th</w:t>
      </w:r>
      <w:r w:rsidR="00F56047">
        <w:t>at</w:t>
      </w:r>
      <w:r w:rsidR="00FC56FA">
        <w:t xml:space="preserve"> method to report on this metric.  </w:t>
      </w:r>
      <w:r w:rsidR="009159E3">
        <w:t>A</w:t>
      </w:r>
      <w:r w:rsidR="009D31A5">
        <w:t xml:space="preserve"> utility using a substantially similar method must explain how their method for counting SIF </w:t>
      </w:r>
      <w:r w:rsidR="00FC56FA">
        <w:t>P</w:t>
      </w:r>
      <w:r w:rsidR="009D31A5">
        <w:t xml:space="preserve">otential differs and why they chose to use it. </w:t>
      </w:r>
      <w:r w:rsidR="003F5B44">
        <w:t xml:space="preserve"> Th</w:t>
      </w:r>
      <w:r w:rsidR="00397F5E">
        <w:t xml:space="preserve">is approach </w:t>
      </w:r>
      <w:r w:rsidR="0095037A">
        <w:t xml:space="preserve">avoids costly changes to </w:t>
      </w:r>
      <w:r w:rsidR="00CE3C12">
        <w:t xml:space="preserve">SDG&amp;E /SoCalGas’s methods and </w:t>
      </w:r>
      <w:r w:rsidR="0095037A">
        <w:t>training</w:t>
      </w:r>
      <w:r w:rsidR="00CE3C12">
        <w:t xml:space="preserve"> that do not add substantial value. </w:t>
      </w:r>
      <w:r w:rsidR="00003C35">
        <w:t xml:space="preserve">We also require </w:t>
      </w:r>
      <w:r w:rsidRPr="00656BD7" w:rsidR="00003C35">
        <w:rPr>
          <w:u w:val="single"/>
        </w:rPr>
        <w:t>all</w:t>
      </w:r>
      <w:r w:rsidR="00003C35">
        <w:t xml:space="preserve"> utilities to </w:t>
      </w:r>
      <w:r w:rsidR="005D2E06">
        <w:t xml:space="preserve">provide supplemental information about the key </w:t>
      </w:r>
      <w:r w:rsidR="00BD50E6">
        <w:t>l</w:t>
      </w:r>
      <w:r w:rsidR="005D2E06">
        <w:t xml:space="preserve">essons learned from </w:t>
      </w:r>
      <w:r w:rsidR="00BD50E6">
        <w:t xml:space="preserve">SIF Potential incidents. </w:t>
      </w:r>
    </w:p>
    <w:p w:rsidRPr="00775D74" w:rsidR="00D13934" w:rsidP="00990028" w:rsidRDefault="00D13934" w14:paraId="7E8B3579" w14:textId="49F125B0">
      <w:pPr>
        <w:pStyle w:val="Standard"/>
        <w:numPr>
          <w:ilvl w:val="0"/>
          <w:numId w:val="17"/>
        </w:numPr>
        <w:spacing w:after="120" w:line="240" w:lineRule="auto"/>
        <w:ind w:left="1080" w:right="1440"/>
      </w:pPr>
      <w:r w:rsidRPr="00775D74">
        <w:rPr>
          <w:u w:val="single"/>
        </w:rPr>
        <w:t>New SPM #18</w:t>
      </w:r>
      <w:r w:rsidRPr="00775D74">
        <w:t xml:space="preserve">: </w:t>
      </w:r>
      <w:r w:rsidRPr="00775D74" w:rsidR="004A6F55">
        <w:t xml:space="preserve"> </w:t>
      </w:r>
      <w:r w:rsidRPr="00775D74">
        <w:t xml:space="preserve">Rate of SIF Potential (Contractor):  We adopt this metric for all IOUs instead of adopting it as a SOM just for PG&amp;E.  As noted by Cal Advocates, SIF </w:t>
      </w:r>
      <w:r w:rsidRPr="00775D74" w:rsidR="00060366">
        <w:t>P</w:t>
      </w:r>
      <w:r w:rsidRPr="00775D74">
        <w:t xml:space="preserve">otential metrics are best </w:t>
      </w:r>
      <w:r w:rsidR="009D084C">
        <w:t xml:space="preserve">reported </w:t>
      </w:r>
      <w:r w:rsidRPr="00775D74">
        <w:t>as SPMs so as not to discourage employee reporting that could help improve safety conditions.</w:t>
      </w:r>
      <w:r w:rsidR="009159E3">
        <w:t xml:space="preserve">  We adopt the same </w:t>
      </w:r>
      <w:r w:rsidR="003C3BDF">
        <w:t xml:space="preserve">reporting </w:t>
      </w:r>
      <w:r w:rsidR="009159E3">
        <w:t xml:space="preserve">requirements for this metric as described for New SPM #17 above. </w:t>
      </w:r>
    </w:p>
    <w:p w:rsidRPr="00775D74" w:rsidR="00212379" w:rsidP="00990028" w:rsidRDefault="559B3DC5" w14:paraId="3D0439FF" w14:textId="08229BBD">
      <w:pPr>
        <w:pStyle w:val="Standard"/>
        <w:numPr>
          <w:ilvl w:val="0"/>
          <w:numId w:val="17"/>
        </w:numPr>
        <w:spacing w:after="120" w:line="240" w:lineRule="auto"/>
        <w:ind w:left="1080" w:right="1440"/>
      </w:pPr>
      <w:r w:rsidRPr="00775D74">
        <w:rPr>
          <w:u w:val="single"/>
        </w:rPr>
        <w:lastRenderedPageBreak/>
        <w:t>SPM #30</w:t>
      </w:r>
      <w:r w:rsidRPr="00775D74">
        <w:t xml:space="preserve">: </w:t>
      </w:r>
      <w:r w:rsidRPr="00775D74" w:rsidR="004A6F55">
        <w:t xml:space="preserve"> </w:t>
      </w:r>
      <w:r w:rsidRPr="00775D74">
        <w:t>Wire</w:t>
      </w:r>
      <w:r w:rsidRPr="00775D74" w:rsidR="64B1FC2F">
        <w:t>s</w:t>
      </w:r>
      <w:r w:rsidRPr="00775D74">
        <w:t xml:space="preserve"> Down </w:t>
      </w:r>
      <w:r w:rsidRPr="00775D74" w:rsidR="1DE4E04D">
        <w:t xml:space="preserve">Remaining Energized: </w:t>
      </w:r>
      <w:r w:rsidRPr="00775D74" w:rsidR="004A173D">
        <w:t xml:space="preserve"> </w:t>
      </w:r>
      <w:r w:rsidRPr="00775D74" w:rsidR="749FF13A">
        <w:t xml:space="preserve">We </w:t>
      </w:r>
      <w:r w:rsidR="009D084C">
        <w:t>revise</w:t>
      </w:r>
      <w:r w:rsidRPr="00775D74" w:rsidR="749FF13A">
        <w:t xml:space="preserve"> </w:t>
      </w:r>
      <w:r w:rsidRPr="00775D74" w:rsidR="5809FF13">
        <w:t xml:space="preserve">the </w:t>
      </w:r>
      <w:r w:rsidRPr="00775D74" w:rsidR="1DE4E04D">
        <w:t>name</w:t>
      </w:r>
      <w:r w:rsidRPr="00775D74" w:rsidR="037FC828">
        <w:t xml:space="preserve"> of th</w:t>
      </w:r>
      <w:r w:rsidR="009D084C">
        <w:t>is</w:t>
      </w:r>
      <w:r w:rsidRPr="00775D74" w:rsidR="037FC828">
        <w:t xml:space="preserve"> metric to “Wires Down Not Resulting In </w:t>
      </w:r>
      <w:r w:rsidRPr="00775D74" w:rsidR="20529984">
        <w:t xml:space="preserve">Automatic </w:t>
      </w:r>
      <w:r w:rsidRPr="00775D74" w:rsidR="037FC828">
        <w:t>De-Energization”</w:t>
      </w:r>
      <w:r w:rsidRPr="00775D74" w:rsidR="1DE4E04D">
        <w:t xml:space="preserve"> and</w:t>
      </w:r>
      <w:r w:rsidRPr="00775D74" w:rsidR="4ADD3803">
        <w:t xml:space="preserve">, for clarity, </w:t>
      </w:r>
      <w:r w:rsidRPr="00775D74" w:rsidR="618445C1">
        <w:t xml:space="preserve">as requested by </w:t>
      </w:r>
      <w:r w:rsidRPr="00775D74" w:rsidR="758F491D">
        <w:t>PG&amp;E,</w:t>
      </w:r>
      <w:r w:rsidRPr="00775D74" w:rsidR="1DE4E04D">
        <w:t xml:space="preserve"> </w:t>
      </w:r>
      <w:r w:rsidRPr="00775D74" w:rsidR="037FC828">
        <w:t xml:space="preserve">modify the </w:t>
      </w:r>
      <w:r w:rsidRPr="00775D74" w:rsidR="5809FF13">
        <w:t xml:space="preserve">description of </w:t>
      </w:r>
      <w:r w:rsidRPr="00775D74" w:rsidR="749FF13A">
        <w:t>th</w:t>
      </w:r>
      <w:r w:rsidRPr="00775D74" w:rsidR="05F5EC74">
        <w:t xml:space="preserve">is metric </w:t>
      </w:r>
      <w:r w:rsidRPr="00775D74" w:rsidR="40B90690">
        <w:t xml:space="preserve">to specify reporting on </w:t>
      </w:r>
      <w:r w:rsidRPr="00775D74" w:rsidR="29CF8866">
        <w:t>wire</w:t>
      </w:r>
      <w:r w:rsidRPr="00775D74" w:rsidR="0904B0D0">
        <w:t>s</w:t>
      </w:r>
      <w:r w:rsidRPr="00775D74" w:rsidR="29CF8866">
        <w:t xml:space="preserve"> down events that did not result in automatic de-energization by circuit protection </w:t>
      </w:r>
      <w:r w:rsidRPr="00775D74" w:rsidR="28A46718">
        <w:t>devices</w:t>
      </w:r>
      <w:r w:rsidRPr="00775D74" w:rsidR="4F3838FF">
        <w:t xml:space="preserve">.  </w:t>
      </w:r>
      <w:r w:rsidRPr="00775D74" w:rsidR="64B1FC2F">
        <w:t>This metric</w:t>
      </w:r>
      <w:r w:rsidR="003A2540">
        <w:t xml:space="preserve"> now</w:t>
      </w:r>
      <w:r w:rsidRPr="00775D74" w:rsidR="64B1FC2F">
        <w:t xml:space="preserve"> capture</w:t>
      </w:r>
      <w:r w:rsidRPr="00775D74" w:rsidR="74FA9E1B">
        <w:t>s</w:t>
      </w:r>
      <w:r w:rsidRPr="00775D74" w:rsidR="64B1FC2F">
        <w:t xml:space="preserve"> the ability of utilit</w:t>
      </w:r>
      <w:r w:rsidR="003A2540">
        <w:t>y</w:t>
      </w:r>
      <w:r w:rsidRPr="00775D74" w:rsidR="64B1FC2F">
        <w:t xml:space="preserve"> circuit protection devices to automatically de-energize downed conductors</w:t>
      </w:r>
      <w:r w:rsidRPr="00775D74" w:rsidR="6022AC14">
        <w:t xml:space="preserve">.  </w:t>
      </w:r>
      <w:r w:rsidRPr="00775D74" w:rsidR="64B1FC2F">
        <w:t xml:space="preserve">The longer a downed conductor remains energized, the higher would be the likelihood of causing injuries, fatalities, and wildfires.  </w:t>
      </w:r>
      <w:r w:rsidRPr="00775D74" w:rsidR="00F5DEB6">
        <w:t>Although the role of circuit protection devices is primarily to protect the integrity of the circuit and only secondarily to prevent other types of safety risks, we see value in having the visibility to see how effective those circuit protection devices are in preventing other safety risks.</w:t>
      </w:r>
    </w:p>
    <w:p w:rsidRPr="00775D74" w:rsidR="00136929" w:rsidP="00990028" w:rsidRDefault="00136929" w14:paraId="77A07F6A" w14:textId="19EBBE22">
      <w:pPr>
        <w:pStyle w:val="Standard"/>
        <w:numPr>
          <w:ilvl w:val="0"/>
          <w:numId w:val="17"/>
        </w:numPr>
        <w:spacing w:after="120" w:line="240" w:lineRule="auto"/>
        <w:ind w:left="1080" w:right="1440"/>
      </w:pPr>
      <w:r w:rsidRPr="00775D74">
        <w:rPr>
          <w:u w:val="single"/>
        </w:rPr>
        <w:t xml:space="preserve">SPM # </w:t>
      </w:r>
      <w:r w:rsidRPr="00775D74" w:rsidR="005306EF">
        <w:rPr>
          <w:u w:val="single"/>
        </w:rPr>
        <w:t>33</w:t>
      </w:r>
      <w:r w:rsidRPr="00775D74" w:rsidR="005306EF">
        <w:t xml:space="preserve">: </w:t>
      </w:r>
      <w:r w:rsidRPr="00775D74" w:rsidR="004A6F55">
        <w:t xml:space="preserve"> </w:t>
      </w:r>
      <w:r w:rsidRPr="00775D74" w:rsidR="005306EF">
        <w:t>Missed Inspections and Controls for Electric Circuits</w:t>
      </w:r>
      <w:r w:rsidRPr="00775D74" w:rsidR="008537D2">
        <w:t>:</w:t>
      </w:r>
      <w:r w:rsidRPr="00775D74" w:rsidR="003E1B4C">
        <w:t xml:space="preserve"> We slightly modify the description of this metric for clarity</w:t>
      </w:r>
      <w:r w:rsidRPr="00775D74" w:rsidR="00A07E0F">
        <w:t xml:space="preserve"> purposes to emp</w:t>
      </w:r>
      <w:r w:rsidRPr="00775D74" w:rsidR="00A37F29">
        <w:t>hasize</w:t>
      </w:r>
      <w:r w:rsidRPr="00775D74" w:rsidR="00A07E0F">
        <w:t xml:space="preserve"> </w:t>
      </w:r>
      <w:r w:rsidRPr="00775D74" w:rsidR="00AF2FE9">
        <w:t>the “annual number of overhead electric structures that did not comply with the inspection frequency requirements</w:t>
      </w:r>
      <w:r w:rsidRPr="00775D74" w:rsidR="00A37F29">
        <w:t>”</w:t>
      </w:r>
      <w:r w:rsidRPr="00775D74" w:rsidR="00AF2FE9">
        <w:t xml:space="preserve"> as compared to the </w:t>
      </w:r>
      <w:r w:rsidRPr="00775D74" w:rsidR="00A37F29">
        <w:t>“</w:t>
      </w:r>
      <w:r w:rsidRPr="00775D74" w:rsidR="00AF2FE9">
        <w:t>total number of overhead electric</w:t>
      </w:r>
      <w:r w:rsidRPr="00775D74" w:rsidR="00A37F29">
        <w:t xml:space="preserve"> structures with inspections due in the past calendar year</w:t>
      </w:r>
      <w:r w:rsidRPr="00775D74" w:rsidR="003E1B4C">
        <w:t>.</w:t>
      </w:r>
      <w:r w:rsidRPr="00775D74" w:rsidR="00A37F29">
        <w:t>”</w:t>
      </w:r>
      <w:r w:rsidRPr="00775D74" w:rsidR="003E1B4C">
        <w:t xml:space="preserve"> </w:t>
      </w:r>
      <w:r w:rsidRPr="00775D74" w:rsidR="00167862">
        <w:t xml:space="preserve"> Metrics tracking inspections are important since inspections serve as a front line of defense to reduce the likelihood </w:t>
      </w:r>
      <w:r w:rsidRPr="00775D74" w:rsidR="00236200">
        <w:t xml:space="preserve">and potential consequences </w:t>
      </w:r>
      <w:r w:rsidRPr="00775D74" w:rsidR="00167862">
        <w:t>of safety risks from deteriorating equipment</w:t>
      </w:r>
      <w:r w:rsidRPr="00775D74" w:rsidR="00BD422A">
        <w:t xml:space="preserve">, </w:t>
      </w:r>
      <w:r w:rsidRPr="00775D74" w:rsidR="00EB370E">
        <w:t xml:space="preserve">vegetation </w:t>
      </w:r>
      <w:r w:rsidRPr="00775D74" w:rsidR="00BD422A">
        <w:t>contact</w:t>
      </w:r>
      <w:r w:rsidRPr="00775D74" w:rsidR="00EB370E">
        <w:t xml:space="preserve"> with conductors</w:t>
      </w:r>
      <w:r w:rsidRPr="00775D74" w:rsidR="00BD422A">
        <w:t>,</w:t>
      </w:r>
      <w:r w:rsidRPr="00775D74" w:rsidR="00167862">
        <w:t xml:space="preserve"> and risks introduced by third-parties.</w:t>
      </w:r>
      <w:r w:rsidRPr="00775D74" w:rsidR="00A37F29">
        <w:t xml:space="preserve">  </w:t>
      </w:r>
      <w:r w:rsidRPr="00775D74" w:rsidR="003C5AAA">
        <w:t xml:space="preserve">The metric requires </w:t>
      </w:r>
      <w:r w:rsidRPr="00775D74" w:rsidR="00EF3BF6">
        <w:t xml:space="preserve">separate reporting for primary distribution and transmission overhead </w:t>
      </w:r>
      <w:r w:rsidRPr="00775D74" w:rsidR="00F246B0">
        <w:t>circuits</w:t>
      </w:r>
      <w:r w:rsidRPr="00775D74" w:rsidR="00EF3BF6">
        <w:t xml:space="preserve">, as well as for </w:t>
      </w:r>
      <w:r w:rsidRPr="00775D74" w:rsidR="00F246B0">
        <w:t xml:space="preserve">patrols and detailed inspections. </w:t>
      </w:r>
    </w:p>
    <w:p w:rsidRPr="00775D74" w:rsidR="003E1B4C" w:rsidP="00990028" w:rsidRDefault="003E1B4C" w14:paraId="41D21FE1" w14:textId="7CC6C697">
      <w:pPr>
        <w:pStyle w:val="Standard"/>
        <w:numPr>
          <w:ilvl w:val="0"/>
          <w:numId w:val="17"/>
        </w:numPr>
        <w:spacing w:after="120" w:line="240" w:lineRule="auto"/>
        <w:ind w:left="1080" w:right="1440"/>
      </w:pPr>
      <w:r w:rsidRPr="00775D74">
        <w:rPr>
          <w:u w:val="single"/>
        </w:rPr>
        <w:t>SPM # 35:</w:t>
      </w:r>
      <w:r w:rsidRPr="00775D74">
        <w:t xml:space="preserve"> </w:t>
      </w:r>
      <w:r w:rsidRPr="00775D74" w:rsidR="004A6F55">
        <w:t xml:space="preserve"> </w:t>
      </w:r>
      <w:r w:rsidRPr="00775D74">
        <w:t>Overhead Conductor Wire Size in HFTD</w:t>
      </w:r>
      <w:r w:rsidRPr="00775D74" w:rsidR="00162DD8">
        <w:t>.</w:t>
      </w:r>
      <w:r w:rsidRPr="00775D74">
        <w:t xml:space="preserve">  </w:t>
      </w:r>
      <w:r w:rsidR="00201E49">
        <w:t>For clarity, w</w:t>
      </w:r>
      <w:r w:rsidRPr="00775D74">
        <w:t xml:space="preserve">e modify the name </w:t>
      </w:r>
      <w:r w:rsidRPr="00775D74" w:rsidR="00B125BB">
        <w:t xml:space="preserve">of this metric to </w:t>
      </w:r>
      <w:r w:rsidRPr="00775D74" w:rsidR="00762980">
        <w:t xml:space="preserve">Overhead Conductor </w:t>
      </w:r>
      <w:r w:rsidRPr="00775D74" w:rsidR="001B642D">
        <w:t xml:space="preserve">Size in </w:t>
      </w:r>
      <w:r w:rsidRPr="00775D74" w:rsidR="00A1158A">
        <w:t>Tiers 2 and 3</w:t>
      </w:r>
      <w:r w:rsidRPr="00775D74" w:rsidR="005F2383">
        <w:t xml:space="preserve"> HFTD </w:t>
      </w:r>
      <w:r w:rsidRPr="00775D74">
        <w:t xml:space="preserve">and </w:t>
      </w:r>
      <w:r w:rsidRPr="00775D74" w:rsidR="007D1100">
        <w:t>the</w:t>
      </w:r>
      <w:r w:rsidRPr="00775D74">
        <w:t xml:space="preserve"> description of this metric </w:t>
      </w:r>
      <w:r w:rsidR="00DF6B7B">
        <w:t xml:space="preserve">to </w:t>
      </w:r>
      <w:r w:rsidRPr="00775D74" w:rsidR="0057721A">
        <w:t xml:space="preserve">focus reporting on </w:t>
      </w:r>
      <w:r w:rsidRPr="00775D74" w:rsidR="00611CDC">
        <w:t xml:space="preserve">overhead </w:t>
      </w:r>
      <w:r w:rsidR="000729AF">
        <w:t xml:space="preserve">primary distribution </w:t>
      </w:r>
      <w:r w:rsidRPr="00775D74" w:rsidR="00611CDC">
        <w:t xml:space="preserve">conductors </w:t>
      </w:r>
      <w:r w:rsidRPr="00775D74" w:rsidR="00A01BC0">
        <w:t>made of #6 copper</w:t>
      </w:r>
      <w:r w:rsidRPr="00775D74">
        <w:t xml:space="preserve">. </w:t>
      </w:r>
      <w:r w:rsidRPr="00775D74" w:rsidR="001E7EFE">
        <w:t xml:space="preserve"> Small gauge conductors such as #6 copper are particularly vulnerable to failure from contact with vegetation</w:t>
      </w:r>
      <w:r w:rsidRPr="00775D74" w:rsidR="003C6461">
        <w:t>.</w:t>
      </w:r>
      <w:r w:rsidR="009B7404">
        <w:t xml:space="preserve">  </w:t>
      </w:r>
      <w:r w:rsidR="00013644">
        <w:t>T</w:t>
      </w:r>
      <w:r w:rsidR="00055863">
        <w:t>racking t</w:t>
      </w:r>
      <w:r w:rsidR="00013644">
        <w:t xml:space="preserve">he </w:t>
      </w:r>
      <w:r w:rsidR="00EE0410">
        <w:lastRenderedPageBreak/>
        <w:t xml:space="preserve">percentage </w:t>
      </w:r>
      <w:r w:rsidR="00D36A11">
        <w:t xml:space="preserve">of </w:t>
      </w:r>
      <w:r w:rsidR="00D95A2A">
        <w:t xml:space="preserve">overhead primary conductors smaller than </w:t>
      </w:r>
      <w:r w:rsidR="00EC76DF">
        <w:t xml:space="preserve">#2 and </w:t>
      </w:r>
      <w:r w:rsidR="00983568">
        <w:t xml:space="preserve">#4 </w:t>
      </w:r>
      <w:r w:rsidR="00420C50">
        <w:t xml:space="preserve">copper </w:t>
      </w:r>
      <w:r w:rsidR="00983568">
        <w:t xml:space="preserve">conductors </w:t>
      </w:r>
      <w:r w:rsidR="00CF04FB">
        <w:t>will help</w:t>
      </w:r>
      <w:r w:rsidR="001E6255">
        <w:t xml:space="preserve"> </w:t>
      </w:r>
      <w:r w:rsidR="00EE0410">
        <w:t xml:space="preserve">measure </w:t>
      </w:r>
      <w:r w:rsidR="00EB35B1">
        <w:t xml:space="preserve">the amount of </w:t>
      </w:r>
      <w:r w:rsidR="00EE0410">
        <w:t xml:space="preserve">small </w:t>
      </w:r>
      <w:r w:rsidR="002E559C">
        <w:t xml:space="preserve">primary distribution overhead </w:t>
      </w:r>
      <w:r w:rsidR="00EE0410">
        <w:t xml:space="preserve">conductors </w:t>
      </w:r>
      <w:r w:rsidR="00B93995">
        <w:t xml:space="preserve">most </w:t>
      </w:r>
      <w:r w:rsidR="00EE0410">
        <w:t>prone to failure.</w:t>
      </w:r>
      <w:r w:rsidR="00E03695">
        <w:t xml:space="preserve"> </w:t>
      </w:r>
      <w:r w:rsidR="00E200C2">
        <w:t xml:space="preserve"> Since #6 copper conductor</w:t>
      </w:r>
      <w:r w:rsidR="002E03B0">
        <w:t>s</w:t>
      </w:r>
      <w:r w:rsidR="00E200C2">
        <w:t xml:space="preserve"> </w:t>
      </w:r>
      <w:r w:rsidR="002E03B0">
        <w:t>are</w:t>
      </w:r>
      <w:r w:rsidR="00E200C2">
        <w:t xml:space="preserve"> </w:t>
      </w:r>
      <w:r w:rsidR="00361C8B">
        <w:t xml:space="preserve">smaller </w:t>
      </w:r>
      <w:r w:rsidR="002E03B0">
        <w:t xml:space="preserve">and more prone to failure </w:t>
      </w:r>
      <w:r w:rsidR="00361C8B">
        <w:t>than #2 or #4 copper conductors</w:t>
      </w:r>
      <w:r w:rsidR="00921A06">
        <w:t xml:space="preserve">, </w:t>
      </w:r>
      <w:r w:rsidR="004C612C">
        <w:t>this i</w:t>
      </w:r>
      <w:r w:rsidR="00A17AA8">
        <w:t>s</w:t>
      </w:r>
      <w:r w:rsidR="00B91AE9">
        <w:t xml:space="preserve"> a</w:t>
      </w:r>
      <w:r w:rsidR="005C5580">
        <w:t xml:space="preserve"> suitable</w:t>
      </w:r>
      <w:r w:rsidR="00B91AE9">
        <w:t xml:space="preserve"> </w:t>
      </w:r>
      <w:r w:rsidR="003D65D6">
        <w:t xml:space="preserve">reference size </w:t>
      </w:r>
      <w:r w:rsidR="00A17AA8">
        <w:t xml:space="preserve">to track </w:t>
      </w:r>
      <w:r w:rsidR="003D65D6">
        <w:t xml:space="preserve">for </w:t>
      </w:r>
      <w:r w:rsidR="004C612C">
        <w:t>SPM #35</w:t>
      </w:r>
      <w:r w:rsidR="003D65D6">
        <w:t>.</w:t>
      </w:r>
      <w:r w:rsidR="006B005D">
        <w:t xml:space="preserve">  The s</w:t>
      </w:r>
      <w:r w:rsidR="008C70F9">
        <w:t>uitability</w:t>
      </w:r>
      <w:r w:rsidR="006B005D">
        <w:t xml:space="preserve"> of #6 copper as </w:t>
      </w:r>
      <w:r w:rsidR="005C5580">
        <w:t xml:space="preserve">a </w:t>
      </w:r>
      <w:r w:rsidR="006B005D">
        <w:t xml:space="preserve">reference </w:t>
      </w:r>
      <w:r w:rsidR="005C5580">
        <w:t>size</w:t>
      </w:r>
      <w:r w:rsidR="006B005D">
        <w:t xml:space="preserve"> </w:t>
      </w:r>
      <w:r w:rsidR="00FF41F5">
        <w:t xml:space="preserve">for </w:t>
      </w:r>
      <w:r w:rsidR="002003EF">
        <w:t>small overhead primary distribution conductors mo</w:t>
      </w:r>
      <w:r w:rsidR="006817F6">
        <w:t xml:space="preserve">st </w:t>
      </w:r>
      <w:r w:rsidR="002003EF">
        <w:t xml:space="preserve">prone to failure </w:t>
      </w:r>
      <w:r w:rsidR="00341730">
        <w:t>can</w:t>
      </w:r>
      <w:r w:rsidR="000B53DF">
        <w:t xml:space="preserve"> be revisited in the future</w:t>
      </w:r>
      <w:r w:rsidR="000E428A">
        <w:t xml:space="preserve"> as needed</w:t>
      </w:r>
      <w:r w:rsidR="000B53DF">
        <w:t>.</w:t>
      </w:r>
      <w:r w:rsidR="006B005D">
        <w:t xml:space="preserve"> </w:t>
      </w:r>
      <w:r w:rsidR="002E03B0">
        <w:t xml:space="preserve"> </w:t>
      </w:r>
    </w:p>
    <w:p w:rsidRPr="00775D74" w:rsidR="007C5426" w:rsidP="00990028" w:rsidRDefault="007C5426" w14:paraId="7EBA8263" w14:textId="643D5122">
      <w:pPr>
        <w:pStyle w:val="Standard"/>
        <w:numPr>
          <w:ilvl w:val="0"/>
          <w:numId w:val="17"/>
        </w:numPr>
        <w:spacing w:after="120" w:line="240" w:lineRule="auto"/>
        <w:ind w:left="1080" w:right="1440"/>
      </w:pPr>
      <w:r w:rsidRPr="00775D74">
        <w:rPr>
          <w:u w:val="single"/>
        </w:rPr>
        <w:t>SPM #41</w:t>
      </w:r>
      <w:r w:rsidRPr="00775D74">
        <w:t xml:space="preserve">: </w:t>
      </w:r>
      <w:r w:rsidRPr="00775D74" w:rsidR="004A6F55">
        <w:t xml:space="preserve"> </w:t>
      </w:r>
      <w:r w:rsidRPr="00775D74">
        <w:t xml:space="preserve">Work Order Backlog: We modify the name </w:t>
      </w:r>
      <w:r w:rsidRPr="00775D74" w:rsidR="00D02774">
        <w:t xml:space="preserve">of this metric to “Gas Operation Corrective Actions Backlog,” </w:t>
      </w:r>
      <w:r w:rsidRPr="00775D74">
        <w:t xml:space="preserve">and </w:t>
      </w:r>
      <w:r w:rsidRPr="00775D74" w:rsidR="00D02774">
        <w:t xml:space="preserve">modify </w:t>
      </w:r>
      <w:r w:rsidRPr="00775D74" w:rsidR="00AF3CFD">
        <w:t>it</w:t>
      </w:r>
      <w:r w:rsidR="00420966">
        <w:t>s</w:t>
      </w:r>
      <w:r w:rsidRPr="00775D74" w:rsidR="00D02774">
        <w:t xml:space="preserve"> </w:t>
      </w:r>
      <w:r w:rsidRPr="00775D74">
        <w:t>description to specify reporting on gas operations correcti</w:t>
      </w:r>
      <w:r w:rsidRPr="00775D74" w:rsidR="00AF3CFD">
        <w:t>ve</w:t>
      </w:r>
      <w:r w:rsidRPr="00775D74">
        <w:t xml:space="preserve"> actions backlogs</w:t>
      </w:r>
      <w:r w:rsidRPr="00775D74" w:rsidR="00A11A89">
        <w:t xml:space="preserve"> and 49 CFR Part 192</w:t>
      </w:r>
      <w:r w:rsidRPr="00775D74" w:rsidR="008F4B53">
        <w:t xml:space="preserve">. </w:t>
      </w:r>
      <w:r w:rsidRPr="00775D74" w:rsidR="00006BD9">
        <w:t xml:space="preserve"> This metric gives visibility to a utility’s compliance with gas safety regulations and the utility’s promptness to correct deficiencies within a</w:t>
      </w:r>
      <w:r w:rsidR="004E3D6B">
        <w:t>n acceptable</w:t>
      </w:r>
      <w:r w:rsidRPr="00775D74" w:rsidR="00006BD9">
        <w:t xml:space="preserve"> timeframe.  </w:t>
      </w:r>
    </w:p>
    <w:p w:rsidRPr="00775D74" w:rsidR="008F4B53" w:rsidP="00990028" w:rsidRDefault="008F4B53" w14:paraId="3594E610" w14:textId="7D636502">
      <w:pPr>
        <w:pStyle w:val="Standard"/>
        <w:numPr>
          <w:ilvl w:val="0"/>
          <w:numId w:val="17"/>
        </w:numPr>
        <w:spacing w:after="120" w:line="240" w:lineRule="auto"/>
        <w:ind w:left="1080" w:right="1440"/>
      </w:pPr>
      <w:r w:rsidRPr="00775D74">
        <w:rPr>
          <w:u w:val="single"/>
        </w:rPr>
        <w:t>SPM #</w:t>
      </w:r>
      <w:r w:rsidRPr="00775D74" w:rsidR="00A229E6">
        <w:rPr>
          <w:u w:val="single"/>
        </w:rPr>
        <w:t>43</w:t>
      </w:r>
      <w:r w:rsidRPr="00775D74" w:rsidR="00A229E6">
        <w:t xml:space="preserve">: </w:t>
      </w:r>
      <w:r w:rsidRPr="00775D74" w:rsidR="004A6F55">
        <w:t xml:space="preserve"> </w:t>
      </w:r>
      <w:r w:rsidRPr="00775D74" w:rsidR="00A229E6">
        <w:t xml:space="preserve">GO-95 Correction Actions in HFTDs: </w:t>
      </w:r>
      <w:r w:rsidRPr="00775D74" w:rsidR="00FA7A21">
        <w:t xml:space="preserve"> We modify the name of </w:t>
      </w:r>
      <w:r w:rsidRPr="00775D74" w:rsidR="00A63061">
        <w:t>this metric to</w:t>
      </w:r>
      <w:r w:rsidRPr="00775D74" w:rsidR="00A229E6">
        <w:t xml:space="preserve"> </w:t>
      </w:r>
      <w:r w:rsidRPr="00775D74" w:rsidR="00A265D8">
        <w:t>GO-95 Corrective Actions (Tiers</w:t>
      </w:r>
      <w:r w:rsidRPr="00775D74" w:rsidR="001653A1">
        <w:t xml:space="preserve"> 2 and 3 HFTD</w:t>
      </w:r>
      <w:r w:rsidRPr="00775D74" w:rsidR="008F5C0F">
        <w:t>s</w:t>
      </w:r>
      <w:r w:rsidRPr="00775D74" w:rsidR="001653A1">
        <w:t xml:space="preserve">).  </w:t>
      </w:r>
      <w:r w:rsidRPr="00775D74" w:rsidR="00A229E6">
        <w:t xml:space="preserve">We </w:t>
      </w:r>
      <w:r w:rsidRPr="00775D74" w:rsidR="001653A1">
        <w:t>also</w:t>
      </w:r>
      <w:r w:rsidRPr="00775D74" w:rsidR="00A229E6">
        <w:t xml:space="preserve"> clarify the definition of this metric</w:t>
      </w:r>
      <w:r w:rsidRPr="00775D74" w:rsidR="007E145D">
        <w:t xml:space="preserve"> as suggested by SDG&amp;E</w:t>
      </w:r>
      <w:r w:rsidRPr="00775D74" w:rsidR="00352F80">
        <w:t xml:space="preserve"> and focus the metric’s description on the number of “Priority Level</w:t>
      </w:r>
      <w:r w:rsidRPr="00775D74" w:rsidR="00990028">
        <w:t> </w:t>
      </w:r>
      <w:r w:rsidRPr="00775D74" w:rsidR="00352F80">
        <w:t xml:space="preserve">2” notifications that were completed on time divided by the total number of Priority Level 2 notifications that were due in the calendar year in </w:t>
      </w:r>
      <w:r w:rsidR="006211EF">
        <w:t xml:space="preserve">the </w:t>
      </w:r>
      <w:r w:rsidRPr="00775D74" w:rsidR="00352F80">
        <w:t>HFTD</w:t>
      </w:r>
      <w:r w:rsidR="006211EF">
        <w:t>s</w:t>
      </w:r>
      <w:r w:rsidRPr="00775D74" w:rsidR="00352F80">
        <w:t xml:space="preserve">.  We indicate that reporting </w:t>
      </w:r>
      <w:r w:rsidRPr="00775D74" w:rsidR="00967457">
        <w:t>should be c</w:t>
      </w:r>
      <w:r w:rsidRPr="00775D74" w:rsidR="00352F80">
        <w:t xml:space="preserve">onsistent with GO 95 Rule 18 provisions, </w:t>
      </w:r>
      <w:r w:rsidRPr="00775D74" w:rsidR="00967457">
        <w:t xml:space="preserve">that is, reporting </w:t>
      </w:r>
      <w:r w:rsidRPr="00775D74" w:rsidR="00352F80">
        <w:t>should exclude notifications that qualify for extensions under reasonable circumstances.</w:t>
      </w:r>
      <w:r w:rsidRPr="00775D74" w:rsidR="0022442F">
        <w:t xml:space="preserve"> </w:t>
      </w:r>
      <w:r w:rsidRPr="00775D74" w:rsidR="004A173D">
        <w:t xml:space="preserve"> </w:t>
      </w:r>
      <w:r w:rsidRPr="00775D74" w:rsidR="0022442F">
        <w:t xml:space="preserve">This metric </w:t>
      </w:r>
      <w:r w:rsidRPr="00775D74" w:rsidR="00967457">
        <w:t>is useful as it give</w:t>
      </w:r>
      <w:r w:rsidR="000A5BE4">
        <w:t>s</w:t>
      </w:r>
      <w:r w:rsidRPr="00775D74" w:rsidR="00967457">
        <w:t xml:space="preserve"> </w:t>
      </w:r>
      <w:r w:rsidRPr="00775D74" w:rsidR="0022442F">
        <w:t>visibility to a utility’s compliance with electric safety regulations and the utility’s promptness to correct deficiencies within a</w:t>
      </w:r>
      <w:r w:rsidR="00A3792D">
        <w:t xml:space="preserve">n acceptable </w:t>
      </w:r>
      <w:r w:rsidRPr="00775D74" w:rsidR="0022442F">
        <w:t xml:space="preserve">timeframe.  </w:t>
      </w:r>
    </w:p>
    <w:p w:rsidRPr="00775D74" w:rsidR="00F1374E" w:rsidP="00990028" w:rsidRDefault="00F1374E" w14:paraId="3F580AD7" w14:textId="25945795">
      <w:pPr>
        <w:pStyle w:val="Standard"/>
        <w:numPr>
          <w:ilvl w:val="0"/>
          <w:numId w:val="17"/>
        </w:numPr>
        <w:spacing w:after="120" w:line="240" w:lineRule="auto"/>
        <w:ind w:left="1080" w:right="1440"/>
      </w:pPr>
      <w:r w:rsidRPr="00775D74">
        <w:rPr>
          <w:u w:val="single"/>
        </w:rPr>
        <w:t>SPM #44</w:t>
      </w:r>
      <w:r w:rsidRPr="00775D74">
        <w:t xml:space="preserve">: </w:t>
      </w:r>
      <w:r w:rsidRPr="00775D74" w:rsidR="004A6F55">
        <w:t xml:space="preserve"> </w:t>
      </w:r>
      <w:r w:rsidRPr="00775D74">
        <w:t xml:space="preserve">Gas Overpressure Events: </w:t>
      </w:r>
      <w:r w:rsidRPr="00775D74" w:rsidR="00F7629C">
        <w:t xml:space="preserve"> We adopt this metric as proposed by Staff.</w:t>
      </w:r>
      <w:r w:rsidRPr="00775D74" w:rsidR="001A19C6">
        <w:t xml:space="preserve">  Gas overpressure events pose significant safety risks and can arise from incorrect operations</w:t>
      </w:r>
      <w:r w:rsidRPr="00775D74" w:rsidR="00C9320E">
        <w:t>, faulty design,</w:t>
      </w:r>
      <w:r w:rsidRPr="00775D74" w:rsidR="001A19C6">
        <w:t xml:space="preserve"> or faulty equipment.</w:t>
      </w:r>
    </w:p>
    <w:p w:rsidRPr="00775D74" w:rsidR="00F7629C" w:rsidP="00990028" w:rsidRDefault="00650226" w14:paraId="41AEC9E9" w14:textId="46F0AFF1">
      <w:pPr>
        <w:pStyle w:val="Standard"/>
        <w:numPr>
          <w:ilvl w:val="0"/>
          <w:numId w:val="17"/>
        </w:numPr>
        <w:spacing w:after="120" w:line="240" w:lineRule="auto"/>
        <w:ind w:left="1080" w:right="1440"/>
      </w:pPr>
      <w:r w:rsidRPr="00775D74">
        <w:rPr>
          <w:u w:val="single"/>
        </w:rPr>
        <w:t>SPM #</w:t>
      </w:r>
      <w:r w:rsidRPr="00775D74" w:rsidR="008C0D96">
        <w:rPr>
          <w:u w:val="single"/>
        </w:rPr>
        <w:t>45</w:t>
      </w:r>
      <w:r w:rsidRPr="00775D74" w:rsidR="008C0D96">
        <w:t xml:space="preserve">: </w:t>
      </w:r>
      <w:r w:rsidRPr="00775D74" w:rsidR="004A6F55">
        <w:t xml:space="preserve"> </w:t>
      </w:r>
      <w:r w:rsidRPr="00775D74" w:rsidR="008C0D96">
        <w:t xml:space="preserve">Gas In-Line </w:t>
      </w:r>
      <w:r w:rsidRPr="00775D74" w:rsidR="00A03B9F">
        <w:t xml:space="preserve">Inspections Missed:  We </w:t>
      </w:r>
      <w:r w:rsidRPr="00775D74" w:rsidR="00C5666B">
        <w:t xml:space="preserve">slightly modify the description of this metric to specify reporting </w:t>
      </w:r>
      <w:r w:rsidRPr="00775D74" w:rsidR="00383696">
        <w:lastRenderedPageBreak/>
        <w:t>according</w:t>
      </w:r>
      <w:r w:rsidRPr="00775D74" w:rsidR="00C5666B">
        <w:t xml:space="preserve"> to the intervals established pursuant to 49 CFR</w:t>
      </w:r>
      <w:r w:rsidRPr="00775D74" w:rsidR="00383696">
        <w:t xml:space="preserve">, Part 192. </w:t>
      </w:r>
      <w:r w:rsidRPr="00775D74" w:rsidR="000D2412">
        <w:t xml:space="preserve"> Since inline inspections are an important pipeline risk assessment tool, this metric measures how well a gas operator is complying with inline inspection requirements.</w:t>
      </w:r>
    </w:p>
    <w:p w:rsidRPr="00775D74" w:rsidR="00383696" w:rsidP="00990028" w:rsidRDefault="00383696" w14:paraId="54C5F3AF" w14:textId="1E7BD521">
      <w:pPr>
        <w:pStyle w:val="Standard"/>
        <w:numPr>
          <w:ilvl w:val="0"/>
          <w:numId w:val="17"/>
        </w:numPr>
        <w:spacing w:after="120" w:line="240" w:lineRule="auto"/>
        <w:ind w:left="1080" w:right="1440"/>
      </w:pPr>
      <w:r w:rsidRPr="00775D74">
        <w:rPr>
          <w:u w:val="single"/>
        </w:rPr>
        <w:t>SPM #4</w:t>
      </w:r>
      <w:r w:rsidRPr="00775D74" w:rsidR="00E12BA1">
        <w:rPr>
          <w:u w:val="single"/>
        </w:rPr>
        <w:t>6 (</w:t>
      </w:r>
      <w:r w:rsidRPr="00775D74" w:rsidR="008C6B02">
        <w:rPr>
          <w:u w:val="single"/>
        </w:rPr>
        <w:t>SPM #32 in Appendices B and E)</w:t>
      </w:r>
      <w:r w:rsidRPr="00775D74" w:rsidR="008C6B02">
        <w:t xml:space="preserve">: </w:t>
      </w:r>
      <w:r w:rsidRPr="00775D74" w:rsidR="004A6F55">
        <w:t xml:space="preserve"> </w:t>
      </w:r>
      <w:r w:rsidRPr="00775D74" w:rsidR="009B7AD9">
        <w:t xml:space="preserve">Overhead Conductor Safety Index: </w:t>
      </w:r>
      <w:r w:rsidRPr="00775D74" w:rsidR="004A173D">
        <w:t xml:space="preserve"> </w:t>
      </w:r>
      <w:r w:rsidRPr="00775D74" w:rsidR="00110694">
        <w:t xml:space="preserve">We </w:t>
      </w:r>
      <w:r w:rsidR="007C53E3">
        <w:t>modify Staff’s proposed SOM #3.1 and Staff’s proposed revised SPMs #</w:t>
      </w:r>
      <w:r w:rsidR="00B2381F">
        <w:t xml:space="preserve">s </w:t>
      </w:r>
      <w:r w:rsidR="007C53E3">
        <w:t xml:space="preserve">1 and 2 and adopt these concepts as a new SPM. </w:t>
      </w:r>
      <w:r w:rsidR="00B2381F">
        <w:t xml:space="preserve">As discussed </w:t>
      </w:r>
      <w:r w:rsidR="00E66B17">
        <w:t xml:space="preserve">regarding SOM #3.1 and SPDs #s 1 and 2, the </w:t>
      </w:r>
      <w:r w:rsidRPr="00775D74" w:rsidR="00CB2E02">
        <w:t xml:space="preserve">five conditions comprising this index are intended to capture a broader array of </w:t>
      </w:r>
      <w:r w:rsidRPr="00775D74" w:rsidR="006A6288">
        <w:t xml:space="preserve">potentially significant </w:t>
      </w:r>
      <w:r w:rsidRPr="00775D74" w:rsidR="00CB2E02">
        <w:t xml:space="preserve">safety risks posed by high voltage overhead conductors than the wires down definition alone </w:t>
      </w:r>
      <w:r w:rsidRPr="00775D74" w:rsidR="00B3528C">
        <w:t xml:space="preserve">can </w:t>
      </w:r>
      <w:r w:rsidRPr="00775D74" w:rsidR="00A35F0B">
        <w:t>capture</w:t>
      </w:r>
      <w:r w:rsidRPr="00775D74" w:rsidR="00CB2E02">
        <w:t xml:space="preserve">.  </w:t>
      </w:r>
      <w:r w:rsidRPr="00775D74" w:rsidR="00110694">
        <w:t xml:space="preserve">This metric uses the </w:t>
      </w:r>
      <w:r w:rsidRPr="00775D74" w:rsidR="00BE0C8A">
        <w:t xml:space="preserve">definitions and concepts that had been included in Staff’s proposed SOM #3.1 </w:t>
      </w:r>
      <w:r w:rsidRPr="00775D74" w:rsidR="00D13934">
        <w:t xml:space="preserve">for </w:t>
      </w:r>
      <w:r w:rsidRPr="00775D74" w:rsidR="00025F90">
        <w:t xml:space="preserve">PG&amp;E </w:t>
      </w:r>
      <w:r w:rsidRPr="00775D74" w:rsidR="00BE0C8A">
        <w:t>on Wires Down</w:t>
      </w:r>
      <w:r w:rsidRPr="00775D74" w:rsidR="002A3088">
        <w:t xml:space="preserve">, with the exception that we modify </w:t>
      </w:r>
      <w:r w:rsidRPr="00775D74" w:rsidR="00B06843">
        <w:t xml:space="preserve">Staff’s proposed definition </w:t>
      </w:r>
      <w:r w:rsidRPr="00775D74" w:rsidR="00754C7D">
        <w:t xml:space="preserve">of conductors </w:t>
      </w:r>
      <w:r w:rsidRPr="00775D74" w:rsidR="00C856E8">
        <w:t xml:space="preserve">that had referenced </w:t>
      </w:r>
      <w:r w:rsidRPr="00775D74" w:rsidR="00754C7D">
        <w:t xml:space="preserve">GO 95, as </w:t>
      </w:r>
      <w:r w:rsidRPr="00775D74" w:rsidR="00C856E8">
        <w:t>adopting this approach</w:t>
      </w:r>
      <w:r w:rsidRPr="00775D74" w:rsidR="00754C7D">
        <w:t xml:space="preserve"> would have produced </w:t>
      </w:r>
      <w:r w:rsidRPr="00775D74" w:rsidR="00B06843">
        <w:t>a disproportional number of occurrences within this index</w:t>
      </w:r>
      <w:r w:rsidRPr="00775D74" w:rsidR="00025F90">
        <w:t xml:space="preserve">. </w:t>
      </w:r>
      <w:r w:rsidR="00516397">
        <w:t>Additionally</w:t>
      </w:r>
      <w:r w:rsidRPr="00775D74" w:rsidR="00025F90">
        <w:t>, we apply these concepts</w:t>
      </w:r>
      <w:r w:rsidRPr="00775D74" w:rsidR="00C70A53">
        <w:t xml:space="preserve"> to all electric IOUs. </w:t>
      </w:r>
      <w:r w:rsidRPr="00775D74" w:rsidR="00BE0C8A">
        <w:t xml:space="preserve"> </w:t>
      </w:r>
      <w:r w:rsidRPr="00775D74" w:rsidR="009C79EC">
        <w:t xml:space="preserve">D.19-04-020 directed Staff to propose an electric overhead conductor index, and this </w:t>
      </w:r>
      <w:r w:rsidRPr="00775D74" w:rsidR="009C25F2">
        <w:t>metric fulfills this need</w:t>
      </w:r>
      <w:r w:rsidRPr="00775D74" w:rsidR="009C79EC">
        <w:t xml:space="preserve">.  </w:t>
      </w:r>
    </w:p>
    <w:p w:rsidR="00272A56" w:rsidRDefault="00544906" w14:paraId="75C73589" w14:textId="77777777">
      <w:pPr>
        <w:pStyle w:val="Standard"/>
      </w:pPr>
      <w:r w:rsidRPr="00775D74">
        <w:t>We concur with commenters that several of Staff’s</w:t>
      </w:r>
      <w:r>
        <w:t xml:space="preserve"> proposed SPMs were not </w:t>
      </w:r>
      <w:r w:rsidR="00124630">
        <w:t xml:space="preserve">yet sufficiently </w:t>
      </w:r>
      <w:r>
        <w:t xml:space="preserve">defined or could have unintended consequences as worded.  Thus, we do not adopt Staff’s proposed SPMs #s </w:t>
      </w:r>
      <w:r w:rsidR="0098491C">
        <w:t xml:space="preserve">27, 28, 29, </w:t>
      </w:r>
      <w:r w:rsidR="00DE217F">
        <w:t>31, 32, 34, 36, 37, 38, 39, 40, or 42.</w:t>
      </w:r>
      <w:r w:rsidR="00272A56">
        <w:t xml:space="preserve">  </w:t>
      </w:r>
      <w:r w:rsidR="00DC6AD8">
        <w:t xml:space="preserve">We also do not adopt Cal Advocates </w:t>
      </w:r>
      <w:r w:rsidR="00167EE7">
        <w:t>proposed new SPM #</w:t>
      </w:r>
      <w:r w:rsidR="00775695">
        <w:t xml:space="preserve">s </w:t>
      </w:r>
      <w:r w:rsidR="00167EE7">
        <w:t>27.1, 41.1</w:t>
      </w:r>
      <w:r w:rsidR="00775695">
        <w:t>,</w:t>
      </w:r>
      <w:r w:rsidR="00167EE7">
        <w:t xml:space="preserve"> or 43.1 </w:t>
      </w:r>
      <w:r w:rsidR="00077D97">
        <w:t xml:space="preserve">as unnecessary and poorly defined.  </w:t>
      </w:r>
      <w:r w:rsidR="00272A56">
        <w:t>Our final adopted SPMs are listed in Appendix B.</w:t>
      </w:r>
    </w:p>
    <w:p w:rsidR="00AD595A" w:rsidP="00AD595A" w:rsidRDefault="00A01319" w14:paraId="17D62D00" w14:textId="392FB1DD">
      <w:pPr>
        <w:pStyle w:val="Standard"/>
      </w:pPr>
      <w:r>
        <w:t xml:space="preserve">We direct the IOUs to </w:t>
      </w:r>
      <w:r w:rsidRPr="00A01319">
        <w:t xml:space="preserve">submit </w:t>
      </w:r>
      <w:r w:rsidR="00AD595A">
        <w:t xml:space="preserve">SPMs reports addressing the SPMs </w:t>
      </w:r>
      <w:r w:rsidRPr="00A01319">
        <w:t>listed in Appendix B according to the method set forth in D</w:t>
      </w:r>
      <w:r w:rsidR="00775695">
        <w:t>.</w:t>
      </w:r>
      <w:r w:rsidRPr="00A01319">
        <w:t xml:space="preserve">19-04-020, Ordering Paragraphs 1, 2, 3, and 6, with two modifications: </w:t>
      </w:r>
      <w:r w:rsidR="009950CF">
        <w:t xml:space="preserve"> </w:t>
      </w:r>
      <w:r w:rsidRPr="00A01319">
        <w:t xml:space="preserve">the IOUs shall </w:t>
      </w:r>
      <w:r w:rsidR="00AD595A">
        <w:t xml:space="preserve">each </w:t>
      </w:r>
      <w:r w:rsidRPr="00A01319">
        <w:t xml:space="preserve">serve </w:t>
      </w:r>
      <w:r w:rsidRPr="00A01319">
        <w:rPr>
          <w:u w:val="single"/>
        </w:rPr>
        <w:t>and file</w:t>
      </w:r>
      <w:r w:rsidRPr="00A01319">
        <w:t xml:space="preserve"> their SPM reports in R</w:t>
      </w:r>
      <w:r w:rsidR="0079750C">
        <w:t>.</w:t>
      </w:r>
      <w:r w:rsidRPr="00A01319">
        <w:t xml:space="preserve">20-07-013, and their most recent or current </w:t>
      </w:r>
      <w:r w:rsidR="00324655">
        <w:t xml:space="preserve">RAMP and </w:t>
      </w:r>
      <w:r w:rsidR="00324655">
        <w:lastRenderedPageBreak/>
        <w:t xml:space="preserve">GRC </w:t>
      </w:r>
      <w:r w:rsidRPr="00A01319">
        <w:t xml:space="preserve">proceedings and shall concurrently </w:t>
      </w:r>
      <w:r w:rsidR="0070143E">
        <w:t>send</w:t>
      </w:r>
      <w:r w:rsidRPr="00A01319">
        <w:t xml:space="preserve"> their SPM reports to </w:t>
      </w:r>
      <w:r w:rsidRPr="008F57EF" w:rsidR="008F57EF">
        <w:t xml:space="preserve">the Director of the Safety Policy Division and </w:t>
      </w:r>
      <w:r w:rsidR="0070143E">
        <w:t xml:space="preserve">to the </w:t>
      </w:r>
      <w:r w:rsidRPr="00A01319">
        <w:rPr>
          <w:iCs/>
        </w:rPr>
        <w:t xml:space="preserve">RASA_Email@cpuc.ca.gov.  </w:t>
      </w:r>
    </w:p>
    <w:p w:rsidR="001641A6" w:rsidP="005939A5" w:rsidRDefault="00F93919" w14:paraId="7FBE888F" w14:textId="6868C588">
      <w:pPr>
        <w:pStyle w:val="Heading1"/>
      </w:pPr>
      <w:bookmarkStart w:name="_Toc80890929" w:id="198"/>
      <w:bookmarkStart w:name="_Toc8123723" w:id="199"/>
      <w:bookmarkStart w:name="_Toc87361230" w:id="200"/>
      <w:r>
        <w:t>12.</w:t>
      </w:r>
      <w:r>
        <w:tab/>
      </w:r>
      <w:r w:rsidR="00563FBE">
        <w:t>R.20-07-013 Technical Working Group</w:t>
      </w:r>
      <w:bookmarkEnd w:id="200"/>
    </w:p>
    <w:p w:rsidR="00563FBE" w:rsidP="00A75C2E" w:rsidRDefault="00A75C2E" w14:paraId="166EE114" w14:textId="178AEB26">
      <w:pPr>
        <w:pStyle w:val="Standard"/>
        <w:rPr>
          <w:szCs w:val="26"/>
        </w:rPr>
      </w:pPr>
      <w:r>
        <w:rPr>
          <w:szCs w:val="26"/>
        </w:rPr>
        <w:t>This decision formally establishes a R.20-07-013 TWG</w:t>
      </w:r>
      <w:r w:rsidR="000C765A">
        <w:rPr>
          <w:szCs w:val="26"/>
        </w:rPr>
        <w:t xml:space="preserve">.  This TWG </w:t>
      </w:r>
      <w:r>
        <w:rPr>
          <w:szCs w:val="26"/>
        </w:rPr>
        <w:t xml:space="preserve">will address RDF Proceeding issues as directed </w:t>
      </w:r>
      <w:r w:rsidR="000C765A">
        <w:rPr>
          <w:szCs w:val="26"/>
        </w:rPr>
        <w:t xml:space="preserve">in this decision in sections </w:t>
      </w:r>
      <w:r w:rsidRPr="008A2C96" w:rsidR="00F46FBB">
        <w:rPr>
          <w:szCs w:val="26"/>
        </w:rPr>
        <w:t>6.4, 7.3, 8.3, 9.1.4, 9.2.2, and 10.4.2</w:t>
      </w:r>
      <w:r w:rsidR="00F46FBB">
        <w:rPr>
          <w:szCs w:val="26"/>
        </w:rPr>
        <w:t xml:space="preserve">.  We summarize the </w:t>
      </w:r>
      <w:r w:rsidR="007A168E">
        <w:rPr>
          <w:szCs w:val="26"/>
        </w:rPr>
        <w:t>scope of work of the TWG here</w:t>
      </w:r>
      <w:r w:rsidR="00BF311F">
        <w:rPr>
          <w:szCs w:val="26"/>
        </w:rPr>
        <w:t>.</w:t>
      </w:r>
    </w:p>
    <w:p w:rsidR="00BF311F" w:rsidP="00BF311F" w:rsidRDefault="00BF311F" w14:paraId="0E3E79D9" w14:textId="77777777">
      <w:pPr>
        <w:pStyle w:val="Standard"/>
        <w:rPr>
          <w:rFonts w:eastAsiaTheme="minorHAnsi" w:cstheme="minorBidi"/>
          <w:szCs w:val="26"/>
        </w:rPr>
      </w:pPr>
      <w:r>
        <w:rPr>
          <w:rFonts w:eastAsiaTheme="minorHAnsi" w:cstheme="minorBidi"/>
          <w:szCs w:val="26"/>
        </w:rPr>
        <w:t xml:space="preserve">The Phase I, Track 1 working group has been discussing methods to reflect foundational program costs in mitigation RSEs.  Although this decision adopts requirements in this area, we also encourage the TWG to identify potential opportunities to test TURN’s suggested “multi-portfolio” approach as described in section 6 using a small number of use-cases to understand the scope of work involved and to allow for an assessment of the quality of the results.  </w:t>
      </w:r>
    </w:p>
    <w:p w:rsidR="00BF311F" w:rsidP="00BF311F" w:rsidRDefault="00BF311F" w14:paraId="0DD522D2" w14:textId="37BB7CD1">
      <w:pPr>
        <w:spacing w:line="360" w:lineRule="auto"/>
        <w:ind w:firstLine="720"/>
        <w:rPr>
          <w:rFonts w:eastAsiaTheme="minorEastAsia" w:cstheme="minorBidi"/>
          <w:szCs w:val="26"/>
        </w:rPr>
      </w:pPr>
      <w:r w:rsidRPr="1BCABE3E">
        <w:rPr>
          <w:rFonts w:eastAsiaTheme="minorEastAsia" w:cstheme="minorBidi"/>
          <w:szCs w:val="26"/>
        </w:rPr>
        <w:t>Some of the unanswered questions that could be explored by the TWG in a test of TURN’s suggested approach</w:t>
      </w:r>
      <w:r w:rsidR="00F35873">
        <w:rPr>
          <w:rFonts w:eastAsiaTheme="minorEastAsia" w:cstheme="minorBidi"/>
          <w:szCs w:val="26"/>
        </w:rPr>
        <w:t>, as discussed in section 6.4,</w:t>
      </w:r>
      <w:r w:rsidRPr="1BCABE3E">
        <w:rPr>
          <w:rFonts w:eastAsiaTheme="minorEastAsia" w:cstheme="minorBidi"/>
          <w:szCs w:val="26"/>
        </w:rPr>
        <w:t xml:space="preserve"> include:  </w:t>
      </w:r>
    </w:p>
    <w:p w:rsidRPr="00FB6AB9" w:rsidR="00BF311F" w:rsidP="00990028" w:rsidRDefault="00BF311F" w14:paraId="44A5937A" w14:textId="3353C09A">
      <w:pPr>
        <w:pStyle w:val="ListParagraph"/>
        <w:numPr>
          <w:ilvl w:val="0"/>
          <w:numId w:val="18"/>
        </w:numPr>
        <w:spacing w:after="120" w:line="240" w:lineRule="auto"/>
        <w:ind w:left="1080" w:right="1440"/>
        <w:contextualSpacing w:val="0"/>
        <w:rPr>
          <w:rFonts w:ascii="Book Antiqua" w:hAnsi="Book Antiqua" w:eastAsiaTheme="minorHAnsi" w:cstheme="minorBidi"/>
          <w:sz w:val="26"/>
          <w:szCs w:val="26"/>
        </w:rPr>
      </w:pPr>
      <w:r w:rsidRPr="00FB6AB9">
        <w:rPr>
          <w:rFonts w:ascii="Book Antiqua" w:hAnsi="Book Antiqua" w:eastAsiaTheme="minorHAnsi" w:cstheme="minorBidi"/>
          <w:sz w:val="26"/>
          <w:szCs w:val="26"/>
        </w:rPr>
        <w:t>How should the IOUs apply the different RSEs from the different combinations of mitigations and associated foundational activities into a logical decision-making framework to justify the selection of mitigations and foundational activities presented in the RAMP applications?</w:t>
      </w:r>
    </w:p>
    <w:p w:rsidRPr="00FB6AB9" w:rsidR="00BF311F" w:rsidP="00990028" w:rsidRDefault="00BF311F" w14:paraId="1F178A36" w14:textId="77777777">
      <w:pPr>
        <w:pStyle w:val="ListParagraph"/>
        <w:numPr>
          <w:ilvl w:val="0"/>
          <w:numId w:val="18"/>
        </w:numPr>
        <w:spacing w:after="120" w:line="240" w:lineRule="auto"/>
        <w:ind w:left="1080" w:right="1440"/>
        <w:contextualSpacing w:val="0"/>
        <w:rPr>
          <w:rFonts w:ascii="Book Antiqua" w:hAnsi="Book Antiqua" w:eastAsiaTheme="minorEastAsia" w:cstheme="minorBidi"/>
          <w:sz w:val="26"/>
          <w:szCs w:val="26"/>
        </w:rPr>
      </w:pPr>
      <w:r w:rsidRPr="00FB6AB9">
        <w:rPr>
          <w:rFonts w:ascii="Book Antiqua" w:hAnsi="Book Antiqua" w:eastAsiaTheme="minorEastAsia" w:cstheme="minorBidi"/>
          <w:sz w:val="26"/>
          <w:szCs w:val="26"/>
        </w:rPr>
        <w:t xml:space="preserve">How should the </w:t>
      </w:r>
      <w:r w:rsidRPr="00FB6AB9">
        <w:rPr>
          <w:rFonts w:ascii="Book Antiqua" w:hAnsi="Book Antiqua" w:eastAsiaTheme="minorHAnsi" w:cstheme="minorBidi"/>
          <w:sz w:val="26"/>
          <w:szCs w:val="26"/>
        </w:rPr>
        <w:t>IOUs</w:t>
      </w:r>
      <w:r w:rsidRPr="00FB6AB9">
        <w:rPr>
          <w:rFonts w:ascii="Book Antiqua" w:hAnsi="Book Antiqua" w:eastAsiaTheme="minorEastAsia" w:cstheme="minorBidi"/>
          <w:sz w:val="26"/>
          <w:szCs w:val="26"/>
        </w:rPr>
        <w:t xml:space="preserve"> incorporate consideration of alternative mitigations and alternative foundational activities into the decision-making framework when foundational activities are involved? </w:t>
      </w:r>
    </w:p>
    <w:p w:rsidRPr="00FB6AB9" w:rsidR="00BF311F" w:rsidP="00990028" w:rsidRDefault="00BF311F" w14:paraId="651DF9C1" w14:textId="77777777">
      <w:pPr>
        <w:pStyle w:val="ListParagraph"/>
        <w:numPr>
          <w:ilvl w:val="0"/>
          <w:numId w:val="18"/>
        </w:numPr>
        <w:spacing w:after="120" w:line="240" w:lineRule="auto"/>
        <w:ind w:left="1080" w:right="1440"/>
        <w:contextualSpacing w:val="0"/>
        <w:rPr>
          <w:sz w:val="26"/>
          <w:szCs w:val="26"/>
        </w:rPr>
      </w:pPr>
      <w:r w:rsidRPr="00FB6AB9">
        <w:rPr>
          <w:rFonts w:ascii="Book Antiqua" w:hAnsi="Book Antiqua" w:eastAsiaTheme="minorEastAsia" w:cstheme="minorBidi"/>
          <w:sz w:val="26"/>
          <w:szCs w:val="26"/>
        </w:rPr>
        <w:t xml:space="preserve">Should a reporting template be developed to ensure uniform treatment and </w:t>
      </w:r>
      <w:r w:rsidRPr="00FB6AB9">
        <w:rPr>
          <w:rFonts w:ascii="Book Antiqua" w:hAnsi="Book Antiqua" w:eastAsiaTheme="minorHAnsi" w:cstheme="minorBidi"/>
          <w:sz w:val="26"/>
          <w:szCs w:val="26"/>
        </w:rPr>
        <w:t>uniform</w:t>
      </w:r>
      <w:r w:rsidRPr="00FB6AB9">
        <w:rPr>
          <w:rFonts w:ascii="Book Antiqua" w:hAnsi="Book Antiqua" w:eastAsiaTheme="minorEastAsia" w:cstheme="minorBidi"/>
          <w:sz w:val="26"/>
          <w:szCs w:val="26"/>
        </w:rPr>
        <w:t xml:space="preserve"> reporting of foundational activities and the associated RSEs?  </w:t>
      </w:r>
    </w:p>
    <w:p w:rsidR="00BF311F" w:rsidP="00BF311F" w:rsidRDefault="00BF311F" w14:paraId="4A034D89" w14:textId="71C06841">
      <w:pPr>
        <w:pStyle w:val="Standard"/>
      </w:pPr>
      <w:r w:rsidRPr="00FB6AB9">
        <w:rPr>
          <w:szCs w:val="26"/>
        </w:rPr>
        <w:t xml:space="preserve">As discussed in </w:t>
      </w:r>
      <w:r w:rsidRPr="00FB6AB9" w:rsidR="00990028">
        <w:rPr>
          <w:szCs w:val="26"/>
        </w:rPr>
        <w:t>S</w:t>
      </w:r>
      <w:r w:rsidRPr="00FB6AB9">
        <w:rPr>
          <w:szCs w:val="26"/>
        </w:rPr>
        <w:t>ection 7.3, the Phase I, Track 1 working group has been discussing potential methods for the IOUs</w:t>
      </w:r>
      <w:r w:rsidRPr="00CC0078">
        <w:rPr>
          <w:szCs w:val="26"/>
        </w:rPr>
        <w:t xml:space="preserve"> to quantity safety impacts on customers from PSPS events to improve how PSPS events as risk events are </w:t>
      </w:r>
      <w:r w:rsidRPr="00CC0078">
        <w:rPr>
          <w:szCs w:val="26"/>
        </w:rPr>
        <w:lastRenderedPageBreak/>
        <w:t>modeled in the RDF.</w:t>
      </w:r>
      <w:r>
        <w:rPr>
          <w:szCs w:val="26"/>
        </w:rPr>
        <w:t xml:space="preserve">  </w:t>
      </w:r>
      <w:r>
        <w:t>The TWG shall continue to discuss questions surrounding modeling of PSPS events in the RDF.  If Staff and/or parties develop a proposal providing more detailed</w:t>
      </w:r>
      <w:r w:rsidR="003857BA">
        <w:t xml:space="preserve"> </w:t>
      </w:r>
      <w:r>
        <w:t xml:space="preserve">guidance on this topic, the </w:t>
      </w:r>
      <w:r w:rsidR="00001ADE">
        <w:t>Assigned ALJ</w:t>
      </w:r>
      <w:r>
        <w:t xml:space="preserve"> and Commissioner will provide this for party comment and consideration in a future decision in this proceeding. </w:t>
      </w:r>
    </w:p>
    <w:p w:rsidR="00BF311F" w:rsidP="00BF311F" w:rsidRDefault="00BF311F" w14:paraId="7BC2543C" w14:textId="60F54329">
      <w:pPr>
        <w:pStyle w:val="Standard"/>
      </w:pPr>
      <w:r>
        <w:t xml:space="preserve">Section 8.1 notes that </w:t>
      </w:r>
      <w:r w:rsidRPr="00CA6984">
        <w:t xml:space="preserve">PG&amp;E </w:t>
      </w:r>
      <w:r w:rsidR="00AE51CD">
        <w:t xml:space="preserve">intended to </w:t>
      </w:r>
      <w:r w:rsidR="000A28DC">
        <w:t xml:space="preserve">explore using the </w:t>
      </w:r>
      <w:r w:rsidRPr="00CA6984">
        <w:t xml:space="preserve">power law distribution function to model wildfire risk consequences and share its findings with the </w:t>
      </w:r>
      <w:r w:rsidR="00C75D82">
        <w:t>Track 1 working group</w:t>
      </w:r>
      <w:r w:rsidRPr="00CA6984">
        <w:t xml:space="preserve"> in </w:t>
      </w:r>
      <w:r w:rsidR="000A28DC">
        <w:t xml:space="preserve">September </w:t>
      </w:r>
      <w:r w:rsidR="00496D1D">
        <w:t>of</w:t>
      </w:r>
      <w:r>
        <w:t xml:space="preserve"> </w:t>
      </w:r>
      <w:r w:rsidRPr="00CA6984">
        <w:t>2021</w:t>
      </w:r>
      <w:r w:rsidR="0004339B">
        <w:t>, which PG&amp;E did</w:t>
      </w:r>
      <w:r>
        <w:t>.  Section</w:t>
      </w:r>
      <w:r w:rsidR="001603CD">
        <w:t> </w:t>
      </w:r>
      <w:r>
        <w:t xml:space="preserve">8.3 adopts Staff’s proposal </w:t>
      </w:r>
      <w:r w:rsidRPr="00095E30">
        <w:t>defer</w:t>
      </w:r>
      <w:r>
        <w:t>ring</w:t>
      </w:r>
      <w:r w:rsidRPr="00095E30">
        <w:t xml:space="preserve"> requiring or recommending use of the power law probability distribution as a</w:t>
      </w:r>
      <w:r>
        <w:t>n</w:t>
      </w:r>
      <w:r w:rsidRPr="00095E30">
        <w:t xml:space="preserve"> MAVF best practice at this time.  </w:t>
      </w:r>
      <w:r w:rsidR="00F35873">
        <w:t>S</w:t>
      </w:r>
      <w:r>
        <w:t>ection</w:t>
      </w:r>
      <w:r w:rsidR="001603CD">
        <w:t> </w:t>
      </w:r>
      <w:r>
        <w:t xml:space="preserve">8.3 nonetheless directs </w:t>
      </w:r>
      <w:r w:rsidRPr="00095E30">
        <w:t>Staff</w:t>
      </w:r>
      <w:r>
        <w:t xml:space="preserve"> to continue to monitor the IOU</w:t>
      </w:r>
      <w:r w:rsidR="00F35873">
        <w:t>’</w:t>
      </w:r>
      <w:r>
        <w:t xml:space="preserve">s wildfire modeling practices </w:t>
      </w:r>
      <w:r w:rsidR="00F35873">
        <w:t xml:space="preserve">as part of Staff </w:t>
      </w:r>
      <w:r>
        <w:t xml:space="preserve">reviews of IOU RAMP filings.  </w:t>
      </w:r>
      <w:r w:rsidR="00303F89">
        <w:t>Further, w</w:t>
      </w:r>
      <w:r>
        <w:t xml:space="preserve">e direct Staff, if appropriate, to work with the TWG to provide a follow up recommendation on this topic as early as </w:t>
      </w:r>
      <w:r w:rsidRPr="00095E30">
        <w:t>Phase II of this proceeding</w:t>
      </w:r>
      <w:r w:rsidR="0070143E">
        <w:t>, if feasible</w:t>
      </w:r>
      <w:r>
        <w:t>.  TWG discussions in this area shall include UCAN’s suggestion regarding more accurate modeling of the location of customer assets in wildfire models</w:t>
      </w:r>
      <w:r w:rsidR="00941635">
        <w:t xml:space="preserve">. </w:t>
      </w:r>
      <w:r w:rsidR="009950CF">
        <w:t xml:space="preserve"> </w:t>
      </w:r>
      <w:r w:rsidR="00941635">
        <w:t xml:space="preserve">Any </w:t>
      </w:r>
      <w:r>
        <w:t xml:space="preserve">best practice for wildfire modeling must produce a set of </w:t>
      </w:r>
      <w:r w:rsidRPr="009706CF">
        <w:t>consequences for wildfire</w:t>
      </w:r>
      <w:r w:rsidR="009B51A3">
        <w:t>s</w:t>
      </w:r>
      <w:r>
        <w:t xml:space="preserve"> that </w:t>
      </w:r>
      <w:r w:rsidRPr="009706CF">
        <w:t xml:space="preserve">sufficiently incorporate high-end losses. </w:t>
      </w:r>
      <w:r w:rsidRPr="00B93F62">
        <w:t xml:space="preserve"> </w:t>
      </w:r>
      <w:r>
        <w:t>We will continue to examine this issue</w:t>
      </w:r>
      <w:r w:rsidDel="004F4713">
        <w:t xml:space="preserve"> </w:t>
      </w:r>
      <w:r>
        <w:t xml:space="preserve">in Phase II as part of exploring better ways for climate change risks, impacts, and uncertainties to be reflected in the RDF.  </w:t>
      </w:r>
    </w:p>
    <w:p w:rsidR="00BF311F" w:rsidP="00BF311F" w:rsidRDefault="00BF311F" w14:paraId="69268F56" w14:textId="726340C8">
      <w:pPr>
        <w:pStyle w:val="Standard"/>
      </w:pPr>
      <w:r w:rsidRPr="00FB6AB9">
        <w:t xml:space="preserve">In </w:t>
      </w:r>
      <w:r w:rsidRPr="00FB6AB9" w:rsidR="00990028">
        <w:t>S</w:t>
      </w:r>
      <w:r w:rsidRPr="00FB6AB9">
        <w:t>ection 9.</w:t>
      </w:r>
      <w:r>
        <w:t xml:space="preserve">1.4, we agree with Staff that Cal Advocates’ additional proposals to refine the PG&amp;E Transparency Proposal should be considered in future phases of this proceeding, </w:t>
      </w:r>
      <w:r w:rsidR="00EC01FB">
        <w:t xml:space="preserve">if feasible, </w:t>
      </w:r>
      <w:r>
        <w:t>including as early as Phase II</w:t>
      </w:r>
      <w:r w:rsidR="0070143E">
        <w:t xml:space="preserve">, </w:t>
      </w:r>
      <w:r w:rsidR="00466DD2">
        <w:t>after SCE has served</w:t>
      </w:r>
      <w:r w:rsidR="00A1501F">
        <w:t xml:space="preserve"> the completed transparency test drive documents</w:t>
      </w:r>
      <w:r>
        <w:t>.  We authorize SPD Staff to convene discussions on the PG&amp;E Transparency Proposal</w:t>
      </w:r>
      <w:r w:rsidR="009E0C41">
        <w:t xml:space="preserve">, and SCE’s test drive of the proposal, </w:t>
      </w:r>
      <w:r>
        <w:t xml:space="preserve">as part of the Track 1 TWG moving forward.  As </w:t>
      </w:r>
      <w:r>
        <w:lastRenderedPageBreak/>
        <w:t>part of this, the TWG should</w:t>
      </w:r>
      <w:r w:rsidRPr="004753DD">
        <w:t xml:space="preserve"> discuss </w:t>
      </w:r>
      <w:r>
        <w:t xml:space="preserve">Cal Advocates’ proposal, </w:t>
      </w:r>
      <w:r w:rsidR="00B508BF">
        <w:t xml:space="preserve">any </w:t>
      </w:r>
      <w:r w:rsidRPr="004753DD">
        <w:t xml:space="preserve">lessons learned from </w:t>
      </w:r>
      <w:r>
        <w:t xml:space="preserve">the </w:t>
      </w:r>
      <w:r w:rsidRPr="004753DD">
        <w:t>Risk Quantification Framework included in SDG&amp;E and SoCalGas’s most recent RAMP filing and parties’ feedback on the framework</w:t>
      </w:r>
      <w:r>
        <w:t xml:space="preserve">.  The TWG should also discuss the desirability, and, if so, methods to develop an appropriate </w:t>
      </w:r>
      <w:r w:rsidRPr="0084301F">
        <w:t>set of estimate ranges to use in sensitivity calculations</w:t>
      </w:r>
      <w:r>
        <w:t xml:space="preserve">, as suggested by PG&amp;E.  We request Staff provide an updated Transparency Proposal for our consideration during Phase II of this proceeding, or at a later date, as appropriate. </w:t>
      </w:r>
    </w:p>
    <w:p w:rsidR="00BF311F" w:rsidP="00BF311F" w:rsidRDefault="00BF311F" w14:paraId="0755B4BB" w14:textId="64B91DE2">
      <w:pPr>
        <w:pStyle w:val="Standard"/>
      </w:pPr>
      <w:r w:rsidRPr="00FB6AB9">
        <w:t xml:space="preserve">In </w:t>
      </w:r>
      <w:r w:rsidRPr="00FB6AB9" w:rsidR="00990028">
        <w:t>S</w:t>
      </w:r>
      <w:r w:rsidRPr="00FB6AB9">
        <w:t xml:space="preserve">ection </w:t>
      </w:r>
      <w:r w:rsidRPr="00FB6AB9" w:rsidR="007A2D3E">
        <w:t>9.2.2</w:t>
      </w:r>
      <w:r w:rsidRPr="00FB6AB9">
        <w:t>, we agree with Staff that methods to model climate risks, impacts and uncertainties</w:t>
      </w:r>
      <w:r>
        <w:t xml:space="preserve"> is a topic worthy of consideration in Phase II of this proceeding</w:t>
      </w:r>
      <w:r w:rsidR="00531704">
        <w:t xml:space="preserve">, as long as this does not duplicate work being undertaken in </w:t>
      </w:r>
      <w:r w:rsidRPr="00807227" w:rsidR="00807227">
        <w:t>R.18</w:t>
      </w:r>
      <w:r w:rsidR="002A4363">
        <w:noBreakHyphen/>
      </w:r>
      <w:r w:rsidRPr="00807227" w:rsidR="00807227">
        <w:t>04</w:t>
      </w:r>
      <w:r w:rsidR="002A4363">
        <w:noBreakHyphen/>
      </w:r>
      <w:r w:rsidRPr="00807227" w:rsidR="00807227">
        <w:t xml:space="preserve">019 </w:t>
      </w:r>
      <w:r w:rsidRPr="00767508" w:rsidR="00807227">
        <w:rPr>
          <w:i/>
        </w:rPr>
        <w:t>Order Instituting Rulemaking to Consider Strategies and Guidance for Climate Change</w:t>
      </w:r>
      <w:r w:rsidR="00807227">
        <w:t xml:space="preserve">, which addresses </w:t>
      </w:r>
      <w:r w:rsidR="00B51888">
        <w:t xml:space="preserve">climate change </w:t>
      </w:r>
      <w:r w:rsidR="00807227">
        <w:t>adaptation</w:t>
      </w:r>
      <w:r w:rsidR="00B51888">
        <w:t xml:space="preserve"> issues</w:t>
      </w:r>
      <w:r w:rsidR="00807227">
        <w:t xml:space="preserve">.  </w:t>
      </w:r>
      <w:r w:rsidRPr="006D2FAF">
        <w:t>However, Phase II of this proceeding already includes a long list of potential issues</w:t>
      </w:r>
      <w:r>
        <w:t xml:space="preserve"> in scope</w:t>
      </w:r>
      <w:r w:rsidRPr="006D2FAF">
        <w:t xml:space="preserve">. </w:t>
      </w:r>
      <w:r w:rsidR="002A4363">
        <w:t xml:space="preserve"> </w:t>
      </w:r>
      <w:r w:rsidRPr="006D2FAF">
        <w:t xml:space="preserve">Therefore, we direct Staff and parties </w:t>
      </w:r>
      <w:r>
        <w:t xml:space="preserve">participating in the </w:t>
      </w:r>
      <w:r w:rsidR="006C55AB">
        <w:t xml:space="preserve">R.20-07-013 </w:t>
      </w:r>
      <w:r>
        <w:t xml:space="preserve">TWG </w:t>
      </w:r>
      <w:r w:rsidRPr="006D2FAF">
        <w:t xml:space="preserve">to </w:t>
      </w:r>
      <w:r>
        <w:t xml:space="preserve">work to </w:t>
      </w:r>
      <w:r w:rsidRPr="006D2FAF">
        <w:t xml:space="preserve">prepare an updated “S-MAP Roadmap” </w:t>
      </w:r>
      <w:r>
        <w:t xml:space="preserve">and a high-level workplan that indicates priorities and any dependencies for Phase II work and outlines approximate timelines and deliverables needed to address prioritized items.  To the extent possible, this should be a consensus-based document, but non-consensus areas may be indicated as needed.  </w:t>
      </w:r>
    </w:p>
    <w:p w:rsidR="00BF311F" w:rsidP="00BF311F" w:rsidRDefault="00BF311F" w14:paraId="7E031F47" w14:textId="3DE43715">
      <w:pPr>
        <w:pStyle w:val="Standard"/>
      </w:pPr>
      <w:r>
        <w:t>Staff and parties should aim to complete this work by December 31, 2021</w:t>
      </w:r>
      <w:r w:rsidR="002A4363">
        <w:t>,</w:t>
      </w:r>
      <w:r>
        <w:t xml:space="preserve"> or a</w:t>
      </w:r>
      <w:r w:rsidR="00CF52B6">
        <w:t xml:space="preserve"> later date as </w:t>
      </w:r>
      <w:r>
        <w:t xml:space="preserve">directed by the </w:t>
      </w:r>
      <w:r w:rsidR="00001ADE">
        <w:t>Assigned ALJ</w:t>
      </w:r>
      <w:r>
        <w:t xml:space="preserve">.  </w:t>
      </w:r>
      <w:r w:rsidR="00AA14C0">
        <w:t xml:space="preserve">The draft Roadmap </w:t>
      </w:r>
      <w:r w:rsidR="003F0067">
        <w:t xml:space="preserve">may be served and filed as </w:t>
      </w:r>
      <w:r w:rsidR="00956BDC">
        <w:t xml:space="preserve">joint proposal from </w:t>
      </w:r>
      <w:r w:rsidR="009C0933">
        <w:t xml:space="preserve">two or more </w:t>
      </w:r>
      <w:r w:rsidR="00956BDC">
        <w:t xml:space="preserve">parties or </w:t>
      </w:r>
      <w:r w:rsidR="00696E9D">
        <w:t xml:space="preserve">may be presented to the </w:t>
      </w:r>
      <w:r w:rsidR="00241D2F">
        <w:t>Assigned</w:t>
      </w:r>
      <w:r w:rsidR="0008600D">
        <w:t xml:space="preserve"> </w:t>
      </w:r>
      <w:r w:rsidR="00696E9D">
        <w:t xml:space="preserve">ALJ as a Staff </w:t>
      </w:r>
      <w:r w:rsidR="004E74F5">
        <w:t>p</w:t>
      </w:r>
      <w:r w:rsidR="00696E9D">
        <w:t xml:space="preserve">roposal.  </w:t>
      </w:r>
      <w:r>
        <w:t xml:space="preserve">The </w:t>
      </w:r>
      <w:r w:rsidR="00241D2F">
        <w:t>Assigned</w:t>
      </w:r>
      <w:r w:rsidR="00001ADE">
        <w:t xml:space="preserve"> ALJ</w:t>
      </w:r>
      <w:r>
        <w:t xml:space="preserve"> and Commissioner will</w:t>
      </w:r>
      <w:r w:rsidR="00D13E31">
        <w:t xml:space="preserve"> </w:t>
      </w:r>
      <w:r>
        <w:t xml:space="preserve">request party comment </w:t>
      </w:r>
      <w:r w:rsidR="004E74F5">
        <w:t>on the draft Roadmap</w:t>
      </w:r>
      <w:r>
        <w:t xml:space="preserve">, when developing the Scoping </w:t>
      </w:r>
      <w:r>
        <w:lastRenderedPageBreak/>
        <w:t>Memo for Phase II</w:t>
      </w:r>
      <w:r w:rsidR="00D13E31">
        <w:t>, as appropriate</w:t>
      </w:r>
      <w:r>
        <w:t xml:space="preserve">.  A subsequent decision in Phase II may consider adopting such a roadmap.  </w:t>
      </w:r>
    </w:p>
    <w:p w:rsidRPr="00FB6AB9" w:rsidR="00BF311F" w:rsidP="00BF311F" w:rsidRDefault="00BF311F" w14:paraId="58D3F395" w14:textId="7A80D8CA">
      <w:pPr>
        <w:pStyle w:val="Standard"/>
      </w:pPr>
      <w:r>
        <w:t xml:space="preserve">Section 10.4.2 </w:t>
      </w:r>
      <w:r>
        <w:rPr>
          <w:iCs/>
        </w:rPr>
        <w:t xml:space="preserve">does not adopt Cal Advocates’ recommendation to immediately establish a new working group to develop a framework </w:t>
      </w:r>
      <w:r>
        <w:t xml:space="preserve">to move towards specific thresholds and targets for PG&amp;E’s SOMs.  However, we </w:t>
      </w:r>
      <w:r w:rsidR="00352266">
        <w:t>note that</w:t>
      </w:r>
      <w:r>
        <w:t xml:space="preserve"> Staff and parties involved in the TWG established in this decision </w:t>
      </w:r>
      <w:r w:rsidRPr="00804518" w:rsidR="00804518">
        <w:t>may</w:t>
      </w:r>
      <w:r>
        <w:t xml:space="preserve"> examine this issue over time</w:t>
      </w:r>
      <w:r w:rsidRPr="00804518" w:rsidR="00804518">
        <w:t xml:space="preserve"> as data become available and experience is gained</w:t>
      </w:r>
      <w:r>
        <w:t>, as feasible</w:t>
      </w:r>
      <w:r w:rsidRPr="00804518" w:rsidR="00804518">
        <w:t xml:space="preserve"> given other R.20-07-013 </w:t>
      </w:r>
      <w:r w:rsidRPr="00804518" w:rsidR="008007B3">
        <w:t>priorities</w:t>
      </w:r>
      <w:r w:rsidR="00E8739C">
        <w:t>,</w:t>
      </w:r>
      <w:r w:rsidR="008007B3">
        <w:t xml:space="preserve"> and</w:t>
      </w:r>
      <w:r>
        <w:t xml:space="preserve"> </w:t>
      </w:r>
      <w:r w:rsidR="00E8739C">
        <w:t xml:space="preserve">may </w:t>
      </w:r>
      <w:r>
        <w:t xml:space="preserve">bring to our attention any recommendation for formal triggering event thresholds or targets that they </w:t>
      </w:r>
      <w:r w:rsidRPr="00FB6AB9">
        <w:t xml:space="preserve">subsequently develop.  </w:t>
      </w:r>
    </w:p>
    <w:p w:rsidR="003B2052" w:rsidP="005939A5" w:rsidRDefault="001641A6" w14:paraId="6847157F" w14:textId="75484AD4">
      <w:pPr>
        <w:pStyle w:val="Heading1"/>
      </w:pPr>
      <w:bookmarkStart w:name="_Toc87361231" w:id="201"/>
      <w:r w:rsidRPr="00FB6AB9">
        <w:t>13.</w:t>
      </w:r>
      <w:r w:rsidRPr="00FB6AB9">
        <w:tab/>
      </w:r>
      <w:r w:rsidRPr="00FB6AB9" w:rsidR="003B2052">
        <w:t>E</w:t>
      </w:r>
      <w:r w:rsidRPr="00FB6AB9" w:rsidR="00B95442">
        <w:t>nvironmental and Social Justice</w:t>
      </w:r>
      <w:r w:rsidRPr="00FB6AB9" w:rsidR="00990028">
        <w:br/>
      </w:r>
      <w:r w:rsidRPr="00FB6AB9" w:rsidR="003B2052">
        <w:t>Action Plan</w:t>
      </w:r>
      <w:bookmarkEnd w:id="198"/>
      <w:bookmarkEnd w:id="201"/>
    </w:p>
    <w:p w:rsidR="00EC2907" w:rsidP="00EC2907" w:rsidRDefault="00EC2907" w14:paraId="54C492EC" w14:textId="21A82F1D">
      <w:pPr>
        <w:pStyle w:val="Standard"/>
      </w:pPr>
      <w:r w:rsidRPr="00EC2907">
        <w:t xml:space="preserve">In 2018, the Commission adopted an </w:t>
      </w:r>
      <w:r w:rsidRPr="00EC2907">
        <w:rPr>
          <w:i/>
        </w:rPr>
        <w:t>Environmental and Social Justice Action Plan</w:t>
      </w:r>
      <w:r w:rsidRPr="00EC2907">
        <w:t xml:space="preserve"> (ESJA Plan).</w:t>
      </w:r>
      <w:r w:rsidRPr="00EC2907">
        <w:rPr>
          <w:vertAlign w:val="superscript"/>
        </w:rPr>
        <w:footnoteReference w:id="176"/>
      </w:r>
      <w:r w:rsidRPr="00EC2907">
        <w:t xml:space="preserve">  The Plan identifies Environmental and Social Justice (ESJ) communities as those where residents are predominantly communities of color or low-income, underrepresented in the policy setting or decision-making process, subject to a disproportionate impact from one or more environmental hazards, </w:t>
      </w:r>
      <w:r w:rsidR="00607D5F">
        <w:t xml:space="preserve">and/or </w:t>
      </w:r>
      <w:r w:rsidRPr="00EC2907">
        <w:t>likely to experience disparate implementation of environmental regulations and socio-economic investments in their communities</w:t>
      </w:r>
      <w:r w:rsidR="00607D5F">
        <w:t xml:space="preserve">.  More specifically, the ESJA Plan identifies ESJ communities as </w:t>
      </w:r>
      <w:r w:rsidRPr="00EC2907">
        <w:t>including the top 25</w:t>
      </w:r>
      <w:r w:rsidR="002A4363">
        <w:t> </w:t>
      </w:r>
      <w:r w:rsidRPr="00EC2907">
        <w:t>percent of disadvantaged communities in California,</w:t>
      </w:r>
      <w:r w:rsidRPr="00EC2907">
        <w:rPr>
          <w:vertAlign w:val="superscript"/>
        </w:rPr>
        <w:footnoteReference w:id="177"/>
      </w:r>
      <w:r w:rsidRPr="00EC2907">
        <w:t xml:space="preserve"> all California Tribal lands, low-income households with household income below 80 percent of area </w:t>
      </w:r>
      <w:r w:rsidRPr="00EC2907">
        <w:lastRenderedPageBreak/>
        <w:t>median income, and low-income census tracts with household incomes less than 80 percent area or state median income.</w:t>
      </w:r>
      <w:r w:rsidRPr="00EC2907">
        <w:rPr>
          <w:vertAlign w:val="superscript"/>
        </w:rPr>
        <w:footnoteReference w:id="178"/>
      </w:r>
      <w:r w:rsidRPr="00EC2907">
        <w:t xml:space="preserve">  </w:t>
      </w:r>
    </w:p>
    <w:p w:rsidRPr="00EC2907" w:rsidR="00EC2907" w:rsidP="00E03DE1" w:rsidRDefault="00EC2907" w14:paraId="6D9DB396" w14:textId="15395D7F">
      <w:pPr>
        <w:pStyle w:val="Standard"/>
      </w:pPr>
      <w:r w:rsidRPr="00EC2907">
        <w:t>The Commission</w:t>
      </w:r>
      <w:r w:rsidRPr="00EC2907">
        <w:rPr>
          <w:rFonts w:hint="eastAsia"/>
        </w:rPr>
        <w:t>’</w:t>
      </w:r>
      <w:r w:rsidRPr="00EC2907">
        <w:t xml:space="preserve">s ESJA Plan is guided by the following definition of environmental and social justice: </w:t>
      </w:r>
    </w:p>
    <w:p w:rsidRPr="00EC2907" w:rsidR="00EC2907" w:rsidP="00990028" w:rsidRDefault="6204B480" w14:paraId="55FF855D" w14:textId="7721FAEA">
      <w:pPr>
        <w:pStyle w:val="BlockQuote"/>
        <w:spacing w:line="240" w:lineRule="auto"/>
        <w:ind w:right="1440" w:firstLine="0"/>
      </w:pPr>
      <w:r w:rsidRPr="00FB6AB9">
        <w:t>Environmental and social justice seeks to come to terms with, and remedy, a history of unfair treatment of communities, predominantly communities of people of color and/or low</w:t>
      </w:r>
      <w:r w:rsidR="00D45C34">
        <w:t>-</w:t>
      </w:r>
      <w:r w:rsidRPr="00FB6AB9" w:rsidR="1D23DF38">
        <w:t xml:space="preserve"> </w:t>
      </w:r>
      <w:r w:rsidRPr="00FB6AB9">
        <w:t>income residents.  These communities have been subjected to disproportionate impacts from one or more environmental hazards, socio-economic burdens, or both. Residents have been excluded in policy setting or decision-making processes and have lacked protections and benefits afforded to other communities by the implementation of environmental and other regulations, such as those enacted to control polluting activities.</w:t>
      </w:r>
      <w:r w:rsidRPr="00FB6AB9" w:rsidR="00EC2907">
        <w:rPr>
          <w:vertAlign w:val="superscript"/>
        </w:rPr>
        <w:footnoteReference w:id="179"/>
      </w:r>
      <w:r>
        <w:t xml:space="preserve"> </w:t>
      </w:r>
    </w:p>
    <w:p w:rsidR="00EC2907" w:rsidP="00E03DE1" w:rsidRDefault="00EC2907" w14:paraId="7FC6DE59" w14:textId="5A36C13C">
      <w:pPr>
        <w:pStyle w:val="Standard"/>
      </w:pPr>
      <w:r>
        <w:t xml:space="preserve">The Scoping Memo indicated that Phase I </w:t>
      </w:r>
      <w:r w:rsidRPr="00947D15">
        <w:t>may include assessing impacts on environmental and social justice communities, including the extent to which actions in this proceeding impact achievement of any of the nine goals of the</w:t>
      </w:r>
      <w:r w:rsidR="00D45C34">
        <w:t xml:space="preserve"> </w:t>
      </w:r>
      <w:r>
        <w:t>ESJA Plan.</w:t>
      </w:r>
      <w:r>
        <w:rPr>
          <w:rStyle w:val="FootnoteReference"/>
        </w:rPr>
        <w:footnoteReference w:id="180"/>
      </w:r>
    </w:p>
    <w:p w:rsidR="00C9282C" w:rsidP="00947D15" w:rsidRDefault="003249DB" w14:paraId="1EC6C702" w14:textId="149996D9">
      <w:pPr>
        <w:pStyle w:val="Standard"/>
      </w:pPr>
      <w:r>
        <w:t xml:space="preserve">Phase I working groups did not explicitly consider </w:t>
      </w:r>
      <w:r w:rsidR="006628A0">
        <w:t xml:space="preserve">the ESJA Plan and goals in their work.  </w:t>
      </w:r>
      <w:r w:rsidR="005C7208">
        <w:t>However, several ESJA Plan goals relate to this proceeding:</w:t>
      </w:r>
    </w:p>
    <w:p w:rsidRPr="005C7208" w:rsidR="005C7208" w:rsidP="00990028" w:rsidRDefault="005C7208" w14:paraId="2759083C" w14:textId="135C6DB1">
      <w:pPr>
        <w:pStyle w:val="ListBullet"/>
        <w:ind w:left="1080" w:right="1440"/>
        <w:rPr>
          <w:i/>
          <w:iCs/>
        </w:rPr>
      </w:pPr>
      <w:r w:rsidRPr="009B03D5">
        <w:rPr>
          <w:u w:val="single"/>
        </w:rPr>
        <w:t xml:space="preserve">Goal 4: </w:t>
      </w:r>
      <w:r w:rsidR="00D65821">
        <w:rPr>
          <w:u w:val="single"/>
        </w:rPr>
        <w:t xml:space="preserve"> </w:t>
      </w:r>
      <w:r w:rsidRPr="009B03D5">
        <w:rPr>
          <w:u w:val="single"/>
        </w:rPr>
        <w:t xml:space="preserve">Increase climate resiliency in ESJ </w:t>
      </w:r>
      <w:r w:rsidRPr="00FB6AB9">
        <w:rPr>
          <w:u w:val="single"/>
        </w:rPr>
        <w:t>communities</w:t>
      </w:r>
      <w:r w:rsidRPr="00FB6AB9" w:rsidR="00FA51F4">
        <w:rPr>
          <w:u w:val="single"/>
        </w:rPr>
        <w:t>:</w:t>
      </w:r>
      <w:r w:rsidRPr="00FB6AB9" w:rsidR="00FA51F4">
        <w:t xml:space="preserve">  </w:t>
      </w:r>
      <w:bookmarkStart w:name="_Hlk80888955" w:id="202"/>
      <w:r w:rsidRPr="00FB6AB9" w:rsidDel="005E27B5" w:rsidR="00B95442">
        <w:t>D</w:t>
      </w:r>
      <w:r w:rsidRPr="00FB6AB9" w:rsidR="00B95442">
        <w:t xml:space="preserve">isadvantaged </w:t>
      </w:r>
      <w:r w:rsidRPr="00FB6AB9" w:rsidR="00FA51F4">
        <w:t>communities</w:t>
      </w:r>
      <w:r w:rsidRPr="00FB6AB9" w:rsidR="00CB68E0">
        <w:t xml:space="preserve"> </w:t>
      </w:r>
      <w:r w:rsidRPr="00FB6AB9" w:rsidR="00FA51F4">
        <w:t xml:space="preserve">comprise </w:t>
      </w:r>
      <w:r w:rsidRPr="00FB6AB9" w:rsidR="00B95442">
        <w:t>a small p</w:t>
      </w:r>
      <w:r w:rsidRPr="00FB6AB9" w:rsidR="00FA51F4">
        <w:t xml:space="preserve">ercent </w:t>
      </w:r>
      <w:r w:rsidRPr="00FB6AB9" w:rsidR="00E53128">
        <w:t xml:space="preserve">of the territory in PG&amp;E’s </w:t>
      </w:r>
      <w:r w:rsidRPr="00FB6AB9" w:rsidR="00CB68E0">
        <w:t xml:space="preserve">Tier 2 and Tier 3 </w:t>
      </w:r>
      <w:r w:rsidRPr="00FB6AB9" w:rsidR="00E53128">
        <w:t>HFTDs</w:t>
      </w:r>
      <w:r w:rsidRPr="00FB6AB9" w:rsidR="00B95442">
        <w:t>, likely less than five percent</w:t>
      </w:r>
      <w:r w:rsidRPr="00FB6AB9" w:rsidR="001350FC">
        <w:t xml:space="preserve">, although </w:t>
      </w:r>
      <w:r w:rsidR="000E337A">
        <w:t xml:space="preserve">this </w:t>
      </w:r>
      <w:r w:rsidR="00AE73E4">
        <w:t xml:space="preserve">estimate may not accurately reflect the </w:t>
      </w:r>
      <w:r w:rsidRPr="00FB6AB9" w:rsidR="001350FC">
        <w:t xml:space="preserve">number </w:t>
      </w:r>
      <w:r w:rsidR="00D45C34">
        <w:t xml:space="preserve">of </w:t>
      </w:r>
      <w:r w:rsidRPr="00FB6AB9" w:rsidR="001350FC">
        <w:t xml:space="preserve">tribal communities </w:t>
      </w:r>
      <w:r w:rsidR="00D45C34">
        <w:t>resid</w:t>
      </w:r>
      <w:r w:rsidR="00AE73E4">
        <w:t>ing</w:t>
      </w:r>
      <w:r w:rsidRPr="00FB6AB9" w:rsidR="001350FC">
        <w:t xml:space="preserve"> in these areas</w:t>
      </w:r>
      <w:r w:rsidRPr="00FB6AB9" w:rsidR="00E53128">
        <w:t xml:space="preserve">.  </w:t>
      </w:r>
      <w:bookmarkEnd w:id="202"/>
      <w:r w:rsidRPr="00FB6AB9" w:rsidR="00147853">
        <w:t>The percent</w:t>
      </w:r>
      <w:r w:rsidR="001B7DF4">
        <w:t>age</w:t>
      </w:r>
      <w:r w:rsidRPr="00FB6AB9" w:rsidR="00147853">
        <w:t xml:space="preserve"> of </w:t>
      </w:r>
      <w:r w:rsidRPr="00FB6AB9" w:rsidR="00D43FCD">
        <w:t xml:space="preserve">PG&amp;E Tier 2 </w:t>
      </w:r>
      <w:r w:rsidRPr="00FB6AB9" w:rsidR="008F3978">
        <w:t xml:space="preserve">and </w:t>
      </w:r>
      <w:r w:rsidRPr="00FB6AB9" w:rsidR="008F3978">
        <w:lastRenderedPageBreak/>
        <w:t xml:space="preserve">Tier 3 HFTDs </w:t>
      </w:r>
      <w:r w:rsidRPr="00FB6AB9" w:rsidR="001D30E9">
        <w:t xml:space="preserve">where </w:t>
      </w:r>
      <w:r w:rsidRPr="00FB6AB9" w:rsidR="00791C8F">
        <w:t xml:space="preserve">the full spectrum </w:t>
      </w:r>
      <w:r w:rsidR="00AE73E4">
        <w:t xml:space="preserve">and range </w:t>
      </w:r>
      <w:r w:rsidRPr="00FB6AB9" w:rsidR="00791C8F">
        <w:t xml:space="preserve">of </w:t>
      </w:r>
      <w:r w:rsidR="00AE73E4">
        <w:t xml:space="preserve">types of </w:t>
      </w:r>
      <w:r w:rsidRPr="00FB6AB9" w:rsidR="00791C8F">
        <w:t xml:space="preserve">ESJ communities </w:t>
      </w:r>
      <w:r w:rsidRPr="00FB6AB9" w:rsidR="001D30E9">
        <w:t>predominate</w:t>
      </w:r>
      <w:r w:rsidR="00D751C9">
        <w:t xml:space="preserve"> </w:t>
      </w:r>
      <w:r w:rsidRPr="00FB6AB9" w:rsidR="001D30E9">
        <w:t>is</w:t>
      </w:r>
      <w:r w:rsidR="00AE73E4">
        <w:t xml:space="preserve"> not yet </w:t>
      </w:r>
      <w:r w:rsidR="00D751C9">
        <w:t>well understood.</w:t>
      </w:r>
      <w:r w:rsidRPr="00FB6AB9" w:rsidR="001D30E9">
        <w:t xml:space="preserve"> </w:t>
      </w:r>
      <w:r w:rsidR="00D751C9">
        <w:t xml:space="preserve"> Nonetheless, a</w:t>
      </w:r>
      <w:r w:rsidRPr="00FB6AB9" w:rsidR="009E5053">
        <w:t>dopting SOMs and SPMs</w:t>
      </w:r>
      <w:r w:rsidR="009E5053">
        <w:t xml:space="preserve"> </w:t>
      </w:r>
      <w:r w:rsidR="00457ED2">
        <w:t xml:space="preserve">centered on </w:t>
      </w:r>
      <w:r w:rsidR="008A407A">
        <w:t>PG&amp;E and other IOUs</w:t>
      </w:r>
      <w:r w:rsidR="00D751C9">
        <w:t>’</w:t>
      </w:r>
      <w:r w:rsidR="008A407A">
        <w:t xml:space="preserve"> </w:t>
      </w:r>
      <w:r w:rsidR="00457ED2">
        <w:t xml:space="preserve">Tier 2 and Tier 3 HFTDs </w:t>
      </w:r>
      <w:r w:rsidR="005E27B5">
        <w:t>ind</w:t>
      </w:r>
      <w:r w:rsidR="00E53128">
        <w:t xml:space="preserve">irectly benefits </w:t>
      </w:r>
      <w:r w:rsidR="008A407A">
        <w:t xml:space="preserve">disadvantaged </w:t>
      </w:r>
      <w:r w:rsidR="00D751C9">
        <w:t xml:space="preserve">and ESJ </w:t>
      </w:r>
      <w:r w:rsidR="00E53128">
        <w:t>communities</w:t>
      </w:r>
      <w:r w:rsidR="008A407A">
        <w:t xml:space="preserve"> living in these areas</w:t>
      </w:r>
      <w:r w:rsidR="00145464">
        <w:t xml:space="preserve"> by strengthen</w:t>
      </w:r>
      <w:r w:rsidR="00D751C9">
        <w:t>ing</w:t>
      </w:r>
      <w:r w:rsidR="00145464">
        <w:t xml:space="preserve"> safety oversight</w:t>
      </w:r>
      <w:r w:rsidR="00CB457D">
        <w:t xml:space="preserve"> efforts</w:t>
      </w:r>
      <w:r w:rsidR="00D751C9">
        <w:t>.</w:t>
      </w:r>
    </w:p>
    <w:p w:rsidRPr="005C7208" w:rsidR="005C7208" w:rsidP="00990028" w:rsidRDefault="005C7208" w14:paraId="1D9DADA8" w14:textId="49769730">
      <w:pPr>
        <w:pStyle w:val="ListBullet"/>
        <w:ind w:left="1080" w:right="1440"/>
        <w:rPr>
          <w:i/>
          <w:iCs/>
        </w:rPr>
      </w:pPr>
      <w:r w:rsidRPr="009B03D5">
        <w:rPr>
          <w:u w:val="single"/>
        </w:rPr>
        <w:t xml:space="preserve">Goal 5: </w:t>
      </w:r>
      <w:r w:rsidR="00D65821">
        <w:rPr>
          <w:u w:val="single"/>
        </w:rPr>
        <w:t xml:space="preserve"> </w:t>
      </w:r>
      <w:r w:rsidRPr="009B03D5">
        <w:rPr>
          <w:u w:val="single"/>
        </w:rPr>
        <w:t>Enhance outreach and public participation opportunities for ESJ communities to meaningfully participate in the CPUC’s decision-making process and benefit from CPUC programs</w:t>
      </w:r>
      <w:r w:rsidR="00E53128">
        <w:rPr>
          <w:i/>
          <w:iCs/>
        </w:rPr>
        <w:t xml:space="preserve">: </w:t>
      </w:r>
      <w:r w:rsidRPr="00E53128" w:rsidR="00E53128">
        <w:t xml:space="preserve"> Thus far, </w:t>
      </w:r>
      <w:r w:rsidR="00E058B6">
        <w:t xml:space="preserve">Commission </w:t>
      </w:r>
      <w:r w:rsidRPr="00E53128" w:rsidR="00E53128">
        <w:t>Staff have not conducted outreach to e</w:t>
      </w:r>
      <w:r w:rsidR="00CB457D">
        <w:t>ngage</w:t>
      </w:r>
      <w:r w:rsidRPr="00E53128" w:rsidDel="00CB457D" w:rsidR="00E53128">
        <w:t xml:space="preserve"> </w:t>
      </w:r>
      <w:r w:rsidRPr="00E53128" w:rsidR="00E53128">
        <w:t xml:space="preserve">ESJ communities </w:t>
      </w:r>
      <w:r w:rsidR="00E058B6">
        <w:t xml:space="preserve">on </w:t>
      </w:r>
      <w:r w:rsidRPr="00E53128" w:rsidR="00E53128">
        <w:t xml:space="preserve">this proceeding.  </w:t>
      </w:r>
      <w:r w:rsidR="00257D29">
        <w:t xml:space="preserve">Therefore, we </w:t>
      </w:r>
      <w:r w:rsidRPr="00E53128" w:rsidR="00E53128">
        <w:t>encourage Staff to brief</w:t>
      </w:r>
      <w:r w:rsidR="00254022">
        <w:t xml:space="preserve"> the Commission’s </w:t>
      </w:r>
      <w:r w:rsidR="00E46846">
        <w:t>Disadvantaged Communities</w:t>
      </w:r>
      <w:r w:rsidRPr="00E53128" w:rsidR="00E53128">
        <w:t xml:space="preserve"> Advisory Committee on R.20</w:t>
      </w:r>
      <w:r w:rsidR="00254022">
        <w:t>-</w:t>
      </w:r>
      <w:r w:rsidRPr="00E53128" w:rsidR="00E53128">
        <w:t xml:space="preserve">07-013 issues </w:t>
      </w:r>
      <w:r w:rsidR="009A006D">
        <w:t xml:space="preserve">by </w:t>
      </w:r>
      <w:r w:rsidR="00E66C5C">
        <w:t xml:space="preserve">June </w:t>
      </w:r>
      <w:r w:rsidR="009A006D">
        <w:t>1, 202</w:t>
      </w:r>
      <w:r w:rsidR="00E66C5C">
        <w:t>2</w:t>
      </w:r>
      <w:r w:rsidRPr="00E53128" w:rsidR="00E53128">
        <w:t xml:space="preserve">.  We also </w:t>
      </w:r>
      <w:r w:rsidR="004941D0">
        <w:t xml:space="preserve">encourage </w:t>
      </w:r>
      <w:r w:rsidRPr="00E53128" w:rsidR="00E53128">
        <w:t xml:space="preserve">Staff to </w:t>
      </w:r>
      <w:r w:rsidR="005A6B76">
        <w:t xml:space="preserve">meet </w:t>
      </w:r>
      <w:r w:rsidR="00EE0D60">
        <w:t>with</w:t>
      </w:r>
      <w:r w:rsidRPr="00E53128" w:rsidR="00E53128">
        <w:t xml:space="preserve"> organizations </w:t>
      </w:r>
      <w:r w:rsidR="00CB457D">
        <w:t xml:space="preserve">that </w:t>
      </w:r>
      <w:r w:rsidRPr="00E53128" w:rsidR="00E53128">
        <w:t>represent</w:t>
      </w:r>
      <w:r w:rsidR="006E58E9">
        <w:t xml:space="preserve"> </w:t>
      </w:r>
      <w:r w:rsidRPr="00E53128" w:rsidR="00E53128">
        <w:t>pe</w:t>
      </w:r>
      <w:r w:rsidR="00983D0E">
        <w:t xml:space="preserve">rsons </w:t>
      </w:r>
      <w:r w:rsidRPr="00E53128" w:rsidR="00E53128">
        <w:t xml:space="preserve">with </w:t>
      </w:r>
      <w:r w:rsidR="00E62C8D">
        <w:t xml:space="preserve">access and functional needs </w:t>
      </w:r>
      <w:r w:rsidR="00EE0D60">
        <w:t>to discuss ways to</w:t>
      </w:r>
      <w:r w:rsidRPr="00E53128" w:rsidR="00E53128">
        <w:t xml:space="preserve"> </w:t>
      </w:r>
      <w:r w:rsidR="00D63661">
        <w:t xml:space="preserve">improve how this </w:t>
      </w:r>
      <w:r w:rsidRPr="00E53128" w:rsidR="00E53128">
        <w:t xml:space="preserve">proceeding considers </w:t>
      </w:r>
      <w:r w:rsidR="00983D0E">
        <w:t xml:space="preserve">issues </w:t>
      </w:r>
      <w:r w:rsidR="00C5339F">
        <w:t xml:space="preserve">relevant to this community </w:t>
      </w:r>
      <w:r w:rsidRPr="00E53128" w:rsidR="00E53128">
        <w:t xml:space="preserve">in Phase II.  </w:t>
      </w:r>
    </w:p>
    <w:p w:rsidRPr="00FB16B1" w:rsidR="00FB16B1" w:rsidP="00990028" w:rsidRDefault="005C7208" w14:paraId="5F2F90A7" w14:textId="4D237FC9">
      <w:pPr>
        <w:pStyle w:val="ListBullet"/>
        <w:ind w:left="1080" w:right="1440"/>
      </w:pPr>
      <w:r w:rsidRPr="00FA1DA1">
        <w:rPr>
          <w:u w:val="single"/>
        </w:rPr>
        <w:t xml:space="preserve">Goal </w:t>
      </w:r>
      <w:r w:rsidRPr="00FB6AB9">
        <w:rPr>
          <w:u w:val="single"/>
        </w:rPr>
        <w:t xml:space="preserve">6: </w:t>
      </w:r>
      <w:r w:rsidRPr="00FB6AB9" w:rsidR="00990028">
        <w:rPr>
          <w:u w:val="single"/>
        </w:rPr>
        <w:t xml:space="preserve"> </w:t>
      </w:r>
      <w:r w:rsidRPr="00FB6AB9">
        <w:rPr>
          <w:u w:val="single"/>
        </w:rPr>
        <w:t>Enhance enforcement to ensure safety and consumer protection for all, especially for ESJ communities</w:t>
      </w:r>
      <w:r w:rsidRPr="00FB6AB9" w:rsidR="00C5339F">
        <w:t xml:space="preserve">:  </w:t>
      </w:r>
      <w:r w:rsidRPr="00FB6AB9" w:rsidR="00A971DC">
        <w:t>This</w:t>
      </w:r>
      <w:r w:rsidR="00A971DC">
        <w:t xml:space="preserve"> decision </w:t>
      </w:r>
      <w:r w:rsidR="00516D96">
        <w:t>implements</w:t>
      </w:r>
      <w:r w:rsidR="002E14C5">
        <w:t xml:space="preserve"> </w:t>
      </w:r>
      <w:r w:rsidR="00F41677">
        <w:t xml:space="preserve">safety and operational metrics for </w:t>
      </w:r>
      <w:r w:rsidR="005C39BE">
        <w:t>use</w:t>
      </w:r>
      <w:r w:rsidR="00740D06">
        <w:t xml:space="preserve"> </w:t>
      </w:r>
      <w:r w:rsidR="00902E03">
        <w:t xml:space="preserve">in </w:t>
      </w:r>
      <w:r w:rsidR="00740D06">
        <w:t>the EOE Process for PG&amp;E</w:t>
      </w:r>
      <w:r w:rsidR="007F13A0">
        <w:t xml:space="preserve"> and </w:t>
      </w:r>
      <w:r w:rsidR="0015605B">
        <w:t>further re</w:t>
      </w:r>
      <w:r w:rsidR="00FF68BE">
        <w:t>f</w:t>
      </w:r>
      <w:r w:rsidR="0015605B">
        <w:t>in</w:t>
      </w:r>
      <w:r w:rsidR="00B9356B">
        <w:t>es Commission efforts to</w:t>
      </w:r>
      <w:r w:rsidR="0015605B">
        <w:t xml:space="preserve"> </w:t>
      </w:r>
      <w:r w:rsidR="007F13A0">
        <w:t>asses</w:t>
      </w:r>
      <w:r w:rsidR="00B9356B">
        <w:t>s</w:t>
      </w:r>
      <w:r w:rsidR="007F13A0">
        <w:t xml:space="preserve"> the </w:t>
      </w:r>
      <w:r w:rsidR="005C39BE">
        <w:t xml:space="preserve">safety </w:t>
      </w:r>
      <w:r w:rsidR="007F13A0">
        <w:t>performance of all IOUs</w:t>
      </w:r>
      <w:r w:rsidR="005C39BE">
        <w:t>.</w:t>
      </w:r>
      <w:r w:rsidR="00F2204E">
        <w:t xml:space="preserve">  This decision supports improvement of RDF processes to identify risks and appropriately rank risk mitigations through the technical modifications addressed in Track 1. </w:t>
      </w:r>
    </w:p>
    <w:p w:rsidR="005939A5" w:rsidP="005939A5" w:rsidRDefault="00F91A45" w14:paraId="17B1F1F0" w14:textId="58D33F2E">
      <w:pPr>
        <w:pStyle w:val="Heading1"/>
      </w:pPr>
      <w:bookmarkStart w:name="_Toc80890930" w:id="203"/>
      <w:bookmarkStart w:name="_Toc87361232" w:id="204"/>
      <w:r>
        <w:t>14</w:t>
      </w:r>
      <w:r w:rsidR="003B2052">
        <w:t>.</w:t>
      </w:r>
      <w:r w:rsidR="003B2052">
        <w:tab/>
      </w:r>
      <w:r w:rsidR="005939A5">
        <w:t>Comments on Proposed Decision</w:t>
      </w:r>
      <w:bookmarkEnd w:id="199"/>
      <w:bookmarkEnd w:id="203"/>
      <w:bookmarkEnd w:id="204"/>
    </w:p>
    <w:p w:rsidR="005939A5" w:rsidP="005C58FA" w:rsidRDefault="005C58FA" w14:paraId="7E657E68" w14:textId="0BEAEDB0">
      <w:pPr>
        <w:pStyle w:val="Standard"/>
      </w:pPr>
      <w:r w:rsidRPr="003119BA">
        <w:t xml:space="preserve">The proposed decision of Commissioner </w:t>
      </w:r>
      <w:r w:rsidRPr="003119BA" w:rsidR="003119BA">
        <w:t xml:space="preserve">Clifford Rechtschaffen </w:t>
      </w:r>
      <w:r w:rsidRPr="003119BA">
        <w:t>in this matter was mailed</w:t>
      </w:r>
      <w:r>
        <w:t xml:space="preserve"> to the parties in accordance with Section 311 and comments were allowed under Rule 14.3 of the Commission’s Rules of Practice and Procedure</w:t>
      </w:r>
      <w:r w:rsidR="00D020F2">
        <w:t>.  Comments were filed on October 7, 2021</w:t>
      </w:r>
      <w:r w:rsidR="0009671B">
        <w:t>,</w:t>
      </w:r>
      <w:r w:rsidR="00D020F2">
        <w:t xml:space="preserve"> by TURN, Cal Advocates, MGRA, PCF, SDG&amp;E/SoCalGas</w:t>
      </w:r>
      <w:r w:rsidR="00342BD2">
        <w:t>,</w:t>
      </w:r>
      <w:r w:rsidR="00D020F2">
        <w:t xml:space="preserve"> and PG&amp;E, and reply comments were filed on </w:t>
      </w:r>
      <w:r w:rsidR="00D020F2">
        <w:lastRenderedPageBreak/>
        <w:t>October</w:t>
      </w:r>
      <w:r w:rsidR="001603CD">
        <w:t> </w:t>
      </w:r>
      <w:r w:rsidR="00D020F2">
        <w:t>12,</w:t>
      </w:r>
      <w:r w:rsidR="001603CD">
        <w:t> </w:t>
      </w:r>
      <w:r w:rsidR="00D020F2">
        <w:t>2021</w:t>
      </w:r>
      <w:r w:rsidR="001603CD">
        <w:t>,</w:t>
      </w:r>
      <w:r w:rsidR="00D020F2">
        <w:t xml:space="preserve"> by </w:t>
      </w:r>
      <w:r w:rsidR="00962114">
        <w:t>SCE</w:t>
      </w:r>
      <w:r w:rsidR="00342BD2">
        <w:t xml:space="preserve">, </w:t>
      </w:r>
      <w:r w:rsidR="00D020F2">
        <w:t>PG&amp;E, TURN, MGRA, Cal Advocates, SDG&amp;E/SoCalGas, and PCF.</w:t>
      </w:r>
    </w:p>
    <w:p w:rsidR="009B2A54" w:rsidP="005C58FA" w:rsidRDefault="00906A0C" w14:paraId="28A539BE" w14:textId="09B93E4A">
      <w:pPr>
        <w:pStyle w:val="Standard"/>
      </w:pPr>
      <w:r>
        <w:t xml:space="preserve">The final decision has been modified to </w:t>
      </w:r>
      <w:r w:rsidR="009B74E8">
        <w:t xml:space="preserve">reflect </w:t>
      </w:r>
      <w:r>
        <w:t>party</w:t>
      </w:r>
      <w:r w:rsidR="009B74E8">
        <w:t xml:space="preserve"> comments</w:t>
      </w:r>
      <w:r w:rsidR="009B2A54">
        <w:t xml:space="preserve"> </w:t>
      </w:r>
      <w:r w:rsidR="00F54EEA">
        <w:t xml:space="preserve">and to add minor clarifications </w:t>
      </w:r>
      <w:r w:rsidR="009B2A54">
        <w:t xml:space="preserve">as follows: </w:t>
      </w:r>
    </w:p>
    <w:p w:rsidR="00C14E70" w:rsidP="008F1794" w:rsidRDefault="00C14E70" w14:paraId="2511C9F9" w14:textId="342EA674">
      <w:pPr>
        <w:pStyle w:val="OP"/>
        <w:numPr>
          <w:ilvl w:val="0"/>
          <w:numId w:val="15"/>
        </w:numPr>
        <w:spacing w:after="120" w:line="240" w:lineRule="auto"/>
        <w:ind w:left="1080" w:right="720"/>
      </w:pPr>
      <w:r>
        <w:t xml:space="preserve">PG&amp;E </w:t>
      </w:r>
      <w:r w:rsidR="00147ADD">
        <w:t xml:space="preserve">correctly </w:t>
      </w:r>
      <w:r>
        <w:t>comments that the summary of RDF requirements adopted in the SA Decision contained some inaccuracies, which we correct in section 1.</w:t>
      </w:r>
    </w:p>
    <w:p w:rsidR="00720A9E" w:rsidP="008F1794" w:rsidRDefault="009B7AFE" w14:paraId="71C51B90" w14:textId="47DE849E">
      <w:pPr>
        <w:pStyle w:val="OP"/>
        <w:numPr>
          <w:ilvl w:val="0"/>
          <w:numId w:val="15"/>
        </w:numPr>
        <w:spacing w:after="120" w:line="240" w:lineRule="auto"/>
        <w:ind w:left="1080" w:right="720"/>
      </w:pPr>
      <w:r>
        <w:t>SCE requests further clarification</w:t>
      </w:r>
      <w:r w:rsidR="000908CB">
        <w:t xml:space="preserve">s </w:t>
      </w:r>
      <w:r w:rsidR="00147ADD">
        <w:t>on the “</w:t>
      </w:r>
      <w:r w:rsidR="00720A9E">
        <w:t>subcatego</w:t>
      </w:r>
      <w:r w:rsidR="000908CB">
        <w:t>ries</w:t>
      </w:r>
      <w:r w:rsidR="00147ADD">
        <w:t>”</w:t>
      </w:r>
      <w:r w:rsidR="000908CB">
        <w:t xml:space="preserve"> </w:t>
      </w:r>
      <w:r w:rsidR="00720A9E">
        <w:t>of controls and mitigations, which we provide in section 5.1.</w:t>
      </w:r>
    </w:p>
    <w:p w:rsidR="000908CB" w:rsidP="008F1794" w:rsidRDefault="000908CB" w14:paraId="71CA7596" w14:textId="197C661A">
      <w:pPr>
        <w:pStyle w:val="OP"/>
        <w:numPr>
          <w:ilvl w:val="0"/>
          <w:numId w:val="15"/>
        </w:numPr>
        <w:spacing w:after="120" w:line="240" w:lineRule="auto"/>
        <w:ind w:left="1080" w:right="720"/>
      </w:pPr>
      <w:r>
        <w:t xml:space="preserve">SDG&amp;E/SoCalGas observe that </w:t>
      </w:r>
      <w:r w:rsidR="00C413E3">
        <w:t xml:space="preserve">our adopted definition of foundational </w:t>
      </w:r>
      <w:r w:rsidR="00DC08AC">
        <w:t xml:space="preserve">programs and/or </w:t>
      </w:r>
      <w:r w:rsidR="00D852E7">
        <w:t xml:space="preserve">activities </w:t>
      </w:r>
      <w:r w:rsidR="00C413E3">
        <w:t>should in</w:t>
      </w:r>
      <w:r w:rsidR="00D852E7">
        <w:t>dicat</w:t>
      </w:r>
      <w:r w:rsidR="00C413E3">
        <w:t xml:space="preserve">e that </w:t>
      </w:r>
      <w:r w:rsidR="00B23135">
        <w:t>these</w:t>
      </w:r>
      <w:r w:rsidR="00DC08AC">
        <w:t xml:space="preserve"> </w:t>
      </w:r>
      <w:r w:rsidR="00C413E3">
        <w:t xml:space="preserve">may </w:t>
      </w:r>
      <w:r w:rsidR="00D852E7">
        <w:t xml:space="preserve">address </w:t>
      </w:r>
      <w:r w:rsidR="00C413E3">
        <w:t>two or more risks in addition to addressing two or more mitigations.  We ma</w:t>
      </w:r>
      <w:r w:rsidR="00C14E70">
        <w:t>k</w:t>
      </w:r>
      <w:r w:rsidR="00C413E3">
        <w:t>e this change in section</w:t>
      </w:r>
      <w:r w:rsidR="00147ADD">
        <w:t>s</w:t>
      </w:r>
      <w:r w:rsidR="00C413E3">
        <w:t xml:space="preserve"> 6 and 6.3</w:t>
      </w:r>
      <w:r w:rsidR="006C0890">
        <w:t xml:space="preserve"> and</w:t>
      </w:r>
      <w:r w:rsidR="00F50BF0">
        <w:t xml:space="preserve"> in Appendix D</w:t>
      </w:r>
      <w:r w:rsidR="00C413E3">
        <w:t>.</w:t>
      </w:r>
    </w:p>
    <w:p w:rsidR="00B634AD" w:rsidP="008F1794" w:rsidRDefault="00B634AD" w14:paraId="7766394B" w14:textId="6EBE6A02">
      <w:pPr>
        <w:pStyle w:val="OP"/>
        <w:numPr>
          <w:ilvl w:val="0"/>
          <w:numId w:val="15"/>
        </w:numPr>
        <w:spacing w:after="120" w:line="240" w:lineRule="auto"/>
        <w:ind w:left="1080" w:right="720"/>
      </w:pPr>
      <w:r>
        <w:t xml:space="preserve">SCE comments that the proposed decision inaccurately characterizes </w:t>
      </w:r>
      <w:r w:rsidR="00B863F7">
        <w:t>SCE’s 2020 W</w:t>
      </w:r>
      <w:r w:rsidR="00E8739C">
        <w:t xml:space="preserve">MP </w:t>
      </w:r>
      <w:r w:rsidR="00B863F7">
        <w:t xml:space="preserve">PSPS analysis.  We correct this in the final decision in section 7.3. </w:t>
      </w:r>
    </w:p>
    <w:p w:rsidR="00D77742" w:rsidP="008F1794" w:rsidRDefault="00D77742" w14:paraId="263749CA" w14:textId="28AA1897">
      <w:pPr>
        <w:pStyle w:val="OP"/>
        <w:numPr>
          <w:ilvl w:val="0"/>
          <w:numId w:val="15"/>
        </w:numPr>
        <w:spacing w:after="120" w:line="240" w:lineRule="auto"/>
        <w:ind w:left="1080" w:right="720"/>
      </w:pPr>
      <w:r>
        <w:t>SCE requests additional time to prepare the transparenc</w:t>
      </w:r>
      <w:r w:rsidR="00AE55F6">
        <w:t>y</w:t>
      </w:r>
      <w:r>
        <w:t xml:space="preserve"> test documents we require here. </w:t>
      </w:r>
      <w:r w:rsidR="008F1794">
        <w:t xml:space="preserve"> </w:t>
      </w:r>
      <w:r>
        <w:t>We modif</w:t>
      </w:r>
      <w:r w:rsidR="00C14E70">
        <w:t>y</w:t>
      </w:r>
      <w:r>
        <w:t xml:space="preserve"> </w:t>
      </w:r>
      <w:r w:rsidR="00AB6512">
        <w:t>s</w:t>
      </w:r>
      <w:r w:rsidR="00CD771D">
        <w:t>e</w:t>
      </w:r>
      <w:r w:rsidR="00AB6512">
        <w:t xml:space="preserve">ctions 9 and 9.1.4 </w:t>
      </w:r>
      <w:r w:rsidR="00CD771D">
        <w:t xml:space="preserve">and Ordering Paragraph 3 </w:t>
      </w:r>
      <w:r w:rsidR="007D1327">
        <w:t xml:space="preserve">to </w:t>
      </w:r>
      <w:r w:rsidR="005D376E">
        <w:t xml:space="preserve">direct </w:t>
      </w:r>
      <w:r>
        <w:t xml:space="preserve">SCE to </w:t>
      </w:r>
      <w:r w:rsidR="00AE55F6">
        <w:t xml:space="preserve">submit </w:t>
      </w:r>
      <w:r>
        <w:t xml:space="preserve">the </w:t>
      </w:r>
      <w:r w:rsidR="008968FC">
        <w:t xml:space="preserve">required </w:t>
      </w:r>
      <w:r>
        <w:t>transparency</w:t>
      </w:r>
      <w:r w:rsidR="00AE55F6">
        <w:t xml:space="preserve"> </w:t>
      </w:r>
      <w:r w:rsidR="00D164FF">
        <w:t xml:space="preserve">test </w:t>
      </w:r>
      <w:r>
        <w:t>document</w:t>
      </w:r>
      <w:r w:rsidR="00B402BC">
        <w:t>s no later than</w:t>
      </w:r>
      <w:r>
        <w:t xml:space="preserve"> 60</w:t>
      </w:r>
      <w:r w:rsidR="008F1794">
        <w:t> </w:t>
      </w:r>
      <w:r>
        <w:t xml:space="preserve">days </w:t>
      </w:r>
      <w:r w:rsidR="00B402BC">
        <w:t xml:space="preserve">from the date that </w:t>
      </w:r>
      <w:r>
        <w:t xml:space="preserve">SCE files its 2022 RAMP </w:t>
      </w:r>
      <w:r w:rsidR="008007B3">
        <w:t>application and</w:t>
      </w:r>
      <w:r w:rsidR="007D1327">
        <w:t xml:space="preserve"> clarify that SCE shall serve these documents to </w:t>
      </w:r>
      <w:r w:rsidR="005D376E">
        <w:t xml:space="preserve">the SCE </w:t>
      </w:r>
      <w:r w:rsidR="007D1327">
        <w:t>2022 RAMP proceeding service list</w:t>
      </w:r>
      <w:r>
        <w:t>.</w:t>
      </w:r>
    </w:p>
    <w:p w:rsidRPr="0034215B" w:rsidR="00B56BEB" w:rsidP="008F1794" w:rsidRDefault="00B56BEB" w14:paraId="52125D6A" w14:textId="581C6221">
      <w:pPr>
        <w:pStyle w:val="OP"/>
        <w:numPr>
          <w:ilvl w:val="0"/>
          <w:numId w:val="15"/>
        </w:numPr>
        <w:spacing w:after="120" w:line="240" w:lineRule="auto"/>
        <w:ind w:left="1080" w:right="720"/>
      </w:pPr>
      <w:r>
        <w:t>PG&amp;E requests clarification regarding the</w:t>
      </w:r>
      <w:r w:rsidR="00813AE7">
        <w:t xml:space="preserve"> timeframe</w:t>
      </w:r>
      <w:r w:rsidR="00DA33C6">
        <w:t xml:space="preserve">s </w:t>
      </w:r>
      <w:r>
        <w:t xml:space="preserve">that its SOMs reports should cover.  We clarify in section </w:t>
      </w:r>
      <w:r w:rsidR="00215F03">
        <w:t xml:space="preserve">10.4.4 </w:t>
      </w:r>
      <w:r w:rsidR="00A84112">
        <w:t xml:space="preserve">and Ordering Paragraph 5 </w:t>
      </w:r>
      <w:r w:rsidR="00215F03">
        <w:t xml:space="preserve">that </w:t>
      </w:r>
      <w:r w:rsidRPr="00215F03" w:rsidR="00215F03">
        <w:rPr>
          <w:iCs/>
        </w:rPr>
        <w:t>PG&amp;E shall</w:t>
      </w:r>
      <w:r w:rsidR="00D164FF">
        <w:rPr>
          <w:iCs/>
        </w:rPr>
        <w:t xml:space="preserve"> submit </w:t>
      </w:r>
      <w:r w:rsidR="00215F03">
        <w:rPr>
          <w:iCs/>
        </w:rPr>
        <w:t xml:space="preserve">its </w:t>
      </w:r>
      <w:r w:rsidRPr="00215F03" w:rsidR="00215F03">
        <w:rPr>
          <w:iCs/>
        </w:rPr>
        <w:t xml:space="preserve">semi-annual </w:t>
      </w:r>
      <w:r w:rsidR="00E8739C">
        <w:rPr>
          <w:iCs/>
        </w:rPr>
        <w:t xml:space="preserve">SOMs </w:t>
      </w:r>
      <w:r w:rsidR="00215F03">
        <w:rPr>
          <w:iCs/>
        </w:rPr>
        <w:t>reports every March and September</w:t>
      </w:r>
      <w:r w:rsidR="00C230AF">
        <w:rPr>
          <w:iCs/>
        </w:rPr>
        <w:t xml:space="preserve"> starting </w:t>
      </w:r>
      <w:r w:rsidRPr="00215F03" w:rsidR="00215F03">
        <w:rPr>
          <w:iCs/>
        </w:rPr>
        <w:t>March</w:t>
      </w:r>
      <w:r w:rsidR="008F1794">
        <w:rPr>
          <w:iCs/>
        </w:rPr>
        <w:t> </w:t>
      </w:r>
      <w:r w:rsidRPr="00215F03" w:rsidR="00215F03">
        <w:rPr>
          <w:iCs/>
        </w:rPr>
        <w:t>31,</w:t>
      </w:r>
      <w:r w:rsidR="008F1794">
        <w:rPr>
          <w:iCs/>
        </w:rPr>
        <w:t> </w:t>
      </w:r>
      <w:r w:rsidRPr="00215F03" w:rsidR="00215F03">
        <w:rPr>
          <w:iCs/>
        </w:rPr>
        <w:t>2022, with each annual March report covering the 12</w:t>
      </w:r>
      <w:r w:rsidR="008F1794">
        <w:rPr>
          <w:iCs/>
        </w:rPr>
        <w:noBreakHyphen/>
      </w:r>
      <w:r w:rsidRPr="00215F03" w:rsidR="00215F03">
        <w:rPr>
          <w:iCs/>
        </w:rPr>
        <w:t>month period of the previous calendar year (</w:t>
      </w:r>
      <w:r w:rsidRPr="00656BD7" w:rsidR="00DA33C6">
        <w:rPr>
          <w:i/>
        </w:rPr>
        <w:t>i.e.</w:t>
      </w:r>
      <w:r w:rsidR="00DA33C6">
        <w:rPr>
          <w:iCs/>
        </w:rPr>
        <w:t xml:space="preserve"> </w:t>
      </w:r>
      <w:r w:rsidRPr="00215F03" w:rsidR="00215F03">
        <w:rPr>
          <w:iCs/>
        </w:rPr>
        <w:t xml:space="preserve">January - December) and each annual September report providing data from January through June of the current year.  </w:t>
      </w:r>
    </w:p>
    <w:p w:rsidR="00C14E70" w:rsidP="008F1794" w:rsidRDefault="00330744" w14:paraId="04B22026" w14:textId="2C3D4B53">
      <w:pPr>
        <w:pStyle w:val="OP"/>
        <w:numPr>
          <w:ilvl w:val="0"/>
          <w:numId w:val="15"/>
        </w:numPr>
        <w:spacing w:after="120" w:line="240" w:lineRule="auto"/>
        <w:ind w:left="1080" w:right="720"/>
      </w:pPr>
      <w:r>
        <w:t>R</w:t>
      </w:r>
      <w:r w:rsidRPr="00330744">
        <w:t>egarding the required one and five-year targets for SOMs adopted in Section 10.4.4 (presented in Section 10.4.2)</w:t>
      </w:r>
      <w:r>
        <w:t xml:space="preserve">, </w:t>
      </w:r>
      <w:r w:rsidR="00332288">
        <w:t xml:space="preserve">PG&amp;E </w:t>
      </w:r>
      <w:r w:rsidR="00332288">
        <w:lastRenderedPageBreak/>
        <w:t xml:space="preserve">comments that directional targets are more appropriate than numerical targets for </w:t>
      </w:r>
      <w:r>
        <w:t>adopted SOMs based on M</w:t>
      </w:r>
      <w:r w:rsidR="00B52FAD">
        <w:t xml:space="preserve">EDs </w:t>
      </w:r>
      <w:r>
        <w:t xml:space="preserve">and Red Flag Warning Days.  We agree and modify sections </w:t>
      </w:r>
      <w:r w:rsidR="005442BA">
        <w:t xml:space="preserve">2.5.2.3.3 </w:t>
      </w:r>
      <w:r>
        <w:t xml:space="preserve">and </w:t>
      </w:r>
      <w:r w:rsidR="005442BA">
        <w:t>2.5.3.1.3</w:t>
      </w:r>
      <w:r>
        <w:t xml:space="preserve"> </w:t>
      </w:r>
      <w:r w:rsidR="001B2F63">
        <w:t xml:space="preserve">and Ordering Paragraph 5 </w:t>
      </w:r>
      <w:r>
        <w:t>to authorize PG&amp;E</w:t>
      </w:r>
      <w:r w:rsidR="00B969AA">
        <w:t xml:space="preserve">, if it wishes, </w:t>
      </w:r>
      <w:r>
        <w:t xml:space="preserve">to </w:t>
      </w:r>
      <w:r w:rsidRPr="00330744">
        <w:t>propose directional targets (</w:t>
      </w:r>
      <w:r w:rsidRPr="00E43E70">
        <w:rPr>
          <w:i/>
          <w:iCs/>
        </w:rPr>
        <w:t>i.e</w:t>
      </w:r>
      <w:r w:rsidRPr="00330744">
        <w:t xml:space="preserve">. </w:t>
      </w:r>
      <w:r w:rsidR="006510CD">
        <w:t xml:space="preserve">targets </w:t>
      </w:r>
      <w:r w:rsidRPr="00330744">
        <w:t>that do not consist of numerical values) that consider</w:t>
      </w:r>
      <w:r w:rsidR="004D2C12">
        <w:t xml:space="preserve"> exogenous factors such as ext</w:t>
      </w:r>
      <w:r w:rsidRPr="00330744">
        <w:t xml:space="preserve">reme weather events for </w:t>
      </w:r>
      <w:r w:rsidR="001F7949">
        <w:t xml:space="preserve">the </w:t>
      </w:r>
      <w:r w:rsidR="000255AA">
        <w:t xml:space="preserve">final </w:t>
      </w:r>
      <w:r w:rsidRPr="00330744">
        <w:t>adopted SOMs</w:t>
      </w:r>
      <w:r w:rsidR="00CC2A67">
        <w:t xml:space="preserve"> </w:t>
      </w:r>
      <w:r w:rsidR="001B2F63">
        <w:t>as listed in Appendix 1:  SOM #</w:t>
      </w:r>
      <w:r w:rsidR="00A45715">
        <w:t xml:space="preserve">2.3 </w:t>
      </w:r>
      <w:r w:rsidR="00BA0139">
        <w:t xml:space="preserve">(#2.11 as proposed) </w:t>
      </w:r>
      <w:r w:rsidRPr="00C32A64" w:rsidR="00BA0139">
        <w:t>System Average Outages due to Vegetation and Equipment Damage in HFTD Areas (Major Event Days)</w:t>
      </w:r>
      <w:r w:rsidR="00A45715">
        <w:t xml:space="preserve">, </w:t>
      </w:r>
      <w:r w:rsidR="009C62DD">
        <w:t xml:space="preserve">SOM # </w:t>
      </w:r>
      <w:r w:rsidRPr="00330744">
        <w:t xml:space="preserve">3.1 Wires Down Major Event Days in HFTD Areas (Distribution), </w:t>
      </w:r>
      <w:r w:rsidR="009C62DD">
        <w:t xml:space="preserve">SOM # </w:t>
      </w:r>
      <w:r w:rsidRPr="00330744">
        <w:t>3.3 Wires Down Major Event Days in HFTD Areas (Transmission), SOM</w:t>
      </w:r>
      <w:r w:rsidR="009C62DD">
        <w:t xml:space="preserve"> #</w:t>
      </w:r>
      <w:r w:rsidRPr="00330744">
        <w:t xml:space="preserve"> 3.5 Wires Down Red Flag Warning Days in HFTD Areas (Distribution</w:t>
      </w:r>
      <w:r w:rsidR="00296EBE">
        <w:t>)</w:t>
      </w:r>
      <w:r w:rsidR="009C62DD">
        <w:t xml:space="preserve">, </w:t>
      </w:r>
      <w:r w:rsidRPr="00330744">
        <w:t xml:space="preserve">and </w:t>
      </w:r>
      <w:r w:rsidR="009C62DD">
        <w:t xml:space="preserve">SOM # </w:t>
      </w:r>
      <w:r w:rsidRPr="00330744">
        <w:t>3.6 Wires Down Red Flag Warning Days in HFTD Areas (Transmission).</w:t>
      </w:r>
      <w:r w:rsidR="00DC0A65">
        <w:t xml:space="preserve">  </w:t>
      </w:r>
      <w:r w:rsidRPr="00DC0A65" w:rsidR="00DC0A65">
        <w:t>M</w:t>
      </w:r>
      <w:r w:rsidR="00B52FAD">
        <w:t xml:space="preserve">EDs </w:t>
      </w:r>
      <w:r w:rsidRPr="00DC0A65" w:rsidR="00DC0A65">
        <w:t xml:space="preserve">and Red Flag Warning Days </w:t>
      </w:r>
      <w:r w:rsidR="00801EFC">
        <w:t xml:space="preserve">are currently excluded from many utility reporting requirements.  </w:t>
      </w:r>
      <w:r w:rsidRPr="00DC0A65" w:rsidR="00DC0A65">
        <w:t>This makes it challenging to specify a number or rate of wire down incidents that could be seen as acceptable at present, (</w:t>
      </w:r>
      <w:r w:rsidRPr="00656BD7" w:rsidR="00DC0A65">
        <w:rPr>
          <w:i/>
          <w:iCs/>
        </w:rPr>
        <w:t>i.e.</w:t>
      </w:r>
      <w:r w:rsidR="00102A02">
        <w:t xml:space="preserve"> </w:t>
      </w:r>
      <w:r w:rsidRPr="00DC0A65" w:rsidR="00DC0A65">
        <w:t>that could comprise the basis of numerical targets).  However, PG&amp;E equipment must show greater resiliency to</w:t>
      </w:r>
      <w:r w:rsidR="00B52FAD">
        <w:t xml:space="preserve"> both MEDs </w:t>
      </w:r>
      <w:r w:rsidRPr="00DC0A65" w:rsidR="00DC0A65">
        <w:t>and Red Flag Warning Days over the longer-term, even if there is some volatility year-to-year due to the uncertain nature and severity of these types of events.</w:t>
      </w:r>
      <w:r w:rsidR="00102A02">
        <w:t xml:space="preserve">  </w:t>
      </w:r>
      <w:r w:rsidRPr="00DC0A65" w:rsidR="00DC0A65">
        <w:t>Authorizing PG&amp;E to propose directional targets for these SOMs strikes a reasonable balance between this aim and current data constraints.</w:t>
      </w:r>
    </w:p>
    <w:p w:rsidR="009012D7" w:rsidP="008F1794" w:rsidRDefault="009012D7" w14:paraId="3CDCA099" w14:textId="228E9E12">
      <w:pPr>
        <w:pStyle w:val="OP"/>
        <w:numPr>
          <w:ilvl w:val="0"/>
          <w:numId w:val="15"/>
        </w:numPr>
        <w:spacing w:after="120" w:line="240" w:lineRule="auto"/>
        <w:ind w:left="1080" w:right="720"/>
      </w:pPr>
      <w:r w:rsidRPr="009012D7">
        <w:t xml:space="preserve">PG&amp;E comments that </w:t>
      </w:r>
      <w:r>
        <w:t xml:space="preserve">SOM # 5.1 on Clean Energy Goals </w:t>
      </w:r>
      <w:r w:rsidRPr="009012D7">
        <w:t>should be limited to PG&amp;E’s minimum procurement obligation assigned to its bundled service customers because direct access load serving entities may have elected to opt-out of or failed to reach their own separate procurement obligations.  PG&amp;E also recommends we remove the phrase "zero-emitting” from the definition of the metric because D.19-11-016 does not include this term in its mandate</w:t>
      </w:r>
      <w:r>
        <w:t>.  The final decision modifies section</w:t>
      </w:r>
      <w:r w:rsidR="00CF4358">
        <w:t xml:space="preserve"> 10.5.6 and Appendices A and E to </w:t>
      </w:r>
      <w:r w:rsidR="00C36BBE">
        <w:t>remove the phrase “zero-emitting</w:t>
      </w:r>
      <w:r w:rsidR="00D4263A">
        <w:t>,</w:t>
      </w:r>
      <w:r w:rsidR="00C36BBE">
        <w:t>”</w:t>
      </w:r>
      <w:r w:rsidR="00B63175">
        <w:t xml:space="preserve">but does not expressly limit </w:t>
      </w:r>
      <w:r w:rsidR="00A609C3">
        <w:t xml:space="preserve">reporting </w:t>
      </w:r>
      <w:r w:rsidR="0082400E">
        <w:t xml:space="preserve">obligations </w:t>
      </w:r>
      <w:r w:rsidR="00A609C3">
        <w:t xml:space="preserve">to </w:t>
      </w:r>
      <w:r w:rsidR="0082400E">
        <w:t xml:space="preserve">PG&amp;E’s bundled customers.  </w:t>
      </w:r>
      <w:r w:rsidR="003A5789">
        <w:t>PG&amp;E’s</w:t>
      </w:r>
      <w:r w:rsidR="009475E6">
        <w:t xml:space="preserve"> procurement obligation</w:t>
      </w:r>
      <w:r w:rsidR="00A609C3">
        <w:t>s</w:t>
      </w:r>
      <w:r w:rsidR="009475E6">
        <w:t xml:space="preserve"> </w:t>
      </w:r>
      <w:r w:rsidR="00B503F0">
        <w:lastRenderedPageBreak/>
        <w:t>are specified in C</w:t>
      </w:r>
      <w:r w:rsidR="00577647">
        <w:t xml:space="preserve">ommission </w:t>
      </w:r>
      <w:r w:rsidR="00B503F0">
        <w:t xml:space="preserve">decisions </w:t>
      </w:r>
      <w:r w:rsidR="00002565">
        <w:t xml:space="preserve">so we do not need to </w:t>
      </w:r>
      <w:r w:rsidR="005D53E6">
        <w:t>define</w:t>
      </w:r>
      <w:r w:rsidR="00A609C3">
        <w:t xml:space="preserve"> those</w:t>
      </w:r>
      <w:r w:rsidR="005D53E6">
        <w:t xml:space="preserve"> here</w:t>
      </w:r>
      <w:r w:rsidR="00CF4358">
        <w:t xml:space="preserve">. </w:t>
      </w:r>
    </w:p>
    <w:p w:rsidR="00C80BB5" w:rsidP="008F1794" w:rsidRDefault="00B81455" w14:paraId="00AA1EE9" w14:textId="785334D2">
      <w:pPr>
        <w:pStyle w:val="OP"/>
        <w:numPr>
          <w:ilvl w:val="0"/>
          <w:numId w:val="15"/>
        </w:numPr>
        <w:spacing w:after="120" w:line="240" w:lineRule="auto"/>
        <w:ind w:left="1080" w:right="720"/>
      </w:pPr>
      <w:r>
        <w:t xml:space="preserve">In response to comments from </w:t>
      </w:r>
      <w:r w:rsidR="006101A1">
        <w:t>SCE on SOM #3.12</w:t>
      </w:r>
      <w:r w:rsidR="00E816E5">
        <w:t xml:space="preserve"> (Electric Emergency Response Time)</w:t>
      </w:r>
      <w:r w:rsidR="006101A1">
        <w:t xml:space="preserve">, </w:t>
      </w:r>
      <w:r w:rsidR="003E1AB9">
        <w:t xml:space="preserve">we modify this SOM in the final </w:t>
      </w:r>
      <w:r w:rsidR="00BF1B08">
        <w:t>Appendices A and E</w:t>
      </w:r>
      <w:r w:rsidR="003E1AB9">
        <w:t xml:space="preserve"> to</w:t>
      </w:r>
      <w:r w:rsidR="00302191">
        <w:t xml:space="preserve"> </w:t>
      </w:r>
      <w:r w:rsidRPr="00302191" w:rsidR="00302191">
        <w:t xml:space="preserve">broaden the definition of emergency notifications to include calls made directly to the utilities’ safety hotlines, not just 911 calls. </w:t>
      </w:r>
      <w:r w:rsidR="00F34D21">
        <w:t xml:space="preserve">We make the same change to </w:t>
      </w:r>
      <w:r w:rsidR="003E1AB9">
        <w:t xml:space="preserve">SPM #s 3 </w:t>
      </w:r>
      <w:r w:rsidR="00873283">
        <w:t>(</w:t>
      </w:r>
      <w:r w:rsidR="00B75F24">
        <w:t xml:space="preserve">Electric </w:t>
      </w:r>
      <w:r w:rsidR="00873283">
        <w:t>Emergency Response</w:t>
      </w:r>
      <w:r w:rsidR="00B75F24">
        <w:t xml:space="preserve"> Time</w:t>
      </w:r>
      <w:r w:rsidR="00873283">
        <w:t xml:space="preserve">) </w:t>
      </w:r>
      <w:r w:rsidR="003E1AB9">
        <w:t>and 11</w:t>
      </w:r>
      <w:r w:rsidR="00873283">
        <w:t xml:space="preserve"> (Gas Emergency Response)</w:t>
      </w:r>
      <w:r w:rsidR="00F34D21">
        <w:t xml:space="preserve"> </w:t>
      </w:r>
      <w:r w:rsidR="00BF1B08">
        <w:t>in Appendices B and F</w:t>
      </w:r>
      <w:r w:rsidR="003E1AB9">
        <w:t xml:space="preserve">. </w:t>
      </w:r>
      <w:r w:rsidR="003A30C6">
        <w:t xml:space="preserve"> </w:t>
      </w:r>
    </w:p>
    <w:p w:rsidR="00527CFA" w:rsidP="008F1794" w:rsidRDefault="00527CFA" w14:paraId="12F5CED3" w14:textId="625B5393">
      <w:pPr>
        <w:pStyle w:val="OP"/>
        <w:numPr>
          <w:ilvl w:val="0"/>
          <w:numId w:val="15"/>
        </w:numPr>
        <w:spacing w:after="120" w:line="240" w:lineRule="auto"/>
        <w:ind w:left="1080" w:right="720" w:hanging="450"/>
      </w:pPr>
      <w:r>
        <w:t>SDG&amp;E and SoCalGas note an error in</w:t>
      </w:r>
      <w:r w:rsidRPr="00527CFA">
        <w:t xml:space="preserve"> the definitions </w:t>
      </w:r>
      <w:r>
        <w:t xml:space="preserve">of </w:t>
      </w:r>
      <w:r w:rsidRPr="00527CFA">
        <w:t xml:space="preserve">SPM #s 8 </w:t>
      </w:r>
      <w:r w:rsidR="00430E26">
        <w:t>(Gas Shut-In T</w:t>
      </w:r>
      <w:r w:rsidR="00C30C3D">
        <w:t>i</w:t>
      </w:r>
      <w:r w:rsidR="00430E26">
        <w:t>me</w:t>
      </w:r>
      <w:r w:rsidR="00C30C3D">
        <w:t xml:space="preserve">, Mains) </w:t>
      </w:r>
      <w:r w:rsidRPr="00527CFA">
        <w:t>and 9</w:t>
      </w:r>
      <w:r w:rsidR="00BF1B08">
        <w:t xml:space="preserve"> </w:t>
      </w:r>
      <w:r w:rsidR="00C30C3D">
        <w:t xml:space="preserve">(Gas Shut-In Time, Services) </w:t>
      </w:r>
      <w:r w:rsidR="00D23FF2">
        <w:t>in Appendices B and F</w:t>
      </w:r>
      <w:r w:rsidRPr="00527CFA">
        <w:t xml:space="preserve">, </w:t>
      </w:r>
      <w:r>
        <w:t xml:space="preserve">which we correct </w:t>
      </w:r>
      <w:r w:rsidRPr="00527CFA">
        <w:t>so that these metrics now measure only uncontrolled or unplanned gas releases.</w:t>
      </w:r>
      <w:r>
        <w:t xml:space="preserve">  We similarly modify </w:t>
      </w:r>
      <w:r w:rsidRPr="00527CFA">
        <w:t>SOM</w:t>
      </w:r>
      <w:r>
        <w:t>s</w:t>
      </w:r>
      <w:r w:rsidRPr="00527CFA">
        <w:t xml:space="preserve"> #s 4.4 </w:t>
      </w:r>
      <w:r w:rsidR="00E816E5">
        <w:t xml:space="preserve">(Gas Shut-In Time, Mains) </w:t>
      </w:r>
      <w:r w:rsidRPr="00527CFA">
        <w:t xml:space="preserve">and 4.5 </w:t>
      </w:r>
      <w:r w:rsidR="00E816E5">
        <w:t xml:space="preserve">(Gas Shut-In Time, Services) </w:t>
      </w:r>
      <w:r w:rsidR="00D23FF2">
        <w:t xml:space="preserve">in Appendices A and E </w:t>
      </w:r>
      <w:r w:rsidRPr="00527CFA">
        <w:t>to a</w:t>
      </w:r>
      <w:r>
        <w:t xml:space="preserve">ddress the same issue. </w:t>
      </w:r>
    </w:p>
    <w:p w:rsidR="005419AF" w:rsidP="008F1794" w:rsidRDefault="00705E8C" w14:paraId="1A63D8AA" w14:textId="0F8103D4">
      <w:pPr>
        <w:pStyle w:val="OP"/>
        <w:numPr>
          <w:ilvl w:val="0"/>
          <w:numId w:val="15"/>
        </w:numPr>
        <w:spacing w:after="120" w:line="240" w:lineRule="auto"/>
        <w:ind w:left="1080" w:right="720" w:hanging="450"/>
      </w:pPr>
      <w:r>
        <w:t xml:space="preserve">SCE and SDG&amp;E/SoCalGas </w:t>
      </w:r>
      <w:r w:rsidR="004B655C">
        <w:t xml:space="preserve">correctly </w:t>
      </w:r>
      <w:r>
        <w:t xml:space="preserve">observe that the proposed decision </w:t>
      </w:r>
      <w:r w:rsidR="006F782F">
        <w:t>incorrectly</w:t>
      </w:r>
      <w:r>
        <w:t xml:space="preserve"> states that we eliminate a SPM </w:t>
      </w:r>
      <w:r w:rsidR="00932E6D">
        <w:t xml:space="preserve">relating to </w:t>
      </w:r>
      <w:r w:rsidRPr="009F4E2A" w:rsidR="009F4E2A">
        <w:t>Days Away, Restricted and Transfer (</w:t>
      </w:r>
      <w:r w:rsidR="009F4E2A">
        <w:t>“</w:t>
      </w:r>
      <w:r w:rsidRPr="009F4E2A" w:rsidR="009F4E2A">
        <w:t>DART</w:t>
      </w:r>
      <w:r w:rsidR="009F4E2A">
        <w:t>”</w:t>
      </w:r>
      <w:r w:rsidRPr="009F4E2A" w:rsidR="009F4E2A">
        <w:t>) Rate</w:t>
      </w:r>
      <w:r w:rsidR="00B953AF">
        <w:t xml:space="preserve">.  We modify the </w:t>
      </w:r>
      <w:r w:rsidR="00EA1BFE">
        <w:t xml:space="preserve">final decision </w:t>
      </w:r>
      <w:r w:rsidR="00B953AF">
        <w:t>to</w:t>
      </w:r>
      <w:r w:rsidR="00EA1BFE">
        <w:t xml:space="preserve"> </w:t>
      </w:r>
      <w:r w:rsidR="00AB45BB">
        <w:t xml:space="preserve">state that we eliminate </w:t>
      </w:r>
      <w:r w:rsidR="006C373E">
        <w:t xml:space="preserve">SPM #14 </w:t>
      </w:r>
      <w:r w:rsidR="009F4E2A">
        <w:t>relating to Employee SIFs</w:t>
      </w:r>
      <w:r w:rsidR="004B655C">
        <w:t xml:space="preserve"> because </w:t>
      </w:r>
      <w:r w:rsidR="009F4E2A">
        <w:t xml:space="preserve">we adopt a new </w:t>
      </w:r>
      <w:r w:rsidR="006C4A3F">
        <w:t xml:space="preserve">Rate of </w:t>
      </w:r>
      <w:r w:rsidR="009F4E2A">
        <w:t xml:space="preserve">SIF </w:t>
      </w:r>
      <w:r w:rsidR="004B47E7">
        <w:t>Actual</w:t>
      </w:r>
      <w:r w:rsidR="006C4A3F">
        <w:t xml:space="preserve"> (Employee</w:t>
      </w:r>
      <w:r w:rsidR="004B47E7">
        <w:t xml:space="preserve">) </w:t>
      </w:r>
      <w:r w:rsidR="009F4E2A">
        <w:t xml:space="preserve">that is substantially similar. </w:t>
      </w:r>
      <w:r w:rsidR="00637D6D">
        <w:t xml:space="preserve"> We address this in section 11.3.2. </w:t>
      </w:r>
    </w:p>
    <w:p w:rsidR="00E03E97" w:rsidP="008F1794" w:rsidRDefault="00807381" w14:paraId="21F1A771" w14:textId="0F55EA74">
      <w:pPr>
        <w:pStyle w:val="OP"/>
        <w:numPr>
          <w:ilvl w:val="0"/>
          <w:numId w:val="15"/>
        </w:numPr>
        <w:spacing w:after="120" w:line="240" w:lineRule="auto"/>
        <w:ind w:left="1080" w:right="720" w:hanging="450"/>
      </w:pPr>
      <w:r>
        <w:t xml:space="preserve">Regarding </w:t>
      </w:r>
      <w:r w:rsidR="00935B26">
        <w:t xml:space="preserve">adopted </w:t>
      </w:r>
      <w:r>
        <w:t xml:space="preserve">SPMs #s 15 </w:t>
      </w:r>
      <w:r w:rsidR="001F152A">
        <w:t>– 16</w:t>
      </w:r>
      <w:r w:rsidR="004B47E7">
        <w:t xml:space="preserve">, Rate of SIF Actual (Employee) and Rate of SIF Actual (Contractor) </w:t>
      </w:r>
      <w:r w:rsidR="00DA675A">
        <w:t>(</w:t>
      </w:r>
      <w:r w:rsidR="001C34BB">
        <w:t xml:space="preserve">SPM #s 17 </w:t>
      </w:r>
      <w:r w:rsidR="001F152A">
        <w:t>– 18 as proposed)</w:t>
      </w:r>
      <w:r w:rsidR="004B47E7">
        <w:t xml:space="preserve">, </w:t>
      </w:r>
      <w:r w:rsidR="00935B26">
        <w:t xml:space="preserve">and adopted </w:t>
      </w:r>
      <w:r w:rsidR="001F152A">
        <w:t xml:space="preserve">SPMs </w:t>
      </w:r>
      <w:r w:rsidR="004B655C">
        <w:t xml:space="preserve">#s </w:t>
      </w:r>
      <w:r w:rsidR="001F152A">
        <w:t>17</w:t>
      </w:r>
      <w:r w:rsidR="008D4AE4">
        <w:t xml:space="preserve"> – 18, </w:t>
      </w:r>
      <w:r w:rsidR="005E5382">
        <w:t xml:space="preserve">Rate of SIF Potential (Employee) and Rate of SIF Potential (Contractor), </w:t>
      </w:r>
      <w:r w:rsidR="00C40BD1">
        <w:t>SDG&amp;E /SoCalGas</w:t>
      </w:r>
      <w:r w:rsidR="001E71AB">
        <w:t>’s</w:t>
      </w:r>
      <w:r w:rsidR="00C40BD1">
        <w:t xml:space="preserve"> </w:t>
      </w:r>
      <w:r w:rsidR="00732EED">
        <w:t>commen</w:t>
      </w:r>
      <w:r w:rsidR="00862350">
        <w:t>t</w:t>
      </w:r>
      <w:r w:rsidR="00CE51CF">
        <w:t>s</w:t>
      </w:r>
      <w:r w:rsidR="000C341A">
        <w:t xml:space="preserve"> persuade us that </w:t>
      </w:r>
      <w:r w:rsidR="0054566E">
        <w:t>it is acceptable to allow the IOUs to use slightly different methodologies to report on these metr</w:t>
      </w:r>
      <w:r w:rsidR="005E25F0">
        <w:t xml:space="preserve">ics.  </w:t>
      </w:r>
      <w:r w:rsidR="002227C3">
        <w:t xml:space="preserve">We continue to generally require </w:t>
      </w:r>
      <w:r w:rsidR="00B72A1D">
        <w:t xml:space="preserve">utilities to use </w:t>
      </w:r>
      <w:r w:rsidR="00FC55C8">
        <w:t xml:space="preserve">the </w:t>
      </w:r>
      <w:r w:rsidR="002227C3">
        <w:t xml:space="preserve">EEI </w:t>
      </w:r>
      <w:r w:rsidR="00FC55C8">
        <w:t xml:space="preserve">Occupational Health and Safety Committee </w:t>
      </w:r>
      <w:r w:rsidR="002227C3">
        <w:t>methodology</w:t>
      </w:r>
      <w:r w:rsidR="00FC55C8">
        <w:t>.  Ho</w:t>
      </w:r>
      <w:r w:rsidR="00877939">
        <w:t>wever, t</w:t>
      </w:r>
      <w:r w:rsidR="00FC55C8">
        <w:t xml:space="preserve">he final decision </w:t>
      </w:r>
      <w:r w:rsidR="00877939">
        <w:t xml:space="preserve">also </w:t>
      </w:r>
      <w:r w:rsidR="002227C3">
        <w:t>allow</w:t>
      </w:r>
      <w:r w:rsidR="00877939">
        <w:t xml:space="preserve">s a utility to use </w:t>
      </w:r>
      <w:r w:rsidR="002227C3">
        <w:t xml:space="preserve">a “substantially similar” </w:t>
      </w:r>
      <w:r w:rsidR="00CE51CF">
        <w:t xml:space="preserve">and replicable </w:t>
      </w:r>
      <w:r w:rsidR="002227C3">
        <w:t>method</w:t>
      </w:r>
      <w:r w:rsidR="00935B26">
        <w:t>ology</w:t>
      </w:r>
      <w:r w:rsidR="00C77D79">
        <w:t xml:space="preserve"> </w:t>
      </w:r>
      <w:r w:rsidR="00500E4D">
        <w:t xml:space="preserve">with the requirement that the utility </w:t>
      </w:r>
      <w:r w:rsidR="00437A1B">
        <w:t xml:space="preserve">explain how </w:t>
      </w:r>
      <w:r w:rsidR="00500E4D">
        <w:t xml:space="preserve">its </w:t>
      </w:r>
      <w:r w:rsidR="00437A1B">
        <w:t>methodology differs</w:t>
      </w:r>
      <w:r w:rsidR="001E71AB">
        <w:t xml:space="preserve"> from the EEI methodology</w:t>
      </w:r>
      <w:r w:rsidR="00437A1B">
        <w:t>, and why it chose to use it</w:t>
      </w:r>
      <w:r w:rsidR="00666B91">
        <w:t xml:space="preserve">, accompanied by supplemental reporting </w:t>
      </w:r>
      <w:r w:rsidR="00CE51CF">
        <w:t xml:space="preserve">by </w:t>
      </w:r>
      <w:r w:rsidR="00E65B1F">
        <w:t xml:space="preserve">all utilities.  </w:t>
      </w:r>
      <w:r w:rsidR="001E71AB">
        <w:t xml:space="preserve">The final decision </w:t>
      </w:r>
      <w:r w:rsidR="00CE51CF">
        <w:t>require</w:t>
      </w:r>
      <w:r w:rsidR="001E71AB">
        <w:t>s</w:t>
      </w:r>
      <w:r w:rsidR="00CE51CF">
        <w:t xml:space="preserve"> </w:t>
      </w:r>
      <w:r w:rsidRPr="00656BD7" w:rsidR="00CE51CF">
        <w:rPr>
          <w:u w:val="single"/>
        </w:rPr>
        <w:t>all</w:t>
      </w:r>
      <w:r w:rsidR="00CE51CF">
        <w:t xml:space="preserve"> </w:t>
      </w:r>
      <w:r w:rsidR="00E65B1F">
        <w:t xml:space="preserve">IOUs </w:t>
      </w:r>
      <w:r w:rsidR="007A7F76">
        <w:t xml:space="preserve">to </w:t>
      </w:r>
      <w:r w:rsidR="00E65B1F">
        <w:t>submit</w:t>
      </w:r>
      <w:r w:rsidR="00C06487">
        <w:t xml:space="preserve">, </w:t>
      </w:r>
      <w:r w:rsidR="000C19AA">
        <w:t>as supplementary</w:t>
      </w:r>
      <w:r w:rsidR="00C06487">
        <w:t xml:space="preserve"> </w:t>
      </w:r>
      <w:r w:rsidR="00C06487">
        <w:lastRenderedPageBreak/>
        <w:t>information,</w:t>
      </w:r>
      <w:r w:rsidR="000C19AA">
        <w:t xml:space="preserve"> </w:t>
      </w:r>
      <w:r w:rsidR="004416B4">
        <w:t xml:space="preserve">SIF Actual data </w:t>
      </w:r>
      <w:r w:rsidR="00B60AAA">
        <w:t xml:space="preserve">based on </w:t>
      </w:r>
      <w:r w:rsidR="00E65B1F">
        <w:t>OSHA</w:t>
      </w:r>
      <w:r w:rsidR="00B60AAA">
        <w:t xml:space="preserve"> reporting requirements under Section 6409.1 of the California Labor Code.  This is </w:t>
      </w:r>
      <w:r w:rsidR="00DE636A">
        <w:t xml:space="preserve">necessary to </w:t>
      </w:r>
      <w:r w:rsidR="00666B91">
        <w:t xml:space="preserve">ensure </w:t>
      </w:r>
      <w:r w:rsidR="00877939">
        <w:t xml:space="preserve">the Commission can </w:t>
      </w:r>
      <w:r w:rsidR="00DC20BA">
        <w:t xml:space="preserve">accurately </w:t>
      </w:r>
      <w:r w:rsidR="00877939">
        <w:t xml:space="preserve">compare </w:t>
      </w:r>
      <w:r w:rsidR="00A45272">
        <w:t xml:space="preserve">utilities’ performance </w:t>
      </w:r>
      <w:r w:rsidR="00DC20BA">
        <w:t xml:space="preserve">on this metric. </w:t>
      </w:r>
      <w:r w:rsidR="00E43E70">
        <w:t xml:space="preserve"> </w:t>
      </w:r>
      <w:r w:rsidR="007A2773">
        <w:t xml:space="preserve">We </w:t>
      </w:r>
      <w:r w:rsidR="00F109FD">
        <w:t>discuss</w:t>
      </w:r>
      <w:r w:rsidR="00E0509D">
        <w:t xml:space="preserve"> </w:t>
      </w:r>
      <w:r w:rsidR="00186687">
        <w:t>the</w:t>
      </w:r>
      <w:r w:rsidR="00E0509D">
        <w:t>se</w:t>
      </w:r>
      <w:r w:rsidR="00186687">
        <w:t xml:space="preserve"> changes in sections 11.3.2 and </w:t>
      </w:r>
      <w:r w:rsidR="00A412AA">
        <w:t xml:space="preserve">11.4.2 and </w:t>
      </w:r>
      <w:r w:rsidR="00E0509D">
        <w:t xml:space="preserve">in </w:t>
      </w:r>
      <w:r w:rsidR="00A412AA">
        <w:t>e</w:t>
      </w:r>
      <w:r w:rsidR="007A2773">
        <w:t>xplanatory text</w:t>
      </w:r>
      <w:r w:rsidR="00A412AA">
        <w:t xml:space="preserve"> in Appendices B and F</w:t>
      </w:r>
      <w:r w:rsidR="00605D39">
        <w:t xml:space="preserve">.  </w:t>
      </w:r>
      <w:r w:rsidR="00A569A4">
        <w:t xml:space="preserve">Adopting this approach </w:t>
      </w:r>
      <w:r w:rsidR="009F7B99">
        <w:t>means that the final decision no lo</w:t>
      </w:r>
      <w:r w:rsidR="0037677D">
        <w:t xml:space="preserve">nger provides </w:t>
      </w:r>
      <w:r w:rsidR="009F7B99">
        <w:t xml:space="preserve">SDG&amp;E/SoCalGas </w:t>
      </w:r>
      <w:r w:rsidR="0037677D">
        <w:t xml:space="preserve">with </w:t>
      </w:r>
      <w:r w:rsidR="009F7B99">
        <w:t>additional time to report on these metrics, resulting in the deletion of Conclusion of Law</w:t>
      </w:r>
      <w:r w:rsidR="005B3D34">
        <w:t xml:space="preserve"> 25</w:t>
      </w:r>
      <w:r w:rsidR="009F7B99">
        <w:t xml:space="preserve"> and </w:t>
      </w:r>
      <w:r w:rsidR="005B3D34">
        <w:t xml:space="preserve">the last sentence of </w:t>
      </w:r>
      <w:r w:rsidR="009F7B99">
        <w:t xml:space="preserve">Ordering Paragraph </w:t>
      </w:r>
      <w:r w:rsidR="005B3D34">
        <w:t>8.</w:t>
      </w:r>
    </w:p>
    <w:p w:rsidR="00CC3822" w:rsidP="008F1794" w:rsidRDefault="00F63383" w14:paraId="57369DBD" w14:textId="6A9B6B13">
      <w:pPr>
        <w:pStyle w:val="OP"/>
        <w:numPr>
          <w:ilvl w:val="0"/>
          <w:numId w:val="15"/>
        </w:numPr>
        <w:spacing w:after="120" w:line="240" w:lineRule="auto"/>
        <w:ind w:left="1080" w:right="720" w:hanging="450"/>
      </w:pPr>
      <w:r>
        <w:t>Re</w:t>
      </w:r>
      <w:r w:rsidR="0249AC09">
        <w:t>gard</w:t>
      </w:r>
      <w:r w:rsidR="00807381">
        <w:t>ing</w:t>
      </w:r>
      <w:r w:rsidR="0249AC09">
        <w:t xml:space="preserve"> SPM #</w:t>
      </w:r>
      <w:r w:rsidR="00CB258F">
        <w:t>27</w:t>
      </w:r>
      <w:r w:rsidR="00467013">
        <w:t xml:space="preserve"> (#35 as proposed)</w:t>
      </w:r>
      <w:r w:rsidR="0249AC09">
        <w:t xml:space="preserve">, </w:t>
      </w:r>
      <w:r w:rsidR="00676BA2">
        <w:t>Overhead Conductor Size in HFTD</w:t>
      </w:r>
      <w:r w:rsidR="00726B9E">
        <w:t xml:space="preserve"> Tiers 2 and 3, </w:t>
      </w:r>
      <w:r w:rsidR="00217B7C">
        <w:t xml:space="preserve">which SCE comments on, </w:t>
      </w:r>
      <w:r w:rsidR="0249AC09">
        <w:t xml:space="preserve">we clarify </w:t>
      </w:r>
      <w:r w:rsidR="000320BC">
        <w:t xml:space="preserve">our rationale for this metric </w:t>
      </w:r>
      <w:r w:rsidR="0249AC09">
        <w:t xml:space="preserve">in section </w:t>
      </w:r>
      <w:r w:rsidR="298F5287">
        <w:t xml:space="preserve">11.4.2 </w:t>
      </w:r>
      <w:r w:rsidR="006D3B1F">
        <w:t>and Appendices B and F</w:t>
      </w:r>
      <w:r w:rsidR="000320BC">
        <w:t>, namely</w:t>
      </w:r>
      <w:r w:rsidR="006D3B1F">
        <w:t xml:space="preserve"> </w:t>
      </w:r>
      <w:r w:rsidR="298F5287">
        <w:t xml:space="preserve">that </w:t>
      </w:r>
      <w:r w:rsidR="0249AC09">
        <w:t xml:space="preserve">tracking the percentage of overhead primary conductors smaller than #2 and #4 </w:t>
      </w:r>
      <w:r w:rsidR="00605D39">
        <w:t xml:space="preserve">copper </w:t>
      </w:r>
      <w:r w:rsidR="0249AC09">
        <w:t xml:space="preserve">conductors will help measure of the amount of small primary distribution overhead conductors most prone to failure.  Since #6 copper conductors are smaller and more prone to failure than #2 or #4 copper conductors, this is a suitable reference size to track for SPM #35.  We further clarify that the suitability of #6 copper as a reference size for small overhead primary distribution conductors most prone to failure can be revisited in the future.  </w:t>
      </w:r>
    </w:p>
    <w:p w:rsidR="00024345" w:rsidP="008F1794" w:rsidRDefault="00024345" w14:paraId="53FC836F" w14:textId="1F07236C">
      <w:pPr>
        <w:pStyle w:val="OP"/>
        <w:numPr>
          <w:ilvl w:val="0"/>
          <w:numId w:val="15"/>
        </w:numPr>
        <w:spacing w:after="120" w:line="240" w:lineRule="auto"/>
        <w:ind w:left="1080" w:right="720" w:hanging="450"/>
      </w:pPr>
      <w:r>
        <w:t>Regarding SPM # 28 (#41 as proposed)</w:t>
      </w:r>
      <w:r w:rsidR="00665C1C">
        <w:t xml:space="preserve">, </w:t>
      </w:r>
      <w:r>
        <w:t>Gas Operation Corrective Actions Backlog, PG&amp;E and SDG&amp;E/SoCalGas recommend we modify the definition slightly to make it more precise.  We address this in Appendices B and F.</w:t>
      </w:r>
    </w:p>
    <w:p w:rsidR="000742D2" w:rsidP="008F1794" w:rsidRDefault="003B4AF0" w14:paraId="73FB9072" w14:textId="797EFA83">
      <w:pPr>
        <w:pStyle w:val="OP"/>
        <w:numPr>
          <w:ilvl w:val="0"/>
          <w:numId w:val="15"/>
        </w:numPr>
        <w:spacing w:after="120" w:line="240" w:lineRule="auto"/>
        <w:ind w:left="1080" w:right="720" w:hanging="450"/>
      </w:pPr>
      <w:r>
        <w:t>The final decision</w:t>
      </w:r>
      <w:r w:rsidR="00527CFA">
        <w:t xml:space="preserve"> </w:t>
      </w:r>
      <w:r w:rsidR="003C2061">
        <w:t xml:space="preserve">slightly </w:t>
      </w:r>
      <w:r w:rsidR="00527CFA">
        <w:t xml:space="preserve">revises </w:t>
      </w:r>
      <w:r w:rsidR="00F54EEA">
        <w:t xml:space="preserve">two gas </w:t>
      </w:r>
      <w:r w:rsidR="00FC0DAF">
        <w:t xml:space="preserve">dig-in </w:t>
      </w:r>
      <w:r w:rsidR="00DA32AE">
        <w:t xml:space="preserve">metrics to assist with </w:t>
      </w:r>
      <w:r>
        <w:t xml:space="preserve">clarity. </w:t>
      </w:r>
      <w:r w:rsidR="00F54EEA">
        <w:t xml:space="preserve"> We </w:t>
      </w:r>
      <w:r w:rsidRPr="003B4AF0">
        <w:t>modif</w:t>
      </w:r>
      <w:r w:rsidR="00F54EEA">
        <w:t>y</w:t>
      </w:r>
      <w:r w:rsidRPr="003B4AF0">
        <w:t xml:space="preserve"> SOM </w:t>
      </w:r>
      <w:r w:rsidR="00E13C0F">
        <w:t xml:space="preserve"># </w:t>
      </w:r>
      <w:r w:rsidRPr="003B4AF0">
        <w:t xml:space="preserve">4.1 </w:t>
      </w:r>
      <w:r w:rsidR="005E5382">
        <w:t>(</w:t>
      </w:r>
      <w:r w:rsidR="00D63C71">
        <w:t>Gas Dig-</w:t>
      </w:r>
      <w:r w:rsidR="00081FFB">
        <w:t>i</w:t>
      </w:r>
      <w:r w:rsidR="00D63C71">
        <w:t xml:space="preserve">n) </w:t>
      </w:r>
      <w:r w:rsidR="008C7553">
        <w:t xml:space="preserve">and SPM </w:t>
      </w:r>
      <w:r w:rsidR="00E13C0F">
        <w:t xml:space="preserve"># </w:t>
      </w:r>
      <w:r w:rsidR="008C7553">
        <w:t xml:space="preserve">5 </w:t>
      </w:r>
      <w:r w:rsidR="005E5382">
        <w:t>(</w:t>
      </w:r>
      <w:r w:rsidR="003660BA">
        <w:t xml:space="preserve">Gas Dig-in) </w:t>
      </w:r>
      <w:r w:rsidRPr="003B4AF0">
        <w:t>to exclude Underground Service Alert tickets generated by</w:t>
      </w:r>
      <w:r w:rsidR="008C7553">
        <w:t xml:space="preserve"> </w:t>
      </w:r>
      <w:r w:rsidR="00752CA1">
        <w:t xml:space="preserve">a </w:t>
      </w:r>
      <w:r w:rsidR="008C7553">
        <w:t>utility</w:t>
      </w:r>
      <w:r w:rsidRPr="003B4AF0">
        <w:t xml:space="preserve"> or its contractors, which, if included in the denominator of th</w:t>
      </w:r>
      <w:r w:rsidR="00E13C0F">
        <w:t>ese metrics</w:t>
      </w:r>
      <w:r w:rsidRPr="003B4AF0">
        <w:t xml:space="preserve"> reduce </w:t>
      </w:r>
      <w:r w:rsidR="00436914">
        <w:t xml:space="preserve">the </w:t>
      </w:r>
      <w:r w:rsidRPr="003B4AF0">
        <w:t xml:space="preserve">measurement of dig-ins without adding visibility to </w:t>
      </w:r>
      <w:r w:rsidR="00BF26B4">
        <w:t xml:space="preserve">our main </w:t>
      </w:r>
      <w:r w:rsidRPr="003B4AF0">
        <w:t>area of concern</w:t>
      </w:r>
      <w:r w:rsidR="00E13C0F">
        <w:t xml:space="preserve">, which </w:t>
      </w:r>
      <w:r w:rsidRPr="003B4AF0">
        <w:t>center</w:t>
      </w:r>
      <w:r w:rsidR="00BF26B4">
        <w:t>s</w:t>
      </w:r>
      <w:r w:rsidRPr="003B4AF0">
        <w:t xml:space="preserve"> on third-party dig-ins.  </w:t>
      </w:r>
      <w:r w:rsidR="00995284">
        <w:t>These changes are reflected in section 11.3.2 and in Appendices B and F</w:t>
      </w:r>
      <w:r w:rsidR="00F3114A">
        <w:t xml:space="preserve">, which </w:t>
      </w:r>
      <w:r w:rsidR="00995284">
        <w:t xml:space="preserve">summarize </w:t>
      </w:r>
      <w:r w:rsidR="00F3114A">
        <w:t xml:space="preserve">our </w:t>
      </w:r>
      <w:r w:rsidR="00995284">
        <w:t>adopted SPMs.</w:t>
      </w:r>
      <w:r w:rsidR="00D26519">
        <w:t xml:space="preserve"> </w:t>
      </w:r>
    </w:p>
    <w:p w:rsidR="003B4AF0" w:rsidP="008F1794" w:rsidRDefault="00D26519" w14:paraId="6A17971F" w14:textId="2C77AB8A">
      <w:pPr>
        <w:pStyle w:val="OP"/>
        <w:numPr>
          <w:ilvl w:val="0"/>
          <w:numId w:val="15"/>
        </w:numPr>
        <w:spacing w:after="120" w:line="240" w:lineRule="auto"/>
        <w:ind w:left="1080" w:right="720" w:hanging="450"/>
      </w:pPr>
      <w:r>
        <w:t xml:space="preserve">The final decision clarifies in Appendices A and </w:t>
      </w:r>
      <w:r w:rsidR="00332A27">
        <w:t xml:space="preserve">E that </w:t>
      </w:r>
      <w:r w:rsidR="00081FFB">
        <w:t xml:space="preserve">required </w:t>
      </w:r>
      <w:r w:rsidR="00332A27">
        <w:t xml:space="preserve">reporting on </w:t>
      </w:r>
      <w:r w:rsidR="00D905CA">
        <w:t>E</w:t>
      </w:r>
      <w:r w:rsidR="00332A27">
        <w:t>lectricity</w:t>
      </w:r>
      <w:r w:rsidR="00C9762C">
        <w:t xml:space="preserve"> </w:t>
      </w:r>
      <w:r w:rsidR="00D905CA">
        <w:t>R</w:t>
      </w:r>
      <w:r w:rsidR="00332A27">
        <w:t xml:space="preserve">elated </w:t>
      </w:r>
      <w:r w:rsidR="000742D2">
        <w:t xml:space="preserve">SOMs </w:t>
      </w:r>
      <w:r w:rsidR="009C6A82">
        <w:t xml:space="preserve">(SOMs #s 3.1 – 3.12) </w:t>
      </w:r>
      <w:r w:rsidR="00C9762C">
        <w:t xml:space="preserve">and </w:t>
      </w:r>
      <w:r w:rsidR="00D905CA">
        <w:lastRenderedPageBreak/>
        <w:t>I</w:t>
      </w:r>
      <w:r w:rsidR="00C9762C">
        <w:t xml:space="preserve">gnitions and </w:t>
      </w:r>
      <w:r w:rsidR="00D905CA">
        <w:t>W</w:t>
      </w:r>
      <w:r w:rsidR="00C9762C">
        <w:t xml:space="preserve">ildfires </w:t>
      </w:r>
      <w:r w:rsidR="00D905CA">
        <w:t>R</w:t>
      </w:r>
      <w:r w:rsidR="00C9762C">
        <w:t xml:space="preserve">elated </w:t>
      </w:r>
      <w:r w:rsidR="00332A27">
        <w:t xml:space="preserve">SOMs </w:t>
      </w:r>
      <w:r w:rsidR="009C6A82">
        <w:t xml:space="preserve">(SOMs #s 3.13 – 3.16) </w:t>
      </w:r>
      <w:r w:rsidR="00A60BE6">
        <w:t xml:space="preserve">that contain </w:t>
      </w:r>
      <w:r w:rsidR="00332A27">
        <w:t>HFTDs</w:t>
      </w:r>
      <w:r w:rsidR="00452B89">
        <w:t xml:space="preserve"> is limited to Tier 2 and Tier 3 HFTDs</w:t>
      </w:r>
      <w:r w:rsidR="0068488E">
        <w:t xml:space="preserve">.  This issue is </w:t>
      </w:r>
      <w:r w:rsidR="00452B89">
        <w:t xml:space="preserve">discussed extensively in sections </w:t>
      </w:r>
      <w:r w:rsidR="003D5BDE">
        <w:t>10.</w:t>
      </w:r>
      <w:r w:rsidR="006A17A3">
        <w:t>5.2.3.3 and 10.5.3.1.3</w:t>
      </w:r>
      <w:r w:rsidR="0068488E">
        <w:t>.  We make this change to avoid any future confusion and to a</w:t>
      </w:r>
      <w:r w:rsidR="00C9762C">
        <w:t xml:space="preserve">lign the explanatory text for these SOMs with that </w:t>
      </w:r>
      <w:r w:rsidR="00D905CA">
        <w:t xml:space="preserve">in place for System </w:t>
      </w:r>
      <w:r w:rsidR="009E6DA8">
        <w:t>Average Outages due to Vegetation and Equipment Damage in HFTD</w:t>
      </w:r>
      <w:r w:rsidR="008363C5">
        <w:t xml:space="preserve">s </w:t>
      </w:r>
      <w:r w:rsidR="00A60BE6">
        <w:t>(SOM #</w:t>
      </w:r>
      <w:r w:rsidR="00ED4D65">
        <w:t xml:space="preserve">s 2.3 and 2.4) </w:t>
      </w:r>
      <w:r w:rsidR="008363C5">
        <w:t xml:space="preserve">in the same appendices. </w:t>
      </w:r>
    </w:p>
    <w:p w:rsidR="00712E2A" w:rsidP="00995284" w:rsidRDefault="00E13C0F" w14:paraId="3B067457" w14:textId="26BA0834">
      <w:pPr>
        <w:pStyle w:val="Standard"/>
      </w:pPr>
      <w:r>
        <w:t>W</w:t>
      </w:r>
      <w:r w:rsidR="00E974BC">
        <w:t>e not</w:t>
      </w:r>
      <w:r w:rsidR="00DD273A">
        <w:t>e</w:t>
      </w:r>
      <w:r w:rsidR="00E974BC">
        <w:t xml:space="preserve"> two comments that did not result in change</w:t>
      </w:r>
      <w:r w:rsidR="00DD273A">
        <w:t>s</w:t>
      </w:r>
      <w:r w:rsidR="00E974BC">
        <w:t xml:space="preserve"> to the fin</w:t>
      </w:r>
      <w:r w:rsidR="00FB7783">
        <w:t xml:space="preserve">al </w:t>
      </w:r>
      <w:r w:rsidR="00E974BC">
        <w:t xml:space="preserve">decision.  </w:t>
      </w:r>
      <w:r w:rsidR="00DD273A">
        <w:t xml:space="preserve">First, </w:t>
      </w:r>
      <w:r w:rsidR="00712E2A">
        <w:t xml:space="preserve">SCE </w:t>
      </w:r>
      <w:r w:rsidR="00FB7783">
        <w:t xml:space="preserve">comments </w:t>
      </w:r>
      <w:r w:rsidR="00712E2A">
        <w:t xml:space="preserve">that parties had limited opportunity to address revisions to some </w:t>
      </w:r>
      <w:r w:rsidR="00B20B3A">
        <w:t xml:space="preserve">our final adopted </w:t>
      </w:r>
      <w:r w:rsidR="00712E2A">
        <w:t>SPMs</w:t>
      </w:r>
      <w:r w:rsidR="00B20B3A">
        <w:t xml:space="preserve">. </w:t>
      </w:r>
      <w:r w:rsidR="00C2512F">
        <w:t xml:space="preserve"> We disagree.  T</w:t>
      </w:r>
      <w:r w:rsidR="00B55316">
        <w:t>he SPMs included in the proposed decision were based on</w:t>
      </w:r>
      <w:r w:rsidR="003F1D32">
        <w:t xml:space="preserve"> </w:t>
      </w:r>
      <w:r w:rsidR="005526CB">
        <w:t xml:space="preserve">extensive </w:t>
      </w:r>
      <w:r w:rsidR="00053C4C">
        <w:t>working group and Staff discu</w:t>
      </w:r>
      <w:r w:rsidR="70735424">
        <w:t>s</w:t>
      </w:r>
      <w:r w:rsidR="00053C4C">
        <w:t>sions and</w:t>
      </w:r>
      <w:r w:rsidR="00712E2A">
        <w:t xml:space="preserve"> </w:t>
      </w:r>
      <w:r w:rsidR="005419AF">
        <w:t xml:space="preserve">parties </w:t>
      </w:r>
      <w:r w:rsidR="005526CB">
        <w:t xml:space="preserve">also </w:t>
      </w:r>
      <w:r w:rsidR="00053C4C">
        <w:t xml:space="preserve">had the </w:t>
      </w:r>
      <w:r w:rsidR="005419AF">
        <w:t xml:space="preserve">opportunity to </w:t>
      </w:r>
      <w:r w:rsidR="00053C4C">
        <w:t>comment on the</w:t>
      </w:r>
      <w:r w:rsidR="00ED4D65">
        <w:t xml:space="preserve"> SPMs </w:t>
      </w:r>
      <w:r w:rsidR="00053C4C">
        <w:t xml:space="preserve">in their comments on the proposed decision.  </w:t>
      </w:r>
      <w:r w:rsidR="00FB7783">
        <w:t>Further, a</w:t>
      </w:r>
      <w:r w:rsidR="00053C4C">
        <w:t xml:space="preserve">s </w:t>
      </w:r>
      <w:r w:rsidR="00C92976">
        <w:t>exte</w:t>
      </w:r>
      <w:r w:rsidR="002821C2">
        <w:t xml:space="preserve">nsively </w:t>
      </w:r>
      <w:r w:rsidR="00053C4C">
        <w:t xml:space="preserve">discussed here, </w:t>
      </w:r>
      <w:r w:rsidR="00FB7783">
        <w:t xml:space="preserve">the final decision </w:t>
      </w:r>
      <w:r w:rsidR="00053C4C">
        <w:t>revise</w:t>
      </w:r>
      <w:r w:rsidR="00FB7783">
        <w:t>s</w:t>
      </w:r>
      <w:r w:rsidR="00053C4C">
        <w:t xml:space="preserve"> some of the SPMs based on parties</w:t>
      </w:r>
      <w:r w:rsidR="00260E1C">
        <w:t>’</w:t>
      </w:r>
      <w:r w:rsidR="00053C4C">
        <w:t xml:space="preserve"> comments. </w:t>
      </w:r>
    </w:p>
    <w:p w:rsidR="00CD162E" w:rsidP="00053C4C" w:rsidRDefault="00CD162E" w14:paraId="04BD66A1" w14:textId="1EB14DB0">
      <w:pPr>
        <w:pStyle w:val="Standard"/>
      </w:pPr>
      <w:r>
        <w:t xml:space="preserve">Second, regarding the PG&amp;E </w:t>
      </w:r>
      <w:r w:rsidR="006F782F">
        <w:t>transparency</w:t>
      </w:r>
      <w:r>
        <w:t xml:space="preserve"> proposal, TURN requests that we require SCE to also test TURN’s transparency proposal.  We do not require this in the final decision but note that </w:t>
      </w:r>
      <w:r w:rsidR="00C2512F">
        <w:t xml:space="preserve">Rule 10.1 of the </w:t>
      </w:r>
      <w:r w:rsidR="001056A5">
        <w:t>Commission Rules of Practice and Procedure</w:t>
      </w:r>
      <w:r w:rsidR="00817895">
        <w:t xml:space="preserve"> </w:t>
      </w:r>
      <w:r>
        <w:t>require utilities to</w:t>
      </w:r>
      <w:r w:rsidR="00AD5A43">
        <w:t xml:space="preserve"> </w:t>
      </w:r>
      <w:r>
        <w:t xml:space="preserve">respond to </w:t>
      </w:r>
      <w:r w:rsidR="00081F52">
        <w:t xml:space="preserve">reasonable </w:t>
      </w:r>
      <w:r w:rsidR="001056A5">
        <w:t>discovery data r</w:t>
      </w:r>
      <w:r w:rsidR="00AD5A43">
        <w:t>equests, including,</w:t>
      </w:r>
      <w:r w:rsidR="00404AEE">
        <w:t xml:space="preserve"> for </w:t>
      </w:r>
      <w:r w:rsidR="00AD5A43">
        <w:t xml:space="preserve">instance, </w:t>
      </w:r>
      <w:r w:rsidR="00FB7783">
        <w:t xml:space="preserve">a </w:t>
      </w:r>
      <w:r w:rsidR="006F5481">
        <w:t xml:space="preserve">discovery </w:t>
      </w:r>
      <w:r w:rsidR="00FB7783">
        <w:t xml:space="preserve">request by TURN </w:t>
      </w:r>
      <w:r w:rsidR="00BC750D">
        <w:t xml:space="preserve">that </w:t>
      </w:r>
      <w:r w:rsidR="00081F52">
        <w:t xml:space="preserve">SCE </w:t>
      </w:r>
      <w:r w:rsidR="00AD5A43">
        <w:t>complet</w:t>
      </w:r>
      <w:r w:rsidR="0075125B">
        <w:t>e</w:t>
      </w:r>
      <w:r w:rsidR="006F5481">
        <w:t xml:space="preserve"> </w:t>
      </w:r>
      <w:r w:rsidR="002821C2">
        <w:t>a</w:t>
      </w:r>
      <w:r w:rsidR="007E548A">
        <w:t xml:space="preserve"> TURN </w:t>
      </w:r>
      <w:r w:rsidR="00081F52">
        <w:t>transparency matri</w:t>
      </w:r>
      <w:r w:rsidR="00817895">
        <w:t>x</w:t>
      </w:r>
      <w:r w:rsidR="006F5481">
        <w:t>.</w:t>
      </w:r>
    </w:p>
    <w:p w:rsidR="005939A5" w:rsidP="005939A5" w:rsidRDefault="00F93919" w14:paraId="16AF6893" w14:textId="7AA07809">
      <w:pPr>
        <w:pStyle w:val="Heading1"/>
      </w:pPr>
      <w:bookmarkStart w:name="_Toc8123724" w:id="205"/>
      <w:bookmarkStart w:name="_Toc80890931" w:id="206"/>
      <w:bookmarkStart w:name="_Toc87361233" w:id="207"/>
      <w:r>
        <w:t>1</w:t>
      </w:r>
      <w:r w:rsidR="00F91A45">
        <w:t>5</w:t>
      </w:r>
      <w:r>
        <w:t>.</w:t>
      </w:r>
      <w:r>
        <w:tab/>
      </w:r>
      <w:r w:rsidR="005939A5">
        <w:t>Assignment of Proceeding</w:t>
      </w:r>
      <w:bookmarkEnd w:id="205"/>
      <w:bookmarkEnd w:id="206"/>
      <w:bookmarkEnd w:id="207"/>
    </w:p>
    <w:p w:rsidR="005939A5" w:rsidP="00B675DC" w:rsidRDefault="00F56AC9" w14:paraId="624B8E91" w14:textId="03DFDDCB">
      <w:pPr>
        <w:pStyle w:val="Standard"/>
      </w:pPr>
      <w:r>
        <w:t xml:space="preserve">Clifford Rechtschaffen </w:t>
      </w:r>
      <w:r w:rsidR="005939A5">
        <w:t xml:space="preserve">is the </w:t>
      </w:r>
      <w:r w:rsidR="00001ADE">
        <w:t>Assigned Commissioner</w:t>
      </w:r>
      <w:r w:rsidR="005939A5">
        <w:t xml:space="preserve"> and </w:t>
      </w:r>
      <w:r>
        <w:t>Cathleen</w:t>
      </w:r>
      <w:r w:rsidR="00D65821">
        <w:t> </w:t>
      </w:r>
      <w:r>
        <w:t>A.</w:t>
      </w:r>
      <w:r w:rsidR="00D65821">
        <w:t> </w:t>
      </w:r>
      <w:r>
        <w:t xml:space="preserve">Fogel </w:t>
      </w:r>
      <w:r w:rsidR="005939A5">
        <w:t xml:space="preserve">is the </w:t>
      </w:r>
      <w:r w:rsidR="00001ADE">
        <w:t>Assigned ALJ</w:t>
      </w:r>
      <w:r w:rsidRPr="00FB6AB9" w:rsidR="005939A5">
        <w:t xml:space="preserve"> in</w:t>
      </w:r>
      <w:r w:rsidR="005939A5">
        <w:t xml:space="preserve"> this proceeding.</w:t>
      </w:r>
    </w:p>
    <w:p w:rsidR="005939A5" w:rsidP="005939A5" w:rsidRDefault="005939A5" w14:paraId="07A92F3D" w14:textId="77777777">
      <w:pPr>
        <w:pStyle w:val="Dummy"/>
      </w:pPr>
      <w:bookmarkStart w:name="_Toc8123725" w:id="208"/>
      <w:bookmarkStart w:name="_Toc80890932" w:id="209"/>
      <w:bookmarkStart w:name="_Toc87361234" w:id="210"/>
      <w:r>
        <w:t>Findings of Fact</w:t>
      </w:r>
      <w:bookmarkEnd w:id="208"/>
      <w:bookmarkEnd w:id="209"/>
      <w:bookmarkEnd w:id="210"/>
    </w:p>
    <w:p w:rsidR="00B375E8" w:rsidP="00142E2E" w:rsidRDefault="00B375E8" w14:paraId="214E4169" w14:textId="3C9BC22F">
      <w:pPr>
        <w:pStyle w:val="FoF"/>
        <w:numPr>
          <w:ilvl w:val="0"/>
          <w:numId w:val="13"/>
        </w:numPr>
        <w:ind w:left="0" w:firstLine="360"/>
      </w:pPr>
      <w:r>
        <w:t xml:space="preserve">It is reasonable to clarify technical aspects of the Settlement Agreement adopted in D.18-12-014 to support the goals of the Risk, S-MAP and RDF Proceedings to ensure transparency and utility accountability </w:t>
      </w:r>
      <w:r w:rsidR="000148EF">
        <w:t>regarding</w:t>
      </w:r>
      <w:r>
        <w:t xml:space="preserve"> assessment and mitigation of safety risks. </w:t>
      </w:r>
    </w:p>
    <w:p w:rsidR="00B375E8" w:rsidP="00142E2E" w:rsidRDefault="0024784D" w14:paraId="7DE4ADEA" w14:textId="3E4C763C">
      <w:pPr>
        <w:pStyle w:val="FoF"/>
        <w:numPr>
          <w:ilvl w:val="0"/>
          <w:numId w:val="13"/>
        </w:numPr>
        <w:ind w:left="0" w:firstLine="360"/>
      </w:pPr>
      <w:r>
        <w:lastRenderedPageBreak/>
        <w:t>T</w:t>
      </w:r>
      <w:r w:rsidRPr="0024784D">
        <w:t xml:space="preserve">he IOUs have used a variety of methods to distinguish </w:t>
      </w:r>
      <w:r>
        <w:t xml:space="preserve">mitigation </w:t>
      </w:r>
      <w:r w:rsidRPr="0024784D">
        <w:t>measures</w:t>
      </w:r>
      <w:r w:rsidRPr="003340B7" w:rsidR="003340B7">
        <w:t xml:space="preserve"> </w:t>
      </w:r>
      <w:r w:rsidRPr="0024784D" w:rsidR="003340B7">
        <w:t>in their RAMP applications</w:t>
      </w:r>
      <w:r>
        <w:t>, including controls,</w:t>
      </w:r>
      <w:r w:rsidRPr="0024784D">
        <w:t xml:space="preserve"> that are “currently established” or “in place” from those that are new</w:t>
      </w:r>
      <w:r>
        <w:t>.</w:t>
      </w:r>
    </w:p>
    <w:p w:rsidRPr="006E4462" w:rsidR="006E4462" w:rsidP="00142E2E" w:rsidRDefault="006E4462" w14:paraId="5DF0B1CB" w14:textId="358F0A12">
      <w:pPr>
        <w:pStyle w:val="FoF"/>
        <w:numPr>
          <w:ilvl w:val="0"/>
          <w:numId w:val="13"/>
        </w:numPr>
        <w:ind w:left="0" w:firstLine="360"/>
      </w:pPr>
      <w:r w:rsidRPr="006E4462">
        <w:t>The SA Decision does not define foundational programs or activities</w:t>
      </w:r>
      <w:r>
        <w:t xml:space="preserve"> that </w:t>
      </w:r>
      <w:r w:rsidRPr="006E4462">
        <w:t xml:space="preserve">support or enable utility mitigation programs but do not directly reduce safety risks. </w:t>
      </w:r>
    </w:p>
    <w:p w:rsidR="006E4462" w:rsidP="00142E2E" w:rsidRDefault="006E4462" w14:paraId="75E190C9" w14:textId="4B821C05">
      <w:pPr>
        <w:pStyle w:val="FoF"/>
        <w:numPr>
          <w:ilvl w:val="0"/>
          <w:numId w:val="13"/>
        </w:numPr>
        <w:ind w:left="0" w:firstLine="360"/>
      </w:pPr>
      <w:r w:rsidRPr="006E4462">
        <w:t xml:space="preserve">Examples of foundational programs or activities may include software and computer hardware resources, situational awareness initiatives such as weather modeling, and vehicles used by employees. </w:t>
      </w:r>
    </w:p>
    <w:p w:rsidR="006E1FBD" w:rsidP="00142E2E" w:rsidRDefault="006E1FBD" w14:paraId="79C6E459" w14:textId="3E755A91">
      <w:pPr>
        <w:pStyle w:val="FoF"/>
        <w:numPr>
          <w:ilvl w:val="0"/>
          <w:numId w:val="13"/>
        </w:numPr>
        <w:ind w:left="0" w:firstLine="360"/>
      </w:pPr>
      <w:r w:rsidRPr="006E1FBD">
        <w:t xml:space="preserve">Requiring the IOUs to use the thresholds adopted for the RSARs to include foundational costs in their </w:t>
      </w:r>
      <w:r w:rsidR="00FF0B41">
        <w:t xml:space="preserve">mitigation </w:t>
      </w:r>
      <w:r w:rsidRPr="006E1FBD">
        <w:t xml:space="preserve">RSEs </w:t>
      </w:r>
      <w:r w:rsidR="00B27CBA">
        <w:t>adds</w:t>
      </w:r>
      <w:r w:rsidR="00FF0B41">
        <w:t xml:space="preserve"> clarity and</w:t>
      </w:r>
      <w:r w:rsidR="00B27CBA">
        <w:t xml:space="preserve"> </w:t>
      </w:r>
      <w:r w:rsidR="00FF0B41">
        <w:t xml:space="preserve">consistency while allowing for </w:t>
      </w:r>
      <w:r w:rsidRPr="006E1FBD">
        <w:t>variation based on company size</w:t>
      </w:r>
      <w:r w:rsidR="00FF0B41">
        <w:t>.</w:t>
      </w:r>
    </w:p>
    <w:p w:rsidRPr="006E4462" w:rsidR="00BA58FA" w:rsidP="00142E2E" w:rsidRDefault="008F12D4" w14:paraId="3AA1DB3D" w14:textId="4B7646B0">
      <w:pPr>
        <w:pStyle w:val="FoF"/>
        <w:numPr>
          <w:ilvl w:val="0"/>
          <w:numId w:val="13"/>
        </w:numPr>
        <w:ind w:left="0" w:firstLine="360"/>
      </w:pPr>
      <w:r>
        <w:t xml:space="preserve">It would be useful </w:t>
      </w:r>
      <w:r w:rsidR="008C37E3">
        <w:t>to t</w:t>
      </w:r>
      <w:r w:rsidR="00BA58FA">
        <w:t>es</w:t>
      </w:r>
      <w:r w:rsidR="00B27CBA">
        <w:t xml:space="preserve">t </w:t>
      </w:r>
      <w:r w:rsidRPr="00BA58FA" w:rsidR="00BA58FA">
        <w:t xml:space="preserve">TURN’s suggested “multi-portfolio” approach </w:t>
      </w:r>
      <w:r w:rsidR="00E97896">
        <w:t xml:space="preserve">to explore if this brings greater </w:t>
      </w:r>
      <w:r w:rsidRPr="00BA58FA" w:rsidR="00BA58FA">
        <w:t>clarity to th</w:t>
      </w:r>
      <w:r w:rsidR="00BA58FA">
        <w:t>e inclusion of foundational program costs in mitigation RSEs</w:t>
      </w:r>
      <w:r w:rsidR="00E97896">
        <w:t>.</w:t>
      </w:r>
    </w:p>
    <w:p w:rsidR="00B27CBA" w:rsidP="00142E2E" w:rsidRDefault="00C51613" w14:paraId="5C497A4F" w14:textId="1660AC33">
      <w:pPr>
        <w:pStyle w:val="FoF"/>
        <w:numPr>
          <w:ilvl w:val="0"/>
          <w:numId w:val="13"/>
        </w:numPr>
        <w:ind w:left="0" w:firstLine="360"/>
      </w:pPr>
      <w:r w:rsidRPr="007435C7">
        <w:t xml:space="preserve">OEIS WMP </w:t>
      </w:r>
      <w:r w:rsidR="00277867">
        <w:t>G</w:t>
      </w:r>
      <w:r w:rsidRPr="007435C7">
        <w:t>uidelines require analysis of PSPS impacts</w:t>
      </w:r>
      <w:r w:rsidR="00B27CBA">
        <w:t>.</w:t>
      </w:r>
    </w:p>
    <w:p w:rsidRPr="007435C7" w:rsidR="006E4462" w:rsidP="00142E2E" w:rsidRDefault="00CE6286" w14:paraId="2F257A94" w14:textId="03B5A497">
      <w:pPr>
        <w:pStyle w:val="FoF"/>
        <w:numPr>
          <w:ilvl w:val="0"/>
          <w:numId w:val="13"/>
        </w:numPr>
        <w:ind w:left="0" w:firstLine="360"/>
      </w:pPr>
      <w:r w:rsidRPr="007435C7">
        <w:t xml:space="preserve">SCE </w:t>
      </w:r>
      <w:r w:rsidRPr="00E866DB" w:rsidR="009B3B5E">
        <w:t>and SDG&amp;E</w:t>
      </w:r>
      <w:r w:rsidRPr="007435C7" w:rsidR="009B3B5E">
        <w:t xml:space="preserve"> </w:t>
      </w:r>
      <w:r w:rsidRPr="007435C7">
        <w:t xml:space="preserve">modeled the probability and consequences of both wildfire and PSPS events in </w:t>
      </w:r>
      <w:r w:rsidRPr="007435C7" w:rsidR="007C56EB">
        <w:t xml:space="preserve">their </w:t>
      </w:r>
      <w:r w:rsidRPr="007435C7">
        <w:t>202</w:t>
      </w:r>
      <w:r w:rsidR="0060396B">
        <w:t>1</w:t>
      </w:r>
      <w:r w:rsidRPr="007435C7">
        <w:t xml:space="preserve"> WMP</w:t>
      </w:r>
      <w:r w:rsidRPr="007435C7" w:rsidR="007C56EB">
        <w:t>s</w:t>
      </w:r>
      <w:r w:rsidRPr="007435C7" w:rsidR="009B3B5E">
        <w:t xml:space="preserve">, and </w:t>
      </w:r>
      <w:r w:rsidRPr="007435C7" w:rsidR="00C51613">
        <w:t>S</w:t>
      </w:r>
      <w:r w:rsidRPr="007435C7" w:rsidR="007C56EB">
        <w:t xml:space="preserve">DG&amp;E and SoCalGas’s </w:t>
      </w:r>
      <w:r w:rsidRPr="00E866DB" w:rsidR="00C51613">
        <w:t>2020</w:t>
      </w:r>
      <w:r w:rsidR="001603CD">
        <w:t> </w:t>
      </w:r>
      <w:r w:rsidRPr="007435C7" w:rsidR="00C51613">
        <w:t>RAMP application</w:t>
      </w:r>
      <w:r w:rsidRPr="007435C7" w:rsidR="007C56EB">
        <w:t>s</w:t>
      </w:r>
      <w:r w:rsidRPr="007435C7" w:rsidR="00C51613">
        <w:t xml:space="preserve"> include a basic treatment of PSPS risks and consequences. </w:t>
      </w:r>
    </w:p>
    <w:p w:rsidRPr="001E2A62" w:rsidR="00372A62" w:rsidP="001603CD" w:rsidRDefault="00246229" w14:paraId="01368A9E" w14:textId="7F84D576">
      <w:pPr>
        <w:pStyle w:val="FoF"/>
        <w:numPr>
          <w:ilvl w:val="0"/>
          <w:numId w:val="13"/>
        </w:numPr>
        <w:ind w:left="0" w:right="-90" w:firstLine="360"/>
      </w:pPr>
      <w:r>
        <w:t>R</w:t>
      </w:r>
      <w:r w:rsidRPr="00372A62" w:rsidR="00372A62">
        <w:t>equir</w:t>
      </w:r>
      <w:r>
        <w:t xml:space="preserve">ing the IOUs to explicitly incorporate </w:t>
      </w:r>
      <w:r w:rsidRPr="00372A62" w:rsidR="00372A62">
        <w:t>PSPS risks and consequences into the RDF</w:t>
      </w:r>
      <w:r>
        <w:t xml:space="preserve"> and their RAMP filings</w:t>
      </w:r>
      <w:r w:rsidR="00372A62">
        <w:t>, subject to the provisions of the SA Decision</w:t>
      </w:r>
      <w:r>
        <w:t xml:space="preserve">, </w:t>
      </w:r>
      <w:r w:rsidRPr="00372A62" w:rsidR="00372A62">
        <w:t>will advance</w:t>
      </w:r>
      <w:r w:rsidR="00372A62">
        <w:t xml:space="preserve"> consideration of th</w:t>
      </w:r>
      <w:r w:rsidR="00B27CBA">
        <w:t xml:space="preserve">e </w:t>
      </w:r>
      <w:r w:rsidR="00515278">
        <w:t>impacts of these events on customers</w:t>
      </w:r>
      <w:r w:rsidR="00A355ED">
        <w:t>.</w:t>
      </w:r>
    </w:p>
    <w:p w:rsidR="006F75FF" w:rsidP="00142E2E" w:rsidRDefault="00515278" w14:paraId="40FD0D49" w14:textId="1C832972">
      <w:pPr>
        <w:pStyle w:val="FoF"/>
        <w:numPr>
          <w:ilvl w:val="0"/>
          <w:numId w:val="13"/>
        </w:numPr>
        <w:ind w:left="0" w:firstLine="270"/>
      </w:pPr>
      <w:r>
        <w:t xml:space="preserve">Directing </w:t>
      </w:r>
      <w:r w:rsidR="006F75FF">
        <w:t xml:space="preserve">SCE to </w:t>
      </w:r>
      <w:r w:rsidR="007C56EB">
        <w:t xml:space="preserve">test </w:t>
      </w:r>
      <w:r w:rsidR="00DF4B52">
        <w:t xml:space="preserve">the </w:t>
      </w:r>
      <w:r w:rsidR="006F75FF">
        <w:t xml:space="preserve">PG&amp;E </w:t>
      </w:r>
      <w:r w:rsidR="007C56EB">
        <w:t xml:space="preserve">Transparency </w:t>
      </w:r>
      <w:r w:rsidR="006F75FF">
        <w:t xml:space="preserve">Proposal as modified here </w:t>
      </w:r>
      <w:r w:rsidR="00536162">
        <w:t>and directing SCE to serve the t</w:t>
      </w:r>
      <w:r w:rsidR="00ED4D65">
        <w:t xml:space="preserve">ransparency </w:t>
      </w:r>
      <w:r w:rsidR="00536162">
        <w:t>documents, completed to the best of its ability, no later than</w:t>
      </w:r>
      <w:r w:rsidR="00990261">
        <w:t xml:space="preserve"> 60 </w:t>
      </w:r>
      <w:r w:rsidR="00F34496">
        <w:t>days</w:t>
      </w:r>
      <w:r w:rsidR="00102F13">
        <w:t xml:space="preserve"> </w:t>
      </w:r>
      <w:r w:rsidR="00536162">
        <w:t xml:space="preserve">from the date </w:t>
      </w:r>
      <w:r w:rsidR="003F16E3">
        <w:t xml:space="preserve">SCE </w:t>
      </w:r>
      <w:r w:rsidR="00536162">
        <w:t xml:space="preserve">files </w:t>
      </w:r>
      <w:r w:rsidR="006F75FF">
        <w:t xml:space="preserve">its </w:t>
      </w:r>
      <w:r w:rsidR="000C5F97">
        <w:t xml:space="preserve">2022 </w:t>
      </w:r>
      <w:r w:rsidR="006F75FF">
        <w:t xml:space="preserve">RAMP filing </w:t>
      </w:r>
      <w:r>
        <w:t xml:space="preserve">will </w:t>
      </w:r>
      <w:r>
        <w:lastRenderedPageBreak/>
        <w:t xml:space="preserve">help </w:t>
      </w:r>
      <w:r w:rsidR="006F75FF">
        <w:t>the Commission and parties to refine transparency measures beyond those required in the SA Decision</w:t>
      </w:r>
      <w:r w:rsidR="000833E7">
        <w:t>.</w:t>
      </w:r>
    </w:p>
    <w:p w:rsidR="000833E7" w:rsidP="00142E2E" w:rsidRDefault="000833E7" w14:paraId="1D043697" w14:textId="675BD671">
      <w:pPr>
        <w:pStyle w:val="FoF"/>
        <w:numPr>
          <w:ilvl w:val="0"/>
          <w:numId w:val="13"/>
        </w:numPr>
        <w:ind w:left="0" w:firstLine="270"/>
      </w:pPr>
      <w:r>
        <w:t>It is reas</w:t>
      </w:r>
      <w:r w:rsidR="00DF4B52">
        <w:t xml:space="preserve">onable to </w:t>
      </w:r>
      <w:r w:rsidR="00323FB9">
        <w:t xml:space="preserve">clarify that this decision directs </w:t>
      </w:r>
      <w:r w:rsidR="00DF4B52">
        <w:t xml:space="preserve">SCE to complete the </w:t>
      </w:r>
      <w:r w:rsidR="00230D14">
        <w:t xml:space="preserve">transparency guidelines </w:t>
      </w:r>
      <w:r w:rsidR="00D75FA2">
        <w:t>templates only to the best of its ability</w:t>
      </w:r>
      <w:r w:rsidR="00BE42D6">
        <w:t xml:space="preserve"> and </w:t>
      </w:r>
      <w:r w:rsidR="00323FB9">
        <w:t xml:space="preserve">that the Commission </w:t>
      </w:r>
      <w:r w:rsidR="00D75FA2">
        <w:t xml:space="preserve">will </w:t>
      </w:r>
      <w:r w:rsidR="00E34266">
        <w:t xml:space="preserve">consider the </w:t>
      </w:r>
      <w:r w:rsidR="00323FB9">
        <w:t xml:space="preserve">test </w:t>
      </w:r>
      <w:r w:rsidR="00E34266">
        <w:t xml:space="preserve">results as purely informational, and </w:t>
      </w:r>
      <w:r w:rsidR="00CD4657">
        <w:t xml:space="preserve">to </w:t>
      </w:r>
      <w:r w:rsidR="00E34266">
        <w:t xml:space="preserve">ask Staff to </w:t>
      </w:r>
      <w:r w:rsidR="00257E57">
        <w:t xml:space="preserve">support SCE’s completion of this task in a way that does not disrupt SCE’s RAMP preparations. </w:t>
      </w:r>
    </w:p>
    <w:p w:rsidR="0083187A" w:rsidP="00142E2E" w:rsidRDefault="0083187A" w14:paraId="75247A48" w14:textId="1926267D">
      <w:pPr>
        <w:pStyle w:val="FoF"/>
        <w:numPr>
          <w:ilvl w:val="0"/>
          <w:numId w:val="13"/>
        </w:numPr>
        <w:ind w:left="0" w:firstLine="270"/>
      </w:pPr>
      <w:r w:rsidRPr="0083187A">
        <w:t>A distinguishing feature of wildfire size and consequence</w:t>
      </w:r>
      <w:r w:rsidR="00791412">
        <w:t>s</w:t>
      </w:r>
      <w:r w:rsidRPr="0083187A">
        <w:t xml:space="preserve"> following power law behavior is that extreme events dominate the results, which is consistent with the recent California wildfires of historical proportions</w:t>
      </w:r>
      <w:r>
        <w:t>.</w:t>
      </w:r>
    </w:p>
    <w:p w:rsidRPr="001E2A62" w:rsidR="003C0FE7" w:rsidP="00142E2E" w:rsidRDefault="003C0FE7" w14:paraId="346A0D2D" w14:textId="679F42CE">
      <w:pPr>
        <w:pStyle w:val="FoF"/>
        <w:numPr>
          <w:ilvl w:val="0"/>
          <w:numId w:val="13"/>
        </w:numPr>
        <w:ind w:left="0" w:firstLine="270"/>
      </w:pPr>
      <w:r>
        <w:t>It i</w:t>
      </w:r>
      <w:r w:rsidRPr="003C0FE7">
        <w:t>s essential that the modeling method</w:t>
      </w:r>
      <w:r w:rsidR="00FF3686">
        <w:t>s</w:t>
      </w:r>
      <w:r w:rsidRPr="003C0FE7">
        <w:t xml:space="preserve"> used by IOUs in their RDFs, WMPs, and RAMPs produce a set of consequences for wildfire that sufficiently incorporate high-end losses.</w:t>
      </w:r>
    </w:p>
    <w:p w:rsidR="00A536D4" w:rsidP="00142E2E" w:rsidRDefault="006406DB" w14:paraId="18E460A5" w14:textId="1926A832">
      <w:pPr>
        <w:pStyle w:val="FoF"/>
        <w:numPr>
          <w:ilvl w:val="0"/>
          <w:numId w:val="13"/>
        </w:numPr>
        <w:ind w:left="0" w:firstLine="270"/>
      </w:pPr>
      <w:r>
        <w:t>T</w:t>
      </w:r>
      <w:r w:rsidR="005D5F79">
        <w:t xml:space="preserve">he topic of climate change impacts, risks and mitigation measures is worthy of consideration in Phase II of this proceeding, </w:t>
      </w:r>
      <w:r>
        <w:t xml:space="preserve">but </w:t>
      </w:r>
      <w:r w:rsidR="00515278">
        <w:t xml:space="preserve">the issue is best considered as part of a larger Roadmap development process </w:t>
      </w:r>
      <w:r w:rsidR="00CB7127">
        <w:t xml:space="preserve">to help guide Phase II of this proceeding </w:t>
      </w:r>
      <w:r w:rsidR="00F46EDF">
        <w:t xml:space="preserve">as </w:t>
      </w:r>
      <w:r w:rsidR="005D5F79">
        <w:t>there are already many issues in scope</w:t>
      </w:r>
      <w:r w:rsidR="00515278">
        <w:t>.</w:t>
      </w:r>
    </w:p>
    <w:p w:rsidR="009450D9" w:rsidP="00142E2E" w:rsidRDefault="009450D9" w14:paraId="2D19DC81" w14:textId="311697EA">
      <w:pPr>
        <w:pStyle w:val="FoF"/>
        <w:numPr>
          <w:ilvl w:val="0"/>
          <w:numId w:val="13"/>
        </w:numPr>
        <w:ind w:left="0" w:firstLine="270"/>
      </w:pPr>
      <w:r>
        <w:t xml:space="preserve">Staff’s proposed SOMs reporting requirements and </w:t>
      </w:r>
      <w:r w:rsidR="000D08C3">
        <w:t xml:space="preserve">evaluation methods </w:t>
      </w:r>
      <w:r>
        <w:t xml:space="preserve">are consistent with Commission’s </w:t>
      </w:r>
      <w:r w:rsidR="0037113D">
        <w:t>direction</w:t>
      </w:r>
      <w:r>
        <w:t xml:space="preserve"> in D.20-05-05</w:t>
      </w:r>
      <w:r w:rsidR="00E85463">
        <w:t>3</w:t>
      </w:r>
      <w:r w:rsidR="00FF3686">
        <w:t xml:space="preserve"> and are reasonable</w:t>
      </w:r>
      <w:r w:rsidR="00440574">
        <w:t xml:space="preserve">, with the modification that PG&amp;E report SOMs on a </w:t>
      </w:r>
      <w:r w:rsidR="00F55A44">
        <w:t>se</w:t>
      </w:r>
      <w:r w:rsidR="004755EB">
        <w:t>mi-</w:t>
      </w:r>
      <w:r w:rsidR="00F55A44">
        <w:t xml:space="preserve">annual </w:t>
      </w:r>
      <w:r w:rsidR="00440574">
        <w:t>rather than an annual basis</w:t>
      </w:r>
      <w:r w:rsidR="00E85463">
        <w:t>.</w:t>
      </w:r>
    </w:p>
    <w:p w:rsidRPr="00E85463" w:rsidR="00491FFE" w:rsidP="00142E2E" w:rsidRDefault="00491FFE" w14:paraId="125A2D76" w14:textId="4ACEBE47">
      <w:pPr>
        <w:pStyle w:val="FoF"/>
        <w:numPr>
          <w:ilvl w:val="0"/>
          <w:numId w:val="13"/>
        </w:numPr>
        <w:ind w:left="0" w:firstLine="270"/>
      </w:pPr>
      <w:r>
        <w:t>It is reasonable to a</w:t>
      </w:r>
      <w:r w:rsidR="00486CE6">
        <w:t xml:space="preserve">uthorize </w:t>
      </w:r>
      <w:r>
        <w:t>PG&amp;E to</w:t>
      </w:r>
      <w:r w:rsidR="00E10941">
        <w:t>, in this or a successor proceeding, ser</w:t>
      </w:r>
      <w:r w:rsidRPr="00491FFE">
        <w:rPr>
          <w:iCs/>
        </w:rPr>
        <w:t xml:space="preserve">ve and file a request to modify the </w:t>
      </w:r>
      <w:r w:rsidR="004755EB">
        <w:rPr>
          <w:iCs/>
        </w:rPr>
        <w:t xml:space="preserve">semi-annual </w:t>
      </w:r>
      <w:r w:rsidRPr="00491FFE">
        <w:rPr>
          <w:iCs/>
        </w:rPr>
        <w:t>frequency of SOMs reporting</w:t>
      </w:r>
      <w:r w:rsidR="00486CE6">
        <w:rPr>
          <w:iCs/>
        </w:rPr>
        <w:t xml:space="preserve"> </w:t>
      </w:r>
      <w:r w:rsidR="009F37DE">
        <w:rPr>
          <w:iCs/>
        </w:rPr>
        <w:t xml:space="preserve">adopted here </w:t>
      </w:r>
      <w:r w:rsidR="00486CE6">
        <w:rPr>
          <w:iCs/>
        </w:rPr>
        <w:t>five years from issuance of this decision</w:t>
      </w:r>
      <w:r w:rsidR="00056552">
        <w:rPr>
          <w:iCs/>
        </w:rPr>
        <w:t xml:space="preserve"> </w:t>
      </w:r>
      <w:r w:rsidR="00486CE6">
        <w:rPr>
          <w:iCs/>
        </w:rPr>
        <w:t xml:space="preserve">and to </w:t>
      </w:r>
      <w:r w:rsidRPr="00491FFE">
        <w:rPr>
          <w:iCs/>
        </w:rPr>
        <w:t>provide a rationale for this request</w:t>
      </w:r>
      <w:r w:rsidR="00486CE6">
        <w:rPr>
          <w:iCs/>
        </w:rPr>
        <w:t xml:space="preserve"> if it does so.</w:t>
      </w:r>
      <w:r w:rsidRPr="00491FFE">
        <w:rPr>
          <w:iCs/>
        </w:rPr>
        <w:t xml:space="preserve">  </w:t>
      </w:r>
    </w:p>
    <w:p w:rsidR="004204FC" w:rsidP="00142E2E" w:rsidRDefault="00443EC6" w14:paraId="3DDE9650" w14:textId="1D2C40AB">
      <w:pPr>
        <w:pStyle w:val="FoF"/>
        <w:numPr>
          <w:ilvl w:val="0"/>
          <w:numId w:val="13"/>
        </w:numPr>
        <w:ind w:left="0" w:firstLine="270"/>
      </w:pPr>
      <w:r w:rsidRPr="00443EC6">
        <w:lastRenderedPageBreak/>
        <w:t xml:space="preserve">Because of PG&amp;E’s role in creating the safety issues that led to the EOE Process and the adoption of SOMs, it is reasonable to require </w:t>
      </w:r>
      <w:r>
        <w:t>an</w:t>
      </w:r>
      <w:r w:rsidRPr="00443EC6">
        <w:t xml:space="preserve"> independent audit </w:t>
      </w:r>
      <w:r>
        <w:t>of PG&amp;E’s collection and man</w:t>
      </w:r>
      <w:r w:rsidR="00EF4B7D">
        <w:t>agement</w:t>
      </w:r>
      <w:r>
        <w:t xml:space="preserve"> of SOMs data </w:t>
      </w:r>
      <w:r w:rsidRPr="00443EC6">
        <w:t xml:space="preserve">and to require PG&amp;E shareholders to pay for the audit.  </w:t>
      </w:r>
    </w:p>
    <w:p w:rsidR="00701F0E" w:rsidP="00142E2E" w:rsidRDefault="00701F0E" w14:paraId="41825BE3" w14:textId="6D775CEC">
      <w:pPr>
        <w:pStyle w:val="FoF"/>
        <w:numPr>
          <w:ilvl w:val="0"/>
          <w:numId w:val="13"/>
        </w:numPr>
        <w:ind w:left="0" w:firstLine="270"/>
      </w:pPr>
      <w:r>
        <w:t>PG&amp;E’s SOMs proposal was incomplete</w:t>
      </w:r>
      <w:r w:rsidR="00B66FD7">
        <w:t>,</w:t>
      </w:r>
      <w:r>
        <w:t xml:space="preserve"> but the </w:t>
      </w:r>
      <w:r w:rsidR="00892880">
        <w:t xml:space="preserve">more comprehensive </w:t>
      </w:r>
      <w:r w:rsidR="00960996">
        <w:t xml:space="preserve">Staff SOMs </w:t>
      </w:r>
      <w:r w:rsidR="00B66FD7">
        <w:t>P</w:t>
      </w:r>
      <w:r w:rsidR="00960996">
        <w:t xml:space="preserve">roposal incorporates many of PG&amp;E’s suggested SOMs, some in modified form. </w:t>
      </w:r>
    </w:p>
    <w:p w:rsidR="00A058FF" w:rsidP="00142E2E" w:rsidRDefault="00A058FF" w14:paraId="52F9E27F" w14:textId="324B0DAF">
      <w:pPr>
        <w:pStyle w:val="FoF"/>
        <w:numPr>
          <w:ilvl w:val="0"/>
          <w:numId w:val="13"/>
        </w:numPr>
        <w:ind w:left="0" w:firstLine="270"/>
      </w:pPr>
      <w:r>
        <w:t xml:space="preserve">Adopting a </w:t>
      </w:r>
      <w:r w:rsidR="00E4543F">
        <w:t xml:space="preserve">PG&amp;E SOM </w:t>
      </w:r>
      <w:r w:rsidR="006F1B13">
        <w:t>on SIFs Actual</w:t>
      </w:r>
      <w:r w:rsidR="00D87CB9">
        <w:t xml:space="preserve"> (Public</w:t>
      </w:r>
      <w:r w:rsidR="006F1B13">
        <w:t xml:space="preserve">) </w:t>
      </w:r>
      <w:r w:rsidRPr="00DE678B" w:rsidR="00DE678B">
        <w:t xml:space="preserve">adds a comprehensive view of PG&amp;E’s safety performance and is appropriate to use in relation to PG&amp;E executive compensation determinations.  </w:t>
      </w:r>
    </w:p>
    <w:p w:rsidR="00CD0A47" w:rsidP="00142E2E" w:rsidRDefault="00CD0A47" w14:paraId="4B42F126" w14:textId="1C51A1B4">
      <w:pPr>
        <w:pStyle w:val="FoF"/>
        <w:numPr>
          <w:ilvl w:val="0"/>
          <w:numId w:val="13"/>
        </w:numPr>
        <w:ind w:left="0" w:firstLine="270"/>
      </w:pPr>
      <w:r>
        <w:t xml:space="preserve">It is appropriate to recategorize Staff’s proposed Rate of SIF Potential SOMs </w:t>
      </w:r>
      <w:r w:rsidR="00694EFD">
        <w:t>to Rate of SIF Potential</w:t>
      </w:r>
      <w:r>
        <w:t xml:space="preserve"> SPMs</w:t>
      </w:r>
      <w:r w:rsidR="009E577C">
        <w:t xml:space="preserve"> </w:t>
      </w:r>
      <w:r w:rsidR="00BF6791">
        <w:t>as it is detrimental to pe</w:t>
      </w:r>
      <w:r w:rsidR="00E50258">
        <w:t>nalize a utility for reporting potentially hazardous conditions</w:t>
      </w:r>
      <w:r w:rsidR="00F9096F">
        <w:t xml:space="preserve"> </w:t>
      </w:r>
      <w:r w:rsidR="00E50258">
        <w:t xml:space="preserve">and an increase in </w:t>
      </w:r>
      <w:r w:rsidR="00675540">
        <w:t xml:space="preserve">SIF Potential incidents could </w:t>
      </w:r>
      <w:r w:rsidR="003255C8">
        <w:t>either</w:t>
      </w:r>
      <w:r w:rsidR="00675540">
        <w:t xml:space="preserve"> indicate</w:t>
      </w:r>
      <w:r w:rsidRPr="009E577C" w:rsidR="009E577C">
        <w:t xml:space="preserve"> improved reporting </w:t>
      </w:r>
      <w:r w:rsidR="00675540">
        <w:t xml:space="preserve">or an increase in the number of potentially hazardous conditions. </w:t>
      </w:r>
    </w:p>
    <w:p w:rsidR="0070266C" w:rsidP="00142E2E" w:rsidRDefault="0070266C" w14:paraId="68D54809" w14:textId="704E5F5B">
      <w:pPr>
        <w:pStyle w:val="FoF"/>
        <w:numPr>
          <w:ilvl w:val="0"/>
          <w:numId w:val="13"/>
        </w:numPr>
        <w:ind w:left="0" w:firstLine="270"/>
      </w:pPr>
      <w:r w:rsidRPr="0070266C">
        <w:t xml:space="preserve">Because PSPS events have the dual </w:t>
      </w:r>
      <w:r w:rsidR="00FC0F56">
        <w:rPr>
          <w:szCs w:val="26"/>
        </w:rPr>
        <w:t>potential</w:t>
      </w:r>
      <w:r>
        <w:rPr>
          <w:szCs w:val="26"/>
        </w:rPr>
        <w:t xml:space="preserve"> </w:t>
      </w:r>
      <w:r w:rsidRPr="00BE70E1">
        <w:rPr>
          <w:szCs w:val="26"/>
        </w:rPr>
        <w:t xml:space="preserve">of both </w:t>
      </w:r>
      <w:r w:rsidR="00FC0F56">
        <w:rPr>
          <w:szCs w:val="26"/>
        </w:rPr>
        <w:t>mitigating</w:t>
      </w:r>
      <w:r>
        <w:rPr>
          <w:szCs w:val="26"/>
        </w:rPr>
        <w:t xml:space="preserve"> and </w:t>
      </w:r>
      <w:r w:rsidR="00FC0F56">
        <w:rPr>
          <w:szCs w:val="26"/>
        </w:rPr>
        <w:t>aggravating</w:t>
      </w:r>
      <w:r>
        <w:rPr>
          <w:szCs w:val="26"/>
        </w:rPr>
        <w:t xml:space="preserve"> </w:t>
      </w:r>
      <w:r w:rsidRPr="00BE70E1">
        <w:rPr>
          <w:szCs w:val="26"/>
        </w:rPr>
        <w:t>safety risks</w:t>
      </w:r>
      <w:r w:rsidRPr="0070266C">
        <w:t xml:space="preserve">, adopting PSPS related SOMs for enforcement purposes at this time sends a mixed message at best and/or the wrong signal at worst.  </w:t>
      </w:r>
    </w:p>
    <w:p w:rsidR="0002744C" w:rsidP="00142E2E" w:rsidRDefault="0002744C" w14:paraId="0CB9BA94" w14:textId="704EDB2C">
      <w:pPr>
        <w:pStyle w:val="FoF"/>
        <w:numPr>
          <w:ilvl w:val="0"/>
          <w:numId w:val="13"/>
        </w:numPr>
        <w:ind w:left="0" w:firstLine="270"/>
      </w:pPr>
      <w:r w:rsidRPr="0002744C">
        <w:t xml:space="preserve">PG&amp;E has a duty under Section 451 and Rule 31.1 to design, build, and maintain facilities based on known local wind conditions.  </w:t>
      </w:r>
    </w:p>
    <w:p w:rsidRPr="002B5403" w:rsidR="00FF007D" w:rsidP="00142E2E" w:rsidRDefault="00FF007D" w14:paraId="148C7949" w14:textId="1EE44E68">
      <w:pPr>
        <w:pStyle w:val="FoF"/>
        <w:numPr>
          <w:ilvl w:val="0"/>
          <w:numId w:val="13"/>
        </w:numPr>
        <w:ind w:left="0" w:firstLine="270"/>
      </w:pPr>
      <w:r>
        <w:t>W</w:t>
      </w:r>
      <w:r w:rsidRPr="00FF007D">
        <w:t>hile weather events are important drivers</w:t>
      </w:r>
      <w:r w:rsidR="00487592">
        <w:t xml:space="preserve"> of risk events</w:t>
      </w:r>
      <w:r w:rsidRPr="00FF007D">
        <w:t>, they are not determinative of outcomes</w:t>
      </w:r>
      <w:r w:rsidR="006E25C3">
        <w:t>,</w:t>
      </w:r>
      <w:r>
        <w:t xml:space="preserve"> and i</w:t>
      </w:r>
      <w:r w:rsidRPr="00FF007D">
        <w:t xml:space="preserve">t is exactly under strong weather conditions that </w:t>
      </w:r>
      <w:r>
        <w:t>PG&amp;E’s</w:t>
      </w:r>
      <w:r w:rsidRPr="00FF007D">
        <w:t xml:space="preserve"> preparedness and operational capacity have the greatest impact on public safety.  </w:t>
      </w:r>
      <w:r w:rsidR="00C11BB2">
        <w:t xml:space="preserve"> </w:t>
      </w:r>
    </w:p>
    <w:p w:rsidRPr="00F618CC" w:rsidR="002B5403" w:rsidP="00142E2E" w:rsidRDefault="00960996" w14:paraId="4F2B8A16" w14:textId="15E9168D">
      <w:pPr>
        <w:pStyle w:val="FoF"/>
        <w:numPr>
          <w:ilvl w:val="0"/>
          <w:numId w:val="13"/>
        </w:numPr>
        <w:ind w:left="0" w:firstLine="270"/>
      </w:pPr>
      <w:r>
        <w:t xml:space="preserve">The </w:t>
      </w:r>
      <w:r w:rsidR="002B5403">
        <w:t>Staff SOMs</w:t>
      </w:r>
      <w:r w:rsidR="00B66FD7">
        <w:t xml:space="preserve"> Proposal</w:t>
      </w:r>
      <w:r w:rsidR="002B5403">
        <w:t xml:space="preserve"> as modified </w:t>
      </w:r>
      <w:r w:rsidR="0014060F">
        <w:t xml:space="preserve">here </w:t>
      </w:r>
      <w:r w:rsidR="00B66FD7">
        <w:t xml:space="preserve">is </w:t>
      </w:r>
      <w:r w:rsidR="00F618CC">
        <w:t>reasonable and align</w:t>
      </w:r>
      <w:r w:rsidR="00B66FD7">
        <w:t>s</w:t>
      </w:r>
      <w:r w:rsidR="00F618CC">
        <w:t xml:space="preserve"> with the criteria set forth in the SOMs Ruling</w:t>
      </w:r>
      <w:r w:rsidR="0014060F">
        <w:t xml:space="preserve">. </w:t>
      </w:r>
    </w:p>
    <w:p w:rsidRPr="00F618CC" w:rsidR="008F03C7" w:rsidP="00142E2E" w:rsidRDefault="002D681A" w14:paraId="5315C859" w14:textId="2668723C">
      <w:pPr>
        <w:pStyle w:val="FoF"/>
        <w:numPr>
          <w:ilvl w:val="0"/>
          <w:numId w:val="13"/>
        </w:numPr>
        <w:ind w:left="0" w:firstLine="270"/>
      </w:pPr>
      <w:r>
        <w:lastRenderedPageBreak/>
        <w:t xml:space="preserve">SDG&amp;E and </w:t>
      </w:r>
      <w:r w:rsidR="008F03C7">
        <w:t>SoCalGas do not currently use the EEI methodology to gather data on employee or contractor SIFs.</w:t>
      </w:r>
    </w:p>
    <w:p w:rsidR="00F618CC" w:rsidP="00142E2E" w:rsidRDefault="0037113D" w14:paraId="2FDBC6A3" w14:textId="3AD5DAC1">
      <w:pPr>
        <w:pStyle w:val="FoF"/>
        <w:numPr>
          <w:ilvl w:val="0"/>
          <w:numId w:val="13"/>
        </w:numPr>
        <w:ind w:left="0" w:firstLine="270"/>
      </w:pPr>
      <w:r>
        <w:t xml:space="preserve">The </w:t>
      </w:r>
      <w:r w:rsidR="00F618CC">
        <w:t>Staff</w:t>
      </w:r>
      <w:r>
        <w:t xml:space="preserve"> SPM Proposal </w:t>
      </w:r>
      <w:r w:rsidR="00F618CC">
        <w:t xml:space="preserve">as modified here </w:t>
      </w:r>
      <w:r>
        <w:t>is</w:t>
      </w:r>
      <w:r w:rsidR="00F618CC">
        <w:t xml:space="preserve"> reasonable and align</w:t>
      </w:r>
      <w:r>
        <w:t>s</w:t>
      </w:r>
      <w:r w:rsidR="00F618CC">
        <w:t xml:space="preserve"> with the criteria proposed by </w:t>
      </w:r>
      <w:r w:rsidR="00DE1DC2">
        <w:t>SDG&amp;E/</w:t>
      </w:r>
      <w:r w:rsidR="00F618CC">
        <w:t>SoCalGas</w:t>
      </w:r>
      <w:r>
        <w:t xml:space="preserve"> as discussed</w:t>
      </w:r>
      <w:r w:rsidR="001B4030">
        <w:t xml:space="preserve"> in </w:t>
      </w:r>
      <w:r w:rsidR="004D6F4F">
        <w:t>S</w:t>
      </w:r>
      <w:r w:rsidR="001B4030">
        <w:t>ection 11.3.1.</w:t>
      </w:r>
    </w:p>
    <w:p w:rsidR="005939A5" w:rsidP="005939A5" w:rsidRDefault="005939A5" w14:paraId="05A02C37" w14:textId="77777777">
      <w:pPr>
        <w:pStyle w:val="Dummy"/>
      </w:pPr>
      <w:bookmarkStart w:name="_Toc8123726" w:id="211"/>
      <w:bookmarkStart w:name="_Toc80890933" w:id="212"/>
      <w:bookmarkStart w:name="_Toc87361235" w:id="213"/>
      <w:r>
        <w:t>Conclusions of Law</w:t>
      </w:r>
      <w:bookmarkEnd w:id="211"/>
      <w:bookmarkEnd w:id="212"/>
      <w:bookmarkEnd w:id="213"/>
    </w:p>
    <w:p w:rsidR="005E1F40" w:rsidP="00142E2E" w:rsidRDefault="00117740" w14:paraId="2AFB5063" w14:textId="1850BCE6">
      <w:pPr>
        <w:pStyle w:val="CoL"/>
        <w:numPr>
          <w:ilvl w:val="0"/>
          <w:numId w:val="14"/>
        </w:numPr>
        <w:ind w:left="0" w:firstLine="360"/>
      </w:pPr>
      <w:r>
        <w:t xml:space="preserve">Public Utilities Code </w:t>
      </w:r>
      <w:r w:rsidRPr="00117740">
        <w:t>Section 750 requires the Commission to develop formal procedures to consider safety in a rate case application by an electrical corporation or gas corporation</w:t>
      </w:r>
      <w:r w:rsidR="007F6537">
        <w:t>.</w:t>
      </w:r>
    </w:p>
    <w:p w:rsidRPr="00117740" w:rsidR="00117740" w:rsidP="00142E2E" w:rsidRDefault="00F539F5" w14:paraId="62E9A7CB" w14:textId="55F4A5AD">
      <w:pPr>
        <w:pStyle w:val="CoL"/>
        <w:numPr>
          <w:ilvl w:val="0"/>
          <w:numId w:val="14"/>
        </w:numPr>
        <w:ind w:left="0" w:firstLine="360"/>
      </w:pPr>
      <w:r>
        <w:t xml:space="preserve">Public Utilities Code </w:t>
      </w:r>
      <w:r w:rsidRPr="00117740" w:rsidR="00117740">
        <w:t xml:space="preserve">Section 321.1(a) requires the Commission to assess and mitigate the impacts of its decisions on customer, public and employee safety. </w:t>
      </w:r>
    </w:p>
    <w:p w:rsidRPr="00117740" w:rsidR="00117740" w:rsidP="00142E2E" w:rsidRDefault="00F539F5" w14:paraId="38D70D82" w14:textId="2584CBB2">
      <w:pPr>
        <w:pStyle w:val="CoL"/>
        <w:numPr>
          <w:ilvl w:val="0"/>
          <w:numId w:val="14"/>
        </w:numPr>
        <w:ind w:left="0" w:firstLine="360"/>
      </w:pPr>
      <w:r>
        <w:t xml:space="preserve">Public Utilities Code </w:t>
      </w:r>
      <w:r w:rsidRPr="00117740" w:rsidR="00117740">
        <w:t xml:space="preserve">Section 451 requires the Commission to ensure that electric and gas utilities adopt just and reasonable rates. </w:t>
      </w:r>
    </w:p>
    <w:p w:rsidR="00D751F6" w:rsidP="00142E2E" w:rsidRDefault="00D751F6" w14:paraId="46F1AFE2" w14:textId="7218D406">
      <w:pPr>
        <w:pStyle w:val="CoL"/>
        <w:numPr>
          <w:ilvl w:val="0"/>
          <w:numId w:val="14"/>
        </w:numPr>
        <w:ind w:left="0" w:firstLine="360"/>
      </w:pPr>
      <w:r w:rsidRPr="00D751F6">
        <w:t xml:space="preserve">The </w:t>
      </w:r>
      <w:r>
        <w:t xml:space="preserve">Commission should require the </w:t>
      </w:r>
      <w:r w:rsidRPr="00D751F6">
        <w:t xml:space="preserve">IOUs </w:t>
      </w:r>
      <w:r>
        <w:t>to each</w:t>
      </w:r>
      <w:r w:rsidRPr="00D751F6">
        <w:t xml:space="preserve"> and as a group consistently and uniformly define and treat all forms of mitigations</w:t>
      </w:r>
      <w:r w:rsidR="007F6537">
        <w:t>,</w:t>
      </w:r>
      <w:r w:rsidRPr="00D751F6">
        <w:t xml:space="preserve"> including control measures</w:t>
      </w:r>
      <w:r w:rsidR="00243E86">
        <w:t xml:space="preserve"> and </w:t>
      </w:r>
      <w:r w:rsidR="003E11F6">
        <w:t xml:space="preserve">any </w:t>
      </w:r>
      <w:r w:rsidR="00995FF4">
        <w:t xml:space="preserve">and all </w:t>
      </w:r>
      <w:r w:rsidR="003E11F6">
        <w:t>subcategor</w:t>
      </w:r>
      <w:r w:rsidR="00995FF4">
        <w:t>ies</w:t>
      </w:r>
      <w:r w:rsidR="00243E86">
        <w:t xml:space="preserve"> of control measures</w:t>
      </w:r>
      <w:r w:rsidR="007F6537">
        <w:t>,</w:t>
      </w:r>
      <w:r w:rsidRPr="00D751F6">
        <w:t xml:space="preserve"> in their RDFs and RAMP filings, and in</w:t>
      </w:r>
      <w:r>
        <w:t xml:space="preserve"> </w:t>
      </w:r>
      <w:r w:rsidRPr="00D751F6">
        <w:t xml:space="preserve">related filings in other proceedings.  </w:t>
      </w:r>
    </w:p>
    <w:p w:rsidR="00D751F6" w:rsidP="00142E2E" w:rsidRDefault="00D751F6" w14:paraId="14E35E85" w14:textId="77777777">
      <w:pPr>
        <w:pStyle w:val="CoL"/>
        <w:numPr>
          <w:ilvl w:val="0"/>
          <w:numId w:val="14"/>
        </w:numPr>
        <w:ind w:left="0" w:firstLine="360"/>
      </w:pPr>
      <w:r w:rsidRPr="00D751F6">
        <w:t>The</w:t>
      </w:r>
      <w:r>
        <w:t xml:space="preserve"> Commission should require the</w:t>
      </w:r>
      <w:r w:rsidRPr="00D751F6">
        <w:t xml:space="preserve"> IOUs</w:t>
      </w:r>
      <w:r>
        <w:t xml:space="preserve"> to </w:t>
      </w:r>
      <w:r w:rsidRPr="00D751F6">
        <w:t>evaluate all mitigations for efficacy and efficiency, whether the mitigation is “in process” or newly proposed</w:t>
      </w:r>
      <w:r>
        <w:t xml:space="preserve">, </w:t>
      </w:r>
      <w:r w:rsidRPr="00D751F6">
        <w:t xml:space="preserve">when using the RDF and in </w:t>
      </w:r>
      <w:r>
        <w:t xml:space="preserve">all </w:t>
      </w:r>
      <w:r w:rsidRPr="00D751F6">
        <w:t xml:space="preserve">RAMP filings.  </w:t>
      </w:r>
    </w:p>
    <w:p w:rsidR="00932865" w:rsidP="00142E2E" w:rsidRDefault="00D751F6" w14:paraId="0DCB3716" w14:textId="53823835">
      <w:pPr>
        <w:pStyle w:val="CoL"/>
        <w:numPr>
          <w:ilvl w:val="0"/>
          <w:numId w:val="14"/>
        </w:numPr>
        <w:ind w:left="0" w:firstLine="360"/>
      </w:pPr>
      <w:r w:rsidRPr="00D751F6">
        <w:t xml:space="preserve">The </w:t>
      </w:r>
      <w:r>
        <w:t>Commission should require the</w:t>
      </w:r>
      <w:r w:rsidRPr="00D751F6">
        <w:t xml:space="preserve"> IOUs </w:t>
      </w:r>
      <w:r>
        <w:t xml:space="preserve">to </w:t>
      </w:r>
      <w:r w:rsidRPr="00D751F6">
        <w:t xml:space="preserve">calculate RSEs for all mitigations, including controls that are ongoing.  </w:t>
      </w:r>
    </w:p>
    <w:p w:rsidR="00A96460" w:rsidP="001603CD" w:rsidRDefault="00A96460" w14:paraId="0B330C85" w14:textId="49239D00">
      <w:pPr>
        <w:pStyle w:val="CoL"/>
        <w:keepNext/>
        <w:numPr>
          <w:ilvl w:val="0"/>
          <w:numId w:val="14"/>
        </w:numPr>
        <w:ind w:left="0" w:firstLine="360"/>
      </w:pPr>
      <w:r>
        <w:lastRenderedPageBreak/>
        <w:t>The Commission should require the IOUs to establish baselines for mitigation measures as follows</w:t>
      </w:r>
      <w:r w:rsidR="009831BE">
        <w:t xml:space="preserve"> and should add the terms “baselines” and “baseline risk” to the </w:t>
      </w:r>
      <w:r w:rsidR="003E5E01">
        <w:t xml:space="preserve">2021 </w:t>
      </w:r>
      <w:r w:rsidR="001152F1">
        <w:t xml:space="preserve">S-MAP </w:t>
      </w:r>
      <w:r w:rsidR="009831BE">
        <w:t>Revised Lexicon</w:t>
      </w:r>
      <w:r w:rsidR="003E5E01">
        <w:t xml:space="preserve"> included in Appendix D</w:t>
      </w:r>
      <w:r>
        <w:t xml:space="preserve">: </w:t>
      </w:r>
    </w:p>
    <w:p w:rsidR="00A96460" w:rsidP="001603CD" w:rsidRDefault="00A96460" w14:paraId="4A49040E" w14:textId="09B55DE4">
      <w:pPr>
        <w:pStyle w:val="CoL"/>
        <w:keepNext/>
        <w:spacing w:after="120" w:line="240" w:lineRule="auto"/>
        <w:ind w:left="720" w:right="1440" w:firstLine="0"/>
      </w:pPr>
      <w:bookmarkStart w:name="_Hlk80868066" w:id="214"/>
      <w:r w:rsidRPr="00A96460">
        <w:t xml:space="preserve">The baseline is a </w:t>
      </w:r>
      <w:r w:rsidR="03DFCD48">
        <w:t xml:space="preserve">reference </w:t>
      </w:r>
      <w:r w:rsidRPr="00A96460">
        <w:t>point in time at the start of the new GRC cycle.  The baseline risk as applied to RAMP and GRC proceedings refers</w:t>
      </w:r>
      <w:r w:rsidRPr="00A96460" w:rsidDel="4263A913">
        <w:t xml:space="preserve"> to </w:t>
      </w:r>
      <w:r w:rsidRPr="00A96460">
        <w:t>the amount of residual risk evaluated at the baseline (</w:t>
      </w:r>
      <w:r w:rsidRPr="002A4363">
        <w:rPr>
          <w:i/>
          <w:iCs/>
        </w:rPr>
        <w:t>i.e</w:t>
      </w:r>
      <w:r w:rsidRPr="00A96460">
        <w:t xml:space="preserve">. at the start of the new GRC cycle) after taking into account all risk reduction benefits </w:t>
      </w:r>
      <w:r w:rsidR="006E185A">
        <w:t>from</w:t>
      </w:r>
      <w:r w:rsidRPr="00A96460">
        <w:t xml:space="preserve"> all risk mitigation activities projected to have been performed by the start of the new GRC cycle.  The projected risk mitigation activities include those that are classified by the IOUs as controls, as well as all mitigation activities for which the IOUs are seeking approval and/or</w:t>
      </w:r>
      <w:r w:rsidRPr="00A96460" w:rsidDel="00163F64">
        <w:t xml:space="preserve"> funding </w:t>
      </w:r>
      <w:r w:rsidRPr="00A96460">
        <w:t xml:space="preserve">in the current or upcoming RAMP and GRC applications. </w:t>
      </w:r>
    </w:p>
    <w:p w:rsidR="003E5E01" w:rsidP="00142E2E" w:rsidRDefault="003E5E01" w14:paraId="10ACC350" w14:textId="6E100DA6">
      <w:pPr>
        <w:pStyle w:val="CoL"/>
        <w:numPr>
          <w:ilvl w:val="0"/>
          <w:numId w:val="14"/>
        </w:numPr>
        <w:ind w:left="0" w:firstLine="360"/>
      </w:pPr>
      <w:r>
        <w:t>The Commission should revise the definition of “residual risk” in the 2021</w:t>
      </w:r>
      <w:r w:rsidR="002A4363">
        <w:t> </w:t>
      </w:r>
      <w:r w:rsidR="001152F1">
        <w:t xml:space="preserve">S-MAP Revised Lexicon as follows: </w:t>
      </w:r>
      <w:r w:rsidR="00E43E70">
        <w:t xml:space="preserve"> </w:t>
      </w:r>
      <w:r w:rsidR="001152F1">
        <w:t xml:space="preserve">“risk remaining after </w:t>
      </w:r>
      <w:r w:rsidRPr="00767508" w:rsidR="001152F1">
        <w:rPr>
          <w:strike/>
        </w:rPr>
        <w:t>current controls</w:t>
      </w:r>
      <w:r w:rsidR="001152F1">
        <w:t xml:space="preserve"> </w:t>
      </w:r>
      <w:r w:rsidRPr="00767508" w:rsidR="001152F1">
        <w:rPr>
          <w:u w:val="single"/>
        </w:rPr>
        <w:t>application of mitigations, including mitigations classified as controls</w:t>
      </w:r>
      <w:r w:rsidR="001152F1">
        <w:t>.”</w:t>
      </w:r>
    </w:p>
    <w:p w:rsidR="00A96460" w:rsidP="00142E2E" w:rsidRDefault="00A96460" w14:paraId="0EBEAF22" w14:textId="7DA676BB">
      <w:pPr>
        <w:pStyle w:val="CoL"/>
        <w:numPr>
          <w:ilvl w:val="0"/>
          <w:numId w:val="14"/>
        </w:numPr>
        <w:ind w:left="0" w:firstLine="360"/>
      </w:pPr>
      <w:r>
        <w:t xml:space="preserve">The Commission should require </w:t>
      </w:r>
      <w:r w:rsidRPr="00901646" w:rsidR="00901646">
        <w:t>each IOU to identify in its annual RSAR the costs for controls and/or mitigation measures and/or activities that were approved in prior GRC cycles but not implemented, as applicable</w:t>
      </w:r>
      <w:r w:rsidR="00901646">
        <w:t>.</w:t>
      </w:r>
    </w:p>
    <w:bookmarkEnd w:id="214"/>
    <w:p w:rsidR="00BD7692" w:rsidP="00142E2E" w:rsidRDefault="00BD7692" w14:paraId="3743533B" w14:textId="70D6F93D">
      <w:pPr>
        <w:pStyle w:val="CoL"/>
        <w:numPr>
          <w:ilvl w:val="0"/>
          <w:numId w:val="14"/>
        </w:numPr>
        <w:ind w:left="0" w:firstLine="270"/>
      </w:pPr>
      <w:r>
        <w:t>The Commission should defin</w:t>
      </w:r>
      <w:r w:rsidR="00961991">
        <w:t>e</w:t>
      </w:r>
      <w:r>
        <w:t xml:space="preserve"> foundational programs and activities as</w:t>
      </w:r>
      <w:r w:rsidR="00FD2D2E">
        <w:t xml:space="preserve"> </w:t>
      </w:r>
      <w:r w:rsidRPr="00FD2D2E" w:rsidR="00FD2D2E">
        <w:t xml:space="preserve">“initiatives that support or enable two or more mitigation programs </w:t>
      </w:r>
      <w:r w:rsidR="00F36FA3">
        <w:t xml:space="preserve">or two or more risks </w:t>
      </w:r>
      <w:r w:rsidRPr="00FD2D2E" w:rsidR="00FD2D2E">
        <w:t xml:space="preserve">but do not directly reduce the consequences or reduce the likelihood of risk events,” and add this term and definition to the </w:t>
      </w:r>
      <w:r w:rsidR="005C0CBA">
        <w:t>20</w:t>
      </w:r>
      <w:r w:rsidR="00A129B2">
        <w:t xml:space="preserve">21 </w:t>
      </w:r>
      <w:r w:rsidRPr="00FD2D2E" w:rsidR="00FD2D2E">
        <w:t xml:space="preserve">Revised </w:t>
      </w:r>
      <w:r w:rsidR="00FE1E91">
        <w:t>S-MAP</w:t>
      </w:r>
      <w:r w:rsidRPr="00FD2D2E" w:rsidR="00FD2D2E">
        <w:t xml:space="preserve"> Lexicon</w:t>
      </w:r>
      <w:r w:rsidR="00A129B2">
        <w:t xml:space="preserve"> contained in Appendix D to this decision</w:t>
      </w:r>
      <w:r w:rsidRPr="00FD2D2E" w:rsidR="00FD2D2E">
        <w:t>.</w:t>
      </w:r>
    </w:p>
    <w:p w:rsidR="00967BAC" w:rsidP="00142E2E" w:rsidRDefault="00967BAC" w14:paraId="382BA950" w14:textId="5529F989">
      <w:pPr>
        <w:pStyle w:val="CoL"/>
        <w:numPr>
          <w:ilvl w:val="0"/>
          <w:numId w:val="14"/>
        </w:numPr>
        <w:ind w:left="0" w:firstLine="270"/>
      </w:pPr>
      <w:r>
        <w:t xml:space="preserve">The Commission should clarify that </w:t>
      </w:r>
      <w:r w:rsidRPr="00967BAC">
        <w:t xml:space="preserve">in case of conflict with </w:t>
      </w:r>
      <w:r>
        <w:t xml:space="preserve">the new </w:t>
      </w:r>
      <w:r w:rsidR="00965B1B">
        <w:t xml:space="preserve">terms and </w:t>
      </w:r>
      <w:r>
        <w:t xml:space="preserve">definitions adopted in this decision with </w:t>
      </w:r>
      <w:r w:rsidRPr="00967BAC">
        <w:t xml:space="preserve">other usages of these terms </w:t>
      </w:r>
      <w:r w:rsidR="009868DD">
        <w:t xml:space="preserve">for the purposes of this proceeding, </w:t>
      </w:r>
      <w:r w:rsidRPr="00967BAC">
        <w:t xml:space="preserve">the revised or new definitions </w:t>
      </w:r>
      <w:r w:rsidR="00965B1B">
        <w:t xml:space="preserve">adopted here </w:t>
      </w:r>
      <w:r w:rsidRPr="00967BAC">
        <w:t xml:space="preserve">supersede those other usages and definitions.  </w:t>
      </w:r>
    </w:p>
    <w:p w:rsidR="00BD7692" w:rsidP="00142E2E" w:rsidRDefault="00BD7692" w14:paraId="0C27B6EC" w14:textId="7F106D68">
      <w:pPr>
        <w:pStyle w:val="CoL"/>
        <w:numPr>
          <w:ilvl w:val="0"/>
          <w:numId w:val="14"/>
        </w:numPr>
        <w:ind w:left="0" w:firstLine="270"/>
      </w:pPr>
      <w:r>
        <w:lastRenderedPageBreak/>
        <w:t>The Commission should require the IOUs to include</w:t>
      </w:r>
      <w:r w:rsidR="00FD2D2E">
        <w:t xml:space="preserve"> the costs of</w:t>
      </w:r>
      <w:r>
        <w:t xml:space="preserve"> fou</w:t>
      </w:r>
      <w:r w:rsidR="00961991">
        <w:t xml:space="preserve">ndational programs and activities in </w:t>
      </w:r>
      <w:r w:rsidR="00540E7E">
        <w:t xml:space="preserve">mitigation </w:t>
      </w:r>
      <w:r w:rsidR="00961991">
        <w:t xml:space="preserve">RSEs </w:t>
      </w:r>
      <w:r w:rsidR="00FD2D2E">
        <w:t xml:space="preserve">if </w:t>
      </w:r>
      <w:r w:rsidR="00961991">
        <w:t>the</w:t>
      </w:r>
      <w:r w:rsidR="00075606">
        <w:t xml:space="preserve"> foundational program / activity costs</w:t>
      </w:r>
      <w:r w:rsidR="00FD2D2E">
        <w:t xml:space="preserve"> exceed the</w:t>
      </w:r>
      <w:r w:rsidR="00961991">
        <w:t xml:space="preserve"> thresholds adopted for the RSARs in D.19</w:t>
      </w:r>
      <w:r w:rsidR="002A4363">
        <w:noBreakHyphen/>
      </w:r>
      <w:r w:rsidR="00961991">
        <w:t>04</w:t>
      </w:r>
      <w:r w:rsidR="002A4363">
        <w:noBreakHyphen/>
      </w:r>
      <w:r w:rsidR="00961991">
        <w:t>020</w:t>
      </w:r>
      <w:r w:rsidR="006D53AB">
        <w:t xml:space="preserve"> </w:t>
      </w:r>
      <w:r w:rsidR="000D60B8">
        <w:t xml:space="preserve">and should authorize IOUs to include foundational costs </w:t>
      </w:r>
      <w:r w:rsidR="00262576">
        <w:t>below</w:t>
      </w:r>
      <w:r w:rsidR="000D60B8">
        <w:t xml:space="preserve"> these thresholds </w:t>
      </w:r>
      <w:r w:rsidR="00262576">
        <w:t>on an optional basis</w:t>
      </w:r>
      <w:r w:rsidR="000D60B8">
        <w:t xml:space="preserve">. </w:t>
      </w:r>
    </w:p>
    <w:p w:rsidR="00E97896" w:rsidP="00142E2E" w:rsidRDefault="00D97402" w14:paraId="484A0C19" w14:textId="60D3220D">
      <w:pPr>
        <w:pStyle w:val="CoL"/>
        <w:numPr>
          <w:ilvl w:val="0"/>
          <w:numId w:val="14"/>
        </w:numPr>
        <w:ind w:left="0" w:firstLine="270"/>
      </w:pPr>
      <w:bookmarkStart w:name="_Hlk80869267" w:id="215"/>
      <w:r>
        <w:t xml:space="preserve">The Commission should require </w:t>
      </w:r>
      <w:r>
        <w:rPr>
          <w:rFonts w:eastAsiaTheme="minorHAnsi" w:cstheme="minorBidi"/>
          <w:szCs w:val="26"/>
        </w:rPr>
        <w:t xml:space="preserve">the IOUs to </w:t>
      </w:r>
      <w:r w:rsidRPr="00EB636E">
        <w:rPr>
          <w:rFonts w:eastAsiaTheme="minorHAnsi" w:cstheme="minorBidi"/>
          <w:szCs w:val="26"/>
        </w:rPr>
        <w:t xml:space="preserve">incorporate </w:t>
      </w:r>
      <w:r>
        <w:rPr>
          <w:rFonts w:eastAsiaTheme="minorHAnsi" w:cstheme="minorBidi"/>
          <w:szCs w:val="26"/>
        </w:rPr>
        <w:t xml:space="preserve">the </w:t>
      </w:r>
      <w:r w:rsidRPr="00EB636E">
        <w:rPr>
          <w:rFonts w:eastAsiaTheme="minorHAnsi" w:cstheme="minorBidi"/>
          <w:szCs w:val="26"/>
        </w:rPr>
        <w:t>costs of foundational elements into the RSEs they present in their next RAMP filing</w:t>
      </w:r>
      <w:r>
        <w:rPr>
          <w:rFonts w:eastAsiaTheme="minorHAnsi" w:cstheme="minorBidi"/>
          <w:szCs w:val="26"/>
        </w:rPr>
        <w:t xml:space="preserve">, to </w:t>
      </w:r>
      <w:r w:rsidR="00E97896">
        <w:rPr>
          <w:rFonts w:eastAsiaTheme="minorHAnsi" w:cstheme="minorBidi"/>
          <w:szCs w:val="26"/>
        </w:rPr>
        <w:t xml:space="preserve">explain and justify their chosen distribution of foundational costs to mitigations, and to comply with applicable requirements of the SA Decision to explain their rationale and assumptions in categorizing foundational </w:t>
      </w:r>
      <w:r w:rsidR="00075606">
        <w:rPr>
          <w:rFonts w:eastAsiaTheme="minorHAnsi" w:cstheme="minorBidi"/>
          <w:szCs w:val="26"/>
        </w:rPr>
        <w:t>costs</w:t>
      </w:r>
      <w:r w:rsidR="00E97896">
        <w:rPr>
          <w:rFonts w:eastAsiaTheme="minorHAnsi" w:cstheme="minorBidi"/>
          <w:szCs w:val="26"/>
        </w:rPr>
        <w:t xml:space="preserve"> clearly and transparently</w:t>
      </w:r>
      <w:r w:rsidR="004F2FD2">
        <w:rPr>
          <w:rFonts w:eastAsiaTheme="minorHAnsi" w:cstheme="minorBidi"/>
          <w:szCs w:val="26"/>
        </w:rPr>
        <w:t>.</w:t>
      </w:r>
    </w:p>
    <w:bookmarkEnd w:id="215"/>
    <w:p w:rsidRPr="00A6762D" w:rsidR="00A6762D" w:rsidP="00142E2E" w:rsidRDefault="00A6762D" w14:paraId="057461B5" w14:textId="2958D502">
      <w:pPr>
        <w:pStyle w:val="CoL"/>
        <w:numPr>
          <w:ilvl w:val="0"/>
          <w:numId w:val="14"/>
        </w:numPr>
        <w:ind w:left="0" w:firstLine="270"/>
      </w:pPr>
      <w:r>
        <w:t xml:space="preserve">The Commission should require the </w:t>
      </w:r>
      <w:r w:rsidRPr="00A6762D">
        <w:t xml:space="preserve">IOUs to </w:t>
      </w:r>
      <w:r w:rsidR="001C3030">
        <w:t xml:space="preserve">model </w:t>
      </w:r>
      <w:r w:rsidR="005421D3">
        <w:t>PSPS events as risk events in the RDF and in future RAMP filings</w:t>
      </w:r>
      <w:r w:rsidR="007F6537">
        <w:t xml:space="preserve">, including assessing the </w:t>
      </w:r>
      <w:r w:rsidRPr="00A6762D">
        <w:t>likelihood and consequences of PSPS events</w:t>
      </w:r>
      <w:r w:rsidR="007F6537">
        <w:t>.</w:t>
      </w:r>
    </w:p>
    <w:p w:rsidRPr="000B4B14" w:rsidR="002B6DA5" w:rsidP="00142E2E" w:rsidRDefault="006E490D" w14:paraId="39B7E3EE" w14:textId="1ECE2703">
      <w:pPr>
        <w:pStyle w:val="CoL"/>
        <w:numPr>
          <w:ilvl w:val="0"/>
          <w:numId w:val="14"/>
        </w:numPr>
        <w:ind w:left="0" w:firstLine="270"/>
        <w:rPr>
          <w:szCs w:val="26"/>
        </w:rPr>
      </w:pPr>
      <w:r>
        <w:t xml:space="preserve">The Commission should </w:t>
      </w:r>
      <w:r w:rsidRPr="006E490D">
        <w:t xml:space="preserve">establish </w:t>
      </w:r>
      <w:r w:rsidRPr="006E490D" w:rsidR="00C93CEC">
        <w:t>an</w:t>
      </w:r>
      <w:r w:rsidRPr="006E490D">
        <w:t xml:space="preserve"> </w:t>
      </w:r>
      <w:r w:rsidR="005421D3">
        <w:t>R</w:t>
      </w:r>
      <w:r w:rsidR="00626CE9">
        <w:t>.20-07-013</w:t>
      </w:r>
      <w:r w:rsidR="005421D3">
        <w:t xml:space="preserve"> </w:t>
      </w:r>
      <w:r w:rsidRPr="006E490D">
        <w:t>TWG</w:t>
      </w:r>
      <w:r>
        <w:t xml:space="preserve"> led by Staff</w:t>
      </w:r>
      <w:r w:rsidRPr="006E490D">
        <w:t xml:space="preserve"> to </w:t>
      </w:r>
      <w:r w:rsidRPr="000B4B14">
        <w:rPr>
          <w:szCs w:val="26"/>
        </w:rPr>
        <w:t>address RDF Proceeding issues</w:t>
      </w:r>
      <w:r w:rsidRPr="000B4B14" w:rsidR="00CB5FFA">
        <w:rPr>
          <w:szCs w:val="26"/>
        </w:rPr>
        <w:t>, and</w:t>
      </w:r>
      <w:r w:rsidRPr="000B4B14" w:rsidR="005421D3">
        <w:rPr>
          <w:szCs w:val="26"/>
        </w:rPr>
        <w:t xml:space="preserve"> should</w:t>
      </w:r>
      <w:r w:rsidRPr="000B4B14" w:rsidR="002B6DA5">
        <w:rPr>
          <w:szCs w:val="26"/>
        </w:rPr>
        <w:t xml:space="preserve"> a</w:t>
      </w:r>
      <w:r w:rsidRPr="000B4B14">
        <w:rPr>
          <w:szCs w:val="26"/>
        </w:rPr>
        <w:t>uthorize Staff and parties to</w:t>
      </w:r>
      <w:r w:rsidRPr="000B4B14" w:rsidR="002B6DA5">
        <w:rPr>
          <w:szCs w:val="26"/>
        </w:rPr>
        <w:t>:</w:t>
      </w:r>
    </w:p>
    <w:p w:rsidRPr="000B4B14" w:rsidR="00D643EB" w:rsidP="00142E2E" w:rsidRDefault="003B48E8" w14:paraId="02184E78" w14:textId="751B5795">
      <w:pPr>
        <w:numPr>
          <w:ilvl w:val="1"/>
          <w:numId w:val="14"/>
        </w:numPr>
        <w:spacing w:after="120"/>
        <w:ind w:right="1440"/>
        <w:rPr>
          <w:szCs w:val="26"/>
        </w:rPr>
      </w:pPr>
      <w:r w:rsidRPr="000B4B14">
        <w:rPr>
          <w:szCs w:val="26"/>
        </w:rPr>
        <w:t xml:space="preserve">Identify </w:t>
      </w:r>
      <w:r w:rsidRPr="000B4B14" w:rsidR="00D643EB">
        <w:rPr>
          <w:szCs w:val="26"/>
        </w:rPr>
        <w:t>potential opportunities</w:t>
      </w:r>
      <w:r w:rsidRPr="000B4B14" w:rsidR="00204232">
        <w:rPr>
          <w:szCs w:val="26"/>
        </w:rPr>
        <w:t xml:space="preserve"> and, if appropriate, begin </w:t>
      </w:r>
      <w:r w:rsidRPr="000B4B14" w:rsidR="00D643EB">
        <w:rPr>
          <w:szCs w:val="26"/>
        </w:rPr>
        <w:t>to test TURN’s suggested “multi</w:t>
      </w:r>
      <w:r w:rsidRPr="000B4B14" w:rsidR="008435D6">
        <w:rPr>
          <w:szCs w:val="26"/>
        </w:rPr>
        <w:t xml:space="preserve">-portfolio” approach to reflecting foundational costs in mitigation RSEs </w:t>
      </w:r>
      <w:r w:rsidRPr="000B4B14" w:rsidR="004E2383">
        <w:rPr>
          <w:szCs w:val="26"/>
        </w:rPr>
        <w:t xml:space="preserve">in </w:t>
      </w:r>
      <w:r w:rsidRPr="000B4B14" w:rsidR="00D643EB">
        <w:rPr>
          <w:szCs w:val="26"/>
        </w:rPr>
        <w:t>a small number of use-cases</w:t>
      </w:r>
      <w:r w:rsidRPr="000B4B14" w:rsidR="004E2383">
        <w:rPr>
          <w:szCs w:val="26"/>
        </w:rPr>
        <w:t xml:space="preserve">, including exploring questions such as: </w:t>
      </w:r>
      <w:r w:rsidRPr="000B4B14" w:rsidR="00D643EB">
        <w:rPr>
          <w:szCs w:val="26"/>
        </w:rPr>
        <w:t xml:space="preserve"> </w:t>
      </w:r>
    </w:p>
    <w:p w:rsidR="000B4B14" w:rsidP="00142E2E" w:rsidRDefault="00D643EB" w14:paraId="2B5776F7" w14:textId="16D61448">
      <w:pPr>
        <w:numPr>
          <w:ilvl w:val="2"/>
          <w:numId w:val="14"/>
        </w:numPr>
        <w:spacing w:after="120"/>
        <w:ind w:left="1454" w:right="1800" w:hanging="187"/>
        <w:rPr>
          <w:szCs w:val="26"/>
        </w:rPr>
      </w:pPr>
      <w:r w:rsidRPr="000B4B14">
        <w:rPr>
          <w:szCs w:val="26"/>
        </w:rPr>
        <w:t>How should the IOUs apply the different RSEs from the different combinations of mitigations and associated foundational activities into a logical decision-making framework to justify the selection of mitigations and foundational activities presented in the RAMP applications?</w:t>
      </w:r>
    </w:p>
    <w:p w:rsidRPr="000B4B14" w:rsidR="000B4B14" w:rsidP="00142E2E" w:rsidRDefault="00D643EB" w14:paraId="25249273" w14:textId="517FB534">
      <w:pPr>
        <w:numPr>
          <w:ilvl w:val="2"/>
          <w:numId w:val="14"/>
        </w:numPr>
        <w:spacing w:after="120"/>
        <w:ind w:left="1454" w:right="1800" w:hanging="187"/>
        <w:rPr>
          <w:szCs w:val="26"/>
        </w:rPr>
      </w:pPr>
      <w:r w:rsidRPr="000B4B14">
        <w:rPr>
          <w:szCs w:val="26"/>
        </w:rPr>
        <w:t xml:space="preserve">How should the IOUs incorporate consideration of alternative mitigations and alternative foundational </w:t>
      </w:r>
      <w:r w:rsidRPr="000B4B14">
        <w:rPr>
          <w:szCs w:val="26"/>
        </w:rPr>
        <w:lastRenderedPageBreak/>
        <w:t xml:space="preserve">activities into the decision-making framework when foundational activities are involved? </w:t>
      </w:r>
    </w:p>
    <w:p w:rsidRPr="000B4B14" w:rsidR="00D643EB" w:rsidP="00142E2E" w:rsidRDefault="00D643EB" w14:paraId="37975462" w14:textId="31DA776E">
      <w:pPr>
        <w:numPr>
          <w:ilvl w:val="2"/>
          <w:numId w:val="14"/>
        </w:numPr>
        <w:spacing w:after="120"/>
        <w:ind w:left="1454" w:right="1800" w:hanging="187"/>
        <w:rPr>
          <w:szCs w:val="26"/>
        </w:rPr>
      </w:pPr>
      <w:r w:rsidRPr="000B4B14">
        <w:rPr>
          <w:szCs w:val="26"/>
        </w:rPr>
        <w:t xml:space="preserve">Should a reporting template be developed for uniform treatment and uniform reporting of foundational activities and the associated RSEs?  </w:t>
      </w:r>
    </w:p>
    <w:p w:rsidR="00CC1BA9" w:rsidP="00142E2E" w:rsidRDefault="00CC1BA9" w14:paraId="7F55AF9F" w14:textId="181F0925">
      <w:pPr>
        <w:numPr>
          <w:ilvl w:val="1"/>
          <w:numId w:val="14"/>
        </w:numPr>
        <w:spacing w:after="120"/>
        <w:ind w:right="1440"/>
      </w:pPr>
      <w:r w:rsidRPr="000B4B14">
        <w:rPr>
          <w:szCs w:val="26"/>
        </w:rPr>
        <w:t>Continue</w:t>
      </w:r>
      <w:r w:rsidRPr="006E490D">
        <w:t xml:space="preserve"> discuss</w:t>
      </w:r>
      <w:r>
        <w:t xml:space="preserve">ing better methods to model </w:t>
      </w:r>
      <w:r w:rsidRPr="006E490D">
        <w:t>PSPS events in the RDF</w:t>
      </w:r>
      <w:r>
        <w:t xml:space="preserve">, </w:t>
      </w:r>
      <w:r w:rsidRPr="006E490D">
        <w:t>provid</w:t>
      </w:r>
      <w:r>
        <w:t xml:space="preserve">ing a proposal for </w:t>
      </w:r>
      <w:r w:rsidRPr="006E490D">
        <w:t>more detailed Commission guidance on this topic</w:t>
      </w:r>
      <w:r>
        <w:t xml:space="preserve">, as early as Phase II of this proceeding, if </w:t>
      </w:r>
      <w:r w:rsidR="0070143E">
        <w:t xml:space="preserve">feasible and </w:t>
      </w:r>
      <w:r>
        <w:t>deemed useful by Staff;</w:t>
      </w:r>
    </w:p>
    <w:p w:rsidRPr="001E2A62" w:rsidR="00022406" w:rsidP="00142E2E" w:rsidRDefault="00F85501" w14:paraId="20DFFBC8" w14:textId="2652634E">
      <w:pPr>
        <w:numPr>
          <w:ilvl w:val="1"/>
          <w:numId w:val="14"/>
        </w:numPr>
        <w:spacing w:after="120"/>
        <w:ind w:right="1440"/>
      </w:pPr>
      <w:r w:rsidRPr="000B4B14">
        <w:rPr>
          <w:szCs w:val="26"/>
        </w:rPr>
        <w:t>D</w:t>
      </w:r>
      <w:r w:rsidRPr="000B4B14" w:rsidR="005C7CD8">
        <w:rPr>
          <w:szCs w:val="26"/>
        </w:rPr>
        <w:t>iscuss</w:t>
      </w:r>
      <w:r w:rsidR="005C7CD8">
        <w:t xml:space="preserve"> </w:t>
      </w:r>
      <w:r w:rsidR="002B6DA5">
        <w:t xml:space="preserve">PG&amp;E’s </w:t>
      </w:r>
      <w:r w:rsidR="007165B6">
        <w:t xml:space="preserve">test </w:t>
      </w:r>
      <w:r w:rsidR="002B6DA5">
        <w:t>of</w:t>
      </w:r>
      <w:r w:rsidR="004057B4">
        <w:t xml:space="preserve"> the </w:t>
      </w:r>
      <w:r w:rsidR="00C32ED0">
        <w:t>power law distributi</w:t>
      </w:r>
      <w:r w:rsidR="00221ECB">
        <w:t xml:space="preserve">on </w:t>
      </w:r>
      <w:r w:rsidR="00C32ED0">
        <w:t>approach</w:t>
      </w:r>
      <w:r w:rsidR="00221ECB">
        <w:t xml:space="preserve"> to modeling wildfire risk</w:t>
      </w:r>
      <w:r w:rsidR="00882DC7">
        <w:t xml:space="preserve">, and </w:t>
      </w:r>
      <w:r>
        <w:t xml:space="preserve">other </w:t>
      </w:r>
      <w:r w:rsidR="00882DC7">
        <w:t xml:space="preserve">approaches, </w:t>
      </w:r>
      <w:r w:rsidRPr="009706CF" w:rsidR="00882DC7">
        <w:t xml:space="preserve">with the goal of </w:t>
      </w:r>
      <w:r w:rsidR="008D1387">
        <w:t>determining the</w:t>
      </w:r>
      <w:r w:rsidR="00501BB4">
        <w:t xml:space="preserve"> need for and, if so, </w:t>
      </w:r>
      <w:r w:rsidR="008D1387">
        <w:t xml:space="preserve">identifying one or more </w:t>
      </w:r>
      <w:r w:rsidR="0056068E">
        <w:t xml:space="preserve">MAVF </w:t>
      </w:r>
      <w:r w:rsidR="00501BB4">
        <w:t>best practice</w:t>
      </w:r>
      <w:r w:rsidR="0069609D">
        <w:t xml:space="preserve">s </w:t>
      </w:r>
      <w:r w:rsidRPr="009706CF" w:rsidR="00882DC7">
        <w:t>for modeling wildfire risk and consequences that properly capture increasing wildfire risk due to climate change</w:t>
      </w:r>
      <w:r w:rsidR="0056068E">
        <w:t>;</w:t>
      </w:r>
    </w:p>
    <w:p w:rsidRPr="002C63AC" w:rsidR="002C63AC" w:rsidP="00142E2E" w:rsidRDefault="002C63AC" w14:paraId="6EDE9ED1" w14:textId="4656D6D5">
      <w:pPr>
        <w:numPr>
          <w:ilvl w:val="1"/>
          <w:numId w:val="14"/>
        </w:numPr>
        <w:spacing w:after="120"/>
        <w:ind w:right="1440"/>
      </w:pPr>
      <w:r w:rsidRPr="000B4B14">
        <w:rPr>
          <w:szCs w:val="26"/>
        </w:rPr>
        <w:t>Discuss</w:t>
      </w:r>
      <w:r>
        <w:t xml:space="preserve"> ways to further refine PG&amp;E’s Transparency Proposal as adopted here</w:t>
      </w:r>
      <w:r w:rsidR="00EF50AA">
        <w:t xml:space="preserve">, </w:t>
      </w:r>
      <w:r w:rsidR="004F169D">
        <w:t xml:space="preserve">as discussed in section 9.1.4, </w:t>
      </w:r>
      <w:r w:rsidR="00EF50AA">
        <w:t>and</w:t>
      </w:r>
      <w:r w:rsidRPr="002C63AC">
        <w:t xml:space="preserve"> provide an updated Transparency Proposal for consideration </w:t>
      </w:r>
      <w:r w:rsidR="00EF50AA">
        <w:t xml:space="preserve">as early as </w:t>
      </w:r>
      <w:r w:rsidRPr="002C63AC">
        <w:t xml:space="preserve">Phase II of this proceeding, </w:t>
      </w:r>
      <w:r w:rsidR="0070143E">
        <w:t>if feasible</w:t>
      </w:r>
      <w:r w:rsidR="005C7CD8">
        <w:t>;</w:t>
      </w:r>
      <w:r w:rsidRPr="002C63AC">
        <w:t xml:space="preserve"> </w:t>
      </w:r>
    </w:p>
    <w:p w:rsidR="002C63AC" w:rsidP="00142E2E" w:rsidRDefault="00030E8F" w14:paraId="73239EC8" w14:textId="5AB0B32D">
      <w:pPr>
        <w:numPr>
          <w:ilvl w:val="1"/>
          <w:numId w:val="14"/>
        </w:numPr>
        <w:spacing w:after="120"/>
        <w:ind w:right="1440"/>
      </w:pPr>
      <w:r w:rsidRPr="000B4B14">
        <w:rPr>
          <w:szCs w:val="26"/>
        </w:rPr>
        <w:t>Prepare</w:t>
      </w:r>
      <w:r>
        <w:t xml:space="preserve"> </w:t>
      </w:r>
      <w:r w:rsidR="003E695E">
        <w:t>and pro</w:t>
      </w:r>
      <w:r w:rsidR="003A0867">
        <w:t>pose</w:t>
      </w:r>
      <w:r w:rsidR="003E695E">
        <w:t xml:space="preserve">, as discussed in this decision, </w:t>
      </w:r>
      <w:r>
        <w:t xml:space="preserve">an updated </w:t>
      </w:r>
      <w:r w:rsidR="003E695E">
        <w:t xml:space="preserve">draft </w:t>
      </w:r>
      <w:r>
        <w:t xml:space="preserve">“S-MAP Roadmap” and a high-level workplan </w:t>
      </w:r>
      <w:r w:rsidR="008F2927">
        <w:t xml:space="preserve">for Phase II of this proceeding </w:t>
      </w:r>
      <w:r>
        <w:t>that indicates priorities</w:t>
      </w:r>
      <w:r w:rsidR="009336AF">
        <w:t xml:space="preserve"> and a</w:t>
      </w:r>
      <w:r>
        <w:t xml:space="preserve">ny dependencies and outlines approximate timelines and deliverables needed to address prioritized items, with the aim of completing this work by </w:t>
      </w:r>
      <w:r w:rsidR="00E714FB">
        <w:t xml:space="preserve">December 31, </w:t>
      </w:r>
      <w:r>
        <w:t>2021</w:t>
      </w:r>
      <w:r w:rsidR="00564509">
        <w:t>,</w:t>
      </w:r>
      <w:r w:rsidR="00FA405C">
        <w:t xml:space="preserve"> </w:t>
      </w:r>
      <w:r w:rsidRPr="00FA405C" w:rsidR="00FA405C">
        <w:t xml:space="preserve">or a later date as directed by the </w:t>
      </w:r>
      <w:r w:rsidR="00141D37">
        <w:t>a</w:t>
      </w:r>
      <w:r w:rsidRPr="00FA405C" w:rsidR="00FA405C">
        <w:t xml:space="preserve">ssigned </w:t>
      </w:r>
      <w:r w:rsidR="00141D37">
        <w:t>ALJ</w:t>
      </w:r>
      <w:r w:rsidR="005C7CD8">
        <w:t xml:space="preserve">; </w:t>
      </w:r>
    </w:p>
    <w:p w:rsidR="00CB5394" w:rsidP="00142E2E" w:rsidRDefault="007A107F" w14:paraId="7149B51F" w14:textId="34AB65A1">
      <w:pPr>
        <w:numPr>
          <w:ilvl w:val="1"/>
          <w:numId w:val="14"/>
        </w:numPr>
        <w:spacing w:after="120"/>
        <w:ind w:right="1440"/>
      </w:pPr>
      <w:r>
        <w:t>A</w:t>
      </w:r>
      <w:r w:rsidRPr="00E70AA7">
        <w:t xml:space="preserve">s data </w:t>
      </w:r>
      <w:r w:rsidRPr="000B4B14">
        <w:rPr>
          <w:szCs w:val="26"/>
        </w:rPr>
        <w:t>become</w:t>
      </w:r>
      <w:r w:rsidRPr="00E70AA7">
        <w:t xml:space="preserve"> available and experience is gained, </w:t>
      </w:r>
      <w:r>
        <w:t>and</w:t>
      </w:r>
      <w:r w:rsidR="00CB5394">
        <w:t xml:space="preserve"> as feasible</w:t>
      </w:r>
      <w:r w:rsidRPr="00E70AA7">
        <w:t xml:space="preserve"> given other R.20-07-013 priorities,</w:t>
      </w:r>
      <w:r>
        <w:t xml:space="preserve"> discuss</w:t>
      </w:r>
      <w:r w:rsidR="00CB5394">
        <w:t xml:space="preserve"> </w:t>
      </w:r>
      <w:r w:rsidR="00B155AF">
        <w:t xml:space="preserve">methods to move towards </w:t>
      </w:r>
      <w:r w:rsidR="00CB5394">
        <w:t xml:space="preserve">a possible framework </w:t>
      </w:r>
      <w:r w:rsidR="00B155AF">
        <w:t xml:space="preserve">for </w:t>
      </w:r>
      <w:r w:rsidR="00CB5394">
        <w:t>targets or thresholds for PG&amp;E’s SOMs</w:t>
      </w:r>
      <w:r w:rsidR="00E45536">
        <w:t xml:space="preserve">; and, </w:t>
      </w:r>
    </w:p>
    <w:p w:rsidR="00E45536" w:rsidP="00142E2E" w:rsidRDefault="00E866DB" w14:paraId="39840064" w14:textId="44A627CE">
      <w:pPr>
        <w:numPr>
          <w:ilvl w:val="1"/>
          <w:numId w:val="14"/>
        </w:numPr>
        <w:spacing w:after="120"/>
        <w:ind w:right="1440"/>
      </w:pPr>
      <w:r>
        <w:t>Begin work on p</w:t>
      </w:r>
      <w:r w:rsidR="00E45536">
        <w:t xml:space="preserve">riority elements identified in the Roadmap process ordered here. </w:t>
      </w:r>
    </w:p>
    <w:p w:rsidRPr="001E2A62" w:rsidR="00A77C57" w:rsidP="00142E2E" w:rsidRDefault="00A77C57" w14:paraId="1D0350BA" w14:textId="008D2F92">
      <w:pPr>
        <w:pStyle w:val="CoL"/>
        <w:numPr>
          <w:ilvl w:val="0"/>
          <w:numId w:val="14"/>
        </w:numPr>
        <w:ind w:left="0" w:firstLine="270"/>
      </w:pPr>
      <w:r>
        <w:t xml:space="preserve">The Commission should require </w:t>
      </w:r>
      <w:r w:rsidR="000E6DEC">
        <w:t xml:space="preserve">SCE to test </w:t>
      </w:r>
      <w:r w:rsidR="009C1525">
        <w:t xml:space="preserve">the </w:t>
      </w:r>
      <w:r w:rsidR="000E6DEC">
        <w:t>PG&amp;E Transparency Proposa</w:t>
      </w:r>
      <w:r w:rsidR="001E0169">
        <w:t>l</w:t>
      </w:r>
      <w:r w:rsidR="007E3AAC">
        <w:t xml:space="preserve">, modified as indicated in </w:t>
      </w:r>
      <w:r w:rsidRPr="004E503E" w:rsidR="007E3AAC">
        <w:t xml:space="preserve">Appendix </w:t>
      </w:r>
      <w:r w:rsidR="007E3AAC">
        <w:t xml:space="preserve">C, </w:t>
      </w:r>
      <w:r w:rsidR="00E035D0">
        <w:t>and to serve</w:t>
      </w:r>
      <w:r w:rsidR="00D741F9">
        <w:t xml:space="preserve"> </w:t>
      </w:r>
      <w:r w:rsidR="007E3AAC">
        <w:t>the t</w:t>
      </w:r>
      <w:r w:rsidR="00996910">
        <w:t>ransparency</w:t>
      </w:r>
      <w:r w:rsidR="007E3AAC">
        <w:t xml:space="preserve"> </w:t>
      </w:r>
      <w:r w:rsidR="007E3AAC">
        <w:lastRenderedPageBreak/>
        <w:t xml:space="preserve">documents </w:t>
      </w:r>
      <w:r w:rsidR="00FC63D0">
        <w:t xml:space="preserve">to the SCE 2022 RAMP proceeding service list </w:t>
      </w:r>
      <w:r w:rsidR="007E3AAC">
        <w:t xml:space="preserve">no later than </w:t>
      </w:r>
      <w:r w:rsidR="00E70130">
        <w:t xml:space="preserve">60 days </w:t>
      </w:r>
      <w:r w:rsidR="007E3AAC">
        <w:t xml:space="preserve">from the date of </w:t>
      </w:r>
      <w:r w:rsidR="00453930">
        <w:t xml:space="preserve">SCE’s </w:t>
      </w:r>
      <w:r w:rsidR="005C7CD8">
        <w:t>2022 RAMP filing</w:t>
      </w:r>
      <w:r w:rsidR="007E3AAC">
        <w:t>.</w:t>
      </w:r>
      <w:r w:rsidR="000E6DEC">
        <w:t xml:space="preserve">  </w:t>
      </w:r>
    </w:p>
    <w:p w:rsidRPr="001E2A62" w:rsidR="0063270E" w:rsidP="00142E2E" w:rsidRDefault="0063270E" w14:paraId="40E6EA84" w14:textId="36B55597">
      <w:pPr>
        <w:pStyle w:val="CoL"/>
        <w:numPr>
          <w:ilvl w:val="0"/>
          <w:numId w:val="14"/>
        </w:numPr>
        <w:ind w:left="0" w:firstLine="270"/>
      </w:pPr>
      <w:r>
        <w:t xml:space="preserve">The Commission should </w:t>
      </w:r>
      <w:r w:rsidRPr="0063270E">
        <w:t xml:space="preserve">require Staff </w:t>
      </w:r>
      <w:r w:rsidR="00BE3744">
        <w:t xml:space="preserve">to </w:t>
      </w:r>
      <w:r w:rsidR="009C1525">
        <w:t xml:space="preserve">support </w:t>
      </w:r>
      <w:r w:rsidRPr="0063270E">
        <w:t xml:space="preserve">SCE </w:t>
      </w:r>
      <w:r w:rsidR="00BE3744">
        <w:t xml:space="preserve">in identifying ways </w:t>
      </w:r>
      <w:r w:rsidRPr="0063270E">
        <w:t xml:space="preserve">for SCE to </w:t>
      </w:r>
      <w:r w:rsidR="002E4691">
        <w:t>test</w:t>
      </w:r>
      <w:r w:rsidRPr="0063270E">
        <w:t xml:space="preserve"> PG&amp;E’s </w:t>
      </w:r>
      <w:r>
        <w:t xml:space="preserve">Transparency </w:t>
      </w:r>
      <w:r w:rsidRPr="0063270E">
        <w:t xml:space="preserve">Proposal </w:t>
      </w:r>
      <w:r w:rsidR="002E4691">
        <w:t>as a</w:t>
      </w:r>
      <w:r w:rsidR="00F92526">
        <w:t xml:space="preserve">ppended </w:t>
      </w:r>
      <w:r w:rsidR="002E4691">
        <w:t xml:space="preserve">here </w:t>
      </w:r>
      <w:r w:rsidR="00BE3744">
        <w:t>in a way that does not disrupt SCE’s RAMP preparations</w:t>
      </w:r>
      <w:r w:rsidR="001920AC">
        <w:t xml:space="preserve">.  </w:t>
      </w:r>
    </w:p>
    <w:p w:rsidR="00BC1266" w:rsidP="00142E2E" w:rsidRDefault="00BC1266" w14:paraId="79CDEF62" w14:textId="101D3172">
      <w:pPr>
        <w:pStyle w:val="CoL"/>
        <w:numPr>
          <w:ilvl w:val="0"/>
          <w:numId w:val="14"/>
        </w:numPr>
        <w:ind w:left="0" w:firstLine="270"/>
      </w:pPr>
      <w:r>
        <w:t xml:space="preserve">The Commission should apply the SOMs adopted in this decision </w:t>
      </w:r>
      <w:r w:rsidR="00BE3744">
        <w:t xml:space="preserve">only </w:t>
      </w:r>
      <w:r>
        <w:t xml:space="preserve">to PG&amp;E, for the purposes identified in D.20-05-053. </w:t>
      </w:r>
    </w:p>
    <w:p w:rsidR="00BC1266" w:rsidRDefault="000D08C3" w14:paraId="0D4C0136" w14:textId="4A023D41">
      <w:pPr>
        <w:pStyle w:val="CoL"/>
        <w:numPr>
          <w:ilvl w:val="0"/>
          <w:numId w:val="14"/>
        </w:numPr>
        <w:ind w:left="0" w:firstLine="270"/>
        <w:rPr>
          <w:iCs/>
        </w:rPr>
      </w:pPr>
      <w:r>
        <w:rPr>
          <w:iCs/>
        </w:rPr>
        <w:t xml:space="preserve">The </w:t>
      </w:r>
      <w:r w:rsidRPr="00F46BA8">
        <w:t>Commission</w:t>
      </w:r>
      <w:r>
        <w:rPr>
          <w:iCs/>
        </w:rPr>
        <w:t xml:space="preserve"> </w:t>
      </w:r>
      <w:r w:rsidRPr="00F46BA8">
        <w:t>should</w:t>
      </w:r>
      <w:r>
        <w:rPr>
          <w:iCs/>
        </w:rPr>
        <w:t xml:space="preserve"> adopt Staff’s </w:t>
      </w:r>
      <w:r w:rsidRPr="009450D9">
        <w:rPr>
          <w:iCs/>
        </w:rPr>
        <w:t>proposed</w:t>
      </w:r>
      <w:r w:rsidR="001B4030">
        <w:rPr>
          <w:iCs/>
        </w:rPr>
        <w:t xml:space="preserve"> SOM </w:t>
      </w:r>
      <w:r>
        <w:rPr>
          <w:iCs/>
        </w:rPr>
        <w:t xml:space="preserve">reporting requirements </w:t>
      </w:r>
      <w:r w:rsidR="008F6E92">
        <w:rPr>
          <w:iCs/>
        </w:rPr>
        <w:t xml:space="preserve">for PG&amp;E </w:t>
      </w:r>
      <w:r>
        <w:rPr>
          <w:iCs/>
        </w:rPr>
        <w:t xml:space="preserve">and </w:t>
      </w:r>
      <w:r w:rsidR="008F6E92">
        <w:rPr>
          <w:iCs/>
        </w:rPr>
        <w:t xml:space="preserve">Staff’s intended </w:t>
      </w:r>
      <w:r>
        <w:rPr>
          <w:iCs/>
        </w:rPr>
        <w:t xml:space="preserve">evaluation methods as discussed in </w:t>
      </w:r>
      <w:r w:rsidR="009950CF">
        <w:rPr>
          <w:iCs/>
        </w:rPr>
        <w:t>S</w:t>
      </w:r>
      <w:r w:rsidR="004D0AFB">
        <w:rPr>
          <w:iCs/>
        </w:rPr>
        <w:t>ection</w:t>
      </w:r>
      <w:r w:rsidR="009002D3">
        <w:rPr>
          <w:iCs/>
        </w:rPr>
        <w:t>s</w:t>
      </w:r>
      <w:r w:rsidR="004D0AFB">
        <w:rPr>
          <w:iCs/>
        </w:rPr>
        <w:t xml:space="preserve"> </w:t>
      </w:r>
      <w:r w:rsidR="009002D3">
        <w:rPr>
          <w:iCs/>
        </w:rPr>
        <w:t>10.4</w:t>
      </w:r>
      <w:r w:rsidR="00F143DB">
        <w:rPr>
          <w:iCs/>
        </w:rPr>
        <w:t xml:space="preserve"> </w:t>
      </w:r>
      <w:r w:rsidR="004D0AFB">
        <w:rPr>
          <w:iCs/>
        </w:rPr>
        <w:t>and 10.5.1</w:t>
      </w:r>
      <w:r w:rsidR="00440574">
        <w:rPr>
          <w:iCs/>
        </w:rPr>
        <w:t xml:space="preserve">, except that the Commission should require </w:t>
      </w:r>
      <w:r w:rsidRPr="00440574" w:rsidR="00440574">
        <w:rPr>
          <w:iCs/>
        </w:rPr>
        <w:t xml:space="preserve">PG&amp;E </w:t>
      </w:r>
      <w:r w:rsidR="00440574">
        <w:rPr>
          <w:iCs/>
        </w:rPr>
        <w:t xml:space="preserve">to </w:t>
      </w:r>
      <w:r w:rsidRPr="00440574" w:rsidR="00440574">
        <w:rPr>
          <w:iCs/>
        </w:rPr>
        <w:t xml:space="preserve">report </w:t>
      </w:r>
      <w:r w:rsidR="00440574">
        <w:rPr>
          <w:iCs/>
        </w:rPr>
        <w:t xml:space="preserve">the </w:t>
      </w:r>
      <w:r w:rsidRPr="00440574" w:rsidR="00440574">
        <w:rPr>
          <w:iCs/>
        </w:rPr>
        <w:t xml:space="preserve">SOMs on a </w:t>
      </w:r>
      <w:r w:rsidR="0054419D">
        <w:rPr>
          <w:iCs/>
        </w:rPr>
        <w:t>semi-annual</w:t>
      </w:r>
      <w:r w:rsidRPr="00440574" w:rsidR="0054419D">
        <w:rPr>
          <w:iCs/>
        </w:rPr>
        <w:t xml:space="preserve"> </w:t>
      </w:r>
      <w:r w:rsidRPr="00440574" w:rsidR="00440574">
        <w:rPr>
          <w:iCs/>
        </w:rPr>
        <w:t>rather than an annual basis.</w:t>
      </w:r>
    </w:p>
    <w:p w:rsidRPr="001B6F4C" w:rsidR="00A02D29" w:rsidP="00A30E71" w:rsidRDefault="00A02D29" w14:paraId="0ACFCD73" w14:textId="08635C59">
      <w:pPr>
        <w:pStyle w:val="CoL"/>
        <w:numPr>
          <w:ilvl w:val="0"/>
          <w:numId w:val="14"/>
        </w:numPr>
        <w:ind w:left="0" w:firstLine="270"/>
        <w:rPr>
          <w:iCs/>
        </w:rPr>
      </w:pPr>
      <w:r>
        <w:rPr>
          <w:iCs/>
        </w:rPr>
        <w:t>The Commission should authorize PG&amp;E to</w:t>
      </w:r>
      <w:r w:rsidR="009F37DE">
        <w:rPr>
          <w:iCs/>
        </w:rPr>
        <w:t xml:space="preserve">, in this or a successor proceeding, </w:t>
      </w:r>
      <w:r>
        <w:rPr>
          <w:iCs/>
        </w:rPr>
        <w:t xml:space="preserve">serve and file a request to modify the </w:t>
      </w:r>
      <w:r w:rsidR="003309DE">
        <w:rPr>
          <w:iCs/>
        </w:rPr>
        <w:t>semi-</w:t>
      </w:r>
      <w:r>
        <w:rPr>
          <w:iCs/>
        </w:rPr>
        <w:t xml:space="preserve">annual frequency of SOMs reports required here </w:t>
      </w:r>
      <w:r w:rsidR="001F6F77">
        <w:rPr>
          <w:iCs/>
        </w:rPr>
        <w:t xml:space="preserve">after </w:t>
      </w:r>
      <w:r>
        <w:rPr>
          <w:iCs/>
        </w:rPr>
        <w:t xml:space="preserve">five years from issuance of this decision and </w:t>
      </w:r>
      <w:r w:rsidR="00B14E95">
        <w:rPr>
          <w:iCs/>
        </w:rPr>
        <w:t xml:space="preserve">should require </w:t>
      </w:r>
      <w:r w:rsidR="009B088D">
        <w:rPr>
          <w:iCs/>
        </w:rPr>
        <w:t xml:space="preserve">it to </w:t>
      </w:r>
      <w:r>
        <w:rPr>
          <w:iCs/>
        </w:rPr>
        <w:t xml:space="preserve">provide a rationale for requesting this if it does so. </w:t>
      </w:r>
    </w:p>
    <w:p w:rsidRPr="00C813A5" w:rsidR="00C813A5" w:rsidP="00142E2E" w:rsidRDefault="00591871" w14:paraId="4B4A4C2E" w14:textId="0218CBAC">
      <w:pPr>
        <w:pStyle w:val="CoL"/>
        <w:numPr>
          <w:ilvl w:val="0"/>
          <w:numId w:val="14"/>
        </w:numPr>
        <w:ind w:left="0" w:firstLine="270"/>
      </w:pPr>
      <w:r>
        <w:rPr>
          <w:iCs/>
        </w:rPr>
        <w:t xml:space="preserve">The </w:t>
      </w:r>
      <w:r w:rsidRPr="00F46BA8">
        <w:t>Commission</w:t>
      </w:r>
      <w:r>
        <w:rPr>
          <w:iCs/>
        </w:rPr>
        <w:t xml:space="preserve"> should </w:t>
      </w:r>
      <w:r w:rsidRPr="00F46BA8">
        <w:t>undertake</w:t>
      </w:r>
      <w:r w:rsidRPr="00591871">
        <w:rPr>
          <w:iCs/>
        </w:rPr>
        <w:t xml:space="preserve"> one independent</w:t>
      </w:r>
      <w:r w:rsidR="00F03DE7">
        <w:rPr>
          <w:iCs/>
        </w:rPr>
        <w:t>,</w:t>
      </w:r>
      <w:r>
        <w:rPr>
          <w:iCs/>
        </w:rPr>
        <w:t xml:space="preserve"> </w:t>
      </w:r>
      <w:r w:rsidRPr="00591871">
        <w:rPr>
          <w:iCs/>
        </w:rPr>
        <w:t>third-party audit of PG&amp;E’s SOMs</w:t>
      </w:r>
      <w:r w:rsidR="00C813A5">
        <w:rPr>
          <w:iCs/>
        </w:rPr>
        <w:t xml:space="preserve"> data and data collection methods</w:t>
      </w:r>
      <w:r w:rsidRPr="00591871">
        <w:rPr>
          <w:iCs/>
        </w:rPr>
        <w:t xml:space="preserve"> in the next three years</w:t>
      </w:r>
      <w:r>
        <w:rPr>
          <w:iCs/>
        </w:rPr>
        <w:t xml:space="preserve">, serve the audit findings </w:t>
      </w:r>
      <w:r w:rsidRPr="00591871">
        <w:rPr>
          <w:iCs/>
        </w:rPr>
        <w:t>to members of this service list</w:t>
      </w:r>
      <w:r>
        <w:rPr>
          <w:iCs/>
        </w:rPr>
        <w:t xml:space="preserve">, </w:t>
      </w:r>
      <w:r w:rsidRPr="00591871">
        <w:rPr>
          <w:iCs/>
        </w:rPr>
        <w:t xml:space="preserve">revisit the need for a more permanent independent third-party auditing system </w:t>
      </w:r>
      <w:r w:rsidR="00880F51">
        <w:rPr>
          <w:iCs/>
        </w:rPr>
        <w:t xml:space="preserve">based on whether </w:t>
      </w:r>
      <w:r w:rsidRPr="00591871">
        <w:rPr>
          <w:iCs/>
        </w:rPr>
        <w:t>th</w:t>
      </w:r>
      <w:r>
        <w:rPr>
          <w:iCs/>
        </w:rPr>
        <w:t>e</w:t>
      </w:r>
      <w:r w:rsidRPr="00591871">
        <w:rPr>
          <w:iCs/>
        </w:rPr>
        <w:t xml:space="preserve"> audit identifies significant discrepancies or concerns</w:t>
      </w:r>
      <w:r w:rsidR="001B4030">
        <w:rPr>
          <w:iCs/>
        </w:rPr>
        <w:t xml:space="preserve">, and </w:t>
      </w:r>
      <w:r w:rsidRPr="001B4030" w:rsidR="00C813A5">
        <w:rPr>
          <w:iCs/>
        </w:rPr>
        <w:t xml:space="preserve">should require PG&amp;E </w:t>
      </w:r>
      <w:r w:rsidR="008F6E92">
        <w:rPr>
          <w:iCs/>
        </w:rPr>
        <w:t xml:space="preserve">shareholders </w:t>
      </w:r>
      <w:r w:rsidRPr="001B4030" w:rsidR="00C813A5">
        <w:rPr>
          <w:iCs/>
        </w:rPr>
        <w:t xml:space="preserve">to pay for the audit. </w:t>
      </w:r>
    </w:p>
    <w:p w:rsidRPr="00C813A5" w:rsidR="00C813A5" w:rsidP="00142E2E" w:rsidRDefault="00C813A5" w14:paraId="02E964F0" w14:textId="41B34E51">
      <w:pPr>
        <w:pStyle w:val="CoL"/>
        <w:numPr>
          <w:ilvl w:val="0"/>
          <w:numId w:val="14"/>
        </w:numPr>
        <w:ind w:left="0" w:firstLine="270"/>
      </w:pPr>
      <w:r>
        <w:rPr>
          <w:iCs/>
        </w:rPr>
        <w:t>The Commission should adopt the 3</w:t>
      </w:r>
      <w:r w:rsidR="008F6E92">
        <w:rPr>
          <w:iCs/>
        </w:rPr>
        <w:t>2</w:t>
      </w:r>
      <w:r>
        <w:rPr>
          <w:iCs/>
        </w:rPr>
        <w:t xml:space="preserve"> SOMs as </w:t>
      </w:r>
      <w:r w:rsidR="00F91F7F">
        <w:rPr>
          <w:iCs/>
        </w:rPr>
        <w:t xml:space="preserve">provided </w:t>
      </w:r>
      <w:r>
        <w:rPr>
          <w:iCs/>
        </w:rPr>
        <w:t>in Appendix A.</w:t>
      </w:r>
    </w:p>
    <w:p w:rsidRPr="00752DA5" w:rsidR="00C813A5" w:rsidP="00142E2E" w:rsidRDefault="00F257E3" w14:paraId="4321B1E3" w14:textId="5D07428E">
      <w:pPr>
        <w:pStyle w:val="CoL"/>
        <w:numPr>
          <w:ilvl w:val="0"/>
          <w:numId w:val="14"/>
        </w:numPr>
        <w:ind w:left="0" w:firstLine="270"/>
      </w:pPr>
      <w:r>
        <w:t>Our adopted SOMs may overlap with other triggering events included in the EOE Process adopted in D.20-05-053, the Commission’s Enforcement Policy as updated in Resolution M-48</w:t>
      </w:r>
      <w:r w:rsidR="007F24B4">
        <w:t>46</w:t>
      </w:r>
      <w:r>
        <w:t>, enforcement aspects of the SPMs a</w:t>
      </w:r>
      <w:r w:rsidR="00A574C9">
        <w:t xml:space="preserve">s discussed in </w:t>
      </w:r>
      <w:r>
        <w:t xml:space="preserve">D.19-04-020, and </w:t>
      </w:r>
      <w:r w:rsidR="00896D8E">
        <w:t>questions re</w:t>
      </w:r>
      <w:r w:rsidR="004D0AFB">
        <w:t xml:space="preserve">garding </w:t>
      </w:r>
      <w:r w:rsidRPr="004D0AFB" w:rsidR="004D0AFB">
        <w:rPr>
          <w:iCs/>
        </w:rPr>
        <w:t xml:space="preserve">PG&amp;E compliance </w:t>
      </w:r>
      <w:r w:rsidRPr="00E91E0D" w:rsidR="00E91E0D">
        <w:rPr>
          <w:iCs/>
        </w:rPr>
        <w:t xml:space="preserve">with California’s </w:t>
      </w:r>
      <w:r w:rsidRPr="00E91E0D" w:rsidR="00E91E0D">
        <w:rPr>
          <w:iCs/>
        </w:rPr>
        <w:lastRenderedPageBreak/>
        <w:t xml:space="preserve">GHG emissions reduction goals, other clean energy goals, </w:t>
      </w:r>
      <w:r w:rsidR="00F45890">
        <w:rPr>
          <w:iCs/>
        </w:rPr>
        <w:t>OSHA</w:t>
      </w:r>
      <w:r w:rsidRPr="00E91E0D" w:rsidR="00E91E0D">
        <w:rPr>
          <w:iCs/>
        </w:rPr>
        <w:t xml:space="preserve"> rules, and other state laws and regulations. </w:t>
      </w:r>
    </w:p>
    <w:p w:rsidRPr="002E4659" w:rsidR="00752DA5" w:rsidP="00142E2E" w:rsidRDefault="00752DA5" w14:paraId="72AE6B5F" w14:textId="7873026A">
      <w:pPr>
        <w:pStyle w:val="CoL"/>
        <w:numPr>
          <w:ilvl w:val="0"/>
          <w:numId w:val="14"/>
        </w:numPr>
        <w:ind w:left="0" w:firstLine="270"/>
      </w:pPr>
      <w:r>
        <w:rPr>
          <w:iCs/>
        </w:rPr>
        <w:t xml:space="preserve">The Commission should </w:t>
      </w:r>
      <w:r w:rsidR="00F47DC5">
        <w:rPr>
          <w:iCs/>
        </w:rPr>
        <w:t xml:space="preserve">modify </w:t>
      </w:r>
      <w:r w:rsidR="00333455">
        <w:rPr>
          <w:iCs/>
        </w:rPr>
        <w:t xml:space="preserve">15 </w:t>
      </w:r>
      <w:r w:rsidR="00F47DC5">
        <w:rPr>
          <w:iCs/>
        </w:rPr>
        <w:t xml:space="preserve">existing </w:t>
      </w:r>
      <w:r w:rsidR="00333455">
        <w:rPr>
          <w:iCs/>
        </w:rPr>
        <w:t>SPMs</w:t>
      </w:r>
      <w:r w:rsidR="00C6314D">
        <w:rPr>
          <w:iCs/>
        </w:rPr>
        <w:t xml:space="preserve"> adopted in D.19</w:t>
      </w:r>
      <w:r w:rsidR="002A4363">
        <w:rPr>
          <w:iCs/>
        </w:rPr>
        <w:noBreakHyphen/>
      </w:r>
      <w:r w:rsidR="00C6314D">
        <w:rPr>
          <w:iCs/>
        </w:rPr>
        <w:t>04</w:t>
      </w:r>
      <w:r w:rsidR="002A4363">
        <w:rPr>
          <w:iCs/>
        </w:rPr>
        <w:noBreakHyphen/>
      </w:r>
      <w:r w:rsidR="00C6314D">
        <w:rPr>
          <w:iCs/>
        </w:rPr>
        <w:t>020</w:t>
      </w:r>
      <w:r w:rsidR="005546B7">
        <w:rPr>
          <w:iCs/>
        </w:rPr>
        <w:t xml:space="preserve">, delete </w:t>
      </w:r>
      <w:r w:rsidR="00A73E38">
        <w:rPr>
          <w:iCs/>
        </w:rPr>
        <w:t>four</w:t>
      </w:r>
      <w:r w:rsidR="005546B7">
        <w:rPr>
          <w:iCs/>
        </w:rPr>
        <w:t xml:space="preserve"> of the SPMs adopted in D.19-04-020,</w:t>
      </w:r>
      <w:r w:rsidR="00B90CE8">
        <w:rPr>
          <w:iCs/>
        </w:rPr>
        <w:t xml:space="preserve"> and should adopt 10 new SPMs </w:t>
      </w:r>
      <w:r w:rsidR="00450A99">
        <w:rPr>
          <w:iCs/>
        </w:rPr>
        <w:t xml:space="preserve">as </w:t>
      </w:r>
      <w:r w:rsidR="00F47DC5">
        <w:rPr>
          <w:iCs/>
        </w:rPr>
        <w:t xml:space="preserve">set forth </w:t>
      </w:r>
      <w:r w:rsidR="00326F4D">
        <w:rPr>
          <w:iCs/>
        </w:rPr>
        <w:t>in Appendix B</w:t>
      </w:r>
      <w:r w:rsidR="00450A99">
        <w:rPr>
          <w:iCs/>
        </w:rPr>
        <w:t xml:space="preserve">. </w:t>
      </w:r>
      <w:r>
        <w:rPr>
          <w:iCs/>
        </w:rPr>
        <w:t xml:space="preserve"> </w:t>
      </w:r>
    </w:p>
    <w:p w:rsidR="00BB0243" w:rsidP="000A6E05" w:rsidRDefault="005939A5" w14:paraId="378101C8" w14:textId="76D87013">
      <w:pPr>
        <w:pStyle w:val="Mainex"/>
      </w:pPr>
      <w:bookmarkStart w:name="_Toc80890934" w:id="216"/>
      <w:bookmarkStart w:name="_Toc87361236" w:id="217"/>
      <w:r>
        <w:t>O</w:t>
      </w:r>
      <w:r w:rsidR="00722850">
        <w:t>RDER</w:t>
      </w:r>
      <w:bookmarkEnd w:id="216"/>
      <w:bookmarkEnd w:id="217"/>
    </w:p>
    <w:p w:rsidRPr="00F46BA8" w:rsidR="00BB0243" w:rsidP="00F46BA8" w:rsidRDefault="00BB0243" w14:paraId="6B2E1C29" w14:textId="77777777">
      <w:pPr>
        <w:keepNext/>
        <w:spacing w:line="360" w:lineRule="auto"/>
        <w:ind w:firstLine="720"/>
        <w:rPr>
          <w:rFonts w:cs="Arial"/>
          <w:szCs w:val="26"/>
        </w:rPr>
      </w:pPr>
      <w:r w:rsidRPr="00F46BA8">
        <w:rPr>
          <w:rFonts w:eastAsiaTheme="minorHAnsi" w:cstheme="minorBidi"/>
          <w:b/>
          <w:szCs w:val="22"/>
        </w:rPr>
        <w:t>IT</w:t>
      </w:r>
      <w:r w:rsidRPr="00F46BA8">
        <w:rPr>
          <w:rFonts w:cs="Arial"/>
          <w:b/>
          <w:szCs w:val="26"/>
        </w:rPr>
        <w:t xml:space="preserve"> IS ORDERED</w:t>
      </w:r>
      <w:r w:rsidRPr="00F46BA8">
        <w:rPr>
          <w:rFonts w:cs="Arial"/>
          <w:szCs w:val="26"/>
        </w:rPr>
        <w:t xml:space="preserve"> that:</w:t>
      </w:r>
    </w:p>
    <w:p w:rsidR="00F56AC9" w:rsidP="00E43E70" w:rsidRDefault="00BE59E7" w14:paraId="1DB63EBA" w14:textId="16D06147">
      <w:pPr>
        <w:pStyle w:val="OP"/>
        <w:numPr>
          <w:ilvl w:val="0"/>
          <w:numId w:val="28"/>
        </w:numPr>
        <w:ind w:left="0" w:firstLine="360"/>
      </w:pPr>
      <w:r>
        <w:t xml:space="preserve">Pacific </w:t>
      </w:r>
      <w:r w:rsidRPr="00E43E70">
        <w:t>Gas</w:t>
      </w:r>
      <w:r>
        <w:t xml:space="preserve"> and Electric Company</w:t>
      </w:r>
      <w:r w:rsidR="005C2AD0">
        <w:t xml:space="preserve"> (PG&amp;E</w:t>
      </w:r>
      <w:r w:rsidR="3465796C">
        <w:t>)</w:t>
      </w:r>
      <w:r w:rsidR="00CF2E33">
        <w:t>, Southern California Edison Company</w:t>
      </w:r>
      <w:r w:rsidR="005C2AD0">
        <w:t xml:space="preserve"> (SCE)</w:t>
      </w:r>
      <w:r w:rsidR="00CF2E33">
        <w:t>, Southern California Gas Company</w:t>
      </w:r>
      <w:r w:rsidR="005C2AD0">
        <w:t xml:space="preserve"> (SoCalGas)</w:t>
      </w:r>
      <w:r w:rsidR="00CF2E33">
        <w:t xml:space="preserve">, and San Diego Gas </w:t>
      </w:r>
      <w:r w:rsidR="00B24295">
        <w:t xml:space="preserve">&amp; </w:t>
      </w:r>
      <w:r w:rsidR="00CF2E33">
        <w:t>Electric Company</w:t>
      </w:r>
      <w:r w:rsidR="005C2AD0">
        <w:t xml:space="preserve"> (SDG&amp;E)</w:t>
      </w:r>
      <w:r w:rsidR="00A574C9">
        <w:t xml:space="preserve"> (collectively investor-owned utilities or IOUs)</w:t>
      </w:r>
      <w:r w:rsidR="00CF2E33">
        <w:t xml:space="preserve"> </w:t>
      </w:r>
      <w:r w:rsidR="005E0A16">
        <w:t xml:space="preserve">shall </w:t>
      </w:r>
      <w:r w:rsidR="00D20C6D">
        <w:t xml:space="preserve">implement the following </w:t>
      </w:r>
      <w:r w:rsidR="00DE0ED9">
        <w:t>in their Risk-Ba</w:t>
      </w:r>
      <w:r w:rsidR="004F7AD4">
        <w:t xml:space="preserve">sed Decision-Making Framework </w:t>
      </w:r>
      <w:r w:rsidR="00E23DA3">
        <w:t>(RDF)</w:t>
      </w:r>
      <w:r w:rsidR="00EF0630">
        <w:t xml:space="preserve"> and </w:t>
      </w:r>
      <w:r w:rsidR="00C2176C">
        <w:t xml:space="preserve">Risk Assessment Mitigation Phase </w:t>
      </w:r>
      <w:r w:rsidR="00B233CB">
        <w:t xml:space="preserve">(RAMP) </w:t>
      </w:r>
      <w:r w:rsidR="00C2176C">
        <w:t>filings</w:t>
      </w:r>
      <w:r w:rsidR="00EF0630">
        <w:t>:</w:t>
      </w:r>
    </w:p>
    <w:p w:rsidR="00C2176C" w:rsidP="00E43E70" w:rsidRDefault="004D4B56" w14:paraId="4E2167E5" w14:textId="6F87FABB">
      <w:pPr>
        <w:numPr>
          <w:ilvl w:val="1"/>
          <w:numId w:val="28"/>
        </w:numPr>
        <w:spacing w:after="120"/>
        <w:ind w:left="1080" w:right="1440"/>
      </w:pPr>
      <w:r w:rsidRPr="00FB6AB9">
        <w:t>Each</w:t>
      </w:r>
      <w:r w:rsidRPr="00FB6AB9" w:rsidR="00990028">
        <w:t xml:space="preserve"> investor-owned utility</w:t>
      </w:r>
      <w:r w:rsidRPr="00FB6AB9" w:rsidR="00A574C9">
        <w:t xml:space="preserve"> </w:t>
      </w:r>
      <w:r w:rsidRPr="00FB6AB9" w:rsidR="00990028">
        <w:t>(</w:t>
      </w:r>
      <w:r w:rsidRPr="00FB6AB9" w:rsidR="00A574C9">
        <w:rPr>
          <w:rFonts w:eastAsiaTheme="minorHAnsi" w:cstheme="minorBidi"/>
          <w:szCs w:val="22"/>
        </w:rPr>
        <w:t>IOU</w:t>
      </w:r>
      <w:r w:rsidRPr="00FB6AB9" w:rsidR="00990028">
        <w:rPr>
          <w:rFonts w:eastAsiaTheme="minorHAnsi" w:cstheme="minorBidi"/>
          <w:szCs w:val="22"/>
        </w:rPr>
        <w:t>)</w:t>
      </w:r>
      <w:r w:rsidRPr="00FB6AB9">
        <w:t>,</w:t>
      </w:r>
      <w:r>
        <w:t xml:space="preserve"> and </w:t>
      </w:r>
      <w:r w:rsidR="00A574C9">
        <w:t xml:space="preserve">the IOUs </w:t>
      </w:r>
      <w:r>
        <w:t xml:space="preserve">as a group, </w:t>
      </w:r>
      <w:r w:rsidR="00A574C9">
        <w:t xml:space="preserve">shall </w:t>
      </w:r>
      <w:r w:rsidR="00E5661E">
        <w:t>consistently and uniformly define and treat all forms of mitigations including control measures</w:t>
      </w:r>
      <w:r w:rsidR="000206B1">
        <w:t xml:space="preserve"> and </w:t>
      </w:r>
      <w:r w:rsidR="0012455F">
        <w:t xml:space="preserve">all </w:t>
      </w:r>
      <w:r w:rsidR="000206B1">
        <w:t>subcategories of control measures</w:t>
      </w:r>
      <w:r w:rsidR="00646BF8">
        <w:t>, including in related proceedings</w:t>
      </w:r>
      <w:r w:rsidR="00E5661E">
        <w:t>;</w:t>
      </w:r>
    </w:p>
    <w:p w:rsidR="00E5661E" w:rsidP="00E43E70" w:rsidRDefault="003A4B92" w14:paraId="03ED59EF" w14:textId="3764103E">
      <w:pPr>
        <w:numPr>
          <w:ilvl w:val="1"/>
          <w:numId w:val="28"/>
        </w:numPr>
        <w:spacing w:after="120"/>
        <w:ind w:left="1080" w:right="1440"/>
      </w:pPr>
      <w:r>
        <w:t>E</w:t>
      </w:r>
      <w:r w:rsidR="00646BF8">
        <w:t>ach IOU shall e</w:t>
      </w:r>
      <w:r w:rsidRPr="003A4B92">
        <w:t>valuate all mitigations for efficacy and efficiency, whether the mitigation is “in process” or newly proposed</w:t>
      </w:r>
      <w:r w:rsidR="00E47CEB">
        <w:t>;</w:t>
      </w:r>
    </w:p>
    <w:p w:rsidR="00E47CEB" w:rsidP="00E43E70" w:rsidRDefault="00646BF8" w14:paraId="156122F1" w14:textId="431691D9">
      <w:pPr>
        <w:numPr>
          <w:ilvl w:val="1"/>
          <w:numId w:val="28"/>
        </w:numPr>
        <w:spacing w:after="120"/>
        <w:ind w:left="1080" w:right="1440"/>
      </w:pPr>
      <w:r>
        <w:t xml:space="preserve">Each </w:t>
      </w:r>
      <w:r w:rsidRPr="00B6623F">
        <w:rPr>
          <w:rFonts w:eastAsiaTheme="minorHAnsi" w:cstheme="minorBidi"/>
          <w:szCs w:val="22"/>
        </w:rPr>
        <w:t>IOU</w:t>
      </w:r>
      <w:r>
        <w:t xml:space="preserve"> shall c</w:t>
      </w:r>
      <w:r w:rsidR="00E47CEB">
        <w:t xml:space="preserve">alculate </w:t>
      </w:r>
      <w:r w:rsidR="007B4701">
        <w:t>R</w:t>
      </w:r>
      <w:r w:rsidR="00E47CEB">
        <w:t xml:space="preserve">isk </w:t>
      </w:r>
      <w:r w:rsidR="007B4701">
        <w:t>S</w:t>
      </w:r>
      <w:r w:rsidR="00E47CEB">
        <w:t xml:space="preserve">pend </w:t>
      </w:r>
      <w:r w:rsidR="007B4701">
        <w:t>E</w:t>
      </w:r>
      <w:r w:rsidR="00E47CEB">
        <w:t>fficiencies</w:t>
      </w:r>
      <w:r w:rsidR="007B4701">
        <w:t xml:space="preserve"> (RSEs)</w:t>
      </w:r>
      <w:r w:rsidR="00E47CEB">
        <w:t xml:space="preserve"> for all mitigations, including controls that are ongoing</w:t>
      </w:r>
      <w:r w:rsidR="00E6690B">
        <w:t>;</w:t>
      </w:r>
    </w:p>
    <w:p w:rsidR="00901646" w:rsidP="00E43E70" w:rsidRDefault="00901646" w14:paraId="1C5BA0BB" w14:textId="4382351E">
      <w:pPr>
        <w:numPr>
          <w:ilvl w:val="1"/>
          <w:numId w:val="28"/>
        </w:numPr>
        <w:spacing w:after="120"/>
        <w:ind w:left="1080" w:right="1440"/>
      </w:pPr>
      <w:r>
        <w:t xml:space="preserve">Each </w:t>
      </w:r>
      <w:r w:rsidRPr="00B6623F">
        <w:rPr>
          <w:rFonts w:eastAsiaTheme="minorHAnsi" w:cstheme="minorBidi"/>
          <w:szCs w:val="22"/>
        </w:rPr>
        <w:t>IOU</w:t>
      </w:r>
      <w:r>
        <w:t xml:space="preserve"> shall establish baselines for mitigation measures as follows: </w:t>
      </w:r>
    </w:p>
    <w:p w:rsidR="00901646" w:rsidP="00990028" w:rsidRDefault="00901646" w14:paraId="51F1EED4" w14:textId="1839E044">
      <w:pPr>
        <w:pStyle w:val="OP"/>
        <w:spacing w:after="120" w:line="240" w:lineRule="auto"/>
        <w:ind w:left="720" w:right="1440" w:firstLine="0"/>
      </w:pPr>
      <w:r w:rsidRPr="00FB6AB9">
        <w:t>The baseline is a</w:t>
      </w:r>
      <w:r w:rsidRPr="00FB6AB9" w:rsidR="6EB74DA3">
        <w:t xml:space="preserve"> reference</w:t>
      </w:r>
      <w:r w:rsidRPr="00FB6AB9">
        <w:t xml:space="preserve"> point in time at the start of the new </w:t>
      </w:r>
      <w:r w:rsidRPr="00FB6AB9" w:rsidR="00E56EF5">
        <w:t>General Rate Case (</w:t>
      </w:r>
      <w:r w:rsidRPr="00FB6AB9">
        <w:t>GRC</w:t>
      </w:r>
      <w:r w:rsidRPr="00FB6AB9" w:rsidR="00E56EF5">
        <w:t>)</w:t>
      </w:r>
      <w:r w:rsidRPr="00FB6AB9">
        <w:t xml:space="preserve"> cycle.  The baseline risk as applied to RAMP and GRC proceedings refers to the amount of residual risk evaluated at the baseline (</w:t>
      </w:r>
      <w:r w:rsidRPr="00FB6AB9">
        <w:rPr>
          <w:i/>
          <w:iCs/>
        </w:rPr>
        <w:t>i.e</w:t>
      </w:r>
      <w:r w:rsidRPr="00FB6AB9">
        <w:t xml:space="preserve">. at the start of the new GRC cycle) after taking into account all risk reduction benefits </w:t>
      </w:r>
      <w:r w:rsidRPr="00FB6AB9" w:rsidR="14606401">
        <w:t>from</w:t>
      </w:r>
      <w:r w:rsidRPr="00FB6AB9">
        <w:t xml:space="preserve"> all risk mitigation activities projected to have been performed by the start of the new GRC cycle.  The </w:t>
      </w:r>
      <w:r w:rsidRPr="00FB6AB9">
        <w:lastRenderedPageBreak/>
        <w:t>projected risk mitigation activities include those that are classified by the IOUs as controls, as well as all mitigation activities for which the IOUs are seeking approval and/or funding in the current or upcoming RAMP and GRC applications</w:t>
      </w:r>
      <w:r w:rsidR="00555C1A">
        <w:t>;</w:t>
      </w:r>
      <w:r>
        <w:t xml:space="preserve"> </w:t>
      </w:r>
    </w:p>
    <w:p w:rsidR="00533DD5" w:rsidP="00E43E70" w:rsidRDefault="00B233CB" w14:paraId="1B2A961B" w14:textId="5D2C4E9A">
      <w:pPr>
        <w:numPr>
          <w:ilvl w:val="1"/>
          <w:numId w:val="28"/>
        </w:numPr>
        <w:spacing w:after="120"/>
        <w:ind w:left="1080" w:right="1440"/>
      </w:pPr>
      <w:r>
        <w:t>Each</w:t>
      </w:r>
      <w:r w:rsidR="0036289D">
        <w:t xml:space="preserve"> IOU </w:t>
      </w:r>
      <w:r w:rsidRPr="00B6623F" w:rsidR="0036289D">
        <w:rPr>
          <w:rFonts w:eastAsiaTheme="minorHAnsi" w:cstheme="minorBidi"/>
          <w:szCs w:val="22"/>
        </w:rPr>
        <w:t>shall</w:t>
      </w:r>
      <w:r w:rsidR="005842E4">
        <w:t xml:space="preserve"> </w:t>
      </w:r>
      <w:r w:rsidRPr="0036289D" w:rsidR="0036289D">
        <w:t xml:space="preserve">include </w:t>
      </w:r>
      <w:r w:rsidRPr="00EB636E" w:rsidR="0036289D">
        <w:t xml:space="preserve">the cost of foundational programs in </w:t>
      </w:r>
      <w:r>
        <w:t xml:space="preserve">their mitigation </w:t>
      </w:r>
      <w:r w:rsidRPr="00EB636E" w:rsidR="0036289D">
        <w:t xml:space="preserve">RSE calculations if the aggregate cost </w:t>
      </w:r>
      <w:r w:rsidRPr="0036289D" w:rsidR="0036289D">
        <w:t xml:space="preserve">over the upcoming GRC funding period </w:t>
      </w:r>
      <w:r w:rsidRPr="00EB636E" w:rsidR="0036289D">
        <w:t>of the foundational programs supporting a portfolio of risk mitigations exceeds</w:t>
      </w:r>
      <w:r>
        <w:t xml:space="preserve"> the following</w:t>
      </w:r>
      <w:r w:rsidR="00533DD5">
        <w:t>:</w:t>
      </w:r>
      <w:r w:rsidR="00D0200E">
        <w:t xml:space="preserve"> </w:t>
      </w:r>
    </w:p>
    <w:p w:rsidR="00533DD5" w:rsidP="00E43E70" w:rsidRDefault="00533DD5" w14:paraId="49067BE1" w14:textId="7D475338">
      <w:pPr>
        <w:pStyle w:val="OP"/>
        <w:numPr>
          <w:ilvl w:val="2"/>
          <w:numId w:val="28"/>
        </w:numPr>
        <w:spacing w:after="120" w:line="240" w:lineRule="auto"/>
        <w:ind w:left="1440" w:right="1440"/>
      </w:pPr>
      <w:r>
        <w:t>F</w:t>
      </w:r>
      <w:r w:rsidR="00D0200E">
        <w:t xml:space="preserve">or PG&amp;E and SCE, </w:t>
      </w:r>
      <w:r w:rsidRPr="00EB636E" w:rsidR="0036289D">
        <w:t>the lesser of $10 million, or 20</w:t>
      </w:r>
      <w:r w:rsidR="002A4363">
        <w:t> </w:t>
      </w:r>
      <w:r w:rsidRPr="0036289D" w:rsidR="0036289D">
        <w:t>percent</w:t>
      </w:r>
      <w:r w:rsidRPr="00EB636E" w:rsidR="0036289D">
        <w:t xml:space="preserve"> of the cost of the portfolio of enabled mitigations, subject to a minimum of $5 million</w:t>
      </w:r>
      <w:r w:rsidRPr="0036289D" w:rsidR="0036289D">
        <w:t xml:space="preserve"> for the percentage test</w:t>
      </w:r>
      <w:r w:rsidR="00D0200E">
        <w:t xml:space="preserve">; </w:t>
      </w:r>
    </w:p>
    <w:p w:rsidR="00533DD5" w:rsidP="00E43E70" w:rsidRDefault="00533DD5" w14:paraId="3BC9E541" w14:textId="301BE9DE">
      <w:pPr>
        <w:pStyle w:val="OP"/>
        <w:numPr>
          <w:ilvl w:val="2"/>
          <w:numId w:val="28"/>
        </w:numPr>
        <w:spacing w:after="120" w:line="240" w:lineRule="auto"/>
        <w:ind w:left="1440" w:right="1440"/>
      </w:pPr>
      <w:r>
        <w:t>F</w:t>
      </w:r>
      <w:r w:rsidR="00D0200E">
        <w:t>or SDG&amp;E</w:t>
      </w:r>
      <w:r w:rsidR="00AF0EB6">
        <w:t xml:space="preserve">, for its electric and other operations, </w:t>
      </w:r>
      <w:r w:rsidR="00C743CD">
        <w:t xml:space="preserve">the lesser </w:t>
      </w:r>
      <w:r w:rsidRPr="0036289D" w:rsidR="0036289D">
        <w:t>of $5 million, or 20 percent of the cost of the portfolio of enabled mitigations, subject to a minimum of $2.5 million for the percentage test</w:t>
      </w:r>
      <w:r w:rsidR="00E35519">
        <w:t xml:space="preserve">; </w:t>
      </w:r>
    </w:p>
    <w:p w:rsidR="00533DD5" w:rsidP="00E43E70" w:rsidRDefault="00533DD5" w14:paraId="38515AE1" w14:textId="5715BD0B">
      <w:pPr>
        <w:pStyle w:val="OP"/>
        <w:numPr>
          <w:ilvl w:val="2"/>
          <w:numId w:val="28"/>
        </w:numPr>
        <w:spacing w:after="120" w:line="240" w:lineRule="auto"/>
        <w:ind w:left="1440" w:right="1440"/>
      </w:pPr>
      <w:r>
        <w:t>F</w:t>
      </w:r>
      <w:r w:rsidR="00E35519">
        <w:t xml:space="preserve">or SDG&amp;E, for its gas operations, the lesser of </w:t>
      </w:r>
      <w:r w:rsidRPr="0036289D" w:rsidR="0036289D">
        <w:t>$2.5</w:t>
      </w:r>
      <w:r w:rsidR="002A4363">
        <w:t> </w:t>
      </w:r>
      <w:r w:rsidRPr="0036289D" w:rsidR="0036289D">
        <w:t>million, or 20 percent of the cost of the portfolio of enabled mitigations, subject to a minimum of $0.5</w:t>
      </w:r>
      <w:r w:rsidR="002A4363">
        <w:t> </w:t>
      </w:r>
      <w:r w:rsidRPr="0036289D" w:rsidR="0036289D">
        <w:t>million for the percentage test;</w:t>
      </w:r>
      <w:r w:rsidR="00555C1A">
        <w:t xml:space="preserve"> and,</w:t>
      </w:r>
    </w:p>
    <w:p w:rsidR="0036289D" w:rsidP="00E43E70" w:rsidRDefault="00533DD5" w14:paraId="4B36B981" w14:textId="3DF8B7B2">
      <w:pPr>
        <w:pStyle w:val="OP"/>
        <w:numPr>
          <w:ilvl w:val="2"/>
          <w:numId w:val="28"/>
        </w:numPr>
        <w:spacing w:after="120" w:line="240" w:lineRule="auto"/>
        <w:ind w:left="1440" w:right="1440"/>
      </w:pPr>
      <w:r>
        <w:t>F</w:t>
      </w:r>
      <w:r w:rsidR="00E35519">
        <w:t>or SoCalGas</w:t>
      </w:r>
      <w:r w:rsidR="003F0769">
        <w:t xml:space="preserve">, the lesser </w:t>
      </w:r>
      <w:r w:rsidRPr="0036289D" w:rsidR="0036289D">
        <w:t>of $5 million, or 20 percent of the cost of the portfolio of enabled mitigations, subject to a minimum of $1 million for the percentage test</w:t>
      </w:r>
      <w:r w:rsidR="005C2AD0">
        <w:t>;</w:t>
      </w:r>
    </w:p>
    <w:p w:rsidR="00901646" w:rsidP="00E43E70" w:rsidRDefault="00D51C61" w14:paraId="52B9F9B9" w14:textId="07D05E63">
      <w:pPr>
        <w:numPr>
          <w:ilvl w:val="1"/>
          <w:numId w:val="28"/>
        </w:numPr>
        <w:spacing w:after="120"/>
        <w:ind w:left="1080" w:right="1440"/>
      </w:pPr>
      <w:r>
        <w:t>E</w:t>
      </w:r>
      <w:r w:rsidR="00901646">
        <w:t xml:space="preserve">ach IOU </w:t>
      </w:r>
      <w:r w:rsidRPr="00B6623F">
        <w:rPr>
          <w:rFonts w:eastAsiaTheme="minorHAnsi" w:cstheme="minorBidi"/>
          <w:szCs w:val="22"/>
        </w:rPr>
        <w:t>shall</w:t>
      </w:r>
      <w:r>
        <w:t xml:space="preserve"> </w:t>
      </w:r>
      <w:r w:rsidR="00901646">
        <w:t>identify in its annual R</w:t>
      </w:r>
      <w:r>
        <w:t xml:space="preserve">isk </w:t>
      </w:r>
      <w:r w:rsidR="00901646">
        <w:t>S</w:t>
      </w:r>
      <w:r>
        <w:t xml:space="preserve">pending Accountability </w:t>
      </w:r>
      <w:r w:rsidR="00901646">
        <w:t>R</w:t>
      </w:r>
      <w:r>
        <w:t>eport</w:t>
      </w:r>
      <w:r w:rsidR="00B233CB">
        <w:t xml:space="preserve"> (RSAR)</w:t>
      </w:r>
      <w:r w:rsidR="00901646">
        <w:t xml:space="preserve"> the costs for controls and/or mitigation measures and/or activities that were approved in prior G</w:t>
      </w:r>
      <w:r w:rsidR="00E56EF5">
        <w:t xml:space="preserve">RC </w:t>
      </w:r>
      <w:r w:rsidR="00901646">
        <w:t>cycles but not implemented, as applicable</w:t>
      </w:r>
      <w:r w:rsidR="00874DE5">
        <w:t>;</w:t>
      </w:r>
    </w:p>
    <w:p w:rsidR="00E56EF5" w:rsidP="00E43E70" w:rsidRDefault="00E56EF5" w14:paraId="64F26C5B" w14:textId="4822D17E">
      <w:pPr>
        <w:numPr>
          <w:ilvl w:val="1"/>
          <w:numId w:val="28"/>
        </w:numPr>
        <w:spacing w:after="120"/>
        <w:ind w:left="1080" w:right="1440"/>
      </w:pPr>
      <w:r>
        <w:t>Each</w:t>
      </w:r>
      <w:r w:rsidRPr="00E56EF5">
        <w:t xml:space="preserve"> IOU</w:t>
      </w:r>
      <w:r>
        <w:t xml:space="preserve"> </w:t>
      </w:r>
      <w:r w:rsidRPr="00B6623F">
        <w:rPr>
          <w:rFonts w:eastAsiaTheme="minorHAnsi" w:cstheme="minorBidi"/>
          <w:szCs w:val="22"/>
        </w:rPr>
        <w:t>shall</w:t>
      </w:r>
      <w:r>
        <w:t xml:space="preserve"> </w:t>
      </w:r>
      <w:r w:rsidRPr="00EB636E">
        <w:t xml:space="preserve">incorporate </w:t>
      </w:r>
      <w:r w:rsidRPr="00E56EF5">
        <w:t xml:space="preserve">the </w:t>
      </w:r>
      <w:r w:rsidRPr="00EB636E">
        <w:t xml:space="preserve">costs of foundational elements into the </w:t>
      </w:r>
      <w:r>
        <w:t>R</w:t>
      </w:r>
      <w:r w:rsidRPr="00EB636E">
        <w:t>SEs they present in their next RAMP filing</w:t>
      </w:r>
      <w:r w:rsidRPr="00E56EF5">
        <w:t xml:space="preserve">, </w:t>
      </w:r>
      <w:r w:rsidR="00FC6FA4">
        <w:t xml:space="preserve">shall </w:t>
      </w:r>
      <w:r w:rsidRPr="00E56EF5">
        <w:t xml:space="preserve">clearly and </w:t>
      </w:r>
      <w:r w:rsidRPr="00EB636E">
        <w:t xml:space="preserve">transparently </w:t>
      </w:r>
      <w:r w:rsidRPr="00E56EF5">
        <w:t xml:space="preserve">explain and </w:t>
      </w:r>
      <w:r w:rsidRPr="00EB636E">
        <w:t>justify the</w:t>
      </w:r>
      <w:r w:rsidRPr="00E56EF5">
        <w:t>ir chosen</w:t>
      </w:r>
      <w:r w:rsidRPr="00EB636E">
        <w:t xml:space="preserve"> distribution of foundational costs to mitigations</w:t>
      </w:r>
      <w:r w:rsidRPr="00E56EF5">
        <w:t xml:space="preserve">, and </w:t>
      </w:r>
      <w:r w:rsidR="00FC6FA4">
        <w:t xml:space="preserve">shall </w:t>
      </w:r>
      <w:r w:rsidRPr="00EB636E">
        <w:t xml:space="preserve">comply with applicable requirements </w:t>
      </w:r>
      <w:r>
        <w:t xml:space="preserve">of Decision </w:t>
      </w:r>
      <w:r w:rsidR="006F55EE">
        <w:t xml:space="preserve">(D.) </w:t>
      </w:r>
      <w:r>
        <w:t xml:space="preserve">18-12-014 </w:t>
      </w:r>
      <w:r w:rsidRPr="00E56EF5">
        <w:t xml:space="preserve">to </w:t>
      </w:r>
      <w:r w:rsidRPr="00EB636E">
        <w:t xml:space="preserve">explain their </w:t>
      </w:r>
      <w:r w:rsidRPr="00EB636E">
        <w:lastRenderedPageBreak/>
        <w:t xml:space="preserve">rationale and assumptions in categorizing foundational </w:t>
      </w:r>
      <w:r w:rsidR="006F55EE">
        <w:t>costs</w:t>
      </w:r>
      <w:r w:rsidR="00265CBC">
        <w:t xml:space="preserve">; and, </w:t>
      </w:r>
    </w:p>
    <w:p w:rsidR="00E6690B" w:rsidP="00E43E70" w:rsidRDefault="00646BF8" w14:paraId="1EBA3B34" w14:textId="4565CA9A">
      <w:pPr>
        <w:numPr>
          <w:ilvl w:val="1"/>
          <w:numId w:val="28"/>
        </w:numPr>
        <w:spacing w:after="120"/>
        <w:ind w:left="1080" w:right="1440"/>
      </w:pPr>
      <w:r>
        <w:t xml:space="preserve">Each IOU </w:t>
      </w:r>
      <w:r w:rsidRPr="00B6623F">
        <w:rPr>
          <w:rFonts w:eastAsiaTheme="minorHAnsi" w:cstheme="minorBidi"/>
          <w:szCs w:val="22"/>
        </w:rPr>
        <w:t>shall</w:t>
      </w:r>
      <w:r>
        <w:t xml:space="preserve"> m</w:t>
      </w:r>
      <w:r w:rsidR="00E6690B">
        <w:t xml:space="preserve">odel </w:t>
      </w:r>
      <w:r w:rsidR="007270FB">
        <w:t>Public Safety Power Shutoff (PSPS) events as risk events</w:t>
      </w:r>
      <w:r w:rsidR="001D70CA">
        <w:t xml:space="preserve"> </w:t>
      </w:r>
      <w:r w:rsidR="00506531">
        <w:t>pursuant to requirements in D.18</w:t>
      </w:r>
      <w:r w:rsidR="002A4363">
        <w:noBreakHyphen/>
      </w:r>
      <w:r w:rsidR="00506531">
        <w:t>12</w:t>
      </w:r>
      <w:r w:rsidR="002A4363">
        <w:noBreakHyphen/>
      </w:r>
      <w:r w:rsidR="00506531">
        <w:t xml:space="preserve">014; </w:t>
      </w:r>
    </w:p>
    <w:p w:rsidR="00506531" w:rsidP="00E43E70" w:rsidRDefault="00506531" w14:paraId="23984886" w14:textId="094AE3D7">
      <w:pPr>
        <w:pStyle w:val="OP"/>
        <w:numPr>
          <w:ilvl w:val="0"/>
          <w:numId w:val="28"/>
        </w:numPr>
        <w:ind w:left="0" w:firstLine="360"/>
      </w:pPr>
      <w:r>
        <w:t xml:space="preserve">A Risk-Based Decision-Making Framework </w:t>
      </w:r>
      <w:r w:rsidR="005C2AD0">
        <w:t xml:space="preserve">(RDF) </w:t>
      </w:r>
      <w:r>
        <w:t>Technical Working Group</w:t>
      </w:r>
      <w:r w:rsidR="008B6039">
        <w:t xml:space="preserve"> </w:t>
      </w:r>
      <w:r w:rsidR="005C2AD0">
        <w:t xml:space="preserve">(TWG) </w:t>
      </w:r>
      <w:r w:rsidR="008B6039">
        <w:t>led by Staff</w:t>
      </w:r>
      <w:r>
        <w:t xml:space="preserve"> is </w:t>
      </w:r>
      <w:r w:rsidR="008B6039">
        <w:t xml:space="preserve">established, and is authorized to: </w:t>
      </w:r>
    </w:p>
    <w:p w:rsidR="00C91B41" w:rsidP="00E43E70" w:rsidRDefault="00C91B41" w14:paraId="3A2FB211" w14:textId="343A2B4E">
      <w:pPr>
        <w:pStyle w:val="CoL"/>
        <w:numPr>
          <w:ilvl w:val="1"/>
          <w:numId w:val="28"/>
        </w:numPr>
        <w:spacing w:after="120" w:line="240" w:lineRule="auto"/>
        <w:ind w:left="1080" w:right="1440"/>
      </w:pPr>
      <w:r>
        <w:t>C</w:t>
      </w:r>
      <w:r w:rsidRPr="006E490D">
        <w:t>ontinue discuss</w:t>
      </w:r>
      <w:r>
        <w:t xml:space="preserve">ing better methods to model </w:t>
      </w:r>
      <w:r w:rsidR="005C2AD0">
        <w:t>Public Safety Power Shutoff (</w:t>
      </w:r>
      <w:r w:rsidRPr="006E490D">
        <w:t>PSPS</w:t>
      </w:r>
      <w:r w:rsidR="005C2AD0">
        <w:t>)</w:t>
      </w:r>
      <w:r w:rsidRPr="006E490D">
        <w:t xml:space="preserve"> events</w:t>
      </w:r>
      <w:r w:rsidR="005C2AD0">
        <w:t xml:space="preserve"> as risk events</w:t>
      </w:r>
      <w:r w:rsidRPr="006E490D">
        <w:t xml:space="preserve"> in the RDF</w:t>
      </w:r>
      <w:r>
        <w:t xml:space="preserve">, </w:t>
      </w:r>
      <w:r w:rsidRPr="006E490D">
        <w:t>provid</w:t>
      </w:r>
      <w:r>
        <w:t xml:space="preserve">ing a proposal for </w:t>
      </w:r>
      <w:r w:rsidRPr="006E490D">
        <w:t>more detailed Commission guidance on this topic</w:t>
      </w:r>
      <w:r>
        <w:t xml:space="preserve"> as early as Phase II of this proceeding, if </w:t>
      </w:r>
      <w:r w:rsidR="0070143E">
        <w:t xml:space="preserve">feasible and </w:t>
      </w:r>
      <w:r>
        <w:t>deemed useful by Staff;</w:t>
      </w:r>
    </w:p>
    <w:p w:rsidRPr="001E2A62" w:rsidR="00C91B41" w:rsidP="00E43E70" w:rsidRDefault="00646BF8" w14:paraId="52CF0EF7" w14:textId="3A38E80D">
      <w:pPr>
        <w:pStyle w:val="CoL"/>
        <w:numPr>
          <w:ilvl w:val="1"/>
          <w:numId w:val="28"/>
        </w:numPr>
        <w:spacing w:after="120" w:line="240" w:lineRule="auto"/>
        <w:ind w:left="1080" w:right="1440"/>
      </w:pPr>
      <w:r>
        <w:t>Discuss</w:t>
      </w:r>
      <w:r w:rsidR="00C91B41">
        <w:t xml:space="preserve"> </w:t>
      </w:r>
      <w:r w:rsidR="00D926FF">
        <w:t xml:space="preserve">Pacific Gas and Electric </w:t>
      </w:r>
      <w:r w:rsidR="1CF7C4D3">
        <w:t>Company</w:t>
      </w:r>
      <w:r w:rsidR="20B67400">
        <w:t>’s</w:t>
      </w:r>
      <w:r w:rsidR="00D926FF">
        <w:t xml:space="preserve"> (</w:t>
      </w:r>
      <w:r w:rsidR="00C91B41">
        <w:t>PG&amp;E</w:t>
      </w:r>
      <w:r w:rsidR="00D926FF">
        <w:t>)</w:t>
      </w:r>
      <w:r w:rsidR="00C91B41">
        <w:t xml:space="preserve"> test of the power law distribution approach to modeling wildfire risk, and approaches used by other utilities, </w:t>
      </w:r>
      <w:r w:rsidRPr="009706CF" w:rsidR="00C91B41">
        <w:t xml:space="preserve">with the goal of </w:t>
      </w:r>
      <w:r w:rsidR="00C91B41">
        <w:t xml:space="preserve">determining the need for and, if so, identifying one or more best practices </w:t>
      </w:r>
      <w:r w:rsidRPr="009706CF" w:rsidR="00C91B41">
        <w:t>for modeling wildfire risk and consequences that properly capture increasing wildfire risk due to climate change</w:t>
      </w:r>
      <w:r w:rsidR="00C91B41">
        <w:t>;</w:t>
      </w:r>
    </w:p>
    <w:p w:rsidRPr="002C63AC" w:rsidR="00C91B41" w:rsidP="00E43E70" w:rsidRDefault="00C91B41" w14:paraId="6C7DFCEF" w14:textId="52F4CE2A">
      <w:pPr>
        <w:pStyle w:val="CoL"/>
        <w:numPr>
          <w:ilvl w:val="1"/>
          <w:numId w:val="28"/>
        </w:numPr>
        <w:spacing w:after="120" w:line="240" w:lineRule="auto"/>
        <w:ind w:left="1080" w:right="1440"/>
      </w:pPr>
      <w:r>
        <w:t>D</w:t>
      </w:r>
      <w:r w:rsidRPr="002C63AC">
        <w:t>iscuss</w:t>
      </w:r>
      <w:r>
        <w:t xml:space="preserve"> ways to further refine </w:t>
      </w:r>
      <w:r w:rsidR="005C2AD0">
        <w:t xml:space="preserve">the </w:t>
      </w:r>
      <w:r>
        <w:t xml:space="preserve">PG&amp;E Transparency Proposal as </w:t>
      </w:r>
      <w:r w:rsidR="00646BF8">
        <w:t>modified</w:t>
      </w:r>
      <w:r>
        <w:t xml:space="preserve"> </w:t>
      </w:r>
      <w:r w:rsidR="621CA5F2">
        <w:t>a</w:t>
      </w:r>
      <w:r w:rsidR="6CE1BE0E">
        <w:t>nd</w:t>
      </w:r>
      <w:r w:rsidR="00AC1C88">
        <w:t xml:space="preserve"> discussed </w:t>
      </w:r>
      <w:r w:rsidRPr="00FB6AB9" w:rsidR="00AC1C88">
        <w:t xml:space="preserve">in </w:t>
      </w:r>
      <w:r w:rsidRPr="00FB6AB9" w:rsidR="00990028">
        <w:t>S</w:t>
      </w:r>
      <w:r w:rsidRPr="00FB6AB9" w:rsidR="00AC1C88">
        <w:t>ection</w:t>
      </w:r>
      <w:r w:rsidR="00AC1C88">
        <w:t xml:space="preserve"> </w:t>
      </w:r>
      <w:r w:rsidRPr="00767508" w:rsidR="0025566D">
        <w:t>9.1.4</w:t>
      </w:r>
      <w:r w:rsidRPr="0025566D" w:rsidR="00AC1C88">
        <w:t>,</w:t>
      </w:r>
      <w:r w:rsidR="00AC1C88">
        <w:t xml:space="preserve"> </w:t>
      </w:r>
      <w:r>
        <w:t>and</w:t>
      </w:r>
      <w:r w:rsidRPr="002C63AC">
        <w:t xml:space="preserve"> provide an updated </w:t>
      </w:r>
      <w:r w:rsidR="00D926FF">
        <w:t xml:space="preserve">proposal </w:t>
      </w:r>
      <w:r w:rsidRPr="002C63AC">
        <w:t xml:space="preserve">for consideration </w:t>
      </w:r>
      <w:r>
        <w:t xml:space="preserve">as early as </w:t>
      </w:r>
      <w:r w:rsidRPr="002C63AC">
        <w:t xml:space="preserve">Phase II of this proceeding, </w:t>
      </w:r>
      <w:r w:rsidR="0070143E">
        <w:t>if feasible</w:t>
      </w:r>
      <w:r>
        <w:t>;</w:t>
      </w:r>
    </w:p>
    <w:p w:rsidRPr="00D926FF" w:rsidR="00C91B41" w:rsidP="00E43E70" w:rsidRDefault="00C91B41" w14:paraId="385D498C" w14:textId="1495FC26">
      <w:pPr>
        <w:pStyle w:val="CoL"/>
        <w:numPr>
          <w:ilvl w:val="1"/>
          <w:numId w:val="28"/>
        </w:numPr>
        <w:spacing w:after="120" w:line="240" w:lineRule="auto"/>
        <w:ind w:left="1080" w:right="1440"/>
      </w:pPr>
      <w:r>
        <w:t>Prepare an</w:t>
      </w:r>
      <w:r w:rsidR="00730FF8">
        <w:t>d pro</w:t>
      </w:r>
      <w:r w:rsidR="003A0867">
        <w:t>pose</w:t>
      </w:r>
      <w:r w:rsidR="00730FF8">
        <w:t>, as directed in this decision, an</w:t>
      </w:r>
      <w:r>
        <w:t xml:space="preserve"> updated </w:t>
      </w:r>
      <w:r w:rsidR="00730FF8">
        <w:t xml:space="preserve">draft </w:t>
      </w:r>
      <w:r>
        <w:t>“S</w:t>
      </w:r>
      <w:r w:rsidR="007A107F">
        <w:t>afety Model Assessment Proceeding (</w:t>
      </w:r>
      <w:r>
        <w:t>S-MAP</w:t>
      </w:r>
      <w:r w:rsidR="007A107F">
        <w:t>)</w:t>
      </w:r>
      <w:r>
        <w:t xml:space="preserve"> Roadmap” and a high-level workplan </w:t>
      </w:r>
      <w:r w:rsidR="00CE5236">
        <w:t xml:space="preserve">for Phase II of this proceeding </w:t>
      </w:r>
      <w:r>
        <w:t>that indicates priorities</w:t>
      </w:r>
      <w:r w:rsidR="00EE1D51">
        <w:t xml:space="preserve"> and </w:t>
      </w:r>
      <w:r>
        <w:t xml:space="preserve">any dependencies and outlines approximate timelines and deliverables needed to address prioritized items, with the </w:t>
      </w:r>
      <w:r w:rsidRPr="00D926FF">
        <w:t xml:space="preserve">aim of completing this work by </w:t>
      </w:r>
      <w:r w:rsidR="00937209">
        <w:t xml:space="preserve">December 31, </w:t>
      </w:r>
      <w:r w:rsidRPr="00D926FF">
        <w:t>2021</w:t>
      </w:r>
      <w:r w:rsidR="00FC2368">
        <w:t>, unless the Assigned Administrative Law Judge authorizes a later date</w:t>
      </w:r>
      <w:r w:rsidRPr="00D926FF">
        <w:t>;</w:t>
      </w:r>
      <w:r w:rsidRPr="00D926FF" w:rsidR="0001471D">
        <w:t xml:space="preserve"> </w:t>
      </w:r>
    </w:p>
    <w:p w:rsidR="00C91B41" w:rsidP="00E43E70" w:rsidRDefault="007A107F" w14:paraId="6DDB48E9" w14:textId="7DCE3704">
      <w:pPr>
        <w:pStyle w:val="CoL"/>
        <w:numPr>
          <w:ilvl w:val="1"/>
          <w:numId w:val="28"/>
        </w:numPr>
        <w:spacing w:after="120" w:line="240" w:lineRule="auto"/>
        <w:ind w:left="1080" w:right="1440"/>
      </w:pPr>
      <w:r>
        <w:t>A</w:t>
      </w:r>
      <w:r w:rsidRPr="00E70AA7">
        <w:t xml:space="preserve">s data become available and experience is gained, </w:t>
      </w:r>
      <w:r>
        <w:t>and</w:t>
      </w:r>
      <w:r w:rsidRPr="00D926FF" w:rsidR="00C91B41">
        <w:t xml:space="preserve"> as feasible</w:t>
      </w:r>
      <w:r w:rsidRPr="00E70AA7">
        <w:t xml:space="preserve"> given other R</w:t>
      </w:r>
      <w:r>
        <w:t xml:space="preserve">ulemaking </w:t>
      </w:r>
      <w:r w:rsidRPr="00E70AA7">
        <w:t>20-07-013 priorities,</w:t>
      </w:r>
      <w:r>
        <w:t xml:space="preserve"> discuss </w:t>
      </w:r>
      <w:r w:rsidRPr="00D926FF" w:rsidR="00D926FF">
        <w:t xml:space="preserve">methods to move towards a </w:t>
      </w:r>
      <w:r>
        <w:t xml:space="preserve">possible </w:t>
      </w:r>
      <w:r w:rsidRPr="00D926FF" w:rsidR="00D926FF">
        <w:t xml:space="preserve">framework </w:t>
      </w:r>
      <w:r w:rsidRPr="00D926FF" w:rsidR="00D926FF">
        <w:lastRenderedPageBreak/>
        <w:t xml:space="preserve">for </w:t>
      </w:r>
      <w:r w:rsidRPr="00D926FF" w:rsidR="00C91B41">
        <w:t>targets or thresholds for</w:t>
      </w:r>
      <w:r w:rsidR="00C91B41">
        <w:t xml:space="preserve"> PG&amp;E’s S</w:t>
      </w:r>
      <w:r w:rsidR="00D926FF">
        <w:t>afety and Operational Metric</w:t>
      </w:r>
      <w:r w:rsidR="00C91B41">
        <w:t>s</w:t>
      </w:r>
      <w:r w:rsidR="00E866DB">
        <w:t xml:space="preserve">; and, </w:t>
      </w:r>
    </w:p>
    <w:p w:rsidRPr="00E866DB" w:rsidR="008B6039" w:rsidP="00E43E70" w:rsidRDefault="00E866DB" w14:paraId="070A18DD" w14:textId="34BAC3F3">
      <w:pPr>
        <w:pStyle w:val="CoL"/>
        <w:numPr>
          <w:ilvl w:val="1"/>
          <w:numId w:val="28"/>
        </w:numPr>
        <w:spacing w:after="120" w:line="240" w:lineRule="auto"/>
        <w:ind w:left="1080" w:right="1440"/>
      </w:pPr>
      <w:r>
        <w:t xml:space="preserve">Begin work on priority elements identified in the Roadmap process ordered here. </w:t>
      </w:r>
    </w:p>
    <w:p w:rsidR="00C91B41" w:rsidP="00E43E70" w:rsidRDefault="00C91B41" w14:paraId="6D086F36" w14:textId="16AF27A8">
      <w:pPr>
        <w:pStyle w:val="OP"/>
        <w:numPr>
          <w:ilvl w:val="0"/>
          <w:numId w:val="28"/>
        </w:numPr>
        <w:ind w:left="0" w:firstLine="360"/>
      </w:pPr>
      <w:r w:rsidRPr="00C91B41">
        <w:t xml:space="preserve">Southern California Edison Company </w:t>
      </w:r>
      <w:r w:rsidR="004703FC">
        <w:t xml:space="preserve">(SCE) </w:t>
      </w:r>
      <w:r w:rsidR="00265CBC">
        <w:t>shall “</w:t>
      </w:r>
      <w:r w:rsidRPr="00C91B41">
        <w:t>test</w:t>
      </w:r>
      <w:r w:rsidR="00265CBC">
        <w:t xml:space="preserve"> drive”</w:t>
      </w:r>
      <w:r w:rsidRPr="00C91B41">
        <w:t xml:space="preserve"> the Pacific Gas and Electric Company Transparency Proposal</w:t>
      </w:r>
      <w:r w:rsidR="00265CBC">
        <w:t xml:space="preserve">, </w:t>
      </w:r>
      <w:r w:rsidRPr="00C91B41" w:rsidR="00265CBC">
        <w:t xml:space="preserve">as modified here and contained in </w:t>
      </w:r>
      <w:r w:rsidRPr="004E503E" w:rsidR="00265CBC">
        <w:t xml:space="preserve">Appendix </w:t>
      </w:r>
      <w:r w:rsidR="00374452">
        <w:t>C</w:t>
      </w:r>
      <w:r w:rsidRPr="004E503E" w:rsidR="00265CBC">
        <w:t xml:space="preserve">, </w:t>
      </w:r>
      <w:r w:rsidR="00700533">
        <w:t xml:space="preserve">and shall </w:t>
      </w:r>
      <w:r w:rsidR="00FC63D0">
        <w:t xml:space="preserve">serve </w:t>
      </w:r>
      <w:r w:rsidR="00417ABB">
        <w:t>t</w:t>
      </w:r>
      <w:r w:rsidR="00305967">
        <w:t xml:space="preserve">he completed </w:t>
      </w:r>
      <w:r w:rsidR="00417ABB">
        <w:t>t</w:t>
      </w:r>
      <w:r w:rsidR="003244DE">
        <w:t xml:space="preserve">ransparency </w:t>
      </w:r>
      <w:r w:rsidR="00417ABB">
        <w:t xml:space="preserve">documents </w:t>
      </w:r>
      <w:r w:rsidR="00FC63D0">
        <w:t xml:space="preserve">to the SCE 2022 Risk Assessment and Mitigation Phase (RAMP) proceeding service list </w:t>
      </w:r>
      <w:r w:rsidR="00417ABB">
        <w:t xml:space="preserve">no later than </w:t>
      </w:r>
      <w:r w:rsidR="00A13DAA">
        <w:t xml:space="preserve">60 days </w:t>
      </w:r>
      <w:r w:rsidR="00417ABB">
        <w:t xml:space="preserve">from the date </w:t>
      </w:r>
      <w:r w:rsidR="004703FC">
        <w:t xml:space="preserve">SCE files its </w:t>
      </w:r>
      <w:r>
        <w:t>2022</w:t>
      </w:r>
      <w:r w:rsidR="0009671B">
        <w:t> </w:t>
      </w:r>
      <w:r>
        <w:t>R</w:t>
      </w:r>
      <w:r w:rsidR="00FC63D0">
        <w:t xml:space="preserve">AMP </w:t>
      </w:r>
      <w:r w:rsidR="00C75814">
        <w:t>report</w:t>
      </w:r>
      <w:r w:rsidR="00265CBC">
        <w:t xml:space="preserve">. </w:t>
      </w:r>
    </w:p>
    <w:p w:rsidR="00333FBA" w:rsidP="00E43E70" w:rsidRDefault="00333FBA" w14:paraId="3FE3B6C2" w14:textId="4EA17557">
      <w:pPr>
        <w:pStyle w:val="OP"/>
        <w:numPr>
          <w:ilvl w:val="0"/>
          <w:numId w:val="28"/>
        </w:numPr>
        <w:ind w:left="0" w:firstLine="360"/>
      </w:pPr>
      <w:r>
        <w:t>The Safety and Operational Metrics contained in Appendix A are adopted</w:t>
      </w:r>
      <w:r w:rsidR="004D065F">
        <w:t xml:space="preserve"> for application to Pacific Gas and Electric Company </w:t>
      </w:r>
      <w:r w:rsidR="00562BDC">
        <w:t>for the purposes</w:t>
      </w:r>
      <w:r w:rsidR="004D065F">
        <w:t xml:space="preserve"> outlined in Decision</w:t>
      </w:r>
      <w:r w:rsidR="0009671B">
        <w:t> </w:t>
      </w:r>
      <w:r w:rsidR="004D065F">
        <w:t>20-05-053</w:t>
      </w:r>
      <w:r w:rsidR="002603BD">
        <w:t xml:space="preserve">. </w:t>
      </w:r>
    </w:p>
    <w:p w:rsidR="004D065F" w:rsidP="00E43E70" w:rsidRDefault="000B4CFB" w14:paraId="409C59FD" w14:textId="231F5DEE">
      <w:pPr>
        <w:pStyle w:val="OP"/>
        <w:numPr>
          <w:ilvl w:val="0"/>
          <w:numId w:val="28"/>
        </w:numPr>
        <w:ind w:left="0" w:firstLine="360"/>
      </w:pPr>
      <w:r>
        <w:t xml:space="preserve">Pacific Gas and Electric Company </w:t>
      </w:r>
      <w:r w:rsidR="00D54BFB">
        <w:t xml:space="preserve">(PG&amp;E) </w:t>
      </w:r>
      <w:r>
        <w:t xml:space="preserve">shall report </w:t>
      </w:r>
      <w:r w:rsidR="00562BDC">
        <w:t>its</w:t>
      </w:r>
      <w:r w:rsidR="004D065F">
        <w:t xml:space="preserve"> Safety and Operational Metrics </w:t>
      </w:r>
      <w:r w:rsidR="001061DC">
        <w:t>(SOM</w:t>
      </w:r>
      <w:r w:rsidR="00D54BFB">
        <w:t>s</w:t>
      </w:r>
      <w:r w:rsidR="001061DC">
        <w:t xml:space="preserve">) as </w:t>
      </w:r>
      <w:r w:rsidRPr="00FB6AB9" w:rsidR="001061DC">
        <w:t>follows</w:t>
      </w:r>
      <w:r w:rsidRPr="00FB6AB9" w:rsidR="00D91A53">
        <w:t xml:space="preserve">. </w:t>
      </w:r>
      <w:r w:rsidRPr="00FB6AB9" w:rsidR="008F4028">
        <w:t xml:space="preserve"> </w:t>
      </w:r>
      <w:r w:rsidRPr="00FB6AB9" w:rsidR="005E355F">
        <w:rPr>
          <w:iCs/>
        </w:rPr>
        <w:t>PG&amp;</w:t>
      </w:r>
      <w:r w:rsidRPr="005E355F" w:rsidR="005E355F">
        <w:rPr>
          <w:iCs/>
        </w:rPr>
        <w:t>E shall</w:t>
      </w:r>
      <w:r w:rsidR="00B27963">
        <w:rPr>
          <w:iCs/>
        </w:rPr>
        <w:t xml:space="preserve">, on a </w:t>
      </w:r>
      <w:r w:rsidR="00AC6158">
        <w:rPr>
          <w:iCs/>
        </w:rPr>
        <w:t xml:space="preserve">semi-annual </w:t>
      </w:r>
      <w:r w:rsidR="00B27963">
        <w:rPr>
          <w:iCs/>
        </w:rPr>
        <w:t>basis</w:t>
      </w:r>
      <w:r w:rsidR="00440574">
        <w:rPr>
          <w:iCs/>
        </w:rPr>
        <w:t xml:space="preserve">, </w:t>
      </w:r>
      <w:r w:rsidR="00883A75">
        <w:rPr>
          <w:iCs/>
        </w:rPr>
        <w:t xml:space="preserve">serve and </w:t>
      </w:r>
      <w:r w:rsidRPr="005E355F" w:rsidR="005E355F">
        <w:rPr>
          <w:iCs/>
        </w:rPr>
        <w:t>file its SOMs report in R</w:t>
      </w:r>
      <w:r w:rsidR="005E355F">
        <w:rPr>
          <w:iCs/>
        </w:rPr>
        <w:t xml:space="preserve">ulemaking </w:t>
      </w:r>
      <w:r w:rsidRPr="005E355F" w:rsidR="005E355F">
        <w:rPr>
          <w:iCs/>
        </w:rPr>
        <w:t xml:space="preserve">20-07-013, any successor Safety Model Assessment Proceeding, and its most recent or current </w:t>
      </w:r>
      <w:r w:rsidR="005E355F">
        <w:rPr>
          <w:iCs/>
        </w:rPr>
        <w:t>General Rate Case</w:t>
      </w:r>
      <w:r w:rsidRPr="005E355F" w:rsidR="005E355F">
        <w:rPr>
          <w:iCs/>
        </w:rPr>
        <w:t xml:space="preserve"> and R</w:t>
      </w:r>
      <w:r w:rsidR="005E355F">
        <w:rPr>
          <w:iCs/>
        </w:rPr>
        <w:t xml:space="preserve">isk Assessment and Mitigation Phase </w:t>
      </w:r>
      <w:r w:rsidRPr="005E355F" w:rsidR="005E355F">
        <w:rPr>
          <w:iCs/>
        </w:rPr>
        <w:t>proceedings starting March 31, 2022</w:t>
      </w:r>
      <w:r w:rsidR="0009671B">
        <w:rPr>
          <w:iCs/>
        </w:rPr>
        <w:t>,</w:t>
      </w:r>
      <w:r w:rsidR="001B3B26">
        <w:rPr>
          <w:iCs/>
        </w:rPr>
        <w:t xml:space="preserve"> and continuing </w:t>
      </w:r>
      <w:r w:rsidR="00A84112">
        <w:rPr>
          <w:iCs/>
        </w:rPr>
        <w:t xml:space="preserve">annually at the end of </w:t>
      </w:r>
      <w:r w:rsidR="001B3B26">
        <w:rPr>
          <w:iCs/>
        </w:rPr>
        <w:t>September and March thereafter</w:t>
      </w:r>
      <w:r w:rsidRPr="005E355F" w:rsidR="005E355F">
        <w:rPr>
          <w:iCs/>
        </w:rPr>
        <w:t xml:space="preserve">, with the </w:t>
      </w:r>
      <w:r w:rsidR="001B3B26">
        <w:rPr>
          <w:iCs/>
        </w:rPr>
        <w:t xml:space="preserve">March </w:t>
      </w:r>
      <w:r w:rsidRPr="005E355F" w:rsidR="005E355F">
        <w:rPr>
          <w:iCs/>
        </w:rPr>
        <w:t>report</w:t>
      </w:r>
      <w:r w:rsidR="001B3B26">
        <w:rPr>
          <w:iCs/>
        </w:rPr>
        <w:t>s</w:t>
      </w:r>
      <w:r w:rsidRPr="005E355F" w:rsidR="005E355F">
        <w:rPr>
          <w:iCs/>
        </w:rPr>
        <w:t xml:space="preserve"> covering the </w:t>
      </w:r>
      <w:r w:rsidR="006479C2">
        <w:rPr>
          <w:iCs/>
        </w:rPr>
        <w:t>12 months</w:t>
      </w:r>
      <w:r w:rsidR="001B3B26">
        <w:rPr>
          <w:iCs/>
        </w:rPr>
        <w:t xml:space="preserve"> of the previous calendar year (</w:t>
      </w:r>
      <w:r w:rsidRPr="0009671B" w:rsidR="007F785B">
        <w:rPr>
          <w:i/>
        </w:rPr>
        <w:t>i.e</w:t>
      </w:r>
      <w:r w:rsidR="007F785B">
        <w:rPr>
          <w:iCs/>
        </w:rPr>
        <w:t>.</w:t>
      </w:r>
      <w:r w:rsidR="001B3B26">
        <w:rPr>
          <w:iCs/>
        </w:rPr>
        <w:t xml:space="preserve">, January through December) and the September reports </w:t>
      </w:r>
      <w:r w:rsidR="00F52CC3">
        <w:rPr>
          <w:iCs/>
        </w:rPr>
        <w:t xml:space="preserve">providing data for </w:t>
      </w:r>
      <w:r w:rsidR="001B3B26">
        <w:rPr>
          <w:iCs/>
        </w:rPr>
        <w:t>January through June of the current year</w:t>
      </w:r>
      <w:r w:rsidRPr="005E355F" w:rsidR="005E355F">
        <w:rPr>
          <w:iCs/>
        </w:rPr>
        <w:t xml:space="preserve">.  PG&amp;E shall concurrently send a copy of its </w:t>
      </w:r>
      <w:r w:rsidR="00644D5F">
        <w:rPr>
          <w:iCs/>
        </w:rPr>
        <w:t xml:space="preserve">semi-annual </w:t>
      </w:r>
      <w:r w:rsidRPr="005E355F" w:rsidR="005E355F">
        <w:rPr>
          <w:iCs/>
        </w:rPr>
        <w:t>SOMs report</w:t>
      </w:r>
      <w:r w:rsidR="00851520">
        <w:rPr>
          <w:iCs/>
        </w:rPr>
        <w:t>s</w:t>
      </w:r>
      <w:r w:rsidRPr="005E355F" w:rsidR="005E355F">
        <w:rPr>
          <w:iCs/>
        </w:rPr>
        <w:t xml:space="preserve"> to the Director of the Commission’s Safety Policy Division and </w:t>
      </w:r>
      <w:r w:rsidR="009A113B">
        <w:rPr>
          <w:iCs/>
        </w:rPr>
        <w:t>to</w:t>
      </w:r>
      <w:r w:rsidRPr="005E355F" w:rsidR="005E355F">
        <w:rPr>
          <w:iCs/>
        </w:rPr>
        <w:t xml:space="preserve"> </w:t>
      </w:r>
      <w:hyperlink w:history="1" r:id="rId22">
        <w:r w:rsidRPr="001F5456" w:rsidR="005E355F">
          <w:rPr>
            <w:rStyle w:val="Hyperlink"/>
            <w:iCs/>
          </w:rPr>
          <w:t>RASA_Email@cpuc.ca.gov</w:t>
        </w:r>
      </w:hyperlink>
      <w:r w:rsidR="005E355F">
        <w:rPr>
          <w:iCs/>
        </w:rPr>
        <w:t xml:space="preserve">.  PG&amp;E </w:t>
      </w:r>
      <w:r w:rsidR="00D973E7">
        <w:rPr>
          <w:iCs/>
        </w:rPr>
        <w:t>shall</w:t>
      </w:r>
      <w:r w:rsidR="004C1EFB">
        <w:rPr>
          <w:iCs/>
        </w:rPr>
        <w:t>:</w:t>
      </w:r>
    </w:p>
    <w:p w:rsidRPr="000B4CFB" w:rsidR="000B4CFB" w:rsidP="00E43E70" w:rsidRDefault="006F0C25" w14:paraId="027FAB33" w14:textId="5C4525F9">
      <w:pPr>
        <w:pStyle w:val="OP"/>
        <w:numPr>
          <w:ilvl w:val="1"/>
          <w:numId w:val="28"/>
        </w:numPr>
        <w:spacing w:after="120" w:line="240" w:lineRule="auto"/>
        <w:ind w:left="1080" w:right="1440"/>
      </w:pPr>
      <w:r>
        <w:t>R</w:t>
      </w:r>
      <w:r w:rsidRPr="000B4CFB" w:rsidR="000B4CFB">
        <w:t>eport on each SOM</w:t>
      </w:r>
      <w:r w:rsidR="00D54BFB">
        <w:t xml:space="preserve">, </w:t>
      </w:r>
      <w:r w:rsidR="00461AB2">
        <w:t xml:space="preserve">using data </w:t>
      </w:r>
      <w:r w:rsidR="00D54BFB">
        <w:t xml:space="preserve">for the preceding </w:t>
      </w:r>
      <w:r w:rsidR="002B364B">
        <w:t>12</w:t>
      </w:r>
      <w:r w:rsidR="002A4363">
        <w:t> </w:t>
      </w:r>
      <w:r w:rsidR="002B364B">
        <w:t>months</w:t>
      </w:r>
      <w:r w:rsidR="00461AB2">
        <w:t xml:space="preserve"> and providing</w:t>
      </w:r>
      <w:r w:rsidRPr="000B4CFB" w:rsidR="000B4CFB">
        <w:t xml:space="preserve"> all available historical data;</w:t>
      </w:r>
    </w:p>
    <w:p w:rsidRPr="000B4CFB" w:rsidR="000B4CFB" w:rsidP="00E43E70" w:rsidRDefault="000B4CFB" w14:paraId="76D77F04" w14:textId="2B508888">
      <w:pPr>
        <w:pStyle w:val="OP"/>
        <w:numPr>
          <w:ilvl w:val="1"/>
          <w:numId w:val="28"/>
        </w:numPr>
        <w:spacing w:after="120" w:line="240" w:lineRule="auto"/>
        <w:ind w:left="1080" w:right="1440"/>
      </w:pPr>
      <w:r w:rsidRPr="000B4CFB">
        <w:t xml:space="preserve">For each SOM, provide a proposed target for the year following the reporting period for each metric and a </w:t>
      </w:r>
      <w:r w:rsidRPr="000B4CFB">
        <w:lastRenderedPageBreak/>
        <w:t>five</w:t>
      </w:r>
      <w:r w:rsidR="002A4363">
        <w:noBreakHyphen/>
      </w:r>
      <w:r w:rsidRPr="000B4CFB">
        <w:t>year target, with the proposed target represented as specific values, ranges of values, a rolling average, or another specified target value</w:t>
      </w:r>
      <w:r w:rsidR="00461AB2">
        <w:t xml:space="preserve">, except for </w:t>
      </w:r>
      <w:r w:rsidR="000255AA">
        <w:t xml:space="preserve">our final adopted </w:t>
      </w:r>
      <w:r w:rsidR="00461AB2">
        <w:t xml:space="preserve">SOM </w:t>
      </w:r>
      <w:r w:rsidR="00BF1B5A">
        <w:t>#s</w:t>
      </w:r>
      <w:r w:rsidR="00FB234D">
        <w:t> </w:t>
      </w:r>
      <w:r w:rsidR="004F02C2">
        <w:t>1.</w:t>
      </w:r>
      <w:r w:rsidR="007C7934">
        <w:t>3,</w:t>
      </w:r>
      <w:r w:rsidR="00461AB2">
        <w:t xml:space="preserve"> </w:t>
      </w:r>
      <w:r w:rsidR="005A6CB6">
        <w:t xml:space="preserve">2.3, </w:t>
      </w:r>
      <w:r w:rsidR="00461AB2">
        <w:t xml:space="preserve">3.1, </w:t>
      </w:r>
      <w:r w:rsidR="00983889">
        <w:t xml:space="preserve">3.3, 3.5, and 3.6 </w:t>
      </w:r>
      <w:r w:rsidR="00461AB2">
        <w:t xml:space="preserve">for which PG&amp;E </w:t>
      </w:r>
      <w:r w:rsidR="005F2E5B">
        <w:t>may</w:t>
      </w:r>
      <w:r w:rsidR="00461AB2">
        <w:t xml:space="preserve"> provide directional targets;</w:t>
      </w:r>
    </w:p>
    <w:p w:rsidRPr="000B4CFB" w:rsidR="000B4CFB" w:rsidP="00E43E70" w:rsidRDefault="000B4CFB" w14:paraId="4430C533" w14:textId="77777777">
      <w:pPr>
        <w:pStyle w:val="OP"/>
        <w:numPr>
          <w:ilvl w:val="1"/>
          <w:numId w:val="28"/>
        </w:numPr>
        <w:spacing w:after="120" w:line="240" w:lineRule="auto"/>
        <w:ind w:left="1080" w:right="1440"/>
      </w:pPr>
      <w:r w:rsidRPr="000B4CFB">
        <w:t>For each SOM, provide a narrative description of the rationale for selecting the target proposed and why a specific value, a range of values, a rolling average or another type of target is selected;</w:t>
      </w:r>
    </w:p>
    <w:p w:rsidRPr="000B4CFB" w:rsidR="000B4CFB" w:rsidP="00E43E70" w:rsidRDefault="000B4CFB" w14:paraId="1E0A12F7" w14:textId="77777777">
      <w:pPr>
        <w:pStyle w:val="OP"/>
        <w:numPr>
          <w:ilvl w:val="1"/>
          <w:numId w:val="28"/>
        </w:numPr>
        <w:spacing w:after="120" w:line="240" w:lineRule="auto"/>
        <w:ind w:left="1080" w:right="1440"/>
      </w:pPr>
      <w:r w:rsidRPr="000B4CFB">
        <w:t>For each SOM, provide a narrative description of progress towards the proposed annual and five-year targets;</w:t>
      </w:r>
    </w:p>
    <w:p w:rsidRPr="000B4CFB" w:rsidR="000B4CFB" w:rsidP="00E43E70" w:rsidRDefault="000B4CFB" w14:paraId="0386549E" w14:textId="63CEA050">
      <w:pPr>
        <w:pStyle w:val="OP"/>
        <w:numPr>
          <w:ilvl w:val="1"/>
          <w:numId w:val="28"/>
        </w:numPr>
        <w:spacing w:after="120" w:line="240" w:lineRule="auto"/>
        <w:ind w:left="1080" w:right="1440"/>
      </w:pPr>
      <w:r w:rsidRPr="000B4CFB">
        <w:t xml:space="preserve">For each SOM, provide a narrative description of any substantial deviation from prior trends based on quantitative and qualitative analysis, as applicable; </w:t>
      </w:r>
    </w:p>
    <w:p w:rsidR="000B4CFB" w:rsidP="00E43E70" w:rsidRDefault="000B4CFB" w14:paraId="5368DE6E" w14:textId="789B9100">
      <w:pPr>
        <w:pStyle w:val="OP"/>
        <w:numPr>
          <w:ilvl w:val="1"/>
          <w:numId w:val="28"/>
        </w:numPr>
        <w:spacing w:after="120" w:line="240" w:lineRule="auto"/>
        <w:ind w:left="1080" w:right="1440"/>
      </w:pPr>
      <w:r w:rsidRPr="000B4CFB">
        <w:t>For each SOM, provide a brief description of current and future activities to meet the proposed targets</w:t>
      </w:r>
      <w:r w:rsidR="001712D4">
        <w:t xml:space="preserve">; and, </w:t>
      </w:r>
    </w:p>
    <w:p w:rsidRPr="000B4CFB" w:rsidR="001712D4" w:rsidP="00E43E70" w:rsidRDefault="001712D4" w14:paraId="17621DE4" w14:textId="1F26A1AC">
      <w:pPr>
        <w:pStyle w:val="OP"/>
        <w:numPr>
          <w:ilvl w:val="1"/>
          <w:numId w:val="28"/>
        </w:numPr>
        <w:spacing w:after="120" w:line="240" w:lineRule="auto"/>
        <w:ind w:left="1080" w:right="1440"/>
      </w:pPr>
      <w:r>
        <w:rPr>
          <w:iCs/>
        </w:rPr>
        <w:t>P</w:t>
      </w:r>
      <w:r w:rsidRPr="001712D4">
        <w:rPr>
          <w:iCs/>
        </w:rPr>
        <w:t xml:space="preserve">rovide </w:t>
      </w:r>
      <w:r>
        <w:rPr>
          <w:iCs/>
        </w:rPr>
        <w:t xml:space="preserve">the Commission’s Safety and Policy Division </w:t>
      </w:r>
      <w:r w:rsidRPr="001712D4">
        <w:rPr>
          <w:iCs/>
        </w:rPr>
        <w:t xml:space="preserve">with a copy of any report </w:t>
      </w:r>
      <w:r w:rsidRPr="00D65821">
        <w:t>filed</w:t>
      </w:r>
      <w:r w:rsidRPr="001712D4">
        <w:rPr>
          <w:iCs/>
        </w:rPr>
        <w:t xml:space="preserve"> more frequently than </w:t>
      </w:r>
      <w:r w:rsidR="00574486">
        <w:rPr>
          <w:iCs/>
        </w:rPr>
        <w:t>semi-annuall</w:t>
      </w:r>
      <w:r w:rsidRPr="001712D4" w:rsidR="00574486">
        <w:rPr>
          <w:iCs/>
        </w:rPr>
        <w:t xml:space="preserve">y </w:t>
      </w:r>
      <w:r w:rsidRPr="001712D4">
        <w:rPr>
          <w:iCs/>
        </w:rPr>
        <w:t>with the Commission that contains SOMs, at the same time the report is filed</w:t>
      </w:r>
      <w:r>
        <w:rPr>
          <w:iCs/>
        </w:rPr>
        <w:t>.</w:t>
      </w:r>
    </w:p>
    <w:p w:rsidR="00A71FFC" w:rsidP="00E43E70" w:rsidRDefault="00A71FFC" w14:paraId="06C75BFD" w14:textId="2EC08BF7">
      <w:pPr>
        <w:pStyle w:val="OP"/>
        <w:numPr>
          <w:ilvl w:val="0"/>
          <w:numId w:val="28"/>
        </w:numPr>
        <w:ind w:left="0" w:firstLine="360"/>
      </w:pPr>
      <w:r>
        <w:t xml:space="preserve">Pacific Gas and Electric Company </w:t>
      </w:r>
      <w:r w:rsidR="00525FF1">
        <w:t xml:space="preserve">(PG&amp;E) </w:t>
      </w:r>
      <w:r>
        <w:t>is authorized</w:t>
      </w:r>
      <w:r w:rsidR="00396C1F">
        <w:t xml:space="preserve"> to</w:t>
      </w:r>
      <w:r w:rsidR="00C02A28">
        <w:t xml:space="preserve">, in this or a successor </w:t>
      </w:r>
      <w:r w:rsidR="00396C1F">
        <w:t>proc</w:t>
      </w:r>
      <w:r w:rsidR="00C02A28">
        <w:t>e</w:t>
      </w:r>
      <w:r w:rsidR="00396C1F">
        <w:t>e</w:t>
      </w:r>
      <w:r w:rsidR="00C02A28">
        <w:t>ding,</w:t>
      </w:r>
      <w:r>
        <w:t xml:space="preserve"> serve and file a request to modify the </w:t>
      </w:r>
      <w:r w:rsidR="00574486">
        <w:t xml:space="preserve">semi-annual </w:t>
      </w:r>
      <w:r>
        <w:t xml:space="preserve">frequency of </w:t>
      </w:r>
      <w:r w:rsidR="00857309">
        <w:t xml:space="preserve">Safety and Operational Metrics </w:t>
      </w:r>
      <w:r w:rsidR="0026000E">
        <w:t xml:space="preserve">reporting </w:t>
      </w:r>
      <w:r w:rsidR="00857309">
        <w:t xml:space="preserve">adopted here </w:t>
      </w:r>
      <w:r w:rsidR="0001123C">
        <w:t xml:space="preserve">after </w:t>
      </w:r>
      <w:r w:rsidR="00857309">
        <w:t>five</w:t>
      </w:r>
      <w:r w:rsidR="001603CD">
        <w:t> </w:t>
      </w:r>
      <w:r w:rsidR="00857309">
        <w:t>years from issuance of this decision</w:t>
      </w:r>
      <w:r w:rsidR="00525FF1">
        <w:t xml:space="preserve">; PG&amp;E shall </w:t>
      </w:r>
      <w:r w:rsidR="00857309">
        <w:t xml:space="preserve">provide a rationale for this request if it does so. </w:t>
      </w:r>
    </w:p>
    <w:p w:rsidRPr="00196C72" w:rsidR="007011D4" w:rsidP="00E43E70" w:rsidRDefault="00193B62" w14:paraId="238D844C" w14:textId="292C720E">
      <w:pPr>
        <w:pStyle w:val="OP"/>
        <w:numPr>
          <w:ilvl w:val="0"/>
          <w:numId w:val="28"/>
        </w:numPr>
        <w:ind w:left="0" w:firstLine="360"/>
      </w:pPr>
      <w:r w:rsidRPr="00E866DB">
        <w:t xml:space="preserve">Pacific Gas and Electric Company </w:t>
      </w:r>
      <w:r w:rsidRPr="00E866DB" w:rsidR="00757BD1">
        <w:t>(PG&amp;E)</w:t>
      </w:r>
      <w:r w:rsidRPr="00196C72" w:rsidR="00145FFD">
        <w:t xml:space="preserve"> </w:t>
      </w:r>
      <w:r w:rsidR="00211CD5">
        <w:t xml:space="preserve">shareholders </w:t>
      </w:r>
      <w:r w:rsidRPr="00196C72" w:rsidR="00145FFD">
        <w:t xml:space="preserve">shall pay for an independent </w:t>
      </w:r>
      <w:r w:rsidR="00C55482">
        <w:t xml:space="preserve">third-party </w:t>
      </w:r>
      <w:r w:rsidRPr="00196C72" w:rsidR="00145FFD">
        <w:t xml:space="preserve">audit </w:t>
      </w:r>
      <w:r w:rsidR="00C55482">
        <w:t xml:space="preserve">of </w:t>
      </w:r>
      <w:r w:rsidRPr="00C55482" w:rsidR="00C55482">
        <w:t xml:space="preserve">PG&amp;E’s </w:t>
      </w:r>
      <w:r w:rsidR="0026000E">
        <w:t>Safety and Operational Metrics (</w:t>
      </w:r>
      <w:r w:rsidRPr="00C55482" w:rsidR="00C55482">
        <w:t>SOMs</w:t>
      </w:r>
      <w:r w:rsidR="0026000E">
        <w:t>)</w:t>
      </w:r>
      <w:r w:rsidRPr="00C55482" w:rsidR="00C55482">
        <w:t xml:space="preserve"> data colle</w:t>
      </w:r>
      <w:r w:rsidR="0026000E">
        <w:t>c</w:t>
      </w:r>
      <w:r w:rsidRPr="00C55482" w:rsidR="00C55482">
        <w:t>tion and reporting processes within the next three years</w:t>
      </w:r>
      <w:r w:rsidRPr="00196C72" w:rsidR="00145FFD">
        <w:t xml:space="preserve"> to ensure accuracy and compliance with S</w:t>
      </w:r>
      <w:r w:rsidR="0026000E">
        <w:t xml:space="preserve">OMs </w:t>
      </w:r>
      <w:r w:rsidRPr="00196C72" w:rsidR="00145FFD">
        <w:t xml:space="preserve">reporting requirements. </w:t>
      </w:r>
      <w:r w:rsidR="000901DE">
        <w:t xml:space="preserve"> </w:t>
      </w:r>
      <w:r w:rsidRPr="000901DE" w:rsidR="000901DE">
        <w:t xml:space="preserve">We </w:t>
      </w:r>
      <w:r w:rsidR="00B36462">
        <w:t xml:space="preserve">will select one of </w:t>
      </w:r>
      <w:r w:rsidRPr="000901DE" w:rsidR="000901DE">
        <w:t xml:space="preserve">two options to secure an independent auditor.  First, Staff may explore adding this scope of work to an existing auditor contract.  </w:t>
      </w:r>
      <w:r w:rsidR="00B36462">
        <w:t>Alternatively</w:t>
      </w:r>
      <w:r w:rsidRPr="000901DE" w:rsidR="000901DE">
        <w:t xml:space="preserve">, </w:t>
      </w:r>
      <w:r w:rsidRPr="00196C72" w:rsidR="00145FFD">
        <w:t xml:space="preserve">PG&amp;E shall </w:t>
      </w:r>
      <w:r w:rsidRPr="00196C72" w:rsidR="00145FFD">
        <w:lastRenderedPageBreak/>
        <w:t xml:space="preserve">undertake the solicitation process, but </w:t>
      </w:r>
      <w:r w:rsidRPr="00A025FA" w:rsidR="00145FFD">
        <w:t xml:space="preserve">the Commission’s </w:t>
      </w:r>
      <w:r w:rsidR="00A059E6">
        <w:t xml:space="preserve">Executive Director or her designee </w:t>
      </w:r>
      <w:r w:rsidRPr="00145FFD" w:rsidR="00145FFD">
        <w:t xml:space="preserve">will make the final selection of auditing firm. </w:t>
      </w:r>
      <w:r w:rsidR="001A1C68">
        <w:t xml:space="preserve"> S</w:t>
      </w:r>
      <w:r w:rsidR="005D24E5">
        <w:t>afety and Policy Division</w:t>
      </w:r>
      <w:r w:rsidRPr="001A1C68" w:rsidR="001A1C68">
        <w:t xml:space="preserve"> </w:t>
      </w:r>
      <w:r w:rsidR="001A1C68">
        <w:t>S</w:t>
      </w:r>
      <w:r w:rsidRPr="001A1C68" w:rsidR="001A1C68">
        <w:t>taff will direct PG&amp;E in drafting and issuing solicitation materials including a Request for Proposals (RFP</w:t>
      </w:r>
      <w:r w:rsidR="001A1C68">
        <w:t>)</w:t>
      </w:r>
      <w:r w:rsidRPr="001A1C68" w:rsidR="001A1C68">
        <w:t xml:space="preserve">. </w:t>
      </w:r>
      <w:r w:rsidR="002A4363">
        <w:t xml:space="preserve"> </w:t>
      </w:r>
      <w:r w:rsidRPr="001A1C68" w:rsidR="001A1C68">
        <w:t>While PG&amp;E will be involved with the RFP</w:t>
      </w:r>
      <w:r w:rsidR="00BA4050">
        <w:t>,</w:t>
      </w:r>
      <w:r w:rsidRPr="001A1C68" w:rsidR="001A1C68">
        <w:t xml:space="preserve"> the Commission's Executive Director or designee will have sole discretion to select the </w:t>
      </w:r>
      <w:r w:rsidR="3733AE6E">
        <w:t>consultant</w:t>
      </w:r>
      <w:r w:rsidRPr="001A1C68" w:rsidR="001A1C68">
        <w:t xml:space="preserve"> from eligible candidates that responded to the RFP</w:t>
      </w:r>
      <w:r w:rsidR="008F3CE3">
        <w:t>.</w:t>
      </w:r>
    </w:p>
    <w:p w:rsidR="002C22CE" w:rsidP="00E43E70" w:rsidRDefault="006E128A" w14:paraId="35E82CD1" w14:textId="30919579">
      <w:pPr>
        <w:pStyle w:val="OP"/>
        <w:numPr>
          <w:ilvl w:val="0"/>
          <w:numId w:val="28"/>
        </w:numPr>
        <w:ind w:left="0" w:firstLine="360"/>
      </w:pPr>
      <w:r>
        <w:t xml:space="preserve">The Safety and Performance Metrics </w:t>
      </w:r>
      <w:r w:rsidR="001771B3">
        <w:t xml:space="preserve">(SPMs) </w:t>
      </w:r>
      <w:r w:rsidR="001B45B4">
        <w:t xml:space="preserve">contained in Appendix </w:t>
      </w:r>
      <w:r w:rsidR="00136A95">
        <w:t>B</w:t>
      </w:r>
      <w:r w:rsidR="001B45B4">
        <w:t xml:space="preserve"> are adopted for application to Pacific Gas and Electric Company, Southern California Edison Company, Southern California Gas Company</w:t>
      </w:r>
      <w:r w:rsidR="00DA3B65">
        <w:t xml:space="preserve"> (SoCalGas)</w:t>
      </w:r>
      <w:r w:rsidR="001B45B4">
        <w:t xml:space="preserve">, and San Diego Gas </w:t>
      </w:r>
      <w:r w:rsidR="00237856">
        <w:t xml:space="preserve">&amp; </w:t>
      </w:r>
      <w:r w:rsidR="001B45B4">
        <w:t>Electric Company</w:t>
      </w:r>
      <w:r w:rsidR="00E71CDA">
        <w:t xml:space="preserve"> (SDG&amp;E)</w:t>
      </w:r>
      <w:r w:rsidR="009B52CD">
        <w:t xml:space="preserve">, </w:t>
      </w:r>
      <w:r w:rsidR="001B45B4">
        <w:t>as indicate</w:t>
      </w:r>
      <w:r w:rsidR="00D27C0B">
        <w:t xml:space="preserve">d, for </w:t>
      </w:r>
      <w:r w:rsidR="00CE2266">
        <w:t xml:space="preserve">annual </w:t>
      </w:r>
      <w:r w:rsidR="00D27C0B">
        <w:t xml:space="preserve">reporting starting </w:t>
      </w:r>
      <w:r w:rsidR="002448E9">
        <w:t xml:space="preserve">on March 31, </w:t>
      </w:r>
      <w:r w:rsidR="00D27C0B">
        <w:t>2022</w:t>
      </w:r>
      <w:r w:rsidR="00CE2266">
        <w:t xml:space="preserve">, </w:t>
      </w:r>
      <w:r w:rsidR="001E417B">
        <w:rPr>
          <w:iCs/>
        </w:rPr>
        <w:t>with each report covering the previous 12-month period</w:t>
      </w:r>
      <w:r w:rsidR="00D27C0B">
        <w:t xml:space="preserve">.  </w:t>
      </w:r>
    </w:p>
    <w:p w:rsidR="00687CB5" w:rsidP="00E43E70" w:rsidRDefault="000E40D3" w14:paraId="344BCCF5" w14:textId="509F3B50">
      <w:pPr>
        <w:pStyle w:val="OP"/>
        <w:numPr>
          <w:ilvl w:val="0"/>
          <w:numId w:val="28"/>
        </w:numPr>
        <w:ind w:left="0" w:firstLine="360"/>
      </w:pPr>
      <w:r>
        <w:t xml:space="preserve">Pacific Gas and Electric Company, Southern California Edison Company, Southern California Gas Company, and San Diego Gas </w:t>
      </w:r>
      <w:r w:rsidR="008E65A9">
        <w:t xml:space="preserve">&amp; </w:t>
      </w:r>
      <w:r>
        <w:t xml:space="preserve">Electric Company </w:t>
      </w:r>
      <w:r w:rsidR="000B52A2">
        <w:t>(collectively investor-owned utilities</w:t>
      </w:r>
      <w:r w:rsidR="00A011D3">
        <w:t xml:space="preserve">) </w:t>
      </w:r>
      <w:r>
        <w:t xml:space="preserve">shall submit </w:t>
      </w:r>
      <w:r w:rsidR="00960595">
        <w:t xml:space="preserve">the Safety Performance Metrics </w:t>
      </w:r>
      <w:r w:rsidR="00687CB5">
        <w:t xml:space="preserve">(SPMs) </w:t>
      </w:r>
      <w:r w:rsidR="00960595">
        <w:t xml:space="preserve">listed in Appendix </w:t>
      </w:r>
      <w:r w:rsidR="00136A95">
        <w:t>B</w:t>
      </w:r>
      <w:r w:rsidR="00960595">
        <w:t xml:space="preserve"> according to the method</w:t>
      </w:r>
      <w:r w:rsidR="00A011D3">
        <w:t>s</w:t>
      </w:r>
      <w:r w:rsidR="00960595">
        <w:t xml:space="preserve"> set forth in D</w:t>
      </w:r>
      <w:r w:rsidR="004014A9">
        <w:t>ecision</w:t>
      </w:r>
      <w:r w:rsidR="0009671B">
        <w:t> </w:t>
      </w:r>
      <w:r w:rsidR="00960595">
        <w:t>19-04-020</w:t>
      </w:r>
      <w:r w:rsidR="004014A9">
        <w:t>, Ordering Paragraphs</w:t>
      </w:r>
      <w:r w:rsidR="00FB234D">
        <w:t> </w:t>
      </w:r>
      <w:r w:rsidR="00417494">
        <w:t xml:space="preserve">1, </w:t>
      </w:r>
      <w:r w:rsidR="007D2306">
        <w:t xml:space="preserve">2, 3, and </w:t>
      </w:r>
      <w:r w:rsidR="00C90A1A">
        <w:t>6</w:t>
      </w:r>
      <w:r w:rsidR="00872DE8">
        <w:t>, with two modifications:</w:t>
      </w:r>
      <w:r w:rsidR="00474E8D">
        <w:t xml:space="preserve"> </w:t>
      </w:r>
      <w:r w:rsidR="002A4363">
        <w:t xml:space="preserve"> </w:t>
      </w:r>
      <w:r w:rsidR="00474E8D">
        <w:t xml:space="preserve">the </w:t>
      </w:r>
      <w:r w:rsidR="002A4363">
        <w:t xml:space="preserve">investor-owned utilities </w:t>
      </w:r>
      <w:r w:rsidR="00474E8D">
        <w:t xml:space="preserve">shall serve </w:t>
      </w:r>
      <w:r w:rsidRPr="00474E8D" w:rsidR="00474E8D">
        <w:rPr>
          <w:u w:val="single"/>
        </w:rPr>
        <w:t>and file</w:t>
      </w:r>
      <w:r w:rsidR="00474E8D">
        <w:t xml:space="preserve"> their SPM reports in R</w:t>
      </w:r>
      <w:r w:rsidR="00E92F9A">
        <w:t>ulemaking</w:t>
      </w:r>
      <w:r w:rsidR="0009671B">
        <w:t> </w:t>
      </w:r>
      <w:r w:rsidR="00474E8D">
        <w:t xml:space="preserve">20-07-013, and their most recent or current </w:t>
      </w:r>
      <w:r w:rsidR="00E92F9A">
        <w:t>Risk Assessment Mitigation Phase and General Rate Case proceedings</w:t>
      </w:r>
      <w:r w:rsidR="00474E8D">
        <w:t xml:space="preserve">, and </w:t>
      </w:r>
      <w:r w:rsidR="00EB1B23">
        <w:t xml:space="preserve">shall </w:t>
      </w:r>
      <w:r w:rsidR="00687CB5">
        <w:t xml:space="preserve">concurrently </w:t>
      </w:r>
      <w:r w:rsidR="00EB1B23">
        <w:t>email the</w:t>
      </w:r>
      <w:r w:rsidR="00687CB5">
        <w:t>ir</w:t>
      </w:r>
      <w:r w:rsidR="00EB1B23">
        <w:t xml:space="preserve"> </w:t>
      </w:r>
      <w:r w:rsidR="0067655F">
        <w:t xml:space="preserve">SPM </w:t>
      </w:r>
      <w:r w:rsidR="00687CB5">
        <w:t>r</w:t>
      </w:r>
      <w:r w:rsidR="0067655F">
        <w:t>eports to</w:t>
      </w:r>
      <w:r w:rsidR="0045422D">
        <w:t xml:space="preserve"> </w:t>
      </w:r>
      <w:r w:rsidRPr="00CA0AF6" w:rsidR="0045422D">
        <w:rPr>
          <w:iCs/>
        </w:rPr>
        <w:t>RASA_Email@cpuc.ca.</w:t>
      </w:r>
      <w:r w:rsidRPr="00196C72" w:rsidR="0045422D">
        <w:rPr>
          <w:iCs/>
        </w:rPr>
        <w:t>gov</w:t>
      </w:r>
      <w:r w:rsidRPr="007A06E3" w:rsidR="0045422D">
        <w:rPr>
          <w:iCs/>
        </w:rPr>
        <w:t xml:space="preserve">.  </w:t>
      </w:r>
      <w:r w:rsidR="00687CB5">
        <w:t xml:space="preserve"> </w:t>
      </w:r>
    </w:p>
    <w:p w:rsidR="00472469" w:rsidP="003C306D" w:rsidRDefault="00472469" w14:paraId="55C0E489" w14:textId="2F3CFA9C">
      <w:pPr>
        <w:pStyle w:val="OP"/>
        <w:numPr>
          <w:ilvl w:val="0"/>
          <w:numId w:val="28"/>
        </w:numPr>
        <w:ind w:left="0" w:firstLine="270"/>
      </w:pPr>
      <w:r>
        <w:t xml:space="preserve">The 2018 Safety Model Assessment Proceeding (S-MAP) Lexicon is revised </w:t>
      </w:r>
      <w:r w:rsidR="00A011D3">
        <w:t xml:space="preserve">and adopted </w:t>
      </w:r>
      <w:r w:rsidR="00C946E8">
        <w:t>as indicated in the 2021 S-MAP Revised Lexicon included in Appendix</w:t>
      </w:r>
      <w:r w:rsidR="00D65821">
        <w:t> </w:t>
      </w:r>
      <w:r w:rsidR="00C946E8">
        <w:t>D.</w:t>
      </w:r>
      <w:r w:rsidR="004D7CDE">
        <w:t xml:space="preserve">  I</w:t>
      </w:r>
      <w:r w:rsidRPr="004D7CDE" w:rsidR="004D7CDE">
        <w:t xml:space="preserve">n case of conflict with the new definitions for terms adopted in this decision with other usages of these terms </w:t>
      </w:r>
      <w:r w:rsidR="00D66458">
        <w:t xml:space="preserve">for the purposes of this proceeding, </w:t>
      </w:r>
      <w:r w:rsidRPr="004D7CDE" w:rsidR="004D7CDE">
        <w:t xml:space="preserve">the revised or new definitions </w:t>
      </w:r>
      <w:r w:rsidR="007D7AE8">
        <w:t xml:space="preserve">adopted here </w:t>
      </w:r>
      <w:r w:rsidRPr="004D7CDE" w:rsidR="004D7CDE">
        <w:t xml:space="preserve">supersede those other usages and definitions.  </w:t>
      </w:r>
    </w:p>
    <w:p w:rsidRPr="00687CB5" w:rsidR="00F6397D" w:rsidP="003C306D" w:rsidRDefault="00E23CBB" w14:paraId="5DF2E2CC" w14:textId="08F1836E">
      <w:pPr>
        <w:pStyle w:val="OP"/>
        <w:keepNext/>
        <w:numPr>
          <w:ilvl w:val="0"/>
          <w:numId w:val="28"/>
        </w:numPr>
        <w:ind w:left="0" w:firstLine="270"/>
      </w:pPr>
      <w:r w:rsidRPr="00687CB5">
        <w:rPr>
          <w:szCs w:val="26"/>
        </w:rPr>
        <w:lastRenderedPageBreak/>
        <w:t>Rulemaking</w:t>
      </w:r>
      <w:r w:rsidRPr="00687CB5" w:rsidR="00F56AC9">
        <w:rPr>
          <w:szCs w:val="26"/>
        </w:rPr>
        <w:t xml:space="preserve"> 20-07-</w:t>
      </w:r>
      <w:r w:rsidRPr="00F46BA8" w:rsidR="00F56AC9">
        <w:t>013</w:t>
      </w:r>
      <w:r w:rsidRPr="00687CB5" w:rsidR="00F56AC9">
        <w:rPr>
          <w:szCs w:val="26"/>
        </w:rPr>
        <w:t xml:space="preserve"> remains open. </w:t>
      </w:r>
    </w:p>
    <w:p w:rsidRPr="00F46BA8" w:rsidR="008F0116" w:rsidP="00F46BA8" w:rsidRDefault="008F0116" w14:paraId="49F38CC4" w14:textId="77777777">
      <w:pPr>
        <w:keepNext/>
        <w:spacing w:line="360" w:lineRule="auto"/>
        <w:ind w:firstLine="720"/>
        <w:rPr>
          <w:szCs w:val="26"/>
        </w:rPr>
      </w:pPr>
      <w:r w:rsidRPr="00F46BA8">
        <w:rPr>
          <w:szCs w:val="26"/>
        </w:rPr>
        <w:t>This order is effective today.</w:t>
      </w:r>
    </w:p>
    <w:p w:rsidR="00714CF2" w:rsidP="00F46BA8" w:rsidRDefault="008F0116" w14:paraId="1F6C212F" w14:textId="72B30F2B">
      <w:pPr>
        <w:keepNext/>
        <w:spacing w:line="360" w:lineRule="auto"/>
        <w:ind w:firstLine="720"/>
        <w:rPr>
          <w:szCs w:val="26"/>
        </w:rPr>
      </w:pPr>
      <w:r w:rsidRPr="00B675DC">
        <w:rPr>
          <w:szCs w:val="26"/>
        </w:rPr>
        <w:t xml:space="preserve">Dated </w:t>
      </w:r>
      <w:r w:rsidR="00E36693">
        <w:rPr>
          <w:szCs w:val="26"/>
        </w:rPr>
        <w:t>November 4, 2021</w:t>
      </w:r>
      <w:r w:rsidRPr="00B675DC">
        <w:rPr>
          <w:szCs w:val="26"/>
        </w:rPr>
        <w:t>, at San Francisco, California</w:t>
      </w:r>
      <w:r w:rsidR="00F46BA8">
        <w:rPr>
          <w:szCs w:val="26"/>
        </w:rPr>
        <w:t>.</w:t>
      </w:r>
    </w:p>
    <w:p w:rsidR="00F46BA8" w:rsidP="00F46BA8" w:rsidRDefault="00F46BA8" w14:paraId="6B40BBF0" w14:textId="2D76E4F8">
      <w:pPr>
        <w:keepNext/>
        <w:spacing w:line="360" w:lineRule="auto"/>
        <w:ind w:firstLine="720"/>
        <w:rPr>
          <w:szCs w:val="26"/>
        </w:rPr>
      </w:pPr>
    </w:p>
    <w:p w:rsidR="00F46BA8" w:rsidP="00F46BA8" w:rsidRDefault="00F46BA8" w14:paraId="453ABE75" w14:textId="1DE0D4F7">
      <w:pPr>
        <w:keepNext/>
        <w:spacing w:line="360" w:lineRule="auto"/>
        <w:ind w:firstLine="720"/>
        <w:rPr>
          <w:szCs w:val="26"/>
        </w:rPr>
      </w:pPr>
    </w:p>
    <w:p w:rsidRPr="00F614D4" w:rsidR="00F614D4" w:rsidP="00F614D4" w:rsidRDefault="00F614D4" w14:paraId="7E4CAFE9" w14:textId="77777777">
      <w:pPr>
        <w:autoSpaceDE w:val="0"/>
        <w:autoSpaceDN w:val="0"/>
        <w:adjustRightInd w:val="0"/>
        <w:ind w:left="4320"/>
        <w:jc w:val="both"/>
        <w:rPr>
          <w:szCs w:val="26"/>
        </w:rPr>
      </w:pPr>
      <w:r w:rsidRPr="00F614D4">
        <w:rPr>
          <w:szCs w:val="26"/>
        </w:rPr>
        <w:t>MARTHA GUZMAN ACEVES</w:t>
      </w:r>
    </w:p>
    <w:p w:rsidRPr="00F614D4" w:rsidR="00F614D4" w:rsidP="00F614D4" w:rsidRDefault="00F614D4" w14:paraId="5F0573BB" w14:textId="77777777">
      <w:pPr>
        <w:autoSpaceDE w:val="0"/>
        <w:autoSpaceDN w:val="0"/>
        <w:adjustRightInd w:val="0"/>
        <w:ind w:left="4320"/>
        <w:jc w:val="both"/>
        <w:rPr>
          <w:szCs w:val="26"/>
        </w:rPr>
      </w:pPr>
      <w:r w:rsidRPr="00F614D4">
        <w:rPr>
          <w:szCs w:val="26"/>
        </w:rPr>
        <w:t>CLIFFORD RECHTSCHAFFEN</w:t>
      </w:r>
    </w:p>
    <w:p w:rsidRPr="00F614D4" w:rsidR="00F614D4" w:rsidP="00F614D4" w:rsidRDefault="00F614D4" w14:paraId="6F35B0F6" w14:textId="77777777">
      <w:pPr>
        <w:autoSpaceDE w:val="0"/>
        <w:autoSpaceDN w:val="0"/>
        <w:adjustRightInd w:val="0"/>
        <w:ind w:left="4320"/>
        <w:jc w:val="both"/>
        <w:rPr>
          <w:szCs w:val="26"/>
        </w:rPr>
      </w:pPr>
      <w:r w:rsidRPr="00F614D4">
        <w:rPr>
          <w:szCs w:val="26"/>
        </w:rPr>
        <w:t>GENEVIEVE SHIROMA</w:t>
      </w:r>
    </w:p>
    <w:p w:rsidRPr="00F614D4" w:rsidR="00F614D4" w:rsidP="00F614D4" w:rsidRDefault="00F614D4" w14:paraId="79D2BA03" w14:textId="77777777">
      <w:pPr>
        <w:autoSpaceDE w:val="0"/>
        <w:autoSpaceDN w:val="0"/>
        <w:adjustRightInd w:val="0"/>
        <w:ind w:left="3600" w:firstLine="720"/>
        <w:jc w:val="both"/>
        <w:rPr>
          <w:szCs w:val="26"/>
        </w:rPr>
      </w:pPr>
      <w:r w:rsidRPr="00F614D4">
        <w:rPr>
          <w:szCs w:val="26"/>
        </w:rPr>
        <w:t>DARCIE HOUCK</w:t>
      </w:r>
    </w:p>
    <w:p w:rsidR="00F614D4" w:rsidP="00F614D4" w:rsidRDefault="00F614D4" w14:paraId="6A4688DC" w14:textId="18DE3F60">
      <w:pPr>
        <w:autoSpaceDE w:val="0"/>
        <w:autoSpaceDN w:val="0"/>
        <w:adjustRightInd w:val="0"/>
        <w:ind w:left="4320" w:firstLine="1530"/>
        <w:jc w:val="both"/>
        <w:rPr>
          <w:szCs w:val="26"/>
        </w:rPr>
      </w:pPr>
      <w:r w:rsidRPr="00F614D4">
        <w:rPr>
          <w:szCs w:val="26"/>
        </w:rPr>
        <w:t>Commissioners</w:t>
      </w:r>
    </w:p>
    <w:p w:rsidRPr="00F614D4" w:rsidR="00E36693" w:rsidP="00F614D4" w:rsidRDefault="00E36693" w14:paraId="52191B35" w14:textId="77777777">
      <w:pPr>
        <w:autoSpaceDE w:val="0"/>
        <w:autoSpaceDN w:val="0"/>
        <w:adjustRightInd w:val="0"/>
        <w:ind w:left="4320" w:firstLine="2520"/>
        <w:jc w:val="both"/>
        <w:rPr>
          <w:szCs w:val="26"/>
        </w:rPr>
      </w:pPr>
    </w:p>
    <w:p w:rsidRPr="00F614D4" w:rsidR="00F614D4" w:rsidP="00D65BE5" w:rsidRDefault="00F614D4" w14:paraId="5556CEE9" w14:textId="726345DB">
      <w:pPr>
        <w:pStyle w:val="Standard"/>
        <w:spacing w:line="240" w:lineRule="auto"/>
        <w:ind w:left="3150" w:firstLine="0"/>
        <w:rPr>
          <w:szCs w:val="26"/>
        </w:rPr>
      </w:pPr>
      <w:r w:rsidRPr="00B169A4">
        <w:rPr>
          <w:szCs w:val="26"/>
        </w:rPr>
        <w:t>President Marybel Batjer,</w:t>
      </w:r>
      <w:r w:rsidRPr="00B169A4" w:rsidR="00D65BE5">
        <w:rPr>
          <w:szCs w:val="26"/>
        </w:rPr>
        <w:t xml:space="preserve"> </w:t>
      </w:r>
      <w:r w:rsidRPr="00B169A4">
        <w:rPr>
          <w:szCs w:val="26"/>
        </w:rPr>
        <w:t>being necessarily absent, did not</w:t>
      </w:r>
      <w:r w:rsidRPr="00B169A4" w:rsidR="00D65BE5">
        <w:rPr>
          <w:szCs w:val="26"/>
        </w:rPr>
        <w:t xml:space="preserve"> </w:t>
      </w:r>
      <w:r w:rsidRPr="00B169A4">
        <w:rPr>
          <w:szCs w:val="26"/>
        </w:rPr>
        <w:t>participate.</w:t>
      </w:r>
    </w:p>
    <w:p w:rsidR="00F46BA8" w:rsidP="00F46BA8" w:rsidRDefault="00F46BA8" w14:paraId="6204984E" w14:textId="6553CEE9">
      <w:pPr>
        <w:keepNext/>
        <w:spacing w:line="360" w:lineRule="auto"/>
        <w:ind w:firstLine="720"/>
        <w:rPr>
          <w:szCs w:val="26"/>
        </w:rPr>
      </w:pPr>
    </w:p>
    <w:p w:rsidR="00D65821" w:rsidP="00F46BA8" w:rsidRDefault="00D65821" w14:paraId="2C7EC388" w14:textId="77777777">
      <w:pPr>
        <w:keepNext/>
        <w:spacing w:line="360" w:lineRule="auto"/>
        <w:ind w:firstLine="720"/>
        <w:rPr>
          <w:szCs w:val="26"/>
        </w:rPr>
        <w:sectPr w:rsidR="00D65821" w:rsidSect="007A26F4">
          <w:headerReference w:type="default" r:id="rId23"/>
          <w:footerReference w:type="default" r:id="rId24"/>
          <w:pgSz w:w="12240" w:h="15840"/>
          <w:pgMar w:top="1728" w:right="1440" w:bottom="1440" w:left="1440" w:header="720" w:footer="720" w:gutter="0"/>
          <w:pgNumType w:start="2"/>
          <w:cols w:space="720"/>
          <w:docGrid w:linePitch="360"/>
        </w:sectPr>
      </w:pPr>
    </w:p>
    <w:p w:rsidRPr="004A6B1A" w:rsidR="00D65821" w:rsidP="004A6B1A" w:rsidRDefault="00D65821" w14:paraId="0EE551BE" w14:textId="77777777">
      <w:pPr>
        <w:spacing w:line="360" w:lineRule="auto"/>
        <w:ind w:firstLine="720"/>
        <w:jc w:val="center"/>
        <w:rPr>
          <w:b/>
          <w:bCs/>
          <w:sz w:val="48"/>
          <w:szCs w:val="48"/>
        </w:rPr>
      </w:pPr>
    </w:p>
    <w:p w:rsidRPr="004A6B1A" w:rsidR="00D65821" w:rsidP="004A6B1A" w:rsidRDefault="00D65821" w14:paraId="05F79856" w14:textId="77777777">
      <w:pPr>
        <w:spacing w:line="360" w:lineRule="auto"/>
        <w:ind w:firstLine="720"/>
        <w:jc w:val="center"/>
        <w:rPr>
          <w:b/>
          <w:bCs/>
          <w:sz w:val="48"/>
          <w:szCs w:val="48"/>
        </w:rPr>
      </w:pPr>
    </w:p>
    <w:p w:rsidRPr="004A6B1A" w:rsidR="00D65821" w:rsidP="004A6B1A" w:rsidRDefault="00D65821" w14:paraId="0CFCEC63" w14:textId="77777777">
      <w:pPr>
        <w:spacing w:line="360" w:lineRule="auto"/>
        <w:ind w:firstLine="720"/>
        <w:jc w:val="center"/>
        <w:rPr>
          <w:b/>
          <w:bCs/>
          <w:sz w:val="48"/>
          <w:szCs w:val="48"/>
        </w:rPr>
      </w:pPr>
    </w:p>
    <w:p w:rsidRPr="004A6B1A" w:rsidR="00D65821" w:rsidP="004A6B1A" w:rsidRDefault="00D65821" w14:paraId="0B543114" w14:textId="77777777">
      <w:pPr>
        <w:spacing w:line="360" w:lineRule="auto"/>
        <w:ind w:firstLine="720"/>
        <w:jc w:val="center"/>
        <w:rPr>
          <w:b/>
          <w:bCs/>
          <w:sz w:val="48"/>
          <w:szCs w:val="48"/>
        </w:rPr>
      </w:pPr>
    </w:p>
    <w:p w:rsidR="004A6B1A" w:rsidP="004A6B1A" w:rsidRDefault="004A6B1A" w14:paraId="528FF6CC" w14:textId="0C2D9F19">
      <w:pPr>
        <w:spacing w:line="360" w:lineRule="auto"/>
        <w:ind w:firstLine="720"/>
        <w:jc w:val="center"/>
        <w:rPr>
          <w:b/>
          <w:bCs/>
          <w:sz w:val="48"/>
          <w:szCs w:val="48"/>
        </w:rPr>
      </w:pPr>
    </w:p>
    <w:p w:rsidRPr="004A6B1A" w:rsidR="00FB234D" w:rsidP="004A6B1A" w:rsidRDefault="00FB234D" w14:paraId="4D3D2E97" w14:textId="77777777">
      <w:pPr>
        <w:spacing w:line="360" w:lineRule="auto"/>
        <w:ind w:firstLine="720"/>
        <w:jc w:val="center"/>
        <w:rPr>
          <w:b/>
          <w:bCs/>
          <w:sz w:val="48"/>
          <w:szCs w:val="48"/>
        </w:rPr>
      </w:pPr>
    </w:p>
    <w:p w:rsidR="00F46BA8" w:rsidP="005867BE" w:rsidRDefault="00D65821" w14:paraId="5B35B408" w14:textId="0F748482">
      <w:pPr>
        <w:spacing w:line="360" w:lineRule="auto"/>
        <w:jc w:val="center"/>
        <w:rPr>
          <w:b/>
          <w:bCs/>
          <w:sz w:val="48"/>
          <w:szCs w:val="48"/>
        </w:rPr>
      </w:pPr>
      <w:r w:rsidRPr="004A6B1A">
        <w:rPr>
          <w:b/>
          <w:bCs/>
          <w:sz w:val="48"/>
          <w:szCs w:val="48"/>
        </w:rPr>
        <w:t>APPENDIX A</w:t>
      </w:r>
      <w:r w:rsidR="005867BE">
        <w:rPr>
          <w:b/>
          <w:bCs/>
          <w:sz w:val="48"/>
          <w:szCs w:val="48"/>
        </w:rPr>
        <w:t>:</w:t>
      </w:r>
    </w:p>
    <w:p w:rsidRPr="005867BE" w:rsidR="005867BE" w:rsidP="005867BE" w:rsidRDefault="005867BE" w14:paraId="040C1FC9" w14:textId="6F425135">
      <w:pPr>
        <w:spacing w:line="360" w:lineRule="auto"/>
        <w:jc w:val="center"/>
        <w:rPr>
          <w:b/>
          <w:bCs/>
          <w:sz w:val="40"/>
          <w:szCs w:val="40"/>
        </w:rPr>
      </w:pPr>
      <w:r w:rsidRPr="005867BE">
        <w:rPr>
          <w:rFonts w:cs="Arial"/>
          <w:b/>
          <w:bCs/>
          <w:sz w:val="40"/>
          <w:szCs w:val="40"/>
        </w:rPr>
        <w:t>Adopted Safety and Operational Metrics for Application to PG&amp;E</w:t>
      </w:r>
    </w:p>
    <w:p w:rsidR="00D65821" w:rsidP="00D65821" w:rsidRDefault="00D65821" w14:paraId="3E9F2916" w14:textId="77777777">
      <w:pPr>
        <w:keepNext/>
        <w:spacing w:line="360" w:lineRule="auto"/>
        <w:ind w:firstLine="720"/>
        <w:rPr>
          <w:b/>
          <w:bCs/>
          <w:sz w:val="48"/>
          <w:szCs w:val="48"/>
        </w:rPr>
      </w:pPr>
    </w:p>
    <w:p w:rsidR="00D65821" w:rsidP="00D65821" w:rsidRDefault="00D65821" w14:paraId="1D1E832C" w14:textId="20B0EDCA">
      <w:pPr>
        <w:keepNext/>
        <w:spacing w:line="360" w:lineRule="auto"/>
        <w:ind w:firstLine="720"/>
        <w:rPr>
          <w:b/>
          <w:bCs/>
          <w:sz w:val="48"/>
          <w:szCs w:val="48"/>
        </w:rPr>
        <w:sectPr w:rsidR="00D65821" w:rsidSect="005272A4">
          <w:footerReference w:type="default" r:id="rId25"/>
          <w:pgSz w:w="12240" w:h="15840"/>
          <w:pgMar w:top="1728" w:right="1440" w:bottom="1440" w:left="1440" w:header="720" w:footer="720" w:gutter="0"/>
          <w:pgNumType w:start="1"/>
          <w:cols w:space="720"/>
          <w:docGrid w:linePitch="360"/>
        </w:sectPr>
      </w:pPr>
    </w:p>
    <w:p w:rsidR="00D65821" w:rsidP="00D65821" w:rsidRDefault="00D65821" w14:paraId="60AD21DB" w14:textId="195138B7">
      <w:pPr>
        <w:keepNext/>
        <w:spacing w:line="360" w:lineRule="auto"/>
        <w:ind w:firstLine="720"/>
        <w:jc w:val="center"/>
        <w:rPr>
          <w:b/>
          <w:bCs/>
          <w:sz w:val="48"/>
          <w:szCs w:val="48"/>
        </w:rPr>
      </w:pPr>
    </w:p>
    <w:p w:rsidR="00D65821" w:rsidP="00D65821" w:rsidRDefault="00D65821" w14:paraId="5BF993D4" w14:textId="10A91392">
      <w:pPr>
        <w:keepNext/>
        <w:spacing w:line="360" w:lineRule="auto"/>
        <w:ind w:firstLine="720"/>
        <w:jc w:val="center"/>
        <w:rPr>
          <w:b/>
          <w:bCs/>
          <w:sz w:val="48"/>
          <w:szCs w:val="48"/>
        </w:rPr>
      </w:pPr>
    </w:p>
    <w:p w:rsidR="00D65821" w:rsidP="00D65821" w:rsidRDefault="00D65821" w14:paraId="41607C90" w14:textId="12A753A2">
      <w:pPr>
        <w:keepNext/>
        <w:spacing w:line="360" w:lineRule="auto"/>
        <w:ind w:firstLine="720"/>
        <w:jc w:val="center"/>
        <w:rPr>
          <w:b/>
          <w:bCs/>
          <w:sz w:val="48"/>
          <w:szCs w:val="48"/>
        </w:rPr>
      </w:pPr>
    </w:p>
    <w:p w:rsidR="004C1D3F" w:rsidP="00D65821" w:rsidRDefault="004C1D3F" w14:paraId="1F9DEDCE" w14:textId="341479BF">
      <w:pPr>
        <w:keepNext/>
        <w:spacing w:line="360" w:lineRule="auto"/>
        <w:ind w:firstLine="720"/>
        <w:jc w:val="center"/>
        <w:rPr>
          <w:b/>
          <w:bCs/>
          <w:sz w:val="48"/>
          <w:szCs w:val="48"/>
        </w:rPr>
      </w:pPr>
    </w:p>
    <w:p w:rsidR="00D65821" w:rsidP="00D65821" w:rsidRDefault="00D65821" w14:paraId="0950DA4D" w14:textId="16B17F1B">
      <w:pPr>
        <w:keepNext/>
        <w:spacing w:line="360" w:lineRule="auto"/>
        <w:ind w:firstLine="720"/>
        <w:jc w:val="center"/>
        <w:rPr>
          <w:b/>
          <w:bCs/>
          <w:sz w:val="48"/>
          <w:szCs w:val="48"/>
        </w:rPr>
      </w:pPr>
    </w:p>
    <w:p w:rsidR="00FB234D" w:rsidP="00D65821" w:rsidRDefault="00FB234D" w14:paraId="3265F325" w14:textId="77777777">
      <w:pPr>
        <w:keepNext/>
        <w:spacing w:line="360" w:lineRule="auto"/>
        <w:ind w:firstLine="720"/>
        <w:jc w:val="center"/>
        <w:rPr>
          <w:b/>
          <w:bCs/>
          <w:sz w:val="48"/>
          <w:szCs w:val="48"/>
        </w:rPr>
      </w:pPr>
    </w:p>
    <w:p w:rsidR="00D65821" w:rsidP="005867BE" w:rsidRDefault="00D65821" w14:paraId="2F4232DC" w14:textId="262CA5A1">
      <w:pPr>
        <w:keepNext/>
        <w:spacing w:line="360" w:lineRule="auto"/>
        <w:jc w:val="center"/>
        <w:rPr>
          <w:b/>
          <w:bCs/>
          <w:sz w:val="48"/>
          <w:szCs w:val="48"/>
        </w:rPr>
      </w:pPr>
      <w:r w:rsidRPr="00D65821">
        <w:rPr>
          <w:b/>
          <w:bCs/>
          <w:sz w:val="48"/>
          <w:szCs w:val="48"/>
        </w:rPr>
        <w:t xml:space="preserve">APPENDIX </w:t>
      </w:r>
      <w:r>
        <w:rPr>
          <w:b/>
          <w:bCs/>
          <w:sz w:val="48"/>
          <w:szCs w:val="48"/>
        </w:rPr>
        <w:t>B</w:t>
      </w:r>
      <w:r w:rsidR="005867BE">
        <w:rPr>
          <w:b/>
          <w:bCs/>
          <w:sz w:val="48"/>
          <w:szCs w:val="48"/>
        </w:rPr>
        <w:t>:</w:t>
      </w:r>
    </w:p>
    <w:p w:rsidRPr="005867BE" w:rsidR="005867BE" w:rsidP="005867BE" w:rsidRDefault="005867BE" w14:paraId="19DAE0C4" w14:textId="7CED796B">
      <w:pPr>
        <w:keepNext/>
        <w:spacing w:line="360" w:lineRule="auto"/>
        <w:jc w:val="center"/>
        <w:rPr>
          <w:b/>
          <w:bCs/>
          <w:sz w:val="40"/>
          <w:szCs w:val="40"/>
        </w:rPr>
      </w:pPr>
      <w:r w:rsidRPr="005867BE">
        <w:rPr>
          <w:b/>
          <w:bCs/>
          <w:sz w:val="40"/>
          <w:szCs w:val="40"/>
        </w:rPr>
        <w:t>Adopted Safety Performance Metrics</w:t>
      </w:r>
    </w:p>
    <w:p w:rsidR="00D65821" w:rsidP="00D65821" w:rsidRDefault="00D65821" w14:paraId="5608D0D1" w14:textId="77777777">
      <w:pPr>
        <w:keepNext/>
        <w:spacing w:line="360" w:lineRule="auto"/>
        <w:ind w:firstLine="720"/>
        <w:rPr>
          <w:b/>
          <w:bCs/>
          <w:sz w:val="48"/>
          <w:szCs w:val="48"/>
        </w:rPr>
      </w:pPr>
    </w:p>
    <w:p w:rsidR="004A6B1A" w:rsidP="00D65821" w:rsidRDefault="004A6B1A" w14:paraId="0879944B" w14:textId="1FA17DCF">
      <w:pPr>
        <w:keepNext/>
        <w:spacing w:line="360" w:lineRule="auto"/>
        <w:ind w:firstLine="720"/>
        <w:jc w:val="center"/>
        <w:rPr>
          <w:b/>
          <w:bCs/>
          <w:sz w:val="48"/>
          <w:szCs w:val="48"/>
        </w:rPr>
        <w:sectPr w:rsidR="004A6B1A" w:rsidSect="005272A4">
          <w:pgSz w:w="12240" w:h="15840"/>
          <w:pgMar w:top="1728" w:right="1440" w:bottom="1440" w:left="1440" w:header="720" w:footer="720" w:gutter="0"/>
          <w:pgNumType w:start="1"/>
          <w:cols w:space="720"/>
          <w:docGrid w:linePitch="360"/>
        </w:sectPr>
      </w:pPr>
    </w:p>
    <w:p w:rsidR="004A6B1A" w:rsidP="004A6B1A" w:rsidRDefault="004A6B1A" w14:paraId="54CE40E1" w14:textId="77777777">
      <w:pPr>
        <w:keepNext/>
        <w:spacing w:line="360" w:lineRule="auto"/>
        <w:ind w:firstLine="720"/>
        <w:jc w:val="center"/>
        <w:rPr>
          <w:b/>
          <w:bCs/>
          <w:sz w:val="48"/>
          <w:szCs w:val="48"/>
        </w:rPr>
      </w:pPr>
    </w:p>
    <w:p w:rsidR="004A6B1A" w:rsidP="004A6B1A" w:rsidRDefault="004A6B1A" w14:paraId="079BCC30" w14:textId="77777777">
      <w:pPr>
        <w:keepNext/>
        <w:spacing w:line="360" w:lineRule="auto"/>
        <w:ind w:firstLine="720"/>
        <w:jc w:val="center"/>
        <w:rPr>
          <w:b/>
          <w:bCs/>
          <w:sz w:val="48"/>
          <w:szCs w:val="48"/>
        </w:rPr>
      </w:pPr>
    </w:p>
    <w:p w:rsidR="004A6B1A" w:rsidP="004A6B1A" w:rsidRDefault="004A6B1A" w14:paraId="777964F7" w14:textId="06978D5A">
      <w:pPr>
        <w:keepNext/>
        <w:spacing w:line="360" w:lineRule="auto"/>
        <w:ind w:firstLine="720"/>
        <w:jc w:val="center"/>
        <w:rPr>
          <w:b/>
          <w:bCs/>
          <w:sz w:val="48"/>
          <w:szCs w:val="48"/>
        </w:rPr>
      </w:pPr>
    </w:p>
    <w:p w:rsidR="004C1D3F" w:rsidP="004A6B1A" w:rsidRDefault="004C1D3F" w14:paraId="686505AC" w14:textId="3B65F0EC">
      <w:pPr>
        <w:keepNext/>
        <w:spacing w:line="360" w:lineRule="auto"/>
        <w:ind w:firstLine="720"/>
        <w:jc w:val="center"/>
        <w:rPr>
          <w:b/>
          <w:bCs/>
          <w:sz w:val="48"/>
          <w:szCs w:val="48"/>
        </w:rPr>
      </w:pPr>
    </w:p>
    <w:p w:rsidR="00FB234D" w:rsidP="004A6B1A" w:rsidRDefault="00FB234D" w14:paraId="50D857EA" w14:textId="77777777">
      <w:pPr>
        <w:keepNext/>
        <w:spacing w:line="360" w:lineRule="auto"/>
        <w:ind w:firstLine="720"/>
        <w:jc w:val="center"/>
        <w:rPr>
          <w:b/>
          <w:bCs/>
          <w:sz w:val="48"/>
          <w:szCs w:val="48"/>
        </w:rPr>
      </w:pPr>
    </w:p>
    <w:p w:rsidR="004A6B1A" w:rsidP="004A6B1A" w:rsidRDefault="004A6B1A" w14:paraId="072341D5" w14:textId="77777777">
      <w:pPr>
        <w:keepNext/>
        <w:spacing w:line="360" w:lineRule="auto"/>
        <w:ind w:firstLine="720"/>
        <w:jc w:val="center"/>
        <w:rPr>
          <w:b/>
          <w:bCs/>
          <w:sz w:val="48"/>
          <w:szCs w:val="48"/>
        </w:rPr>
      </w:pPr>
    </w:p>
    <w:p w:rsidR="00D65821" w:rsidP="005867BE" w:rsidRDefault="004A6B1A" w14:paraId="35E8639C" w14:textId="54601542">
      <w:pPr>
        <w:keepNext/>
        <w:spacing w:line="360" w:lineRule="auto"/>
        <w:jc w:val="center"/>
        <w:rPr>
          <w:b/>
          <w:bCs/>
          <w:sz w:val="48"/>
          <w:szCs w:val="48"/>
        </w:rPr>
      </w:pPr>
      <w:r w:rsidRPr="00D65821">
        <w:rPr>
          <w:b/>
          <w:bCs/>
          <w:sz w:val="48"/>
          <w:szCs w:val="48"/>
        </w:rPr>
        <w:t xml:space="preserve">APPENDIX </w:t>
      </w:r>
      <w:r>
        <w:rPr>
          <w:b/>
          <w:bCs/>
          <w:sz w:val="48"/>
          <w:szCs w:val="48"/>
        </w:rPr>
        <w:t>C</w:t>
      </w:r>
      <w:r w:rsidR="005867BE">
        <w:rPr>
          <w:b/>
          <w:bCs/>
          <w:sz w:val="48"/>
          <w:szCs w:val="48"/>
        </w:rPr>
        <w:t>:</w:t>
      </w:r>
    </w:p>
    <w:p w:rsidRPr="005867BE" w:rsidR="005867BE" w:rsidP="005867BE" w:rsidRDefault="005867BE" w14:paraId="051C5B99" w14:textId="2BF2AF29">
      <w:pPr>
        <w:keepNext/>
        <w:spacing w:line="360" w:lineRule="auto"/>
        <w:jc w:val="center"/>
        <w:rPr>
          <w:b/>
          <w:bCs/>
          <w:sz w:val="40"/>
          <w:szCs w:val="40"/>
        </w:rPr>
      </w:pPr>
      <w:r w:rsidRPr="005867BE">
        <w:rPr>
          <w:b/>
          <w:bCs/>
          <w:sz w:val="40"/>
          <w:szCs w:val="40"/>
        </w:rPr>
        <w:t>PG&amp;E Transparency Proposal as Modified</w:t>
      </w:r>
    </w:p>
    <w:p w:rsidR="004A6B1A" w:rsidP="004A6B1A" w:rsidRDefault="004A6B1A" w14:paraId="40B15011" w14:textId="77777777">
      <w:pPr>
        <w:keepNext/>
        <w:spacing w:line="360" w:lineRule="auto"/>
        <w:ind w:firstLine="720"/>
        <w:rPr>
          <w:b/>
          <w:bCs/>
          <w:sz w:val="48"/>
          <w:szCs w:val="48"/>
        </w:rPr>
      </w:pPr>
    </w:p>
    <w:p w:rsidR="004A6B1A" w:rsidP="004A6B1A" w:rsidRDefault="004A6B1A" w14:paraId="6042932C" w14:textId="7514F96A">
      <w:pPr>
        <w:keepNext/>
        <w:spacing w:line="360" w:lineRule="auto"/>
        <w:ind w:firstLine="720"/>
        <w:rPr>
          <w:b/>
          <w:bCs/>
          <w:sz w:val="48"/>
          <w:szCs w:val="48"/>
        </w:rPr>
        <w:sectPr w:rsidR="004A6B1A" w:rsidSect="005272A4">
          <w:pgSz w:w="12240" w:h="15840"/>
          <w:pgMar w:top="1728" w:right="1440" w:bottom="1440" w:left="1440" w:header="720" w:footer="720" w:gutter="0"/>
          <w:pgNumType w:start="1"/>
          <w:cols w:space="720"/>
          <w:docGrid w:linePitch="360"/>
        </w:sectPr>
      </w:pPr>
    </w:p>
    <w:p w:rsidR="004A6B1A" w:rsidP="004A6B1A" w:rsidRDefault="004A6B1A" w14:paraId="6D59800E" w14:textId="77777777">
      <w:pPr>
        <w:keepNext/>
        <w:spacing w:line="360" w:lineRule="auto"/>
        <w:ind w:firstLine="720"/>
        <w:jc w:val="center"/>
        <w:rPr>
          <w:b/>
          <w:bCs/>
          <w:sz w:val="48"/>
          <w:szCs w:val="48"/>
        </w:rPr>
      </w:pPr>
    </w:p>
    <w:p w:rsidR="004A6B1A" w:rsidP="004A6B1A" w:rsidRDefault="004A6B1A" w14:paraId="1D9277CC" w14:textId="77777777">
      <w:pPr>
        <w:keepNext/>
        <w:spacing w:line="360" w:lineRule="auto"/>
        <w:ind w:firstLine="720"/>
        <w:jc w:val="center"/>
        <w:rPr>
          <w:b/>
          <w:bCs/>
          <w:sz w:val="48"/>
          <w:szCs w:val="48"/>
        </w:rPr>
      </w:pPr>
    </w:p>
    <w:p w:rsidR="004A6B1A" w:rsidP="004A6B1A" w:rsidRDefault="004A6B1A" w14:paraId="170A975E" w14:textId="622B82BB">
      <w:pPr>
        <w:keepNext/>
        <w:spacing w:line="360" w:lineRule="auto"/>
        <w:ind w:firstLine="720"/>
        <w:jc w:val="center"/>
        <w:rPr>
          <w:b/>
          <w:bCs/>
          <w:sz w:val="48"/>
          <w:szCs w:val="48"/>
        </w:rPr>
      </w:pPr>
    </w:p>
    <w:p w:rsidR="00FB234D" w:rsidP="004A6B1A" w:rsidRDefault="00FB234D" w14:paraId="3A431ABF" w14:textId="77777777">
      <w:pPr>
        <w:keepNext/>
        <w:spacing w:line="360" w:lineRule="auto"/>
        <w:ind w:firstLine="720"/>
        <w:jc w:val="center"/>
        <w:rPr>
          <w:b/>
          <w:bCs/>
          <w:sz w:val="48"/>
          <w:szCs w:val="48"/>
        </w:rPr>
      </w:pPr>
    </w:p>
    <w:p w:rsidR="004A6B1A" w:rsidP="004A6B1A" w:rsidRDefault="004A6B1A" w14:paraId="7F89FF68" w14:textId="77777777">
      <w:pPr>
        <w:keepNext/>
        <w:spacing w:line="360" w:lineRule="auto"/>
        <w:ind w:firstLine="720"/>
        <w:jc w:val="center"/>
        <w:rPr>
          <w:b/>
          <w:bCs/>
          <w:sz w:val="48"/>
          <w:szCs w:val="48"/>
        </w:rPr>
      </w:pPr>
    </w:p>
    <w:p w:rsidR="004A6B1A" w:rsidP="004A6B1A" w:rsidRDefault="004A6B1A" w14:paraId="6C182C2B" w14:textId="77777777">
      <w:pPr>
        <w:keepNext/>
        <w:spacing w:line="360" w:lineRule="auto"/>
        <w:ind w:firstLine="720"/>
        <w:jc w:val="center"/>
        <w:rPr>
          <w:b/>
          <w:bCs/>
          <w:sz w:val="48"/>
          <w:szCs w:val="48"/>
        </w:rPr>
      </w:pPr>
    </w:p>
    <w:p w:rsidR="004A6B1A" w:rsidP="005867BE" w:rsidRDefault="004A6B1A" w14:paraId="44E61198" w14:textId="75B52057">
      <w:pPr>
        <w:keepNext/>
        <w:spacing w:line="360" w:lineRule="auto"/>
        <w:jc w:val="center"/>
        <w:rPr>
          <w:b/>
          <w:bCs/>
          <w:sz w:val="48"/>
          <w:szCs w:val="48"/>
        </w:rPr>
      </w:pPr>
      <w:r w:rsidRPr="00D65821">
        <w:rPr>
          <w:b/>
          <w:bCs/>
          <w:sz w:val="48"/>
          <w:szCs w:val="48"/>
        </w:rPr>
        <w:t xml:space="preserve">APPENDIX </w:t>
      </w:r>
      <w:r>
        <w:rPr>
          <w:b/>
          <w:bCs/>
          <w:sz w:val="48"/>
          <w:szCs w:val="48"/>
        </w:rPr>
        <w:t>D</w:t>
      </w:r>
      <w:r w:rsidR="005867BE">
        <w:rPr>
          <w:b/>
          <w:bCs/>
          <w:sz w:val="48"/>
          <w:szCs w:val="48"/>
        </w:rPr>
        <w:t>:</w:t>
      </w:r>
    </w:p>
    <w:p w:rsidRPr="005867BE" w:rsidR="005867BE" w:rsidP="005867BE" w:rsidRDefault="005867BE" w14:paraId="40A6A34A" w14:textId="53D3271F">
      <w:pPr>
        <w:keepNext/>
        <w:spacing w:line="360" w:lineRule="auto"/>
        <w:jc w:val="center"/>
        <w:rPr>
          <w:b/>
          <w:bCs/>
          <w:sz w:val="40"/>
          <w:szCs w:val="40"/>
        </w:rPr>
      </w:pPr>
      <w:r w:rsidRPr="005867BE">
        <w:rPr>
          <w:rFonts w:cs="Arial"/>
          <w:b/>
          <w:bCs/>
          <w:sz w:val="40"/>
          <w:szCs w:val="40"/>
        </w:rPr>
        <w:t xml:space="preserve">2021 S-MAP </w:t>
      </w:r>
      <w:r w:rsidRPr="005867BE">
        <w:rPr>
          <w:rFonts w:cs="Arial"/>
          <w:b/>
          <w:bCs/>
          <w:iCs/>
          <w:sz w:val="40"/>
          <w:szCs w:val="40"/>
        </w:rPr>
        <w:t>Revised Lexicon</w:t>
      </w:r>
    </w:p>
    <w:p w:rsidR="004A6B1A" w:rsidP="004A6B1A" w:rsidRDefault="004A6B1A" w14:paraId="1940251B" w14:textId="77777777">
      <w:pPr>
        <w:keepNext/>
        <w:spacing w:line="360" w:lineRule="auto"/>
        <w:ind w:firstLine="720"/>
        <w:rPr>
          <w:b/>
          <w:bCs/>
          <w:sz w:val="48"/>
          <w:szCs w:val="48"/>
        </w:rPr>
      </w:pPr>
    </w:p>
    <w:p w:rsidR="004A6B1A" w:rsidP="004A6B1A" w:rsidRDefault="004A6B1A" w14:paraId="03304E3F" w14:textId="6F3682AD">
      <w:pPr>
        <w:keepNext/>
        <w:spacing w:line="360" w:lineRule="auto"/>
        <w:ind w:firstLine="720"/>
        <w:rPr>
          <w:b/>
          <w:bCs/>
          <w:sz w:val="48"/>
          <w:szCs w:val="48"/>
        </w:rPr>
        <w:sectPr w:rsidR="004A6B1A" w:rsidSect="005272A4">
          <w:pgSz w:w="12240" w:h="15840"/>
          <w:pgMar w:top="1728" w:right="1440" w:bottom="1440" w:left="1440" w:header="720" w:footer="720" w:gutter="0"/>
          <w:pgNumType w:start="1"/>
          <w:cols w:space="720"/>
          <w:docGrid w:linePitch="360"/>
        </w:sectPr>
      </w:pPr>
    </w:p>
    <w:p w:rsidR="004A6B1A" w:rsidP="004A6B1A" w:rsidRDefault="004A6B1A" w14:paraId="4CDC49C2" w14:textId="77777777">
      <w:pPr>
        <w:keepNext/>
        <w:spacing w:line="360" w:lineRule="auto"/>
        <w:ind w:firstLine="720"/>
        <w:jc w:val="center"/>
        <w:rPr>
          <w:b/>
          <w:bCs/>
          <w:sz w:val="48"/>
          <w:szCs w:val="48"/>
        </w:rPr>
      </w:pPr>
    </w:p>
    <w:p w:rsidR="004A6B1A" w:rsidP="004A6B1A" w:rsidRDefault="004A6B1A" w14:paraId="3A068639" w14:textId="3652EE1B">
      <w:pPr>
        <w:keepNext/>
        <w:spacing w:line="360" w:lineRule="auto"/>
        <w:ind w:firstLine="720"/>
        <w:jc w:val="center"/>
        <w:rPr>
          <w:b/>
          <w:bCs/>
          <w:sz w:val="48"/>
          <w:szCs w:val="48"/>
        </w:rPr>
      </w:pPr>
    </w:p>
    <w:p w:rsidR="00FB234D" w:rsidP="004A6B1A" w:rsidRDefault="00FB234D" w14:paraId="26854818" w14:textId="77777777">
      <w:pPr>
        <w:keepNext/>
        <w:spacing w:line="360" w:lineRule="auto"/>
        <w:ind w:firstLine="720"/>
        <w:jc w:val="center"/>
        <w:rPr>
          <w:b/>
          <w:bCs/>
          <w:sz w:val="48"/>
          <w:szCs w:val="48"/>
        </w:rPr>
      </w:pPr>
    </w:p>
    <w:p w:rsidR="004A6B1A" w:rsidP="004A6B1A" w:rsidRDefault="004A6B1A" w14:paraId="2757FE04" w14:textId="77777777">
      <w:pPr>
        <w:keepNext/>
        <w:spacing w:line="360" w:lineRule="auto"/>
        <w:ind w:firstLine="720"/>
        <w:jc w:val="center"/>
        <w:rPr>
          <w:b/>
          <w:bCs/>
          <w:sz w:val="48"/>
          <w:szCs w:val="48"/>
        </w:rPr>
      </w:pPr>
    </w:p>
    <w:p w:rsidR="004A6B1A" w:rsidP="004A6B1A" w:rsidRDefault="004A6B1A" w14:paraId="4AC322C1" w14:textId="77777777">
      <w:pPr>
        <w:keepNext/>
        <w:spacing w:line="360" w:lineRule="auto"/>
        <w:ind w:firstLine="720"/>
        <w:jc w:val="center"/>
        <w:rPr>
          <w:b/>
          <w:bCs/>
          <w:sz w:val="48"/>
          <w:szCs w:val="48"/>
        </w:rPr>
      </w:pPr>
    </w:p>
    <w:p w:rsidR="004A6B1A" w:rsidP="004A6B1A" w:rsidRDefault="004A6B1A" w14:paraId="3B1920DA" w14:textId="77777777">
      <w:pPr>
        <w:keepNext/>
        <w:spacing w:line="360" w:lineRule="auto"/>
        <w:ind w:firstLine="720"/>
        <w:jc w:val="center"/>
        <w:rPr>
          <w:b/>
          <w:bCs/>
          <w:sz w:val="48"/>
          <w:szCs w:val="48"/>
        </w:rPr>
      </w:pPr>
    </w:p>
    <w:p w:rsidR="004A6B1A" w:rsidP="005867BE" w:rsidRDefault="004A6B1A" w14:paraId="4E0E23C3" w14:textId="6AB3BFF1">
      <w:pPr>
        <w:keepNext/>
        <w:spacing w:line="360" w:lineRule="auto"/>
        <w:jc w:val="center"/>
        <w:rPr>
          <w:b/>
          <w:bCs/>
          <w:sz w:val="48"/>
          <w:szCs w:val="48"/>
        </w:rPr>
      </w:pPr>
      <w:r w:rsidRPr="00D65821">
        <w:rPr>
          <w:b/>
          <w:bCs/>
          <w:sz w:val="48"/>
          <w:szCs w:val="48"/>
        </w:rPr>
        <w:t xml:space="preserve">APPENDIX </w:t>
      </w:r>
      <w:r>
        <w:rPr>
          <w:b/>
          <w:bCs/>
          <w:sz w:val="48"/>
          <w:szCs w:val="48"/>
        </w:rPr>
        <w:t>E</w:t>
      </w:r>
      <w:r w:rsidR="005867BE">
        <w:rPr>
          <w:b/>
          <w:bCs/>
          <w:sz w:val="48"/>
          <w:szCs w:val="48"/>
        </w:rPr>
        <w:t>:</w:t>
      </w:r>
    </w:p>
    <w:p w:rsidRPr="005867BE" w:rsidR="005867BE" w:rsidP="005867BE" w:rsidRDefault="005867BE" w14:paraId="0CD76C27" w14:textId="3F5CCCD0">
      <w:pPr>
        <w:keepNext/>
        <w:spacing w:line="360" w:lineRule="auto"/>
        <w:jc w:val="center"/>
        <w:rPr>
          <w:b/>
          <w:bCs/>
          <w:sz w:val="40"/>
          <w:szCs w:val="40"/>
        </w:rPr>
      </w:pPr>
      <w:r w:rsidRPr="005867BE">
        <w:rPr>
          <w:b/>
          <w:bCs/>
          <w:sz w:val="40"/>
          <w:szCs w:val="40"/>
        </w:rPr>
        <w:t>Safety and Operational Metrics for Application to PG&amp;E, Redline</w:t>
      </w:r>
    </w:p>
    <w:p w:rsidR="004A6B1A" w:rsidP="004A6B1A" w:rsidRDefault="004A6B1A" w14:paraId="17FC8274" w14:textId="77777777">
      <w:pPr>
        <w:keepNext/>
        <w:spacing w:line="360" w:lineRule="auto"/>
        <w:ind w:firstLine="720"/>
        <w:rPr>
          <w:b/>
          <w:bCs/>
          <w:sz w:val="48"/>
          <w:szCs w:val="48"/>
        </w:rPr>
      </w:pPr>
    </w:p>
    <w:p w:rsidR="004A6B1A" w:rsidP="004A6B1A" w:rsidRDefault="004A6B1A" w14:paraId="29FA68EE" w14:textId="77777777">
      <w:pPr>
        <w:keepNext/>
        <w:spacing w:line="360" w:lineRule="auto"/>
        <w:ind w:firstLine="720"/>
        <w:rPr>
          <w:b/>
          <w:bCs/>
          <w:sz w:val="48"/>
          <w:szCs w:val="48"/>
        </w:rPr>
        <w:sectPr w:rsidR="004A6B1A" w:rsidSect="005272A4">
          <w:pgSz w:w="12240" w:h="15840"/>
          <w:pgMar w:top="1728" w:right="1440" w:bottom="1440" w:left="1440" w:header="720" w:footer="720" w:gutter="0"/>
          <w:pgNumType w:start="1"/>
          <w:cols w:space="720"/>
          <w:docGrid w:linePitch="360"/>
        </w:sectPr>
      </w:pPr>
    </w:p>
    <w:p w:rsidR="004A6B1A" w:rsidP="004A6B1A" w:rsidRDefault="004A6B1A" w14:paraId="4D256485" w14:textId="77777777">
      <w:pPr>
        <w:keepNext/>
        <w:spacing w:line="360" w:lineRule="auto"/>
        <w:ind w:firstLine="720"/>
        <w:jc w:val="center"/>
        <w:rPr>
          <w:b/>
          <w:bCs/>
          <w:sz w:val="48"/>
          <w:szCs w:val="48"/>
        </w:rPr>
      </w:pPr>
    </w:p>
    <w:p w:rsidR="004A6B1A" w:rsidP="004A6B1A" w:rsidRDefault="004A6B1A" w14:paraId="2E8E2DFD" w14:textId="77777777">
      <w:pPr>
        <w:keepNext/>
        <w:spacing w:line="360" w:lineRule="auto"/>
        <w:ind w:firstLine="720"/>
        <w:jc w:val="center"/>
        <w:rPr>
          <w:b/>
          <w:bCs/>
          <w:sz w:val="48"/>
          <w:szCs w:val="48"/>
        </w:rPr>
      </w:pPr>
    </w:p>
    <w:p w:rsidR="004A6B1A" w:rsidP="004A6B1A" w:rsidRDefault="004A6B1A" w14:paraId="1F871D6D" w14:textId="01C12124">
      <w:pPr>
        <w:keepNext/>
        <w:spacing w:line="360" w:lineRule="auto"/>
        <w:ind w:firstLine="720"/>
        <w:jc w:val="center"/>
        <w:rPr>
          <w:b/>
          <w:bCs/>
          <w:sz w:val="48"/>
          <w:szCs w:val="48"/>
        </w:rPr>
      </w:pPr>
    </w:p>
    <w:p w:rsidR="00FB234D" w:rsidP="004A6B1A" w:rsidRDefault="00FB234D" w14:paraId="69211C98" w14:textId="77777777">
      <w:pPr>
        <w:keepNext/>
        <w:spacing w:line="360" w:lineRule="auto"/>
        <w:ind w:firstLine="720"/>
        <w:jc w:val="center"/>
        <w:rPr>
          <w:b/>
          <w:bCs/>
          <w:sz w:val="48"/>
          <w:szCs w:val="48"/>
        </w:rPr>
      </w:pPr>
    </w:p>
    <w:p w:rsidR="004A6B1A" w:rsidP="004A6B1A" w:rsidRDefault="004A6B1A" w14:paraId="6ADD98A3" w14:textId="77777777">
      <w:pPr>
        <w:keepNext/>
        <w:spacing w:line="360" w:lineRule="auto"/>
        <w:ind w:firstLine="720"/>
        <w:jc w:val="center"/>
        <w:rPr>
          <w:b/>
          <w:bCs/>
          <w:sz w:val="48"/>
          <w:szCs w:val="48"/>
        </w:rPr>
      </w:pPr>
    </w:p>
    <w:p w:rsidR="004A6B1A" w:rsidP="004A6B1A" w:rsidRDefault="004A6B1A" w14:paraId="52359D2D" w14:textId="77777777">
      <w:pPr>
        <w:keepNext/>
        <w:spacing w:line="360" w:lineRule="auto"/>
        <w:ind w:firstLine="720"/>
        <w:jc w:val="center"/>
        <w:rPr>
          <w:b/>
          <w:bCs/>
          <w:sz w:val="48"/>
          <w:szCs w:val="48"/>
        </w:rPr>
      </w:pPr>
    </w:p>
    <w:p w:rsidR="004A6B1A" w:rsidP="005867BE" w:rsidRDefault="004A6B1A" w14:paraId="139E0A49" w14:textId="39D221A0">
      <w:pPr>
        <w:keepNext/>
        <w:spacing w:line="360" w:lineRule="auto"/>
        <w:jc w:val="center"/>
        <w:rPr>
          <w:b/>
          <w:bCs/>
          <w:sz w:val="48"/>
          <w:szCs w:val="48"/>
        </w:rPr>
      </w:pPr>
      <w:r w:rsidRPr="00D65821">
        <w:rPr>
          <w:b/>
          <w:bCs/>
          <w:sz w:val="48"/>
          <w:szCs w:val="48"/>
        </w:rPr>
        <w:t xml:space="preserve">APPENDIX </w:t>
      </w:r>
      <w:r>
        <w:rPr>
          <w:b/>
          <w:bCs/>
          <w:sz w:val="48"/>
          <w:szCs w:val="48"/>
        </w:rPr>
        <w:t>F</w:t>
      </w:r>
      <w:r w:rsidR="005867BE">
        <w:rPr>
          <w:b/>
          <w:bCs/>
          <w:sz w:val="48"/>
          <w:szCs w:val="48"/>
        </w:rPr>
        <w:t>:</w:t>
      </w:r>
    </w:p>
    <w:p w:rsidR="00F03E6F" w:rsidP="009924CD" w:rsidRDefault="005867BE" w14:paraId="523766D4" w14:textId="3E0593B8">
      <w:pPr>
        <w:keepNext/>
        <w:spacing w:line="360" w:lineRule="auto"/>
        <w:jc w:val="center"/>
        <w:rPr>
          <w:b/>
          <w:bCs/>
          <w:sz w:val="40"/>
          <w:szCs w:val="40"/>
        </w:rPr>
      </w:pPr>
      <w:r w:rsidRPr="005867BE">
        <w:rPr>
          <w:b/>
          <w:bCs/>
          <w:sz w:val="40"/>
          <w:szCs w:val="40"/>
        </w:rPr>
        <w:t>Safety Performance Metrics, Redline</w:t>
      </w:r>
    </w:p>
    <w:p w:rsidR="009924CD" w:rsidP="009924CD" w:rsidRDefault="009924CD" w14:paraId="7700CD29" w14:textId="77777777">
      <w:pPr>
        <w:keepNext/>
        <w:spacing w:line="360" w:lineRule="auto"/>
        <w:rPr>
          <w:b/>
          <w:bCs/>
          <w:sz w:val="48"/>
          <w:szCs w:val="48"/>
        </w:rPr>
      </w:pPr>
    </w:p>
    <w:p w:rsidR="009924CD" w:rsidP="00F03E6F" w:rsidRDefault="009924CD" w14:paraId="07DCD5DF" w14:textId="77777777">
      <w:pPr>
        <w:keepNext/>
        <w:spacing w:line="360" w:lineRule="auto"/>
        <w:ind w:firstLine="720"/>
        <w:jc w:val="center"/>
        <w:rPr>
          <w:b/>
          <w:bCs/>
          <w:sz w:val="48"/>
          <w:szCs w:val="48"/>
        </w:rPr>
        <w:sectPr w:rsidR="009924CD" w:rsidSect="005272A4">
          <w:pgSz w:w="12240" w:h="15840"/>
          <w:pgMar w:top="1728" w:right="1440" w:bottom="1440" w:left="1440" w:header="720" w:footer="720" w:gutter="0"/>
          <w:pgNumType w:start="1"/>
          <w:cols w:space="720"/>
          <w:docGrid w:linePitch="360"/>
        </w:sectPr>
      </w:pPr>
    </w:p>
    <w:p w:rsidR="00F03E6F" w:rsidP="00F03E6F" w:rsidRDefault="00F03E6F" w14:paraId="6D1AD5EC" w14:textId="05DCEF81">
      <w:pPr>
        <w:keepNext/>
        <w:spacing w:line="360" w:lineRule="auto"/>
        <w:ind w:firstLine="720"/>
        <w:jc w:val="center"/>
        <w:rPr>
          <w:b/>
          <w:bCs/>
          <w:sz w:val="48"/>
          <w:szCs w:val="48"/>
        </w:rPr>
      </w:pPr>
    </w:p>
    <w:p w:rsidR="00F03E6F" w:rsidP="00F03E6F" w:rsidRDefault="00F03E6F" w14:paraId="0D2DB703" w14:textId="77777777">
      <w:pPr>
        <w:keepNext/>
        <w:spacing w:line="360" w:lineRule="auto"/>
        <w:ind w:firstLine="720"/>
        <w:jc w:val="center"/>
        <w:rPr>
          <w:b/>
          <w:bCs/>
          <w:sz w:val="48"/>
          <w:szCs w:val="48"/>
        </w:rPr>
      </w:pPr>
    </w:p>
    <w:p w:rsidR="00F03E6F" w:rsidP="00F03E6F" w:rsidRDefault="00F03E6F" w14:paraId="0325B984" w14:textId="77777777">
      <w:pPr>
        <w:keepNext/>
        <w:spacing w:line="360" w:lineRule="auto"/>
        <w:ind w:firstLine="720"/>
        <w:jc w:val="center"/>
        <w:rPr>
          <w:b/>
          <w:bCs/>
          <w:sz w:val="48"/>
          <w:szCs w:val="48"/>
        </w:rPr>
      </w:pPr>
    </w:p>
    <w:p w:rsidR="004C1D3F" w:rsidP="00F03E6F" w:rsidRDefault="004C1D3F" w14:paraId="64917621" w14:textId="66AD5B47">
      <w:pPr>
        <w:keepNext/>
        <w:spacing w:line="360" w:lineRule="auto"/>
        <w:ind w:firstLine="720"/>
        <w:jc w:val="center"/>
        <w:rPr>
          <w:b/>
          <w:bCs/>
          <w:sz w:val="48"/>
          <w:szCs w:val="48"/>
        </w:rPr>
      </w:pPr>
    </w:p>
    <w:p w:rsidR="00FB234D" w:rsidP="00F03E6F" w:rsidRDefault="00FB234D" w14:paraId="23938F1B" w14:textId="77777777">
      <w:pPr>
        <w:keepNext/>
        <w:spacing w:line="360" w:lineRule="auto"/>
        <w:ind w:firstLine="720"/>
        <w:jc w:val="center"/>
        <w:rPr>
          <w:b/>
          <w:bCs/>
          <w:sz w:val="48"/>
          <w:szCs w:val="48"/>
        </w:rPr>
      </w:pPr>
    </w:p>
    <w:p w:rsidR="00F03E6F" w:rsidP="00F03E6F" w:rsidRDefault="00F03E6F" w14:paraId="6B6FEC29" w14:textId="77777777">
      <w:pPr>
        <w:keepNext/>
        <w:spacing w:line="360" w:lineRule="auto"/>
        <w:ind w:firstLine="720"/>
        <w:jc w:val="center"/>
        <w:rPr>
          <w:b/>
          <w:bCs/>
          <w:sz w:val="48"/>
          <w:szCs w:val="48"/>
        </w:rPr>
      </w:pPr>
    </w:p>
    <w:p w:rsidR="00F03E6F" w:rsidP="005867BE" w:rsidRDefault="00F03E6F" w14:paraId="07B50673" w14:textId="6025CBE0">
      <w:pPr>
        <w:keepNext/>
        <w:spacing w:line="360" w:lineRule="auto"/>
        <w:jc w:val="center"/>
        <w:rPr>
          <w:b/>
          <w:bCs/>
          <w:sz w:val="48"/>
          <w:szCs w:val="48"/>
        </w:rPr>
      </w:pPr>
      <w:r w:rsidRPr="00D65821">
        <w:rPr>
          <w:b/>
          <w:bCs/>
          <w:sz w:val="48"/>
          <w:szCs w:val="48"/>
        </w:rPr>
        <w:t xml:space="preserve">APPENDIX </w:t>
      </w:r>
      <w:r>
        <w:rPr>
          <w:b/>
          <w:bCs/>
          <w:sz w:val="48"/>
          <w:szCs w:val="48"/>
        </w:rPr>
        <w:t>G</w:t>
      </w:r>
      <w:r w:rsidR="005867BE">
        <w:rPr>
          <w:b/>
          <w:bCs/>
          <w:sz w:val="48"/>
          <w:szCs w:val="48"/>
        </w:rPr>
        <w:t>:</w:t>
      </w:r>
    </w:p>
    <w:p w:rsidRPr="005867BE" w:rsidR="005867BE" w:rsidP="005867BE" w:rsidRDefault="005867BE" w14:paraId="250B4830" w14:textId="3CDD1DEC">
      <w:pPr>
        <w:keepNext/>
        <w:spacing w:line="360" w:lineRule="auto"/>
        <w:jc w:val="center"/>
        <w:rPr>
          <w:b/>
          <w:bCs/>
          <w:sz w:val="40"/>
          <w:szCs w:val="40"/>
        </w:rPr>
      </w:pPr>
      <w:r w:rsidRPr="005867BE">
        <w:rPr>
          <w:b/>
          <w:bCs/>
          <w:sz w:val="40"/>
          <w:szCs w:val="40"/>
        </w:rPr>
        <w:t>Glossary of Terms</w:t>
      </w:r>
    </w:p>
    <w:p w:rsidR="00F03E6F" w:rsidP="004A6B1A" w:rsidRDefault="00F03E6F" w14:paraId="275F2256" w14:textId="6EE5D041">
      <w:pPr>
        <w:keepNext/>
        <w:spacing w:line="360" w:lineRule="auto"/>
        <w:ind w:firstLine="720"/>
        <w:jc w:val="center"/>
        <w:rPr>
          <w:b/>
          <w:bCs/>
          <w:sz w:val="48"/>
          <w:szCs w:val="48"/>
        </w:rPr>
      </w:pPr>
    </w:p>
    <w:p w:rsidR="00FB234D" w:rsidP="004A6B1A" w:rsidRDefault="00FB234D" w14:paraId="01733877" w14:textId="3C49E19B">
      <w:pPr>
        <w:keepNext/>
        <w:spacing w:line="360" w:lineRule="auto"/>
        <w:ind w:firstLine="720"/>
        <w:jc w:val="center"/>
        <w:rPr>
          <w:b/>
          <w:bCs/>
          <w:sz w:val="48"/>
          <w:szCs w:val="48"/>
        </w:rPr>
      </w:pPr>
    </w:p>
    <w:p w:rsidR="00FB234D" w:rsidP="004A6B1A" w:rsidRDefault="00FB234D" w14:paraId="7960CFDF" w14:textId="12139E24">
      <w:pPr>
        <w:keepNext/>
        <w:spacing w:line="360" w:lineRule="auto"/>
        <w:ind w:firstLine="720"/>
        <w:jc w:val="center"/>
        <w:rPr>
          <w:b/>
          <w:bCs/>
          <w:sz w:val="48"/>
          <w:szCs w:val="48"/>
        </w:rPr>
      </w:pPr>
    </w:p>
    <w:p w:rsidR="00FB234D" w:rsidP="004A6B1A" w:rsidRDefault="00FB234D" w14:paraId="15A695EF" w14:textId="32D2B6E9">
      <w:pPr>
        <w:keepNext/>
        <w:spacing w:line="360" w:lineRule="auto"/>
        <w:ind w:firstLine="720"/>
        <w:jc w:val="center"/>
        <w:rPr>
          <w:b/>
          <w:bCs/>
          <w:sz w:val="48"/>
          <w:szCs w:val="48"/>
        </w:rPr>
      </w:pPr>
    </w:p>
    <w:p w:rsidR="00FB234D" w:rsidP="004A6B1A" w:rsidRDefault="00FB234D" w14:paraId="58BFCE40" w14:textId="515863A3">
      <w:pPr>
        <w:keepNext/>
        <w:spacing w:line="360" w:lineRule="auto"/>
        <w:ind w:firstLine="720"/>
        <w:jc w:val="center"/>
        <w:rPr>
          <w:b/>
          <w:bCs/>
          <w:sz w:val="48"/>
          <w:szCs w:val="48"/>
        </w:rPr>
      </w:pPr>
    </w:p>
    <w:p w:rsidR="00FB234D" w:rsidP="004A6B1A" w:rsidRDefault="00FB234D" w14:paraId="46F33DC1" w14:textId="7C94F146">
      <w:pPr>
        <w:keepNext/>
        <w:spacing w:line="360" w:lineRule="auto"/>
        <w:ind w:firstLine="720"/>
        <w:jc w:val="center"/>
        <w:rPr>
          <w:b/>
          <w:bCs/>
          <w:sz w:val="48"/>
          <w:szCs w:val="48"/>
        </w:rPr>
      </w:pPr>
    </w:p>
    <w:p w:rsidRPr="00D65821" w:rsidR="00FB234D" w:rsidP="004A6B1A" w:rsidRDefault="00FB234D" w14:paraId="78F8F44D" w14:textId="77777777">
      <w:pPr>
        <w:keepNext/>
        <w:spacing w:line="360" w:lineRule="auto"/>
        <w:ind w:firstLine="720"/>
        <w:jc w:val="center"/>
        <w:rPr>
          <w:b/>
          <w:bCs/>
          <w:sz w:val="48"/>
          <w:szCs w:val="48"/>
        </w:rPr>
      </w:pPr>
    </w:p>
    <w:sectPr w:rsidRPr="00D65821" w:rsidR="00FB234D" w:rsidSect="005272A4">
      <w:pgSz w:w="12240" w:h="15840"/>
      <w:pgMar w:top="1728" w:right="1440" w:bottom="1440" w:left="1440" w:header="720" w:footer="720" w:gutter="0"/>
      <w:pgNumType w:start="1"/>
      <w:cols w:space="720"/>
      <w:docGrid w:linePitch="360"/>
    </w:sectPr>
    <w:p>
      <w:r>
        <w:t xml:space="preserve"/>
      </w:r>
    </w:p>
    <w:p>
      <w:r>
        <w:t xml:space="preserve">Attachment 1: </w:t>
      </w:r>
    </w:p>
    <w:p>
      <w:hyperlink w:history="true" r:id="Rea4c9f8382be463f">
        <w:r w:rsidRPr="00CB1292">
          <w:rPr>
            <w:rStyle w:val="Hyperlink"/>
            <w:color w:val="2E74B5" w:themeColor="accent1" w:themeShade="BF"/>
            <w:u w:val="single"/>
          </w:rPr>
          <w:t>D2111009 Appendix A_SOMs Table</w:t>
        </w:r>
      </w:hyperlink>
    </w:p>
    <w:p>
      <w:r>
        <w:t xml:space="preserve"/>
      </w:r>
    </w:p>
    <w:p>
      <w:r>
        <w:t xml:space="preserve">Attachment 2: </w:t>
      </w:r>
    </w:p>
    <w:p>
      <w:hyperlink w:history="true" r:id="R6d066d88854d4c61">
        <w:r w:rsidRPr="00CB1292">
          <w:rPr>
            <w:rStyle w:val="Hyperlink"/>
            <w:color w:val="2E74B5" w:themeColor="accent1" w:themeShade="BF"/>
            <w:u w:val="single"/>
          </w:rPr>
          <w:t>D2111009 Appendix B_SPMs Table</w:t>
        </w:r>
      </w:hyperlink>
    </w:p>
    <w:p>
      <w:r>
        <w:t xml:space="preserve"/>
      </w:r>
    </w:p>
    <w:p>
      <w:r>
        <w:t xml:space="preserve">Attachment 3: </w:t>
      </w:r>
    </w:p>
    <w:p>
      <w:hyperlink w:history="true" r:id="R1716f54ce3c84480">
        <w:r w:rsidRPr="00CB1292">
          <w:rPr>
            <w:rStyle w:val="Hyperlink"/>
            <w:color w:val="2E74B5" w:themeColor="accent1" w:themeShade="BF"/>
            <w:u w:val="single"/>
          </w:rPr>
          <w:t>D2111009 Appendix C_Transparency Guidelines Proposal</w:t>
        </w:r>
      </w:hyperlink>
    </w:p>
    <w:p>
      <w:r>
        <w:t xml:space="preserve"/>
      </w:r>
    </w:p>
    <w:p>
      <w:r>
        <w:t xml:space="preserve">Attachment 4: </w:t>
      </w:r>
    </w:p>
    <w:p>
      <w:hyperlink w:history="true" r:id="R5d7f62b8cbae4b04">
        <w:r w:rsidRPr="00CB1292">
          <w:rPr>
            <w:rStyle w:val="Hyperlink"/>
            <w:color w:val="2E74B5" w:themeColor="accent1" w:themeShade="BF"/>
            <w:u w:val="single"/>
          </w:rPr>
          <w:t>D2111009 Appendix D_SMAP Lexicon 2021</w:t>
        </w:r>
      </w:hyperlink>
    </w:p>
    <w:p>
      <w:r>
        <w:t xml:space="preserve"/>
      </w:r>
    </w:p>
    <w:p>
      <w:r>
        <w:t xml:space="preserve">Attachment 5: </w:t>
      </w:r>
    </w:p>
    <w:p>
      <w:hyperlink w:history="true" r:id="R8fbaecbb12aa432b">
        <w:r w:rsidRPr="00CB1292">
          <w:rPr>
            <w:rStyle w:val="Hyperlink"/>
            <w:color w:val="2E74B5" w:themeColor="accent1" w:themeShade="BF"/>
            <w:u w:val="single"/>
          </w:rPr>
          <w:t>D2111009 Appendix E_SOMs Table- Redline</w:t>
        </w:r>
      </w:hyperlink>
    </w:p>
    <w:p>
      <w:r>
        <w:t xml:space="preserve"/>
      </w:r>
    </w:p>
    <w:p>
      <w:r>
        <w:t xml:space="preserve">Attachment 6: </w:t>
      </w:r>
    </w:p>
    <w:p>
      <w:hyperlink w:history="true" r:id="R469ac88038a94bb6">
        <w:r w:rsidRPr="00CB1292">
          <w:rPr>
            <w:rStyle w:val="Hyperlink"/>
            <w:color w:val="2E74B5" w:themeColor="accent1" w:themeShade="BF"/>
            <w:u w:val="single"/>
          </w:rPr>
          <w:t>D2111009 Appendix F_SPMs Table- Redline</w:t>
        </w:r>
      </w:hyperlink>
    </w:p>
    <w:p>
      <w:r>
        <w:t xml:space="preserve"/>
      </w:r>
    </w:p>
    <w:p>
      <w:r>
        <w:t xml:space="preserve">Attachment 7: </w:t>
      </w:r>
    </w:p>
    <w:p>
      <w:hyperlink w:history="true" r:id="Rdf8a971a5c3c4055">
        <w:r w:rsidRPr="00CB1292">
          <w:rPr>
            <w:rStyle w:val="Hyperlink"/>
            <w:color w:val="2E74B5" w:themeColor="accent1" w:themeShade="BF"/>
            <w:u w:val="single"/>
          </w:rPr>
          <w:t>D2111009 Appendix G Glossary of terms</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A50A" w14:textId="77777777" w:rsidR="007D1B8B" w:rsidRDefault="007D1B8B" w:rsidP="0098138E">
      <w:r>
        <w:separator/>
      </w:r>
    </w:p>
  </w:endnote>
  <w:endnote w:type="continuationSeparator" w:id="0">
    <w:p w14:paraId="390084B4" w14:textId="77777777" w:rsidR="007D1B8B" w:rsidRDefault="007D1B8B" w:rsidP="0098138E">
      <w:r>
        <w:continuationSeparator/>
      </w:r>
    </w:p>
  </w:endnote>
  <w:endnote w:type="continuationNotice" w:id="1">
    <w:p w14:paraId="013F2E29" w14:textId="77777777" w:rsidR="007D1B8B" w:rsidRDefault="007D1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GGothicE">
    <w:charset w:val="80"/>
    <w:family w:val="modern"/>
    <w:pitch w:val="fixed"/>
    <w:sig w:usb0="E00002FF" w:usb1="2AC7EDFE" w:usb2="00000012" w:usb3="00000000" w:csb0="00020001" w:csb1="00000000"/>
  </w:font>
  <w:font w:name="Franklin Gothic Book (Body)">
    <w:altName w:val="Franklin Gothic Book"/>
    <w:panose1 w:val="00000000000000000000"/>
    <w:charset w:val="00"/>
    <w:family w:val="roman"/>
    <w:notTrueType/>
    <w:pitch w:val="default"/>
  </w:font>
  <w:font w:name="ƒ_”˛">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3400" w14:textId="77777777" w:rsidR="00AF411E" w:rsidRDefault="00AF4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B1ED" w14:textId="77777777" w:rsidR="00AF411E" w:rsidRDefault="00AF4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AB30" w14:textId="526F1084" w:rsidR="003E0C34" w:rsidRPr="00802742" w:rsidRDefault="00AF411E" w:rsidP="007E0FEE">
    <w:pPr>
      <w:tabs>
        <w:tab w:val="center" w:pos="4680"/>
      </w:tabs>
      <w:rPr>
        <w:noProof/>
        <w:szCs w:val="26"/>
      </w:rPr>
    </w:pPr>
    <w:r w:rsidRPr="00AF411E">
      <w:rPr>
        <w:sz w:val="16"/>
        <w:szCs w:val="16"/>
      </w:rPr>
      <w:t>421107805</w:t>
    </w:r>
    <w:r w:rsidR="003E0C34">
      <w:rPr>
        <w:rFonts w:eastAsia="Calibri" w:cs="Calibri"/>
        <w:sz w:val="16"/>
        <w:szCs w:val="16"/>
      </w:rPr>
      <w:tab/>
    </w:r>
    <w:r w:rsidR="003E0C34">
      <w:t>-</w:t>
    </w:r>
    <w:r w:rsidR="003E0C34">
      <w:rPr>
        <w:rFonts w:eastAsia="Calibri" w:cs="Calibri"/>
        <w:sz w:val="16"/>
        <w:szCs w:val="16"/>
      </w:rPr>
      <w:t xml:space="preserve">  </w:t>
    </w:r>
    <w:r w:rsidR="003E0C34" w:rsidRPr="00802742">
      <w:rPr>
        <w:rFonts w:eastAsia="Calibri" w:cs="Calibri"/>
        <w:szCs w:val="26"/>
      </w:rPr>
      <w:fldChar w:fldCharType="begin"/>
    </w:r>
    <w:r w:rsidR="003E0C34" w:rsidRPr="00802742">
      <w:rPr>
        <w:rFonts w:eastAsia="Calibri" w:cs="Calibri"/>
        <w:szCs w:val="26"/>
      </w:rPr>
      <w:instrText xml:space="preserve"> PAGE   \* MERGEFORMAT </w:instrText>
    </w:r>
    <w:r w:rsidR="003E0C34" w:rsidRPr="00802742">
      <w:rPr>
        <w:rFonts w:eastAsia="Calibri" w:cs="Calibri"/>
        <w:szCs w:val="26"/>
      </w:rPr>
      <w:fldChar w:fldCharType="separate"/>
    </w:r>
    <w:r w:rsidR="003E0C34" w:rsidRPr="00802742">
      <w:rPr>
        <w:rFonts w:eastAsia="Calibri" w:cs="Calibri"/>
        <w:noProof/>
        <w:szCs w:val="26"/>
      </w:rPr>
      <w:t>1</w:t>
    </w:r>
    <w:r w:rsidR="003E0C34" w:rsidRPr="00802742">
      <w:rPr>
        <w:rFonts w:eastAsia="Calibri" w:cs="Calibri"/>
        <w:noProof/>
        <w:szCs w:val="26"/>
      </w:rPr>
      <w:fldChar w:fldCharType="end"/>
    </w:r>
    <w:r w:rsidR="003E0C34">
      <w:rPr>
        <w:rFonts w:eastAsia="Calibri" w:cs="Calibri"/>
        <w:noProof/>
        <w:szCs w:val="26"/>
      </w:rPr>
      <w:t xml:space="preserve"> </w:t>
    </w:r>
    <w:r w:rsidR="003E0C34">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059B" w14:textId="77777777" w:rsidR="003E0C34" w:rsidRDefault="003E0C34" w:rsidP="007E0FEE">
    <w:pPr>
      <w:jc w:val="center"/>
    </w:pPr>
    <w:r>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AF93" w14:textId="77777777" w:rsidR="003E0C34" w:rsidRPr="00F46BA8" w:rsidRDefault="003E0C34" w:rsidP="007E0FEE">
    <w:pPr>
      <w:jc w:val="center"/>
      <w:rPr>
        <w:szCs w:val="26"/>
      </w:rPr>
    </w:pPr>
    <w:r w:rsidRPr="00F46BA8">
      <w:rPr>
        <w:szCs w:val="26"/>
      </w:rPr>
      <w:t>-</w:t>
    </w:r>
    <w:sdt>
      <w:sdtPr>
        <w:rPr>
          <w:szCs w:val="26"/>
        </w:rPr>
        <w:id w:val="-1034043401"/>
        <w:docPartObj>
          <w:docPartGallery w:val="Page Numbers (Bottom of Page)"/>
          <w:docPartUnique/>
        </w:docPartObj>
      </w:sdtPr>
      <w:sdtEndPr>
        <w:rPr>
          <w:noProof/>
        </w:rPr>
      </w:sdtEndPr>
      <w:sdtContent>
        <w:r w:rsidRPr="00F46BA8">
          <w:rPr>
            <w:szCs w:val="26"/>
          </w:rPr>
          <w:t xml:space="preserve"> </w:t>
        </w:r>
        <w:r w:rsidRPr="00F46BA8">
          <w:rPr>
            <w:szCs w:val="26"/>
          </w:rPr>
          <w:fldChar w:fldCharType="begin"/>
        </w:r>
        <w:r w:rsidRPr="00F46BA8">
          <w:rPr>
            <w:szCs w:val="26"/>
          </w:rPr>
          <w:instrText xml:space="preserve"> PAGE   \* MERGEFORMAT </w:instrText>
        </w:r>
        <w:r w:rsidRPr="00F46BA8">
          <w:rPr>
            <w:szCs w:val="26"/>
          </w:rPr>
          <w:fldChar w:fldCharType="separate"/>
        </w:r>
        <w:r w:rsidRPr="00F46BA8">
          <w:rPr>
            <w:noProof/>
            <w:szCs w:val="26"/>
          </w:rPr>
          <w:t>2</w:t>
        </w:r>
        <w:r w:rsidRPr="00F46BA8">
          <w:rPr>
            <w:noProof/>
            <w:szCs w:val="26"/>
          </w:rPr>
          <w:fldChar w:fldCharType="end"/>
        </w:r>
        <w:r w:rsidRPr="00F46BA8">
          <w:rPr>
            <w:noProof/>
            <w:szCs w:val="26"/>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C637" w14:textId="0B5D49EC" w:rsidR="003E0C34" w:rsidRPr="00F46BA8" w:rsidRDefault="003E0C34" w:rsidP="007E0FEE">
    <w:pPr>
      <w:jc w:val="center"/>
      <w:rPr>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94A5" w14:textId="77777777" w:rsidR="007D1B8B" w:rsidRDefault="007D1B8B" w:rsidP="00DF58E7">
      <w:r>
        <w:separator/>
      </w:r>
    </w:p>
  </w:footnote>
  <w:footnote w:type="continuationSeparator" w:id="0">
    <w:p w14:paraId="1F35D74F" w14:textId="77777777" w:rsidR="007D1B8B" w:rsidRDefault="007D1B8B" w:rsidP="00DF58E7">
      <w:r>
        <w:continuationSeparator/>
      </w:r>
    </w:p>
  </w:footnote>
  <w:footnote w:type="continuationNotice" w:id="1">
    <w:p w14:paraId="4104A652" w14:textId="77777777" w:rsidR="007D1B8B" w:rsidRPr="00DF58E7" w:rsidRDefault="007D1B8B" w:rsidP="00DF58E7">
      <w:pPr>
        <w:jc w:val="right"/>
        <w:rPr>
          <w:i/>
          <w:sz w:val="22"/>
        </w:rPr>
      </w:pPr>
      <w:r w:rsidRPr="00DF58E7">
        <w:rPr>
          <w:i/>
          <w:sz w:val="22"/>
        </w:rPr>
        <w:t>Footnote continued on next page.</w:t>
      </w:r>
    </w:p>
  </w:footnote>
  <w:footnote w:id="2">
    <w:p w14:paraId="666A05E9" w14:textId="3BB406C9" w:rsidR="003E0C34" w:rsidRPr="00680FAD" w:rsidRDefault="003E0C34" w:rsidP="00680FAD">
      <w:pPr>
        <w:pStyle w:val="Default"/>
        <w:rPr>
          <w:rFonts w:ascii="Book Antiqua" w:hAnsi="Book Antiqua" w:cs="Book Antiqua"/>
        </w:rPr>
      </w:pPr>
      <w:r>
        <w:rPr>
          <w:rStyle w:val="FootnoteReference"/>
        </w:rPr>
        <w:footnoteRef/>
      </w:r>
      <w:r>
        <w:t xml:space="preserve">  </w:t>
      </w:r>
      <w:r w:rsidRPr="00E866DB">
        <w:rPr>
          <w:rFonts w:ascii="Book Antiqua" w:hAnsi="Book Antiqua" w:cs="Book Antiqua"/>
          <w:sz w:val="22"/>
          <w:szCs w:val="22"/>
        </w:rPr>
        <w:t>Decision</w:t>
      </w:r>
      <w:r w:rsidR="005375A2">
        <w:rPr>
          <w:rFonts w:ascii="Book Antiqua" w:hAnsi="Book Antiqua" w:cs="Book Antiqua"/>
          <w:sz w:val="22"/>
          <w:szCs w:val="22"/>
        </w:rPr>
        <w:t> </w:t>
      </w:r>
      <w:r w:rsidRPr="00E866DB">
        <w:rPr>
          <w:rFonts w:ascii="Book Antiqua" w:hAnsi="Book Antiqua" w:cs="Book Antiqua"/>
          <w:sz w:val="22"/>
          <w:szCs w:val="22"/>
        </w:rPr>
        <w:t>18-12-014 defined bow</w:t>
      </w:r>
      <w:r>
        <w:rPr>
          <w:rFonts w:ascii="Book Antiqua" w:hAnsi="Book Antiqua" w:cs="Book Antiqua"/>
          <w:sz w:val="22"/>
          <w:szCs w:val="22"/>
        </w:rPr>
        <w:t xml:space="preserve"> </w:t>
      </w:r>
      <w:r w:rsidRPr="00E866DB">
        <w:rPr>
          <w:rFonts w:ascii="Book Antiqua" w:hAnsi="Book Antiqua" w:cs="Book Antiqua"/>
          <w:sz w:val="22"/>
          <w:szCs w:val="22"/>
        </w:rPr>
        <w:t xml:space="preserve">tie as follows: </w:t>
      </w:r>
      <w:r>
        <w:rPr>
          <w:rFonts w:ascii="Book Antiqua" w:hAnsi="Book Antiqua" w:cs="Book Antiqua"/>
          <w:sz w:val="22"/>
          <w:szCs w:val="22"/>
        </w:rPr>
        <w:t xml:space="preserve"> </w:t>
      </w:r>
      <w:r w:rsidRPr="00E866DB">
        <w:rPr>
          <w:rFonts w:ascii="Book Antiqua" w:hAnsi="Book Antiqua" w:cs="Book Antiqua"/>
          <w:sz w:val="22"/>
          <w:szCs w:val="22"/>
        </w:rPr>
        <w:t xml:space="preserve">A tool that consists of the Risk Event in the center, a listing of drivers on the left side that potentially lead to the Risk Event occurring, and a listing of </w:t>
      </w:r>
      <w:r>
        <w:rPr>
          <w:rFonts w:ascii="Book Antiqua" w:hAnsi="Book Antiqua" w:cs="Book Antiqua"/>
          <w:sz w:val="22"/>
          <w:szCs w:val="22"/>
        </w:rPr>
        <w:t>c</w:t>
      </w:r>
      <w:r w:rsidRPr="00E866DB">
        <w:rPr>
          <w:rFonts w:ascii="Book Antiqua" w:hAnsi="Book Antiqua" w:cs="Book Antiqua"/>
          <w:sz w:val="22"/>
          <w:szCs w:val="22"/>
        </w:rPr>
        <w:t xml:space="preserve">onsequences on the right side that show the potential outcomes if the Risk Event occurs. </w:t>
      </w:r>
    </w:p>
  </w:footnote>
  <w:footnote w:id="3">
    <w:p w14:paraId="68D75B7E" w14:textId="3B8C55C4" w:rsidR="003E0C34" w:rsidRPr="00105BA1" w:rsidRDefault="003E0C34">
      <w:pPr>
        <w:pStyle w:val="FootnoteText"/>
      </w:pPr>
      <w:r w:rsidRPr="00105BA1">
        <w:rPr>
          <w:rStyle w:val="FootnoteReference"/>
        </w:rPr>
        <w:footnoteRef/>
      </w:r>
      <w:r w:rsidRPr="00105BA1">
        <w:t xml:space="preserve"> </w:t>
      </w:r>
      <w:r>
        <w:t xml:space="preserve"> </w:t>
      </w:r>
      <w:r w:rsidRPr="00105BA1">
        <w:rPr>
          <w:i/>
          <w:iCs/>
        </w:rPr>
        <w:t>Order Instituting Investigation on the Commission’s Own Motion to Consider the Ratemaking and Other Implications of a Proposed Plan for Resolution of Voluntary Case filed by Pacific Gas and Electric Company,</w:t>
      </w:r>
      <w:r w:rsidRPr="00105BA1">
        <w:t xml:space="preserve"> pursuant to Chapter 11 of the Bankruptcy Code, in the United States Bankruptcy Court, Northern District of California, San Francisco Division, In re Pacific Gas and Electric Corporation and Pacific Gas and Electric Company, Case No. 19-30088.</w:t>
      </w:r>
    </w:p>
  </w:footnote>
  <w:footnote w:id="4">
    <w:p w14:paraId="15DE4420" w14:textId="456EDBEF" w:rsidR="003E0C34" w:rsidRPr="00105BA1" w:rsidRDefault="003E0C34">
      <w:pPr>
        <w:pStyle w:val="FootnoteText"/>
      </w:pPr>
      <w:r w:rsidRPr="00105BA1">
        <w:rPr>
          <w:rStyle w:val="FootnoteReference"/>
        </w:rPr>
        <w:footnoteRef/>
      </w:r>
      <w:r w:rsidRPr="00105BA1">
        <w:t xml:space="preserve"> </w:t>
      </w:r>
      <w:r>
        <w:t xml:space="preserve"> </w:t>
      </w:r>
      <w:r w:rsidRPr="00105BA1">
        <w:t>Hereafter, all references to code are to the Public Utilities Code unless otherwise stated.</w:t>
      </w:r>
    </w:p>
  </w:footnote>
  <w:footnote w:id="5">
    <w:p w14:paraId="44BDDEAD" w14:textId="2704D0B8" w:rsidR="003E0C34" w:rsidRPr="00680FAD" w:rsidRDefault="003E0C34">
      <w:pPr>
        <w:pStyle w:val="FootnoteText"/>
      </w:pPr>
      <w:r w:rsidRPr="00680FAD">
        <w:rPr>
          <w:rStyle w:val="FootnoteReference"/>
        </w:rPr>
        <w:footnoteRef/>
      </w:r>
      <w:r w:rsidRPr="00680FAD">
        <w:t xml:space="preserve"> </w:t>
      </w:r>
      <w:r>
        <w:t xml:space="preserve"> </w:t>
      </w:r>
      <w:r w:rsidRPr="00680FAD">
        <w:t>February 3, 2021, March 10, 2021, April 14, 2021, May 6, 2021, June 24, 2021, July 16, 2021, July</w:t>
      </w:r>
      <w:r>
        <w:t> </w:t>
      </w:r>
      <w:r w:rsidRPr="00680FAD">
        <w:t>28,</w:t>
      </w:r>
      <w:r>
        <w:t> </w:t>
      </w:r>
      <w:r w:rsidRPr="00680FAD">
        <w:t>2021, and August 18, 2021.</w:t>
      </w:r>
    </w:p>
  </w:footnote>
  <w:footnote w:id="6">
    <w:p w14:paraId="506D133B" w14:textId="21245C27" w:rsidR="003E0C34" w:rsidRDefault="003E0C34" w:rsidP="0064727E">
      <w:pPr>
        <w:pStyle w:val="FootnoteText"/>
      </w:pPr>
      <w:r w:rsidRPr="00680FAD">
        <w:rPr>
          <w:rStyle w:val="FootnoteReference"/>
        </w:rPr>
        <w:footnoteRef/>
      </w:r>
      <w:r w:rsidRPr="00680FAD">
        <w:t xml:space="preserve"> </w:t>
      </w:r>
      <w:r w:rsidR="00521DA8">
        <w:t xml:space="preserve"> </w:t>
      </w:r>
      <w:r w:rsidRPr="00680FAD">
        <w:t>April 1, 2021, May 4, 2021, and August 19, 2021</w:t>
      </w:r>
      <w:r>
        <w:t>.</w:t>
      </w:r>
    </w:p>
  </w:footnote>
  <w:footnote w:id="7">
    <w:p w14:paraId="6A65E2CC" w14:textId="634B83CD" w:rsidR="003E0C34" w:rsidRDefault="003E0C34">
      <w:pPr>
        <w:pStyle w:val="FootnoteText"/>
      </w:pPr>
      <w:r>
        <w:rPr>
          <w:rStyle w:val="FootnoteReference"/>
        </w:rPr>
        <w:footnoteRef/>
      </w:r>
      <w:r>
        <w:t xml:space="preserve">  Interim Decision at 25. </w:t>
      </w:r>
    </w:p>
  </w:footnote>
  <w:footnote w:id="8">
    <w:p w14:paraId="6892C65B" w14:textId="630C4243" w:rsidR="003E0C34" w:rsidRDefault="003E0C34" w:rsidP="008518B2">
      <w:pPr>
        <w:pStyle w:val="FootnoteText"/>
      </w:pPr>
      <w:r>
        <w:rPr>
          <w:rStyle w:val="FootnoteReference"/>
        </w:rPr>
        <w:footnoteRef/>
      </w:r>
      <w:r>
        <w:t xml:space="preserve">  SA Decision at 16-17.  </w:t>
      </w:r>
    </w:p>
  </w:footnote>
  <w:footnote w:id="9">
    <w:p w14:paraId="05817D33" w14:textId="6928CA46" w:rsidR="003E0C34" w:rsidRDefault="003E0C34">
      <w:pPr>
        <w:pStyle w:val="FootnoteText"/>
      </w:pPr>
      <w:r>
        <w:rPr>
          <w:rStyle w:val="FootnoteReference"/>
        </w:rPr>
        <w:footnoteRef/>
      </w:r>
      <w:r>
        <w:t xml:space="preserve">  SA Decision at Attachment A, 33. </w:t>
      </w:r>
    </w:p>
  </w:footnote>
  <w:footnote w:id="10">
    <w:p w14:paraId="749611EB" w14:textId="5CE4DDAF" w:rsidR="003E0C34" w:rsidRDefault="003E0C34">
      <w:pPr>
        <w:pStyle w:val="FootnoteText"/>
      </w:pPr>
      <w:r>
        <w:rPr>
          <w:rStyle w:val="FootnoteReference"/>
        </w:rPr>
        <w:footnoteRef/>
      </w:r>
      <w:r>
        <w:t xml:space="preserve">  Staff Track 1 Recommendations at 4 – 6.  </w:t>
      </w:r>
    </w:p>
  </w:footnote>
  <w:footnote w:id="11">
    <w:p w14:paraId="4725D113" w14:textId="5EB70351" w:rsidR="00041812" w:rsidRPr="00041812" w:rsidRDefault="00041812">
      <w:pPr>
        <w:pStyle w:val="FootnoteText"/>
        <w:rPr>
          <w:szCs w:val="22"/>
        </w:rPr>
      </w:pPr>
      <w:r w:rsidRPr="00041812">
        <w:rPr>
          <w:rStyle w:val="FootnoteReference"/>
          <w:szCs w:val="22"/>
        </w:rPr>
        <w:footnoteRef/>
      </w:r>
      <w:r>
        <w:rPr>
          <w:szCs w:val="22"/>
        </w:rPr>
        <w:t xml:space="preserve"> </w:t>
      </w:r>
      <w:r w:rsidRPr="00041812">
        <w:rPr>
          <w:szCs w:val="22"/>
        </w:rPr>
        <w:t xml:space="preserve"> </w:t>
      </w:r>
      <w:r w:rsidRPr="00656BD7">
        <w:rPr>
          <w:rFonts w:eastAsiaTheme="minorHAnsi" w:cs="ƒ_”˛"/>
          <w:szCs w:val="22"/>
        </w:rPr>
        <w:t>S</w:t>
      </w:r>
      <w:r w:rsidR="00DF1AA6" w:rsidRPr="00656BD7">
        <w:rPr>
          <w:rFonts w:eastAsiaTheme="minorHAnsi" w:cs="ƒ_”˛"/>
          <w:szCs w:val="22"/>
        </w:rPr>
        <w:t xml:space="preserve">CE </w:t>
      </w:r>
      <w:r w:rsidRPr="00656BD7">
        <w:rPr>
          <w:rFonts w:eastAsiaTheme="minorHAnsi" w:cs="ƒ_”˛"/>
          <w:szCs w:val="22"/>
        </w:rPr>
        <w:t>2018 R</w:t>
      </w:r>
      <w:r w:rsidR="00DF1AA6" w:rsidRPr="00656BD7">
        <w:rPr>
          <w:rFonts w:eastAsiaTheme="minorHAnsi" w:cs="ƒ_”˛"/>
          <w:szCs w:val="22"/>
        </w:rPr>
        <w:t>AMP report</w:t>
      </w:r>
      <w:r w:rsidR="004D731D">
        <w:rPr>
          <w:rFonts w:eastAsiaTheme="minorHAnsi" w:cs="ƒ_”˛"/>
          <w:szCs w:val="22"/>
        </w:rPr>
        <w:t xml:space="preserve">, filed in </w:t>
      </w:r>
      <w:r w:rsidR="00F47BD8">
        <w:rPr>
          <w:rFonts w:eastAsiaTheme="minorHAnsi" w:cs="ƒ_”˛"/>
          <w:szCs w:val="22"/>
        </w:rPr>
        <w:t xml:space="preserve">I.18-11-006, and available as of November 2, 2021 at </w:t>
      </w:r>
      <w:hyperlink r:id="rId1" w:history="1">
        <w:r w:rsidR="0016296B" w:rsidRPr="00400D45">
          <w:rPr>
            <w:rStyle w:val="Hyperlink"/>
            <w:rFonts w:eastAsiaTheme="minorHAnsi" w:cs="ƒ_”˛"/>
            <w:szCs w:val="22"/>
          </w:rPr>
          <w:t>https://www.cpuc.ca.gov/about-cpuc/divisions/safety-policy-division/risk-assessment-and-safety-analytics</w:t>
        </w:r>
      </w:hyperlink>
      <w:r w:rsidR="0016296B">
        <w:rPr>
          <w:rFonts w:eastAsiaTheme="minorHAnsi" w:cs="ƒ_”˛"/>
          <w:szCs w:val="22"/>
        </w:rPr>
        <w:t xml:space="preserve">. </w:t>
      </w:r>
    </w:p>
  </w:footnote>
  <w:footnote w:id="12">
    <w:p w14:paraId="1CD008AA" w14:textId="0F59FBEA" w:rsidR="003E0C34" w:rsidRDefault="003E0C34">
      <w:pPr>
        <w:pStyle w:val="FootnoteText"/>
      </w:pPr>
      <w:r>
        <w:rPr>
          <w:rStyle w:val="FootnoteReference"/>
        </w:rPr>
        <w:footnoteRef/>
      </w:r>
      <w:r>
        <w:t xml:space="preserve">  </w:t>
      </w:r>
      <w:r w:rsidRPr="00696FAF">
        <w:rPr>
          <w:i/>
          <w:iCs/>
        </w:rPr>
        <w:t>Id.</w:t>
      </w:r>
      <w:r>
        <w:t xml:space="preserve"> at 6.  </w:t>
      </w:r>
      <w:r w:rsidRPr="002F17D9">
        <w:t xml:space="preserve">PG&amp;E did provide this information in its </w:t>
      </w:r>
      <w:r>
        <w:t xml:space="preserve">2020 </w:t>
      </w:r>
      <w:r w:rsidRPr="002F17D9">
        <w:t>GRC filing, however.</w:t>
      </w:r>
    </w:p>
  </w:footnote>
  <w:footnote w:id="13">
    <w:p w14:paraId="550D80D3" w14:textId="6E40093A" w:rsidR="003E0C34" w:rsidRPr="002D1300" w:rsidRDefault="003E0C34">
      <w:pPr>
        <w:pStyle w:val="FootnoteText"/>
      </w:pPr>
      <w:r w:rsidRPr="002D1300">
        <w:rPr>
          <w:rStyle w:val="FootnoteReference"/>
        </w:rPr>
        <w:footnoteRef/>
      </w:r>
      <w:r w:rsidRPr="002D1300">
        <w:t xml:space="preserve"> </w:t>
      </w:r>
      <w:r>
        <w:t xml:space="preserve"> </w:t>
      </w:r>
      <w:r w:rsidRPr="002D1300">
        <w:rPr>
          <w:i/>
          <w:iCs/>
        </w:rPr>
        <w:t>Id.</w:t>
      </w:r>
      <w:r w:rsidRPr="002D1300">
        <w:t xml:space="preserve"> at 10-11.</w:t>
      </w:r>
    </w:p>
  </w:footnote>
  <w:footnote w:id="14">
    <w:p w14:paraId="3E23BFC6" w14:textId="29AEDEBF" w:rsidR="003E0C34" w:rsidRDefault="003E0C34">
      <w:pPr>
        <w:pStyle w:val="FootnoteText"/>
      </w:pPr>
      <w:r w:rsidRPr="002D1300">
        <w:rPr>
          <w:rStyle w:val="FootnoteReference"/>
        </w:rPr>
        <w:footnoteRef/>
      </w:r>
      <w:r w:rsidRPr="002D1300">
        <w:t xml:space="preserve"> </w:t>
      </w:r>
      <w:r>
        <w:t xml:space="preserve"> </w:t>
      </w:r>
      <w:r w:rsidRPr="002D1300">
        <w:rPr>
          <w:i/>
          <w:iCs/>
        </w:rPr>
        <w:t>Id.</w:t>
      </w:r>
      <w:r w:rsidRPr="002D1300">
        <w:t xml:space="preserve"> at 11.</w:t>
      </w:r>
    </w:p>
  </w:footnote>
  <w:footnote w:id="15">
    <w:p w14:paraId="52BAC784" w14:textId="34A415C9" w:rsidR="003E0C34" w:rsidRPr="002D1300" w:rsidRDefault="003E0C34">
      <w:pPr>
        <w:pStyle w:val="FootnoteText"/>
      </w:pPr>
      <w:r w:rsidRPr="002D1300">
        <w:rPr>
          <w:rStyle w:val="FootnoteReference"/>
        </w:rPr>
        <w:footnoteRef/>
      </w:r>
      <w:r w:rsidRPr="002D1300">
        <w:t xml:space="preserve"> </w:t>
      </w:r>
      <w:r>
        <w:t xml:space="preserve"> </w:t>
      </w:r>
      <w:r w:rsidRPr="002D1300">
        <w:t>PG&amp;E Opening Comments at 4.</w:t>
      </w:r>
    </w:p>
  </w:footnote>
  <w:footnote w:id="16">
    <w:p w14:paraId="1D00B1B8" w14:textId="4F95910F" w:rsidR="003E0C34" w:rsidRPr="00062173" w:rsidRDefault="003E0C34" w:rsidP="00C1236B">
      <w:pPr>
        <w:pStyle w:val="FootnoteText"/>
      </w:pPr>
      <w:r w:rsidRPr="00062173">
        <w:rPr>
          <w:rStyle w:val="FootnoteReference"/>
        </w:rPr>
        <w:footnoteRef/>
      </w:r>
      <w:r w:rsidRPr="00062173">
        <w:t xml:space="preserve"> </w:t>
      </w:r>
      <w:r>
        <w:t xml:space="preserve"> </w:t>
      </w:r>
      <w:r w:rsidRPr="00062173">
        <w:rPr>
          <w:i/>
          <w:iCs/>
        </w:rPr>
        <w:t>Id.</w:t>
      </w:r>
      <w:r w:rsidRPr="00062173">
        <w:t xml:space="preserve"> at 11.</w:t>
      </w:r>
    </w:p>
  </w:footnote>
  <w:footnote w:id="17">
    <w:p w14:paraId="7D419627" w14:textId="75031930" w:rsidR="003E0C34" w:rsidRDefault="003E0C34" w:rsidP="00745CFA">
      <w:r w:rsidRPr="00736E5D">
        <w:rPr>
          <w:rStyle w:val="FootnoteReference"/>
          <w:sz w:val="22"/>
          <w:szCs w:val="22"/>
        </w:rPr>
        <w:footnoteRef/>
      </w:r>
      <w:r w:rsidRPr="00736E5D">
        <w:rPr>
          <w:sz w:val="22"/>
          <w:szCs w:val="22"/>
        </w:rPr>
        <w:t xml:space="preserve"> </w:t>
      </w:r>
      <w:r>
        <w:t xml:space="preserve"> </w:t>
      </w:r>
      <w:r w:rsidRPr="00736E5D">
        <w:rPr>
          <w:sz w:val="22"/>
          <w:szCs w:val="22"/>
        </w:rPr>
        <w:t>Scoping Memo, Issue (d.) at 5.</w:t>
      </w:r>
    </w:p>
  </w:footnote>
  <w:footnote w:id="18">
    <w:p w14:paraId="7C7112FA" w14:textId="12EA30B0" w:rsidR="003E0C34" w:rsidRPr="00C250EE" w:rsidRDefault="003E0C34">
      <w:pPr>
        <w:pStyle w:val="FootnoteText"/>
      </w:pPr>
      <w:r w:rsidRPr="00C250EE">
        <w:rPr>
          <w:rStyle w:val="FootnoteReference"/>
        </w:rPr>
        <w:footnoteRef/>
      </w:r>
      <w:r w:rsidRPr="00C250EE">
        <w:t xml:space="preserve"> </w:t>
      </w:r>
      <w:r>
        <w:t xml:space="preserve"> </w:t>
      </w:r>
      <w:r w:rsidRPr="00C250EE">
        <w:t>Staff Track 1 Recommendations at 15.</w:t>
      </w:r>
    </w:p>
  </w:footnote>
  <w:footnote w:id="19">
    <w:p w14:paraId="234E2100" w14:textId="1AA52DB0" w:rsidR="003E0C34" w:rsidRDefault="003E0C34" w:rsidP="00EB636E">
      <w:pPr>
        <w:pStyle w:val="FootnoteText"/>
      </w:pPr>
      <w:r w:rsidRPr="00E866DB">
        <w:rPr>
          <w:rStyle w:val="FootnoteReference"/>
        </w:rPr>
        <w:footnoteRef/>
      </w:r>
      <w:r w:rsidRPr="00E866DB">
        <w:t xml:space="preserve"> </w:t>
      </w:r>
      <w:r>
        <w:t xml:space="preserve"> </w:t>
      </w:r>
      <w:r w:rsidRPr="00E866DB">
        <w:t xml:space="preserve">Line 29 of the Appendix A to the SA Decision states “Inputs and computations for the Steps described in this document should be clearly stated and defined in RAMP and, when applicable, the GRC. </w:t>
      </w:r>
      <w:r>
        <w:t xml:space="preserve"> </w:t>
      </w:r>
      <w:r w:rsidRPr="00E866DB">
        <w:t xml:space="preserve">The sources of inputs should be clearly specified. </w:t>
      </w:r>
      <w:r>
        <w:t xml:space="preserve"> </w:t>
      </w:r>
      <w:r w:rsidRPr="00E866DB">
        <w:t xml:space="preserve">When SME judgment is used, the process that the SMEs undertook to provide their judgment should be described. </w:t>
      </w:r>
      <w:r>
        <w:t xml:space="preserve"> </w:t>
      </w:r>
      <w:r w:rsidRPr="00E866DB">
        <w:t xml:space="preserve">Any questionnaire or document used to solicit SME judgment will be made available to the CPUC and parties upon request. </w:t>
      </w:r>
      <w:r>
        <w:t xml:space="preserve"> </w:t>
      </w:r>
      <w:r w:rsidRPr="00E866DB">
        <w:t xml:space="preserve">The utility should specify all information and assumptions that are used to determine both pre- and post-mitigation risk scores. </w:t>
      </w:r>
      <w:r>
        <w:t xml:space="preserve"> </w:t>
      </w:r>
      <w:r w:rsidRPr="00E866DB">
        <w:t xml:space="preserve">The methodologies used by the utility should be mathematically correct and logically sound. </w:t>
      </w:r>
      <w:r>
        <w:t xml:space="preserve"> </w:t>
      </w:r>
      <w:r w:rsidRPr="00E866DB">
        <w:t xml:space="preserve">The mathematical structure should be transparent. </w:t>
      </w:r>
      <w:r>
        <w:t xml:space="preserve"> </w:t>
      </w:r>
      <w:r w:rsidRPr="00E866DB">
        <w:t>All algorithms should be identified.</w:t>
      </w:r>
      <w:r>
        <w:t xml:space="preserve"> </w:t>
      </w:r>
      <w:r w:rsidRPr="00E866DB">
        <w:t xml:space="preserve"> All calculations should be repeatable by third parties using utility data and assumptions recognizing that, dependent on the models used, some variation of result may occur. </w:t>
      </w:r>
      <w:r>
        <w:t xml:space="preserve"> </w:t>
      </w:r>
      <w:r w:rsidRPr="00E866DB">
        <w:t xml:space="preserve">This requirement is subject to practicality and feasibility constraints of sharing data and models (such as confidentiality, critical energy infrastructure data, volume of information and proprietary models). </w:t>
      </w:r>
      <w:r>
        <w:t xml:space="preserve"> </w:t>
      </w:r>
      <w:r w:rsidRPr="00E866DB">
        <w:t xml:space="preserve">If these constraints arise, the utility will walk through the calculations in detail when requested by intervenors or the CPUC </w:t>
      </w:r>
      <w:r>
        <w:t>Staff</w:t>
      </w:r>
      <w:r w:rsidRPr="00E866DB">
        <w:t>.”</w:t>
      </w:r>
    </w:p>
  </w:footnote>
  <w:footnote w:id="20">
    <w:p w14:paraId="2ABF10FB" w14:textId="446ED6A2" w:rsidR="003E0C34" w:rsidRDefault="003E0C34">
      <w:pPr>
        <w:pStyle w:val="FootnoteText"/>
      </w:pPr>
      <w:r>
        <w:rPr>
          <w:rStyle w:val="FootnoteReference"/>
        </w:rPr>
        <w:footnoteRef/>
      </w:r>
      <w:r>
        <w:t xml:space="preserve">  D.19-04-020 at 43, Table 4. </w:t>
      </w:r>
    </w:p>
  </w:footnote>
  <w:footnote w:id="21">
    <w:p w14:paraId="2578DDDC" w14:textId="467BA0D0" w:rsidR="003E0C34" w:rsidRDefault="003E0C34" w:rsidP="001B28E0">
      <w:pPr>
        <w:pStyle w:val="FootnoteText"/>
      </w:pPr>
      <w:r w:rsidRPr="00875A44">
        <w:rPr>
          <w:rStyle w:val="FootnoteReference"/>
        </w:rPr>
        <w:footnoteRef/>
      </w:r>
      <w:r w:rsidRPr="00875A44">
        <w:t xml:space="preserve"> </w:t>
      </w:r>
      <w:r>
        <w:t xml:space="preserve"> </w:t>
      </w:r>
      <w:r w:rsidRPr="00875A44">
        <w:t>The Commission in D.16-08-018, Ordering Paragraph 11, established</w:t>
      </w:r>
      <w:r>
        <w:t xml:space="preserve"> a</w:t>
      </w:r>
      <w:r w:rsidRPr="00875A44">
        <w:t xml:space="preserve"> S-MAP TWG led by Safety and Enforcement Division Staff to discuss issues raised in A.15-05-002, the S-MAP Proceeding.</w:t>
      </w:r>
      <w:r>
        <w:t xml:space="preserve"> </w:t>
      </w:r>
    </w:p>
  </w:footnote>
  <w:footnote w:id="22">
    <w:p w14:paraId="6A1F5D7B" w14:textId="13D85F12" w:rsidR="003E0C34" w:rsidRPr="00275279" w:rsidRDefault="003E0C34" w:rsidP="00C962CC">
      <w:pPr>
        <w:spacing w:after="120"/>
        <w:rPr>
          <w:sz w:val="22"/>
        </w:rPr>
      </w:pPr>
      <w:r w:rsidRPr="00065525">
        <w:rPr>
          <w:rStyle w:val="FootnoteReference"/>
          <w:sz w:val="22"/>
        </w:rPr>
        <w:footnoteRef/>
      </w:r>
      <w:r w:rsidRPr="00065525">
        <w:rPr>
          <w:sz w:val="22"/>
        </w:rPr>
        <w:t xml:space="preserve"> </w:t>
      </w:r>
      <w:r>
        <w:rPr>
          <w:sz w:val="22"/>
        </w:rPr>
        <w:t xml:space="preserve"> </w:t>
      </w:r>
      <w:r w:rsidRPr="00275279">
        <w:rPr>
          <w:sz w:val="22"/>
        </w:rPr>
        <w:t>Scoping Memo, Issue (b) at 4.</w:t>
      </w:r>
    </w:p>
  </w:footnote>
  <w:footnote w:id="23">
    <w:p w14:paraId="23D2B897" w14:textId="05F887A8" w:rsidR="00FB464C" w:rsidRDefault="00FB464C">
      <w:pPr>
        <w:pStyle w:val="FootnoteText"/>
      </w:pPr>
      <w:r>
        <w:rPr>
          <w:rStyle w:val="FootnoteReference"/>
        </w:rPr>
        <w:footnoteRef/>
      </w:r>
      <w:r>
        <w:t xml:space="preserve"> </w:t>
      </w:r>
      <w:r w:rsidR="00C962CC">
        <w:t xml:space="preserve"> </w:t>
      </w:r>
      <w:r>
        <w:t>On July 1, 2021 the Wildfire Safety Division</w:t>
      </w:r>
      <w:r w:rsidR="00EA464C">
        <w:t xml:space="preserve"> (WSD)</w:t>
      </w:r>
      <w:r>
        <w:t xml:space="preserve"> become OEIS</w:t>
      </w:r>
      <w:r w:rsidR="00EA464C">
        <w:t>.</w:t>
      </w:r>
    </w:p>
  </w:footnote>
  <w:footnote w:id="24">
    <w:p w14:paraId="489DACFE" w14:textId="1F226D88" w:rsidR="003E0C34" w:rsidRDefault="003E0C34">
      <w:pPr>
        <w:pStyle w:val="FootnoteText"/>
      </w:pPr>
      <w:r>
        <w:rPr>
          <w:rStyle w:val="FootnoteReference"/>
        </w:rPr>
        <w:footnoteRef/>
      </w:r>
      <w:r>
        <w:t xml:space="preserve">  </w:t>
      </w:r>
      <w:r w:rsidRPr="00275279">
        <w:t xml:space="preserve">Resolution WSD-011, Attachment 2.2 - 2021 </w:t>
      </w:r>
      <w:r w:rsidR="001F3885">
        <w:t xml:space="preserve">OEIS </w:t>
      </w:r>
      <w:r w:rsidRPr="00275279">
        <w:t>WMP Guidelines Template</w:t>
      </w:r>
      <w:r>
        <w:t xml:space="preserve"> at 27. </w:t>
      </w:r>
    </w:p>
  </w:footnote>
  <w:footnote w:id="25">
    <w:p w14:paraId="4818734E" w14:textId="443EACD7" w:rsidR="003E0C34" w:rsidRPr="00400E9F" w:rsidRDefault="003E0C34" w:rsidP="00C962CC">
      <w:pPr>
        <w:spacing w:after="120"/>
        <w:rPr>
          <w:sz w:val="22"/>
        </w:rPr>
      </w:pPr>
      <w:r w:rsidRPr="00426FB2">
        <w:rPr>
          <w:rStyle w:val="FootnoteReference"/>
          <w:sz w:val="22"/>
        </w:rPr>
        <w:footnoteRef/>
      </w:r>
      <w:r w:rsidRPr="00426FB2">
        <w:rPr>
          <w:rStyle w:val="FootnoteReference"/>
          <w:sz w:val="22"/>
        </w:rPr>
        <w:t xml:space="preserve"> </w:t>
      </w:r>
      <w:r w:rsidRPr="00426FB2">
        <w:rPr>
          <w:sz w:val="22"/>
        </w:rPr>
        <w:t xml:space="preserve"> </w:t>
      </w:r>
      <w:r w:rsidRPr="00400E9F">
        <w:rPr>
          <w:sz w:val="22"/>
        </w:rPr>
        <w:t>Staff Track 1 Recommendations at 16; SDG&amp;E 2021 WMP Plan Update at 28-29.</w:t>
      </w:r>
    </w:p>
  </w:footnote>
  <w:footnote w:id="26">
    <w:p w14:paraId="6D0C433D" w14:textId="33798075" w:rsidR="003E0C34" w:rsidRDefault="003E0C34" w:rsidP="00AA67EF">
      <w:pPr>
        <w:pStyle w:val="FootnoteText"/>
      </w:pPr>
      <w:r w:rsidRPr="00400E9F">
        <w:rPr>
          <w:rStyle w:val="FootnoteReference"/>
          <w:szCs w:val="22"/>
        </w:rPr>
        <w:footnoteRef/>
      </w:r>
      <w:r w:rsidRPr="00400E9F">
        <w:rPr>
          <w:szCs w:val="22"/>
        </w:rPr>
        <w:t xml:space="preserve"> </w:t>
      </w:r>
      <w:r>
        <w:rPr>
          <w:szCs w:val="22"/>
        </w:rPr>
        <w:t xml:space="preserve"> </w:t>
      </w:r>
      <w:r w:rsidRPr="005208F3">
        <w:rPr>
          <w:i/>
          <w:iCs/>
          <w:szCs w:val="22"/>
        </w:rPr>
        <w:t>See</w:t>
      </w:r>
      <w:r w:rsidRPr="00400E9F">
        <w:rPr>
          <w:szCs w:val="22"/>
        </w:rPr>
        <w:t xml:space="preserve"> SDG&amp;E RAMP, available as of August 23, 2020 at: </w:t>
      </w:r>
      <w:hyperlink r:id="rId2" w:history="1">
        <w:r w:rsidRPr="00400E9F">
          <w:rPr>
            <w:rStyle w:val="Hyperlink"/>
            <w:szCs w:val="22"/>
          </w:rPr>
          <w:t>https://www.sdge.com/proceedings/2021-sdge-ramp-report</w:t>
        </w:r>
      </w:hyperlink>
      <w:r w:rsidRPr="00400E9F">
        <w:rPr>
          <w:szCs w:val="22"/>
        </w:rPr>
        <w:t xml:space="preserve">.  </w:t>
      </w:r>
    </w:p>
  </w:footnote>
  <w:footnote w:id="27">
    <w:p w14:paraId="734867F6" w14:textId="614ADEBE" w:rsidR="003E0C34" w:rsidRPr="00BA1533" w:rsidRDefault="003E0C34" w:rsidP="005208F3">
      <w:pPr>
        <w:pStyle w:val="FootnoteText"/>
      </w:pPr>
      <w:r w:rsidRPr="00BA1533">
        <w:rPr>
          <w:rStyle w:val="FootnoteReference"/>
          <w:szCs w:val="22"/>
        </w:rPr>
        <w:footnoteRef/>
      </w:r>
      <w:r w:rsidRPr="00BA1533">
        <w:t xml:space="preserve"> </w:t>
      </w:r>
      <w:r>
        <w:t xml:space="preserve"> </w:t>
      </w:r>
      <w:r w:rsidRPr="00BA1533">
        <w:t xml:space="preserve">This decision was issued in R.18-12-005 and </w:t>
      </w:r>
      <w:r w:rsidR="00084DAC">
        <w:t>adopted PSPS G</w:t>
      </w:r>
      <w:r w:rsidRPr="00BA1533">
        <w:t xml:space="preserve">uidelines and rules for utilities.  </w:t>
      </w:r>
    </w:p>
  </w:footnote>
  <w:footnote w:id="28">
    <w:p w14:paraId="75812CCC" w14:textId="1259D88E" w:rsidR="003E0C34" w:rsidRDefault="003E0C34" w:rsidP="005208F3">
      <w:pPr>
        <w:pStyle w:val="FootnoteText"/>
      </w:pPr>
      <w:r w:rsidRPr="00BA1533">
        <w:rPr>
          <w:rStyle w:val="FootnoteReference"/>
          <w:szCs w:val="22"/>
        </w:rPr>
        <w:footnoteRef/>
      </w:r>
      <w:r w:rsidRPr="00BA1533">
        <w:rPr>
          <w:szCs w:val="22"/>
        </w:rPr>
        <w:t xml:space="preserve"> </w:t>
      </w:r>
      <w:r>
        <w:rPr>
          <w:szCs w:val="22"/>
        </w:rPr>
        <w:t xml:space="preserve"> </w:t>
      </w:r>
      <w:r w:rsidRPr="00BA1533">
        <w:rPr>
          <w:szCs w:val="22"/>
        </w:rPr>
        <w:t xml:space="preserve">Southern </w:t>
      </w:r>
      <w:r w:rsidRPr="005208F3">
        <w:t>California</w:t>
      </w:r>
      <w:r w:rsidRPr="00BA1533">
        <w:rPr>
          <w:szCs w:val="22"/>
        </w:rPr>
        <w:t xml:space="preserve"> Edison 2020-2022 Wildfire Mitigation Plan</w:t>
      </w:r>
      <w:r>
        <w:rPr>
          <w:szCs w:val="22"/>
        </w:rPr>
        <w:t>.</w:t>
      </w:r>
      <w:r w:rsidRPr="00BA1533">
        <w:rPr>
          <w:szCs w:val="22"/>
        </w:rPr>
        <w:t xml:space="preserve"> </w:t>
      </w:r>
      <w:r>
        <w:rPr>
          <w:szCs w:val="22"/>
        </w:rPr>
        <w:t xml:space="preserve"> Available as of August 25, 2021 here:  </w:t>
      </w:r>
      <w:hyperlink r:id="rId3" w:history="1">
        <w:r w:rsidRPr="003215F8">
          <w:rPr>
            <w:rStyle w:val="Hyperlink"/>
            <w:szCs w:val="22"/>
          </w:rPr>
          <w:t>https://www.sce.com/sites/default/files/AEM/SCE%202020-2022%20Wildfire%20Mitigation%20Plan.pdf</w:t>
        </w:r>
      </w:hyperlink>
      <w:r>
        <w:rPr>
          <w:szCs w:val="22"/>
        </w:rPr>
        <w:t xml:space="preserve">.  </w:t>
      </w:r>
    </w:p>
  </w:footnote>
  <w:footnote w:id="29">
    <w:p w14:paraId="77BD4EDB" w14:textId="422ED473" w:rsidR="003E0C34" w:rsidRPr="00875A44" w:rsidRDefault="003E0C34">
      <w:pPr>
        <w:pStyle w:val="FootnoteText"/>
      </w:pPr>
      <w:r w:rsidRPr="00875A44">
        <w:rPr>
          <w:rStyle w:val="FootnoteReference"/>
        </w:rPr>
        <w:footnoteRef/>
      </w:r>
      <w:r w:rsidRPr="00875A44">
        <w:t xml:space="preserve"> </w:t>
      </w:r>
      <w:r>
        <w:t xml:space="preserve"> </w:t>
      </w:r>
      <w:r w:rsidRPr="00875A44">
        <w:t xml:space="preserve">D.18-12-014, Appendix A, </w:t>
      </w:r>
      <w:r>
        <w:t>a</w:t>
      </w:r>
      <w:r w:rsidRPr="00875A44">
        <w:t xml:space="preserve">t A-17. </w:t>
      </w:r>
    </w:p>
  </w:footnote>
  <w:footnote w:id="30">
    <w:p w14:paraId="1E22C6DF" w14:textId="411368C6" w:rsidR="003E0C34" w:rsidRPr="00BC3F97" w:rsidRDefault="003E0C34" w:rsidP="005208F3">
      <w:pPr>
        <w:pStyle w:val="FootnoteText"/>
      </w:pPr>
      <w:r w:rsidRPr="00BC3F97">
        <w:rPr>
          <w:rStyle w:val="FootnoteReference"/>
        </w:rPr>
        <w:footnoteRef/>
      </w:r>
      <w:r w:rsidRPr="00BC3F97">
        <w:t xml:space="preserve"> </w:t>
      </w:r>
      <w:r>
        <w:t xml:space="preserve"> </w:t>
      </w:r>
      <w:r w:rsidRPr="00BC3F97">
        <w:t>Scoping Memo, Issue (c.)</w:t>
      </w:r>
      <w:r w:rsidRPr="00BC3F97">
        <w:rPr>
          <w:color w:val="201F1E"/>
        </w:rPr>
        <w:t xml:space="preserve"> at 4.</w:t>
      </w:r>
    </w:p>
  </w:footnote>
  <w:footnote w:id="31">
    <w:p w14:paraId="373428BC" w14:textId="583E3772" w:rsidR="003E0C34" w:rsidRPr="00BC3F97" w:rsidRDefault="003E0C34" w:rsidP="005208F3">
      <w:pPr>
        <w:pStyle w:val="FootnoteText"/>
      </w:pPr>
      <w:r w:rsidRPr="00BC3F97">
        <w:rPr>
          <w:rStyle w:val="FootnoteReference"/>
        </w:rPr>
        <w:footnoteRef/>
      </w:r>
      <w:r w:rsidRPr="00BC3F97">
        <w:t xml:space="preserve"> </w:t>
      </w:r>
      <w:r>
        <w:t xml:space="preserve"> </w:t>
      </w:r>
      <w:r w:rsidRPr="00BC3F97">
        <w:t>D.18-12-014 at 17.</w:t>
      </w:r>
    </w:p>
  </w:footnote>
  <w:footnote w:id="32">
    <w:p w14:paraId="670B9853" w14:textId="65E1F976" w:rsidR="003E0C34" w:rsidRPr="00BC3F97" w:rsidRDefault="003E0C34" w:rsidP="005208F3">
      <w:pPr>
        <w:pStyle w:val="FootnoteText"/>
      </w:pPr>
      <w:r w:rsidRPr="00BC3F97">
        <w:rPr>
          <w:rStyle w:val="FootnoteReference"/>
        </w:rPr>
        <w:footnoteRef/>
      </w:r>
      <w:r w:rsidRPr="00BC3F97">
        <w:t xml:space="preserve"> </w:t>
      </w:r>
      <w:r>
        <w:t xml:space="preserve"> </w:t>
      </w:r>
      <w:r w:rsidRPr="00BC3F97">
        <w:t>D.18-12-014, Appendix A.</w:t>
      </w:r>
    </w:p>
  </w:footnote>
  <w:footnote w:id="33">
    <w:p w14:paraId="42DF94CC" w14:textId="292C1709" w:rsidR="003E0C34" w:rsidRPr="00BC3F97" w:rsidRDefault="003E0C34" w:rsidP="005208F3">
      <w:pPr>
        <w:pStyle w:val="FootnoteText"/>
      </w:pPr>
      <w:r w:rsidRPr="00BC3F97">
        <w:rPr>
          <w:rStyle w:val="FootnoteReference"/>
        </w:rPr>
        <w:footnoteRef/>
      </w:r>
      <w:r w:rsidRPr="00BC3F97">
        <w:t xml:space="preserve"> </w:t>
      </w:r>
      <w:r>
        <w:t xml:space="preserve"> </w:t>
      </w:r>
      <w:r w:rsidRPr="00BC3F97">
        <w:t>D.18-12-014, Appendix A.</w:t>
      </w:r>
    </w:p>
  </w:footnote>
  <w:footnote w:id="34">
    <w:p w14:paraId="12FE0671" w14:textId="3DA00AD2" w:rsidR="003E0C34" w:rsidRPr="00BC3F97" w:rsidRDefault="003E0C34" w:rsidP="005208F3">
      <w:pPr>
        <w:spacing w:after="120"/>
        <w:rPr>
          <w:sz w:val="22"/>
          <w:szCs w:val="22"/>
        </w:rPr>
      </w:pPr>
      <w:r w:rsidRPr="00426FB2">
        <w:rPr>
          <w:rStyle w:val="FootnoteReference"/>
          <w:sz w:val="22"/>
          <w:szCs w:val="22"/>
        </w:rPr>
        <w:footnoteRef/>
      </w:r>
      <w:r w:rsidRPr="00426FB2">
        <w:rPr>
          <w:sz w:val="22"/>
          <w:szCs w:val="22"/>
        </w:rPr>
        <w:t xml:space="preserve">  MGRA</w:t>
      </w:r>
      <w:r w:rsidRPr="00BC3F97">
        <w:rPr>
          <w:sz w:val="22"/>
          <w:szCs w:val="22"/>
        </w:rPr>
        <w:t>, Comments on RDF OIR;  MGRA, Protest in Proceeding A.20-06-012, July 29, 2020.</w:t>
      </w:r>
    </w:p>
  </w:footnote>
  <w:footnote w:id="35">
    <w:p w14:paraId="3649D5D9" w14:textId="30CDD3AB" w:rsidR="003E0C34" w:rsidRPr="00BC3F97" w:rsidRDefault="003E0C34" w:rsidP="005208F3">
      <w:pPr>
        <w:spacing w:after="120"/>
        <w:rPr>
          <w:sz w:val="22"/>
          <w:szCs w:val="22"/>
        </w:rPr>
      </w:pPr>
      <w:r w:rsidRPr="00BC3F97">
        <w:rPr>
          <w:rStyle w:val="FootnoteReference"/>
          <w:bCs/>
          <w:sz w:val="22"/>
          <w:szCs w:val="22"/>
        </w:rPr>
        <w:footnoteRef/>
      </w:r>
      <w:r w:rsidRPr="00BC3F97">
        <w:rPr>
          <w:sz w:val="22"/>
          <w:szCs w:val="22"/>
        </w:rPr>
        <w:t xml:space="preserve"> </w:t>
      </w:r>
      <w:r>
        <w:rPr>
          <w:sz w:val="22"/>
          <w:szCs w:val="22"/>
        </w:rPr>
        <w:t xml:space="preserve"> </w:t>
      </w:r>
      <w:r w:rsidRPr="00E866DB">
        <w:rPr>
          <w:sz w:val="22"/>
          <w:szCs w:val="22"/>
        </w:rPr>
        <w:t>MGRA White Paper</w:t>
      </w:r>
      <w:r w:rsidRPr="00BC3F97">
        <w:rPr>
          <w:sz w:val="22"/>
          <w:szCs w:val="22"/>
        </w:rPr>
        <w:t xml:space="preserve">, </w:t>
      </w:r>
      <w:r w:rsidRPr="00BC3F97">
        <w:rPr>
          <w:i/>
          <w:iCs/>
          <w:sz w:val="22"/>
          <w:szCs w:val="22"/>
        </w:rPr>
        <w:t>Wildfire Statistics and the Use of Power Laws for Power Line Fire Prevention</w:t>
      </w:r>
      <w:r w:rsidRPr="00BC3F97">
        <w:rPr>
          <w:sz w:val="22"/>
          <w:szCs w:val="22"/>
        </w:rPr>
        <w:t>, (MGRA White Paper) February 11, 2021</w:t>
      </w:r>
      <w:r w:rsidR="005158EC">
        <w:rPr>
          <w:sz w:val="22"/>
          <w:szCs w:val="22"/>
        </w:rPr>
        <w:t xml:space="preserve"> was attached </w:t>
      </w:r>
      <w:r w:rsidR="00041EAC" w:rsidRPr="00BC3F97">
        <w:rPr>
          <w:sz w:val="22"/>
          <w:szCs w:val="22"/>
        </w:rPr>
        <w:t>a</w:t>
      </w:r>
      <w:r w:rsidR="00041EAC">
        <w:rPr>
          <w:sz w:val="22"/>
          <w:szCs w:val="22"/>
        </w:rPr>
        <w:t>s</w:t>
      </w:r>
      <w:r w:rsidR="00041EAC" w:rsidRPr="00BC3F97">
        <w:rPr>
          <w:sz w:val="22"/>
          <w:szCs w:val="22"/>
        </w:rPr>
        <w:t xml:space="preserve"> Appendix A</w:t>
      </w:r>
      <w:r w:rsidR="00041EAC">
        <w:rPr>
          <w:sz w:val="22"/>
          <w:szCs w:val="22"/>
        </w:rPr>
        <w:t xml:space="preserve"> </w:t>
      </w:r>
      <w:r w:rsidR="005158EC">
        <w:rPr>
          <w:sz w:val="22"/>
          <w:szCs w:val="22"/>
        </w:rPr>
        <w:t xml:space="preserve">to </w:t>
      </w:r>
      <w:r w:rsidR="005158EC" w:rsidRPr="005158EC">
        <w:rPr>
          <w:sz w:val="22"/>
          <w:szCs w:val="22"/>
        </w:rPr>
        <w:t>M</w:t>
      </w:r>
      <w:r w:rsidR="00791322">
        <w:rPr>
          <w:sz w:val="22"/>
          <w:szCs w:val="22"/>
        </w:rPr>
        <w:t xml:space="preserve">GRA’s </w:t>
      </w:r>
      <w:r w:rsidR="005158EC" w:rsidRPr="005158EC">
        <w:rPr>
          <w:sz w:val="22"/>
          <w:szCs w:val="22"/>
        </w:rPr>
        <w:t>Comments Regarding Development of Safety and Operational Metrics</w:t>
      </w:r>
      <w:r w:rsidR="005158EC">
        <w:rPr>
          <w:sz w:val="22"/>
          <w:szCs w:val="22"/>
        </w:rPr>
        <w:t xml:space="preserve"> filed</w:t>
      </w:r>
      <w:r w:rsidR="005158EC" w:rsidRPr="005158EC">
        <w:rPr>
          <w:sz w:val="22"/>
          <w:szCs w:val="22"/>
        </w:rPr>
        <w:t xml:space="preserve"> March 1, 2021</w:t>
      </w:r>
      <w:r w:rsidR="00385784">
        <w:rPr>
          <w:sz w:val="22"/>
          <w:szCs w:val="22"/>
        </w:rPr>
        <w:t>,</w:t>
      </w:r>
      <w:r w:rsidR="0066670C">
        <w:rPr>
          <w:sz w:val="22"/>
          <w:szCs w:val="22"/>
        </w:rPr>
        <w:t xml:space="preserve"> </w:t>
      </w:r>
      <w:r w:rsidRPr="00BC3F97">
        <w:rPr>
          <w:sz w:val="22"/>
          <w:szCs w:val="22"/>
        </w:rPr>
        <w:t xml:space="preserve">available as of August 23, 2021 at: </w:t>
      </w:r>
      <w:hyperlink r:id="rId4" w:history="1">
        <w:r w:rsidRPr="00BC3F97">
          <w:rPr>
            <w:rStyle w:val="Hyperlink"/>
            <w:sz w:val="22"/>
            <w:szCs w:val="22"/>
          </w:rPr>
          <w:t>https://docs.cpuc.ca.gov/PublishedDocs/Efile/G000/M368/K055/368055506.PDF</w:t>
        </w:r>
      </w:hyperlink>
      <w:r w:rsidRPr="00BC3F97">
        <w:rPr>
          <w:sz w:val="22"/>
          <w:szCs w:val="22"/>
        </w:rPr>
        <w:t xml:space="preserve">.  </w:t>
      </w:r>
    </w:p>
  </w:footnote>
  <w:footnote w:id="36">
    <w:p w14:paraId="19F8B3F5" w14:textId="38A95DC2" w:rsidR="003E0C34" w:rsidRPr="005208F3" w:rsidRDefault="003E0C34" w:rsidP="005208F3">
      <w:pPr>
        <w:spacing w:after="120"/>
        <w:rPr>
          <w:sz w:val="22"/>
          <w:szCs w:val="22"/>
        </w:rPr>
      </w:pPr>
      <w:r w:rsidRPr="005208F3">
        <w:rPr>
          <w:rStyle w:val="FootnoteReference"/>
          <w:sz w:val="22"/>
          <w:szCs w:val="22"/>
        </w:rPr>
        <w:footnoteRef/>
      </w:r>
      <w:r w:rsidRPr="00BC3F97">
        <w:rPr>
          <w:szCs w:val="22"/>
        </w:rPr>
        <w:t xml:space="preserve"> </w:t>
      </w:r>
      <w:r>
        <w:rPr>
          <w:szCs w:val="22"/>
        </w:rPr>
        <w:t xml:space="preserve"> </w:t>
      </w:r>
      <w:r w:rsidRPr="005208F3">
        <w:rPr>
          <w:sz w:val="22"/>
          <w:szCs w:val="22"/>
        </w:rPr>
        <w:t xml:space="preserve">Staff Track 1 Recommendations at 19-22. </w:t>
      </w:r>
    </w:p>
  </w:footnote>
  <w:footnote w:id="37">
    <w:p w14:paraId="7573A7F1" w14:textId="547E9D60" w:rsidR="003E0C34" w:rsidRPr="005208F3" w:rsidRDefault="003E0C34" w:rsidP="005208F3">
      <w:pPr>
        <w:spacing w:after="120"/>
        <w:rPr>
          <w:sz w:val="22"/>
          <w:szCs w:val="22"/>
        </w:rPr>
      </w:pPr>
      <w:r w:rsidRPr="005208F3">
        <w:rPr>
          <w:rStyle w:val="FootnoteReference"/>
          <w:sz w:val="22"/>
          <w:szCs w:val="22"/>
        </w:rPr>
        <w:footnoteRef/>
      </w:r>
      <w:r w:rsidRPr="005208F3">
        <w:rPr>
          <w:sz w:val="22"/>
          <w:szCs w:val="22"/>
        </w:rPr>
        <w:t xml:space="preserve">  </w:t>
      </w:r>
      <w:r w:rsidRPr="005208F3">
        <w:rPr>
          <w:i/>
          <w:iCs/>
          <w:sz w:val="22"/>
          <w:szCs w:val="22"/>
        </w:rPr>
        <w:t>Id.</w:t>
      </w:r>
      <w:r w:rsidRPr="005208F3">
        <w:rPr>
          <w:sz w:val="22"/>
          <w:szCs w:val="22"/>
        </w:rPr>
        <w:t xml:space="preserve"> at 21. </w:t>
      </w:r>
    </w:p>
  </w:footnote>
  <w:footnote w:id="38">
    <w:p w14:paraId="6059A614" w14:textId="34F23A87" w:rsidR="003E0C34" w:rsidRPr="005208F3" w:rsidRDefault="003E0C34" w:rsidP="005208F3">
      <w:pPr>
        <w:spacing w:after="120"/>
        <w:rPr>
          <w:i/>
          <w:iCs/>
          <w:sz w:val="22"/>
          <w:szCs w:val="22"/>
        </w:rPr>
      </w:pPr>
      <w:r w:rsidRPr="00426FB2">
        <w:rPr>
          <w:rStyle w:val="FootnoteReference"/>
          <w:sz w:val="22"/>
          <w:szCs w:val="22"/>
        </w:rPr>
        <w:footnoteRef/>
      </w:r>
      <w:r w:rsidRPr="00426FB2">
        <w:rPr>
          <w:sz w:val="22"/>
          <w:szCs w:val="22"/>
        </w:rPr>
        <w:t xml:space="preserve">  </w:t>
      </w:r>
      <w:r w:rsidRPr="005208F3">
        <w:rPr>
          <w:i/>
          <w:iCs/>
          <w:sz w:val="22"/>
          <w:szCs w:val="22"/>
        </w:rPr>
        <w:t>MGRA, Comments on Staff Proposal at 7.</w:t>
      </w:r>
    </w:p>
  </w:footnote>
  <w:footnote w:id="39">
    <w:p w14:paraId="040F21CB" w14:textId="4BBC2AED" w:rsidR="003E0C34" w:rsidRDefault="003E0C34">
      <w:pPr>
        <w:pStyle w:val="FootnoteText"/>
      </w:pPr>
      <w:r w:rsidRPr="00E866DB">
        <w:rPr>
          <w:rStyle w:val="FootnoteReference"/>
        </w:rPr>
        <w:footnoteRef/>
      </w:r>
      <w:r w:rsidRPr="00E866DB">
        <w:t xml:space="preserve"> </w:t>
      </w:r>
      <w:r>
        <w:t xml:space="preserve"> </w:t>
      </w:r>
      <w:r w:rsidRPr="00E866DB">
        <w:t>MGRA, Reply Comments on Staff Proposal at 2.</w:t>
      </w:r>
    </w:p>
  </w:footnote>
  <w:footnote w:id="40">
    <w:p w14:paraId="23608DAB" w14:textId="0CC7B6CB" w:rsidR="003E0C34" w:rsidRPr="0009619B" w:rsidRDefault="003E0C34">
      <w:pPr>
        <w:pStyle w:val="FootnoteText"/>
      </w:pPr>
      <w:r w:rsidRPr="0009619B">
        <w:rPr>
          <w:rStyle w:val="FootnoteReference"/>
        </w:rPr>
        <w:footnoteRef/>
      </w:r>
      <w:r w:rsidRPr="0009619B">
        <w:t xml:space="preserve"> </w:t>
      </w:r>
      <w:r>
        <w:t xml:space="preserve"> </w:t>
      </w:r>
      <w:r w:rsidRPr="0009619B">
        <w:t>D.18-12-014, Appendix A at A-17.</w:t>
      </w:r>
    </w:p>
  </w:footnote>
  <w:footnote w:id="41">
    <w:p w14:paraId="0D56C47B" w14:textId="5DF1382A" w:rsidR="003E0C34" w:rsidRPr="0059324C" w:rsidRDefault="003E0C34" w:rsidP="00F81DCD">
      <w:pPr>
        <w:pStyle w:val="FootnoteText"/>
      </w:pPr>
      <w:r w:rsidRPr="0059324C">
        <w:rPr>
          <w:rStyle w:val="FootnoteReference"/>
        </w:rPr>
        <w:footnoteRef/>
      </w:r>
      <w:r w:rsidRPr="0059324C">
        <w:t xml:space="preserve"> </w:t>
      </w:r>
      <w:r>
        <w:t xml:space="preserve"> </w:t>
      </w:r>
      <w:r w:rsidRPr="0059324C">
        <w:t>RDF filings refer to all IOUs filings related to the RDF proceedings, including RAMP applications, R</w:t>
      </w:r>
      <w:r w:rsidR="00F34F63">
        <w:t>SARs</w:t>
      </w:r>
      <w:r w:rsidRPr="0059324C">
        <w:t xml:space="preserve">, and GRC filings associated with RAMP. </w:t>
      </w:r>
    </w:p>
  </w:footnote>
  <w:footnote w:id="42">
    <w:p w14:paraId="54529ADE" w14:textId="642ED472" w:rsidR="003E0C34" w:rsidRPr="00767508" w:rsidRDefault="003E0C34" w:rsidP="00760938">
      <w:pPr>
        <w:pStyle w:val="FootnoteText"/>
      </w:pPr>
      <w:r w:rsidRPr="00767508">
        <w:rPr>
          <w:rStyle w:val="FootnoteReference"/>
        </w:rPr>
        <w:footnoteRef/>
      </w:r>
      <w:r w:rsidRPr="00767508">
        <w:rPr>
          <w:b/>
        </w:rPr>
        <w:t xml:space="preserve"> </w:t>
      </w:r>
      <w:r>
        <w:rPr>
          <w:b/>
        </w:rPr>
        <w:t xml:space="preserve"> </w:t>
      </w:r>
      <w:r w:rsidRPr="00767508">
        <w:t>TURN’s Transparency of Estimates and Assumption Presentation</w:t>
      </w:r>
      <w:r w:rsidRPr="00767508">
        <w:rPr>
          <w:i/>
        </w:rPr>
        <w:t xml:space="preserve">, </w:t>
      </w:r>
      <w:r w:rsidRPr="00767508">
        <w:t>March 10, 2021</w:t>
      </w:r>
      <w:r w:rsidR="0009671B">
        <w:t> </w:t>
      </w:r>
      <w:r w:rsidRPr="00767508">
        <w:t>T</w:t>
      </w:r>
      <w:r w:rsidR="00155527">
        <w:t>rack</w:t>
      </w:r>
      <w:r w:rsidR="003F0B43">
        <w:t> </w:t>
      </w:r>
      <w:r w:rsidR="00155527">
        <w:t xml:space="preserve">1 working group </w:t>
      </w:r>
      <w:r w:rsidRPr="00767508">
        <w:t>meeting.</w:t>
      </w:r>
    </w:p>
  </w:footnote>
  <w:footnote w:id="43">
    <w:p w14:paraId="17E6CA28" w14:textId="2CF3B224" w:rsidR="003E0C34" w:rsidRPr="00767508" w:rsidRDefault="003E0C34">
      <w:pPr>
        <w:pStyle w:val="FootnoteText"/>
      </w:pPr>
      <w:r w:rsidRPr="00767508">
        <w:rPr>
          <w:rStyle w:val="FootnoteReference"/>
        </w:rPr>
        <w:footnoteRef/>
      </w:r>
      <w:r w:rsidRPr="00767508">
        <w:t xml:space="preserve"> </w:t>
      </w:r>
      <w:r>
        <w:t xml:space="preserve"> </w:t>
      </w:r>
      <w:r w:rsidRPr="00767508">
        <w:t>Staff Track 1 Recommendations at 29.</w:t>
      </w:r>
    </w:p>
  </w:footnote>
  <w:footnote w:id="44">
    <w:p w14:paraId="10C61FD7" w14:textId="1C05DE0E" w:rsidR="003E0C34" w:rsidRDefault="003E0C34">
      <w:pPr>
        <w:pStyle w:val="FootnoteText"/>
      </w:pPr>
      <w:r w:rsidRPr="00767508">
        <w:rPr>
          <w:rStyle w:val="FootnoteReference"/>
        </w:rPr>
        <w:footnoteRef/>
      </w:r>
      <w:r w:rsidRPr="00767508">
        <w:t xml:space="preserve"> </w:t>
      </w:r>
      <w:r>
        <w:t xml:space="preserve"> </w:t>
      </w:r>
      <w:r w:rsidRPr="00767508">
        <w:rPr>
          <w:i/>
        </w:rPr>
        <w:t>Ibid.</w:t>
      </w:r>
    </w:p>
  </w:footnote>
  <w:footnote w:id="45">
    <w:p w14:paraId="23DA6720" w14:textId="282483CC" w:rsidR="003E0C34" w:rsidRPr="00767508" w:rsidRDefault="003E0C34">
      <w:pPr>
        <w:pStyle w:val="FootnoteText"/>
      </w:pPr>
      <w:r w:rsidRPr="00767508">
        <w:rPr>
          <w:rStyle w:val="FootnoteReference"/>
        </w:rPr>
        <w:footnoteRef/>
      </w:r>
      <w:r w:rsidRPr="00767508">
        <w:t xml:space="preserve"> </w:t>
      </w:r>
      <w:r>
        <w:t xml:space="preserve"> </w:t>
      </w:r>
      <w:r w:rsidRPr="00767508">
        <w:rPr>
          <w:i/>
        </w:rPr>
        <w:t>Id.</w:t>
      </w:r>
      <w:r w:rsidRPr="00767508">
        <w:t xml:space="preserve"> at 32.</w:t>
      </w:r>
    </w:p>
  </w:footnote>
  <w:footnote w:id="46">
    <w:p w14:paraId="1D631DEC" w14:textId="1BE0F23E" w:rsidR="003E0C34" w:rsidRDefault="003E0C34">
      <w:pPr>
        <w:pStyle w:val="FootnoteText"/>
      </w:pPr>
      <w:r w:rsidRPr="00767508">
        <w:rPr>
          <w:rStyle w:val="FootnoteReference"/>
        </w:rPr>
        <w:footnoteRef/>
      </w:r>
      <w:r w:rsidRPr="00767508">
        <w:t xml:space="preserve"> </w:t>
      </w:r>
      <w:r>
        <w:t xml:space="preserve"> </w:t>
      </w:r>
      <w:r w:rsidRPr="00767508">
        <w:rPr>
          <w:i/>
        </w:rPr>
        <w:t>Ibid.</w:t>
      </w:r>
      <w:r w:rsidRPr="00767508">
        <w:t xml:space="preserve"> </w:t>
      </w:r>
    </w:p>
  </w:footnote>
  <w:footnote w:id="47">
    <w:p w14:paraId="75CC3D56" w14:textId="1FB9F2CB" w:rsidR="003E0C34" w:rsidRPr="00767508" w:rsidRDefault="003E0C34" w:rsidP="006628F0">
      <w:pPr>
        <w:pStyle w:val="FootnoteText"/>
      </w:pPr>
      <w:r w:rsidRPr="00767508">
        <w:rPr>
          <w:vertAlign w:val="superscript"/>
        </w:rPr>
        <w:footnoteRef/>
      </w:r>
      <w:r w:rsidRPr="00767508">
        <w:t xml:space="preserve"> </w:t>
      </w:r>
      <w:r>
        <w:t xml:space="preserve"> </w:t>
      </w:r>
      <w:r w:rsidRPr="00767508">
        <w:rPr>
          <w:i/>
        </w:rPr>
        <w:t xml:space="preserve">Id. </w:t>
      </w:r>
      <w:r w:rsidRPr="00767508">
        <w:t>at 33.</w:t>
      </w:r>
    </w:p>
  </w:footnote>
  <w:footnote w:id="48">
    <w:p w14:paraId="3221C9E5" w14:textId="3BA4070D" w:rsidR="003E0C34" w:rsidRDefault="003E0C34">
      <w:pPr>
        <w:pStyle w:val="FootnoteText"/>
      </w:pPr>
      <w:r w:rsidRPr="00767508">
        <w:rPr>
          <w:rStyle w:val="FootnoteReference"/>
        </w:rPr>
        <w:footnoteRef/>
      </w:r>
      <w:r w:rsidRPr="00767508">
        <w:t xml:space="preserve"> </w:t>
      </w:r>
      <w:r>
        <w:t xml:space="preserve"> </w:t>
      </w:r>
      <w:r w:rsidRPr="00767508">
        <w:rPr>
          <w:i/>
        </w:rPr>
        <w:t>Id</w:t>
      </w:r>
      <w:r w:rsidRPr="00767508">
        <w:t>. at 36.</w:t>
      </w:r>
      <w:r>
        <w:t xml:space="preserve"> </w:t>
      </w:r>
    </w:p>
  </w:footnote>
  <w:footnote w:id="49">
    <w:p w14:paraId="234A7430" w14:textId="590F4354" w:rsidR="003E0C34" w:rsidRPr="00991BEC" w:rsidRDefault="003E0C34">
      <w:pPr>
        <w:pStyle w:val="FootnoteText"/>
      </w:pPr>
      <w:r w:rsidRPr="00991BEC">
        <w:rPr>
          <w:rStyle w:val="FootnoteReference"/>
        </w:rPr>
        <w:footnoteRef/>
      </w:r>
      <w:r w:rsidRPr="00991BEC">
        <w:t xml:space="preserve"> </w:t>
      </w:r>
      <w:r>
        <w:t xml:space="preserve"> </w:t>
      </w:r>
      <w:r w:rsidRPr="00991BEC">
        <w:t xml:space="preserve">Cal Advocates, Comments on Staff Proposal at 36. </w:t>
      </w:r>
    </w:p>
  </w:footnote>
  <w:footnote w:id="50">
    <w:p w14:paraId="09EB63C7" w14:textId="3996D451" w:rsidR="003E0C34" w:rsidRPr="00003D89" w:rsidRDefault="003E0C34">
      <w:pPr>
        <w:pStyle w:val="FootnoteText"/>
      </w:pPr>
      <w:r w:rsidRPr="00183B72">
        <w:rPr>
          <w:rStyle w:val="FootnoteReference"/>
        </w:rPr>
        <w:footnoteRef/>
      </w:r>
      <w:r w:rsidRPr="00183B72">
        <w:t xml:space="preserve"> </w:t>
      </w:r>
      <w:r>
        <w:t xml:space="preserve"> </w:t>
      </w:r>
      <w:r w:rsidRPr="00183B72">
        <w:t xml:space="preserve">MGRA, Comments on Staff Proposal at 7. </w:t>
      </w:r>
    </w:p>
  </w:footnote>
  <w:footnote w:id="51">
    <w:p w14:paraId="124D6D69" w14:textId="6A5C095B" w:rsidR="003E0C34" w:rsidRPr="00767508" w:rsidRDefault="003E0C34">
      <w:pPr>
        <w:pStyle w:val="FootnoteText"/>
      </w:pPr>
      <w:r w:rsidRPr="00183B72">
        <w:rPr>
          <w:rStyle w:val="FootnoteReference"/>
        </w:rPr>
        <w:footnoteRef/>
      </w:r>
      <w:r w:rsidRPr="00183B72">
        <w:t xml:space="preserve"> </w:t>
      </w:r>
      <w:r>
        <w:t xml:space="preserve"> </w:t>
      </w:r>
      <w:r w:rsidRPr="00183B72">
        <w:t>MGRA, Reply Comments on Staff Proposal at 8.</w:t>
      </w:r>
    </w:p>
  </w:footnote>
  <w:footnote w:id="52">
    <w:p w14:paraId="6E93BDFF" w14:textId="67DFD168" w:rsidR="003E0C34" w:rsidRPr="00767508" w:rsidRDefault="003E0C34">
      <w:pPr>
        <w:pStyle w:val="FootnoteText"/>
      </w:pPr>
      <w:r w:rsidRPr="00767508">
        <w:rPr>
          <w:rStyle w:val="FootnoteReference"/>
        </w:rPr>
        <w:footnoteRef/>
      </w:r>
      <w:r w:rsidRPr="00767508">
        <w:t xml:space="preserve"> </w:t>
      </w:r>
      <w:r>
        <w:t xml:space="preserve"> </w:t>
      </w:r>
      <w:r w:rsidRPr="00767508">
        <w:t>TURN, Comments on Staff Proposal at 12.</w:t>
      </w:r>
    </w:p>
  </w:footnote>
  <w:footnote w:id="53">
    <w:p w14:paraId="423BA8FD" w14:textId="10716B76" w:rsidR="003E0C34" w:rsidRDefault="003E0C34">
      <w:pPr>
        <w:pStyle w:val="FootnoteText"/>
      </w:pPr>
      <w:r w:rsidRPr="00767508">
        <w:rPr>
          <w:rStyle w:val="FootnoteReference"/>
        </w:rPr>
        <w:footnoteRef/>
      </w:r>
      <w:r w:rsidRPr="00767508">
        <w:t xml:space="preserve"> </w:t>
      </w:r>
      <w:r>
        <w:t xml:space="preserve"> </w:t>
      </w:r>
      <w:r w:rsidRPr="00767508">
        <w:rPr>
          <w:i/>
        </w:rPr>
        <w:t>Id</w:t>
      </w:r>
      <w:r w:rsidRPr="00767508">
        <w:t>. at Attachment A, at 3.</w:t>
      </w:r>
      <w:r>
        <w:t xml:space="preserve"> </w:t>
      </w:r>
    </w:p>
  </w:footnote>
  <w:footnote w:id="54">
    <w:p w14:paraId="48FC8858" w14:textId="71744A59" w:rsidR="003E0C34" w:rsidRPr="00767508" w:rsidRDefault="003E0C34" w:rsidP="003F0B43">
      <w:pPr>
        <w:spacing w:after="120"/>
        <w:rPr>
          <w:sz w:val="22"/>
        </w:rPr>
      </w:pPr>
      <w:r w:rsidRPr="00767508">
        <w:rPr>
          <w:sz w:val="22"/>
          <w:vertAlign w:val="superscript"/>
        </w:rPr>
        <w:footnoteRef/>
      </w:r>
      <w:r w:rsidRPr="00767508">
        <w:rPr>
          <w:sz w:val="22"/>
        </w:rPr>
        <w:t xml:space="preserve"> </w:t>
      </w:r>
      <w:r>
        <w:rPr>
          <w:sz w:val="22"/>
        </w:rPr>
        <w:t xml:space="preserve"> </w:t>
      </w:r>
      <w:r w:rsidRPr="00767508">
        <w:rPr>
          <w:sz w:val="22"/>
        </w:rPr>
        <w:t>Scoping Memo, Issue (f.) at 3.</w:t>
      </w:r>
    </w:p>
  </w:footnote>
  <w:footnote w:id="55">
    <w:p w14:paraId="59363F1D" w14:textId="09874179" w:rsidR="003E0C34" w:rsidRPr="00767508" w:rsidRDefault="003E0C34" w:rsidP="003F0B43">
      <w:pPr>
        <w:spacing w:after="120"/>
      </w:pPr>
      <w:r w:rsidRPr="00767508">
        <w:rPr>
          <w:sz w:val="22"/>
          <w:vertAlign w:val="superscript"/>
        </w:rPr>
        <w:footnoteRef/>
      </w:r>
      <w:r w:rsidRPr="00767508">
        <w:rPr>
          <w:sz w:val="22"/>
          <w:vertAlign w:val="superscript"/>
        </w:rPr>
        <w:t xml:space="preserve"> </w:t>
      </w:r>
      <w:r>
        <w:rPr>
          <w:sz w:val="22"/>
          <w:vertAlign w:val="superscript"/>
        </w:rPr>
        <w:t xml:space="preserve">  </w:t>
      </w:r>
      <w:r w:rsidRPr="00767508">
        <w:rPr>
          <w:sz w:val="22"/>
        </w:rPr>
        <w:t>Scoping Memo at 8.</w:t>
      </w:r>
    </w:p>
  </w:footnote>
  <w:footnote w:id="56">
    <w:p w14:paraId="54B982AF" w14:textId="25558C94" w:rsidR="003E0C34" w:rsidRPr="003F0B43" w:rsidRDefault="003E0C34" w:rsidP="003F0B43">
      <w:pPr>
        <w:spacing w:after="120"/>
        <w:rPr>
          <w:sz w:val="22"/>
          <w:szCs w:val="22"/>
        </w:rPr>
      </w:pPr>
      <w:r w:rsidRPr="003F0B43">
        <w:rPr>
          <w:rStyle w:val="FootnoteReference"/>
          <w:sz w:val="22"/>
          <w:szCs w:val="22"/>
        </w:rPr>
        <w:footnoteRef/>
      </w:r>
      <w:r w:rsidRPr="003F0B43">
        <w:rPr>
          <w:sz w:val="22"/>
          <w:szCs w:val="22"/>
        </w:rPr>
        <w:t xml:space="preserve">  Staff Track 1 Recommendations at 23 – 27.</w:t>
      </w:r>
    </w:p>
  </w:footnote>
  <w:footnote w:id="57">
    <w:p w14:paraId="50D58B4D" w14:textId="5DFED1FF" w:rsidR="003E0C34" w:rsidRPr="00C477A9" w:rsidRDefault="003E0C34">
      <w:pPr>
        <w:pStyle w:val="FootnoteText"/>
        <w:rPr>
          <w:szCs w:val="22"/>
        </w:rPr>
      </w:pPr>
      <w:r w:rsidRPr="00C477A9">
        <w:rPr>
          <w:rStyle w:val="FootnoteReference"/>
          <w:szCs w:val="22"/>
        </w:rPr>
        <w:footnoteRef/>
      </w:r>
      <w:r w:rsidRPr="00C477A9">
        <w:rPr>
          <w:szCs w:val="22"/>
        </w:rPr>
        <w:t xml:space="preserve"> </w:t>
      </w:r>
      <w:r>
        <w:rPr>
          <w:szCs w:val="22"/>
        </w:rPr>
        <w:t xml:space="preserve"> </w:t>
      </w:r>
      <w:r w:rsidRPr="00C477A9">
        <w:rPr>
          <w:i/>
          <w:iCs/>
          <w:szCs w:val="22"/>
        </w:rPr>
        <w:t>Id.</w:t>
      </w:r>
      <w:r w:rsidRPr="00C477A9">
        <w:rPr>
          <w:szCs w:val="22"/>
        </w:rPr>
        <w:t xml:space="preserve"> at 28. </w:t>
      </w:r>
    </w:p>
  </w:footnote>
  <w:footnote w:id="58">
    <w:p w14:paraId="3B0232A9" w14:textId="13CB0160" w:rsidR="003E0C34" w:rsidRPr="006D7FE6" w:rsidRDefault="003E0C34" w:rsidP="00A43641">
      <w:pPr>
        <w:pStyle w:val="CommentText"/>
        <w:rPr>
          <w:rStyle w:val="FootnoteReference"/>
        </w:rPr>
      </w:pPr>
      <w:r w:rsidRPr="00C477A9">
        <w:rPr>
          <w:rStyle w:val="FootnoteReference"/>
          <w:sz w:val="22"/>
          <w:szCs w:val="22"/>
        </w:rPr>
        <w:footnoteRef/>
      </w:r>
      <w:r w:rsidRPr="00C477A9">
        <w:rPr>
          <w:sz w:val="22"/>
          <w:szCs w:val="22"/>
        </w:rPr>
        <w:t xml:space="preserve"> </w:t>
      </w:r>
      <w:r>
        <w:rPr>
          <w:sz w:val="22"/>
          <w:szCs w:val="22"/>
        </w:rPr>
        <w:t xml:space="preserve"> </w:t>
      </w:r>
      <w:r w:rsidRPr="00C477A9">
        <w:rPr>
          <w:sz w:val="22"/>
          <w:szCs w:val="22"/>
        </w:rPr>
        <w:t>Scoping Memo at 3.</w:t>
      </w:r>
    </w:p>
  </w:footnote>
  <w:footnote w:id="59">
    <w:p w14:paraId="737C40A8" w14:textId="77777777" w:rsidR="003E0C34" w:rsidRPr="004E503E" w:rsidRDefault="003E0C34" w:rsidP="00B24B59">
      <w:pPr>
        <w:pStyle w:val="FootnoteText"/>
      </w:pPr>
      <w:r w:rsidRPr="004E503E">
        <w:rPr>
          <w:vertAlign w:val="superscript"/>
        </w:rPr>
        <w:footnoteRef/>
      </w:r>
      <w:r w:rsidRPr="004E503E">
        <w:rPr>
          <w:vertAlign w:val="superscript"/>
        </w:rPr>
        <w:t xml:space="preserve"> </w:t>
      </w:r>
      <w:r w:rsidRPr="004E503E">
        <w:t xml:space="preserve"> D.20-05-053, at Appendix A.</w:t>
      </w:r>
    </w:p>
  </w:footnote>
  <w:footnote w:id="60">
    <w:p w14:paraId="2A6D9D16" w14:textId="3AE6C403" w:rsidR="003E0C34" w:rsidRDefault="003E0C34">
      <w:pPr>
        <w:pStyle w:val="FootnoteText"/>
      </w:pPr>
      <w:r>
        <w:rPr>
          <w:rStyle w:val="FootnoteReference"/>
        </w:rPr>
        <w:footnoteRef/>
      </w:r>
      <w:r>
        <w:t xml:space="preserve"> </w:t>
      </w:r>
      <w:r w:rsidR="00426FB2">
        <w:t xml:space="preserve"> </w:t>
      </w:r>
      <w:r w:rsidRPr="00C477A9">
        <w:rPr>
          <w:i/>
          <w:iCs/>
        </w:rPr>
        <w:t>I</w:t>
      </w:r>
      <w:r>
        <w:rPr>
          <w:i/>
          <w:iCs/>
        </w:rPr>
        <w:t xml:space="preserve">d. </w:t>
      </w:r>
      <w:r w:rsidRPr="00747734">
        <w:t>at 1, 2, 5.</w:t>
      </w:r>
      <w:r>
        <w:rPr>
          <w:i/>
          <w:iCs/>
        </w:rPr>
        <w:t xml:space="preserve"> </w:t>
      </w:r>
    </w:p>
  </w:footnote>
  <w:footnote w:id="61">
    <w:p w14:paraId="3F389B03" w14:textId="5A23B800" w:rsidR="003E0C34" w:rsidRPr="00767508" w:rsidRDefault="003E0C34">
      <w:pPr>
        <w:pStyle w:val="FootnoteText"/>
      </w:pPr>
      <w:r w:rsidRPr="00767508">
        <w:rPr>
          <w:rStyle w:val="FootnoteReference"/>
        </w:rPr>
        <w:footnoteRef/>
      </w:r>
      <w:r w:rsidRPr="00767508">
        <w:t xml:space="preserve"> </w:t>
      </w:r>
      <w:r>
        <w:t xml:space="preserve"> </w:t>
      </w:r>
      <w:r w:rsidRPr="00767508">
        <w:rPr>
          <w:i/>
        </w:rPr>
        <w:t>Id.</w:t>
      </w:r>
      <w:r w:rsidRPr="00767508">
        <w:t xml:space="preserve"> at 1, referencing Step 1 of the EOE Process. </w:t>
      </w:r>
    </w:p>
  </w:footnote>
  <w:footnote w:id="62">
    <w:p w14:paraId="003979EE" w14:textId="2756B3A4" w:rsidR="003E0C34" w:rsidRPr="00767508" w:rsidRDefault="003E0C34" w:rsidP="004563CE">
      <w:pPr>
        <w:pStyle w:val="FootnoteText"/>
      </w:pPr>
      <w:r w:rsidRPr="00767508">
        <w:rPr>
          <w:rStyle w:val="FootnoteReference"/>
        </w:rPr>
        <w:footnoteRef/>
      </w:r>
      <w:r w:rsidRPr="00767508">
        <w:t xml:space="preserve"> </w:t>
      </w:r>
      <w:r>
        <w:t xml:space="preserve"> </w:t>
      </w:r>
      <w:r w:rsidRPr="00767508">
        <w:rPr>
          <w:i/>
        </w:rPr>
        <w:t>Id.</w:t>
      </w:r>
      <w:r w:rsidRPr="00767508">
        <w:t xml:space="preserve"> at 2.</w:t>
      </w:r>
    </w:p>
  </w:footnote>
  <w:footnote w:id="63">
    <w:p w14:paraId="38073DBC" w14:textId="443653AC" w:rsidR="003E0C34" w:rsidRPr="00767508" w:rsidRDefault="003E0C34" w:rsidP="004563CE">
      <w:pPr>
        <w:pStyle w:val="FootnoteText"/>
      </w:pPr>
      <w:r w:rsidRPr="00767508">
        <w:rPr>
          <w:rStyle w:val="FootnoteReference"/>
        </w:rPr>
        <w:footnoteRef/>
      </w:r>
      <w:r w:rsidRPr="00767508">
        <w:t xml:space="preserve"> </w:t>
      </w:r>
      <w:r>
        <w:t xml:space="preserve"> </w:t>
      </w:r>
      <w:r w:rsidRPr="00767508">
        <w:rPr>
          <w:i/>
        </w:rPr>
        <w:t>Id.</w:t>
      </w:r>
      <w:r w:rsidRPr="00767508">
        <w:t xml:space="preserve"> at 3.</w:t>
      </w:r>
    </w:p>
  </w:footnote>
  <w:footnote w:id="64">
    <w:p w14:paraId="0AC152A2" w14:textId="33F0C2CE" w:rsidR="003E0C34" w:rsidRDefault="003E0C34">
      <w:pPr>
        <w:pStyle w:val="FootnoteText"/>
      </w:pPr>
      <w:r>
        <w:rPr>
          <w:rStyle w:val="FootnoteReference"/>
        </w:rPr>
        <w:footnoteRef/>
      </w:r>
      <w:r>
        <w:t xml:space="preserve">  The Commission placed PG&amp;E into Step 1 of the EOE Process in April 2021.  </w:t>
      </w:r>
      <w:r w:rsidRPr="005208F3">
        <w:rPr>
          <w:i/>
          <w:iCs/>
        </w:rPr>
        <w:t>See</w:t>
      </w:r>
      <w:r>
        <w:t xml:space="preserve"> </w:t>
      </w:r>
      <w:r w:rsidRPr="00F72857">
        <w:rPr>
          <w:rFonts w:eastAsia="Yu Mincho" w:cs="Yu Mincho"/>
          <w:i/>
          <w:iCs/>
        </w:rPr>
        <w:t>Resolution M</w:t>
      </w:r>
      <w:r>
        <w:rPr>
          <w:rFonts w:eastAsia="Yu Mincho" w:cs="Yu Mincho"/>
          <w:i/>
          <w:iCs/>
        </w:rPr>
        <w:noBreakHyphen/>
      </w:r>
      <w:r w:rsidRPr="00F72857">
        <w:rPr>
          <w:rFonts w:eastAsia="Yu Mincho" w:cs="Yu Mincho"/>
          <w:i/>
          <w:iCs/>
        </w:rPr>
        <w:t xml:space="preserve">4852: </w:t>
      </w:r>
      <w:r>
        <w:rPr>
          <w:rFonts w:eastAsia="Yu Mincho" w:cs="Yu Mincho"/>
          <w:i/>
          <w:iCs/>
        </w:rPr>
        <w:t xml:space="preserve"> </w:t>
      </w:r>
      <w:r w:rsidRPr="00F72857">
        <w:rPr>
          <w:rFonts w:eastAsia="Yu Mincho" w:cs="Yu Mincho"/>
          <w:i/>
          <w:iCs/>
        </w:rPr>
        <w:t>Placing Pacific Gas and Electric Company into Step 1 of the “Enhanced Oversight and Enforcement Process” Adopted in Decision 20-05-053</w:t>
      </w:r>
      <w:r>
        <w:rPr>
          <w:rFonts w:eastAsia="Yu Mincho" w:cs="Yu Mincho"/>
          <w:i/>
          <w:iCs/>
        </w:rPr>
        <w:t xml:space="preserve"> </w:t>
      </w:r>
      <w:r w:rsidRPr="00F72857">
        <w:rPr>
          <w:rFonts w:eastAsia="Yu Mincho" w:cs="Yu Mincho"/>
        </w:rPr>
        <w:t>included the finding that</w:t>
      </w:r>
      <w:r w:rsidRPr="00F72857">
        <w:t xml:space="preserve"> “PG&amp;E has made insufficient progress toward Approved Safety or Risk-Driven Investments Related to Its Electric Business (Enhanced Oversight and Enforcement process Step 1, Triggering Event A(iii))</w:t>
      </w:r>
      <w:r>
        <w:t xml:space="preserve">, available as of August 31, 2021 at: </w:t>
      </w:r>
      <w:hyperlink r:id="rId5" w:history="1">
        <w:r w:rsidRPr="00983571">
          <w:rPr>
            <w:rStyle w:val="Hyperlink"/>
          </w:rPr>
          <w:t>https://docs.cpuc.ca.gov/PublishedDocs/Published/G000/M367/K731/367731890.PDF</w:t>
        </w:r>
      </w:hyperlink>
      <w:r>
        <w:t xml:space="preserve">.  </w:t>
      </w:r>
    </w:p>
  </w:footnote>
  <w:footnote w:id="65">
    <w:p w14:paraId="577449DF" w14:textId="6970ABF3" w:rsidR="003E0C34" w:rsidRPr="00620E11" w:rsidRDefault="003E0C34" w:rsidP="00B75D32">
      <w:pPr>
        <w:pStyle w:val="FootnoteText"/>
      </w:pPr>
      <w:r w:rsidRPr="00003D89">
        <w:rPr>
          <w:rStyle w:val="FootnoteReference"/>
        </w:rPr>
        <w:footnoteRef/>
      </w:r>
      <w:r w:rsidRPr="00003D89">
        <w:t xml:space="preserve"> </w:t>
      </w:r>
      <w:r>
        <w:t xml:space="preserve"> </w:t>
      </w:r>
      <w:r w:rsidRPr="00003D89">
        <w:t>D.20-05-053 at 38</w:t>
      </w:r>
      <w:r w:rsidRPr="00BA68C3">
        <w:t xml:space="preserve">. </w:t>
      </w:r>
    </w:p>
  </w:footnote>
  <w:footnote w:id="66">
    <w:p w14:paraId="2342C642" w14:textId="5F070237" w:rsidR="003E0C34" w:rsidRPr="004E503E" w:rsidRDefault="003E0C34" w:rsidP="00B75D32">
      <w:pPr>
        <w:pStyle w:val="FootnoteText"/>
      </w:pPr>
      <w:r w:rsidRPr="00003D89">
        <w:rPr>
          <w:rStyle w:val="FootnoteReference"/>
        </w:rPr>
        <w:footnoteRef/>
      </w:r>
      <w:r w:rsidRPr="00003D89">
        <w:t xml:space="preserve"> </w:t>
      </w:r>
      <w:r>
        <w:t xml:space="preserve"> </w:t>
      </w:r>
      <w:r w:rsidRPr="00BA68C3">
        <w:rPr>
          <w:i/>
        </w:rPr>
        <w:t>Id.</w:t>
      </w:r>
      <w:r w:rsidRPr="00620E11">
        <w:t xml:space="preserve"> </w:t>
      </w:r>
      <w:r w:rsidRPr="000747B3">
        <w:t>at 96.</w:t>
      </w:r>
    </w:p>
  </w:footnote>
  <w:footnote w:id="67">
    <w:p w14:paraId="07AEEA38" w14:textId="661E3E61" w:rsidR="003E0C34" w:rsidRPr="004E503E" w:rsidRDefault="003E0C34" w:rsidP="004563CE">
      <w:pPr>
        <w:pStyle w:val="FootnoteText"/>
      </w:pPr>
      <w:r w:rsidRPr="004E503E">
        <w:rPr>
          <w:vertAlign w:val="superscript"/>
        </w:rPr>
        <w:footnoteRef/>
      </w:r>
      <w:r w:rsidRPr="004E503E">
        <w:rPr>
          <w:vertAlign w:val="superscript"/>
        </w:rPr>
        <w:t xml:space="preserve"> </w:t>
      </w:r>
      <w:r>
        <w:rPr>
          <w:vertAlign w:val="superscript"/>
        </w:rPr>
        <w:t xml:space="preserve"> </w:t>
      </w:r>
      <w:r w:rsidRPr="004E503E">
        <w:t xml:space="preserve">D.20-05-053, at 88; Wildfire Safety Division Guidance on Submission of Executive Compensation Approval Requests by Electrical Corporations Pursuant to Public Utilities Code 8389(e)(4) and 8389(e)(6) at 3, December 22, 2020, available here as of July 14, 2021: </w:t>
      </w:r>
      <w:hyperlink r:id="rId6" w:history="1">
        <w:r w:rsidRPr="004E503E">
          <w:rPr>
            <w:rStyle w:val="Hyperlink"/>
          </w:rPr>
          <w:t>https://energysafety.ca.gov/wp-content/uploads/docs/misc/wsd/wsd-executive-compensation-guidance-20201222.pdf</w:t>
        </w:r>
      </w:hyperlink>
      <w:r w:rsidRPr="004E503E">
        <w:t xml:space="preserve">. </w:t>
      </w:r>
    </w:p>
  </w:footnote>
  <w:footnote w:id="68">
    <w:p w14:paraId="36D1E71D" w14:textId="5A88837C" w:rsidR="003E0C34" w:rsidRPr="004E503E" w:rsidRDefault="003E0C34">
      <w:pPr>
        <w:pStyle w:val="FootnoteText"/>
      </w:pPr>
      <w:r w:rsidRPr="004E503E">
        <w:rPr>
          <w:rStyle w:val="FootnoteReference"/>
        </w:rPr>
        <w:footnoteRef/>
      </w:r>
      <w:r w:rsidRPr="004E503E">
        <w:t xml:space="preserve"> </w:t>
      </w:r>
      <w:r>
        <w:t xml:space="preserve"> </w:t>
      </w:r>
      <w:r w:rsidRPr="004E503E">
        <w:t>D.20-05-053 at 55.</w:t>
      </w:r>
    </w:p>
  </w:footnote>
  <w:footnote w:id="69">
    <w:p w14:paraId="5C5C2D99" w14:textId="42292103" w:rsidR="003E0C34" w:rsidRDefault="003E0C34" w:rsidP="004563CE">
      <w:pPr>
        <w:pStyle w:val="FootnoteText"/>
      </w:pPr>
      <w:r w:rsidRPr="004E503E">
        <w:rPr>
          <w:vertAlign w:val="superscript"/>
        </w:rPr>
        <w:footnoteRef/>
      </w:r>
      <w:r w:rsidRPr="004E503E">
        <w:rPr>
          <w:vertAlign w:val="superscript"/>
        </w:rPr>
        <w:t xml:space="preserve"> </w:t>
      </w:r>
      <w:r>
        <w:rPr>
          <w:vertAlign w:val="superscript"/>
        </w:rPr>
        <w:t xml:space="preserve"> </w:t>
      </w:r>
      <w:r w:rsidRPr="004E503E">
        <w:t xml:space="preserve">Resolution M-4846, </w:t>
      </w:r>
      <w:r w:rsidRPr="00767508">
        <w:rPr>
          <w:i/>
        </w:rPr>
        <w:t>Resolution Adopting Commission Enforcement Policy</w:t>
      </w:r>
      <w:r>
        <w:t xml:space="preserve">, available as of September 1, 2021 at: </w:t>
      </w:r>
      <w:hyperlink r:id="rId7" w:history="1">
        <w:r w:rsidRPr="001F5456">
          <w:rPr>
            <w:rStyle w:val="Hyperlink"/>
          </w:rPr>
          <w:t>https://docs.cpuc.ca.gov/PublishedDocs/Published/G000/M350/K405/350405017.PDF</w:t>
        </w:r>
      </w:hyperlink>
      <w:r>
        <w:t xml:space="preserve">.  </w:t>
      </w:r>
    </w:p>
  </w:footnote>
  <w:footnote w:id="70">
    <w:p w14:paraId="0B86D657" w14:textId="3EE43852" w:rsidR="003E0C34" w:rsidRDefault="003E0C34" w:rsidP="002D0202">
      <w:pPr>
        <w:pStyle w:val="FootnoteText"/>
      </w:pPr>
      <w:r w:rsidRPr="00F2372E">
        <w:rPr>
          <w:vertAlign w:val="superscript"/>
        </w:rPr>
        <w:footnoteRef/>
      </w:r>
      <w:r w:rsidRPr="00F2372E">
        <w:rPr>
          <w:vertAlign w:val="superscript"/>
        </w:rPr>
        <w:t xml:space="preserve"> </w:t>
      </w:r>
      <w:r>
        <w:rPr>
          <w:vertAlign w:val="superscript"/>
        </w:rPr>
        <w:t xml:space="preserve"> </w:t>
      </w:r>
      <w:r>
        <w:t>D.20-05-053, Appendix A at 1.</w:t>
      </w:r>
    </w:p>
  </w:footnote>
  <w:footnote w:id="71">
    <w:p w14:paraId="1426C369" w14:textId="0A0482CC" w:rsidR="003E0C34" w:rsidRPr="00767508" w:rsidRDefault="003E0C34">
      <w:pPr>
        <w:pStyle w:val="FootnoteText"/>
      </w:pPr>
      <w:r w:rsidRPr="00767508">
        <w:rPr>
          <w:rStyle w:val="FootnoteReference"/>
        </w:rPr>
        <w:footnoteRef/>
      </w:r>
      <w:r w:rsidRPr="00767508">
        <w:t xml:space="preserve"> </w:t>
      </w:r>
      <w:r>
        <w:t xml:space="preserve"> </w:t>
      </w:r>
      <w:r w:rsidR="00001ADE">
        <w:t>Assigned Commissioner</w:t>
      </w:r>
      <w:r w:rsidRPr="00767508">
        <w:t>’s Ruling and Proposals, issued February 18, 2020</w:t>
      </w:r>
      <w:r>
        <w:t>,</w:t>
      </w:r>
      <w:r w:rsidRPr="00767508">
        <w:t xml:space="preserve"> in I.19-09-016.</w:t>
      </w:r>
    </w:p>
  </w:footnote>
  <w:footnote w:id="72">
    <w:p w14:paraId="20C9D19D" w14:textId="6EF241C3" w:rsidR="003E0C34" w:rsidRDefault="003E0C34">
      <w:pPr>
        <w:pStyle w:val="FootnoteText"/>
      </w:pPr>
      <w:r w:rsidRPr="00767508">
        <w:rPr>
          <w:rStyle w:val="FootnoteReference"/>
        </w:rPr>
        <w:footnoteRef/>
      </w:r>
      <w:r w:rsidRPr="00767508">
        <w:t xml:space="preserve"> </w:t>
      </w:r>
      <w:r>
        <w:t xml:space="preserve"> </w:t>
      </w:r>
      <w:r w:rsidRPr="00767508">
        <w:t>SOMs Ruling at 1-2.</w:t>
      </w:r>
    </w:p>
  </w:footnote>
  <w:footnote w:id="73">
    <w:p w14:paraId="7ECB6C82" w14:textId="5ED1D810" w:rsidR="003E0C34" w:rsidRPr="00767508" w:rsidRDefault="003E0C34">
      <w:pPr>
        <w:pStyle w:val="FootnoteText"/>
      </w:pPr>
      <w:r w:rsidRPr="00767508">
        <w:rPr>
          <w:rStyle w:val="FootnoteReference"/>
        </w:rPr>
        <w:footnoteRef/>
      </w:r>
      <w:r w:rsidRPr="00767508">
        <w:t xml:space="preserve"> </w:t>
      </w:r>
      <w:r>
        <w:t xml:space="preserve"> </w:t>
      </w:r>
      <w:r w:rsidRPr="00767508">
        <w:t xml:space="preserve">SOMs Ruling at 2. </w:t>
      </w:r>
    </w:p>
  </w:footnote>
  <w:footnote w:id="74">
    <w:p w14:paraId="4A89FEA5" w14:textId="335AD254" w:rsidR="003E0C34" w:rsidRDefault="003E0C34">
      <w:pPr>
        <w:pStyle w:val="FootnoteText"/>
      </w:pPr>
      <w:r w:rsidRPr="00767508">
        <w:rPr>
          <w:rStyle w:val="FootnoteReference"/>
        </w:rPr>
        <w:footnoteRef/>
      </w:r>
      <w:r w:rsidRPr="00767508">
        <w:t xml:space="preserve"> </w:t>
      </w:r>
      <w:r>
        <w:t xml:space="preserve"> </w:t>
      </w:r>
      <w:r w:rsidRPr="00767508">
        <w:rPr>
          <w:i/>
        </w:rPr>
        <w:t>Id.</w:t>
      </w:r>
      <w:r w:rsidRPr="00767508">
        <w:t xml:space="preserve"> at 2-3.</w:t>
      </w:r>
    </w:p>
  </w:footnote>
  <w:footnote w:id="75">
    <w:p w14:paraId="19373A29" w14:textId="3E43A54D" w:rsidR="003E0C34" w:rsidRPr="00767508" w:rsidRDefault="003E0C34">
      <w:pPr>
        <w:pStyle w:val="FootnoteText"/>
      </w:pPr>
      <w:r w:rsidRPr="00767508">
        <w:rPr>
          <w:rStyle w:val="FootnoteReference"/>
        </w:rPr>
        <w:footnoteRef/>
      </w:r>
      <w:r w:rsidRPr="00767508">
        <w:t xml:space="preserve"> </w:t>
      </w:r>
      <w:r>
        <w:t xml:space="preserve"> </w:t>
      </w:r>
      <w:r w:rsidRPr="00767508">
        <w:rPr>
          <w:i/>
        </w:rPr>
        <w:t xml:space="preserve">Id. </w:t>
      </w:r>
      <w:r w:rsidRPr="00767508">
        <w:t>at 5.</w:t>
      </w:r>
    </w:p>
  </w:footnote>
  <w:footnote w:id="76">
    <w:p w14:paraId="42DBAB9A" w14:textId="6A1A6FEC" w:rsidR="003E0C34" w:rsidRPr="00767508" w:rsidRDefault="003E0C34" w:rsidP="00CF09BB">
      <w:pPr>
        <w:pStyle w:val="FootnoteText"/>
      </w:pPr>
      <w:r w:rsidRPr="00767508">
        <w:rPr>
          <w:rStyle w:val="FootnoteReference"/>
        </w:rPr>
        <w:footnoteRef/>
      </w:r>
      <w:r w:rsidRPr="00767508">
        <w:t xml:space="preserve"> </w:t>
      </w:r>
      <w:r>
        <w:t xml:space="preserve"> </w:t>
      </w:r>
      <w:r w:rsidRPr="00767508">
        <w:t xml:space="preserve">PG&amp;E, “Response to </w:t>
      </w:r>
      <w:r w:rsidR="00241D2F">
        <w:t>Assigned</w:t>
      </w:r>
      <w:r w:rsidR="00001ADE">
        <w:t xml:space="preserve"> Commissioner</w:t>
      </w:r>
      <w:r w:rsidRPr="00767508">
        <w:t xml:space="preserve">’s Ruling Regarding Development of Safety and Operational Metrics,” January 15, 2021 (PG&amp;E SOMs Proposal). </w:t>
      </w:r>
    </w:p>
  </w:footnote>
  <w:footnote w:id="77">
    <w:p w14:paraId="6E1590CD" w14:textId="1344AA32" w:rsidR="003E0C34" w:rsidRPr="00767508" w:rsidRDefault="003E0C34">
      <w:pPr>
        <w:pStyle w:val="FootnoteText"/>
      </w:pPr>
      <w:r w:rsidRPr="00767508">
        <w:rPr>
          <w:rStyle w:val="FootnoteReference"/>
        </w:rPr>
        <w:footnoteRef/>
      </w:r>
      <w:r w:rsidRPr="00767508">
        <w:t xml:space="preserve"> </w:t>
      </w:r>
      <w:r>
        <w:t xml:space="preserve"> </w:t>
      </w:r>
      <w:r w:rsidRPr="00793960">
        <w:rPr>
          <w:i/>
          <w:iCs/>
        </w:rPr>
        <w:t>See</w:t>
      </w:r>
      <w:r w:rsidRPr="00767508">
        <w:t xml:space="preserve"> Opening Comments on PG&amp;E’s Proposed SOMs, filed on January 25, 2021 by TURN, SCE, SDG&amp;E</w:t>
      </w:r>
      <w:r w:rsidR="00DE1DC2">
        <w:t>/</w:t>
      </w:r>
      <w:r w:rsidRPr="00767508">
        <w:t>SoCalGas and Cal Advocates, and late-filed Opening Comments filed by MGRA on February 17, 2021.</w:t>
      </w:r>
    </w:p>
  </w:footnote>
  <w:footnote w:id="78">
    <w:p w14:paraId="2E16E3A2" w14:textId="41FA7E28" w:rsidR="002D0416" w:rsidRDefault="002D0416" w:rsidP="002D0416">
      <w:pPr>
        <w:pStyle w:val="FootnoteText"/>
      </w:pPr>
      <w:r>
        <w:rPr>
          <w:rStyle w:val="FootnoteReference"/>
        </w:rPr>
        <w:footnoteRef/>
      </w:r>
      <w:r>
        <w:t xml:space="preserve"> </w:t>
      </w:r>
      <w:r w:rsidR="00426FB2">
        <w:t xml:space="preserve"> </w:t>
      </w:r>
      <w:r w:rsidRPr="003261B2">
        <w:t>PG&amp;E, “Response of PG&amp;E to ALJ Ruling Regarding SIF Potential,” February 12, 2021 at 8.</w:t>
      </w:r>
    </w:p>
  </w:footnote>
  <w:footnote w:id="79">
    <w:p w14:paraId="28FCE68D" w14:textId="4C420480" w:rsidR="003E0C34" w:rsidRPr="00767508" w:rsidRDefault="003E0C34">
      <w:pPr>
        <w:pStyle w:val="FootnoteText"/>
      </w:pPr>
      <w:r w:rsidRPr="00767508">
        <w:rPr>
          <w:rStyle w:val="FootnoteReference"/>
        </w:rPr>
        <w:footnoteRef/>
      </w:r>
      <w:r w:rsidRPr="00767508">
        <w:t xml:space="preserve"> </w:t>
      </w:r>
      <w:r>
        <w:t xml:space="preserve"> </w:t>
      </w:r>
      <w:r w:rsidRPr="00767508">
        <w:t>Reply Comments filed on March 1, 2021 by Cal Advocates, TURN, SCE, SDG&amp;E</w:t>
      </w:r>
      <w:r w:rsidR="00DE1DC2">
        <w:t>/</w:t>
      </w:r>
      <w:r w:rsidRPr="00767508">
        <w:t>SoCalGas, PCF, and MGRA, as well as reply comments filed also on March 1, 2021 by PG&amp;E.</w:t>
      </w:r>
    </w:p>
  </w:footnote>
  <w:footnote w:id="80">
    <w:p w14:paraId="738C3175" w14:textId="1BB36F27" w:rsidR="003E0C34" w:rsidRDefault="003E0C34">
      <w:pPr>
        <w:pStyle w:val="FootnoteText"/>
      </w:pPr>
      <w:r w:rsidRPr="00767508">
        <w:rPr>
          <w:rStyle w:val="FootnoteReference"/>
        </w:rPr>
        <w:footnoteRef/>
      </w:r>
      <w:r w:rsidRPr="00767508">
        <w:t xml:space="preserve"> </w:t>
      </w:r>
      <w:r>
        <w:t xml:space="preserve"> </w:t>
      </w:r>
      <w:r w:rsidRPr="00767508">
        <w:t xml:space="preserve">PG&amp;E, “Response to </w:t>
      </w:r>
      <w:r w:rsidR="00241D2F">
        <w:t>Assigned</w:t>
      </w:r>
      <w:r w:rsidR="00001ADE">
        <w:t xml:space="preserve"> Commissioner</w:t>
      </w:r>
      <w:r w:rsidRPr="00767508">
        <w:t xml:space="preserve">’s Ruling Regarding Development of Safety and Operational Metrics,” </w:t>
      </w:r>
      <w:r>
        <w:t xml:space="preserve"> </w:t>
      </w:r>
      <w:r w:rsidRPr="00767508">
        <w:t>January 15, 2021 at 5-6.</w:t>
      </w:r>
    </w:p>
  </w:footnote>
  <w:footnote w:id="81">
    <w:p w14:paraId="2908AF10" w14:textId="77777777" w:rsidR="003E0C34" w:rsidRPr="00767508" w:rsidRDefault="003E0C34" w:rsidP="00917A11">
      <w:pPr>
        <w:pStyle w:val="FootnoteText"/>
      </w:pPr>
      <w:r w:rsidRPr="00767508">
        <w:rPr>
          <w:rStyle w:val="FootnoteReference"/>
        </w:rPr>
        <w:footnoteRef/>
      </w:r>
      <w:r w:rsidRPr="00767508">
        <w:t xml:space="preserve"> </w:t>
      </w:r>
      <w:r>
        <w:t xml:space="preserve"> </w:t>
      </w:r>
      <w:r w:rsidRPr="00767508">
        <w:t>PG&amp;E, “Response of PG&amp;E to ALJ Ruling Regarding SIF Potential,” February 12, 2021 at 8.</w:t>
      </w:r>
    </w:p>
  </w:footnote>
  <w:footnote w:id="82">
    <w:p w14:paraId="4B640210" w14:textId="78CD33AA" w:rsidR="003E0C34" w:rsidRDefault="003E0C34">
      <w:pPr>
        <w:pStyle w:val="FootnoteText"/>
      </w:pPr>
      <w:r w:rsidRPr="00767508">
        <w:rPr>
          <w:rStyle w:val="FootnoteReference"/>
        </w:rPr>
        <w:footnoteRef/>
      </w:r>
      <w:r w:rsidRPr="00767508">
        <w:t xml:space="preserve"> </w:t>
      </w:r>
      <w:r>
        <w:t xml:space="preserve"> </w:t>
      </w:r>
      <w:r w:rsidRPr="00767508">
        <w:t>PG&amp;E’s SOMs Proposal at 7-8 states that leading metrics “have a track record as predictors of future outcomes or trends” and can “indicate root causes of risk events.”</w:t>
      </w:r>
      <w:r>
        <w:t xml:space="preserve"> </w:t>
      </w:r>
    </w:p>
  </w:footnote>
  <w:footnote w:id="83">
    <w:p w14:paraId="7ED873FC" w14:textId="73440082" w:rsidR="003E0C34" w:rsidRPr="00767508" w:rsidRDefault="003E0C34">
      <w:pPr>
        <w:pStyle w:val="FootnoteText"/>
      </w:pPr>
      <w:r w:rsidRPr="00767508">
        <w:rPr>
          <w:rStyle w:val="FootnoteReference"/>
        </w:rPr>
        <w:footnoteRef/>
      </w:r>
      <w:r w:rsidRPr="00767508">
        <w:t xml:space="preserve"> </w:t>
      </w:r>
      <w:r>
        <w:t xml:space="preserve"> </w:t>
      </w:r>
      <w:r w:rsidRPr="00767508">
        <w:rPr>
          <w:i/>
        </w:rPr>
        <w:t>Id.</w:t>
      </w:r>
      <w:r w:rsidRPr="00767508">
        <w:t xml:space="preserve"> at 7-10.</w:t>
      </w:r>
    </w:p>
  </w:footnote>
  <w:footnote w:id="84">
    <w:p w14:paraId="2622FF83" w14:textId="12D46FE5" w:rsidR="003E0C34" w:rsidRDefault="003E0C34" w:rsidP="00BB4E82">
      <w:pPr>
        <w:pStyle w:val="FootnoteText"/>
      </w:pPr>
      <w:r w:rsidRPr="00767508">
        <w:rPr>
          <w:rStyle w:val="FootnoteReference"/>
        </w:rPr>
        <w:footnoteRef/>
      </w:r>
      <w:r w:rsidRPr="00767508">
        <w:t xml:space="preserve"> </w:t>
      </w:r>
      <w:r>
        <w:t xml:space="preserve"> </w:t>
      </w:r>
      <w:r w:rsidRPr="00767508">
        <w:t>MGRA, February 17, 2021 Comments on PG&amp;E’s SOMs at 7.</w:t>
      </w:r>
      <w:r>
        <w:t xml:space="preserve"> </w:t>
      </w:r>
    </w:p>
  </w:footnote>
  <w:footnote w:id="85">
    <w:p w14:paraId="18F2110A" w14:textId="318778DF" w:rsidR="003E0C34" w:rsidRPr="00767508" w:rsidRDefault="003E0C34">
      <w:pPr>
        <w:pStyle w:val="FootnoteText"/>
      </w:pPr>
      <w:r w:rsidRPr="00767508">
        <w:rPr>
          <w:rStyle w:val="FootnoteReference"/>
        </w:rPr>
        <w:footnoteRef/>
      </w:r>
      <w:r>
        <w:t xml:space="preserve"> </w:t>
      </w:r>
      <w:r w:rsidRPr="00767508">
        <w:t xml:space="preserve"> Staff’s Proposed SOMs listed 40 SOMs, but Staff proposed an additional quality of service SOM in section 9 of the Staff Proposal, which was inadvertently omitted from the list of Staff’s Proposed SOMs. </w:t>
      </w:r>
    </w:p>
  </w:footnote>
  <w:footnote w:id="86">
    <w:p w14:paraId="7E1DAA39" w14:textId="73A2B0B9" w:rsidR="003E0C34" w:rsidRDefault="003E0C34" w:rsidP="008B143A">
      <w:pPr>
        <w:pStyle w:val="FootnoteText"/>
      </w:pPr>
      <w:r w:rsidRPr="00767508">
        <w:rPr>
          <w:vertAlign w:val="superscript"/>
        </w:rPr>
        <w:footnoteRef/>
      </w:r>
      <w:r w:rsidRPr="00767508">
        <w:t xml:space="preserve"> </w:t>
      </w:r>
      <w:r>
        <w:t xml:space="preserve"> </w:t>
      </w:r>
      <w:r w:rsidRPr="00767508">
        <w:t>SOMs Ruling at 1-4.</w:t>
      </w:r>
    </w:p>
  </w:footnote>
  <w:footnote w:id="87">
    <w:p w14:paraId="42E94A6E" w14:textId="4362A237" w:rsidR="003E0C34" w:rsidRPr="00767508" w:rsidRDefault="003E0C34">
      <w:pPr>
        <w:pStyle w:val="FootnoteText"/>
      </w:pPr>
      <w:r w:rsidRPr="00767508">
        <w:rPr>
          <w:rStyle w:val="FootnoteReference"/>
        </w:rPr>
        <w:footnoteRef/>
      </w:r>
      <w:r w:rsidRPr="00767508">
        <w:t xml:space="preserve"> </w:t>
      </w:r>
      <w:r>
        <w:t xml:space="preserve"> </w:t>
      </w:r>
      <w:r w:rsidRPr="00767508">
        <w:t>Staff Track 1 Recommendations at 8</w:t>
      </w:r>
      <w:r w:rsidDel="000203B5">
        <w:t>.</w:t>
      </w:r>
    </w:p>
  </w:footnote>
  <w:footnote w:id="88">
    <w:p w14:paraId="4AD051F3" w14:textId="39F5FF4F" w:rsidR="003E0C34" w:rsidRPr="00767508" w:rsidRDefault="003E0C34">
      <w:pPr>
        <w:pStyle w:val="FootnoteText"/>
      </w:pPr>
      <w:r w:rsidRPr="00767508">
        <w:rPr>
          <w:rStyle w:val="FootnoteReference"/>
        </w:rPr>
        <w:footnoteRef/>
      </w:r>
      <w:r w:rsidRPr="00767508">
        <w:t xml:space="preserve"> </w:t>
      </w:r>
      <w:r>
        <w:t xml:space="preserve"> </w:t>
      </w:r>
      <w:r w:rsidRPr="00767508">
        <w:rPr>
          <w:i/>
        </w:rPr>
        <w:t>Id.</w:t>
      </w:r>
      <w:r w:rsidRPr="00767508">
        <w:t xml:space="preserve"> at 6.</w:t>
      </w:r>
    </w:p>
  </w:footnote>
  <w:footnote w:id="89">
    <w:p w14:paraId="30732DD1" w14:textId="2D503FAF" w:rsidR="003E0C34" w:rsidRDefault="003E0C34">
      <w:pPr>
        <w:pStyle w:val="FootnoteText"/>
      </w:pPr>
      <w:r w:rsidRPr="00767508">
        <w:rPr>
          <w:rStyle w:val="FootnoteReference"/>
        </w:rPr>
        <w:footnoteRef/>
      </w:r>
      <w:r w:rsidRPr="00767508">
        <w:t xml:space="preserve"> </w:t>
      </w:r>
      <w:r>
        <w:t xml:space="preserve"> </w:t>
      </w:r>
      <w:r w:rsidRPr="00767508">
        <w:rPr>
          <w:i/>
        </w:rPr>
        <w:t xml:space="preserve">Id. </w:t>
      </w:r>
      <w:r w:rsidRPr="00767508">
        <w:t>at 7 and 13.</w:t>
      </w:r>
      <w:r>
        <w:t xml:space="preserve"> </w:t>
      </w:r>
    </w:p>
  </w:footnote>
  <w:footnote w:id="90">
    <w:p w14:paraId="7ECC5228" w14:textId="7AA7E913" w:rsidR="003E0C34" w:rsidRPr="00767508" w:rsidRDefault="003E0C34">
      <w:pPr>
        <w:pStyle w:val="FootnoteText"/>
      </w:pPr>
      <w:r w:rsidRPr="00767508">
        <w:rPr>
          <w:rStyle w:val="FootnoteReference"/>
        </w:rPr>
        <w:footnoteRef/>
      </w:r>
      <w:r w:rsidRPr="00767508">
        <w:t xml:space="preserve"> </w:t>
      </w:r>
      <w:r>
        <w:t xml:space="preserve"> </w:t>
      </w:r>
      <w:r w:rsidRPr="00767508">
        <w:t xml:space="preserve">Cal Advocates, “Comments on Staff Proposal” at 27-28. </w:t>
      </w:r>
    </w:p>
  </w:footnote>
  <w:footnote w:id="91">
    <w:p w14:paraId="1C40827B" w14:textId="16A56934" w:rsidR="003E0C34" w:rsidRPr="006253AE" w:rsidRDefault="003E0C34">
      <w:pPr>
        <w:pStyle w:val="FootnoteText"/>
      </w:pPr>
      <w:r w:rsidRPr="000747B3">
        <w:rPr>
          <w:rStyle w:val="FootnoteReference"/>
        </w:rPr>
        <w:footnoteRef/>
      </w:r>
      <w:r w:rsidRPr="000747B3">
        <w:t xml:space="preserve"> </w:t>
      </w:r>
      <w:r>
        <w:t xml:space="preserve"> </w:t>
      </w:r>
      <w:r w:rsidRPr="000747B3">
        <w:rPr>
          <w:i/>
        </w:rPr>
        <w:t>I</w:t>
      </w:r>
      <w:r w:rsidRPr="008F1964">
        <w:rPr>
          <w:i/>
        </w:rPr>
        <w:t>d</w:t>
      </w:r>
      <w:r w:rsidRPr="004555A9">
        <w:rPr>
          <w:i/>
        </w:rPr>
        <w:t>.</w:t>
      </w:r>
      <w:r w:rsidRPr="006253AE">
        <w:t xml:space="preserve"> at 30, citing D.20-05-053, Appendix A at 1. </w:t>
      </w:r>
    </w:p>
  </w:footnote>
  <w:footnote w:id="92">
    <w:p w14:paraId="14FCA128" w14:textId="3870D2A2" w:rsidR="003E0C34" w:rsidRPr="00F819B4" w:rsidRDefault="003E0C34" w:rsidP="004613B6">
      <w:pPr>
        <w:pStyle w:val="FootnoteText"/>
      </w:pPr>
      <w:r w:rsidRPr="004E503E">
        <w:rPr>
          <w:vertAlign w:val="superscript"/>
        </w:rPr>
        <w:footnoteRef/>
      </w:r>
      <w:r w:rsidRPr="004E503E">
        <w:rPr>
          <w:vertAlign w:val="superscript"/>
        </w:rPr>
        <w:t xml:space="preserve"> </w:t>
      </w:r>
      <w:r w:rsidR="00622D2A">
        <w:rPr>
          <w:vertAlign w:val="superscript"/>
        </w:rPr>
        <w:t xml:space="preserve"> </w:t>
      </w:r>
      <w:r>
        <w:rPr>
          <w:vertAlign w:val="superscript"/>
        </w:rPr>
        <w:t xml:space="preserve"> </w:t>
      </w:r>
      <w:r w:rsidRPr="004E503E">
        <w:t xml:space="preserve">D.20-05-053 at 39: </w:t>
      </w:r>
      <w:r>
        <w:t xml:space="preserve"> </w:t>
      </w:r>
      <w:r w:rsidRPr="004E503E">
        <w:t xml:space="preserve">“While any adopted metrics would be intended to measure PG&amp;E’s future performance, the metrics themselves (and the process of their development) could take into consideration PG&amp;E’s past performance, such as for the development of performance baselines or other measurement criteria. </w:t>
      </w:r>
      <w:r w:rsidR="00622D2A">
        <w:t xml:space="preserve"> </w:t>
      </w:r>
      <w:r w:rsidRPr="004E503E">
        <w:t>This issue can be addressed more appropriately in the proceeding to develop the metrics.”</w:t>
      </w:r>
    </w:p>
  </w:footnote>
  <w:footnote w:id="93">
    <w:p w14:paraId="5050ED6C" w14:textId="52C267CA" w:rsidR="003E0C34" w:rsidRDefault="003E0C34">
      <w:pPr>
        <w:pStyle w:val="FootnoteText"/>
      </w:pPr>
      <w:r>
        <w:rPr>
          <w:rStyle w:val="FootnoteReference"/>
        </w:rPr>
        <w:footnoteRef/>
      </w:r>
      <w:r>
        <w:t xml:space="preserve">  Resolution M-4855.  </w:t>
      </w:r>
      <w:r w:rsidRPr="00767508">
        <w:rPr>
          <w:i/>
        </w:rPr>
        <w:t>Approving and denying elements of Pacific Gas and Electric Company’s Advice Letter 4401-G/6116-E Requests to Comply with Decision 20-05-053 to Implement an Independent Safety Monitor (ISM).</w:t>
      </w:r>
      <w:r>
        <w:t xml:space="preserve">  Available as of September 1, 2021 at: </w:t>
      </w:r>
      <w:hyperlink r:id="rId8" w:history="1">
        <w:r w:rsidRPr="000265C0">
          <w:rPr>
            <w:rStyle w:val="Hyperlink"/>
          </w:rPr>
          <w:t>https://docs.cpuc.ca.gov/PublishedDocs/Published/G000/M398/K031/398031023.PDF</w:t>
        </w:r>
      </w:hyperlink>
      <w:r>
        <w:t xml:space="preserve">.  </w:t>
      </w:r>
    </w:p>
  </w:footnote>
  <w:footnote w:id="94">
    <w:p w14:paraId="2797BA45" w14:textId="6DAA1738" w:rsidR="003E0C34" w:rsidRPr="00767508" w:rsidRDefault="003E0C34" w:rsidP="002D0307">
      <w:pPr>
        <w:pStyle w:val="FootnoteText"/>
      </w:pPr>
      <w:r w:rsidRPr="00767508">
        <w:rPr>
          <w:vertAlign w:val="superscript"/>
        </w:rPr>
        <w:footnoteRef/>
      </w:r>
      <w:r w:rsidRPr="00767508">
        <w:rPr>
          <w:vertAlign w:val="superscript"/>
        </w:rPr>
        <w:t xml:space="preserve"> </w:t>
      </w:r>
      <w:r>
        <w:rPr>
          <w:vertAlign w:val="superscript"/>
        </w:rPr>
        <w:t xml:space="preserve"> </w:t>
      </w:r>
      <w:r w:rsidRPr="004E503E">
        <w:t xml:space="preserve">Resolution M-4846, </w:t>
      </w:r>
      <w:r w:rsidRPr="00767508">
        <w:rPr>
          <w:i/>
        </w:rPr>
        <w:t>Resolution Adopting Commission Enforcement Policy,</w:t>
      </w:r>
      <w:r>
        <w:t xml:space="preserve"> available as of September 1, 2021 at: </w:t>
      </w:r>
      <w:hyperlink r:id="rId9" w:history="1">
        <w:r w:rsidRPr="001F5456">
          <w:rPr>
            <w:rStyle w:val="Hyperlink"/>
          </w:rPr>
          <w:t>https://docs.cpuc.ca.gov/PublishedDocs/Published/G000/M350/K405/350405017.PDF</w:t>
        </w:r>
      </w:hyperlink>
      <w:r>
        <w:t xml:space="preserve">.  </w:t>
      </w:r>
    </w:p>
  </w:footnote>
  <w:footnote w:id="95">
    <w:p w14:paraId="02D1C083" w14:textId="3149A433" w:rsidR="003E0C34" w:rsidRDefault="003E0C34" w:rsidP="002D0307">
      <w:pPr>
        <w:pStyle w:val="FootnoteText"/>
      </w:pPr>
      <w:r w:rsidRPr="00767508">
        <w:rPr>
          <w:vertAlign w:val="superscript"/>
        </w:rPr>
        <w:footnoteRef/>
      </w:r>
      <w:r w:rsidRPr="00767508">
        <w:rPr>
          <w:vertAlign w:val="superscript"/>
        </w:rPr>
        <w:t xml:space="preserve"> </w:t>
      </w:r>
      <w:r>
        <w:rPr>
          <w:vertAlign w:val="superscript"/>
        </w:rPr>
        <w:t xml:space="preserve"> </w:t>
      </w:r>
      <w:r w:rsidRPr="00767508">
        <w:rPr>
          <w:i/>
        </w:rPr>
        <w:t>Application of San Diego Gas &amp; Electric Company (U902M) for Review of its Safety Model Assessment Proceeding Pursuant to Decision 14-12-025</w:t>
      </w:r>
      <w:r w:rsidRPr="00767508">
        <w:t>, Phase Two Decision Adopting Risk Spending Accountability Report Requirements, D.19-04-020 at 33.</w:t>
      </w:r>
    </w:p>
  </w:footnote>
  <w:footnote w:id="96">
    <w:p w14:paraId="571D14C9" w14:textId="712CFEE2" w:rsidR="003E0C34" w:rsidRPr="00767508" w:rsidRDefault="003E0C34">
      <w:pPr>
        <w:pStyle w:val="FootnoteText"/>
      </w:pPr>
      <w:r w:rsidRPr="00767508">
        <w:rPr>
          <w:rStyle w:val="FootnoteReference"/>
        </w:rPr>
        <w:footnoteRef/>
      </w:r>
      <w:r w:rsidRPr="00767508">
        <w:t xml:space="preserve"> </w:t>
      </w:r>
      <w:r>
        <w:t xml:space="preserve"> </w:t>
      </w:r>
      <w:r w:rsidRPr="00767508">
        <w:t>PG&amp;E, “Response to ALJ Ruling,” February 12, 2021 at 8.</w:t>
      </w:r>
    </w:p>
  </w:footnote>
  <w:footnote w:id="97">
    <w:p w14:paraId="458F097D" w14:textId="663B1371" w:rsidR="003E0C34" w:rsidRDefault="003E0C34" w:rsidP="00F66194">
      <w:pPr>
        <w:pStyle w:val="FootnoteText"/>
      </w:pPr>
      <w:r w:rsidRPr="00F72857">
        <w:rPr>
          <w:rStyle w:val="FootnoteReference"/>
        </w:rPr>
        <w:footnoteRef/>
      </w:r>
      <w:r w:rsidRPr="00F72857">
        <w:t xml:space="preserve"> </w:t>
      </w:r>
      <w:r>
        <w:t xml:space="preserve"> </w:t>
      </w:r>
      <w:r w:rsidRPr="00F72857">
        <w:t>Staff Track 2 Recommendations at 25.</w:t>
      </w:r>
      <w:r>
        <w:t xml:space="preserve"> </w:t>
      </w:r>
    </w:p>
  </w:footnote>
  <w:footnote w:id="98">
    <w:p w14:paraId="48844EE5" w14:textId="59D47D65" w:rsidR="003E0C34" w:rsidRPr="00436762" w:rsidRDefault="003E0C34">
      <w:pPr>
        <w:pStyle w:val="FootnoteText"/>
      </w:pPr>
      <w:r w:rsidRPr="00436762">
        <w:rPr>
          <w:rStyle w:val="FootnoteReference"/>
        </w:rPr>
        <w:footnoteRef/>
      </w:r>
      <w:r w:rsidRPr="00436762">
        <w:t xml:space="preserve"> </w:t>
      </w:r>
      <w:r>
        <w:t xml:space="preserve"> </w:t>
      </w:r>
      <w:r w:rsidRPr="00436762">
        <w:t xml:space="preserve">PG&amp;E, “Response to ALJ’s Ruling,” February 12, 2021, at 8, emphases added; </w:t>
      </w:r>
      <w:r w:rsidRPr="00436762">
        <w:rPr>
          <w:i/>
          <w:iCs/>
        </w:rPr>
        <w:t>see also</w:t>
      </w:r>
      <w:r w:rsidRPr="00436762">
        <w:t xml:space="preserve"> D.19</w:t>
      </w:r>
      <w:r>
        <w:noBreakHyphen/>
      </w:r>
      <w:r w:rsidRPr="00436762">
        <w:t>04</w:t>
      </w:r>
      <w:r>
        <w:noBreakHyphen/>
      </w:r>
      <w:r w:rsidRPr="00436762">
        <w:t xml:space="preserve">020, Attachment 1 at 6. </w:t>
      </w:r>
    </w:p>
  </w:footnote>
  <w:footnote w:id="99">
    <w:p w14:paraId="21A3A550" w14:textId="6946293C" w:rsidR="003E0C34" w:rsidRDefault="003E0C34">
      <w:pPr>
        <w:pStyle w:val="FootnoteText"/>
      </w:pPr>
      <w:r w:rsidRPr="00436762">
        <w:rPr>
          <w:rStyle w:val="FootnoteReference"/>
        </w:rPr>
        <w:footnoteRef/>
      </w:r>
      <w:r w:rsidRPr="00436762">
        <w:t xml:space="preserve"> </w:t>
      </w:r>
      <w:r>
        <w:t xml:space="preserve"> </w:t>
      </w:r>
      <w:r w:rsidRPr="00436762">
        <w:rPr>
          <w:i/>
        </w:rPr>
        <w:t>Ibid.</w:t>
      </w:r>
    </w:p>
  </w:footnote>
  <w:footnote w:id="100">
    <w:p w14:paraId="5F208A49" w14:textId="0C200D8D" w:rsidR="003E0C34" w:rsidRPr="004E503E" w:rsidRDefault="003E0C34">
      <w:pPr>
        <w:pStyle w:val="FootnoteText"/>
      </w:pPr>
      <w:r w:rsidRPr="004E503E">
        <w:rPr>
          <w:rStyle w:val="FootnoteReference"/>
        </w:rPr>
        <w:footnoteRef/>
      </w:r>
      <w:r w:rsidRPr="004E503E">
        <w:t xml:space="preserve"> </w:t>
      </w:r>
      <w:r>
        <w:t xml:space="preserve"> </w:t>
      </w:r>
      <w:r w:rsidRPr="004E503E">
        <w:t>Staff Track 2 Recommendations at 27.</w:t>
      </w:r>
    </w:p>
  </w:footnote>
  <w:footnote w:id="101">
    <w:p w14:paraId="6EDC5ECF" w14:textId="44B49DBC" w:rsidR="003E0C34" w:rsidRPr="004E503E" w:rsidRDefault="003E0C34" w:rsidP="00D31F71">
      <w:pPr>
        <w:pStyle w:val="FootnoteText"/>
      </w:pPr>
      <w:r w:rsidRPr="004E503E">
        <w:rPr>
          <w:rStyle w:val="FootnoteReference"/>
        </w:rPr>
        <w:footnoteRef/>
      </w:r>
      <w:r w:rsidRPr="004E503E">
        <w:t xml:space="preserve"> </w:t>
      </w:r>
      <w:r>
        <w:t xml:space="preserve"> </w:t>
      </w:r>
      <w:r w:rsidRPr="004E503E">
        <w:t>D.96-09-045, Appendix A, at 1.</w:t>
      </w:r>
    </w:p>
  </w:footnote>
  <w:footnote w:id="102">
    <w:p w14:paraId="4AFEAA98" w14:textId="60140206" w:rsidR="003E0C34" w:rsidRDefault="003E0C34">
      <w:pPr>
        <w:pStyle w:val="FootnoteText"/>
      </w:pPr>
      <w:r w:rsidRPr="004E503E">
        <w:rPr>
          <w:rStyle w:val="FootnoteReference"/>
        </w:rPr>
        <w:footnoteRef/>
      </w:r>
      <w:r w:rsidRPr="004E503E">
        <w:t xml:space="preserve"> </w:t>
      </w:r>
      <w:r>
        <w:t xml:space="preserve"> </w:t>
      </w:r>
      <w:r w:rsidRPr="004E503E">
        <w:t>Staff Track 2 Recommendations at 29.</w:t>
      </w:r>
    </w:p>
  </w:footnote>
  <w:footnote w:id="103">
    <w:p w14:paraId="00FB5ACE" w14:textId="7A9E7A04" w:rsidR="003E0C34" w:rsidRPr="004E503E" w:rsidRDefault="003E0C34" w:rsidP="0011267A">
      <w:pPr>
        <w:pStyle w:val="FootnoteText"/>
      </w:pPr>
      <w:r w:rsidRPr="004E503E">
        <w:rPr>
          <w:rStyle w:val="FootnoteReference"/>
        </w:rPr>
        <w:footnoteRef/>
      </w:r>
      <w:r w:rsidRPr="004E503E">
        <w:t xml:space="preserve"> </w:t>
      </w:r>
      <w:r>
        <w:t xml:space="preserve"> </w:t>
      </w:r>
      <w:r w:rsidRPr="004E503E">
        <w:t>D.96-09-045, Appendix A, at 1.</w:t>
      </w:r>
    </w:p>
  </w:footnote>
  <w:footnote w:id="104">
    <w:p w14:paraId="31410108" w14:textId="6A544CC1" w:rsidR="003E0C34" w:rsidRPr="004E503E" w:rsidRDefault="003E0C34" w:rsidP="002E6499">
      <w:pPr>
        <w:pStyle w:val="FootnoteText"/>
      </w:pPr>
      <w:r w:rsidRPr="004E503E">
        <w:rPr>
          <w:rStyle w:val="FootnoteReference"/>
        </w:rPr>
        <w:footnoteRef/>
      </w:r>
      <w:r w:rsidRPr="004E503E">
        <w:t xml:space="preserve"> </w:t>
      </w:r>
      <w:r>
        <w:t xml:space="preserve"> </w:t>
      </w:r>
      <w:r w:rsidRPr="004E503E">
        <w:t>PCF writes, “Normally these two reliability indices [SAIDI and SAIFI] are a pair, two</w:t>
      </w:r>
      <w:r>
        <w:t> </w:t>
      </w:r>
      <w:r w:rsidRPr="004E503E">
        <w:t>hand</w:t>
      </w:r>
      <w:r>
        <w:noBreakHyphen/>
      </w:r>
      <w:r w:rsidRPr="004E503E">
        <w:t>in-glove indicators of utility reliability (PCF Comments on PG&amp;E Workshop, March</w:t>
      </w:r>
      <w:r>
        <w:t> </w:t>
      </w:r>
      <w:r w:rsidRPr="004E503E">
        <w:t>1,</w:t>
      </w:r>
      <w:r>
        <w:t> </w:t>
      </w:r>
      <w:r w:rsidRPr="004E503E">
        <w:t>2021, at</w:t>
      </w:r>
      <w:r>
        <w:t> </w:t>
      </w:r>
      <w:r w:rsidRPr="004E503E">
        <w:t>4-5).</w:t>
      </w:r>
    </w:p>
  </w:footnote>
  <w:footnote w:id="105">
    <w:p w14:paraId="15096360" w14:textId="30E440B4" w:rsidR="003E0C34" w:rsidRPr="004E503E" w:rsidRDefault="003E0C34">
      <w:pPr>
        <w:pStyle w:val="FootnoteText"/>
      </w:pPr>
      <w:r w:rsidRPr="004E503E">
        <w:rPr>
          <w:rStyle w:val="FootnoteReference"/>
        </w:rPr>
        <w:footnoteRef/>
      </w:r>
      <w:r w:rsidRPr="004E503E">
        <w:t xml:space="preserve"> </w:t>
      </w:r>
      <w:r>
        <w:t xml:space="preserve"> </w:t>
      </w:r>
      <w:r w:rsidRPr="004E503E">
        <w:t xml:space="preserve">IEEE, Classification of Major Event Days, at 1-4, available as of August 12, 2021 at </w:t>
      </w:r>
      <w:hyperlink r:id="rId10" w:history="1">
        <w:r w:rsidRPr="004E503E">
          <w:rPr>
            <w:rStyle w:val="Hyperlink"/>
          </w:rPr>
          <w:t>https://cmte.ieee.org/pes-drwg/wp-content/uploads/sites/61/</w:t>
        </w:r>
        <w:r w:rsidRPr="004E503E">
          <w:rPr>
            <w:rStyle w:val="Hyperlink"/>
            <w:rFonts w:eastAsiaTheme="majorEastAsia"/>
          </w:rPr>
          <w:t>2003-01-Major-Events-Classification-v3.pdf</w:t>
        </w:r>
      </w:hyperlink>
      <w:r w:rsidRPr="004E503E">
        <w:t xml:space="preserve">. </w:t>
      </w:r>
      <w:r>
        <w:t xml:space="preserve"> </w:t>
      </w:r>
      <w:r w:rsidRPr="002E3CA3">
        <w:rPr>
          <w:i/>
          <w:iCs/>
        </w:rPr>
        <w:t>See also</w:t>
      </w:r>
      <w:r>
        <w:t xml:space="preserve"> </w:t>
      </w:r>
      <w:hyperlink r:id="rId11" w:history="1">
        <w:r w:rsidRPr="00BC254D">
          <w:rPr>
            <w:rStyle w:val="Hyperlink"/>
          </w:rPr>
          <w:t>https://standards.ieee.org/standard/1366-2012.html</w:t>
        </w:r>
      </w:hyperlink>
      <w:r>
        <w:t xml:space="preserve">. </w:t>
      </w:r>
    </w:p>
  </w:footnote>
  <w:footnote w:id="106">
    <w:p w14:paraId="7AEA93BD" w14:textId="7EAD3809" w:rsidR="003E0C34" w:rsidRPr="004E503E" w:rsidRDefault="003E0C34">
      <w:pPr>
        <w:pStyle w:val="FootnoteText"/>
      </w:pPr>
      <w:r w:rsidRPr="004E503E">
        <w:rPr>
          <w:rStyle w:val="FootnoteReference"/>
        </w:rPr>
        <w:footnoteRef/>
      </w:r>
      <w:r w:rsidRPr="004E503E">
        <w:t xml:space="preserve"> </w:t>
      </w:r>
      <w:r>
        <w:t xml:space="preserve"> </w:t>
      </w:r>
      <w:r w:rsidRPr="004E503E">
        <w:t>D.16-01-008, Appendix A at 4.  For the purposed of calculating this index, any interruption that spans multiple calendar days is accrued to the day on which the interruption began.</w:t>
      </w:r>
    </w:p>
  </w:footnote>
  <w:footnote w:id="107">
    <w:p w14:paraId="3D7FC6C3" w14:textId="564BB179" w:rsidR="003E0C34" w:rsidRDefault="003E0C34" w:rsidP="00A804FF">
      <w:pPr>
        <w:pStyle w:val="FootnoteText"/>
      </w:pPr>
      <w:r w:rsidRPr="004E503E">
        <w:rPr>
          <w:rStyle w:val="FootnoteReference"/>
        </w:rPr>
        <w:footnoteRef/>
      </w:r>
      <w:r w:rsidRPr="004E503E">
        <w:t xml:space="preserve"> </w:t>
      </w:r>
      <w:r>
        <w:t xml:space="preserve"> </w:t>
      </w:r>
      <w:r w:rsidRPr="004E503E">
        <w:t>D.16-01-008, Appendix B.</w:t>
      </w:r>
      <w:r>
        <w:t xml:space="preserve"> </w:t>
      </w:r>
    </w:p>
  </w:footnote>
  <w:footnote w:id="108">
    <w:p w14:paraId="3AE7FF6F" w14:textId="3F9319C0" w:rsidR="003E0C34" w:rsidRDefault="003E0C34" w:rsidP="00FF7826">
      <w:pPr>
        <w:pStyle w:val="FootnoteText"/>
      </w:pPr>
      <w:r>
        <w:rPr>
          <w:rStyle w:val="FootnoteReference"/>
        </w:rPr>
        <w:footnoteRef/>
      </w:r>
      <w:r>
        <w:t xml:space="preserve">  PG&amp;E, Comments on Staff Proposal at 15. </w:t>
      </w:r>
    </w:p>
  </w:footnote>
  <w:footnote w:id="109">
    <w:p w14:paraId="713F1352" w14:textId="094FA4DC" w:rsidR="003E0C34" w:rsidRDefault="003E0C34" w:rsidP="00FF7826">
      <w:pPr>
        <w:pStyle w:val="FootnoteText"/>
      </w:pPr>
      <w:r>
        <w:rPr>
          <w:rStyle w:val="FootnoteReference"/>
        </w:rPr>
        <w:footnoteRef/>
      </w:r>
      <w:r>
        <w:t xml:space="preserve">  </w:t>
      </w:r>
      <w:r w:rsidRPr="00367848">
        <w:rPr>
          <w:i/>
          <w:iCs/>
        </w:rPr>
        <w:t>Id</w:t>
      </w:r>
      <w:r>
        <w:t>. at 22.</w:t>
      </w:r>
    </w:p>
  </w:footnote>
  <w:footnote w:id="110">
    <w:p w14:paraId="098894B7" w14:textId="4F7431AF" w:rsidR="003E0C34" w:rsidRDefault="003E0C34" w:rsidP="00C305D2">
      <w:pPr>
        <w:pStyle w:val="FootnoteText"/>
      </w:pPr>
      <w:r>
        <w:rPr>
          <w:rStyle w:val="FootnoteReference"/>
        </w:rPr>
        <w:footnoteRef/>
      </w:r>
      <w:r>
        <w:t xml:space="preserve">  SOMs Ruling at 2 and 3.</w:t>
      </w:r>
    </w:p>
  </w:footnote>
  <w:footnote w:id="111">
    <w:p w14:paraId="57BDE77A" w14:textId="142DA60E" w:rsidR="003E0C34" w:rsidRPr="007B4F1F" w:rsidRDefault="003E0C34" w:rsidP="002E3CA3">
      <w:pPr>
        <w:pStyle w:val="FootnoteText"/>
        <w:rPr>
          <w:szCs w:val="22"/>
        </w:rPr>
      </w:pPr>
      <w:r w:rsidRPr="007B4F1F">
        <w:rPr>
          <w:rStyle w:val="FootnoteReference"/>
          <w:szCs w:val="22"/>
        </w:rPr>
        <w:footnoteRef/>
      </w:r>
      <w:r w:rsidRPr="007B4F1F">
        <w:rPr>
          <w:szCs w:val="22"/>
        </w:rPr>
        <w:t xml:space="preserve"> </w:t>
      </w:r>
      <w:r>
        <w:rPr>
          <w:szCs w:val="22"/>
        </w:rPr>
        <w:t xml:space="preserve"> </w:t>
      </w:r>
      <w:r w:rsidRPr="007B4F1F">
        <w:rPr>
          <w:sz w:val="26"/>
          <w:szCs w:val="24"/>
        </w:rPr>
        <w:fldChar w:fldCharType="begin"/>
      </w:r>
      <w:r w:rsidRPr="007B4F1F">
        <w:rPr>
          <w:sz w:val="26"/>
          <w:szCs w:val="24"/>
        </w:rPr>
        <w:fldChar w:fldCharType="separate"/>
      </w:r>
      <w:r>
        <w:rPr>
          <w:rStyle w:val="Hyperlink"/>
        </w:rPr>
        <w:t>D.19-05-042,</w:t>
      </w:r>
      <w:r w:rsidRPr="007B4F1F">
        <w:rPr>
          <w:rStyle w:val="Hyperlink"/>
          <w:szCs w:val="22"/>
        </w:rPr>
        <w:fldChar w:fldCharType="end"/>
      </w:r>
      <w:r w:rsidRPr="007B4F1F">
        <w:rPr>
          <w:szCs w:val="22"/>
        </w:rPr>
        <w:t>D.19-05-</w:t>
      </w:r>
      <w:r w:rsidRPr="002E3CA3">
        <w:t>042</w:t>
      </w:r>
      <w:r w:rsidRPr="007B4F1F">
        <w:rPr>
          <w:szCs w:val="22"/>
        </w:rPr>
        <w:t>, Appendix A at A-22 – A-25; D.20-05-051, Appendix A at 9-10</w:t>
      </w:r>
      <w:r>
        <w:rPr>
          <w:szCs w:val="22"/>
        </w:rPr>
        <w:t>; D.21-06-034, Appendix A at A14 – A20.</w:t>
      </w:r>
    </w:p>
  </w:footnote>
  <w:footnote w:id="112">
    <w:p w14:paraId="2B661999" w14:textId="18AC4F1E" w:rsidR="003E0C34" w:rsidRPr="007B4F1F" w:rsidRDefault="003E0C34" w:rsidP="00C305D2">
      <w:pPr>
        <w:pStyle w:val="FootnoteText"/>
        <w:rPr>
          <w:szCs w:val="22"/>
        </w:rPr>
      </w:pPr>
      <w:r w:rsidRPr="00F66AE5">
        <w:rPr>
          <w:szCs w:val="22"/>
          <w:vertAlign w:val="superscript"/>
        </w:rPr>
        <w:footnoteRef/>
      </w:r>
      <w:r w:rsidRPr="007B4F1F">
        <w:rPr>
          <w:szCs w:val="22"/>
        </w:rPr>
        <w:t xml:space="preserve"> </w:t>
      </w:r>
      <w:r>
        <w:rPr>
          <w:szCs w:val="22"/>
        </w:rPr>
        <w:t xml:space="preserve"> Resolution </w:t>
      </w:r>
      <w:r w:rsidRPr="002E3CA3">
        <w:t>WSD</w:t>
      </w:r>
      <w:r>
        <w:rPr>
          <w:szCs w:val="22"/>
        </w:rPr>
        <w:t xml:space="preserve">-011, Attachment 2.2: 2021 </w:t>
      </w:r>
      <w:r w:rsidR="001F3885">
        <w:rPr>
          <w:szCs w:val="22"/>
        </w:rPr>
        <w:t xml:space="preserve">OEIS </w:t>
      </w:r>
      <w:r>
        <w:rPr>
          <w:szCs w:val="22"/>
        </w:rPr>
        <w:t xml:space="preserve">WMP Guidelines Template, PSPS Guidance </w:t>
      </w:r>
      <w:r w:rsidRPr="00775D74">
        <w:rPr>
          <w:szCs w:val="22"/>
        </w:rPr>
        <w:t>at 46</w:t>
      </w:r>
      <w:r w:rsidRPr="00775D74">
        <w:rPr>
          <w:szCs w:val="22"/>
        </w:rPr>
        <w:noBreakHyphen/>
      </w:r>
      <w:r>
        <w:rPr>
          <w:szCs w:val="22"/>
        </w:rPr>
        <w:t xml:space="preserve"> 28, available as of July 22, 2021 at </w:t>
      </w:r>
      <w:hyperlink r:id="rId12" w:history="1">
        <w:r w:rsidRPr="004E0F14">
          <w:rPr>
            <w:rStyle w:val="Hyperlink"/>
            <w:szCs w:val="22"/>
          </w:rPr>
          <w:t>https://energysafety.ca.gov/wp-content/uploads/docs/wmp-2021/attachment-2.2-to-wsd-011-2021-wmp-guidelines-template.pdf</w:t>
        </w:r>
      </w:hyperlink>
      <w:r>
        <w:rPr>
          <w:szCs w:val="22"/>
        </w:rPr>
        <w:t xml:space="preserve">.  </w:t>
      </w:r>
    </w:p>
  </w:footnote>
  <w:footnote w:id="113">
    <w:p w14:paraId="06F0DA1A" w14:textId="069D3E95" w:rsidR="003E0C34" w:rsidRPr="007B4F1F" w:rsidRDefault="003E0C34" w:rsidP="00C305D2">
      <w:pPr>
        <w:pStyle w:val="FootnoteText"/>
        <w:rPr>
          <w:szCs w:val="22"/>
        </w:rPr>
      </w:pPr>
      <w:r w:rsidRPr="007B4F1F">
        <w:rPr>
          <w:rStyle w:val="FootnoteReference"/>
          <w:szCs w:val="22"/>
        </w:rPr>
        <w:footnoteRef/>
      </w:r>
      <w:r w:rsidRPr="007B4F1F">
        <w:rPr>
          <w:szCs w:val="22"/>
        </w:rPr>
        <w:t xml:space="preserve"> </w:t>
      </w:r>
      <w:r>
        <w:rPr>
          <w:szCs w:val="22"/>
        </w:rPr>
        <w:t xml:space="preserve"> </w:t>
      </w:r>
      <w:r w:rsidRPr="007B4F1F">
        <w:rPr>
          <w:szCs w:val="22"/>
        </w:rPr>
        <w:t>D.20-05-053, Appendix A, at 1.</w:t>
      </w:r>
    </w:p>
  </w:footnote>
  <w:footnote w:id="114">
    <w:p w14:paraId="5DE4DA7E" w14:textId="3BD70671" w:rsidR="003E0C34" w:rsidRDefault="003E0C34">
      <w:pPr>
        <w:pStyle w:val="FootnoteText"/>
      </w:pPr>
      <w:r>
        <w:rPr>
          <w:rStyle w:val="FootnoteReference"/>
        </w:rPr>
        <w:footnoteRef/>
      </w:r>
      <w:r>
        <w:t xml:space="preserve">  Staff Track 2 Recommendations at 37.</w:t>
      </w:r>
    </w:p>
  </w:footnote>
  <w:footnote w:id="115">
    <w:p w14:paraId="2351A33A" w14:textId="431EF817" w:rsidR="003E0C34" w:rsidRDefault="003E0C34" w:rsidP="0055663A">
      <w:pPr>
        <w:pStyle w:val="FootnoteText"/>
      </w:pPr>
      <w:r>
        <w:rPr>
          <w:rStyle w:val="FootnoteReference"/>
        </w:rPr>
        <w:footnoteRef/>
      </w:r>
      <w:r>
        <w:t xml:space="preserve">  </w:t>
      </w:r>
      <w:r w:rsidRPr="00BB791B">
        <w:rPr>
          <w:i/>
          <w:iCs/>
        </w:rPr>
        <w:t>Id.</w:t>
      </w:r>
      <w:r>
        <w:t xml:space="preserve"> at 41. </w:t>
      </w:r>
    </w:p>
  </w:footnote>
  <w:footnote w:id="116">
    <w:p w14:paraId="09C493A6" w14:textId="1620586F" w:rsidR="003E0C34" w:rsidRDefault="003E0C34" w:rsidP="00FC2ECD">
      <w:pPr>
        <w:pStyle w:val="FootnoteText"/>
      </w:pPr>
      <w:r>
        <w:rPr>
          <w:rStyle w:val="FootnoteReference"/>
        </w:rPr>
        <w:footnoteRef/>
      </w:r>
      <w:r>
        <w:t xml:space="preserve">  PG&amp;E, Comments on Staff Proposal at 17.</w:t>
      </w:r>
    </w:p>
  </w:footnote>
  <w:footnote w:id="117">
    <w:p w14:paraId="5560EDF7" w14:textId="71ED5823" w:rsidR="003E0C34" w:rsidRDefault="003E0C34" w:rsidP="00FC2ECD">
      <w:pPr>
        <w:pStyle w:val="FootnoteText"/>
      </w:pPr>
      <w:r>
        <w:rPr>
          <w:rStyle w:val="FootnoteReference"/>
        </w:rPr>
        <w:footnoteRef/>
      </w:r>
      <w:r>
        <w:t xml:space="preserve">  </w:t>
      </w:r>
      <w:r w:rsidRPr="00AF69C2">
        <w:rPr>
          <w:i/>
          <w:iCs/>
        </w:rPr>
        <w:t>Id.</w:t>
      </w:r>
      <w:r>
        <w:t xml:space="preserve"> at 23, citing D.21-06-034 at 23. </w:t>
      </w:r>
    </w:p>
  </w:footnote>
  <w:footnote w:id="118">
    <w:p w14:paraId="0FC815B5" w14:textId="395B314C" w:rsidR="003E0C34" w:rsidRPr="00767508" w:rsidRDefault="003E0C34" w:rsidP="00FA15FD">
      <w:pPr>
        <w:pStyle w:val="FootnoteText"/>
      </w:pPr>
      <w:r w:rsidRPr="00767508">
        <w:rPr>
          <w:rStyle w:val="FootnoteReference"/>
        </w:rPr>
        <w:footnoteRef/>
      </w:r>
      <w:r w:rsidRPr="00767508">
        <w:t xml:space="preserve"> </w:t>
      </w:r>
      <w:r>
        <w:t xml:space="preserve"> </w:t>
      </w:r>
      <w:r w:rsidRPr="00767508">
        <w:t>D.21-06-034 at 17, citing D.19-05-042, Appendix A at A1; D. 20-05-051, Appendix A at 9</w:t>
      </w:r>
    </w:p>
  </w:footnote>
  <w:footnote w:id="119">
    <w:p w14:paraId="1714D53A" w14:textId="77777777" w:rsidR="00D47650" w:rsidRDefault="00D47650" w:rsidP="00D47650">
      <w:pPr>
        <w:pStyle w:val="FootnoteText"/>
      </w:pPr>
      <w:r>
        <w:rPr>
          <w:rStyle w:val="FootnoteReference"/>
        </w:rPr>
        <w:footnoteRef/>
      </w:r>
      <w:r>
        <w:t xml:space="preserve">  I.19-11-013 was closed by </w:t>
      </w:r>
      <w:r w:rsidRPr="005F2874">
        <w:t>D</w:t>
      </w:r>
      <w:r>
        <w:t>.</w:t>
      </w:r>
      <w:r w:rsidRPr="005F2874">
        <w:t>21</w:t>
      </w:r>
      <w:r>
        <w:t>-</w:t>
      </w:r>
      <w:r w:rsidRPr="005F2874">
        <w:t>06</w:t>
      </w:r>
      <w:r>
        <w:t>-</w:t>
      </w:r>
      <w:r w:rsidRPr="005F2874">
        <w:t>014</w:t>
      </w:r>
      <w:r>
        <w:t xml:space="preserve"> but was reopened solely for consideration of an application for rehearing.</w:t>
      </w:r>
    </w:p>
  </w:footnote>
  <w:footnote w:id="120">
    <w:p w14:paraId="09F5713C" w14:textId="7A7F10BD" w:rsidR="003E0C34" w:rsidRPr="004E503E" w:rsidRDefault="003E0C34" w:rsidP="00E01099">
      <w:pPr>
        <w:pStyle w:val="FootnoteText"/>
      </w:pPr>
      <w:r w:rsidRPr="004E503E">
        <w:rPr>
          <w:rStyle w:val="FootnoteReference"/>
        </w:rPr>
        <w:footnoteRef/>
      </w:r>
      <w:r w:rsidRPr="004E503E">
        <w:t xml:space="preserve"> </w:t>
      </w:r>
      <w:r>
        <w:t xml:space="preserve"> </w:t>
      </w:r>
      <w:r w:rsidRPr="004E503E">
        <w:t xml:space="preserve">D.21-06-034 at </w:t>
      </w:r>
      <w:r w:rsidRPr="00775D74">
        <w:t xml:space="preserve">24; </w:t>
      </w:r>
      <w:r w:rsidRPr="00775D74">
        <w:rPr>
          <w:i/>
          <w:iCs/>
        </w:rPr>
        <w:t>See</w:t>
      </w:r>
      <w:r w:rsidRPr="00775D74">
        <w:t xml:space="preserve"> also</w:t>
      </w:r>
      <w:r>
        <w:t xml:space="preserve"> D.21-06-014 Ordering Paragraph 1, which requires </w:t>
      </w:r>
      <w:r w:rsidRPr="00E01099">
        <w:t xml:space="preserve">PG&amp;E, SCE, </w:t>
      </w:r>
      <w:r>
        <w:t xml:space="preserve">and </w:t>
      </w:r>
      <w:r w:rsidRPr="00E01099">
        <w:t>SDG&amp;E forgo collection from customers of the portion of their authorized</w:t>
      </w:r>
      <w:r>
        <w:t xml:space="preserve"> </w:t>
      </w:r>
      <w:r w:rsidRPr="00E01099">
        <w:t xml:space="preserve">revenue requirement equal to estimated unrealized volumetric sales and unrealized revenue due to future proactive </w:t>
      </w:r>
      <w:r>
        <w:t xml:space="preserve">PSPS events, available as of September 1, 2021 at: </w:t>
      </w:r>
      <w:hyperlink r:id="rId13" w:history="1">
        <w:r w:rsidRPr="001F5456">
          <w:rPr>
            <w:rStyle w:val="Hyperlink"/>
          </w:rPr>
          <w:t>https://docs.cpuc.ca.gov/PublishedDocs/Published/G000/M387/K099/387099293.PDF</w:t>
        </w:r>
      </w:hyperlink>
      <w:r>
        <w:t xml:space="preserve">.  </w:t>
      </w:r>
    </w:p>
  </w:footnote>
  <w:footnote w:id="121">
    <w:p w14:paraId="2805D248" w14:textId="55E52757" w:rsidR="003E0C34" w:rsidRPr="004E503E" w:rsidRDefault="003E0C34" w:rsidP="00FA15FD">
      <w:pPr>
        <w:pStyle w:val="FootnoteText"/>
      </w:pPr>
      <w:r w:rsidRPr="004E503E">
        <w:rPr>
          <w:rStyle w:val="FootnoteReference"/>
        </w:rPr>
        <w:footnoteRef/>
      </w:r>
      <w:r w:rsidRPr="004E503E">
        <w:t xml:space="preserve"> </w:t>
      </w:r>
      <w:r w:rsidR="00C962CC">
        <w:t xml:space="preserve"> </w:t>
      </w:r>
      <w:r w:rsidRPr="004E503E">
        <w:rPr>
          <w:szCs w:val="22"/>
        </w:rPr>
        <w:t xml:space="preserve">Resolution WSD-011, Attachment 2.2: 2021 </w:t>
      </w:r>
      <w:r w:rsidR="001F3885">
        <w:rPr>
          <w:szCs w:val="22"/>
        </w:rPr>
        <w:t xml:space="preserve">OEIS </w:t>
      </w:r>
      <w:r w:rsidRPr="004E503E">
        <w:rPr>
          <w:szCs w:val="22"/>
        </w:rPr>
        <w:t xml:space="preserve">WMP Guidelines Template, PSPS Guidance at 47 and 56, available as of July 22, 2021 at </w:t>
      </w:r>
      <w:hyperlink r:id="rId14" w:history="1">
        <w:r w:rsidRPr="004E503E">
          <w:rPr>
            <w:rStyle w:val="Hyperlink"/>
            <w:szCs w:val="22"/>
          </w:rPr>
          <w:t>https://energysafety.ca.gov/wp-content/uploads/docs/wmp-2021/attachment-2.2-to-wsd-011-2021-wmp-guidelines-template.pdf</w:t>
        </w:r>
      </w:hyperlink>
      <w:r w:rsidRPr="004E503E">
        <w:rPr>
          <w:szCs w:val="22"/>
        </w:rPr>
        <w:t xml:space="preserve">.  </w:t>
      </w:r>
    </w:p>
  </w:footnote>
  <w:footnote w:id="122">
    <w:p w14:paraId="0260D293" w14:textId="143C13E9" w:rsidR="003E0C34" w:rsidRPr="004E503E" w:rsidRDefault="003E0C34" w:rsidP="00FA15FD">
      <w:pPr>
        <w:pStyle w:val="FootnoteText"/>
      </w:pPr>
      <w:r w:rsidRPr="004E503E">
        <w:rPr>
          <w:rStyle w:val="FootnoteReference"/>
        </w:rPr>
        <w:footnoteRef/>
      </w:r>
      <w:r w:rsidRPr="004E503E">
        <w:t xml:space="preserve"> </w:t>
      </w:r>
      <w:r>
        <w:t xml:space="preserve"> </w:t>
      </w:r>
      <w:r w:rsidRPr="004E503E">
        <w:rPr>
          <w:i/>
          <w:iCs/>
        </w:rPr>
        <w:t>Ibid.</w:t>
      </w:r>
    </w:p>
  </w:footnote>
  <w:footnote w:id="123">
    <w:p w14:paraId="577B10A4" w14:textId="5FD48964" w:rsidR="003E0C34" w:rsidRPr="004E503E" w:rsidRDefault="003E0C34" w:rsidP="00FA15FD">
      <w:pPr>
        <w:pStyle w:val="FootnoteText"/>
      </w:pPr>
      <w:r w:rsidRPr="004E503E">
        <w:rPr>
          <w:rStyle w:val="FootnoteReference"/>
        </w:rPr>
        <w:footnoteRef/>
      </w:r>
      <w:r w:rsidRPr="004E503E">
        <w:t xml:space="preserve"> </w:t>
      </w:r>
      <w:r>
        <w:t xml:space="preserve"> </w:t>
      </w:r>
      <w:r w:rsidRPr="004E503E">
        <w:t xml:space="preserve">D.21-06-034 at Conclusion of Law 51, Appendix A at A16. </w:t>
      </w:r>
    </w:p>
  </w:footnote>
  <w:footnote w:id="124">
    <w:p w14:paraId="273A491C" w14:textId="7AD800D6" w:rsidR="003E0C34" w:rsidRDefault="003E0C34" w:rsidP="00FA15FD">
      <w:pPr>
        <w:pStyle w:val="FootnoteText"/>
      </w:pPr>
      <w:r w:rsidRPr="004E503E">
        <w:rPr>
          <w:rStyle w:val="FootnoteReference"/>
        </w:rPr>
        <w:footnoteRef/>
      </w:r>
      <w:r w:rsidRPr="004E503E">
        <w:t xml:space="preserve"> </w:t>
      </w:r>
      <w:r>
        <w:t xml:space="preserve"> </w:t>
      </w:r>
      <w:r w:rsidRPr="004E503E">
        <w:t xml:space="preserve">PG&amp;E 2021 WMP Update- Attachments. See Attachment 1 – All Data Tables Required by 2021 </w:t>
      </w:r>
      <w:r w:rsidR="001F3885">
        <w:t xml:space="preserve">OEIS </w:t>
      </w:r>
      <w:r w:rsidRPr="004E503E">
        <w:t xml:space="preserve">WMP Guidelines, Table 11, available as of July 22, 2021 at: </w:t>
      </w:r>
      <w:hyperlink r:id="rId15" w:history="1">
        <w:r w:rsidRPr="004E503E">
          <w:rPr>
            <w:rStyle w:val="Hyperlink"/>
          </w:rPr>
          <w:t>https://energysafety.ca.gov/what-we-do/wildfire-mitigation-and-safety/wildfire-mitigation-plans/2021-wmp/</w:t>
        </w:r>
      </w:hyperlink>
      <w:r w:rsidRPr="004E503E">
        <w:t>.</w:t>
      </w:r>
      <w:r>
        <w:t xml:space="preserve"> </w:t>
      </w:r>
    </w:p>
  </w:footnote>
  <w:footnote w:id="125">
    <w:p w14:paraId="3B3F2766" w14:textId="0FC4D16A" w:rsidR="00E254E3" w:rsidRDefault="00E254E3">
      <w:pPr>
        <w:pStyle w:val="FootnoteText"/>
      </w:pPr>
      <w:r>
        <w:rPr>
          <w:rStyle w:val="FootnoteReference"/>
        </w:rPr>
        <w:footnoteRef/>
      </w:r>
      <w:r>
        <w:t xml:space="preserve"> </w:t>
      </w:r>
      <w:r w:rsidR="00C962CC">
        <w:t xml:space="preserve"> </w:t>
      </w:r>
      <w:r>
        <w:t>The Commission</w:t>
      </w:r>
      <w:r w:rsidR="002961B2">
        <w:t xml:space="preserve"> </w:t>
      </w:r>
      <w:r>
        <w:t xml:space="preserve">and OEIS have </w:t>
      </w:r>
      <w:r w:rsidR="00672827">
        <w:t>a Memorandum of Understanding governing data sharing</w:t>
      </w:r>
      <w:r w:rsidR="002961B2">
        <w:t xml:space="preserve"> amongst other matters</w:t>
      </w:r>
      <w:r w:rsidR="00672827">
        <w:t xml:space="preserve"> available as of </w:t>
      </w:r>
      <w:r w:rsidR="00542B9B">
        <w:t xml:space="preserve">September 10, 2021 at </w:t>
      </w:r>
      <w:hyperlink r:id="rId16" w:history="1">
        <w:r w:rsidR="002961B2" w:rsidRPr="00D80529">
          <w:rPr>
            <w:rStyle w:val="Hyperlink"/>
          </w:rPr>
          <w:t>https://www.cpuc.ca.gov/-/media/cpuc-website/divisions/safety-policy-division/documents/20210712-cpucoeis-mousigned.pdf</w:t>
        </w:r>
      </w:hyperlink>
      <w:r w:rsidR="002961B2">
        <w:t xml:space="preserve">. </w:t>
      </w:r>
    </w:p>
  </w:footnote>
  <w:footnote w:id="126">
    <w:p w14:paraId="3A0D9068" w14:textId="7700EDFC" w:rsidR="003E0C34" w:rsidRPr="00767508" w:rsidRDefault="003E0C34" w:rsidP="00803ACF">
      <w:pPr>
        <w:pStyle w:val="FootnoteText"/>
      </w:pPr>
      <w:r w:rsidRPr="00767508">
        <w:rPr>
          <w:rStyle w:val="FootnoteReference"/>
        </w:rPr>
        <w:footnoteRef/>
      </w:r>
      <w:r w:rsidRPr="00767508">
        <w:t xml:space="preserve">  Staff Track 2 Recommendations at 43, citing MGRA’s Informal Comments on Staff Draft Proposal on Phase I Track 2 issues, May 11, 2021, at 5.</w:t>
      </w:r>
    </w:p>
  </w:footnote>
  <w:footnote w:id="127">
    <w:p w14:paraId="374669D4" w14:textId="74C788FB" w:rsidR="003E0C34" w:rsidRPr="00E866DB" w:rsidRDefault="003E0C34">
      <w:pPr>
        <w:pStyle w:val="FootnoteText"/>
      </w:pPr>
      <w:r w:rsidRPr="00C7119E">
        <w:rPr>
          <w:rStyle w:val="FootnoteReference"/>
        </w:rPr>
        <w:footnoteRef/>
      </w:r>
      <w:r w:rsidRPr="00C7119E">
        <w:t xml:space="preserve"> </w:t>
      </w:r>
      <w:r>
        <w:t xml:space="preserve"> </w:t>
      </w:r>
      <w:r w:rsidRPr="00C7119E">
        <w:rPr>
          <w:i/>
          <w:iCs/>
        </w:rPr>
        <w:t xml:space="preserve">Id. </w:t>
      </w:r>
      <w:r w:rsidRPr="00C7119E">
        <w:t>at 44.</w:t>
      </w:r>
    </w:p>
  </w:footnote>
  <w:footnote w:id="128">
    <w:p w14:paraId="6568ED59" w14:textId="25DEE8EA" w:rsidR="003E0C34" w:rsidRPr="00E866DB" w:rsidRDefault="003E0C34" w:rsidP="00802EE1">
      <w:pPr>
        <w:pStyle w:val="FootnoteText"/>
      </w:pPr>
      <w:r w:rsidRPr="00E866DB">
        <w:rPr>
          <w:rStyle w:val="FootnoteReference"/>
        </w:rPr>
        <w:footnoteRef/>
      </w:r>
      <w:r w:rsidRPr="00E866DB">
        <w:t xml:space="preserve"> </w:t>
      </w:r>
      <w:r>
        <w:t xml:space="preserve"> </w:t>
      </w:r>
      <w:r w:rsidRPr="00E866DB">
        <w:rPr>
          <w:i/>
          <w:iCs/>
        </w:rPr>
        <w:t>Id</w:t>
      </w:r>
      <w:r w:rsidRPr="00E866DB">
        <w:t xml:space="preserve">. at 14, citing Attachment A to the SOMs Ruling, which summarizes party comments regarding safety metrics made in D.20-05-053.  </w:t>
      </w:r>
    </w:p>
  </w:footnote>
  <w:footnote w:id="129">
    <w:p w14:paraId="0566546A" w14:textId="739A29DA" w:rsidR="003E0C34" w:rsidRPr="00E866DB" w:rsidRDefault="003E0C34" w:rsidP="00802EE1">
      <w:pPr>
        <w:pStyle w:val="FootnoteText"/>
      </w:pPr>
      <w:r w:rsidRPr="00E866DB">
        <w:rPr>
          <w:rStyle w:val="FootnoteReference"/>
        </w:rPr>
        <w:footnoteRef/>
      </w:r>
      <w:r w:rsidRPr="00E866DB">
        <w:t xml:space="preserve"> </w:t>
      </w:r>
      <w:r>
        <w:t xml:space="preserve"> </w:t>
      </w:r>
      <w:r w:rsidRPr="00E866DB">
        <w:rPr>
          <w:i/>
          <w:iCs/>
        </w:rPr>
        <w:t xml:space="preserve">Id. </w:t>
      </w:r>
      <w:r w:rsidRPr="00E866DB">
        <w:t>at 16.</w:t>
      </w:r>
    </w:p>
  </w:footnote>
  <w:footnote w:id="130">
    <w:p w14:paraId="41C11B42" w14:textId="7C449005" w:rsidR="003E0C34" w:rsidRPr="00E866DB" w:rsidRDefault="003E0C34" w:rsidP="00802EE1">
      <w:pPr>
        <w:pStyle w:val="FootnoteText"/>
      </w:pPr>
      <w:r w:rsidRPr="00E866DB">
        <w:rPr>
          <w:rStyle w:val="FootnoteReference"/>
        </w:rPr>
        <w:footnoteRef/>
      </w:r>
      <w:r w:rsidRPr="00E866DB">
        <w:t xml:space="preserve"> </w:t>
      </w:r>
      <w:r>
        <w:t xml:space="preserve"> </w:t>
      </w:r>
      <w:r w:rsidRPr="00E866DB">
        <w:rPr>
          <w:i/>
          <w:iCs/>
        </w:rPr>
        <w:t>Id</w:t>
      </w:r>
      <w:r w:rsidRPr="00E866DB">
        <w:t>. at 15</w:t>
      </w:r>
    </w:p>
  </w:footnote>
  <w:footnote w:id="131">
    <w:p w14:paraId="283F8806" w14:textId="4DE4F14B" w:rsidR="003E0C34" w:rsidRDefault="003E0C34" w:rsidP="00802EE1">
      <w:pPr>
        <w:pStyle w:val="FootnoteText"/>
      </w:pPr>
      <w:r w:rsidRPr="00E866DB">
        <w:rPr>
          <w:rStyle w:val="FootnoteReference"/>
        </w:rPr>
        <w:footnoteRef/>
      </w:r>
      <w:r w:rsidRPr="00E866DB">
        <w:t xml:space="preserve"> </w:t>
      </w:r>
      <w:r>
        <w:t xml:space="preserve"> </w:t>
      </w:r>
      <w:r w:rsidRPr="00E866DB">
        <w:rPr>
          <w:i/>
          <w:iCs/>
        </w:rPr>
        <w:t>Ibid.</w:t>
      </w:r>
    </w:p>
  </w:footnote>
  <w:footnote w:id="132">
    <w:p w14:paraId="285207E0" w14:textId="400D9B6D" w:rsidR="003E0C34" w:rsidRPr="00E866DB" w:rsidRDefault="003E0C34" w:rsidP="00802EE1">
      <w:pPr>
        <w:pStyle w:val="FootnoteText"/>
      </w:pPr>
      <w:r w:rsidRPr="00E866DB">
        <w:rPr>
          <w:rStyle w:val="FootnoteReference"/>
        </w:rPr>
        <w:footnoteRef/>
      </w:r>
      <w:r w:rsidRPr="00E866DB">
        <w:t xml:space="preserve"> </w:t>
      </w:r>
      <w:r>
        <w:t xml:space="preserve"> </w:t>
      </w:r>
      <w:r w:rsidRPr="00E866DB">
        <w:t>TURN, Reply Comments on Staff Proposal at 8.</w:t>
      </w:r>
    </w:p>
  </w:footnote>
  <w:footnote w:id="133">
    <w:p w14:paraId="6E04F0F7" w14:textId="6C77E04E" w:rsidR="003E0C34" w:rsidRPr="00E866DB" w:rsidRDefault="003E0C34" w:rsidP="00802EE1">
      <w:pPr>
        <w:pStyle w:val="FootnoteText"/>
      </w:pPr>
      <w:r w:rsidRPr="00E866DB">
        <w:rPr>
          <w:rStyle w:val="FootnoteReference"/>
        </w:rPr>
        <w:footnoteRef/>
      </w:r>
      <w:r w:rsidRPr="00E866DB">
        <w:t xml:space="preserve"> </w:t>
      </w:r>
      <w:r>
        <w:t xml:space="preserve"> </w:t>
      </w:r>
      <w:r w:rsidRPr="00E866DB">
        <w:t xml:space="preserve">MGRA, Reply Comments on Staff Proposal at 10, citing to D.17-12-024 </w:t>
      </w:r>
      <w:r w:rsidRPr="00E866DB">
        <w:rPr>
          <w:i/>
          <w:iCs/>
        </w:rPr>
        <w:t>Decision Adopting Regulations to Enhance Fire Safety in the High Fire-Threat District,</w:t>
      </w:r>
      <w:r w:rsidRPr="00E866DB">
        <w:t xml:space="preserve"> which states, “[a]lthough today’s Decision does not adopt [Proposed Regulation] 10, this does not relieve utilities of their duty under Pub. Util. Code § 451 and Rule 31.1 to design, build, and maintain facilities based on known local wind conditions.” </w:t>
      </w:r>
    </w:p>
  </w:footnote>
  <w:footnote w:id="134">
    <w:p w14:paraId="4E9D36B4" w14:textId="44AFC1C8" w:rsidR="003E0C34" w:rsidRPr="00E866DB" w:rsidRDefault="003E0C34" w:rsidP="00802EE1">
      <w:pPr>
        <w:pStyle w:val="FootnoteText"/>
      </w:pPr>
      <w:r w:rsidRPr="00E866DB">
        <w:rPr>
          <w:rStyle w:val="FootnoteReference"/>
        </w:rPr>
        <w:footnoteRef/>
      </w:r>
      <w:r w:rsidRPr="00E866DB">
        <w:t xml:space="preserve"> </w:t>
      </w:r>
      <w:r>
        <w:t xml:space="preserve"> </w:t>
      </w:r>
      <w:r w:rsidRPr="00E866DB">
        <w:t>MGRA, Reply Comments on Staff Proposal at 12.</w:t>
      </w:r>
    </w:p>
  </w:footnote>
  <w:footnote w:id="135">
    <w:p w14:paraId="004884B7" w14:textId="08534B21" w:rsidR="003E0C34" w:rsidRDefault="003E0C34" w:rsidP="00802EE1">
      <w:pPr>
        <w:pStyle w:val="FootnoteText"/>
      </w:pPr>
      <w:r w:rsidRPr="00E866DB">
        <w:rPr>
          <w:rStyle w:val="FootnoteReference"/>
        </w:rPr>
        <w:footnoteRef/>
      </w:r>
      <w:r w:rsidRPr="00E866DB">
        <w:t xml:space="preserve"> </w:t>
      </w:r>
      <w:r>
        <w:t xml:space="preserve"> </w:t>
      </w:r>
      <w:r w:rsidRPr="00E866DB">
        <w:t>MGRA, Reply Comments on Staff Proposal at 12.</w:t>
      </w:r>
      <w:r>
        <w:t xml:space="preserve"> </w:t>
      </w:r>
    </w:p>
  </w:footnote>
  <w:footnote w:id="136">
    <w:p w14:paraId="7918147A" w14:textId="62D824E5" w:rsidR="003E0C34" w:rsidRPr="00E866DB" w:rsidRDefault="003E0C34" w:rsidP="00802EE1">
      <w:pPr>
        <w:pStyle w:val="FootnoteText"/>
      </w:pPr>
      <w:r w:rsidRPr="00E866DB">
        <w:rPr>
          <w:rStyle w:val="FootnoteReference"/>
        </w:rPr>
        <w:footnoteRef/>
      </w:r>
      <w:r w:rsidRPr="00E866DB">
        <w:t xml:space="preserve"> </w:t>
      </w:r>
      <w:r>
        <w:t xml:space="preserve"> </w:t>
      </w:r>
      <w:r w:rsidRPr="00E866DB">
        <w:t xml:space="preserve">Cal Advocates, Comments on Staff Proposal at 20. </w:t>
      </w:r>
    </w:p>
  </w:footnote>
  <w:footnote w:id="137">
    <w:p w14:paraId="755D8723" w14:textId="02C15715" w:rsidR="003E0C34" w:rsidRPr="00E866DB" w:rsidRDefault="003E0C34" w:rsidP="00DB774E">
      <w:pPr>
        <w:pStyle w:val="FootnoteText"/>
      </w:pPr>
      <w:r w:rsidRPr="00E866DB">
        <w:rPr>
          <w:rStyle w:val="FootnoteReference"/>
        </w:rPr>
        <w:footnoteRef/>
      </w:r>
      <w:r w:rsidRPr="00E866DB">
        <w:t xml:space="preserve"> </w:t>
      </w:r>
      <w:r>
        <w:t xml:space="preserve"> </w:t>
      </w:r>
      <w:r w:rsidRPr="002E3CA3">
        <w:rPr>
          <w:i/>
          <w:iCs/>
        </w:rPr>
        <w:t>See</w:t>
      </w:r>
      <w:r w:rsidRPr="00E866DB">
        <w:t xml:space="preserve"> Technosylva Inc. 2019 PSPS Event Wildfire Risk Analysis Report</w:t>
      </w:r>
      <w:r w:rsidR="00923D65">
        <w:t>, which is not part of the record of this proceeding. A</w:t>
      </w:r>
      <w:r w:rsidRPr="00E866DB">
        <w:t>vailable as of July</w:t>
      </w:r>
      <w:r>
        <w:t> </w:t>
      </w:r>
      <w:r w:rsidRPr="00E866DB">
        <w:t>22,</w:t>
      </w:r>
      <w:r>
        <w:t> </w:t>
      </w:r>
      <w:r w:rsidRPr="00E866DB">
        <w:t xml:space="preserve">2021 at: </w:t>
      </w:r>
      <w:hyperlink r:id="rId17" w:history="1">
        <w:r w:rsidRPr="00E866DB">
          <w:rPr>
            <w:rStyle w:val="Hyperlink"/>
          </w:rPr>
          <w:t>https://www.cpuc.ca.gov/consumer-support/psps/technosylva-2019-psps-event-wildfire-risk-analysis-reports</w:t>
        </w:r>
      </w:hyperlink>
      <w:r w:rsidRPr="00E866DB">
        <w:t xml:space="preserve">.  </w:t>
      </w:r>
    </w:p>
  </w:footnote>
  <w:footnote w:id="138">
    <w:p w14:paraId="38CED346" w14:textId="4E3662B9" w:rsidR="003E0C34" w:rsidRPr="00767508" w:rsidRDefault="003E0C34">
      <w:pPr>
        <w:pStyle w:val="FootnoteText"/>
      </w:pPr>
      <w:r w:rsidRPr="00767508">
        <w:rPr>
          <w:rStyle w:val="FootnoteReference"/>
        </w:rPr>
        <w:footnoteRef/>
      </w:r>
      <w:r w:rsidRPr="00767508">
        <w:t xml:space="preserve"> </w:t>
      </w:r>
      <w:r>
        <w:t xml:space="preserve"> </w:t>
      </w:r>
      <w:r w:rsidRPr="00767508">
        <w:t xml:space="preserve">According to the National Weather Service, a Red Flag Warning means warm temperatures, very low humidity, and stronger winds are expected to combine to produce an increased risk of (vegetation) fire danger in an area within the next 24 hours.  Specific weather parameters that are forecasted to be met for a Red Flag Warning Day are available </w:t>
      </w:r>
      <w:r w:rsidR="00A92478" w:rsidRPr="00A92478">
        <w:t xml:space="preserve">as of </w:t>
      </w:r>
      <w:r w:rsidR="00A92478">
        <w:t>September 13</w:t>
      </w:r>
      <w:r w:rsidR="00A92478" w:rsidRPr="00A92478">
        <w:t>, 2021 at</w:t>
      </w:r>
      <w:r w:rsidRPr="00767508">
        <w:t xml:space="preserve">: </w:t>
      </w:r>
      <w:hyperlink r:id="rId18" w:history="1">
        <w:r w:rsidRPr="00767508">
          <w:rPr>
            <w:rStyle w:val="Hyperlink"/>
          </w:rPr>
          <w:t>https://w1.weather.gov/glossary/index.php?word=red+flag+warning</w:t>
        </w:r>
      </w:hyperlink>
      <w:r w:rsidRPr="00767508">
        <w:t>.</w:t>
      </w:r>
    </w:p>
  </w:footnote>
  <w:footnote w:id="139">
    <w:p w14:paraId="777CF63B" w14:textId="77777777" w:rsidR="003E0C34" w:rsidRPr="00767508" w:rsidRDefault="003E0C34" w:rsidP="006E3430">
      <w:pPr>
        <w:rPr>
          <w:sz w:val="22"/>
          <w:szCs w:val="22"/>
        </w:rPr>
      </w:pPr>
      <w:r w:rsidRPr="00767508">
        <w:rPr>
          <w:rStyle w:val="FootnoteReference"/>
          <w:sz w:val="22"/>
          <w:szCs w:val="22"/>
        </w:rPr>
        <w:footnoteRef/>
      </w:r>
      <w:r w:rsidRPr="00767508">
        <w:rPr>
          <w:sz w:val="22"/>
          <w:szCs w:val="22"/>
        </w:rPr>
        <w:t xml:space="preserve">  Staff Track 2 Recommendations at 46, citing Hayes, Scott </w:t>
      </w:r>
      <w:r w:rsidRPr="00767508">
        <w:rPr>
          <w:i/>
          <w:sz w:val="22"/>
          <w:szCs w:val="22"/>
        </w:rPr>
        <w:t>et al</w:t>
      </w:r>
      <w:r w:rsidRPr="00767508">
        <w:rPr>
          <w:sz w:val="22"/>
          <w:szCs w:val="22"/>
        </w:rPr>
        <w:t xml:space="preserve">., Pacific Gas &amp; Electric Company, </w:t>
      </w:r>
      <w:r w:rsidRPr="00767508">
        <w:rPr>
          <w:i/>
          <w:sz w:val="22"/>
          <w:szCs w:val="22"/>
        </w:rPr>
        <w:t>Wires Down Improvement Program at PG&amp;E</w:t>
      </w:r>
      <w:r w:rsidRPr="00767508">
        <w:rPr>
          <w:sz w:val="22"/>
          <w:szCs w:val="22"/>
        </w:rPr>
        <w:t>, Western Protective Relay Conference 2015, states that wires down tracking started at PG&amp;E in 2010 and developed into a corporate public safety metric in 2012.</w:t>
      </w:r>
    </w:p>
  </w:footnote>
  <w:footnote w:id="140">
    <w:p w14:paraId="60C52992" w14:textId="05FE9C50" w:rsidR="003E0C34" w:rsidRDefault="003E0C34">
      <w:pPr>
        <w:pStyle w:val="FootnoteText"/>
      </w:pPr>
      <w:r w:rsidRPr="00767508">
        <w:rPr>
          <w:rStyle w:val="FootnoteReference"/>
          <w:szCs w:val="22"/>
        </w:rPr>
        <w:footnoteRef/>
      </w:r>
      <w:r w:rsidRPr="00767508">
        <w:rPr>
          <w:szCs w:val="22"/>
        </w:rPr>
        <w:t xml:space="preserve"> </w:t>
      </w:r>
      <w:r>
        <w:rPr>
          <w:szCs w:val="22"/>
        </w:rPr>
        <w:t xml:space="preserve"> </w:t>
      </w:r>
      <w:r w:rsidRPr="00767508">
        <w:rPr>
          <w:i/>
          <w:szCs w:val="22"/>
        </w:rPr>
        <w:t>Id.</w:t>
      </w:r>
      <w:r w:rsidRPr="00767508">
        <w:rPr>
          <w:szCs w:val="22"/>
        </w:rPr>
        <w:t xml:space="preserve"> at 51.</w:t>
      </w:r>
      <w:r>
        <w:t xml:space="preserve"> </w:t>
      </w:r>
    </w:p>
  </w:footnote>
  <w:footnote w:id="141">
    <w:p w14:paraId="5D9E1E03" w14:textId="36D6B2C7" w:rsidR="003E0C34" w:rsidRPr="00E866DB" w:rsidRDefault="003E0C34">
      <w:pPr>
        <w:pStyle w:val="FootnoteText"/>
      </w:pPr>
      <w:r w:rsidRPr="00E866DB">
        <w:rPr>
          <w:rStyle w:val="FootnoteReference"/>
        </w:rPr>
        <w:footnoteRef/>
      </w:r>
      <w:r w:rsidRPr="00E866DB">
        <w:t xml:space="preserve"> </w:t>
      </w:r>
      <w:r>
        <w:t xml:space="preserve"> </w:t>
      </w:r>
      <w:r w:rsidRPr="00E866DB">
        <w:rPr>
          <w:i/>
          <w:iCs/>
        </w:rPr>
        <w:t>Id.</w:t>
      </w:r>
      <w:r w:rsidRPr="00E866DB">
        <w:t xml:space="preserve"> at 46.</w:t>
      </w:r>
    </w:p>
  </w:footnote>
  <w:footnote w:id="142">
    <w:p w14:paraId="65330F86" w14:textId="65953B9B" w:rsidR="003E0C34" w:rsidRDefault="003E0C34" w:rsidP="0032554E">
      <w:pPr>
        <w:pStyle w:val="FootnoteText"/>
      </w:pPr>
      <w:r w:rsidRPr="00E866DB">
        <w:rPr>
          <w:rStyle w:val="FootnoteReference"/>
        </w:rPr>
        <w:footnoteRef/>
      </w:r>
      <w:r w:rsidRPr="00E866DB">
        <w:t xml:space="preserve"> </w:t>
      </w:r>
      <w:r>
        <w:t xml:space="preserve"> </w:t>
      </w:r>
      <w:r w:rsidRPr="00E866DB">
        <w:t>PG&amp;E, Comments on Staff Proposal at 30.</w:t>
      </w:r>
    </w:p>
  </w:footnote>
  <w:footnote w:id="143">
    <w:p w14:paraId="72E77CF1" w14:textId="291C95CE" w:rsidR="003E0C34" w:rsidRPr="00767508" w:rsidRDefault="003E0C34" w:rsidP="0032554E">
      <w:pPr>
        <w:pStyle w:val="FootnoteText"/>
      </w:pPr>
      <w:r w:rsidRPr="00767508">
        <w:rPr>
          <w:rStyle w:val="FootnoteReference"/>
        </w:rPr>
        <w:footnoteRef/>
      </w:r>
      <w:r w:rsidRPr="00767508">
        <w:t xml:space="preserve"> </w:t>
      </w:r>
      <w:r>
        <w:t xml:space="preserve"> </w:t>
      </w:r>
      <w:r w:rsidRPr="005B1379">
        <w:rPr>
          <w:i/>
          <w:iCs/>
        </w:rPr>
        <w:t>Id</w:t>
      </w:r>
      <w:r w:rsidRPr="00767508">
        <w:t>. at 31.</w:t>
      </w:r>
    </w:p>
  </w:footnote>
  <w:footnote w:id="144">
    <w:p w14:paraId="2F341743" w14:textId="2ADCA6F7" w:rsidR="001D2BB1" w:rsidRDefault="001D2BB1">
      <w:pPr>
        <w:pStyle w:val="FootnoteText"/>
      </w:pPr>
      <w:r>
        <w:rPr>
          <w:rStyle w:val="FootnoteReference"/>
        </w:rPr>
        <w:footnoteRef/>
      </w:r>
      <w:r>
        <w:t xml:space="preserve"> </w:t>
      </w:r>
      <w:r w:rsidR="004D6F4F">
        <w:t xml:space="preserve"> </w:t>
      </w:r>
      <w:r w:rsidR="00B95594">
        <w:t xml:space="preserve">OEIS </w:t>
      </w:r>
      <w:r w:rsidR="00C54AA3">
        <w:t>WMP</w:t>
      </w:r>
      <w:r w:rsidR="00B95594">
        <w:t xml:space="preserve"> Guidelines, available as of September 15, 2021 at: </w:t>
      </w:r>
      <w:hyperlink r:id="rId19" w:history="1">
        <w:r w:rsidR="00B95594" w:rsidRPr="00E5298E">
          <w:rPr>
            <w:rStyle w:val="Hyperlink"/>
          </w:rPr>
          <w:t>https://energysafety.ca.gov/wp-content/uploads/docs/wmp-2021/attachment-2.2-to-wsd-011-2021-wmp-guidelines-template.pdf</w:t>
        </w:r>
      </w:hyperlink>
      <w:r w:rsidR="00B95594">
        <w:t>.</w:t>
      </w:r>
    </w:p>
  </w:footnote>
  <w:footnote w:id="145">
    <w:p w14:paraId="09E7F187" w14:textId="03E1927D" w:rsidR="003E0C34" w:rsidRPr="00767508" w:rsidRDefault="003E0C34">
      <w:pPr>
        <w:pStyle w:val="FootnoteText"/>
      </w:pPr>
      <w:r w:rsidRPr="00767508">
        <w:rPr>
          <w:rStyle w:val="FootnoteReference"/>
        </w:rPr>
        <w:footnoteRef/>
      </w:r>
      <w:r w:rsidRPr="00767508">
        <w:t xml:space="preserve"> </w:t>
      </w:r>
      <w:r>
        <w:t xml:space="preserve"> </w:t>
      </w:r>
      <w:r w:rsidRPr="00767508">
        <w:rPr>
          <w:i/>
        </w:rPr>
        <w:t>Id</w:t>
      </w:r>
      <w:r w:rsidRPr="00767508">
        <w:t>. at 53.</w:t>
      </w:r>
    </w:p>
  </w:footnote>
  <w:footnote w:id="146">
    <w:p w14:paraId="7C14BD7C" w14:textId="7FBD7DD4" w:rsidR="003E0C34" w:rsidRDefault="003E0C34">
      <w:pPr>
        <w:pStyle w:val="FootnoteText"/>
      </w:pPr>
      <w:r>
        <w:rPr>
          <w:rStyle w:val="FootnoteReference"/>
        </w:rPr>
        <w:footnoteRef/>
      </w:r>
      <w:r>
        <w:t xml:space="preserve">  </w:t>
      </w:r>
      <w:r w:rsidRPr="00B21F01">
        <w:rPr>
          <w:i/>
          <w:iCs/>
        </w:rPr>
        <w:t>Id.</w:t>
      </w:r>
      <w:r>
        <w:t xml:space="preserve"> at 56. </w:t>
      </w:r>
    </w:p>
  </w:footnote>
  <w:footnote w:id="147">
    <w:p w14:paraId="2F29DB60" w14:textId="7C179D6A" w:rsidR="003E0C34" w:rsidRPr="00B67FF4" w:rsidRDefault="003E0C34" w:rsidP="00984B54">
      <w:pPr>
        <w:pStyle w:val="FootnoteText"/>
      </w:pPr>
      <w:r w:rsidRPr="00B67FF4">
        <w:rPr>
          <w:rStyle w:val="FootnoteReference"/>
        </w:rPr>
        <w:footnoteRef/>
      </w:r>
      <w:r w:rsidRPr="00B67FF4">
        <w:t xml:space="preserve"> </w:t>
      </w:r>
      <w:r>
        <w:t xml:space="preserve"> </w:t>
      </w:r>
      <w:r w:rsidRPr="005B1379">
        <w:rPr>
          <w:i/>
          <w:iCs/>
        </w:rPr>
        <w:t>Id</w:t>
      </w:r>
      <w:r w:rsidRPr="00B67FF4">
        <w:t xml:space="preserve">. at Appendix A, A-9. </w:t>
      </w:r>
    </w:p>
  </w:footnote>
  <w:footnote w:id="148">
    <w:p w14:paraId="73D1BFA6" w14:textId="30FEDB61" w:rsidR="003E0C34" w:rsidRDefault="003E0C34" w:rsidP="00984B54">
      <w:pPr>
        <w:pStyle w:val="FootnoteText"/>
      </w:pPr>
      <w:r w:rsidRPr="00767508">
        <w:rPr>
          <w:rStyle w:val="FootnoteReference"/>
        </w:rPr>
        <w:footnoteRef/>
      </w:r>
      <w:r w:rsidRPr="00767508">
        <w:t xml:space="preserve"> </w:t>
      </w:r>
      <w:r>
        <w:t xml:space="preserve"> </w:t>
      </w:r>
      <w:r w:rsidRPr="00767508">
        <w:t>Cal Advocates, Comments on Staff Proposal at 19.</w:t>
      </w:r>
    </w:p>
  </w:footnote>
  <w:footnote w:id="149">
    <w:p w14:paraId="50B231F9" w14:textId="715DE20B" w:rsidR="003E0C34" w:rsidRPr="00767508" w:rsidRDefault="003E0C34" w:rsidP="00984B54">
      <w:pPr>
        <w:pStyle w:val="FootnoteText"/>
      </w:pPr>
      <w:r w:rsidRPr="00767508">
        <w:rPr>
          <w:rStyle w:val="FootnoteReference"/>
        </w:rPr>
        <w:footnoteRef/>
      </w:r>
      <w:r w:rsidRPr="00767508">
        <w:t xml:space="preserve"> </w:t>
      </w:r>
      <w:r>
        <w:t xml:space="preserve"> </w:t>
      </w:r>
      <w:r w:rsidRPr="005B1379">
        <w:rPr>
          <w:i/>
          <w:iCs/>
        </w:rPr>
        <w:t>Id</w:t>
      </w:r>
      <w:r w:rsidRPr="00767508">
        <w:t xml:space="preserve">. at 25, citing D.11-05-018 at 31. </w:t>
      </w:r>
    </w:p>
  </w:footnote>
  <w:footnote w:id="150">
    <w:p w14:paraId="117515E6" w14:textId="29A2C572" w:rsidR="003E0C34" w:rsidRDefault="003E0C34" w:rsidP="00856738">
      <w:pPr>
        <w:pStyle w:val="FootnoteText"/>
      </w:pPr>
      <w:r>
        <w:rPr>
          <w:rStyle w:val="FootnoteReference"/>
        </w:rPr>
        <w:footnoteRef/>
      </w:r>
      <w:r>
        <w:t xml:space="preserve">  </w:t>
      </w:r>
      <w:r w:rsidR="00D63BA1" w:rsidRPr="00767508">
        <w:rPr>
          <w:szCs w:val="22"/>
        </w:rPr>
        <w:t xml:space="preserve">Staff Track 2 Recommendations at </w:t>
      </w:r>
      <w:r w:rsidR="00131BCD">
        <w:rPr>
          <w:szCs w:val="22"/>
        </w:rPr>
        <w:t>59.</w:t>
      </w:r>
    </w:p>
  </w:footnote>
  <w:footnote w:id="151">
    <w:p w14:paraId="19D3590F" w14:textId="40C4E8E9" w:rsidR="00593E4E" w:rsidRDefault="00593E4E">
      <w:pPr>
        <w:pStyle w:val="FootnoteText"/>
      </w:pPr>
      <w:r>
        <w:rPr>
          <w:rStyle w:val="FootnoteReference"/>
        </w:rPr>
        <w:footnoteRef/>
      </w:r>
      <w:r>
        <w:t xml:space="preserve"> </w:t>
      </w:r>
      <w:bookmarkStart w:id="166" w:name="_Hlk82697589"/>
      <w:r w:rsidR="00C962CC">
        <w:t xml:space="preserve"> </w:t>
      </w:r>
      <w:r w:rsidRPr="00593E4E">
        <w:t>We generally prefer to require reporting based on median time as compared to average time because median is more likely to be reflective of a utility’s systemic performance without undue influence from random outlier events.  Howe</w:t>
      </w:r>
      <w:r>
        <w:t xml:space="preserve">ver, average time can also be a useful measures as it </w:t>
      </w:r>
      <w:r w:rsidRPr="00593E4E">
        <w:t>gives visibility to how a utility responds to random outlier events.  To have a fuller visibility</w:t>
      </w:r>
      <w:r>
        <w:t xml:space="preserve">, </w:t>
      </w:r>
      <w:r w:rsidRPr="00593E4E">
        <w:t xml:space="preserve"> both median and average would ideally be specified.  For simplicity, this decision mostly requires reporting based on median time as more likely to reflect systemic performance.  However, for both electric and gas emergency response </w:t>
      </w:r>
      <w:r>
        <w:t xml:space="preserve">time </w:t>
      </w:r>
      <w:r w:rsidRPr="00593E4E">
        <w:t xml:space="preserve">metrics </w:t>
      </w:r>
      <w:r>
        <w:t xml:space="preserve">(SOMs and SPMs) adopted here we </w:t>
      </w:r>
      <w:r w:rsidRPr="00593E4E">
        <w:t xml:space="preserve">require reporting based on average time to conform all of these metrics with the reporting format required by the American Gas Association. </w:t>
      </w:r>
      <w:bookmarkEnd w:id="166"/>
    </w:p>
  </w:footnote>
  <w:footnote w:id="152">
    <w:p w14:paraId="7EE307A2" w14:textId="13AC11E9" w:rsidR="003E0C34" w:rsidRPr="00E866DB" w:rsidRDefault="003E0C34" w:rsidP="00227588">
      <w:pPr>
        <w:pStyle w:val="FootnoteText"/>
        <w:rPr>
          <w:rStyle w:val="FootnoteReference"/>
          <w:sz w:val="24"/>
          <w:szCs w:val="24"/>
          <w:vertAlign w:val="subscript"/>
        </w:rPr>
      </w:pPr>
      <w:r w:rsidRPr="00E866DB">
        <w:rPr>
          <w:rStyle w:val="FootnoteReference"/>
        </w:rPr>
        <w:footnoteRef/>
      </w:r>
      <w:r w:rsidRPr="00E866DB">
        <w:rPr>
          <w:rStyle w:val="FootnoteReference"/>
        </w:rPr>
        <w:t xml:space="preserve"> </w:t>
      </w:r>
      <w:r>
        <w:rPr>
          <w:rStyle w:val="FootnoteReference"/>
        </w:rPr>
        <w:t xml:space="preserve"> </w:t>
      </w:r>
      <w:r w:rsidRPr="00E866DB">
        <w:t>D.20-05-053 at 90.</w:t>
      </w:r>
      <w:r w:rsidRPr="00E866DB" w:rsidDel="00382596">
        <w:t xml:space="preserve"> </w:t>
      </w:r>
    </w:p>
  </w:footnote>
  <w:footnote w:id="153">
    <w:p w14:paraId="68983D33" w14:textId="647D6161" w:rsidR="003E0C34" w:rsidRPr="00E866DB" w:rsidRDefault="003E0C34" w:rsidP="0024305D">
      <w:pPr>
        <w:pStyle w:val="FootnoteText"/>
        <w:rPr>
          <w:rStyle w:val="FootnoteReference"/>
        </w:rPr>
      </w:pPr>
      <w:r w:rsidRPr="00E866DB">
        <w:rPr>
          <w:rStyle w:val="FootnoteReference"/>
        </w:rPr>
        <w:footnoteRef/>
      </w:r>
      <w:bookmarkStart w:id="169" w:name="_Hlk73027227"/>
      <w:r w:rsidRPr="00E866DB">
        <w:rPr>
          <w:rStyle w:val="FootnoteReference"/>
        </w:rPr>
        <w:t xml:space="preserve"> </w:t>
      </w:r>
      <w:r>
        <w:rPr>
          <w:rStyle w:val="FootnoteReference"/>
        </w:rPr>
        <w:t xml:space="preserve"> </w:t>
      </w:r>
      <w:r w:rsidR="00241D2F">
        <w:t>Assigned</w:t>
      </w:r>
      <w:r w:rsidR="00001ADE">
        <w:t xml:space="preserve"> Commissioner</w:t>
      </w:r>
      <w:r w:rsidRPr="00E866DB">
        <w:t>’s Ruling Regarding Development of Safety and Operational Metrics, November 17</w:t>
      </w:r>
      <w:r w:rsidRPr="00E866DB">
        <w:rPr>
          <w:vertAlign w:val="superscript"/>
        </w:rPr>
        <w:t xml:space="preserve">, </w:t>
      </w:r>
      <w:r w:rsidRPr="00E866DB">
        <w:t>2021.</w:t>
      </w:r>
      <w:bookmarkEnd w:id="169"/>
    </w:p>
  </w:footnote>
  <w:footnote w:id="154">
    <w:p w14:paraId="6F3F0305" w14:textId="2EAA5CF5" w:rsidR="003E0C34" w:rsidRPr="00572E2F" w:rsidRDefault="003E0C34" w:rsidP="00572E2F">
      <w:pPr>
        <w:pStyle w:val="FootnoteText"/>
      </w:pPr>
      <w:r w:rsidRPr="00E866DB">
        <w:rPr>
          <w:rStyle w:val="FootnoteReference"/>
        </w:rPr>
        <w:footnoteRef/>
      </w:r>
      <w:r w:rsidRPr="00E866DB">
        <w:t xml:space="preserve"> </w:t>
      </w:r>
      <w:r>
        <w:t xml:space="preserve"> </w:t>
      </w:r>
      <w:r w:rsidRPr="00E866DB">
        <w:t>D.20-05-053, Appendix A at 2.</w:t>
      </w:r>
    </w:p>
  </w:footnote>
  <w:footnote w:id="155">
    <w:p w14:paraId="46F0F399" w14:textId="58BCDD26" w:rsidR="003E0C34" w:rsidRPr="00E866DB" w:rsidRDefault="003E0C34">
      <w:pPr>
        <w:pStyle w:val="FootnoteText"/>
      </w:pPr>
      <w:r w:rsidRPr="00E866DB">
        <w:rPr>
          <w:rStyle w:val="FootnoteReference"/>
        </w:rPr>
        <w:footnoteRef/>
      </w:r>
      <w:r w:rsidRPr="00E866DB">
        <w:t xml:space="preserve"> </w:t>
      </w:r>
      <w:r>
        <w:t xml:space="preserve"> </w:t>
      </w:r>
      <w:r w:rsidRPr="00E866DB">
        <w:t xml:space="preserve">Staff Track 2 Recommendations at 72. </w:t>
      </w:r>
    </w:p>
  </w:footnote>
  <w:footnote w:id="156">
    <w:p w14:paraId="36919BB0" w14:textId="4A56660C" w:rsidR="003E0C34" w:rsidRDefault="003E0C34" w:rsidP="005F6D52">
      <w:pPr>
        <w:pStyle w:val="FootnoteText"/>
      </w:pPr>
      <w:r w:rsidRPr="00E866DB">
        <w:rPr>
          <w:rStyle w:val="FootnoteReference"/>
        </w:rPr>
        <w:footnoteRef/>
      </w:r>
      <w:r w:rsidRPr="00E866DB">
        <w:t xml:space="preserve"> </w:t>
      </w:r>
      <w:r>
        <w:t xml:space="preserve"> </w:t>
      </w:r>
      <w:r w:rsidRPr="00E866DB">
        <w:t>Staff Track 2 Recommendations at 74.</w:t>
      </w:r>
      <w:r>
        <w:t xml:space="preserve"> </w:t>
      </w:r>
    </w:p>
  </w:footnote>
  <w:footnote w:id="157">
    <w:p w14:paraId="399A0BBA" w14:textId="6F95C5F4" w:rsidR="003E0C34" w:rsidRPr="00ED26EB" w:rsidRDefault="003E0C34" w:rsidP="0084173B">
      <w:pPr>
        <w:pStyle w:val="FootnoteText"/>
      </w:pPr>
      <w:r w:rsidRPr="00ED26EB">
        <w:rPr>
          <w:rStyle w:val="FootnoteReference"/>
        </w:rPr>
        <w:footnoteRef/>
      </w:r>
      <w:r w:rsidRPr="00ED26EB">
        <w:t xml:space="preserve"> </w:t>
      </w:r>
      <w:r>
        <w:t xml:space="preserve"> </w:t>
      </w:r>
      <w:r w:rsidRPr="00ED26EB">
        <w:t xml:space="preserve">D.20-05-053 at 38. </w:t>
      </w:r>
    </w:p>
  </w:footnote>
  <w:footnote w:id="158">
    <w:p w14:paraId="44C336D1" w14:textId="5FD81B8C" w:rsidR="003E0C34" w:rsidRDefault="003E0C34">
      <w:pPr>
        <w:pStyle w:val="FootnoteText"/>
      </w:pPr>
      <w:r w:rsidRPr="00ED26EB">
        <w:rPr>
          <w:rStyle w:val="FootnoteReference"/>
        </w:rPr>
        <w:footnoteRef/>
      </w:r>
      <w:r w:rsidRPr="00ED26EB">
        <w:t xml:space="preserve"> </w:t>
      </w:r>
      <w:r>
        <w:t xml:space="preserve"> </w:t>
      </w:r>
      <w:r w:rsidRPr="00ED26EB">
        <w:t>Staff Track 2 Recommendations at 80.</w:t>
      </w:r>
    </w:p>
  </w:footnote>
  <w:footnote w:id="159">
    <w:p w14:paraId="59B3F62D" w14:textId="50C992FA" w:rsidR="00F80FD2" w:rsidRDefault="00F80FD2">
      <w:pPr>
        <w:pStyle w:val="FootnoteText"/>
      </w:pPr>
      <w:r>
        <w:rPr>
          <w:rStyle w:val="FootnoteReference"/>
        </w:rPr>
        <w:footnoteRef/>
      </w:r>
      <w:r>
        <w:t xml:space="preserve"> </w:t>
      </w:r>
      <w:r w:rsidR="00C14146">
        <w:t xml:space="preserve"> </w:t>
      </w:r>
      <w:r>
        <w:t xml:space="preserve">PG&amp;E, Comments on Proposed Decision, October 7, 2021 at </w:t>
      </w:r>
      <w:r w:rsidR="00BA009B">
        <w:t xml:space="preserve">7-8. </w:t>
      </w:r>
    </w:p>
  </w:footnote>
  <w:footnote w:id="160">
    <w:p w14:paraId="7F3B4032" w14:textId="00A5B815" w:rsidR="003E0C34" w:rsidRPr="00112176" w:rsidRDefault="003E0C34" w:rsidP="00C14146">
      <w:pPr>
        <w:spacing w:after="120"/>
        <w:rPr>
          <w:sz w:val="22"/>
          <w:szCs w:val="22"/>
        </w:rPr>
      </w:pPr>
      <w:r w:rsidRPr="00B730D5">
        <w:rPr>
          <w:rStyle w:val="FootnoteReference"/>
          <w:sz w:val="22"/>
          <w:szCs w:val="22"/>
        </w:rPr>
        <w:footnoteRef/>
      </w:r>
      <w:r w:rsidRPr="00B730D5">
        <w:rPr>
          <w:sz w:val="22"/>
          <w:szCs w:val="22"/>
        </w:rPr>
        <w:t xml:space="preserve"> </w:t>
      </w:r>
      <w:r>
        <w:rPr>
          <w:sz w:val="22"/>
          <w:szCs w:val="22"/>
        </w:rPr>
        <w:t xml:space="preserve"> </w:t>
      </w:r>
      <w:r w:rsidRPr="00B730D5">
        <w:rPr>
          <w:sz w:val="22"/>
          <w:szCs w:val="22"/>
        </w:rPr>
        <w:t>SB 1383 (Lara, Chapt</w:t>
      </w:r>
      <w:r w:rsidRPr="00112176">
        <w:rPr>
          <w:sz w:val="22"/>
          <w:szCs w:val="22"/>
        </w:rPr>
        <w:t>er 395, Statutes of 2016)</w:t>
      </w:r>
    </w:p>
  </w:footnote>
  <w:footnote w:id="161">
    <w:p w14:paraId="2C14A785" w14:textId="34879835" w:rsidR="003E0C34" w:rsidRDefault="003E0C34" w:rsidP="00D0034B">
      <w:pPr>
        <w:pStyle w:val="FootnoteText"/>
      </w:pPr>
      <w:r w:rsidRPr="00F72857">
        <w:rPr>
          <w:rStyle w:val="FootnoteReference"/>
        </w:rPr>
        <w:footnoteRef/>
      </w:r>
      <w:r w:rsidRPr="00F72857">
        <w:t xml:space="preserve"> </w:t>
      </w:r>
      <w:r>
        <w:t xml:space="preserve"> </w:t>
      </w:r>
      <w:r w:rsidRPr="00F72857">
        <w:t>D.19-08-</w:t>
      </w:r>
      <w:r w:rsidRPr="00F72857">
        <w:rPr>
          <w:i/>
          <w:iCs/>
        </w:rPr>
        <w:t xml:space="preserve">020 Second Phase Decision Approving Natural Gas Leak Abatement Program </w:t>
      </w:r>
      <w:r w:rsidRPr="00112176">
        <w:rPr>
          <w:i/>
        </w:rPr>
        <w:t>Consistent</w:t>
      </w:r>
      <w:r w:rsidRPr="00F72857">
        <w:rPr>
          <w:i/>
          <w:iCs/>
        </w:rPr>
        <w:t xml:space="preserve"> with Senate Bills 1371 and 1383</w:t>
      </w:r>
      <w:r>
        <w:t xml:space="preserve">. </w:t>
      </w:r>
    </w:p>
  </w:footnote>
  <w:footnote w:id="162">
    <w:p w14:paraId="0046C8E2" w14:textId="50E70950" w:rsidR="003E0C34" w:rsidRPr="00991BEC" w:rsidRDefault="003E0C34">
      <w:pPr>
        <w:pStyle w:val="FootnoteText"/>
        <w:rPr>
          <w:szCs w:val="22"/>
        </w:rPr>
      </w:pPr>
      <w:r w:rsidRPr="00991BEC">
        <w:rPr>
          <w:rStyle w:val="FootnoteReference"/>
          <w:szCs w:val="22"/>
        </w:rPr>
        <w:footnoteRef/>
      </w:r>
      <w:r w:rsidRPr="00991BEC">
        <w:rPr>
          <w:szCs w:val="22"/>
        </w:rPr>
        <w:t xml:space="preserve"> </w:t>
      </w:r>
      <w:r>
        <w:rPr>
          <w:szCs w:val="22"/>
        </w:rPr>
        <w:t xml:space="preserve"> </w:t>
      </w:r>
      <w:r w:rsidRPr="00991BEC">
        <w:rPr>
          <w:szCs w:val="22"/>
        </w:rPr>
        <w:t>D.14-12-025 at 6.</w:t>
      </w:r>
    </w:p>
  </w:footnote>
  <w:footnote w:id="163">
    <w:p w14:paraId="4DDDB31B" w14:textId="4A5D2DA9" w:rsidR="003E0C34" w:rsidRDefault="003E0C34">
      <w:pPr>
        <w:pStyle w:val="FootnoteText"/>
      </w:pPr>
      <w:r w:rsidRPr="00991BEC">
        <w:rPr>
          <w:rStyle w:val="FootnoteReference"/>
          <w:szCs w:val="22"/>
        </w:rPr>
        <w:footnoteRef/>
      </w:r>
      <w:r w:rsidRPr="00991BEC">
        <w:rPr>
          <w:szCs w:val="22"/>
        </w:rPr>
        <w:t xml:space="preserve"> </w:t>
      </w:r>
      <w:r>
        <w:rPr>
          <w:szCs w:val="22"/>
        </w:rPr>
        <w:t xml:space="preserve"> </w:t>
      </w:r>
      <w:r w:rsidRPr="00991BEC">
        <w:rPr>
          <w:szCs w:val="22"/>
        </w:rPr>
        <w:t>D.19-04-020 at 6.</w:t>
      </w:r>
      <w:r>
        <w:t xml:space="preserve"> </w:t>
      </w:r>
    </w:p>
  </w:footnote>
  <w:footnote w:id="164">
    <w:p w14:paraId="7F955191" w14:textId="73AD7FF0" w:rsidR="003E0C34" w:rsidRDefault="003E0C34">
      <w:pPr>
        <w:pStyle w:val="FootnoteText"/>
      </w:pPr>
      <w:r>
        <w:rPr>
          <w:rStyle w:val="FootnoteReference"/>
        </w:rPr>
        <w:footnoteRef/>
      </w:r>
      <w:r>
        <w:t xml:space="preserve">  </w:t>
      </w:r>
      <w:r w:rsidRPr="00EC52AB">
        <w:rPr>
          <w:i/>
          <w:iCs/>
        </w:rPr>
        <w:t>Id.</w:t>
      </w:r>
      <w:r>
        <w:t xml:space="preserve"> at 33. </w:t>
      </w:r>
    </w:p>
  </w:footnote>
  <w:footnote w:id="165">
    <w:p w14:paraId="72C9E506" w14:textId="62120855" w:rsidR="003E0C34" w:rsidRPr="00E866DB" w:rsidRDefault="003E0C34">
      <w:pPr>
        <w:pStyle w:val="FootnoteText"/>
      </w:pPr>
      <w:r w:rsidRPr="00E866DB">
        <w:rPr>
          <w:rStyle w:val="FootnoteReference"/>
        </w:rPr>
        <w:footnoteRef/>
      </w:r>
      <w:r w:rsidRPr="00E866DB">
        <w:t xml:space="preserve"> </w:t>
      </w:r>
      <w:r>
        <w:t xml:space="preserve"> </w:t>
      </w:r>
      <w:r w:rsidRPr="00E866DB">
        <w:rPr>
          <w:i/>
          <w:iCs/>
        </w:rPr>
        <w:t>Id.</w:t>
      </w:r>
      <w:r w:rsidRPr="00E866DB">
        <w:t xml:space="preserve"> at 25-28. </w:t>
      </w:r>
    </w:p>
  </w:footnote>
  <w:footnote w:id="166">
    <w:p w14:paraId="0B1C19CF" w14:textId="68D67F51" w:rsidR="003E0C34" w:rsidRPr="00E866DB" w:rsidRDefault="003E0C34">
      <w:pPr>
        <w:pStyle w:val="FootnoteText"/>
      </w:pPr>
      <w:r w:rsidRPr="00E866DB">
        <w:rPr>
          <w:rStyle w:val="FootnoteReference"/>
        </w:rPr>
        <w:footnoteRef/>
      </w:r>
      <w:r w:rsidRPr="00E866DB">
        <w:t xml:space="preserve"> </w:t>
      </w:r>
      <w:r>
        <w:t xml:space="preserve"> </w:t>
      </w:r>
      <w:r w:rsidRPr="00E866DB">
        <w:rPr>
          <w:i/>
          <w:iCs/>
        </w:rPr>
        <w:t>Id.</w:t>
      </w:r>
      <w:r w:rsidRPr="00E866DB">
        <w:t xml:space="preserve"> at 24. </w:t>
      </w:r>
    </w:p>
  </w:footnote>
  <w:footnote w:id="167">
    <w:p w14:paraId="0511DA2D" w14:textId="07DF297C" w:rsidR="003E0C34" w:rsidRDefault="003E0C34">
      <w:pPr>
        <w:pStyle w:val="FootnoteText"/>
      </w:pPr>
      <w:r w:rsidRPr="00E866DB">
        <w:rPr>
          <w:rStyle w:val="FootnoteReference"/>
        </w:rPr>
        <w:footnoteRef/>
      </w:r>
      <w:r w:rsidRPr="00E866DB">
        <w:t xml:space="preserve"> </w:t>
      </w:r>
      <w:r>
        <w:t xml:space="preserve"> </w:t>
      </w:r>
      <w:r w:rsidRPr="00E866DB">
        <w:rPr>
          <w:i/>
          <w:iCs/>
        </w:rPr>
        <w:t>Id.</w:t>
      </w:r>
      <w:r w:rsidRPr="00E866DB">
        <w:t xml:space="preserve"> at 28.</w:t>
      </w:r>
      <w:r>
        <w:t xml:space="preserve"> </w:t>
      </w:r>
    </w:p>
  </w:footnote>
  <w:footnote w:id="168">
    <w:p w14:paraId="1F643F2F" w14:textId="17473278" w:rsidR="003E0C34" w:rsidRPr="00E866DB" w:rsidRDefault="003E0C34">
      <w:pPr>
        <w:pStyle w:val="FootnoteText"/>
      </w:pPr>
      <w:r w:rsidRPr="00E866DB">
        <w:rPr>
          <w:rStyle w:val="FootnoteReference"/>
        </w:rPr>
        <w:footnoteRef/>
      </w:r>
      <w:r w:rsidRPr="00E866DB">
        <w:t xml:space="preserve"> </w:t>
      </w:r>
      <w:r>
        <w:t xml:space="preserve"> </w:t>
      </w:r>
      <w:r w:rsidRPr="00E866DB">
        <w:rPr>
          <w:i/>
          <w:iCs/>
        </w:rPr>
        <w:t>Id.</w:t>
      </w:r>
      <w:r w:rsidRPr="00E866DB">
        <w:t xml:space="preserve"> at 21.</w:t>
      </w:r>
    </w:p>
  </w:footnote>
  <w:footnote w:id="169">
    <w:p w14:paraId="6B408511" w14:textId="2167F6D1" w:rsidR="003E0C34" w:rsidRDefault="003E0C34" w:rsidP="00B750AA">
      <w:pPr>
        <w:pStyle w:val="FootnoteText"/>
      </w:pPr>
      <w:r w:rsidRPr="00E866DB">
        <w:rPr>
          <w:rStyle w:val="FootnoteReference"/>
        </w:rPr>
        <w:footnoteRef/>
      </w:r>
      <w:r w:rsidRPr="00E866DB">
        <w:t xml:space="preserve"> </w:t>
      </w:r>
      <w:r>
        <w:t xml:space="preserve"> </w:t>
      </w:r>
      <w:r w:rsidRPr="00E866DB">
        <w:t>RDF OIR at 37.</w:t>
      </w:r>
    </w:p>
  </w:footnote>
  <w:footnote w:id="170">
    <w:p w14:paraId="3E5DA2BF" w14:textId="261C7DFF" w:rsidR="003E0C34" w:rsidRPr="004E503E" w:rsidRDefault="003E0C34">
      <w:pPr>
        <w:pStyle w:val="FootnoteText"/>
      </w:pPr>
      <w:r w:rsidRPr="004E503E">
        <w:rPr>
          <w:rStyle w:val="FootnoteReference"/>
        </w:rPr>
        <w:footnoteRef/>
      </w:r>
      <w:r w:rsidRPr="004E503E">
        <w:t xml:space="preserve"> </w:t>
      </w:r>
      <w:r>
        <w:t xml:space="preserve"> </w:t>
      </w:r>
      <w:r w:rsidRPr="004E503E">
        <w:t>Staff Track 2 Recommendations at 84.</w:t>
      </w:r>
    </w:p>
  </w:footnote>
  <w:footnote w:id="171">
    <w:p w14:paraId="6029639E" w14:textId="6036064F" w:rsidR="003E0C34" w:rsidRPr="004E503E" w:rsidRDefault="003E0C34">
      <w:pPr>
        <w:pStyle w:val="FootnoteText"/>
      </w:pPr>
      <w:r w:rsidRPr="004E503E">
        <w:rPr>
          <w:rStyle w:val="FootnoteReference"/>
        </w:rPr>
        <w:footnoteRef/>
      </w:r>
      <w:r w:rsidRPr="004E503E">
        <w:t xml:space="preserve"> </w:t>
      </w:r>
      <w:r>
        <w:t xml:space="preserve"> </w:t>
      </w:r>
      <w:r w:rsidRPr="004E503E">
        <w:t>Staff Track 2 Recommendations at 81.</w:t>
      </w:r>
    </w:p>
  </w:footnote>
  <w:footnote w:id="172">
    <w:p w14:paraId="26D40A01" w14:textId="3A836C1C" w:rsidR="003E0C34" w:rsidRDefault="003E0C34">
      <w:pPr>
        <w:pStyle w:val="FootnoteText"/>
      </w:pPr>
      <w:r w:rsidRPr="004E503E">
        <w:rPr>
          <w:rStyle w:val="FootnoteReference"/>
        </w:rPr>
        <w:footnoteRef/>
      </w:r>
      <w:r w:rsidRPr="004E503E">
        <w:t xml:space="preserve"> </w:t>
      </w:r>
      <w:r>
        <w:t xml:space="preserve"> </w:t>
      </w:r>
      <w:r w:rsidRPr="004E503E">
        <w:t>Staff’s Proposed SPMs (Appendix D of Staff Proposal)</w:t>
      </w:r>
      <w:r w:rsidR="00F67D83">
        <w:t>, June 4, 2021.</w:t>
      </w:r>
      <w:r>
        <w:t xml:space="preserve"> </w:t>
      </w:r>
      <w:r w:rsidR="00C962CC">
        <w:t xml:space="preserve"> </w:t>
      </w:r>
      <w:r w:rsidRPr="004E503E">
        <w:t>Note that the list provided here only includes SPMs that Staff proposed to revise. See Staff’s Proposed SPMs or D.19-04-020, Attachment 1 for the full list of adopted SPMs.</w:t>
      </w:r>
      <w:r>
        <w:t xml:space="preserve"> </w:t>
      </w:r>
    </w:p>
  </w:footnote>
  <w:footnote w:id="173">
    <w:p w14:paraId="084F6B3A" w14:textId="603AD1F4" w:rsidR="003E0C34" w:rsidRPr="00173799" w:rsidRDefault="003E0C34">
      <w:pPr>
        <w:pStyle w:val="FootnoteText"/>
      </w:pPr>
      <w:r w:rsidRPr="00173799">
        <w:rPr>
          <w:rStyle w:val="FootnoteReference"/>
        </w:rPr>
        <w:footnoteRef/>
      </w:r>
      <w:r w:rsidRPr="00173799">
        <w:t xml:space="preserve"> </w:t>
      </w:r>
      <w:r>
        <w:t xml:space="preserve"> </w:t>
      </w:r>
      <w:r w:rsidRPr="00173799">
        <w:t>SDG&amp;E</w:t>
      </w:r>
      <w:r w:rsidR="00323F7E">
        <w:t>/</w:t>
      </w:r>
      <w:r w:rsidRPr="00173799">
        <w:t xml:space="preserve"> SoCalGas, </w:t>
      </w:r>
      <w:r w:rsidR="00323F7E">
        <w:t xml:space="preserve">Joint </w:t>
      </w:r>
      <w:r w:rsidRPr="00173799">
        <w:t xml:space="preserve">Comments on Staff Proposal at 14. </w:t>
      </w:r>
    </w:p>
  </w:footnote>
  <w:footnote w:id="174">
    <w:p w14:paraId="290516D5" w14:textId="5ED7405E" w:rsidR="008641E4" w:rsidRDefault="008641E4">
      <w:pPr>
        <w:pStyle w:val="FootnoteText"/>
      </w:pPr>
      <w:r>
        <w:rPr>
          <w:rStyle w:val="FootnoteReference"/>
        </w:rPr>
        <w:footnoteRef/>
      </w:r>
      <w:r>
        <w:t xml:space="preserve"> </w:t>
      </w:r>
      <w:r w:rsidR="00C962CC">
        <w:t xml:space="preserve"> </w:t>
      </w:r>
      <w:r>
        <w:t>SDG&amp;E/</w:t>
      </w:r>
      <w:r w:rsidRPr="00767508">
        <w:t>SoCalGas</w:t>
      </w:r>
      <w:r>
        <w:t xml:space="preserve">, Joint </w:t>
      </w:r>
      <w:r w:rsidRPr="00767508">
        <w:t>Comments on Staff Proposal, Table 1.  SoCalGas does not provide electricity and</w:t>
      </w:r>
      <w:r>
        <w:t xml:space="preserve"> only</w:t>
      </w:r>
      <w:r w:rsidRPr="00767508">
        <w:t xml:space="preserve"> joins SDG&amp;E</w:t>
      </w:r>
      <w:r>
        <w:t xml:space="preserve"> in</w:t>
      </w:r>
      <w:r w:rsidRPr="00767508">
        <w:t xml:space="preserve"> comment</w:t>
      </w:r>
      <w:r>
        <w:t>ing</w:t>
      </w:r>
      <w:r w:rsidRPr="00767508">
        <w:t xml:space="preserve"> </w:t>
      </w:r>
      <w:r>
        <w:t>on</w:t>
      </w:r>
      <w:r w:rsidRPr="00767508">
        <w:t xml:space="preserve"> the following SPMs #s 5, 6, 8, 9, 10, 13, 44, 45.</w:t>
      </w:r>
    </w:p>
  </w:footnote>
  <w:footnote w:id="175">
    <w:p w14:paraId="15F7454C" w14:textId="71458642" w:rsidR="00421E51" w:rsidRDefault="00421E51">
      <w:pPr>
        <w:pStyle w:val="FootnoteText"/>
      </w:pPr>
      <w:r>
        <w:rPr>
          <w:rStyle w:val="FootnoteReference"/>
        </w:rPr>
        <w:footnoteRef/>
      </w:r>
      <w:r>
        <w:t xml:space="preserve"> </w:t>
      </w:r>
      <w:r w:rsidR="001603CD">
        <w:t xml:space="preserve"> </w:t>
      </w:r>
      <w:r w:rsidR="00BB430F">
        <w:t xml:space="preserve">Note that </w:t>
      </w:r>
      <w:r w:rsidR="0070444F">
        <w:t xml:space="preserve">SPM #17 as proposed by Staff (SPM #15 as adopted) addresses Rate of SIF </w:t>
      </w:r>
      <w:r w:rsidR="0070444F" w:rsidRPr="00656BD7">
        <w:rPr>
          <w:u w:val="single"/>
        </w:rPr>
        <w:t>Actual</w:t>
      </w:r>
      <w:r w:rsidR="0070444F">
        <w:t xml:space="preserve"> (Employee), whereas this new SPM</w:t>
      </w:r>
      <w:r w:rsidR="008F2AD0">
        <w:t xml:space="preserve"> #17 (as adopted) addresses Rate of SIF </w:t>
      </w:r>
      <w:r w:rsidR="008F2AD0" w:rsidRPr="00656BD7">
        <w:rPr>
          <w:u w:val="single"/>
        </w:rPr>
        <w:t>Potential</w:t>
      </w:r>
      <w:r w:rsidR="008F2AD0">
        <w:t xml:space="preserve"> (Employee). </w:t>
      </w:r>
      <w:r w:rsidR="00EA1D5F">
        <w:t xml:space="preserve"> The same relationship holds for SPM</w:t>
      </w:r>
      <w:r w:rsidR="00B043CC">
        <w:t xml:space="preserve">s #s </w:t>
      </w:r>
      <w:r w:rsidR="0011353E">
        <w:t xml:space="preserve">16 and 18 as adopted. </w:t>
      </w:r>
    </w:p>
  </w:footnote>
  <w:footnote w:id="176">
    <w:p w14:paraId="46AC3500" w14:textId="4B957154" w:rsidR="003E0C34" w:rsidRPr="00F77D99" w:rsidRDefault="003E0C34" w:rsidP="00EC2907">
      <w:pPr>
        <w:pStyle w:val="FootnoteText"/>
        <w:rPr>
          <w:szCs w:val="22"/>
        </w:rPr>
      </w:pPr>
      <w:r w:rsidRPr="00F77D99">
        <w:rPr>
          <w:rStyle w:val="FootnoteReference"/>
          <w:szCs w:val="22"/>
        </w:rPr>
        <w:footnoteRef/>
      </w:r>
      <w:r w:rsidRPr="00F77D99">
        <w:rPr>
          <w:szCs w:val="22"/>
        </w:rPr>
        <w:t xml:space="preserve">  California Public Utilities Commission Environmental and Social Justice Action Plan (Commission ESJA Plan). V. 1.0, February 21, 2019, available here</w:t>
      </w:r>
      <w:r w:rsidR="00787A7B">
        <w:rPr>
          <w:szCs w:val="22"/>
        </w:rPr>
        <w:t xml:space="preserve"> as of </w:t>
      </w:r>
      <w:r w:rsidR="00787A7B" w:rsidRPr="00F77D99">
        <w:rPr>
          <w:szCs w:val="22"/>
        </w:rPr>
        <w:t>June 28, 2021</w:t>
      </w:r>
      <w:r w:rsidRPr="00F77D99">
        <w:rPr>
          <w:szCs w:val="22"/>
        </w:rPr>
        <w:t xml:space="preserve">: </w:t>
      </w:r>
      <w:hyperlink r:id="rId20" w:history="1">
        <w:r w:rsidRPr="00F77D99">
          <w:rPr>
            <w:rStyle w:val="Hyperlink"/>
            <w:szCs w:val="22"/>
          </w:rPr>
          <w:t>https://www.cpuc.ca.gov/ESJactionplan/</w:t>
        </w:r>
      </w:hyperlink>
      <w:r w:rsidRPr="00F77D99">
        <w:rPr>
          <w:szCs w:val="22"/>
        </w:rPr>
        <w:t xml:space="preserve">. </w:t>
      </w:r>
    </w:p>
  </w:footnote>
  <w:footnote w:id="177">
    <w:p w14:paraId="577A1046" w14:textId="3F298EBD" w:rsidR="003E0C34" w:rsidRPr="00F77D99" w:rsidRDefault="003E0C34" w:rsidP="00EC2907">
      <w:pPr>
        <w:pStyle w:val="FootnoteText"/>
      </w:pPr>
      <w:r w:rsidRPr="00F77D99">
        <w:rPr>
          <w:rStyle w:val="FootnoteReference"/>
          <w:szCs w:val="22"/>
        </w:rPr>
        <w:footnoteRef/>
      </w:r>
      <w:r w:rsidRPr="00F77D99">
        <w:rPr>
          <w:szCs w:val="22"/>
        </w:rPr>
        <w:t xml:space="preserve"> </w:t>
      </w:r>
      <w:r>
        <w:rPr>
          <w:szCs w:val="22"/>
        </w:rPr>
        <w:t xml:space="preserve"> </w:t>
      </w:r>
      <w:r w:rsidRPr="00F77D99">
        <w:rPr>
          <w:szCs w:val="22"/>
        </w:rPr>
        <w:t>As identified by Cal EPA’s CalEnviroScreen, available here</w:t>
      </w:r>
      <w:r w:rsidR="00787A7B">
        <w:rPr>
          <w:szCs w:val="22"/>
        </w:rPr>
        <w:t xml:space="preserve"> as of </w:t>
      </w:r>
      <w:r w:rsidR="00787A7B" w:rsidRPr="00F77D99">
        <w:rPr>
          <w:szCs w:val="22"/>
        </w:rPr>
        <w:t>June 28, 2021</w:t>
      </w:r>
      <w:r w:rsidRPr="00F77D99">
        <w:rPr>
          <w:szCs w:val="22"/>
        </w:rPr>
        <w:t xml:space="preserve">: </w:t>
      </w:r>
      <w:hyperlink r:id="rId21" w:history="1">
        <w:r w:rsidRPr="00F77D99">
          <w:rPr>
            <w:rStyle w:val="Hyperlink"/>
            <w:szCs w:val="22"/>
          </w:rPr>
          <w:t>https://oehha.ca.gov/calenviroscreen</w:t>
        </w:r>
      </w:hyperlink>
      <w:r w:rsidRPr="00F77D99">
        <w:rPr>
          <w:szCs w:val="22"/>
        </w:rPr>
        <w:t>.</w:t>
      </w:r>
      <w:r w:rsidRPr="00F77D99">
        <w:t xml:space="preserve"> </w:t>
      </w:r>
    </w:p>
  </w:footnote>
  <w:footnote w:id="178">
    <w:p w14:paraId="00CF2E04" w14:textId="66B6AB98" w:rsidR="003E0C34" w:rsidRPr="00F77D99" w:rsidRDefault="003E0C34" w:rsidP="00EC2907">
      <w:pPr>
        <w:pStyle w:val="FootnoteText"/>
      </w:pPr>
      <w:r w:rsidRPr="00F77D99">
        <w:rPr>
          <w:rStyle w:val="FootnoteReference"/>
        </w:rPr>
        <w:footnoteRef/>
      </w:r>
      <w:r w:rsidRPr="00F77D99">
        <w:t xml:space="preserve"> </w:t>
      </w:r>
      <w:r>
        <w:t xml:space="preserve"> </w:t>
      </w:r>
      <w:r w:rsidRPr="00A30E71">
        <w:rPr>
          <w:iCs/>
        </w:rPr>
        <w:t>ESJA Plan</w:t>
      </w:r>
      <w:r w:rsidRPr="00F77D99">
        <w:t xml:space="preserve"> at 9.</w:t>
      </w:r>
    </w:p>
  </w:footnote>
  <w:footnote w:id="179">
    <w:p w14:paraId="2725081A" w14:textId="2626229A" w:rsidR="003E0C34" w:rsidRPr="00F77D99" w:rsidRDefault="003E0C34" w:rsidP="00EC2907">
      <w:pPr>
        <w:pStyle w:val="FootnoteText"/>
      </w:pPr>
      <w:r w:rsidRPr="00F77D99">
        <w:rPr>
          <w:rStyle w:val="FootnoteReference"/>
        </w:rPr>
        <w:footnoteRef/>
      </w:r>
      <w:r w:rsidRPr="00F77D99">
        <w:t xml:space="preserve"> </w:t>
      </w:r>
      <w:r>
        <w:t xml:space="preserve"> </w:t>
      </w:r>
      <w:r w:rsidRPr="00F77D99">
        <w:rPr>
          <w:i/>
        </w:rPr>
        <w:t>Id.</w:t>
      </w:r>
      <w:r w:rsidRPr="00F77D99">
        <w:t xml:space="preserve"> at 6.</w:t>
      </w:r>
    </w:p>
  </w:footnote>
  <w:footnote w:id="180">
    <w:p w14:paraId="2DA57F7B" w14:textId="200A45D7" w:rsidR="003E0C34" w:rsidRPr="00E66C5C" w:rsidRDefault="003E0C34" w:rsidP="00EC2907">
      <w:pPr>
        <w:pStyle w:val="FootnoteText"/>
      </w:pPr>
      <w:r w:rsidRPr="00E66C5C">
        <w:rPr>
          <w:rStyle w:val="FootnoteReference"/>
        </w:rPr>
        <w:footnoteRef/>
      </w:r>
      <w:r w:rsidRPr="00E66C5C">
        <w:t xml:space="preserve"> </w:t>
      </w:r>
      <w:r>
        <w:t xml:space="preserve"> </w:t>
      </w:r>
      <w:r w:rsidRPr="00E66C5C">
        <w:t xml:space="preserve">Scoping Memo at 3.  </w:t>
      </w:r>
      <w:r w:rsidRPr="00E66C5C">
        <w:rPr>
          <w:i/>
          <w:iCs/>
        </w:rPr>
        <w:t>See also</w:t>
      </w:r>
      <w:r w:rsidRPr="00E66C5C">
        <w:t xml:space="preserve"> Commission Environmental and Social Justice Action Plan, available here as of August 18, 2021: </w:t>
      </w:r>
      <w:hyperlink r:id="rId22" w:history="1">
        <w:r w:rsidRPr="00E66C5C">
          <w:rPr>
            <w:rStyle w:val="Hyperlink"/>
          </w:rPr>
          <w:t>https://www.cpuc.ca.gov/news-and-updates/newsroom/environmental-and-social-justice-action-plan</w:t>
        </w:r>
      </w:hyperlink>
      <w:r w:rsidRPr="00E66C5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342E" w14:textId="77777777" w:rsidR="00AF411E" w:rsidRDefault="00AF4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8A91" w14:textId="77777777" w:rsidR="00AF411E" w:rsidRDefault="00AF4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987A" w14:textId="77777777" w:rsidR="00AF411E" w:rsidRDefault="00AF41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8CAF" w14:textId="40D68A1C" w:rsidR="0008747A" w:rsidRPr="00BF754E" w:rsidRDefault="003E0C34" w:rsidP="00F731D8">
    <w:pPr>
      <w:pStyle w:val="Header"/>
      <w:tabs>
        <w:tab w:val="clear" w:pos="4680"/>
      </w:tabs>
      <w:rPr>
        <w:b/>
        <w:szCs w:val="26"/>
      </w:rPr>
    </w:pPr>
    <w:bookmarkStart w:id="3" w:name="_Hlk82007522"/>
    <w:r w:rsidRPr="004A3998">
      <w:rPr>
        <w:szCs w:val="26"/>
      </w:rPr>
      <w:t>R.20-07-013  COM/CR6/jnf</w:t>
    </w:r>
    <w:bookmarkEnd w:id="3"/>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E1CD" w14:textId="33B53B40" w:rsidR="003E0C34" w:rsidRPr="00F731D8" w:rsidRDefault="003E0C34" w:rsidP="00F731D8">
    <w:pPr>
      <w:pStyle w:val="Header"/>
      <w:tabs>
        <w:tab w:val="clear" w:pos="4680"/>
      </w:tabs>
      <w:rPr>
        <w:b/>
        <w:szCs w:val="26"/>
      </w:rPr>
    </w:pPr>
    <w:r w:rsidRPr="004A3998">
      <w:rPr>
        <w:szCs w:val="26"/>
      </w:rPr>
      <w:t>R.20-07-013  COM/CR6/jnf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0053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26E8D"/>
    <w:multiLevelType w:val="hybridMultilevel"/>
    <w:tmpl w:val="C442B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E554FC"/>
    <w:multiLevelType w:val="hybridMultilevel"/>
    <w:tmpl w:val="25101F46"/>
    <w:lvl w:ilvl="0" w:tplc="B88A1348">
      <w:start w:val="1"/>
      <w:numFmt w:val="bullet"/>
      <w:pStyle w:val="FNREFNoRASA"/>
      <w:lvlText w:val=""/>
      <w:lvlJc w:val="left"/>
      <w:pPr>
        <w:ind w:left="1173" w:hanging="360"/>
      </w:pPr>
      <w:rPr>
        <w:rFonts w:ascii="Wingdings" w:hAnsi="Wingdings" w:hint="default"/>
      </w:rPr>
    </w:lvl>
    <w:lvl w:ilvl="1" w:tplc="04090003">
      <w:start w:val="1"/>
      <w:numFmt w:val="bullet"/>
      <w:lvlText w:val="o"/>
      <w:lvlJc w:val="left"/>
      <w:pPr>
        <w:ind w:left="1893" w:hanging="360"/>
      </w:pPr>
      <w:rPr>
        <w:rFonts w:ascii="Courier New" w:hAnsi="Courier New" w:cs="Courier New" w:hint="default"/>
      </w:rPr>
    </w:lvl>
    <w:lvl w:ilvl="2" w:tplc="04090005" w:tentative="1">
      <w:start w:val="1"/>
      <w:numFmt w:val="bullet"/>
      <w:lvlText w:val=""/>
      <w:lvlJc w:val="left"/>
      <w:pPr>
        <w:ind w:left="2613" w:hanging="360"/>
      </w:pPr>
      <w:rPr>
        <w:rFonts w:ascii="Wingdings" w:hAnsi="Wingdings" w:hint="default"/>
      </w:rPr>
    </w:lvl>
    <w:lvl w:ilvl="3" w:tplc="04090001" w:tentative="1">
      <w:start w:val="1"/>
      <w:numFmt w:val="bullet"/>
      <w:lvlText w:val=""/>
      <w:lvlJc w:val="left"/>
      <w:pPr>
        <w:ind w:left="3333" w:hanging="360"/>
      </w:pPr>
      <w:rPr>
        <w:rFonts w:ascii="Symbol" w:hAnsi="Symbol" w:hint="default"/>
      </w:rPr>
    </w:lvl>
    <w:lvl w:ilvl="4" w:tplc="04090003" w:tentative="1">
      <w:start w:val="1"/>
      <w:numFmt w:val="bullet"/>
      <w:lvlText w:val="o"/>
      <w:lvlJc w:val="left"/>
      <w:pPr>
        <w:ind w:left="4053" w:hanging="360"/>
      </w:pPr>
      <w:rPr>
        <w:rFonts w:ascii="Courier New" w:hAnsi="Courier New" w:cs="Courier New" w:hint="default"/>
      </w:rPr>
    </w:lvl>
    <w:lvl w:ilvl="5" w:tplc="04090005" w:tentative="1">
      <w:start w:val="1"/>
      <w:numFmt w:val="bullet"/>
      <w:lvlText w:val=""/>
      <w:lvlJc w:val="left"/>
      <w:pPr>
        <w:ind w:left="4773" w:hanging="360"/>
      </w:pPr>
      <w:rPr>
        <w:rFonts w:ascii="Wingdings" w:hAnsi="Wingdings" w:hint="default"/>
      </w:rPr>
    </w:lvl>
    <w:lvl w:ilvl="6" w:tplc="04090001" w:tentative="1">
      <w:start w:val="1"/>
      <w:numFmt w:val="bullet"/>
      <w:lvlText w:val=""/>
      <w:lvlJc w:val="left"/>
      <w:pPr>
        <w:ind w:left="5493" w:hanging="360"/>
      </w:pPr>
      <w:rPr>
        <w:rFonts w:ascii="Symbol" w:hAnsi="Symbol" w:hint="default"/>
      </w:rPr>
    </w:lvl>
    <w:lvl w:ilvl="7" w:tplc="04090003" w:tentative="1">
      <w:start w:val="1"/>
      <w:numFmt w:val="bullet"/>
      <w:lvlText w:val="o"/>
      <w:lvlJc w:val="left"/>
      <w:pPr>
        <w:ind w:left="6213" w:hanging="360"/>
      </w:pPr>
      <w:rPr>
        <w:rFonts w:ascii="Courier New" w:hAnsi="Courier New" w:cs="Courier New" w:hint="default"/>
      </w:rPr>
    </w:lvl>
    <w:lvl w:ilvl="8" w:tplc="04090005" w:tentative="1">
      <w:start w:val="1"/>
      <w:numFmt w:val="bullet"/>
      <w:lvlText w:val=""/>
      <w:lvlJc w:val="left"/>
      <w:pPr>
        <w:ind w:left="6933" w:hanging="360"/>
      </w:pPr>
      <w:rPr>
        <w:rFonts w:ascii="Wingdings" w:hAnsi="Wingdings" w:hint="default"/>
      </w:rPr>
    </w:lvl>
  </w:abstractNum>
  <w:abstractNum w:abstractNumId="3" w15:restartNumberingAfterBreak="0">
    <w:nsid w:val="04AF6BD8"/>
    <w:multiLevelType w:val="multilevel"/>
    <w:tmpl w:val="07A6D84E"/>
    <w:lvl w:ilvl="0">
      <w:start w:val="10"/>
      <w:numFmt w:val="decimal"/>
      <w:lvlText w:val="%1"/>
      <w:lvlJc w:val="left"/>
      <w:pPr>
        <w:ind w:left="900" w:hanging="900"/>
      </w:pPr>
      <w:rPr>
        <w:rFonts w:hint="default"/>
      </w:rPr>
    </w:lvl>
    <w:lvl w:ilvl="1">
      <w:start w:val="5"/>
      <w:numFmt w:val="decimal"/>
      <w:lvlText w:val="%1.%2"/>
      <w:lvlJc w:val="left"/>
      <w:pPr>
        <w:ind w:left="1260" w:hanging="900"/>
      </w:pPr>
      <w:rPr>
        <w:rFonts w:hint="default"/>
      </w:rPr>
    </w:lvl>
    <w:lvl w:ilvl="2">
      <w:start w:val="4"/>
      <w:numFmt w:val="decimal"/>
      <w:lvlText w:val="%1.%2.%3"/>
      <w:lvlJc w:val="left"/>
      <w:pPr>
        <w:ind w:left="1620" w:hanging="9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A697F14"/>
    <w:multiLevelType w:val="hybridMultilevel"/>
    <w:tmpl w:val="C0BA31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187401"/>
    <w:multiLevelType w:val="hybridMultilevel"/>
    <w:tmpl w:val="430C91A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146C1C14"/>
    <w:multiLevelType w:val="multilevel"/>
    <w:tmpl w:val="18F4A5AC"/>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7" w15:restartNumberingAfterBreak="0">
    <w:nsid w:val="1CB33DA4"/>
    <w:multiLevelType w:val="multilevel"/>
    <w:tmpl w:val="0DB65408"/>
    <w:lvl w:ilvl="0">
      <w:start w:val="7"/>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D657242"/>
    <w:multiLevelType w:val="hybridMultilevel"/>
    <w:tmpl w:val="598C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D25CF"/>
    <w:multiLevelType w:val="hybridMultilevel"/>
    <w:tmpl w:val="85B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C44D1"/>
    <w:multiLevelType w:val="hybridMultilevel"/>
    <w:tmpl w:val="91E8F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E2662E"/>
    <w:multiLevelType w:val="hybridMultilevel"/>
    <w:tmpl w:val="9C7C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1017B"/>
    <w:multiLevelType w:val="hybridMultilevel"/>
    <w:tmpl w:val="ED3C9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8C6996"/>
    <w:multiLevelType w:val="hybridMultilevel"/>
    <w:tmpl w:val="DDE05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5" w15:restartNumberingAfterBreak="0">
    <w:nsid w:val="399A16A7"/>
    <w:multiLevelType w:val="hybridMultilevel"/>
    <w:tmpl w:val="8684003E"/>
    <w:lvl w:ilvl="0" w:tplc="FFFFFFFF">
      <w:start w:val="1"/>
      <w:numFmt w:val="decimal"/>
      <w:lvlText w:val="%1."/>
      <w:lvlJc w:val="left"/>
      <w:pPr>
        <w:ind w:left="360" w:hanging="360"/>
      </w:pPr>
    </w:lvl>
    <w:lvl w:ilvl="1" w:tplc="FFFFFFFF">
      <w:start w:val="1"/>
      <w:numFmt w:val="lowerLetter"/>
      <w:lvlText w:val="%2."/>
      <w:lvlJc w:val="left"/>
      <w:pPr>
        <w:ind w:left="99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B7F34E5"/>
    <w:multiLevelType w:val="multilevel"/>
    <w:tmpl w:val="CEA8B450"/>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bullet"/>
      <w:lvlText w:val=""/>
      <w:lvlJc w:val="left"/>
      <w:pPr>
        <w:ind w:left="1080" w:hanging="360"/>
      </w:pPr>
      <w:rPr>
        <w:rFonts w:ascii="Symbol" w:hAnsi="Symbol" w:hint="default"/>
        <w:sz w:val="26"/>
      </w:rPr>
    </w:lvl>
    <w:lvl w:ilvl="8">
      <w:start w:val="1"/>
      <w:numFmt w:val="none"/>
      <w:lvlText w:val=""/>
      <w:lvlJc w:val="left"/>
      <w:pPr>
        <w:ind w:left="3240" w:hanging="360"/>
      </w:pPr>
      <w:rPr>
        <w:rFonts w:hint="default"/>
      </w:rPr>
    </w:lvl>
  </w:abstractNum>
  <w:abstractNum w:abstractNumId="17" w15:restartNumberingAfterBreak="0">
    <w:nsid w:val="42E47344"/>
    <w:multiLevelType w:val="hybridMultilevel"/>
    <w:tmpl w:val="7294F6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7611AAD"/>
    <w:multiLevelType w:val="hybridMultilevel"/>
    <w:tmpl w:val="F54E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B668C"/>
    <w:multiLevelType w:val="hybridMultilevel"/>
    <w:tmpl w:val="C0BA3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666272"/>
    <w:multiLevelType w:val="multilevel"/>
    <w:tmpl w:val="D1367F6A"/>
    <w:lvl w:ilvl="0">
      <w:start w:val="9"/>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67520CE"/>
    <w:multiLevelType w:val="hybridMultilevel"/>
    <w:tmpl w:val="70CCE5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83022"/>
    <w:multiLevelType w:val="hybridMultilevel"/>
    <w:tmpl w:val="82B6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04678"/>
    <w:multiLevelType w:val="hybridMultilevel"/>
    <w:tmpl w:val="659EE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1D7135"/>
    <w:multiLevelType w:val="hybridMultilevel"/>
    <w:tmpl w:val="840EB1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A25780"/>
    <w:multiLevelType w:val="multilevel"/>
    <w:tmpl w:val="3C526EDE"/>
    <w:numStyleLink w:val="Headings"/>
  </w:abstractNum>
  <w:abstractNum w:abstractNumId="26" w15:restartNumberingAfterBreak="0">
    <w:nsid w:val="66F7637E"/>
    <w:multiLevelType w:val="hybridMultilevel"/>
    <w:tmpl w:val="513E0F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C2465B"/>
    <w:multiLevelType w:val="hybridMultilevel"/>
    <w:tmpl w:val="8684003E"/>
    <w:lvl w:ilvl="0" w:tplc="0409000F">
      <w:start w:val="1"/>
      <w:numFmt w:val="decimal"/>
      <w:lvlText w:val="%1."/>
      <w:lvlJc w:val="left"/>
      <w:pPr>
        <w:ind w:left="360" w:hanging="360"/>
      </w:pPr>
    </w:lvl>
    <w:lvl w:ilvl="1" w:tplc="04090019">
      <w:start w:val="1"/>
      <w:numFmt w:val="lowerLetter"/>
      <w:lvlText w:val="%2."/>
      <w:lvlJc w:val="left"/>
      <w:pPr>
        <w:ind w:left="99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4"/>
  </w:num>
  <w:num w:numId="3">
    <w:abstractNumId w:val="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8"/>
  </w:num>
  <w:num w:numId="8">
    <w:abstractNumId w:val="26"/>
  </w:num>
  <w:num w:numId="9">
    <w:abstractNumId w:val="16"/>
  </w:num>
  <w:num w:numId="10">
    <w:abstractNumId w:val="21"/>
  </w:num>
  <w:num w:numId="11">
    <w:abstractNumId w:val="20"/>
  </w:num>
  <w:num w:numId="12">
    <w:abstractNumId w:val="7"/>
  </w:num>
  <w:num w:numId="13">
    <w:abstractNumId w:val="19"/>
  </w:num>
  <w:num w:numId="14">
    <w:abstractNumId w:val="4"/>
  </w:num>
  <w:num w:numId="15">
    <w:abstractNumId w:val="27"/>
  </w:num>
  <w:num w:numId="16">
    <w:abstractNumId w:val="22"/>
  </w:num>
  <w:num w:numId="17">
    <w:abstractNumId w:val="9"/>
  </w:num>
  <w:num w:numId="18">
    <w:abstractNumId w:val="23"/>
  </w:num>
  <w:num w:numId="19">
    <w:abstractNumId w:val="1"/>
  </w:num>
  <w:num w:numId="20">
    <w:abstractNumId w:val="10"/>
  </w:num>
  <w:num w:numId="21">
    <w:abstractNumId w:val="8"/>
  </w:num>
  <w:num w:numId="22">
    <w:abstractNumId w:val="11"/>
  </w:num>
  <w:num w:numId="23">
    <w:abstractNumId w:val="5"/>
  </w:num>
  <w:num w:numId="24">
    <w:abstractNumId w:val="3"/>
  </w:num>
  <w:num w:numId="25">
    <w:abstractNumId w:val="17"/>
  </w:num>
  <w:num w:numId="26">
    <w:abstractNumId w:val="13"/>
  </w:num>
  <w:num w:numId="27">
    <w:abstractNumId w:val="24"/>
  </w:num>
  <w:num w:numId="2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C9"/>
    <w:rsid w:val="000000A1"/>
    <w:rsid w:val="000000CE"/>
    <w:rsid w:val="000004CF"/>
    <w:rsid w:val="00000687"/>
    <w:rsid w:val="000007B5"/>
    <w:rsid w:val="00000893"/>
    <w:rsid w:val="00000B97"/>
    <w:rsid w:val="00000F31"/>
    <w:rsid w:val="00000F6A"/>
    <w:rsid w:val="000010FA"/>
    <w:rsid w:val="0000138C"/>
    <w:rsid w:val="0000143A"/>
    <w:rsid w:val="00001685"/>
    <w:rsid w:val="000018EB"/>
    <w:rsid w:val="00001ADE"/>
    <w:rsid w:val="00001B8F"/>
    <w:rsid w:val="00001D10"/>
    <w:rsid w:val="00001D70"/>
    <w:rsid w:val="00001FFF"/>
    <w:rsid w:val="0000200C"/>
    <w:rsid w:val="0000244E"/>
    <w:rsid w:val="00002565"/>
    <w:rsid w:val="000025E7"/>
    <w:rsid w:val="0000273B"/>
    <w:rsid w:val="00002923"/>
    <w:rsid w:val="00002DA9"/>
    <w:rsid w:val="00002DC4"/>
    <w:rsid w:val="00002EBD"/>
    <w:rsid w:val="000035AC"/>
    <w:rsid w:val="000035B2"/>
    <w:rsid w:val="0000389D"/>
    <w:rsid w:val="00003C35"/>
    <w:rsid w:val="00003C98"/>
    <w:rsid w:val="00003D82"/>
    <w:rsid w:val="00003D89"/>
    <w:rsid w:val="00003FBB"/>
    <w:rsid w:val="00004271"/>
    <w:rsid w:val="000045A0"/>
    <w:rsid w:val="000045C0"/>
    <w:rsid w:val="000046EA"/>
    <w:rsid w:val="0000473C"/>
    <w:rsid w:val="00004A2A"/>
    <w:rsid w:val="00004AC1"/>
    <w:rsid w:val="00004B8A"/>
    <w:rsid w:val="00004BE6"/>
    <w:rsid w:val="00004E28"/>
    <w:rsid w:val="00004E75"/>
    <w:rsid w:val="00004FB9"/>
    <w:rsid w:val="00004FE9"/>
    <w:rsid w:val="0000549F"/>
    <w:rsid w:val="000054EB"/>
    <w:rsid w:val="000056E9"/>
    <w:rsid w:val="0000599E"/>
    <w:rsid w:val="000059BF"/>
    <w:rsid w:val="00005BE7"/>
    <w:rsid w:val="00006055"/>
    <w:rsid w:val="0000638A"/>
    <w:rsid w:val="000064FF"/>
    <w:rsid w:val="000065BD"/>
    <w:rsid w:val="000065C5"/>
    <w:rsid w:val="000065CD"/>
    <w:rsid w:val="00006995"/>
    <w:rsid w:val="00006997"/>
    <w:rsid w:val="00006B02"/>
    <w:rsid w:val="00006BD9"/>
    <w:rsid w:val="00006D0F"/>
    <w:rsid w:val="000074EE"/>
    <w:rsid w:val="000076CB"/>
    <w:rsid w:val="0000774A"/>
    <w:rsid w:val="00007771"/>
    <w:rsid w:val="0000777D"/>
    <w:rsid w:val="00007822"/>
    <w:rsid w:val="000078C3"/>
    <w:rsid w:val="0000795E"/>
    <w:rsid w:val="00007A0A"/>
    <w:rsid w:val="00007A2F"/>
    <w:rsid w:val="00007BEC"/>
    <w:rsid w:val="00007C37"/>
    <w:rsid w:val="0001002D"/>
    <w:rsid w:val="00010592"/>
    <w:rsid w:val="00010655"/>
    <w:rsid w:val="00010998"/>
    <w:rsid w:val="000109F5"/>
    <w:rsid w:val="00010A27"/>
    <w:rsid w:val="00010F7F"/>
    <w:rsid w:val="0001105A"/>
    <w:rsid w:val="0001123C"/>
    <w:rsid w:val="000112EC"/>
    <w:rsid w:val="000114AC"/>
    <w:rsid w:val="000117C1"/>
    <w:rsid w:val="00011893"/>
    <w:rsid w:val="00011BEA"/>
    <w:rsid w:val="00011E49"/>
    <w:rsid w:val="000120A4"/>
    <w:rsid w:val="000123D3"/>
    <w:rsid w:val="0001268C"/>
    <w:rsid w:val="00012698"/>
    <w:rsid w:val="00012A56"/>
    <w:rsid w:val="00012B37"/>
    <w:rsid w:val="00012C6E"/>
    <w:rsid w:val="00012C85"/>
    <w:rsid w:val="00012CE8"/>
    <w:rsid w:val="00013024"/>
    <w:rsid w:val="00013385"/>
    <w:rsid w:val="00013644"/>
    <w:rsid w:val="00013682"/>
    <w:rsid w:val="00013A1C"/>
    <w:rsid w:val="00013C15"/>
    <w:rsid w:val="0001403C"/>
    <w:rsid w:val="0001404E"/>
    <w:rsid w:val="00014080"/>
    <w:rsid w:val="000141B3"/>
    <w:rsid w:val="0001471D"/>
    <w:rsid w:val="00014722"/>
    <w:rsid w:val="000148EF"/>
    <w:rsid w:val="00014A43"/>
    <w:rsid w:val="00014BBF"/>
    <w:rsid w:val="00014C07"/>
    <w:rsid w:val="00014DD7"/>
    <w:rsid w:val="00014F39"/>
    <w:rsid w:val="00014FCF"/>
    <w:rsid w:val="0001529B"/>
    <w:rsid w:val="000157FA"/>
    <w:rsid w:val="00015A0C"/>
    <w:rsid w:val="00015CE1"/>
    <w:rsid w:val="00015D29"/>
    <w:rsid w:val="00015EB1"/>
    <w:rsid w:val="00015F21"/>
    <w:rsid w:val="000161F7"/>
    <w:rsid w:val="0001626A"/>
    <w:rsid w:val="00016502"/>
    <w:rsid w:val="00016531"/>
    <w:rsid w:val="0001681B"/>
    <w:rsid w:val="00016836"/>
    <w:rsid w:val="00016DAC"/>
    <w:rsid w:val="000173B3"/>
    <w:rsid w:val="00017419"/>
    <w:rsid w:val="00017461"/>
    <w:rsid w:val="000174EF"/>
    <w:rsid w:val="0001761C"/>
    <w:rsid w:val="0001763F"/>
    <w:rsid w:val="0001766B"/>
    <w:rsid w:val="00017831"/>
    <w:rsid w:val="00017E4B"/>
    <w:rsid w:val="00020118"/>
    <w:rsid w:val="000203B5"/>
    <w:rsid w:val="00020565"/>
    <w:rsid w:val="000206B1"/>
    <w:rsid w:val="00020880"/>
    <w:rsid w:val="00020A7E"/>
    <w:rsid w:val="00020BF1"/>
    <w:rsid w:val="00021101"/>
    <w:rsid w:val="000212B2"/>
    <w:rsid w:val="00021346"/>
    <w:rsid w:val="00021456"/>
    <w:rsid w:val="0002153C"/>
    <w:rsid w:val="00021A73"/>
    <w:rsid w:val="00021AEE"/>
    <w:rsid w:val="000221FC"/>
    <w:rsid w:val="000222EB"/>
    <w:rsid w:val="00022406"/>
    <w:rsid w:val="0002255C"/>
    <w:rsid w:val="00022603"/>
    <w:rsid w:val="00022ADA"/>
    <w:rsid w:val="000230C5"/>
    <w:rsid w:val="00023189"/>
    <w:rsid w:val="0002323E"/>
    <w:rsid w:val="000232F9"/>
    <w:rsid w:val="0002389C"/>
    <w:rsid w:val="0002395E"/>
    <w:rsid w:val="00023A14"/>
    <w:rsid w:val="00023B58"/>
    <w:rsid w:val="00023BED"/>
    <w:rsid w:val="00023C35"/>
    <w:rsid w:val="00023DC5"/>
    <w:rsid w:val="00024241"/>
    <w:rsid w:val="00024345"/>
    <w:rsid w:val="000249D2"/>
    <w:rsid w:val="00024EA0"/>
    <w:rsid w:val="00025305"/>
    <w:rsid w:val="0002550B"/>
    <w:rsid w:val="00025574"/>
    <w:rsid w:val="000255AA"/>
    <w:rsid w:val="0002562E"/>
    <w:rsid w:val="000256F3"/>
    <w:rsid w:val="00025948"/>
    <w:rsid w:val="00025A19"/>
    <w:rsid w:val="00025A80"/>
    <w:rsid w:val="00025B6C"/>
    <w:rsid w:val="00025C12"/>
    <w:rsid w:val="00025E1D"/>
    <w:rsid w:val="00025F90"/>
    <w:rsid w:val="0002623D"/>
    <w:rsid w:val="00026396"/>
    <w:rsid w:val="00026614"/>
    <w:rsid w:val="0002666B"/>
    <w:rsid w:val="00026688"/>
    <w:rsid w:val="00026974"/>
    <w:rsid w:val="00026B77"/>
    <w:rsid w:val="00026BA0"/>
    <w:rsid w:val="00026DE8"/>
    <w:rsid w:val="00026E4D"/>
    <w:rsid w:val="00026EA0"/>
    <w:rsid w:val="00027072"/>
    <w:rsid w:val="000271F0"/>
    <w:rsid w:val="00027240"/>
    <w:rsid w:val="00027287"/>
    <w:rsid w:val="00027297"/>
    <w:rsid w:val="000273DC"/>
    <w:rsid w:val="0002744C"/>
    <w:rsid w:val="000275CB"/>
    <w:rsid w:val="00027669"/>
    <w:rsid w:val="00027824"/>
    <w:rsid w:val="000279F6"/>
    <w:rsid w:val="00027B53"/>
    <w:rsid w:val="00027B99"/>
    <w:rsid w:val="00027CFA"/>
    <w:rsid w:val="0003041F"/>
    <w:rsid w:val="00030772"/>
    <w:rsid w:val="00030825"/>
    <w:rsid w:val="00030934"/>
    <w:rsid w:val="00030B03"/>
    <w:rsid w:val="00030DD8"/>
    <w:rsid w:val="00030E1D"/>
    <w:rsid w:val="00030E8F"/>
    <w:rsid w:val="00030EC4"/>
    <w:rsid w:val="00030F12"/>
    <w:rsid w:val="00030FD5"/>
    <w:rsid w:val="000312BD"/>
    <w:rsid w:val="000314B8"/>
    <w:rsid w:val="000318C0"/>
    <w:rsid w:val="00031B64"/>
    <w:rsid w:val="000320BC"/>
    <w:rsid w:val="00032484"/>
    <w:rsid w:val="0003277D"/>
    <w:rsid w:val="00032DE5"/>
    <w:rsid w:val="00032DFC"/>
    <w:rsid w:val="00032E36"/>
    <w:rsid w:val="000331EB"/>
    <w:rsid w:val="00033483"/>
    <w:rsid w:val="00033513"/>
    <w:rsid w:val="00033787"/>
    <w:rsid w:val="000337B7"/>
    <w:rsid w:val="00033B42"/>
    <w:rsid w:val="00033CF4"/>
    <w:rsid w:val="00033E10"/>
    <w:rsid w:val="00034009"/>
    <w:rsid w:val="0003436F"/>
    <w:rsid w:val="000343F7"/>
    <w:rsid w:val="00034533"/>
    <w:rsid w:val="000347A2"/>
    <w:rsid w:val="00035029"/>
    <w:rsid w:val="00035284"/>
    <w:rsid w:val="000352CF"/>
    <w:rsid w:val="0003532D"/>
    <w:rsid w:val="000354CB"/>
    <w:rsid w:val="00035699"/>
    <w:rsid w:val="00035783"/>
    <w:rsid w:val="00035BF2"/>
    <w:rsid w:val="00035CAF"/>
    <w:rsid w:val="00035F8A"/>
    <w:rsid w:val="0003614E"/>
    <w:rsid w:val="00036870"/>
    <w:rsid w:val="00036BCC"/>
    <w:rsid w:val="00036E92"/>
    <w:rsid w:val="00037182"/>
    <w:rsid w:val="000372C4"/>
    <w:rsid w:val="000374E6"/>
    <w:rsid w:val="0003772A"/>
    <w:rsid w:val="00037CB3"/>
    <w:rsid w:val="00040187"/>
    <w:rsid w:val="0004025A"/>
    <w:rsid w:val="000403C0"/>
    <w:rsid w:val="00040586"/>
    <w:rsid w:val="00040C2B"/>
    <w:rsid w:val="00040D9E"/>
    <w:rsid w:val="00041022"/>
    <w:rsid w:val="0004103D"/>
    <w:rsid w:val="0004111C"/>
    <w:rsid w:val="00041363"/>
    <w:rsid w:val="000414F6"/>
    <w:rsid w:val="00041793"/>
    <w:rsid w:val="000417F7"/>
    <w:rsid w:val="00041812"/>
    <w:rsid w:val="0004182C"/>
    <w:rsid w:val="00041AB1"/>
    <w:rsid w:val="00041ADB"/>
    <w:rsid w:val="00041CE2"/>
    <w:rsid w:val="00041EAC"/>
    <w:rsid w:val="00042130"/>
    <w:rsid w:val="000427DB"/>
    <w:rsid w:val="00042989"/>
    <w:rsid w:val="00042C16"/>
    <w:rsid w:val="00042E35"/>
    <w:rsid w:val="00042F40"/>
    <w:rsid w:val="000431CD"/>
    <w:rsid w:val="00043379"/>
    <w:rsid w:val="0004339B"/>
    <w:rsid w:val="0004354D"/>
    <w:rsid w:val="00043661"/>
    <w:rsid w:val="00043680"/>
    <w:rsid w:val="00043815"/>
    <w:rsid w:val="0004389C"/>
    <w:rsid w:val="00043B3F"/>
    <w:rsid w:val="00043E63"/>
    <w:rsid w:val="00044384"/>
    <w:rsid w:val="000444EE"/>
    <w:rsid w:val="0004467E"/>
    <w:rsid w:val="000449B2"/>
    <w:rsid w:val="00044D06"/>
    <w:rsid w:val="0004508E"/>
    <w:rsid w:val="0004511B"/>
    <w:rsid w:val="000458B3"/>
    <w:rsid w:val="00045912"/>
    <w:rsid w:val="000459E9"/>
    <w:rsid w:val="00045D0D"/>
    <w:rsid w:val="00045E76"/>
    <w:rsid w:val="0004600C"/>
    <w:rsid w:val="00046328"/>
    <w:rsid w:val="00046421"/>
    <w:rsid w:val="00046442"/>
    <w:rsid w:val="000465D8"/>
    <w:rsid w:val="00046A4A"/>
    <w:rsid w:val="00046AF2"/>
    <w:rsid w:val="00046C9F"/>
    <w:rsid w:val="00046DFD"/>
    <w:rsid w:val="000471FB"/>
    <w:rsid w:val="00047289"/>
    <w:rsid w:val="0004729C"/>
    <w:rsid w:val="0004741D"/>
    <w:rsid w:val="000474CC"/>
    <w:rsid w:val="000475B5"/>
    <w:rsid w:val="000476E4"/>
    <w:rsid w:val="000478CC"/>
    <w:rsid w:val="000479FB"/>
    <w:rsid w:val="00047C79"/>
    <w:rsid w:val="00047FA9"/>
    <w:rsid w:val="00050311"/>
    <w:rsid w:val="00050345"/>
    <w:rsid w:val="00050351"/>
    <w:rsid w:val="000507DD"/>
    <w:rsid w:val="0005089C"/>
    <w:rsid w:val="00050AC2"/>
    <w:rsid w:val="00050C5B"/>
    <w:rsid w:val="00050E70"/>
    <w:rsid w:val="00051028"/>
    <w:rsid w:val="00051166"/>
    <w:rsid w:val="00051292"/>
    <w:rsid w:val="00051332"/>
    <w:rsid w:val="00051340"/>
    <w:rsid w:val="00051646"/>
    <w:rsid w:val="00051985"/>
    <w:rsid w:val="000519AC"/>
    <w:rsid w:val="00051AB3"/>
    <w:rsid w:val="00051D59"/>
    <w:rsid w:val="00051D5D"/>
    <w:rsid w:val="00051D7C"/>
    <w:rsid w:val="0005207A"/>
    <w:rsid w:val="000521CE"/>
    <w:rsid w:val="0005242F"/>
    <w:rsid w:val="00052508"/>
    <w:rsid w:val="000525F4"/>
    <w:rsid w:val="00052688"/>
    <w:rsid w:val="00052BA1"/>
    <w:rsid w:val="00052CBE"/>
    <w:rsid w:val="0005308C"/>
    <w:rsid w:val="00053303"/>
    <w:rsid w:val="000536C6"/>
    <w:rsid w:val="000538D4"/>
    <w:rsid w:val="00053C4C"/>
    <w:rsid w:val="00053F35"/>
    <w:rsid w:val="00053FF9"/>
    <w:rsid w:val="000540D3"/>
    <w:rsid w:val="000541FA"/>
    <w:rsid w:val="0005449A"/>
    <w:rsid w:val="00054695"/>
    <w:rsid w:val="000546BF"/>
    <w:rsid w:val="00054B10"/>
    <w:rsid w:val="00054C56"/>
    <w:rsid w:val="00054EAE"/>
    <w:rsid w:val="00054F0B"/>
    <w:rsid w:val="00055048"/>
    <w:rsid w:val="00055152"/>
    <w:rsid w:val="00055229"/>
    <w:rsid w:val="000556F4"/>
    <w:rsid w:val="00055863"/>
    <w:rsid w:val="00055A31"/>
    <w:rsid w:val="00055D9D"/>
    <w:rsid w:val="00056552"/>
    <w:rsid w:val="0005655E"/>
    <w:rsid w:val="00056815"/>
    <w:rsid w:val="00056B02"/>
    <w:rsid w:val="00056C2B"/>
    <w:rsid w:val="00056E2C"/>
    <w:rsid w:val="00056E60"/>
    <w:rsid w:val="00056EE4"/>
    <w:rsid w:val="000570E4"/>
    <w:rsid w:val="0005733B"/>
    <w:rsid w:val="000574B6"/>
    <w:rsid w:val="000576F9"/>
    <w:rsid w:val="00057C25"/>
    <w:rsid w:val="00057EDA"/>
    <w:rsid w:val="0006012E"/>
    <w:rsid w:val="00060162"/>
    <w:rsid w:val="000601D9"/>
    <w:rsid w:val="000602CC"/>
    <w:rsid w:val="00060366"/>
    <w:rsid w:val="0006040B"/>
    <w:rsid w:val="00060456"/>
    <w:rsid w:val="00060491"/>
    <w:rsid w:val="00060674"/>
    <w:rsid w:val="0006081C"/>
    <w:rsid w:val="000608E2"/>
    <w:rsid w:val="00060996"/>
    <w:rsid w:val="000609F8"/>
    <w:rsid w:val="00060B5F"/>
    <w:rsid w:val="00060BAA"/>
    <w:rsid w:val="00060C68"/>
    <w:rsid w:val="00060C6D"/>
    <w:rsid w:val="000610D4"/>
    <w:rsid w:val="000611E5"/>
    <w:rsid w:val="000612C8"/>
    <w:rsid w:val="00061350"/>
    <w:rsid w:val="0006193A"/>
    <w:rsid w:val="00062173"/>
    <w:rsid w:val="0006222A"/>
    <w:rsid w:val="0006249C"/>
    <w:rsid w:val="0006290E"/>
    <w:rsid w:val="00062C96"/>
    <w:rsid w:val="00062E77"/>
    <w:rsid w:val="00062FE0"/>
    <w:rsid w:val="00063053"/>
    <w:rsid w:val="00063150"/>
    <w:rsid w:val="00063224"/>
    <w:rsid w:val="000632ED"/>
    <w:rsid w:val="0006338E"/>
    <w:rsid w:val="0006394E"/>
    <w:rsid w:val="00063EA3"/>
    <w:rsid w:val="00064014"/>
    <w:rsid w:val="000640B1"/>
    <w:rsid w:val="000641F2"/>
    <w:rsid w:val="0006445B"/>
    <w:rsid w:val="000645A4"/>
    <w:rsid w:val="00064AEB"/>
    <w:rsid w:val="00065188"/>
    <w:rsid w:val="0006549A"/>
    <w:rsid w:val="00065525"/>
    <w:rsid w:val="00065563"/>
    <w:rsid w:val="000655E9"/>
    <w:rsid w:val="00065640"/>
    <w:rsid w:val="0006569B"/>
    <w:rsid w:val="00065A9A"/>
    <w:rsid w:val="00065AF1"/>
    <w:rsid w:val="00065F35"/>
    <w:rsid w:val="00066017"/>
    <w:rsid w:val="0006605D"/>
    <w:rsid w:val="0006605F"/>
    <w:rsid w:val="0006642F"/>
    <w:rsid w:val="00066446"/>
    <w:rsid w:val="000664BA"/>
    <w:rsid w:val="00066794"/>
    <w:rsid w:val="000668AC"/>
    <w:rsid w:val="000669F6"/>
    <w:rsid w:val="00066E96"/>
    <w:rsid w:val="00066FB9"/>
    <w:rsid w:val="00067037"/>
    <w:rsid w:val="000672FC"/>
    <w:rsid w:val="00067365"/>
    <w:rsid w:val="00067374"/>
    <w:rsid w:val="00067A12"/>
    <w:rsid w:val="00067B84"/>
    <w:rsid w:val="00067C76"/>
    <w:rsid w:val="00067D12"/>
    <w:rsid w:val="00067F40"/>
    <w:rsid w:val="0007011F"/>
    <w:rsid w:val="000701ED"/>
    <w:rsid w:val="00070262"/>
    <w:rsid w:val="00070514"/>
    <w:rsid w:val="00070562"/>
    <w:rsid w:val="000705FD"/>
    <w:rsid w:val="000706EC"/>
    <w:rsid w:val="00070897"/>
    <w:rsid w:val="00070C69"/>
    <w:rsid w:val="00070DE1"/>
    <w:rsid w:val="00070F17"/>
    <w:rsid w:val="00070F1C"/>
    <w:rsid w:val="00070F35"/>
    <w:rsid w:val="00070FC7"/>
    <w:rsid w:val="0007115A"/>
    <w:rsid w:val="00071386"/>
    <w:rsid w:val="000714B2"/>
    <w:rsid w:val="0007155F"/>
    <w:rsid w:val="000716ED"/>
    <w:rsid w:val="0007178B"/>
    <w:rsid w:val="00071832"/>
    <w:rsid w:val="000718C3"/>
    <w:rsid w:val="00071C53"/>
    <w:rsid w:val="00072065"/>
    <w:rsid w:val="00072176"/>
    <w:rsid w:val="00072243"/>
    <w:rsid w:val="000722B5"/>
    <w:rsid w:val="000723B1"/>
    <w:rsid w:val="00072510"/>
    <w:rsid w:val="0007261C"/>
    <w:rsid w:val="000727FA"/>
    <w:rsid w:val="00072949"/>
    <w:rsid w:val="000729AF"/>
    <w:rsid w:val="000733FF"/>
    <w:rsid w:val="0007377D"/>
    <w:rsid w:val="00073824"/>
    <w:rsid w:val="00073D49"/>
    <w:rsid w:val="00074019"/>
    <w:rsid w:val="0007413B"/>
    <w:rsid w:val="000742D2"/>
    <w:rsid w:val="000744C8"/>
    <w:rsid w:val="00074512"/>
    <w:rsid w:val="000747B3"/>
    <w:rsid w:val="000747E7"/>
    <w:rsid w:val="00074CC0"/>
    <w:rsid w:val="00074D74"/>
    <w:rsid w:val="00074FC0"/>
    <w:rsid w:val="0007512D"/>
    <w:rsid w:val="0007530B"/>
    <w:rsid w:val="00075606"/>
    <w:rsid w:val="00075B7B"/>
    <w:rsid w:val="00075B85"/>
    <w:rsid w:val="00075C12"/>
    <w:rsid w:val="00075CE4"/>
    <w:rsid w:val="000761AE"/>
    <w:rsid w:val="00076600"/>
    <w:rsid w:val="00076982"/>
    <w:rsid w:val="00076A11"/>
    <w:rsid w:val="00076AF3"/>
    <w:rsid w:val="00076B8E"/>
    <w:rsid w:val="00076BAA"/>
    <w:rsid w:val="00076D14"/>
    <w:rsid w:val="00076F21"/>
    <w:rsid w:val="00077480"/>
    <w:rsid w:val="000774A0"/>
    <w:rsid w:val="000777DF"/>
    <w:rsid w:val="00077D97"/>
    <w:rsid w:val="000803A4"/>
    <w:rsid w:val="00080463"/>
    <w:rsid w:val="000805E3"/>
    <w:rsid w:val="00080C8A"/>
    <w:rsid w:val="00080E03"/>
    <w:rsid w:val="00080F9A"/>
    <w:rsid w:val="000812F7"/>
    <w:rsid w:val="000813BC"/>
    <w:rsid w:val="000815FC"/>
    <w:rsid w:val="00081DE3"/>
    <w:rsid w:val="00081F19"/>
    <w:rsid w:val="00081F52"/>
    <w:rsid w:val="00081FFB"/>
    <w:rsid w:val="000820D9"/>
    <w:rsid w:val="00082168"/>
    <w:rsid w:val="00082174"/>
    <w:rsid w:val="0008220B"/>
    <w:rsid w:val="0008244C"/>
    <w:rsid w:val="00082623"/>
    <w:rsid w:val="0008267C"/>
    <w:rsid w:val="00082768"/>
    <w:rsid w:val="0008291B"/>
    <w:rsid w:val="000829E2"/>
    <w:rsid w:val="00082BE5"/>
    <w:rsid w:val="000833E7"/>
    <w:rsid w:val="00083661"/>
    <w:rsid w:val="0008377E"/>
    <w:rsid w:val="0008384D"/>
    <w:rsid w:val="00083A07"/>
    <w:rsid w:val="00083C22"/>
    <w:rsid w:val="00083E76"/>
    <w:rsid w:val="00084017"/>
    <w:rsid w:val="00084243"/>
    <w:rsid w:val="0008426A"/>
    <w:rsid w:val="0008430E"/>
    <w:rsid w:val="0008446A"/>
    <w:rsid w:val="000845B6"/>
    <w:rsid w:val="00084602"/>
    <w:rsid w:val="000848F4"/>
    <w:rsid w:val="00084B18"/>
    <w:rsid w:val="00084B8D"/>
    <w:rsid w:val="00084D10"/>
    <w:rsid w:val="00084DAC"/>
    <w:rsid w:val="00084ED1"/>
    <w:rsid w:val="00084F2A"/>
    <w:rsid w:val="00084FC2"/>
    <w:rsid w:val="000850BB"/>
    <w:rsid w:val="00085583"/>
    <w:rsid w:val="00085778"/>
    <w:rsid w:val="00085797"/>
    <w:rsid w:val="0008589A"/>
    <w:rsid w:val="00085926"/>
    <w:rsid w:val="00085AA9"/>
    <w:rsid w:val="00085ADA"/>
    <w:rsid w:val="00085B6A"/>
    <w:rsid w:val="00085C0D"/>
    <w:rsid w:val="00085CE2"/>
    <w:rsid w:val="00085D68"/>
    <w:rsid w:val="00085F20"/>
    <w:rsid w:val="00085F71"/>
    <w:rsid w:val="0008600D"/>
    <w:rsid w:val="00086175"/>
    <w:rsid w:val="00086321"/>
    <w:rsid w:val="00086CBE"/>
    <w:rsid w:val="00086E3E"/>
    <w:rsid w:val="00086E49"/>
    <w:rsid w:val="0008732E"/>
    <w:rsid w:val="0008747A"/>
    <w:rsid w:val="00087512"/>
    <w:rsid w:val="000876AE"/>
    <w:rsid w:val="00087805"/>
    <w:rsid w:val="000878E7"/>
    <w:rsid w:val="000879F9"/>
    <w:rsid w:val="00087D66"/>
    <w:rsid w:val="00087E34"/>
    <w:rsid w:val="00087E65"/>
    <w:rsid w:val="00087EC3"/>
    <w:rsid w:val="00087F59"/>
    <w:rsid w:val="0009001A"/>
    <w:rsid w:val="000901C8"/>
    <w:rsid w:val="000901DE"/>
    <w:rsid w:val="00090355"/>
    <w:rsid w:val="0009050A"/>
    <w:rsid w:val="00090791"/>
    <w:rsid w:val="00090865"/>
    <w:rsid w:val="000908CB"/>
    <w:rsid w:val="00090938"/>
    <w:rsid w:val="00090E1E"/>
    <w:rsid w:val="00091073"/>
    <w:rsid w:val="00091279"/>
    <w:rsid w:val="00091D4E"/>
    <w:rsid w:val="00091FDA"/>
    <w:rsid w:val="000920E9"/>
    <w:rsid w:val="000921F9"/>
    <w:rsid w:val="00092531"/>
    <w:rsid w:val="00092674"/>
    <w:rsid w:val="000926A7"/>
    <w:rsid w:val="000927D6"/>
    <w:rsid w:val="00092A4D"/>
    <w:rsid w:val="00092C20"/>
    <w:rsid w:val="00092CE9"/>
    <w:rsid w:val="00092F7D"/>
    <w:rsid w:val="00093130"/>
    <w:rsid w:val="000931B1"/>
    <w:rsid w:val="00093367"/>
    <w:rsid w:val="00093B45"/>
    <w:rsid w:val="00093BF4"/>
    <w:rsid w:val="00093F84"/>
    <w:rsid w:val="00094009"/>
    <w:rsid w:val="0009423C"/>
    <w:rsid w:val="00094292"/>
    <w:rsid w:val="00094347"/>
    <w:rsid w:val="000943EF"/>
    <w:rsid w:val="00094454"/>
    <w:rsid w:val="000945FE"/>
    <w:rsid w:val="00094843"/>
    <w:rsid w:val="00094DA9"/>
    <w:rsid w:val="00095344"/>
    <w:rsid w:val="0009545E"/>
    <w:rsid w:val="00095514"/>
    <w:rsid w:val="0009573A"/>
    <w:rsid w:val="00095A6C"/>
    <w:rsid w:val="00095E30"/>
    <w:rsid w:val="00095E3C"/>
    <w:rsid w:val="00096059"/>
    <w:rsid w:val="00096118"/>
    <w:rsid w:val="0009619B"/>
    <w:rsid w:val="0009626A"/>
    <w:rsid w:val="0009626C"/>
    <w:rsid w:val="000963CD"/>
    <w:rsid w:val="0009656B"/>
    <w:rsid w:val="00096655"/>
    <w:rsid w:val="0009671B"/>
    <w:rsid w:val="000967CE"/>
    <w:rsid w:val="00096848"/>
    <w:rsid w:val="00096EF7"/>
    <w:rsid w:val="0009707D"/>
    <w:rsid w:val="0009721F"/>
    <w:rsid w:val="00097282"/>
    <w:rsid w:val="000973C8"/>
    <w:rsid w:val="000974EE"/>
    <w:rsid w:val="00097630"/>
    <w:rsid w:val="00097701"/>
    <w:rsid w:val="000979BA"/>
    <w:rsid w:val="00097ACD"/>
    <w:rsid w:val="00097ADD"/>
    <w:rsid w:val="00097B79"/>
    <w:rsid w:val="00097D36"/>
    <w:rsid w:val="00097EC6"/>
    <w:rsid w:val="000A06E8"/>
    <w:rsid w:val="000A0773"/>
    <w:rsid w:val="000A07A3"/>
    <w:rsid w:val="000A0908"/>
    <w:rsid w:val="000A0C3F"/>
    <w:rsid w:val="000A0F1E"/>
    <w:rsid w:val="000A1643"/>
    <w:rsid w:val="000A19CC"/>
    <w:rsid w:val="000A1A1A"/>
    <w:rsid w:val="000A1C1D"/>
    <w:rsid w:val="000A1EE5"/>
    <w:rsid w:val="000A1F49"/>
    <w:rsid w:val="000A1F99"/>
    <w:rsid w:val="000A1FD9"/>
    <w:rsid w:val="000A2015"/>
    <w:rsid w:val="000A21C9"/>
    <w:rsid w:val="000A28DC"/>
    <w:rsid w:val="000A2A5C"/>
    <w:rsid w:val="000A2AA9"/>
    <w:rsid w:val="000A2CF0"/>
    <w:rsid w:val="000A2E79"/>
    <w:rsid w:val="000A2F66"/>
    <w:rsid w:val="000A3132"/>
    <w:rsid w:val="000A31FB"/>
    <w:rsid w:val="000A3675"/>
    <w:rsid w:val="000A37B3"/>
    <w:rsid w:val="000A3B35"/>
    <w:rsid w:val="000A3D01"/>
    <w:rsid w:val="000A3DF8"/>
    <w:rsid w:val="000A4650"/>
    <w:rsid w:val="000A4692"/>
    <w:rsid w:val="000A4DA3"/>
    <w:rsid w:val="000A5153"/>
    <w:rsid w:val="000A51CA"/>
    <w:rsid w:val="000A5200"/>
    <w:rsid w:val="000A55DA"/>
    <w:rsid w:val="000A56F2"/>
    <w:rsid w:val="000A581E"/>
    <w:rsid w:val="000A5988"/>
    <w:rsid w:val="000A5BB7"/>
    <w:rsid w:val="000A5BE4"/>
    <w:rsid w:val="000A5E44"/>
    <w:rsid w:val="000A62F1"/>
    <w:rsid w:val="000A6525"/>
    <w:rsid w:val="000A695F"/>
    <w:rsid w:val="000A6A39"/>
    <w:rsid w:val="000A6CAD"/>
    <w:rsid w:val="000A6E05"/>
    <w:rsid w:val="000A6EA1"/>
    <w:rsid w:val="000A70FF"/>
    <w:rsid w:val="000A7114"/>
    <w:rsid w:val="000A719F"/>
    <w:rsid w:val="000A721E"/>
    <w:rsid w:val="000A7353"/>
    <w:rsid w:val="000A7481"/>
    <w:rsid w:val="000A74AA"/>
    <w:rsid w:val="000A7530"/>
    <w:rsid w:val="000A75CF"/>
    <w:rsid w:val="000A7782"/>
    <w:rsid w:val="000A78D0"/>
    <w:rsid w:val="000A7B37"/>
    <w:rsid w:val="000A7F9A"/>
    <w:rsid w:val="000A7FEE"/>
    <w:rsid w:val="000B0809"/>
    <w:rsid w:val="000B0A6B"/>
    <w:rsid w:val="000B0D7C"/>
    <w:rsid w:val="000B0EAD"/>
    <w:rsid w:val="000B0FBF"/>
    <w:rsid w:val="000B0FD8"/>
    <w:rsid w:val="000B107D"/>
    <w:rsid w:val="000B1133"/>
    <w:rsid w:val="000B12FA"/>
    <w:rsid w:val="000B1AF2"/>
    <w:rsid w:val="000B1BC3"/>
    <w:rsid w:val="000B1E40"/>
    <w:rsid w:val="000B2158"/>
    <w:rsid w:val="000B239B"/>
    <w:rsid w:val="000B2469"/>
    <w:rsid w:val="000B2496"/>
    <w:rsid w:val="000B24F5"/>
    <w:rsid w:val="000B272A"/>
    <w:rsid w:val="000B2730"/>
    <w:rsid w:val="000B29E6"/>
    <w:rsid w:val="000B2B2C"/>
    <w:rsid w:val="000B2D45"/>
    <w:rsid w:val="000B2EDE"/>
    <w:rsid w:val="000B2EE6"/>
    <w:rsid w:val="000B2F50"/>
    <w:rsid w:val="000B2F5C"/>
    <w:rsid w:val="000B30DC"/>
    <w:rsid w:val="000B3194"/>
    <w:rsid w:val="000B34BD"/>
    <w:rsid w:val="000B37D1"/>
    <w:rsid w:val="000B38C7"/>
    <w:rsid w:val="000B3A90"/>
    <w:rsid w:val="000B3AE3"/>
    <w:rsid w:val="000B3B0A"/>
    <w:rsid w:val="000B3B92"/>
    <w:rsid w:val="000B3C97"/>
    <w:rsid w:val="000B420E"/>
    <w:rsid w:val="000B482A"/>
    <w:rsid w:val="000B4940"/>
    <w:rsid w:val="000B49AA"/>
    <w:rsid w:val="000B4B14"/>
    <w:rsid w:val="000B4CFB"/>
    <w:rsid w:val="000B4D73"/>
    <w:rsid w:val="000B4F89"/>
    <w:rsid w:val="000B4FA4"/>
    <w:rsid w:val="000B506A"/>
    <w:rsid w:val="000B50AB"/>
    <w:rsid w:val="000B52A2"/>
    <w:rsid w:val="000B53DF"/>
    <w:rsid w:val="000B5474"/>
    <w:rsid w:val="000B54C8"/>
    <w:rsid w:val="000B5618"/>
    <w:rsid w:val="000B5887"/>
    <w:rsid w:val="000B5912"/>
    <w:rsid w:val="000B5CD7"/>
    <w:rsid w:val="000B5D0D"/>
    <w:rsid w:val="000B60F6"/>
    <w:rsid w:val="000B63D2"/>
    <w:rsid w:val="000B6457"/>
    <w:rsid w:val="000B6749"/>
    <w:rsid w:val="000B7046"/>
    <w:rsid w:val="000B706F"/>
    <w:rsid w:val="000B7331"/>
    <w:rsid w:val="000B7555"/>
    <w:rsid w:val="000B76B9"/>
    <w:rsid w:val="000B77A5"/>
    <w:rsid w:val="000B77BD"/>
    <w:rsid w:val="000B7888"/>
    <w:rsid w:val="000B7959"/>
    <w:rsid w:val="000B7D89"/>
    <w:rsid w:val="000B7F4B"/>
    <w:rsid w:val="000C02F5"/>
    <w:rsid w:val="000C03B0"/>
    <w:rsid w:val="000C0436"/>
    <w:rsid w:val="000C05FA"/>
    <w:rsid w:val="000C08BF"/>
    <w:rsid w:val="000C0B0B"/>
    <w:rsid w:val="000C0C76"/>
    <w:rsid w:val="000C0CA7"/>
    <w:rsid w:val="000C0DF7"/>
    <w:rsid w:val="000C0E74"/>
    <w:rsid w:val="000C1015"/>
    <w:rsid w:val="000C119E"/>
    <w:rsid w:val="000C18D2"/>
    <w:rsid w:val="000C19AA"/>
    <w:rsid w:val="000C1AB1"/>
    <w:rsid w:val="000C1BEB"/>
    <w:rsid w:val="000C1E26"/>
    <w:rsid w:val="000C1F5A"/>
    <w:rsid w:val="000C21C1"/>
    <w:rsid w:val="000C2226"/>
    <w:rsid w:val="000C2395"/>
    <w:rsid w:val="000C24D1"/>
    <w:rsid w:val="000C2743"/>
    <w:rsid w:val="000C2772"/>
    <w:rsid w:val="000C2B7C"/>
    <w:rsid w:val="000C2CFB"/>
    <w:rsid w:val="000C30C7"/>
    <w:rsid w:val="000C341A"/>
    <w:rsid w:val="000C3509"/>
    <w:rsid w:val="000C3609"/>
    <w:rsid w:val="000C381B"/>
    <w:rsid w:val="000C3B31"/>
    <w:rsid w:val="000C3B9A"/>
    <w:rsid w:val="000C3BD8"/>
    <w:rsid w:val="000C3CF3"/>
    <w:rsid w:val="000C3EF0"/>
    <w:rsid w:val="000C40E7"/>
    <w:rsid w:val="000C45CC"/>
    <w:rsid w:val="000C477F"/>
    <w:rsid w:val="000C47FC"/>
    <w:rsid w:val="000C4B5A"/>
    <w:rsid w:val="000C4E30"/>
    <w:rsid w:val="000C4ED0"/>
    <w:rsid w:val="000C4F38"/>
    <w:rsid w:val="000C501C"/>
    <w:rsid w:val="000C50B3"/>
    <w:rsid w:val="000C52A2"/>
    <w:rsid w:val="000C563B"/>
    <w:rsid w:val="000C57D8"/>
    <w:rsid w:val="000C581D"/>
    <w:rsid w:val="000C5883"/>
    <w:rsid w:val="000C5E36"/>
    <w:rsid w:val="000C5E6B"/>
    <w:rsid w:val="000C5EB0"/>
    <w:rsid w:val="000C5F7B"/>
    <w:rsid w:val="000C5F97"/>
    <w:rsid w:val="000C61BE"/>
    <w:rsid w:val="000C62BC"/>
    <w:rsid w:val="000C6392"/>
    <w:rsid w:val="000C6401"/>
    <w:rsid w:val="000C65E0"/>
    <w:rsid w:val="000C6867"/>
    <w:rsid w:val="000C6A5E"/>
    <w:rsid w:val="000C6F72"/>
    <w:rsid w:val="000C71A4"/>
    <w:rsid w:val="000C765A"/>
    <w:rsid w:val="000C790E"/>
    <w:rsid w:val="000C7BA2"/>
    <w:rsid w:val="000C7C13"/>
    <w:rsid w:val="000C7C52"/>
    <w:rsid w:val="000C7C9F"/>
    <w:rsid w:val="000C7D58"/>
    <w:rsid w:val="000C7E4F"/>
    <w:rsid w:val="000D00CD"/>
    <w:rsid w:val="000D02BF"/>
    <w:rsid w:val="000D046E"/>
    <w:rsid w:val="000D052D"/>
    <w:rsid w:val="000D07F0"/>
    <w:rsid w:val="000D08C3"/>
    <w:rsid w:val="000D0A76"/>
    <w:rsid w:val="000D0AFD"/>
    <w:rsid w:val="000D0F04"/>
    <w:rsid w:val="000D117F"/>
    <w:rsid w:val="000D128D"/>
    <w:rsid w:val="000D1291"/>
    <w:rsid w:val="000D1614"/>
    <w:rsid w:val="000D192C"/>
    <w:rsid w:val="000D1976"/>
    <w:rsid w:val="000D1AE2"/>
    <w:rsid w:val="000D1CEE"/>
    <w:rsid w:val="000D1D15"/>
    <w:rsid w:val="000D1E06"/>
    <w:rsid w:val="000D1EB5"/>
    <w:rsid w:val="000D1ECD"/>
    <w:rsid w:val="000D2412"/>
    <w:rsid w:val="000D25A8"/>
    <w:rsid w:val="000D25B0"/>
    <w:rsid w:val="000D27AD"/>
    <w:rsid w:val="000D2995"/>
    <w:rsid w:val="000D29A6"/>
    <w:rsid w:val="000D2A7C"/>
    <w:rsid w:val="000D2A8B"/>
    <w:rsid w:val="000D2C56"/>
    <w:rsid w:val="000D2F05"/>
    <w:rsid w:val="000D2F23"/>
    <w:rsid w:val="000D347F"/>
    <w:rsid w:val="000D38A5"/>
    <w:rsid w:val="000D3924"/>
    <w:rsid w:val="000D3ED7"/>
    <w:rsid w:val="000D3F28"/>
    <w:rsid w:val="000D3F4C"/>
    <w:rsid w:val="000D3FB9"/>
    <w:rsid w:val="000D432F"/>
    <w:rsid w:val="000D4603"/>
    <w:rsid w:val="000D4726"/>
    <w:rsid w:val="000D4904"/>
    <w:rsid w:val="000D4B41"/>
    <w:rsid w:val="000D5148"/>
    <w:rsid w:val="000D5463"/>
    <w:rsid w:val="000D54D3"/>
    <w:rsid w:val="000D57D4"/>
    <w:rsid w:val="000D598F"/>
    <w:rsid w:val="000D59E0"/>
    <w:rsid w:val="000D60B8"/>
    <w:rsid w:val="000D638F"/>
    <w:rsid w:val="000D63C0"/>
    <w:rsid w:val="000D651B"/>
    <w:rsid w:val="000D6541"/>
    <w:rsid w:val="000D660E"/>
    <w:rsid w:val="000D6753"/>
    <w:rsid w:val="000D696D"/>
    <w:rsid w:val="000D6FF3"/>
    <w:rsid w:val="000D701D"/>
    <w:rsid w:val="000D76F1"/>
    <w:rsid w:val="000D79B3"/>
    <w:rsid w:val="000D7C88"/>
    <w:rsid w:val="000D7EB7"/>
    <w:rsid w:val="000D7FB5"/>
    <w:rsid w:val="000E037F"/>
    <w:rsid w:val="000E03B3"/>
    <w:rsid w:val="000E06C2"/>
    <w:rsid w:val="000E0708"/>
    <w:rsid w:val="000E0819"/>
    <w:rsid w:val="000E0859"/>
    <w:rsid w:val="000E08F5"/>
    <w:rsid w:val="000E0CFF"/>
    <w:rsid w:val="000E12E1"/>
    <w:rsid w:val="000E1384"/>
    <w:rsid w:val="000E13D2"/>
    <w:rsid w:val="000E1670"/>
    <w:rsid w:val="000E16CD"/>
    <w:rsid w:val="000E16FE"/>
    <w:rsid w:val="000E18EE"/>
    <w:rsid w:val="000E19E9"/>
    <w:rsid w:val="000E1CA6"/>
    <w:rsid w:val="000E270A"/>
    <w:rsid w:val="000E27AA"/>
    <w:rsid w:val="000E285C"/>
    <w:rsid w:val="000E2D74"/>
    <w:rsid w:val="000E2DAF"/>
    <w:rsid w:val="000E2FC5"/>
    <w:rsid w:val="000E30AE"/>
    <w:rsid w:val="000E3307"/>
    <w:rsid w:val="000E337A"/>
    <w:rsid w:val="000E3806"/>
    <w:rsid w:val="000E38B8"/>
    <w:rsid w:val="000E3A70"/>
    <w:rsid w:val="000E3D32"/>
    <w:rsid w:val="000E3E0F"/>
    <w:rsid w:val="000E40D3"/>
    <w:rsid w:val="000E4173"/>
    <w:rsid w:val="000E428A"/>
    <w:rsid w:val="000E42A4"/>
    <w:rsid w:val="000E43DE"/>
    <w:rsid w:val="000E4477"/>
    <w:rsid w:val="000E47FA"/>
    <w:rsid w:val="000E4A09"/>
    <w:rsid w:val="000E4C53"/>
    <w:rsid w:val="000E4C68"/>
    <w:rsid w:val="000E4E80"/>
    <w:rsid w:val="000E4EE9"/>
    <w:rsid w:val="000E4F6F"/>
    <w:rsid w:val="000E4F84"/>
    <w:rsid w:val="000E4FCC"/>
    <w:rsid w:val="000E5064"/>
    <w:rsid w:val="000E51ED"/>
    <w:rsid w:val="000E530E"/>
    <w:rsid w:val="000E53E1"/>
    <w:rsid w:val="000E542C"/>
    <w:rsid w:val="000E54A2"/>
    <w:rsid w:val="000E55D7"/>
    <w:rsid w:val="000E5810"/>
    <w:rsid w:val="000E588D"/>
    <w:rsid w:val="000E59D4"/>
    <w:rsid w:val="000E5C15"/>
    <w:rsid w:val="000E5E01"/>
    <w:rsid w:val="000E5E9F"/>
    <w:rsid w:val="000E5FC5"/>
    <w:rsid w:val="000E629D"/>
    <w:rsid w:val="000E6312"/>
    <w:rsid w:val="000E6938"/>
    <w:rsid w:val="000E697E"/>
    <w:rsid w:val="000E6CED"/>
    <w:rsid w:val="000E6DDE"/>
    <w:rsid w:val="000E6DEC"/>
    <w:rsid w:val="000E6F7A"/>
    <w:rsid w:val="000E708C"/>
    <w:rsid w:val="000E728B"/>
    <w:rsid w:val="000E74E9"/>
    <w:rsid w:val="000E7565"/>
    <w:rsid w:val="000E78D6"/>
    <w:rsid w:val="000E7BA3"/>
    <w:rsid w:val="000F0367"/>
    <w:rsid w:val="000F04E9"/>
    <w:rsid w:val="000F0572"/>
    <w:rsid w:val="000F062B"/>
    <w:rsid w:val="000F06D0"/>
    <w:rsid w:val="000F0819"/>
    <w:rsid w:val="000F0859"/>
    <w:rsid w:val="000F0A8F"/>
    <w:rsid w:val="000F0A90"/>
    <w:rsid w:val="000F0B45"/>
    <w:rsid w:val="000F0BB7"/>
    <w:rsid w:val="000F0E41"/>
    <w:rsid w:val="000F0E66"/>
    <w:rsid w:val="000F1156"/>
    <w:rsid w:val="000F178F"/>
    <w:rsid w:val="000F196D"/>
    <w:rsid w:val="000F1AEA"/>
    <w:rsid w:val="000F1EC5"/>
    <w:rsid w:val="000F1F47"/>
    <w:rsid w:val="000F2190"/>
    <w:rsid w:val="000F22D0"/>
    <w:rsid w:val="000F26AF"/>
    <w:rsid w:val="000F290D"/>
    <w:rsid w:val="000F2D33"/>
    <w:rsid w:val="000F2F73"/>
    <w:rsid w:val="000F31B3"/>
    <w:rsid w:val="000F3219"/>
    <w:rsid w:val="000F324A"/>
    <w:rsid w:val="000F32B8"/>
    <w:rsid w:val="000F341E"/>
    <w:rsid w:val="000F348F"/>
    <w:rsid w:val="000F378A"/>
    <w:rsid w:val="000F3861"/>
    <w:rsid w:val="000F39CB"/>
    <w:rsid w:val="000F3A8B"/>
    <w:rsid w:val="000F3AAE"/>
    <w:rsid w:val="000F3B11"/>
    <w:rsid w:val="000F40D5"/>
    <w:rsid w:val="000F42A3"/>
    <w:rsid w:val="000F42B2"/>
    <w:rsid w:val="000F4492"/>
    <w:rsid w:val="000F451A"/>
    <w:rsid w:val="000F47BD"/>
    <w:rsid w:val="000F4888"/>
    <w:rsid w:val="000F491E"/>
    <w:rsid w:val="000F4AC8"/>
    <w:rsid w:val="000F4BDD"/>
    <w:rsid w:val="000F4C6D"/>
    <w:rsid w:val="000F4F2C"/>
    <w:rsid w:val="000F5079"/>
    <w:rsid w:val="000F5552"/>
    <w:rsid w:val="000F58C4"/>
    <w:rsid w:val="000F59C2"/>
    <w:rsid w:val="000F5A34"/>
    <w:rsid w:val="000F5BBB"/>
    <w:rsid w:val="000F5D67"/>
    <w:rsid w:val="000F61FC"/>
    <w:rsid w:val="000F6899"/>
    <w:rsid w:val="000F6B24"/>
    <w:rsid w:val="000F6B53"/>
    <w:rsid w:val="000F6D5B"/>
    <w:rsid w:val="000F6F75"/>
    <w:rsid w:val="000F7071"/>
    <w:rsid w:val="000F7225"/>
    <w:rsid w:val="000F74AE"/>
    <w:rsid w:val="000F7592"/>
    <w:rsid w:val="000F767D"/>
    <w:rsid w:val="000F7B0D"/>
    <w:rsid w:val="000F7BE5"/>
    <w:rsid w:val="000F7F1E"/>
    <w:rsid w:val="001001F9"/>
    <w:rsid w:val="0010032A"/>
    <w:rsid w:val="00100827"/>
    <w:rsid w:val="00100934"/>
    <w:rsid w:val="00100984"/>
    <w:rsid w:val="00100A32"/>
    <w:rsid w:val="00100AA9"/>
    <w:rsid w:val="00100B87"/>
    <w:rsid w:val="00100D54"/>
    <w:rsid w:val="00100DC4"/>
    <w:rsid w:val="00100FE5"/>
    <w:rsid w:val="001015A6"/>
    <w:rsid w:val="0010166F"/>
    <w:rsid w:val="001017D2"/>
    <w:rsid w:val="00101CDA"/>
    <w:rsid w:val="00101D9D"/>
    <w:rsid w:val="00101E0C"/>
    <w:rsid w:val="001023AD"/>
    <w:rsid w:val="001024D8"/>
    <w:rsid w:val="00102607"/>
    <w:rsid w:val="00102610"/>
    <w:rsid w:val="00102707"/>
    <w:rsid w:val="0010280D"/>
    <w:rsid w:val="001028C0"/>
    <w:rsid w:val="00102A02"/>
    <w:rsid w:val="00102CF9"/>
    <w:rsid w:val="00102F13"/>
    <w:rsid w:val="00102FA6"/>
    <w:rsid w:val="00103496"/>
    <w:rsid w:val="0010396E"/>
    <w:rsid w:val="00103BF3"/>
    <w:rsid w:val="00103C55"/>
    <w:rsid w:val="00103D9E"/>
    <w:rsid w:val="00103E7A"/>
    <w:rsid w:val="00104315"/>
    <w:rsid w:val="00104428"/>
    <w:rsid w:val="001045B3"/>
    <w:rsid w:val="001047E1"/>
    <w:rsid w:val="00104B21"/>
    <w:rsid w:val="00104B6F"/>
    <w:rsid w:val="00104BF1"/>
    <w:rsid w:val="00104CD5"/>
    <w:rsid w:val="00104F7E"/>
    <w:rsid w:val="001056A5"/>
    <w:rsid w:val="00105AC6"/>
    <w:rsid w:val="00105BA1"/>
    <w:rsid w:val="00105BD2"/>
    <w:rsid w:val="00105D53"/>
    <w:rsid w:val="00105E95"/>
    <w:rsid w:val="00105ED0"/>
    <w:rsid w:val="001061BD"/>
    <w:rsid w:val="001061DC"/>
    <w:rsid w:val="00106261"/>
    <w:rsid w:val="001062BC"/>
    <w:rsid w:val="001064EA"/>
    <w:rsid w:val="00106A01"/>
    <w:rsid w:val="00106C84"/>
    <w:rsid w:val="00106E70"/>
    <w:rsid w:val="00106F71"/>
    <w:rsid w:val="00106FE0"/>
    <w:rsid w:val="0010705F"/>
    <w:rsid w:val="00107169"/>
    <w:rsid w:val="001071ED"/>
    <w:rsid w:val="001072A4"/>
    <w:rsid w:val="00107463"/>
    <w:rsid w:val="00107593"/>
    <w:rsid w:val="00110694"/>
    <w:rsid w:val="0011071B"/>
    <w:rsid w:val="0011081E"/>
    <w:rsid w:val="00110B25"/>
    <w:rsid w:val="00110D24"/>
    <w:rsid w:val="00111187"/>
    <w:rsid w:val="00111190"/>
    <w:rsid w:val="001112C1"/>
    <w:rsid w:val="001114F6"/>
    <w:rsid w:val="0011176A"/>
    <w:rsid w:val="0011184F"/>
    <w:rsid w:val="00111AE0"/>
    <w:rsid w:val="00111BAD"/>
    <w:rsid w:val="00111F00"/>
    <w:rsid w:val="00112057"/>
    <w:rsid w:val="00112176"/>
    <w:rsid w:val="001122C4"/>
    <w:rsid w:val="001124EE"/>
    <w:rsid w:val="0011267A"/>
    <w:rsid w:val="00112A2C"/>
    <w:rsid w:val="00112A5E"/>
    <w:rsid w:val="00113309"/>
    <w:rsid w:val="0011353E"/>
    <w:rsid w:val="0011397D"/>
    <w:rsid w:val="00113C0F"/>
    <w:rsid w:val="00113DB4"/>
    <w:rsid w:val="00113DCD"/>
    <w:rsid w:val="00113EA3"/>
    <w:rsid w:val="001141EC"/>
    <w:rsid w:val="00114253"/>
    <w:rsid w:val="00114415"/>
    <w:rsid w:val="00114453"/>
    <w:rsid w:val="00114487"/>
    <w:rsid w:val="00114714"/>
    <w:rsid w:val="00114AB0"/>
    <w:rsid w:val="00114B88"/>
    <w:rsid w:val="00114BAF"/>
    <w:rsid w:val="00114C38"/>
    <w:rsid w:val="00114CD4"/>
    <w:rsid w:val="00114E06"/>
    <w:rsid w:val="00114F2D"/>
    <w:rsid w:val="001152F1"/>
    <w:rsid w:val="00115483"/>
    <w:rsid w:val="00115790"/>
    <w:rsid w:val="00115832"/>
    <w:rsid w:val="00115867"/>
    <w:rsid w:val="00115945"/>
    <w:rsid w:val="00115A67"/>
    <w:rsid w:val="00115BFF"/>
    <w:rsid w:val="00115CAD"/>
    <w:rsid w:val="001164CC"/>
    <w:rsid w:val="00116510"/>
    <w:rsid w:val="001169B0"/>
    <w:rsid w:val="00116B8F"/>
    <w:rsid w:val="00116D4E"/>
    <w:rsid w:val="001174A7"/>
    <w:rsid w:val="00117622"/>
    <w:rsid w:val="00117740"/>
    <w:rsid w:val="00117941"/>
    <w:rsid w:val="00117D92"/>
    <w:rsid w:val="00117E1A"/>
    <w:rsid w:val="001200DF"/>
    <w:rsid w:val="0012044F"/>
    <w:rsid w:val="0012049F"/>
    <w:rsid w:val="0012056E"/>
    <w:rsid w:val="00120830"/>
    <w:rsid w:val="00120894"/>
    <w:rsid w:val="0012091B"/>
    <w:rsid w:val="00120966"/>
    <w:rsid w:val="00120D80"/>
    <w:rsid w:val="00120E00"/>
    <w:rsid w:val="00120FFA"/>
    <w:rsid w:val="00121089"/>
    <w:rsid w:val="00121287"/>
    <w:rsid w:val="001214C1"/>
    <w:rsid w:val="00121881"/>
    <w:rsid w:val="0012189A"/>
    <w:rsid w:val="00121A6A"/>
    <w:rsid w:val="00121AFF"/>
    <w:rsid w:val="00121F88"/>
    <w:rsid w:val="00122138"/>
    <w:rsid w:val="001221FF"/>
    <w:rsid w:val="0012254F"/>
    <w:rsid w:val="00122B11"/>
    <w:rsid w:val="00122FB5"/>
    <w:rsid w:val="0012300D"/>
    <w:rsid w:val="001230B6"/>
    <w:rsid w:val="001231F6"/>
    <w:rsid w:val="00123377"/>
    <w:rsid w:val="00123A0D"/>
    <w:rsid w:val="00123B6B"/>
    <w:rsid w:val="00123C1F"/>
    <w:rsid w:val="00123CB6"/>
    <w:rsid w:val="00123D4E"/>
    <w:rsid w:val="00123D53"/>
    <w:rsid w:val="00123DC6"/>
    <w:rsid w:val="00123EF4"/>
    <w:rsid w:val="001242B0"/>
    <w:rsid w:val="00124437"/>
    <w:rsid w:val="0012455F"/>
    <w:rsid w:val="001245C1"/>
    <w:rsid w:val="00124630"/>
    <w:rsid w:val="00124648"/>
    <w:rsid w:val="001246C5"/>
    <w:rsid w:val="001247FB"/>
    <w:rsid w:val="00124CC8"/>
    <w:rsid w:val="001251F2"/>
    <w:rsid w:val="001254AC"/>
    <w:rsid w:val="001254C6"/>
    <w:rsid w:val="00125682"/>
    <w:rsid w:val="00125943"/>
    <w:rsid w:val="00125953"/>
    <w:rsid w:val="00125AA0"/>
    <w:rsid w:val="00125ABB"/>
    <w:rsid w:val="00125D55"/>
    <w:rsid w:val="00125DC8"/>
    <w:rsid w:val="00125E69"/>
    <w:rsid w:val="001263E3"/>
    <w:rsid w:val="001264B3"/>
    <w:rsid w:val="00126606"/>
    <w:rsid w:val="001268D6"/>
    <w:rsid w:val="00126970"/>
    <w:rsid w:val="00126A05"/>
    <w:rsid w:val="00126A2B"/>
    <w:rsid w:val="00126B7A"/>
    <w:rsid w:val="001270CC"/>
    <w:rsid w:val="001271FA"/>
    <w:rsid w:val="0012728D"/>
    <w:rsid w:val="00127573"/>
    <w:rsid w:val="001275A0"/>
    <w:rsid w:val="001275D3"/>
    <w:rsid w:val="00127600"/>
    <w:rsid w:val="00127BB8"/>
    <w:rsid w:val="00127C32"/>
    <w:rsid w:val="00127E29"/>
    <w:rsid w:val="0013011F"/>
    <w:rsid w:val="00130358"/>
    <w:rsid w:val="001305C7"/>
    <w:rsid w:val="00130F7E"/>
    <w:rsid w:val="00131261"/>
    <w:rsid w:val="00131264"/>
    <w:rsid w:val="001312C5"/>
    <w:rsid w:val="001315BD"/>
    <w:rsid w:val="00131673"/>
    <w:rsid w:val="001317A9"/>
    <w:rsid w:val="00131BCD"/>
    <w:rsid w:val="00131DD3"/>
    <w:rsid w:val="00131E56"/>
    <w:rsid w:val="00132310"/>
    <w:rsid w:val="0013246A"/>
    <w:rsid w:val="001325D6"/>
    <w:rsid w:val="00132627"/>
    <w:rsid w:val="00132FE9"/>
    <w:rsid w:val="00133027"/>
    <w:rsid w:val="001330A5"/>
    <w:rsid w:val="00133276"/>
    <w:rsid w:val="001332EF"/>
    <w:rsid w:val="00133414"/>
    <w:rsid w:val="001334AA"/>
    <w:rsid w:val="0013393E"/>
    <w:rsid w:val="00133BA4"/>
    <w:rsid w:val="00133C5B"/>
    <w:rsid w:val="0013429C"/>
    <w:rsid w:val="001345FE"/>
    <w:rsid w:val="00134977"/>
    <w:rsid w:val="00134A64"/>
    <w:rsid w:val="00134F8D"/>
    <w:rsid w:val="00134FF6"/>
    <w:rsid w:val="00135020"/>
    <w:rsid w:val="0013507C"/>
    <w:rsid w:val="001350D8"/>
    <w:rsid w:val="001350FC"/>
    <w:rsid w:val="001352D1"/>
    <w:rsid w:val="00135493"/>
    <w:rsid w:val="0013560C"/>
    <w:rsid w:val="0013566A"/>
    <w:rsid w:val="00135952"/>
    <w:rsid w:val="00135AF1"/>
    <w:rsid w:val="00135C6B"/>
    <w:rsid w:val="00135D0D"/>
    <w:rsid w:val="00135E32"/>
    <w:rsid w:val="001361D3"/>
    <w:rsid w:val="001364EF"/>
    <w:rsid w:val="00136511"/>
    <w:rsid w:val="00136929"/>
    <w:rsid w:val="00136A95"/>
    <w:rsid w:val="00136BA7"/>
    <w:rsid w:val="00136C26"/>
    <w:rsid w:val="00136E30"/>
    <w:rsid w:val="001372F3"/>
    <w:rsid w:val="0013766A"/>
    <w:rsid w:val="001376AA"/>
    <w:rsid w:val="00137953"/>
    <w:rsid w:val="00137B21"/>
    <w:rsid w:val="00137F0B"/>
    <w:rsid w:val="00140080"/>
    <w:rsid w:val="00140232"/>
    <w:rsid w:val="001402EE"/>
    <w:rsid w:val="001403AE"/>
    <w:rsid w:val="00140459"/>
    <w:rsid w:val="00140527"/>
    <w:rsid w:val="0014060F"/>
    <w:rsid w:val="00140A36"/>
    <w:rsid w:val="00140DEF"/>
    <w:rsid w:val="00140EB8"/>
    <w:rsid w:val="00141476"/>
    <w:rsid w:val="00141568"/>
    <w:rsid w:val="00141825"/>
    <w:rsid w:val="00141A27"/>
    <w:rsid w:val="00141D2D"/>
    <w:rsid w:val="00141D37"/>
    <w:rsid w:val="00141F37"/>
    <w:rsid w:val="0014208A"/>
    <w:rsid w:val="001426D5"/>
    <w:rsid w:val="0014274D"/>
    <w:rsid w:val="00142A6D"/>
    <w:rsid w:val="00142A79"/>
    <w:rsid w:val="00142B79"/>
    <w:rsid w:val="00142E2E"/>
    <w:rsid w:val="001433B1"/>
    <w:rsid w:val="00143799"/>
    <w:rsid w:val="0014399F"/>
    <w:rsid w:val="001439FA"/>
    <w:rsid w:val="00143A08"/>
    <w:rsid w:val="00143B86"/>
    <w:rsid w:val="00143D18"/>
    <w:rsid w:val="00143DB9"/>
    <w:rsid w:val="0014484A"/>
    <w:rsid w:val="001448F6"/>
    <w:rsid w:val="00144A47"/>
    <w:rsid w:val="00144D2C"/>
    <w:rsid w:val="00144D59"/>
    <w:rsid w:val="00144DDA"/>
    <w:rsid w:val="00145089"/>
    <w:rsid w:val="00145140"/>
    <w:rsid w:val="00145285"/>
    <w:rsid w:val="001453B1"/>
    <w:rsid w:val="00145464"/>
    <w:rsid w:val="00145AC9"/>
    <w:rsid w:val="00145CC4"/>
    <w:rsid w:val="00145EC0"/>
    <w:rsid w:val="00145FFD"/>
    <w:rsid w:val="001460CB"/>
    <w:rsid w:val="001461D6"/>
    <w:rsid w:val="0014624F"/>
    <w:rsid w:val="001462FD"/>
    <w:rsid w:val="0014632C"/>
    <w:rsid w:val="00146368"/>
    <w:rsid w:val="00146977"/>
    <w:rsid w:val="00146A03"/>
    <w:rsid w:val="00146B65"/>
    <w:rsid w:val="00146CA8"/>
    <w:rsid w:val="00146FDE"/>
    <w:rsid w:val="0014733F"/>
    <w:rsid w:val="00147537"/>
    <w:rsid w:val="00147853"/>
    <w:rsid w:val="001478BB"/>
    <w:rsid w:val="001478E3"/>
    <w:rsid w:val="001479CC"/>
    <w:rsid w:val="00147ADD"/>
    <w:rsid w:val="00147BD1"/>
    <w:rsid w:val="00149F70"/>
    <w:rsid w:val="0015062E"/>
    <w:rsid w:val="00150666"/>
    <w:rsid w:val="00150748"/>
    <w:rsid w:val="001507DC"/>
    <w:rsid w:val="00150961"/>
    <w:rsid w:val="0015097D"/>
    <w:rsid w:val="00150A1E"/>
    <w:rsid w:val="00150B63"/>
    <w:rsid w:val="00150C87"/>
    <w:rsid w:val="001512E6"/>
    <w:rsid w:val="00151472"/>
    <w:rsid w:val="001514B4"/>
    <w:rsid w:val="00151759"/>
    <w:rsid w:val="001517E6"/>
    <w:rsid w:val="00151B0F"/>
    <w:rsid w:val="00151B6A"/>
    <w:rsid w:val="0015219D"/>
    <w:rsid w:val="001524A8"/>
    <w:rsid w:val="00152B5F"/>
    <w:rsid w:val="00152B6D"/>
    <w:rsid w:val="00152D89"/>
    <w:rsid w:val="00152EDB"/>
    <w:rsid w:val="00153419"/>
    <w:rsid w:val="0015364C"/>
    <w:rsid w:val="00153737"/>
    <w:rsid w:val="00153747"/>
    <w:rsid w:val="00153C07"/>
    <w:rsid w:val="00153D06"/>
    <w:rsid w:val="0015412D"/>
    <w:rsid w:val="00154212"/>
    <w:rsid w:val="001545D1"/>
    <w:rsid w:val="0015477E"/>
    <w:rsid w:val="00154E3E"/>
    <w:rsid w:val="001552D1"/>
    <w:rsid w:val="0015542F"/>
    <w:rsid w:val="00155527"/>
    <w:rsid w:val="0015577C"/>
    <w:rsid w:val="0015597C"/>
    <w:rsid w:val="00155A5F"/>
    <w:rsid w:val="00155A8A"/>
    <w:rsid w:val="00155C68"/>
    <w:rsid w:val="00155C8A"/>
    <w:rsid w:val="00155D8E"/>
    <w:rsid w:val="00155E0A"/>
    <w:rsid w:val="00155EFE"/>
    <w:rsid w:val="00155F12"/>
    <w:rsid w:val="0015605B"/>
    <w:rsid w:val="001563DF"/>
    <w:rsid w:val="0015670A"/>
    <w:rsid w:val="0015672E"/>
    <w:rsid w:val="00156789"/>
    <w:rsid w:val="001567D7"/>
    <w:rsid w:val="00156931"/>
    <w:rsid w:val="00156CD4"/>
    <w:rsid w:val="00156DD5"/>
    <w:rsid w:val="00156EB1"/>
    <w:rsid w:val="00157291"/>
    <w:rsid w:val="001574F8"/>
    <w:rsid w:val="00157520"/>
    <w:rsid w:val="001576AB"/>
    <w:rsid w:val="0015772A"/>
    <w:rsid w:val="0015787B"/>
    <w:rsid w:val="00157E5D"/>
    <w:rsid w:val="00157F1D"/>
    <w:rsid w:val="00157FCD"/>
    <w:rsid w:val="001602B7"/>
    <w:rsid w:val="001603CD"/>
    <w:rsid w:val="0016046A"/>
    <w:rsid w:val="00160547"/>
    <w:rsid w:val="00160679"/>
    <w:rsid w:val="0016067A"/>
    <w:rsid w:val="0016069E"/>
    <w:rsid w:val="0016089C"/>
    <w:rsid w:val="00160BE4"/>
    <w:rsid w:val="00160C25"/>
    <w:rsid w:val="00160F9F"/>
    <w:rsid w:val="00160FA3"/>
    <w:rsid w:val="00161185"/>
    <w:rsid w:val="0016132C"/>
    <w:rsid w:val="0016142A"/>
    <w:rsid w:val="00161615"/>
    <w:rsid w:val="0016183C"/>
    <w:rsid w:val="001618FE"/>
    <w:rsid w:val="00161A4D"/>
    <w:rsid w:val="00161AE0"/>
    <w:rsid w:val="00161AE1"/>
    <w:rsid w:val="00161BD3"/>
    <w:rsid w:val="00161C2B"/>
    <w:rsid w:val="001621AD"/>
    <w:rsid w:val="00162294"/>
    <w:rsid w:val="00162593"/>
    <w:rsid w:val="0016296B"/>
    <w:rsid w:val="001629BC"/>
    <w:rsid w:val="00162ABA"/>
    <w:rsid w:val="00162C54"/>
    <w:rsid w:val="00162D41"/>
    <w:rsid w:val="00162D60"/>
    <w:rsid w:val="00162DD8"/>
    <w:rsid w:val="00162FF9"/>
    <w:rsid w:val="001631C4"/>
    <w:rsid w:val="0016331B"/>
    <w:rsid w:val="00163368"/>
    <w:rsid w:val="001637FC"/>
    <w:rsid w:val="001638F6"/>
    <w:rsid w:val="00163E49"/>
    <w:rsid w:val="00163EDF"/>
    <w:rsid w:val="00163F64"/>
    <w:rsid w:val="001641A6"/>
    <w:rsid w:val="0016433A"/>
    <w:rsid w:val="00164749"/>
    <w:rsid w:val="00164867"/>
    <w:rsid w:val="00164910"/>
    <w:rsid w:val="00164B37"/>
    <w:rsid w:val="00164C0C"/>
    <w:rsid w:val="00164E49"/>
    <w:rsid w:val="001650A1"/>
    <w:rsid w:val="00165220"/>
    <w:rsid w:val="00165276"/>
    <w:rsid w:val="0016527B"/>
    <w:rsid w:val="001653A1"/>
    <w:rsid w:val="00165563"/>
    <w:rsid w:val="0016560D"/>
    <w:rsid w:val="00165774"/>
    <w:rsid w:val="001658DE"/>
    <w:rsid w:val="0016594E"/>
    <w:rsid w:val="00165A46"/>
    <w:rsid w:val="00165A9A"/>
    <w:rsid w:val="00166170"/>
    <w:rsid w:val="0016628E"/>
    <w:rsid w:val="00166418"/>
    <w:rsid w:val="00166684"/>
    <w:rsid w:val="001669C7"/>
    <w:rsid w:val="00166B63"/>
    <w:rsid w:val="00166BC5"/>
    <w:rsid w:val="00166F4D"/>
    <w:rsid w:val="00166F82"/>
    <w:rsid w:val="001672B5"/>
    <w:rsid w:val="00167328"/>
    <w:rsid w:val="00167385"/>
    <w:rsid w:val="001673BC"/>
    <w:rsid w:val="001674F3"/>
    <w:rsid w:val="00167862"/>
    <w:rsid w:val="00167BD8"/>
    <w:rsid w:val="00167D38"/>
    <w:rsid w:val="00167EE7"/>
    <w:rsid w:val="00167FED"/>
    <w:rsid w:val="0017005E"/>
    <w:rsid w:val="001701A4"/>
    <w:rsid w:val="001703B4"/>
    <w:rsid w:val="00170861"/>
    <w:rsid w:val="00170B10"/>
    <w:rsid w:val="00170B56"/>
    <w:rsid w:val="00170E01"/>
    <w:rsid w:val="00171057"/>
    <w:rsid w:val="00171240"/>
    <w:rsid w:val="001712D4"/>
    <w:rsid w:val="0017133C"/>
    <w:rsid w:val="0017140B"/>
    <w:rsid w:val="001719BC"/>
    <w:rsid w:val="00171C6B"/>
    <w:rsid w:val="001720E9"/>
    <w:rsid w:val="0017217A"/>
    <w:rsid w:val="0017244E"/>
    <w:rsid w:val="001724AE"/>
    <w:rsid w:val="001725E8"/>
    <w:rsid w:val="0017269C"/>
    <w:rsid w:val="001729C0"/>
    <w:rsid w:val="00172A7F"/>
    <w:rsid w:val="00172A82"/>
    <w:rsid w:val="00172AF8"/>
    <w:rsid w:val="00172EF5"/>
    <w:rsid w:val="0017313F"/>
    <w:rsid w:val="00173590"/>
    <w:rsid w:val="00173799"/>
    <w:rsid w:val="00173897"/>
    <w:rsid w:val="00173B4E"/>
    <w:rsid w:val="00173C4A"/>
    <w:rsid w:val="00173D95"/>
    <w:rsid w:val="0017406D"/>
    <w:rsid w:val="00174276"/>
    <w:rsid w:val="001749E0"/>
    <w:rsid w:val="00174C08"/>
    <w:rsid w:val="00174C1C"/>
    <w:rsid w:val="00174DC8"/>
    <w:rsid w:val="00174F15"/>
    <w:rsid w:val="00175498"/>
    <w:rsid w:val="001754B6"/>
    <w:rsid w:val="001755D8"/>
    <w:rsid w:val="00175742"/>
    <w:rsid w:val="00175973"/>
    <w:rsid w:val="00175B19"/>
    <w:rsid w:val="00175C2D"/>
    <w:rsid w:val="00175E06"/>
    <w:rsid w:val="00175E95"/>
    <w:rsid w:val="00175F1A"/>
    <w:rsid w:val="00176043"/>
    <w:rsid w:val="001761E0"/>
    <w:rsid w:val="00176480"/>
    <w:rsid w:val="001766E5"/>
    <w:rsid w:val="001767A4"/>
    <w:rsid w:val="0017702C"/>
    <w:rsid w:val="001771B3"/>
    <w:rsid w:val="001775FC"/>
    <w:rsid w:val="0017775E"/>
    <w:rsid w:val="0017785D"/>
    <w:rsid w:val="00177A8B"/>
    <w:rsid w:val="00177AAC"/>
    <w:rsid w:val="00177AC2"/>
    <w:rsid w:val="00180111"/>
    <w:rsid w:val="001805BC"/>
    <w:rsid w:val="001805CE"/>
    <w:rsid w:val="00180627"/>
    <w:rsid w:val="0018066E"/>
    <w:rsid w:val="001806BF"/>
    <w:rsid w:val="001807D5"/>
    <w:rsid w:val="00180827"/>
    <w:rsid w:val="0018096C"/>
    <w:rsid w:val="00180A24"/>
    <w:rsid w:val="00180BF5"/>
    <w:rsid w:val="00181075"/>
    <w:rsid w:val="00181603"/>
    <w:rsid w:val="001818FD"/>
    <w:rsid w:val="0018195E"/>
    <w:rsid w:val="00181FEC"/>
    <w:rsid w:val="00182003"/>
    <w:rsid w:val="0018249A"/>
    <w:rsid w:val="00182807"/>
    <w:rsid w:val="00182F24"/>
    <w:rsid w:val="00183349"/>
    <w:rsid w:val="0018357E"/>
    <w:rsid w:val="0018367F"/>
    <w:rsid w:val="00183734"/>
    <w:rsid w:val="00183833"/>
    <w:rsid w:val="00183B72"/>
    <w:rsid w:val="00183BD4"/>
    <w:rsid w:val="00184097"/>
    <w:rsid w:val="0018426B"/>
    <w:rsid w:val="0018439F"/>
    <w:rsid w:val="001844F4"/>
    <w:rsid w:val="00184ADF"/>
    <w:rsid w:val="00184DB1"/>
    <w:rsid w:val="00184E1E"/>
    <w:rsid w:val="00185065"/>
    <w:rsid w:val="001850E3"/>
    <w:rsid w:val="00185244"/>
    <w:rsid w:val="001852C7"/>
    <w:rsid w:val="001852F9"/>
    <w:rsid w:val="001853F5"/>
    <w:rsid w:val="00185662"/>
    <w:rsid w:val="001856BE"/>
    <w:rsid w:val="001858DE"/>
    <w:rsid w:val="00185A6D"/>
    <w:rsid w:val="00185CC7"/>
    <w:rsid w:val="00185F14"/>
    <w:rsid w:val="00185FC5"/>
    <w:rsid w:val="001864A1"/>
    <w:rsid w:val="00186687"/>
    <w:rsid w:val="001866EC"/>
    <w:rsid w:val="001867B5"/>
    <w:rsid w:val="001868D8"/>
    <w:rsid w:val="0018691F"/>
    <w:rsid w:val="00186A43"/>
    <w:rsid w:val="00186D0B"/>
    <w:rsid w:val="00187049"/>
    <w:rsid w:val="001870A0"/>
    <w:rsid w:val="001872EB"/>
    <w:rsid w:val="00187713"/>
    <w:rsid w:val="001877BC"/>
    <w:rsid w:val="00187AFD"/>
    <w:rsid w:val="00187BD2"/>
    <w:rsid w:val="00187C59"/>
    <w:rsid w:val="00187DBF"/>
    <w:rsid w:val="00187E0A"/>
    <w:rsid w:val="00190153"/>
    <w:rsid w:val="001901C0"/>
    <w:rsid w:val="001902AC"/>
    <w:rsid w:val="0019047B"/>
    <w:rsid w:val="001905A6"/>
    <w:rsid w:val="00190863"/>
    <w:rsid w:val="001908AC"/>
    <w:rsid w:val="001909EE"/>
    <w:rsid w:val="00190B6E"/>
    <w:rsid w:val="00190BB4"/>
    <w:rsid w:val="00190BCF"/>
    <w:rsid w:val="00190E16"/>
    <w:rsid w:val="00190ED0"/>
    <w:rsid w:val="0019111E"/>
    <w:rsid w:val="0019116F"/>
    <w:rsid w:val="001913E8"/>
    <w:rsid w:val="00191506"/>
    <w:rsid w:val="001916B7"/>
    <w:rsid w:val="00191832"/>
    <w:rsid w:val="00191F8A"/>
    <w:rsid w:val="00192097"/>
    <w:rsid w:val="001920A6"/>
    <w:rsid w:val="001920AC"/>
    <w:rsid w:val="001920F6"/>
    <w:rsid w:val="00192398"/>
    <w:rsid w:val="00192674"/>
    <w:rsid w:val="00192D55"/>
    <w:rsid w:val="00192EAE"/>
    <w:rsid w:val="0019330E"/>
    <w:rsid w:val="001935A9"/>
    <w:rsid w:val="0019374C"/>
    <w:rsid w:val="00193B62"/>
    <w:rsid w:val="00193CB4"/>
    <w:rsid w:val="00193CE1"/>
    <w:rsid w:val="00193D22"/>
    <w:rsid w:val="00193E34"/>
    <w:rsid w:val="00193FDF"/>
    <w:rsid w:val="001941B9"/>
    <w:rsid w:val="00194291"/>
    <w:rsid w:val="00194419"/>
    <w:rsid w:val="0019448B"/>
    <w:rsid w:val="00194821"/>
    <w:rsid w:val="001948AF"/>
    <w:rsid w:val="001949E7"/>
    <w:rsid w:val="00194B4C"/>
    <w:rsid w:val="00194D2C"/>
    <w:rsid w:val="00194E41"/>
    <w:rsid w:val="00194F40"/>
    <w:rsid w:val="00195342"/>
    <w:rsid w:val="00195397"/>
    <w:rsid w:val="00195D62"/>
    <w:rsid w:val="00195FB7"/>
    <w:rsid w:val="00196413"/>
    <w:rsid w:val="001964F1"/>
    <w:rsid w:val="00196884"/>
    <w:rsid w:val="0019691D"/>
    <w:rsid w:val="00196B42"/>
    <w:rsid w:val="00196B74"/>
    <w:rsid w:val="00196C72"/>
    <w:rsid w:val="00196D58"/>
    <w:rsid w:val="00196DB5"/>
    <w:rsid w:val="00196FCC"/>
    <w:rsid w:val="001970D2"/>
    <w:rsid w:val="00197222"/>
    <w:rsid w:val="00197225"/>
    <w:rsid w:val="00197509"/>
    <w:rsid w:val="00197514"/>
    <w:rsid w:val="0019752E"/>
    <w:rsid w:val="001976EB"/>
    <w:rsid w:val="00197888"/>
    <w:rsid w:val="001A00A4"/>
    <w:rsid w:val="001A0203"/>
    <w:rsid w:val="001A02AB"/>
    <w:rsid w:val="001A036D"/>
    <w:rsid w:val="001A03CB"/>
    <w:rsid w:val="001A0A61"/>
    <w:rsid w:val="001A0CD6"/>
    <w:rsid w:val="001A0D21"/>
    <w:rsid w:val="001A0E96"/>
    <w:rsid w:val="001A1007"/>
    <w:rsid w:val="001A1434"/>
    <w:rsid w:val="001A19C6"/>
    <w:rsid w:val="001A19E4"/>
    <w:rsid w:val="001A1C68"/>
    <w:rsid w:val="001A1E26"/>
    <w:rsid w:val="001A1FAB"/>
    <w:rsid w:val="001A237D"/>
    <w:rsid w:val="001A2477"/>
    <w:rsid w:val="001A24F1"/>
    <w:rsid w:val="001A263F"/>
    <w:rsid w:val="001A2755"/>
    <w:rsid w:val="001A2ACA"/>
    <w:rsid w:val="001A30E8"/>
    <w:rsid w:val="001A33EE"/>
    <w:rsid w:val="001A35F3"/>
    <w:rsid w:val="001A3726"/>
    <w:rsid w:val="001A381D"/>
    <w:rsid w:val="001A3AB2"/>
    <w:rsid w:val="001A4C2B"/>
    <w:rsid w:val="001A526F"/>
    <w:rsid w:val="001A5329"/>
    <w:rsid w:val="001A5444"/>
    <w:rsid w:val="001A5476"/>
    <w:rsid w:val="001A5966"/>
    <w:rsid w:val="001A6040"/>
    <w:rsid w:val="001A6106"/>
    <w:rsid w:val="001A62F0"/>
    <w:rsid w:val="001A64F5"/>
    <w:rsid w:val="001A6522"/>
    <w:rsid w:val="001A6595"/>
    <w:rsid w:val="001A6603"/>
    <w:rsid w:val="001A6650"/>
    <w:rsid w:val="001A671C"/>
    <w:rsid w:val="001A6ABB"/>
    <w:rsid w:val="001A6B63"/>
    <w:rsid w:val="001A6DA6"/>
    <w:rsid w:val="001A6DB7"/>
    <w:rsid w:val="001A6E97"/>
    <w:rsid w:val="001A70D4"/>
    <w:rsid w:val="001A710D"/>
    <w:rsid w:val="001A7309"/>
    <w:rsid w:val="001A7348"/>
    <w:rsid w:val="001A739E"/>
    <w:rsid w:val="001A76B7"/>
    <w:rsid w:val="001A774E"/>
    <w:rsid w:val="001A784D"/>
    <w:rsid w:val="001A7910"/>
    <w:rsid w:val="001A799E"/>
    <w:rsid w:val="001A79E3"/>
    <w:rsid w:val="001B0474"/>
    <w:rsid w:val="001B04A4"/>
    <w:rsid w:val="001B04EF"/>
    <w:rsid w:val="001B0643"/>
    <w:rsid w:val="001B0BD3"/>
    <w:rsid w:val="001B0D04"/>
    <w:rsid w:val="001B0D48"/>
    <w:rsid w:val="001B0FA3"/>
    <w:rsid w:val="001B103A"/>
    <w:rsid w:val="001B120A"/>
    <w:rsid w:val="001B1335"/>
    <w:rsid w:val="001B1519"/>
    <w:rsid w:val="001B154D"/>
    <w:rsid w:val="001B16C1"/>
    <w:rsid w:val="001B17D2"/>
    <w:rsid w:val="001B18CA"/>
    <w:rsid w:val="001B1A71"/>
    <w:rsid w:val="001B1C41"/>
    <w:rsid w:val="001B1DC7"/>
    <w:rsid w:val="001B222E"/>
    <w:rsid w:val="001B2354"/>
    <w:rsid w:val="001B2531"/>
    <w:rsid w:val="001B2635"/>
    <w:rsid w:val="001B2651"/>
    <w:rsid w:val="001B26BC"/>
    <w:rsid w:val="001B277A"/>
    <w:rsid w:val="001B28E0"/>
    <w:rsid w:val="001B29F7"/>
    <w:rsid w:val="001B2A00"/>
    <w:rsid w:val="001B2A72"/>
    <w:rsid w:val="001B2C3D"/>
    <w:rsid w:val="001B2C43"/>
    <w:rsid w:val="001B2CFA"/>
    <w:rsid w:val="001B2F63"/>
    <w:rsid w:val="001B2F71"/>
    <w:rsid w:val="001B309D"/>
    <w:rsid w:val="001B35C4"/>
    <w:rsid w:val="001B374B"/>
    <w:rsid w:val="001B3912"/>
    <w:rsid w:val="001B3AEC"/>
    <w:rsid w:val="001B3B26"/>
    <w:rsid w:val="001B3E94"/>
    <w:rsid w:val="001B3ECF"/>
    <w:rsid w:val="001B4030"/>
    <w:rsid w:val="001B40CB"/>
    <w:rsid w:val="001B44C0"/>
    <w:rsid w:val="001B44D1"/>
    <w:rsid w:val="001B45B4"/>
    <w:rsid w:val="001B50B0"/>
    <w:rsid w:val="001B5205"/>
    <w:rsid w:val="001B5601"/>
    <w:rsid w:val="001B5718"/>
    <w:rsid w:val="001B5837"/>
    <w:rsid w:val="001B5D9D"/>
    <w:rsid w:val="001B6142"/>
    <w:rsid w:val="001B61C5"/>
    <w:rsid w:val="001B61C6"/>
    <w:rsid w:val="001B642D"/>
    <w:rsid w:val="001B663F"/>
    <w:rsid w:val="001B6776"/>
    <w:rsid w:val="001B68FF"/>
    <w:rsid w:val="001B6B8F"/>
    <w:rsid w:val="001B6CCD"/>
    <w:rsid w:val="001B6F4C"/>
    <w:rsid w:val="001B6FDA"/>
    <w:rsid w:val="001B7005"/>
    <w:rsid w:val="001B7182"/>
    <w:rsid w:val="001B74F5"/>
    <w:rsid w:val="001B78D2"/>
    <w:rsid w:val="001B7A1D"/>
    <w:rsid w:val="001B7DF4"/>
    <w:rsid w:val="001B7E30"/>
    <w:rsid w:val="001B7E4B"/>
    <w:rsid w:val="001B7F51"/>
    <w:rsid w:val="001C0148"/>
    <w:rsid w:val="001C03D0"/>
    <w:rsid w:val="001C0673"/>
    <w:rsid w:val="001C06B2"/>
    <w:rsid w:val="001C0A54"/>
    <w:rsid w:val="001C0D9E"/>
    <w:rsid w:val="001C18CC"/>
    <w:rsid w:val="001C18F3"/>
    <w:rsid w:val="001C1925"/>
    <w:rsid w:val="001C2022"/>
    <w:rsid w:val="001C2087"/>
    <w:rsid w:val="001C219A"/>
    <w:rsid w:val="001C22ED"/>
    <w:rsid w:val="001C28CA"/>
    <w:rsid w:val="001C29BC"/>
    <w:rsid w:val="001C2B25"/>
    <w:rsid w:val="001C2D35"/>
    <w:rsid w:val="001C3030"/>
    <w:rsid w:val="001C321E"/>
    <w:rsid w:val="001C333A"/>
    <w:rsid w:val="001C34BB"/>
    <w:rsid w:val="001C363F"/>
    <w:rsid w:val="001C3842"/>
    <w:rsid w:val="001C3A53"/>
    <w:rsid w:val="001C3E2D"/>
    <w:rsid w:val="001C4297"/>
    <w:rsid w:val="001C47CE"/>
    <w:rsid w:val="001C4DF6"/>
    <w:rsid w:val="001C51EE"/>
    <w:rsid w:val="001C5243"/>
    <w:rsid w:val="001C54FD"/>
    <w:rsid w:val="001C5A06"/>
    <w:rsid w:val="001C5AD0"/>
    <w:rsid w:val="001C5DD6"/>
    <w:rsid w:val="001C6012"/>
    <w:rsid w:val="001C619B"/>
    <w:rsid w:val="001C620A"/>
    <w:rsid w:val="001C6241"/>
    <w:rsid w:val="001C62B7"/>
    <w:rsid w:val="001C63C4"/>
    <w:rsid w:val="001C696A"/>
    <w:rsid w:val="001C6AE2"/>
    <w:rsid w:val="001C6AEA"/>
    <w:rsid w:val="001C6B5C"/>
    <w:rsid w:val="001C6C01"/>
    <w:rsid w:val="001C6C30"/>
    <w:rsid w:val="001C7154"/>
    <w:rsid w:val="001C7162"/>
    <w:rsid w:val="001C739A"/>
    <w:rsid w:val="001C7568"/>
    <w:rsid w:val="001C7621"/>
    <w:rsid w:val="001C77AC"/>
    <w:rsid w:val="001C7B1F"/>
    <w:rsid w:val="001C7C31"/>
    <w:rsid w:val="001C7E7C"/>
    <w:rsid w:val="001C7F04"/>
    <w:rsid w:val="001D019D"/>
    <w:rsid w:val="001D026C"/>
    <w:rsid w:val="001D0301"/>
    <w:rsid w:val="001D0791"/>
    <w:rsid w:val="001D0996"/>
    <w:rsid w:val="001D09EC"/>
    <w:rsid w:val="001D0C44"/>
    <w:rsid w:val="001D0D65"/>
    <w:rsid w:val="001D0E6C"/>
    <w:rsid w:val="001D0F5A"/>
    <w:rsid w:val="001D11B5"/>
    <w:rsid w:val="001D138A"/>
    <w:rsid w:val="001D13AF"/>
    <w:rsid w:val="001D16E0"/>
    <w:rsid w:val="001D1A8B"/>
    <w:rsid w:val="001D2027"/>
    <w:rsid w:val="001D20D0"/>
    <w:rsid w:val="001D21A2"/>
    <w:rsid w:val="001D21E8"/>
    <w:rsid w:val="001D24ED"/>
    <w:rsid w:val="001D254B"/>
    <w:rsid w:val="001D28B7"/>
    <w:rsid w:val="001D2992"/>
    <w:rsid w:val="001D2A2B"/>
    <w:rsid w:val="001D2AE5"/>
    <w:rsid w:val="001D2BB1"/>
    <w:rsid w:val="001D2C70"/>
    <w:rsid w:val="001D2CC2"/>
    <w:rsid w:val="001D2CDC"/>
    <w:rsid w:val="001D2D26"/>
    <w:rsid w:val="001D2E74"/>
    <w:rsid w:val="001D2F37"/>
    <w:rsid w:val="001D30E9"/>
    <w:rsid w:val="001D3111"/>
    <w:rsid w:val="001D368E"/>
    <w:rsid w:val="001D3BA4"/>
    <w:rsid w:val="001D3BC2"/>
    <w:rsid w:val="001D3E0C"/>
    <w:rsid w:val="001D40F6"/>
    <w:rsid w:val="001D4474"/>
    <w:rsid w:val="001D45A0"/>
    <w:rsid w:val="001D45CD"/>
    <w:rsid w:val="001D472A"/>
    <w:rsid w:val="001D4AB5"/>
    <w:rsid w:val="001D4CA2"/>
    <w:rsid w:val="001D4F3E"/>
    <w:rsid w:val="001D5071"/>
    <w:rsid w:val="001D547F"/>
    <w:rsid w:val="001D5846"/>
    <w:rsid w:val="001D5AA3"/>
    <w:rsid w:val="001D5BF4"/>
    <w:rsid w:val="001D5D40"/>
    <w:rsid w:val="001D5D5F"/>
    <w:rsid w:val="001D5F68"/>
    <w:rsid w:val="001D5FB4"/>
    <w:rsid w:val="001D654A"/>
    <w:rsid w:val="001D6622"/>
    <w:rsid w:val="001D70CA"/>
    <w:rsid w:val="001D74BF"/>
    <w:rsid w:val="001D7512"/>
    <w:rsid w:val="001D75D4"/>
    <w:rsid w:val="001D7921"/>
    <w:rsid w:val="001D7928"/>
    <w:rsid w:val="001D7E70"/>
    <w:rsid w:val="001D7F7F"/>
    <w:rsid w:val="001E0169"/>
    <w:rsid w:val="001E03CB"/>
    <w:rsid w:val="001E04B2"/>
    <w:rsid w:val="001E0608"/>
    <w:rsid w:val="001E073F"/>
    <w:rsid w:val="001E0908"/>
    <w:rsid w:val="001E0A38"/>
    <w:rsid w:val="001E0B31"/>
    <w:rsid w:val="001E0E57"/>
    <w:rsid w:val="001E15EF"/>
    <w:rsid w:val="001E1693"/>
    <w:rsid w:val="001E1821"/>
    <w:rsid w:val="001E1AE8"/>
    <w:rsid w:val="001E1C1F"/>
    <w:rsid w:val="001E2124"/>
    <w:rsid w:val="001E256A"/>
    <w:rsid w:val="001E2851"/>
    <w:rsid w:val="001E2A62"/>
    <w:rsid w:val="001E2C54"/>
    <w:rsid w:val="001E3225"/>
    <w:rsid w:val="001E3244"/>
    <w:rsid w:val="001E3283"/>
    <w:rsid w:val="001E3364"/>
    <w:rsid w:val="001E3458"/>
    <w:rsid w:val="001E35AC"/>
    <w:rsid w:val="001E35B5"/>
    <w:rsid w:val="001E3784"/>
    <w:rsid w:val="001E37BD"/>
    <w:rsid w:val="001E3B5B"/>
    <w:rsid w:val="001E4096"/>
    <w:rsid w:val="001E417B"/>
    <w:rsid w:val="001E4552"/>
    <w:rsid w:val="001E46E3"/>
    <w:rsid w:val="001E4B59"/>
    <w:rsid w:val="001E4BF5"/>
    <w:rsid w:val="001E4C23"/>
    <w:rsid w:val="001E4E70"/>
    <w:rsid w:val="001E4ED6"/>
    <w:rsid w:val="001E5049"/>
    <w:rsid w:val="001E52A3"/>
    <w:rsid w:val="001E53D4"/>
    <w:rsid w:val="001E554D"/>
    <w:rsid w:val="001E5584"/>
    <w:rsid w:val="001E574F"/>
    <w:rsid w:val="001E593A"/>
    <w:rsid w:val="001E5D4B"/>
    <w:rsid w:val="001E5D4D"/>
    <w:rsid w:val="001E5FC1"/>
    <w:rsid w:val="001E5FDB"/>
    <w:rsid w:val="001E621A"/>
    <w:rsid w:val="001E6255"/>
    <w:rsid w:val="001E670B"/>
    <w:rsid w:val="001E67DC"/>
    <w:rsid w:val="001E695A"/>
    <w:rsid w:val="001E69AB"/>
    <w:rsid w:val="001E6B26"/>
    <w:rsid w:val="001E6BBA"/>
    <w:rsid w:val="001E6E89"/>
    <w:rsid w:val="001E6F9B"/>
    <w:rsid w:val="001E6FE2"/>
    <w:rsid w:val="001E6FE8"/>
    <w:rsid w:val="001E7016"/>
    <w:rsid w:val="001E70CD"/>
    <w:rsid w:val="001E71AB"/>
    <w:rsid w:val="001E7261"/>
    <w:rsid w:val="001E768B"/>
    <w:rsid w:val="001E7894"/>
    <w:rsid w:val="001E7C5B"/>
    <w:rsid w:val="001E7EEE"/>
    <w:rsid w:val="001E7EFE"/>
    <w:rsid w:val="001F0581"/>
    <w:rsid w:val="001F05EB"/>
    <w:rsid w:val="001F094E"/>
    <w:rsid w:val="001F096D"/>
    <w:rsid w:val="001F098D"/>
    <w:rsid w:val="001F0AB0"/>
    <w:rsid w:val="001F0E2B"/>
    <w:rsid w:val="001F0F11"/>
    <w:rsid w:val="001F1127"/>
    <w:rsid w:val="001F152A"/>
    <w:rsid w:val="001F1579"/>
    <w:rsid w:val="001F15A5"/>
    <w:rsid w:val="001F16B4"/>
    <w:rsid w:val="001F1E75"/>
    <w:rsid w:val="001F1F76"/>
    <w:rsid w:val="001F2317"/>
    <w:rsid w:val="001F25AB"/>
    <w:rsid w:val="001F26CA"/>
    <w:rsid w:val="001F2819"/>
    <w:rsid w:val="001F2A2F"/>
    <w:rsid w:val="001F2B8A"/>
    <w:rsid w:val="001F2C38"/>
    <w:rsid w:val="001F2D3B"/>
    <w:rsid w:val="001F2DC7"/>
    <w:rsid w:val="001F307F"/>
    <w:rsid w:val="001F3136"/>
    <w:rsid w:val="001F3284"/>
    <w:rsid w:val="001F33EC"/>
    <w:rsid w:val="001F33FB"/>
    <w:rsid w:val="001F3564"/>
    <w:rsid w:val="001F37C5"/>
    <w:rsid w:val="001F3885"/>
    <w:rsid w:val="001F39F5"/>
    <w:rsid w:val="001F3D9B"/>
    <w:rsid w:val="001F3E04"/>
    <w:rsid w:val="001F452C"/>
    <w:rsid w:val="001F47C9"/>
    <w:rsid w:val="001F47D3"/>
    <w:rsid w:val="001F4832"/>
    <w:rsid w:val="001F49A6"/>
    <w:rsid w:val="001F4A47"/>
    <w:rsid w:val="001F4C85"/>
    <w:rsid w:val="001F4CA2"/>
    <w:rsid w:val="001F4E83"/>
    <w:rsid w:val="001F4EB5"/>
    <w:rsid w:val="001F4F32"/>
    <w:rsid w:val="001F5129"/>
    <w:rsid w:val="001F51E4"/>
    <w:rsid w:val="001F5231"/>
    <w:rsid w:val="001F5242"/>
    <w:rsid w:val="001F546B"/>
    <w:rsid w:val="001F5523"/>
    <w:rsid w:val="001F553A"/>
    <w:rsid w:val="001F557E"/>
    <w:rsid w:val="001F55BA"/>
    <w:rsid w:val="001F57F2"/>
    <w:rsid w:val="001F5D1D"/>
    <w:rsid w:val="001F5FE9"/>
    <w:rsid w:val="001F60D2"/>
    <w:rsid w:val="001F612F"/>
    <w:rsid w:val="001F6169"/>
    <w:rsid w:val="001F62EB"/>
    <w:rsid w:val="001F685A"/>
    <w:rsid w:val="001F6868"/>
    <w:rsid w:val="001F6AD0"/>
    <w:rsid w:val="001F6AFF"/>
    <w:rsid w:val="001F6F77"/>
    <w:rsid w:val="001F7156"/>
    <w:rsid w:val="001F73FE"/>
    <w:rsid w:val="001F78AF"/>
    <w:rsid w:val="001F7949"/>
    <w:rsid w:val="001F7A1E"/>
    <w:rsid w:val="001F7B67"/>
    <w:rsid w:val="001F7CEC"/>
    <w:rsid w:val="001F7EFD"/>
    <w:rsid w:val="002000FC"/>
    <w:rsid w:val="0020019C"/>
    <w:rsid w:val="002003EF"/>
    <w:rsid w:val="002005DB"/>
    <w:rsid w:val="00200681"/>
    <w:rsid w:val="002007DD"/>
    <w:rsid w:val="002009AB"/>
    <w:rsid w:val="00200A57"/>
    <w:rsid w:val="00200D69"/>
    <w:rsid w:val="00201059"/>
    <w:rsid w:val="00201590"/>
    <w:rsid w:val="00201862"/>
    <w:rsid w:val="0020190B"/>
    <w:rsid w:val="00201CB5"/>
    <w:rsid w:val="00201CCD"/>
    <w:rsid w:val="00201D53"/>
    <w:rsid w:val="00201E49"/>
    <w:rsid w:val="00202022"/>
    <w:rsid w:val="002025B8"/>
    <w:rsid w:val="002028E8"/>
    <w:rsid w:val="0020293B"/>
    <w:rsid w:val="00202C09"/>
    <w:rsid w:val="00202C34"/>
    <w:rsid w:val="00202F62"/>
    <w:rsid w:val="00202FF4"/>
    <w:rsid w:val="00203176"/>
    <w:rsid w:val="0020329E"/>
    <w:rsid w:val="0020350F"/>
    <w:rsid w:val="002035A9"/>
    <w:rsid w:val="00203755"/>
    <w:rsid w:val="002039BB"/>
    <w:rsid w:val="00203A89"/>
    <w:rsid w:val="00203B0E"/>
    <w:rsid w:val="00203BF0"/>
    <w:rsid w:val="00203FDA"/>
    <w:rsid w:val="00204232"/>
    <w:rsid w:val="0020437C"/>
    <w:rsid w:val="002043EC"/>
    <w:rsid w:val="0020458C"/>
    <w:rsid w:val="002045A1"/>
    <w:rsid w:val="002046FC"/>
    <w:rsid w:val="00204823"/>
    <w:rsid w:val="002048E6"/>
    <w:rsid w:val="00204B93"/>
    <w:rsid w:val="00204D6D"/>
    <w:rsid w:val="00204F21"/>
    <w:rsid w:val="00205075"/>
    <w:rsid w:val="002058B9"/>
    <w:rsid w:val="00205A80"/>
    <w:rsid w:val="00205AB6"/>
    <w:rsid w:val="00205DF3"/>
    <w:rsid w:val="002060E0"/>
    <w:rsid w:val="0020616C"/>
    <w:rsid w:val="00206242"/>
    <w:rsid w:val="00206347"/>
    <w:rsid w:val="00206DC7"/>
    <w:rsid w:val="00206E3B"/>
    <w:rsid w:val="00206F95"/>
    <w:rsid w:val="002070AE"/>
    <w:rsid w:val="002071ED"/>
    <w:rsid w:val="0020726C"/>
    <w:rsid w:val="002073DC"/>
    <w:rsid w:val="00207414"/>
    <w:rsid w:val="002075CB"/>
    <w:rsid w:val="00207B06"/>
    <w:rsid w:val="00207F13"/>
    <w:rsid w:val="002101AF"/>
    <w:rsid w:val="00210400"/>
    <w:rsid w:val="0021062F"/>
    <w:rsid w:val="0021064C"/>
    <w:rsid w:val="002106E7"/>
    <w:rsid w:val="00210771"/>
    <w:rsid w:val="00210A7E"/>
    <w:rsid w:val="00210ABA"/>
    <w:rsid w:val="00210D7C"/>
    <w:rsid w:val="00210DCC"/>
    <w:rsid w:val="002110CF"/>
    <w:rsid w:val="002110D2"/>
    <w:rsid w:val="002112BB"/>
    <w:rsid w:val="002114CA"/>
    <w:rsid w:val="00211698"/>
    <w:rsid w:val="002118C6"/>
    <w:rsid w:val="002119E2"/>
    <w:rsid w:val="00211B61"/>
    <w:rsid w:val="00211CD5"/>
    <w:rsid w:val="00212141"/>
    <w:rsid w:val="00212274"/>
    <w:rsid w:val="00212379"/>
    <w:rsid w:val="00212778"/>
    <w:rsid w:val="00212A8F"/>
    <w:rsid w:val="00212C03"/>
    <w:rsid w:val="00213008"/>
    <w:rsid w:val="002130C4"/>
    <w:rsid w:val="0021310E"/>
    <w:rsid w:val="00213148"/>
    <w:rsid w:val="002132C6"/>
    <w:rsid w:val="00213376"/>
    <w:rsid w:val="00213464"/>
    <w:rsid w:val="002135EF"/>
    <w:rsid w:val="00213652"/>
    <w:rsid w:val="002137AE"/>
    <w:rsid w:val="0021386E"/>
    <w:rsid w:val="00213BD2"/>
    <w:rsid w:val="00213D7A"/>
    <w:rsid w:val="00213F01"/>
    <w:rsid w:val="00213FD7"/>
    <w:rsid w:val="00214A32"/>
    <w:rsid w:val="00214B6B"/>
    <w:rsid w:val="00214E87"/>
    <w:rsid w:val="00214F6F"/>
    <w:rsid w:val="0021504A"/>
    <w:rsid w:val="002153F2"/>
    <w:rsid w:val="00215753"/>
    <w:rsid w:val="002158EB"/>
    <w:rsid w:val="00215990"/>
    <w:rsid w:val="00215D33"/>
    <w:rsid w:val="00215E87"/>
    <w:rsid w:val="00215F03"/>
    <w:rsid w:val="00215FBE"/>
    <w:rsid w:val="002160DB"/>
    <w:rsid w:val="00216254"/>
    <w:rsid w:val="00216340"/>
    <w:rsid w:val="00216795"/>
    <w:rsid w:val="00216EB7"/>
    <w:rsid w:val="00216FB1"/>
    <w:rsid w:val="00217056"/>
    <w:rsid w:val="002172E8"/>
    <w:rsid w:val="002176C4"/>
    <w:rsid w:val="0021773D"/>
    <w:rsid w:val="00217B7C"/>
    <w:rsid w:val="00217D72"/>
    <w:rsid w:val="00217E9E"/>
    <w:rsid w:val="00217FBE"/>
    <w:rsid w:val="00217FEA"/>
    <w:rsid w:val="002207BF"/>
    <w:rsid w:val="00220A1E"/>
    <w:rsid w:val="0022109A"/>
    <w:rsid w:val="00221226"/>
    <w:rsid w:val="00221267"/>
    <w:rsid w:val="002212FE"/>
    <w:rsid w:val="002214C8"/>
    <w:rsid w:val="00221616"/>
    <w:rsid w:val="0022170B"/>
    <w:rsid w:val="0022197C"/>
    <w:rsid w:val="00221D24"/>
    <w:rsid w:val="00221DEA"/>
    <w:rsid w:val="00221E15"/>
    <w:rsid w:val="00221ECB"/>
    <w:rsid w:val="00222121"/>
    <w:rsid w:val="00222171"/>
    <w:rsid w:val="0022222F"/>
    <w:rsid w:val="002225DE"/>
    <w:rsid w:val="00222667"/>
    <w:rsid w:val="002227C3"/>
    <w:rsid w:val="002228B4"/>
    <w:rsid w:val="00222B7F"/>
    <w:rsid w:val="00222BB7"/>
    <w:rsid w:val="00222C27"/>
    <w:rsid w:val="00223156"/>
    <w:rsid w:val="00223363"/>
    <w:rsid w:val="002234F5"/>
    <w:rsid w:val="002235D3"/>
    <w:rsid w:val="00223B00"/>
    <w:rsid w:val="00223B6F"/>
    <w:rsid w:val="00223D8F"/>
    <w:rsid w:val="00223E3F"/>
    <w:rsid w:val="0022442F"/>
    <w:rsid w:val="002244E9"/>
    <w:rsid w:val="002249E5"/>
    <w:rsid w:val="00224BA3"/>
    <w:rsid w:val="00224BB6"/>
    <w:rsid w:val="00224DE2"/>
    <w:rsid w:val="00224EBD"/>
    <w:rsid w:val="0022505F"/>
    <w:rsid w:val="002253B1"/>
    <w:rsid w:val="00225636"/>
    <w:rsid w:val="00225B12"/>
    <w:rsid w:val="00225B3C"/>
    <w:rsid w:val="00225E84"/>
    <w:rsid w:val="00225F0F"/>
    <w:rsid w:val="00225F12"/>
    <w:rsid w:val="00226333"/>
    <w:rsid w:val="0022635E"/>
    <w:rsid w:val="002264C9"/>
    <w:rsid w:val="002265DD"/>
    <w:rsid w:val="00226703"/>
    <w:rsid w:val="002267F9"/>
    <w:rsid w:val="00226AF4"/>
    <w:rsid w:val="00226AF5"/>
    <w:rsid w:val="00226D98"/>
    <w:rsid w:val="00226E11"/>
    <w:rsid w:val="00226E1F"/>
    <w:rsid w:val="00226E32"/>
    <w:rsid w:val="0022717E"/>
    <w:rsid w:val="002271E2"/>
    <w:rsid w:val="002272A2"/>
    <w:rsid w:val="002273E4"/>
    <w:rsid w:val="002274EA"/>
    <w:rsid w:val="00227588"/>
    <w:rsid w:val="002275D8"/>
    <w:rsid w:val="002277E8"/>
    <w:rsid w:val="002278DB"/>
    <w:rsid w:val="00227C8E"/>
    <w:rsid w:val="00227C96"/>
    <w:rsid w:val="00230139"/>
    <w:rsid w:val="00230183"/>
    <w:rsid w:val="00230361"/>
    <w:rsid w:val="0023042A"/>
    <w:rsid w:val="002305D7"/>
    <w:rsid w:val="00230871"/>
    <w:rsid w:val="002308F0"/>
    <w:rsid w:val="00230B8F"/>
    <w:rsid w:val="00230BD8"/>
    <w:rsid w:val="00230D14"/>
    <w:rsid w:val="00230D39"/>
    <w:rsid w:val="00230D7D"/>
    <w:rsid w:val="00230D8B"/>
    <w:rsid w:val="00230DDC"/>
    <w:rsid w:val="00230E24"/>
    <w:rsid w:val="00231351"/>
    <w:rsid w:val="0023137E"/>
    <w:rsid w:val="00231391"/>
    <w:rsid w:val="00231509"/>
    <w:rsid w:val="00231669"/>
    <w:rsid w:val="002316FC"/>
    <w:rsid w:val="00231724"/>
    <w:rsid w:val="00231902"/>
    <w:rsid w:val="002321F7"/>
    <w:rsid w:val="00232272"/>
    <w:rsid w:val="002323D0"/>
    <w:rsid w:val="002323EE"/>
    <w:rsid w:val="002329CB"/>
    <w:rsid w:val="00232A0D"/>
    <w:rsid w:val="00232B23"/>
    <w:rsid w:val="00232C7E"/>
    <w:rsid w:val="00232E29"/>
    <w:rsid w:val="00232EF5"/>
    <w:rsid w:val="00232F5C"/>
    <w:rsid w:val="00232FD7"/>
    <w:rsid w:val="00233008"/>
    <w:rsid w:val="002331CA"/>
    <w:rsid w:val="0023354C"/>
    <w:rsid w:val="0023367F"/>
    <w:rsid w:val="00233738"/>
    <w:rsid w:val="002337A4"/>
    <w:rsid w:val="002338B1"/>
    <w:rsid w:val="00233BC1"/>
    <w:rsid w:val="00233D7F"/>
    <w:rsid w:val="002341BE"/>
    <w:rsid w:val="002345A0"/>
    <w:rsid w:val="00234731"/>
    <w:rsid w:val="0023491C"/>
    <w:rsid w:val="00234AA9"/>
    <w:rsid w:val="00234C14"/>
    <w:rsid w:val="00234C36"/>
    <w:rsid w:val="00234D14"/>
    <w:rsid w:val="00234DD4"/>
    <w:rsid w:val="0023526C"/>
    <w:rsid w:val="00235605"/>
    <w:rsid w:val="00235C59"/>
    <w:rsid w:val="00236200"/>
    <w:rsid w:val="00236893"/>
    <w:rsid w:val="00236C2A"/>
    <w:rsid w:val="00236E26"/>
    <w:rsid w:val="00236F2E"/>
    <w:rsid w:val="00236FB3"/>
    <w:rsid w:val="00236FDC"/>
    <w:rsid w:val="002370FD"/>
    <w:rsid w:val="002372F1"/>
    <w:rsid w:val="00237384"/>
    <w:rsid w:val="00237426"/>
    <w:rsid w:val="002374E6"/>
    <w:rsid w:val="0023753D"/>
    <w:rsid w:val="002376CE"/>
    <w:rsid w:val="00237856"/>
    <w:rsid w:val="002379DB"/>
    <w:rsid w:val="00237E38"/>
    <w:rsid w:val="00237FE6"/>
    <w:rsid w:val="0024006C"/>
    <w:rsid w:val="00240161"/>
    <w:rsid w:val="002401A5"/>
    <w:rsid w:val="00240377"/>
    <w:rsid w:val="00240A73"/>
    <w:rsid w:val="00240A95"/>
    <w:rsid w:val="00240C53"/>
    <w:rsid w:val="00240CF9"/>
    <w:rsid w:val="0024106F"/>
    <w:rsid w:val="002411CD"/>
    <w:rsid w:val="0024120E"/>
    <w:rsid w:val="0024143B"/>
    <w:rsid w:val="00241554"/>
    <w:rsid w:val="0024159F"/>
    <w:rsid w:val="00241964"/>
    <w:rsid w:val="00241D2F"/>
    <w:rsid w:val="00241DB6"/>
    <w:rsid w:val="00241EDE"/>
    <w:rsid w:val="002420B3"/>
    <w:rsid w:val="0024215F"/>
    <w:rsid w:val="002422F9"/>
    <w:rsid w:val="0024243F"/>
    <w:rsid w:val="002425DB"/>
    <w:rsid w:val="002427CD"/>
    <w:rsid w:val="002428AD"/>
    <w:rsid w:val="00242FED"/>
    <w:rsid w:val="0024305D"/>
    <w:rsid w:val="0024316D"/>
    <w:rsid w:val="0024330A"/>
    <w:rsid w:val="002434F7"/>
    <w:rsid w:val="002437E7"/>
    <w:rsid w:val="0024389B"/>
    <w:rsid w:val="002439E7"/>
    <w:rsid w:val="00243C35"/>
    <w:rsid w:val="00243D89"/>
    <w:rsid w:val="00243DC0"/>
    <w:rsid w:val="00243E26"/>
    <w:rsid w:val="00243E86"/>
    <w:rsid w:val="002442E0"/>
    <w:rsid w:val="0024483C"/>
    <w:rsid w:val="00244860"/>
    <w:rsid w:val="002448E9"/>
    <w:rsid w:val="0024496A"/>
    <w:rsid w:val="00244D1A"/>
    <w:rsid w:val="00244D25"/>
    <w:rsid w:val="00244F04"/>
    <w:rsid w:val="00245465"/>
    <w:rsid w:val="002456DA"/>
    <w:rsid w:val="002457C8"/>
    <w:rsid w:val="00245981"/>
    <w:rsid w:val="002459C1"/>
    <w:rsid w:val="00245EC7"/>
    <w:rsid w:val="00246062"/>
    <w:rsid w:val="002461D7"/>
    <w:rsid w:val="00246229"/>
    <w:rsid w:val="0024642E"/>
    <w:rsid w:val="0024693C"/>
    <w:rsid w:val="00246982"/>
    <w:rsid w:val="00246A7F"/>
    <w:rsid w:val="00246B21"/>
    <w:rsid w:val="00246E70"/>
    <w:rsid w:val="00247159"/>
    <w:rsid w:val="00247477"/>
    <w:rsid w:val="002474A7"/>
    <w:rsid w:val="00247611"/>
    <w:rsid w:val="002477EE"/>
    <w:rsid w:val="0024784D"/>
    <w:rsid w:val="00250661"/>
    <w:rsid w:val="00250870"/>
    <w:rsid w:val="00250CF1"/>
    <w:rsid w:val="0025109E"/>
    <w:rsid w:val="00251290"/>
    <w:rsid w:val="00251453"/>
    <w:rsid w:val="0025169F"/>
    <w:rsid w:val="00251785"/>
    <w:rsid w:val="002517BB"/>
    <w:rsid w:val="0025183D"/>
    <w:rsid w:val="00251BCE"/>
    <w:rsid w:val="00251EF4"/>
    <w:rsid w:val="00252157"/>
    <w:rsid w:val="0025279B"/>
    <w:rsid w:val="00252A4E"/>
    <w:rsid w:val="002530B5"/>
    <w:rsid w:val="00253126"/>
    <w:rsid w:val="002531A3"/>
    <w:rsid w:val="002538D7"/>
    <w:rsid w:val="00253946"/>
    <w:rsid w:val="00253B51"/>
    <w:rsid w:val="00253CAA"/>
    <w:rsid w:val="00253DDB"/>
    <w:rsid w:val="00253ED6"/>
    <w:rsid w:val="00254022"/>
    <w:rsid w:val="00254100"/>
    <w:rsid w:val="00254129"/>
    <w:rsid w:val="002542C3"/>
    <w:rsid w:val="00254528"/>
    <w:rsid w:val="00254629"/>
    <w:rsid w:val="00254672"/>
    <w:rsid w:val="00254816"/>
    <w:rsid w:val="0025488A"/>
    <w:rsid w:val="00254A24"/>
    <w:rsid w:val="00254B01"/>
    <w:rsid w:val="00254DA4"/>
    <w:rsid w:val="00254F16"/>
    <w:rsid w:val="002550B3"/>
    <w:rsid w:val="0025515F"/>
    <w:rsid w:val="00255520"/>
    <w:rsid w:val="0025566D"/>
    <w:rsid w:val="002557C3"/>
    <w:rsid w:val="00256089"/>
    <w:rsid w:val="002560A1"/>
    <w:rsid w:val="0025615B"/>
    <w:rsid w:val="002564B3"/>
    <w:rsid w:val="002566B5"/>
    <w:rsid w:val="002567AA"/>
    <w:rsid w:val="00256A26"/>
    <w:rsid w:val="00256AAB"/>
    <w:rsid w:val="00256F8A"/>
    <w:rsid w:val="00257018"/>
    <w:rsid w:val="00257583"/>
    <w:rsid w:val="002575B1"/>
    <w:rsid w:val="002577CD"/>
    <w:rsid w:val="002577EE"/>
    <w:rsid w:val="00257D29"/>
    <w:rsid w:val="00257DCA"/>
    <w:rsid w:val="00257E57"/>
    <w:rsid w:val="00257E61"/>
    <w:rsid w:val="0026000E"/>
    <w:rsid w:val="002600EC"/>
    <w:rsid w:val="002601BA"/>
    <w:rsid w:val="002601CA"/>
    <w:rsid w:val="002602F2"/>
    <w:rsid w:val="002603BD"/>
    <w:rsid w:val="002606F6"/>
    <w:rsid w:val="002607B8"/>
    <w:rsid w:val="0026083D"/>
    <w:rsid w:val="00260843"/>
    <w:rsid w:val="002609E9"/>
    <w:rsid w:val="002609F2"/>
    <w:rsid w:val="00260E1C"/>
    <w:rsid w:val="00260EEF"/>
    <w:rsid w:val="002610D0"/>
    <w:rsid w:val="0026137D"/>
    <w:rsid w:val="00261672"/>
    <w:rsid w:val="002619B7"/>
    <w:rsid w:val="00261A62"/>
    <w:rsid w:val="00261B05"/>
    <w:rsid w:val="00261C8C"/>
    <w:rsid w:val="0026200F"/>
    <w:rsid w:val="00262247"/>
    <w:rsid w:val="00262271"/>
    <w:rsid w:val="00262295"/>
    <w:rsid w:val="002623F5"/>
    <w:rsid w:val="00262576"/>
    <w:rsid w:val="0026288F"/>
    <w:rsid w:val="00262937"/>
    <w:rsid w:val="00262A26"/>
    <w:rsid w:val="00262F30"/>
    <w:rsid w:val="00263083"/>
    <w:rsid w:val="002630D8"/>
    <w:rsid w:val="0026377E"/>
    <w:rsid w:val="0026382B"/>
    <w:rsid w:val="00263978"/>
    <w:rsid w:val="00263E42"/>
    <w:rsid w:val="00263F04"/>
    <w:rsid w:val="00263F4D"/>
    <w:rsid w:val="0026405B"/>
    <w:rsid w:val="00264138"/>
    <w:rsid w:val="002642D1"/>
    <w:rsid w:val="0026430D"/>
    <w:rsid w:val="002643FA"/>
    <w:rsid w:val="002644F1"/>
    <w:rsid w:val="002645B2"/>
    <w:rsid w:val="002647A0"/>
    <w:rsid w:val="0026494B"/>
    <w:rsid w:val="00264976"/>
    <w:rsid w:val="00264A25"/>
    <w:rsid w:val="00265154"/>
    <w:rsid w:val="002655AF"/>
    <w:rsid w:val="00265638"/>
    <w:rsid w:val="0026565C"/>
    <w:rsid w:val="00265878"/>
    <w:rsid w:val="00265990"/>
    <w:rsid w:val="00265C49"/>
    <w:rsid w:val="00265CBC"/>
    <w:rsid w:val="002661CD"/>
    <w:rsid w:val="0026633C"/>
    <w:rsid w:val="00266556"/>
    <w:rsid w:val="00266669"/>
    <w:rsid w:val="00266717"/>
    <w:rsid w:val="002669AA"/>
    <w:rsid w:val="00266BA8"/>
    <w:rsid w:val="00266F4B"/>
    <w:rsid w:val="00267198"/>
    <w:rsid w:val="00267317"/>
    <w:rsid w:val="00267329"/>
    <w:rsid w:val="002674EF"/>
    <w:rsid w:val="0026754E"/>
    <w:rsid w:val="002676A3"/>
    <w:rsid w:val="002678CF"/>
    <w:rsid w:val="00267BA8"/>
    <w:rsid w:val="00267D44"/>
    <w:rsid w:val="00270267"/>
    <w:rsid w:val="00270440"/>
    <w:rsid w:val="0027074B"/>
    <w:rsid w:val="00270ABF"/>
    <w:rsid w:val="00271512"/>
    <w:rsid w:val="0027157C"/>
    <w:rsid w:val="002715A1"/>
    <w:rsid w:val="0027196B"/>
    <w:rsid w:val="002719C8"/>
    <w:rsid w:val="00271E3D"/>
    <w:rsid w:val="00271E54"/>
    <w:rsid w:val="00272398"/>
    <w:rsid w:val="002723E2"/>
    <w:rsid w:val="002726C6"/>
    <w:rsid w:val="002728A7"/>
    <w:rsid w:val="0027292D"/>
    <w:rsid w:val="00272A56"/>
    <w:rsid w:val="00272D49"/>
    <w:rsid w:val="00272D6D"/>
    <w:rsid w:val="00272DC7"/>
    <w:rsid w:val="00272E30"/>
    <w:rsid w:val="00272E54"/>
    <w:rsid w:val="002735AE"/>
    <w:rsid w:val="00273692"/>
    <w:rsid w:val="002738FD"/>
    <w:rsid w:val="00273D53"/>
    <w:rsid w:val="00273D90"/>
    <w:rsid w:val="002741BF"/>
    <w:rsid w:val="0027422C"/>
    <w:rsid w:val="00274245"/>
    <w:rsid w:val="002742F7"/>
    <w:rsid w:val="00274341"/>
    <w:rsid w:val="002744CF"/>
    <w:rsid w:val="0027466D"/>
    <w:rsid w:val="002746C5"/>
    <w:rsid w:val="00274728"/>
    <w:rsid w:val="002747D0"/>
    <w:rsid w:val="002748EB"/>
    <w:rsid w:val="00274E9E"/>
    <w:rsid w:val="00275279"/>
    <w:rsid w:val="00275360"/>
    <w:rsid w:val="0027559B"/>
    <w:rsid w:val="0027560C"/>
    <w:rsid w:val="00275757"/>
    <w:rsid w:val="00275971"/>
    <w:rsid w:val="00275ACB"/>
    <w:rsid w:val="00275F6D"/>
    <w:rsid w:val="002760EC"/>
    <w:rsid w:val="002762BA"/>
    <w:rsid w:val="0027631F"/>
    <w:rsid w:val="00276520"/>
    <w:rsid w:val="002767C6"/>
    <w:rsid w:val="00276AE8"/>
    <w:rsid w:val="00276D02"/>
    <w:rsid w:val="00276F90"/>
    <w:rsid w:val="0027750A"/>
    <w:rsid w:val="002775F5"/>
    <w:rsid w:val="00277797"/>
    <w:rsid w:val="00277867"/>
    <w:rsid w:val="002779D8"/>
    <w:rsid w:val="00277A24"/>
    <w:rsid w:val="00277A6D"/>
    <w:rsid w:val="00277F41"/>
    <w:rsid w:val="002801E9"/>
    <w:rsid w:val="002805DA"/>
    <w:rsid w:val="00280774"/>
    <w:rsid w:val="002808C8"/>
    <w:rsid w:val="00280BB8"/>
    <w:rsid w:val="00280C8C"/>
    <w:rsid w:val="00280E8E"/>
    <w:rsid w:val="00281067"/>
    <w:rsid w:val="0028116F"/>
    <w:rsid w:val="002812AE"/>
    <w:rsid w:val="0028144F"/>
    <w:rsid w:val="0028165C"/>
    <w:rsid w:val="00281710"/>
    <w:rsid w:val="0028186C"/>
    <w:rsid w:val="00281C3A"/>
    <w:rsid w:val="00281ED3"/>
    <w:rsid w:val="00281FA5"/>
    <w:rsid w:val="002821C2"/>
    <w:rsid w:val="00282219"/>
    <w:rsid w:val="002822BC"/>
    <w:rsid w:val="00282336"/>
    <w:rsid w:val="002823C5"/>
    <w:rsid w:val="0028249C"/>
    <w:rsid w:val="00282A48"/>
    <w:rsid w:val="00282A67"/>
    <w:rsid w:val="00282BA2"/>
    <w:rsid w:val="00282BA3"/>
    <w:rsid w:val="00282F14"/>
    <w:rsid w:val="002831BD"/>
    <w:rsid w:val="0028329A"/>
    <w:rsid w:val="00283AA6"/>
    <w:rsid w:val="00283CB4"/>
    <w:rsid w:val="00283DC5"/>
    <w:rsid w:val="00283F3E"/>
    <w:rsid w:val="00284042"/>
    <w:rsid w:val="0028422F"/>
    <w:rsid w:val="002847A3"/>
    <w:rsid w:val="002848B1"/>
    <w:rsid w:val="002849CD"/>
    <w:rsid w:val="00284C0A"/>
    <w:rsid w:val="002855AE"/>
    <w:rsid w:val="0028599D"/>
    <w:rsid w:val="002859E0"/>
    <w:rsid w:val="00285A6B"/>
    <w:rsid w:val="00285B40"/>
    <w:rsid w:val="00285EC8"/>
    <w:rsid w:val="00286011"/>
    <w:rsid w:val="00286206"/>
    <w:rsid w:val="0028633B"/>
    <w:rsid w:val="002863E9"/>
    <w:rsid w:val="002864DA"/>
    <w:rsid w:val="002864F2"/>
    <w:rsid w:val="00286575"/>
    <w:rsid w:val="00286915"/>
    <w:rsid w:val="002869D9"/>
    <w:rsid w:val="00286BAA"/>
    <w:rsid w:val="0028749F"/>
    <w:rsid w:val="00287566"/>
    <w:rsid w:val="002876D7"/>
    <w:rsid w:val="0028795D"/>
    <w:rsid w:val="00287BC5"/>
    <w:rsid w:val="00287C40"/>
    <w:rsid w:val="00287CBC"/>
    <w:rsid w:val="00287FA0"/>
    <w:rsid w:val="002900AE"/>
    <w:rsid w:val="0029023F"/>
    <w:rsid w:val="002902D8"/>
    <w:rsid w:val="002902DF"/>
    <w:rsid w:val="002903F3"/>
    <w:rsid w:val="00290833"/>
    <w:rsid w:val="00290ADD"/>
    <w:rsid w:val="00290DA1"/>
    <w:rsid w:val="002912B5"/>
    <w:rsid w:val="002914B7"/>
    <w:rsid w:val="0029157D"/>
    <w:rsid w:val="002915C5"/>
    <w:rsid w:val="0029171B"/>
    <w:rsid w:val="002917D7"/>
    <w:rsid w:val="0029193D"/>
    <w:rsid w:val="00291942"/>
    <w:rsid w:val="00291A5D"/>
    <w:rsid w:val="00291ABA"/>
    <w:rsid w:val="00291ACD"/>
    <w:rsid w:val="00291C30"/>
    <w:rsid w:val="00293255"/>
    <w:rsid w:val="0029341A"/>
    <w:rsid w:val="002934B6"/>
    <w:rsid w:val="00293868"/>
    <w:rsid w:val="00293B15"/>
    <w:rsid w:val="00293DEE"/>
    <w:rsid w:val="00293EF1"/>
    <w:rsid w:val="00293F48"/>
    <w:rsid w:val="00293FDC"/>
    <w:rsid w:val="002940AF"/>
    <w:rsid w:val="00294319"/>
    <w:rsid w:val="00294473"/>
    <w:rsid w:val="002944BE"/>
    <w:rsid w:val="002945AD"/>
    <w:rsid w:val="0029469C"/>
    <w:rsid w:val="00295086"/>
    <w:rsid w:val="00295254"/>
    <w:rsid w:val="002953E3"/>
    <w:rsid w:val="00295471"/>
    <w:rsid w:val="00295567"/>
    <w:rsid w:val="00295655"/>
    <w:rsid w:val="00295766"/>
    <w:rsid w:val="002958DA"/>
    <w:rsid w:val="00295947"/>
    <w:rsid w:val="00295BE5"/>
    <w:rsid w:val="00295D01"/>
    <w:rsid w:val="00295E35"/>
    <w:rsid w:val="00296031"/>
    <w:rsid w:val="002961B2"/>
    <w:rsid w:val="00296511"/>
    <w:rsid w:val="0029697E"/>
    <w:rsid w:val="00296B94"/>
    <w:rsid w:val="00296C12"/>
    <w:rsid w:val="00296E2F"/>
    <w:rsid w:val="00296EBE"/>
    <w:rsid w:val="00297051"/>
    <w:rsid w:val="00297281"/>
    <w:rsid w:val="00297370"/>
    <w:rsid w:val="002974F1"/>
    <w:rsid w:val="00297742"/>
    <w:rsid w:val="002978C1"/>
    <w:rsid w:val="002979E7"/>
    <w:rsid w:val="00297C4E"/>
    <w:rsid w:val="002A0152"/>
    <w:rsid w:val="002A01BE"/>
    <w:rsid w:val="002A0B5D"/>
    <w:rsid w:val="002A0CBD"/>
    <w:rsid w:val="002A0DED"/>
    <w:rsid w:val="002A0ED3"/>
    <w:rsid w:val="002A10C8"/>
    <w:rsid w:val="002A11A9"/>
    <w:rsid w:val="002A11E2"/>
    <w:rsid w:val="002A1241"/>
    <w:rsid w:val="002A13F3"/>
    <w:rsid w:val="002A1657"/>
    <w:rsid w:val="002A1897"/>
    <w:rsid w:val="002A1AB4"/>
    <w:rsid w:val="002A26AD"/>
    <w:rsid w:val="002A2A75"/>
    <w:rsid w:val="002A2B07"/>
    <w:rsid w:val="002A2C2F"/>
    <w:rsid w:val="002A2EE4"/>
    <w:rsid w:val="002A2F4C"/>
    <w:rsid w:val="002A3088"/>
    <w:rsid w:val="002A316C"/>
    <w:rsid w:val="002A34E9"/>
    <w:rsid w:val="002A35D7"/>
    <w:rsid w:val="002A38A6"/>
    <w:rsid w:val="002A3A50"/>
    <w:rsid w:val="002A3D0D"/>
    <w:rsid w:val="002A41BC"/>
    <w:rsid w:val="002A4363"/>
    <w:rsid w:val="002A43A6"/>
    <w:rsid w:val="002A4453"/>
    <w:rsid w:val="002A4539"/>
    <w:rsid w:val="002A466A"/>
    <w:rsid w:val="002A47C8"/>
    <w:rsid w:val="002A4AB8"/>
    <w:rsid w:val="002A4BD5"/>
    <w:rsid w:val="002A4C79"/>
    <w:rsid w:val="002A5129"/>
    <w:rsid w:val="002A5326"/>
    <w:rsid w:val="002A536C"/>
    <w:rsid w:val="002A5410"/>
    <w:rsid w:val="002A54C0"/>
    <w:rsid w:val="002A5692"/>
    <w:rsid w:val="002A5A41"/>
    <w:rsid w:val="002A5BDC"/>
    <w:rsid w:val="002A5DBB"/>
    <w:rsid w:val="002A5DC1"/>
    <w:rsid w:val="002A5F52"/>
    <w:rsid w:val="002A5F7D"/>
    <w:rsid w:val="002A63BF"/>
    <w:rsid w:val="002A644A"/>
    <w:rsid w:val="002A65A0"/>
    <w:rsid w:val="002A6877"/>
    <w:rsid w:val="002A6B4F"/>
    <w:rsid w:val="002A7145"/>
    <w:rsid w:val="002A753B"/>
    <w:rsid w:val="002A7C33"/>
    <w:rsid w:val="002A7C7B"/>
    <w:rsid w:val="002A7C97"/>
    <w:rsid w:val="002A7E3A"/>
    <w:rsid w:val="002B01CE"/>
    <w:rsid w:val="002B0233"/>
    <w:rsid w:val="002B02AF"/>
    <w:rsid w:val="002B0385"/>
    <w:rsid w:val="002B03F4"/>
    <w:rsid w:val="002B0A44"/>
    <w:rsid w:val="002B0DBF"/>
    <w:rsid w:val="002B0F8C"/>
    <w:rsid w:val="002B1000"/>
    <w:rsid w:val="002B11A3"/>
    <w:rsid w:val="002B13F5"/>
    <w:rsid w:val="002B1450"/>
    <w:rsid w:val="002B169F"/>
    <w:rsid w:val="002B1878"/>
    <w:rsid w:val="002B1969"/>
    <w:rsid w:val="002B1A1C"/>
    <w:rsid w:val="002B1A87"/>
    <w:rsid w:val="002B1ABF"/>
    <w:rsid w:val="002B1B4D"/>
    <w:rsid w:val="002B1BFA"/>
    <w:rsid w:val="002B1FB9"/>
    <w:rsid w:val="002B1FC8"/>
    <w:rsid w:val="002B2103"/>
    <w:rsid w:val="002B2139"/>
    <w:rsid w:val="002B2229"/>
    <w:rsid w:val="002B228B"/>
    <w:rsid w:val="002B25D2"/>
    <w:rsid w:val="002B2782"/>
    <w:rsid w:val="002B28A1"/>
    <w:rsid w:val="002B2912"/>
    <w:rsid w:val="002B2B6C"/>
    <w:rsid w:val="002B2EE7"/>
    <w:rsid w:val="002B2EF7"/>
    <w:rsid w:val="002B349D"/>
    <w:rsid w:val="002B35EA"/>
    <w:rsid w:val="002B3619"/>
    <w:rsid w:val="002B364B"/>
    <w:rsid w:val="002B36A2"/>
    <w:rsid w:val="002B39D5"/>
    <w:rsid w:val="002B3D3C"/>
    <w:rsid w:val="002B3D8B"/>
    <w:rsid w:val="002B3E14"/>
    <w:rsid w:val="002B3EE7"/>
    <w:rsid w:val="002B40B7"/>
    <w:rsid w:val="002B47E9"/>
    <w:rsid w:val="002B4ECB"/>
    <w:rsid w:val="002B51E8"/>
    <w:rsid w:val="002B5249"/>
    <w:rsid w:val="002B5403"/>
    <w:rsid w:val="002B547F"/>
    <w:rsid w:val="002B54BE"/>
    <w:rsid w:val="002B5521"/>
    <w:rsid w:val="002B5532"/>
    <w:rsid w:val="002B5595"/>
    <w:rsid w:val="002B5C56"/>
    <w:rsid w:val="002B5D21"/>
    <w:rsid w:val="002B5D51"/>
    <w:rsid w:val="002B5D55"/>
    <w:rsid w:val="002B60EB"/>
    <w:rsid w:val="002B6192"/>
    <w:rsid w:val="002B6198"/>
    <w:rsid w:val="002B63C9"/>
    <w:rsid w:val="002B63E1"/>
    <w:rsid w:val="002B65E2"/>
    <w:rsid w:val="002B6DA5"/>
    <w:rsid w:val="002B6DC0"/>
    <w:rsid w:val="002B6FB6"/>
    <w:rsid w:val="002B727D"/>
    <w:rsid w:val="002B79DB"/>
    <w:rsid w:val="002B7C5F"/>
    <w:rsid w:val="002B7F82"/>
    <w:rsid w:val="002C001B"/>
    <w:rsid w:val="002C029E"/>
    <w:rsid w:val="002C033C"/>
    <w:rsid w:val="002C035A"/>
    <w:rsid w:val="002C044A"/>
    <w:rsid w:val="002C075A"/>
    <w:rsid w:val="002C07B8"/>
    <w:rsid w:val="002C08A5"/>
    <w:rsid w:val="002C0C8F"/>
    <w:rsid w:val="002C1228"/>
    <w:rsid w:val="002C1830"/>
    <w:rsid w:val="002C1875"/>
    <w:rsid w:val="002C188F"/>
    <w:rsid w:val="002C22CE"/>
    <w:rsid w:val="002C2333"/>
    <w:rsid w:val="002C23A9"/>
    <w:rsid w:val="002C25B6"/>
    <w:rsid w:val="002C2670"/>
    <w:rsid w:val="002C270A"/>
    <w:rsid w:val="002C2AD3"/>
    <w:rsid w:val="002C2B5C"/>
    <w:rsid w:val="002C2EE1"/>
    <w:rsid w:val="002C2F95"/>
    <w:rsid w:val="002C352B"/>
    <w:rsid w:val="002C3546"/>
    <w:rsid w:val="002C3669"/>
    <w:rsid w:val="002C3819"/>
    <w:rsid w:val="002C38C3"/>
    <w:rsid w:val="002C39A6"/>
    <w:rsid w:val="002C3B35"/>
    <w:rsid w:val="002C3C37"/>
    <w:rsid w:val="002C3C7F"/>
    <w:rsid w:val="002C3CD8"/>
    <w:rsid w:val="002C3EFC"/>
    <w:rsid w:val="002C3F67"/>
    <w:rsid w:val="002C4038"/>
    <w:rsid w:val="002C420F"/>
    <w:rsid w:val="002C43DD"/>
    <w:rsid w:val="002C44DA"/>
    <w:rsid w:val="002C45E0"/>
    <w:rsid w:val="002C46AE"/>
    <w:rsid w:val="002C46D9"/>
    <w:rsid w:val="002C4710"/>
    <w:rsid w:val="002C4A7C"/>
    <w:rsid w:val="002C4E9A"/>
    <w:rsid w:val="002C531C"/>
    <w:rsid w:val="002C5359"/>
    <w:rsid w:val="002C5C61"/>
    <w:rsid w:val="002C5D9C"/>
    <w:rsid w:val="002C5E7E"/>
    <w:rsid w:val="002C604B"/>
    <w:rsid w:val="002C6077"/>
    <w:rsid w:val="002C609E"/>
    <w:rsid w:val="002C61A9"/>
    <w:rsid w:val="002C62B7"/>
    <w:rsid w:val="002C63AC"/>
    <w:rsid w:val="002C6A1F"/>
    <w:rsid w:val="002C6A44"/>
    <w:rsid w:val="002C6B1E"/>
    <w:rsid w:val="002C6C7E"/>
    <w:rsid w:val="002C6CF6"/>
    <w:rsid w:val="002C6E83"/>
    <w:rsid w:val="002C6EF3"/>
    <w:rsid w:val="002C6EF7"/>
    <w:rsid w:val="002C70CF"/>
    <w:rsid w:val="002C70DB"/>
    <w:rsid w:val="002C715A"/>
    <w:rsid w:val="002C74CB"/>
    <w:rsid w:val="002C7B30"/>
    <w:rsid w:val="002C7FD2"/>
    <w:rsid w:val="002C7FE9"/>
    <w:rsid w:val="002D00BF"/>
    <w:rsid w:val="002D0202"/>
    <w:rsid w:val="002D022F"/>
    <w:rsid w:val="002D0235"/>
    <w:rsid w:val="002D02CA"/>
    <w:rsid w:val="002D02E0"/>
    <w:rsid w:val="002D0307"/>
    <w:rsid w:val="002D0416"/>
    <w:rsid w:val="002D0833"/>
    <w:rsid w:val="002D0BD8"/>
    <w:rsid w:val="002D0CFD"/>
    <w:rsid w:val="002D0DC5"/>
    <w:rsid w:val="002D0E4C"/>
    <w:rsid w:val="002D0FC5"/>
    <w:rsid w:val="002D109E"/>
    <w:rsid w:val="002D1300"/>
    <w:rsid w:val="002D134A"/>
    <w:rsid w:val="002D1375"/>
    <w:rsid w:val="002D147C"/>
    <w:rsid w:val="002D1743"/>
    <w:rsid w:val="002D1821"/>
    <w:rsid w:val="002D1D1D"/>
    <w:rsid w:val="002D1EAF"/>
    <w:rsid w:val="002D2240"/>
    <w:rsid w:val="002D27EC"/>
    <w:rsid w:val="002D297F"/>
    <w:rsid w:val="002D3438"/>
    <w:rsid w:val="002D34FF"/>
    <w:rsid w:val="002D37C3"/>
    <w:rsid w:val="002D38DD"/>
    <w:rsid w:val="002D3B6F"/>
    <w:rsid w:val="002D3D0C"/>
    <w:rsid w:val="002D4031"/>
    <w:rsid w:val="002D45D4"/>
    <w:rsid w:val="002D496B"/>
    <w:rsid w:val="002D4EFD"/>
    <w:rsid w:val="002D529F"/>
    <w:rsid w:val="002D564D"/>
    <w:rsid w:val="002D58B8"/>
    <w:rsid w:val="002D5916"/>
    <w:rsid w:val="002D59E9"/>
    <w:rsid w:val="002D5E87"/>
    <w:rsid w:val="002D6187"/>
    <w:rsid w:val="002D618C"/>
    <w:rsid w:val="002D63CD"/>
    <w:rsid w:val="002D6568"/>
    <w:rsid w:val="002D681A"/>
    <w:rsid w:val="002D690F"/>
    <w:rsid w:val="002D69B9"/>
    <w:rsid w:val="002D6C6A"/>
    <w:rsid w:val="002D6E0F"/>
    <w:rsid w:val="002D6E52"/>
    <w:rsid w:val="002D70B0"/>
    <w:rsid w:val="002D7169"/>
    <w:rsid w:val="002D71F0"/>
    <w:rsid w:val="002D72F8"/>
    <w:rsid w:val="002D7301"/>
    <w:rsid w:val="002D76C7"/>
    <w:rsid w:val="002D77C0"/>
    <w:rsid w:val="002D77E3"/>
    <w:rsid w:val="002D797A"/>
    <w:rsid w:val="002D7AA5"/>
    <w:rsid w:val="002D7D54"/>
    <w:rsid w:val="002D7E72"/>
    <w:rsid w:val="002D7EA2"/>
    <w:rsid w:val="002E0147"/>
    <w:rsid w:val="002E027E"/>
    <w:rsid w:val="002E0304"/>
    <w:rsid w:val="002E035A"/>
    <w:rsid w:val="002E03B0"/>
    <w:rsid w:val="002E0441"/>
    <w:rsid w:val="002E081D"/>
    <w:rsid w:val="002E0AB9"/>
    <w:rsid w:val="002E0B5E"/>
    <w:rsid w:val="002E0C48"/>
    <w:rsid w:val="002E0CF5"/>
    <w:rsid w:val="002E0EA1"/>
    <w:rsid w:val="002E0F2A"/>
    <w:rsid w:val="002E12B9"/>
    <w:rsid w:val="002E1374"/>
    <w:rsid w:val="002E14C5"/>
    <w:rsid w:val="002E1603"/>
    <w:rsid w:val="002E1863"/>
    <w:rsid w:val="002E18EA"/>
    <w:rsid w:val="002E19AC"/>
    <w:rsid w:val="002E1B13"/>
    <w:rsid w:val="002E1CBF"/>
    <w:rsid w:val="002E1D4B"/>
    <w:rsid w:val="002E1D86"/>
    <w:rsid w:val="002E1DF7"/>
    <w:rsid w:val="002E1E14"/>
    <w:rsid w:val="002E1ED4"/>
    <w:rsid w:val="002E1F8A"/>
    <w:rsid w:val="002E2425"/>
    <w:rsid w:val="002E24C9"/>
    <w:rsid w:val="002E25BB"/>
    <w:rsid w:val="002E2752"/>
    <w:rsid w:val="002E2797"/>
    <w:rsid w:val="002E2A59"/>
    <w:rsid w:val="002E2D8D"/>
    <w:rsid w:val="002E2F22"/>
    <w:rsid w:val="002E3092"/>
    <w:rsid w:val="002E30EA"/>
    <w:rsid w:val="002E336A"/>
    <w:rsid w:val="002E3405"/>
    <w:rsid w:val="002E34DC"/>
    <w:rsid w:val="002E3540"/>
    <w:rsid w:val="002E3636"/>
    <w:rsid w:val="002E3912"/>
    <w:rsid w:val="002E3965"/>
    <w:rsid w:val="002E3CA3"/>
    <w:rsid w:val="002E3F52"/>
    <w:rsid w:val="002E3F68"/>
    <w:rsid w:val="002E4659"/>
    <w:rsid w:val="002E4691"/>
    <w:rsid w:val="002E47CC"/>
    <w:rsid w:val="002E49E2"/>
    <w:rsid w:val="002E4B0B"/>
    <w:rsid w:val="002E50DB"/>
    <w:rsid w:val="002E54CB"/>
    <w:rsid w:val="002E559C"/>
    <w:rsid w:val="002E55D9"/>
    <w:rsid w:val="002E5619"/>
    <w:rsid w:val="002E5ACC"/>
    <w:rsid w:val="002E5E72"/>
    <w:rsid w:val="002E5ECF"/>
    <w:rsid w:val="002E6499"/>
    <w:rsid w:val="002E64F3"/>
    <w:rsid w:val="002E6532"/>
    <w:rsid w:val="002E690C"/>
    <w:rsid w:val="002E6995"/>
    <w:rsid w:val="002E69EF"/>
    <w:rsid w:val="002E6E02"/>
    <w:rsid w:val="002E71DB"/>
    <w:rsid w:val="002E720A"/>
    <w:rsid w:val="002E73AB"/>
    <w:rsid w:val="002E7536"/>
    <w:rsid w:val="002E7541"/>
    <w:rsid w:val="002E7596"/>
    <w:rsid w:val="002E75C1"/>
    <w:rsid w:val="002E76B3"/>
    <w:rsid w:val="002E76BA"/>
    <w:rsid w:val="002E77A4"/>
    <w:rsid w:val="002E794F"/>
    <w:rsid w:val="002E7B5F"/>
    <w:rsid w:val="002E7CA9"/>
    <w:rsid w:val="002E7DD2"/>
    <w:rsid w:val="002E7EA7"/>
    <w:rsid w:val="002F0030"/>
    <w:rsid w:val="002F0132"/>
    <w:rsid w:val="002F0268"/>
    <w:rsid w:val="002F02CD"/>
    <w:rsid w:val="002F075F"/>
    <w:rsid w:val="002F084B"/>
    <w:rsid w:val="002F09F7"/>
    <w:rsid w:val="002F170E"/>
    <w:rsid w:val="002F176E"/>
    <w:rsid w:val="002F17D9"/>
    <w:rsid w:val="002F1A39"/>
    <w:rsid w:val="002F1B86"/>
    <w:rsid w:val="002F1CB1"/>
    <w:rsid w:val="002F1D73"/>
    <w:rsid w:val="002F1F0A"/>
    <w:rsid w:val="002F22D9"/>
    <w:rsid w:val="002F235A"/>
    <w:rsid w:val="002F24BE"/>
    <w:rsid w:val="002F250F"/>
    <w:rsid w:val="002F2568"/>
    <w:rsid w:val="002F261A"/>
    <w:rsid w:val="002F28CA"/>
    <w:rsid w:val="002F295F"/>
    <w:rsid w:val="002F2C33"/>
    <w:rsid w:val="002F2ED3"/>
    <w:rsid w:val="002F2F39"/>
    <w:rsid w:val="002F3135"/>
    <w:rsid w:val="002F3584"/>
    <w:rsid w:val="002F36DE"/>
    <w:rsid w:val="002F3704"/>
    <w:rsid w:val="002F3A30"/>
    <w:rsid w:val="002F3C75"/>
    <w:rsid w:val="002F3C97"/>
    <w:rsid w:val="002F3E87"/>
    <w:rsid w:val="002F4076"/>
    <w:rsid w:val="002F4138"/>
    <w:rsid w:val="002F45AA"/>
    <w:rsid w:val="002F4736"/>
    <w:rsid w:val="002F4C93"/>
    <w:rsid w:val="002F4DD5"/>
    <w:rsid w:val="002F4FDD"/>
    <w:rsid w:val="002F5858"/>
    <w:rsid w:val="002F5A38"/>
    <w:rsid w:val="002F5C2A"/>
    <w:rsid w:val="002F5C96"/>
    <w:rsid w:val="002F5F1D"/>
    <w:rsid w:val="002F635E"/>
    <w:rsid w:val="002F6B00"/>
    <w:rsid w:val="002F6D7E"/>
    <w:rsid w:val="002F6E00"/>
    <w:rsid w:val="002F6F76"/>
    <w:rsid w:val="002F71CD"/>
    <w:rsid w:val="002F7509"/>
    <w:rsid w:val="002F769C"/>
    <w:rsid w:val="002F7C45"/>
    <w:rsid w:val="002F7D9F"/>
    <w:rsid w:val="002F7DC5"/>
    <w:rsid w:val="002F7DD2"/>
    <w:rsid w:val="00300136"/>
    <w:rsid w:val="003003E2"/>
    <w:rsid w:val="00300717"/>
    <w:rsid w:val="003007E9"/>
    <w:rsid w:val="0030080B"/>
    <w:rsid w:val="003009D2"/>
    <w:rsid w:val="00300DF6"/>
    <w:rsid w:val="003010EE"/>
    <w:rsid w:val="0030120B"/>
    <w:rsid w:val="00301318"/>
    <w:rsid w:val="003014BE"/>
    <w:rsid w:val="00301532"/>
    <w:rsid w:val="00301589"/>
    <w:rsid w:val="003015BB"/>
    <w:rsid w:val="003016D6"/>
    <w:rsid w:val="00301B51"/>
    <w:rsid w:val="00301E5E"/>
    <w:rsid w:val="0030206C"/>
    <w:rsid w:val="00302191"/>
    <w:rsid w:val="003021F8"/>
    <w:rsid w:val="00302387"/>
    <w:rsid w:val="00302476"/>
    <w:rsid w:val="003026A1"/>
    <w:rsid w:val="003026F6"/>
    <w:rsid w:val="00302A7C"/>
    <w:rsid w:val="00302E3A"/>
    <w:rsid w:val="00303414"/>
    <w:rsid w:val="003034A2"/>
    <w:rsid w:val="00303528"/>
    <w:rsid w:val="00303774"/>
    <w:rsid w:val="003039EF"/>
    <w:rsid w:val="00303BE5"/>
    <w:rsid w:val="00303D76"/>
    <w:rsid w:val="00303F89"/>
    <w:rsid w:val="003045C9"/>
    <w:rsid w:val="00304625"/>
    <w:rsid w:val="0030464A"/>
    <w:rsid w:val="003049C1"/>
    <w:rsid w:val="003049CB"/>
    <w:rsid w:val="00304F78"/>
    <w:rsid w:val="003053A8"/>
    <w:rsid w:val="0030565E"/>
    <w:rsid w:val="00305967"/>
    <w:rsid w:val="003059A6"/>
    <w:rsid w:val="003059FD"/>
    <w:rsid w:val="00305B24"/>
    <w:rsid w:val="00305B85"/>
    <w:rsid w:val="00305C8B"/>
    <w:rsid w:val="00306029"/>
    <w:rsid w:val="00306204"/>
    <w:rsid w:val="0030633D"/>
    <w:rsid w:val="00306490"/>
    <w:rsid w:val="003064A1"/>
    <w:rsid w:val="003066ED"/>
    <w:rsid w:val="00306949"/>
    <w:rsid w:val="00306B12"/>
    <w:rsid w:val="00307321"/>
    <w:rsid w:val="0030756C"/>
    <w:rsid w:val="00307881"/>
    <w:rsid w:val="00307B66"/>
    <w:rsid w:val="00307E35"/>
    <w:rsid w:val="00307EE5"/>
    <w:rsid w:val="00310277"/>
    <w:rsid w:val="00310398"/>
    <w:rsid w:val="00310597"/>
    <w:rsid w:val="00310855"/>
    <w:rsid w:val="00310862"/>
    <w:rsid w:val="00310E82"/>
    <w:rsid w:val="00311051"/>
    <w:rsid w:val="00311071"/>
    <w:rsid w:val="00311385"/>
    <w:rsid w:val="003119BA"/>
    <w:rsid w:val="00311C3B"/>
    <w:rsid w:val="00311C48"/>
    <w:rsid w:val="00311D37"/>
    <w:rsid w:val="00312018"/>
    <w:rsid w:val="0031214E"/>
    <w:rsid w:val="0031234E"/>
    <w:rsid w:val="0031239F"/>
    <w:rsid w:val="00312A0B"/>
    <w:rsid w:val="00312BE1"/>
    <w:rsid w:val="00312DA9"/>
    <w:rsid w:val="00312F73"/>
    <w:rsid w:val="00312FB8"/>
    <w:rsid w:val="00313BEC"/>
    <w:rsid w:val="00313D7D"/>
    <w:rsid w:val="003143D7"/>
    <w:rsid w:val="0031558B"/>
    <w:rsid w:val="00315904"/>
    <w:rsid w:val="00315A79"/>
    <w:rsid w:val="00315A97"/>
    <w:rsid w:val="00315AE3"/>
    <w:rsid w:val="00315C31"/>
    <w:rsid w:val="00315F70"/>
    <w:rsid w:val="00316071"/>
    <w:rsid w:val="0031608E"/>
    <w:rsid w:val="00316109"/>
    <w:rsid w:val="00316178"/>
    <w:rsid w:val="003164E7"/>
    <w:rsid w:val="003166CF"/>
    <w:rsid w:val="003168A5"/>
    <w:rsid w:val="00316B6F"/>
    <w:rsid w:val="00316CD3"/>
    <w:rsid w:val="003171DA"/>
    <w:rsid w:val="00317319"/>
    <w:rsid w:val="00317572"/>
    <w:rsid w:val="00317673"/>
    <w:rsid w:val="00317ED6"/>
    <w:rsid w:val="00317F45"/>
    <w:rsid w:val="003206A7"/>
    <w:rsid w:val="0032076D"/>
    <w:rsid w:val="003207FC"/>
    <w:rsid w:val="003208BE"/>
    <w:rsid w:val="00320ACA"/>
    <w:rsid w:val="00320AD5"/>
    <w:rsid w:val="00320B0E"/>
    <w:rsid w:val="00320D21"/>
    <w:rsid w:val="00320DDA"/>
    <w:rsid w:val="00320DEB"/>
    <w:rsid w:val="00320F53"/>
    <w:rsid w:val="00321422"/>
    <w:rsid w:val="0032172F"/>
    <w:rsid w:val="003217C7"/>
    <w:rsid w:val="00321945"/>
    <w:rsid w:val="00321A78"/>
    <w:rsid w:val="00321AF3"/>
    <w:rsid w:val="00321B32"/>
    <w:rsid w:val="00321C9E"/>
    <w:rsid w:val="00321D90"/>
    <w:rsid w:val="00321EE4"/>
    <w:rsid w:val="00321F7C"/>
    <w:rsid w:val="003220CB"/>
    <w:rsid w:val="00322120"/>
    <w:rsid w:val="003222EC"/>
    <w:rsid w:val="00322986"/>
    <w:rsid w:val="00322D18"/>
    <w:rsid w:val="00322DAD"/>
    <w:rsid w:val="00322F8E"/>
    <w:rsid w:val="00323085"/>
    <w:rsid w:val="003230AB"/>
    <w:rsid w:val="00323180"/>
    <w:rsid w:val="003231F8"/>
    <w:rsid w:val="0032341B"/>
    <w:rsid w:val="0032368A"/>
    <w:rsid w:val="00323704"/>
    <w:rsid w:val="00323739"/>
    <w:rsid w:val="0032375A"/>
    <w:rsid w:val="00323848"/>
    <w:rsid w:val="003238B1"/>
    <w:rsid w:val="003238C8"/>
    <w:rsid w:val="003238E7"/>
    <w:rsid w:val="00323AF6"/>
    <w:rsid w:val="00323B3C"/>
    <w:rsid w:val="00323C72"/>
    <w:rsid w:val="00323E89"/>
    <w:rsid w:val="00323F7E"/>
    <w:rsid w:val="00323FB9"/>
    <w:rsid w:val="0032402F"/>
    <w:rsid w:val="00324054"/>
    <w:rsid w:val="00324207"/>
    <w:rsid w:val="003242DE"/>
    <w:rsid w:val="0032445A"/>
    <w:rsid w:val="003244DE"/>
    <w:rsid w:val="00324655"/>
    <w:rsid w:val="00324714"/>
    <w:rsid w:val="0032478C"/>
    <w:rsid w:val="003249DB"/>
    <w:rsid w:val="00324F2A"/>
    <w:rsid w:val="00324FE1"/>
    <w:rsid w:val="003250CE"/>
    <w:rsid w:val="003254D8"/>
    <w:rsid w:val="0032554E"/>
    <w:rsid w:val="003255C8"/>
    <w:rsid w:val="00325825"/>
    <w:rsid w:val="00325EB1"/>
    <w:rsid w:val="00325F1F"/>
    <w:rsid w:val="003260C6"/>
    <w:rsid w:val="003260C7"/>
    <w:rsid w:val="0032619A"/>
    <w:rsid w:val="003261B2"/>
    <w:rsid w:val="003262FB"/>
    <w:rsid w:val="00326405"/>
    <w:rsid w:val="003266CA"/>
    <w:rsid w:val="003268E1"/>
    <w:rsid w:val="0032699D"/>
    <w:rsid w:val="00326AB4"/>
    <w:rsid w:val="00326B31"/>
    <w:rsid w:val="00326C69"/>
    <w:rsid w:val="00326C95"/>
    <w:rsid w:val="00326D0B"/>
    <w:rsid w:val="00326F4D"/>
    <w:rsid w:val="003270BE"/>
    <w:rsid w:val="003275EF"/>
    <w:rsid w:val="0032783C"/>
    <w:rsid w:val="003278F9"/>
    <w:rsid w:val="00327957"/>
    <w:rsid w:val="00327D8D"/>
    <w:rsid w:val="00327ED3"/>
    <w:rsid w:val="00327FC0"/>
    <w:rsid w:val="00330026"/>
    <w:rsid w:val="00330056"/>
    <w:rsid w:val="00330105"/>
    <w:rsid w:val="003301C7"/>
    <w:rsid w:val="00330253"/>
    <w:rsid w:val="003303A4"/>
    <w:rsid w:val="0033069A"/>
    <w:rsid w:val="00330744"/>
    <w:rsid w:val="003309DE"/>
    <w:rsid w:val="00330E96"/>
    <w:rsid w:val="0033110D"/>
    <w:rsid w:val="003311B2"/>
    <w:rsid w:val="003314BB"/>
    <w:rsid w:val="00331595"/>
    <w:rsid w:val="003315E4"/>
    <w:rsid w:val="00331853"/>
    <w:rsid w:val="003318F6"/>
    <w:rsid w:val="00331A99"/>
    <w:rsid w:val="00331C6D"/>
    <w:rsid w:val="00332244"/>
    <w:rsid w:val="00332288"/>
    <w:rsid w:val="0033293C"/>
    <w:rsid w:val="0033297A"/>
    <w:rsid w:val="003329AF"/>
    <w:rsid w:val="00332A27"/>
    <w:rsid w:val="00332B9D"/>
    <w:rsid w:val="003330C3"/>
    <w:rsid w:val="003333F7"/>
    <w:rsid w:val="00333455"/>
    <w:rsid w:val="003337C1"/>
    <w:rsid w:val="00333963"/>
    <w:rsid w:val="00333B98"/>
    <w:rsid w:val="00333F88"/>
    <w:rsid w:val="00333FBA"/>
    <w:rsid w:val="003340B7"/>
    <w:rsid w:val="00334231"/>
    <w:rsid w:val="00334323"/>
    <w:rsid w:val="00334664"/>
    <w:rsid w:val="003346B6"/>
    <w:rsid w:val="00334A8A"/>
    <w:rsid w:val="00334B3A"/>
    <w:rsid w:val="00334B9A"/>
    <w:rsid w:val="00334EC2"/>
    <w:rsid w:val="00335266"/>
    <w:rsid w:val="00335367"/>
    <w:rsid w:val="00335605"/>
    <w:rsid w:val="003358C0"/>
    <w:rsid w:val="0033595E"/>
    <w:rsid w:val="00335CB7"/>
    <w:rsid w:val="00335E0A"/>
    <w:rsid w:val="00335F22"/>
    <w:rsid w:val="00335FA8"/>
    <w:rsid w:val="0033645D"/>
    <w:rsid w:val="003366EE"/>
    <w:rsid w:val="00336796"/>
    <w:rsid w:val="00336802"/>
    <w:rsid w:val="00336825"/>
    <w:rsid w:val="00336A6F"/>
    <w:rsid w:val="00336E18"/>
    <w:rsid w:val="00336E83"/>
    <w:rsid w:val="00337262"/>
    <w:rsid w:val="003374F0"/>
    <w:rsid w:val="00337632"/>
    <w:rsid w:val="0033788D"/>
    <w:rsid w:val="00340220"/>
    <w:rsid w:val="00340542"/>
    <w:rsid w:val="00340C42"/>
    <w:rsid w:val="00340C60"/>
    <w:rsid w:val="00340ECA"/>
    <w:rsid w:val="00340FA7"/>
    <w:rsid w:val="0034102F"/>
    <w:rsid w:val="00341039"/>
    <w:rsid w:val="00341040"/>
    <w:rsid w:val="003410A3"/>
    <w:rsid w:val="003412DB"/>
    <w:rsid w:val="00341547"/>
    <w:rsid w:val="00341730"/>
    <w:rsid w:val="003417DE"/>
    <w:rsid w:val="00341828"/>
    <w:rsid w:val="0034192D"/>
    <w:rsid w:val="0034199F"/>
    <w:rsid w:val="00341D89"/>
    <w:rsid w:val="00341E4B"/>
    <w:rsid w:val="00341E57"/>
    <w:rsid w:val="0034200F"/>
    <w:rsid w:val="0034215B"/>
    <w:rsid w:val="00342213"/>
    <w:rsid w:val="00342378"/>
    <w:rsid w:val="00342569"/>
    <w:rsid w:val="00342BD2"/>
    <w:rsid w:val="00342F61"/>
    <w:rsid w:val="00343133"/>
    <w:rsid w:val="0034313F"/>
    <w:rsid w:val="003436EB"/>
    <w:rsid w:val="0034380C"/>
    <w:rsid w:val="00343A83"/>
    <w:rsid w:val="00343C1C"/>
    <w:rsid w:val="00343E4B"/>
    <w:rsid w:val="00343E5C"/>
    <w:rsid w:val="00344247"/>
    <w:rsid w:val="00344560"/>
    <w:rsid w:val="00344635"/>
    <w:rsid w:val="003446A0"/>
    <w:rsid w:val="00344ADA"/>
    <w:rsid w:val="00344B96"/>
    <w:rsid w:val="00344C95"/>
    <w:rsid w:val="00344FB8"/>
    <w:rsid w:val="0034503C"/>
    <w:rsid w:val="00345318"/>
    <w:rsid w:val="00345661"/>
    <w:rsid w:val="0034578B"/>
    <w:rsid w:val="00345AAC"/>
    <w:rsid w:val="00345CB5"/>
    <w:rsid w:val="00345CDA"/>
    <w:rsid w:val="00345E54"/>
    <w:rsid w:val="00345E59"/>
    <w:rsid w:val="00345F14"/>
    <w:rsid w:val="003460B0"/>
    <w:rsid w:val="003462ED"/>
    <w:rsid w:val="003463A0"/>
    <w:rsid w:val="00346404"/>
    <w:rsid w:val="00346406"/>
    <w:rsid w:val="0034678A"/>
    <w:rsid w:val="00346B61"/>
    <w:rsid w:val="003470E3"/>
    <w:rsid w:val="00347171"/>
    <w:rsid w:val="003471C8"/>
    <w:rsid w:val="003472E5"/>
    <w:rsid w:val="003472F7"/>
    <w:rsid w:val="00347485"/>
    <w:rsid w:val="003478F1"/>
    <w:rsid w:val="00347A24"/>
    <w:rsid w:val="00347F6A"/>
    <w:rsid w:val="00350067"/>
    <w:rsid w:val="00350068"/>
    <w:rsid w:val="0035030B"/>
    <w:rsid w:val="00350438"/>
    <w:rsid w:val="00350439"/>
    <w:rsid w:val="00350487"/>
    <w:rsid w:val="00350533"/>
    <w:rsid w:val="003505CA"/>
    <w:rsid w:val="003506BE"/>
    <w:rsid w:val="00350932"/>
    <w:rsid w:val="0035098C"/>
    <w:rsid w:val="00350A72"/>
    <w:rsid w:val="00350C59"/>
    <w:rsid w:val="00350CB7"/>
    <w:rsid w:val="00350DBD"/>
    <w:rsid w:val="0035124A"/>
    <w:rsid w:val="003513FA"/>
    <w:rsid w:val="0035149C"/>
    <w:rsid w:val="00351507"/>
    <w:rsid w:val="003515E6"/>
    <w:rsid w:val="003515FD"/>
    <w:rsid w:val="00351824"/>
    <w:rsid w:val="0035189C"/>
    <w:rsid w:val="00351BEC"/>
    <w:rsid w:val="00352133"/>
    <w:rsid w:val="00352157"/>
    <w:rsid w:val="0035217F"/>
    <w:rsid w:val="00352266"/>
    <w:rsid w:val="00352756"/>
    <w:rsid w:val="00352A82"/>
    <w:rsid w:val="00352B02"/>
    <w:rsid w:val="00352CBA"/>
    <w:rsid w:val="00352EA7"/>
    <w:rsid w:val="00352F6D"/>
    <w:rsid w:val="00352F78"/>
    <w:rsid w:val="00352F80"/>
    <w:rsid w:val="0035315C"/>
    <w:rsid w:val="0035340B"/>
    <w:rsid w:val="003536E1"/>
    <w:rsid w:val="00353706"/>
    <w:rsid w:val="0035376E"/>
    <w:rsid w:val="00353925"/>
    <w:rsid w:val="00353BC8"/>
    <w:rsid w:val="00353BD3"/>
    <w:rsid w:val="00353DEC"/>
    <w:rsid w:val="003541EB"/>
    <w:rsid w:val="003542BC"/>
    <w:rsid w:val="00354580"/>
    <w:rsid w:val="003546A9"/>
    <w:rsid w:val="00354B15"/>
    <w:rsid w:val="00354C23"/>
    <w:rsid w:val="00354C76"/>
    <w:rsid w:val="00354E33"/>
    <w:rsid w:val="00355097"/>
    <w:rsid w:val="00355279"/>
    <w:rsid w:val="0035533A"/>
    <w:rsid w:val="0035573B"/>
    <w:rsid w:val="00355B50"/>
    <w:rsid w:val="00355D10"/>
    <w:rsid w:val="00355E23"/>
    <w:rsid w:val="00355EAE"/>
    <w:rsid w:val="003560D6"/>
    <w:rsid w:val="0035614B"/>
    <w:rsid w:val="003565E0"/>
    <w:rsid w:val="00356674"/>
    <w:rsid w:val="003566D1"/>
    <w:rsid w:val="00356887"/>
    <w:rsid w:val="003569AD"/>
    <w:rsid w:val="00356A65"/>
    <w:rsid w:val="00356B18"/>
    <w:rsid w:val="00356BA0"/>
    <w:rsid w:val="00356CA9"/>
    <w:rsid w:val="00356E69"/>
    <w:rsid w:val="00357612"/>
    <w:rsid w:val="0035772E"/>
    <w:rsid w:val="0035797B"/>
    <w:rsid w:val="00357982"/>
    <w:rsid w:val="003579BF"/>
    <w:rsid w:val="00357C84"/>
    <w:rsid w:val="0036017B"/>
    <w:rsid w:val="00360476"/>
    <w:rsid w:val="003604EA"/>
    <w:rsid w:val="00360692"/>
    <w:rsid w:val="00360989"/>
    <w:rsid w:val="00360AAE"/>
    <w:rsid w:val="00360BBC"/>
    <w:rsid w:val="00360EBD"/>
    <w:rsid w:val="00361184"/>
    <w:rsid w:val="003611E3"/>
    <w:rsid w:val="00361309"/>
    <w:rsid w:val="0036142A"/>
    <w:rsid w:val="003618C1"/>
    <w:rsid w:val="00361C8B"/>
    <w:rsid w:val="00361CB0"/>
    <w:rsid w:val="00361CD9"/>
    <w:rsid w:val="00361D66"/>
    <w:rsid w:val="00362053"/>
    <w:rsid w:val="00362108"/>
    <w:rsid w:val="003622A3"/>
    <w:rsid w:val="00362409"/>
    <w:rsid w:val="00362569"/>
    <w:rsid w:val="0036269A"/>
    <w:rsid w:val="00362755"/>
    <w:rsid w:val="0036289D"/>
    <w:rsid w:val="00362A27"/>
    <w:rsid w:val="00362A7D"/>
    <w:rsid w:val="00362B78"/>
    <w:rsid w:val="00362C9B"/>
    <w:rsid w:val="003630B7"/>
    <w:rsid w:val="003630C2"/>
    <w:rsid w:val="003634B1"/>
    <w:rsid w:val="0036378F"/>
    <w:rsid w:val="00363AC6"/>
    <w:rsid w:val="00363BE2"/>
    <w:rsid w:val="00363E89"/>
    <w:rsid w:val="00364094"/>
    <w:rsid w:val="003643F8"/>
    <w:rsid w:val="0036444C"/>
    <w:rsid w:val="0036455A"/>
    <w:rsid w:val="003646EF"/>
    <w:rsid w:val="00364A11"/>
    <w:rsid w:val="00364C62"/>
    <w:rsid w:val="00364CB0"/>
    <w:rsid w:val="00364CEA"/>
    <w:rsid w:val="00364F57"/>
    <w:rsid w:val="00365367"/>
    <w:rsid w:val="003656CF"/>
    <w:rsid w:val="00365828"/>
    <w:rsid w:val="00365A10"/>
    <w:rsid w:val="00365C6E"/>
    <w:rsid w:val="00365D00"/>
    <w:rsid w:val="00365E27"/>
    <w:rsid w:val="003660BA"/>
    <w:rsid w:val="003663D5"/>
    <w:rsid w:val="0036640C"/>
    <w:rsid w:val="003664C1"/>
    <w:rsid w:val="003665A2"/>
    <w:rsid w:val="003665E2"/>
    <w:rsid w:val="00366682"/>
    <w:rsid w:val="0036674A"/>
    <w:rsid w:val="003669E9"/>
    <w:rsid w:val="00366EB1"/>
    <w:rsid w:val="00366FD6"/>
    <w:rsid w:val="00367390"/>
    <w:rsid w:val="003673D8"/>
    <w:rsid w:val="00367848"/>
    <w:rsid w:val="00367851"/>
    <w:rsid w:val="00367963"/>
    <w:rsid w:val="00367996"/>
    <w:rsid w:val="00367A28"/>
    <w:rsid w:val="00370168"/>
    <w:rsid w:val="003704A6"/>
    <w:rsid w:val="00370712"/>
    <w:rsid w:val="003707B0"/>
    <w:rsid w:val="00370813"/>
    <w:rsid w:val="003708E1"/>
    <w:rsid w:val="0037096F"/>
    <w:rsid w:val="00370BFF"/>
    <w:rsid w:val="00370EED"/>
    <w:rsid w:val="00371044"/>
    <w:rsid w:val="0037113D"/>
    <w:rsid w:val="0037129A"/>
    <w:rsid w:val="0037156D"/>
    <w:rsid w:val="00371667"/>
    <w:rsid w:val="003717B9"/>
    <w:rsid w:val="003718CE"/>
    <w:rsid w:val="003719E2"/>
    <w:rsid w:val="00371B0A"/>
    <w:rsid w:val="00371CDC"/>
    <w:rsid w:val="00371D2C"/>
    <w:rsid w:val="00371FD2"/>
    <w:rsid w:val="003721BC"/>
    <w:rsid w:val="003726E5"/>
    <w:rsid w:val="003727E5"/>
    <w:rsid w:val="0037282B"/>
    <w:rsid w:val="00372870"/>
    <w:rsid w:val="0037288D"/>
    <w:rsid w:val="003728E9"/>
    <w:rsid w:val="00372A62"/>
    <w:rsid w:val="00372BA8"/>
    <w:rsid w:val="00372D37"/>
    <w:rsid w:val="00373041"/>
    <w:rsid w:val="003732DA"/>
    <w:rsid w:val="003736EB"/>
    <w:rsid w:val="00373749"/>
    <w:rsid w:val="003737BF"/>
    <w:rsid w:val="00373A8D"/>
    <w:rsid w:val="00373A98"/>
    <w:rsid w:val="00373ABA"/>
    <w:rsid w:val="00373B93"/>
    <w:rsid w:val="00373D87"/>
    <w:rsid w:val="00373DCB"/>
    <w:rsid w:val="003741A3"/>
    <w:rsid w:val="003741BA"/>
    <w:rsid w:val="00374299"/>
    <w:rsid w:val="00374398"/>
    <w:rsid w:val="00374452"/>
    <w:rsid w:val="00374519"/>
    <w:rsid w:val="003746A6"/>
    <w:rsid w:val="00374805"/>
    <w:rsid w:val="003748EA"/>
    <w:rsid w:val="00374957"/>
    <w:rsid w:val="00374C01"/>
    <w:rsid w:val="0037500A"/>
    <w:rsid w:val="00375069"/>
    <w:rsid w:val="003752FC"/>
    <w:rsid w:val="003755DA"/>
    <w:rsid w:val="00375708"/>
    <w:rsid w:val="00375E5F"/>
    <w:rsid w:val="00375E75"/>
    <w:rsid w:val="00376048"/>
    <w:rsid w:val="0037613C"/>
    <w:rsid w:val="0037614E"/>
    <w:rsid w:val="00376384"/>
    <w:rsid w:val="0037677D"/>
    <w:rsid w:val="00376927"/>
    <w:rsid w:val="00376BC3"/>
    <w:rsid w:val="00376BD1"/>
    <w:rsid w:val="00376D1A"/>
    <w:rsid w:val="00377046"/>
    <w:rsid w:val="00377097"/>
    <w:rsid w:val="0037709D"/>
    <w:rsid w:val="00377381"/>
    <w:rsid w:val="00377459"/>
    <w:rsid w:val="00377619"/>
    <w:rsid w:val="0037785C"/>
    <w:rsid w:val="00377AF5"/>
    <w:rsid w:val="00377F09"/>
    <w:rsid w:val="00380193"/>
    <w:rsid w:val="003801DA"/>
    <w:rsid w:val="00380640"/>
    <w:rsid w:val="00380879"/>
    <w:rsid w:val="00380CD1"/>
    <w:rsid w:val="00380DA2"/>
    <w:rsid w:val="0038102C"/>
    <w:rsid w:val="003813B2"/>
    <w:rsid w:val="00381984"/>
    <w:rsid w:val="00381A2A"/>
    <w:rsid w:val="00381B5A"/>
    <w:rsid w:val="00381C4B"/>
    <w:rsid w:val="003820C0"/>
    <w:rsid w:val="0038212D"/>
    <w:rsid w:val="003822FA"/>
    <w:rsid w:val="0038267A"/>
    <w:rsid w:val="0038268C"/>
    <w:rsid w:val="003828FA"/>
    <w:rsid w:val="00382C84"/>
    <w:rsid w:val="00382DB0"/>
    <w:rsid w:val="00382DD9"/>
    <w:rsid w:val="00383041"/>
    <w:rsid w:val="003830B4"/>
    <w:rsid w:val="00383124"/>
    <w:rsid w:val="003831BC"/>
    <w:rsid w:val="00383523"/>
    <w:rsid w:val="00383696"/>
    <w:rsid w:val="00383AE3"/>
    <w:rsid w:val="003841AA"/>
    <w:rsid w:val="00384438"/>
    <w:rsid w:val="003847DA"/>
    <w:rsid w:val="0038486D"/>
    <w:rsid w:val="00384952"/>
    <w:rsid w:val="00384A20"/>
    <w:rsid w:val="00384CEC"/>
    <w:rsid w:val="00384D2F"/>
    <w:rsid w:val="00384EEC"/>
    <w:rsid w:val="00384F9B"/>
    <w:rsid w:val="003851DB"/>
    <w:rsid w:val="00385466"/>
    <w:rsid w:val="00385635"/>
    <w:rsid w:val="00385725"/>
    <w:rsid w:val="00385784"/>
    <w:rsid w:val="003857BA"/>
    <w:rsid w:val="00385A64"/>
    <w:rsid w:val="003863E9"/>
    <w:rsid w:val="00386411"/>
    <w:rsid w:val="003868B1"/>
    <w:rsid w:val="003868E2"/>
    <w:rsid w:val="00386BA7"/>
    <w:rsid w:val="00386DA0"/>
    <w:rsid w:val="00386F3E"/>
    <w:rsid w:val="00386F71"/>
    <w:rsid w:val="00387007"/>
    <w:rsid w:val="00387260"/>
    <w:rsid w:val="0038729C"/>
    <w:rsid w:val="0038778F"/>
    <w:rsid w:val="003877C5"/>
    <w:rsid w:val="003878AB"/>
    <w:rsid w:val="00387AA6"/>
    <w:rsid w:val="00387C43"/>
    <w:rsid w:val="00387D42"/>
    <w:rsid w:val="00387DDB"/>
    <w:rsid w:val="003903E8"/>
    <w:rsid w:val="00390878"/>
    <w:rsid w:val="00390BD5"/>
    <w:rsid w:val="00390E2D"/>
    <w:rsid w:val="00390E93"/>
    <w:rsid w:val="003910E5"/>
    <w:rsid w:val="00391367"/>
    <w:rsid w:val="00391605"/>
    <w:rsid w:val="003916B4"/>
    <w:rsid w:val="00391B1F"/>
    <w:rsid w:val="00391C4B"/>
    <w:rsid w:val="00391D1F"/>
    <w:rsid w:val="003921B3"/>
    <w:rsid w:val="003921C1"/>
    <w:rsid w:val="00392447"/>
    <w:rsid w:val="003924A7"/>
    <w:rsid w:val="00392B92"/>
    <w:rsid w:val="00392D9C"/>
    <w:rsid w:val="00392F1B"/>
    <w:rsid w:val="00392FA7"/>
    <w:rsid w:val="00393042"/>
    <w:rsid w:val="00393078"/>
    <w:rsid w:val="003931F6"/>
    <w:rsid w:val="0039357D"/>
    <w:rsid w:val="003936F8"/>
    <w:rsid w:val="00393794"/>
    <w:rsid w:val="00393805"/>
    <w:rsid w:val="003939D7"/>
    <w:rsid w:val="00393AFF"/>
    <w:rsid w:val="00393CCA"/>
    <w:rsid w:val="00393DE1"/>
    <w:rsid w:val="00393F2A"/>
    <w:rsid w:val="003942A9"/>
    <w:rsid w:val="00394A64"/>
    <w:rsid w:val="00394B75"/>
    <w:rsid w:val="00394F0F"/>
    <w:rsid w:val="00394FE0"/>
    <w:rsid w:val="00395280"/>
    <w:rsid w:val="00395762"/>
    <w:rsid w:val="00395A69"/>
    <w:rsid w:val="00395E8D"/>
    <w:rsid w:val="00395EC2"/>
    <w:rsid w:val="003962BD"/>
    <w:rsid w:val="00396C1F"/>
    <w:rsid w:val="003972ED"/>
    <w:rsid w:val="00397418"/>
    <w:rsid w:val="003977D9"/>
    <w:rsid w:val="003978DC"/>
    <w:rsid w:val="00397B69"/>
    <w:rsid w:val="00397C9E"/>
    <w:rsid w:val="00397D70"/>
    <w:rsid w:val="00397E23"/>
    <w:rsid w:val="00397ED1"/>
    <w:rsid w:val="00397EEA"/>
    <w:rsid w:val="00397F5E"/>
    <w:rsid w:val="00397FA4"/>
    <w:rsid w:val="003A0116"/>
    <w:rsid w:val="003A05DD"/>
    <w:rsid w:val="003A0668"/>
    <w:rsid w:val="003A071A"/>
    <w:rsid w:val="003A0867"/>
    <w:rsid w:val="003A0A49"/>
    <w:rsid w:val="003A0BCE"/>
    <w:rsid w:val="003A0DDA"/>
    <w:rsid w:val="003A0E90"/>
    <w:rsid w:val="003A1312"/>
    <w:rsid w:val="003A1361"/>
    <w:rsid w:val="003A15DD"/>
    <w:rsid w:val="003A195F"/>
    <w:rsid w:val="003A1BB6"/>
    <w:rsid w:val="003A1CC4"/>
    <w:rsid w:val="003A22FE"/>
    <w:rsid w:val="003A230F"/>
    <w:rsid w:val="003A239F"/>
    <w:rsid w:val="003A2540"/>
    <w:rsid w:val="003A28E0"/>
    <w:rsid w:val="003A2D91"/>
    <w:rsid w:val="003A2F46"/>
    <w:rsid w:val="003A2FC8"/>
    <w:rsid w:val="003A3097"/>
    <w:rsid w:val="003A30BD"/>
    <w:rsid w:val="003A30C6"/>
    <w:rsid w:val="003A35CB"/>
    <w:rsid w:val="003A36B6"/>
    <w:rsid w:val="003A38F0"/>
    <w:rsid w:val="003A3E25"/>
    <w:rsid w:val="003A3E48"/>
    <w:rsid w:val="003A3FE5"/>
    <w:rsid w:val="003A4007"/>
    <w:rsid w:val="003A4110"/>
    <w:rsid w:val="003A42E8"/>
    <w:rsid w:val="003A44CC"/>
    <w:rsid w:val="003A465F"/>
    <w:rsid w:val="003A46EB"/>
    <w:rsid w:val="003A47AC"/>
    <w:rsid w:val="003A4B92"/>
    <w:rsid w:val="003A4DCD"/>
    <w:rsid w:val="003A4FEF"/>
    <w:rsid w:val="003A54B1"/>
    <w:rsid w:val="003A54F0"/>
    <w:rsid w:val="003A5789"/>
    <w:rsid w:val="003A57A7"/>
    <w:rsid w:val="003A5885"/>
    <w:rsid w:val="003A5A43"/>
    <w:rsid w:val="003A5F19"/>
    <w:rsid w:val="003A5F2A"/>
    <w:rsid w:val="003A5F3F"/>
    <w:rsid w:val="003A61E8"/>
    <w:rsid w:val="003A6326"/>
    <w:rsid w:val="003A633A"/>
    <w:rsid w:val="003A63F1"/>
    <w:rsid w:val="003A66A7"/>
    <w:rsid w:val="003A67B7"/>
    <w:rsid w:val="003A68D1"/>
    <w:rsid w:val="003A6AD9"/>
    <w:rsid w:val="003A6DC4"/>
    <w:rsid w:val="003A716F"/>
    <w:rsid w:val="003A72C7"/>
    <w:rsid w:val="003A770A"/>
    <w:rsid w:val="003A7C28"/>
    <w:rsid w:val="003A7DCE"/>
    <w:rsid w:val="003B0009"/>
    <w:rsid w:val="003B0420"/>
    <w:rsid w:val="003B0447"/>
    <w:rsid w:val="003B04F7"/>
    <w:rsid w:val="003B0C11"/>
    <w:rsid w:val="003B0D1A"/>
    <w:rsid w:val="003B0F5B"/>
    <w:rsid w:val="003B0FB6"/>
    <w:rsid w:val="003B0FF3"/>
    <w:rsid w:val="003B1195"/>
    <w:rsid w:val="003B1324"/>
    <w:rsid w:val="003B17EE"/>
    <w:rsid w:val="003B19BC"/>
    <w:rsid w:val="003B1D12"/>
    <w:rsid w:val="003B1E07"/>
    <w:rsid w:val="003B2049"/>
    <w:rsid w:val="003B2052"/>
    <w:rsid w:val="003B2095"/>
    <w:rsid w:val="003B20B8"/>
    <w:rsid w:val="003B21D7"/>
    <w:rsid w:val="003B238B"/>
    <w:rsid w:val="003B23DA"/>
    <w:rsid w:val="003B2672"/>
    <w:rsid w:val="003B2697"/>
    <w:rsid w:val="003B2698"/>
    <w:rsid w:val="003B28A4"/>
    <w:rsid w:val="003B2B2E"/>
    <w:rsid w:val="003B2DC6"/>
    <w:rsid w:val="003B304A"/>
    <w:rsid w:val="003B3071"/>
    <w:rsid w:val="003B3438"/>
    <w:rsid w:val="003B3660"/>
    <w:rsid w:val="003B3739"/>
    <w:rsid w:val="003B38DA"/>
    <w:rsid w:val="003B39E3"/>
    <w:rsid w:val="003B3B36"/>
    <w:rsid w:val="003B3BCC"/>
    <w:rsid w:val="003B3F44"/>
    <w:rsid w:val="003B3F79"/>
    <w:rsid w:val="003B48E8"/>
    <w:rsid w:val="003B4986"/>
    <w:rsid w:val="003B49A3"/>
    <w:rsid w:val="003B4A17"/>
    <w:rsid w:val="003B4AF0"/>
    <w:rsid w:val="003B4C34"/>
    <w:rsid w:val="003B4EC9"/>
    <w:rsid w:val="003B59D2"/>
    <w:rsid w:val="003B5CEC"/>
    <w:rsid w:val="003B60DF"/>
    <w:rsid w:val="003B611A"/>
    <w:rsid w:val="003B6161"/>
    <w:rsid w:val="003B629B"/>
    <w:rsid w:val="003B641C"/>
    <w:rsid w:val="003B6768"/>
    <w:rsid w:val="003B6B2A"/>
    <w:rsid w:val="003B6D5A"/>
    <w:rsid w:val="003B6FF2"/>
    <w:rsid w:val="003B7455"/>
    <w:rsid w:val="003B75E5"/>
    <w:rsid w:val="003B76B9"/>
    <w:rsid w:val="003B76F5"/>
    <w:rsid w:val="003B7B6D"/>
    <w:rsid w:val="003B7CA3"/>
    <w:rsid w:val="003B7D4D"/>
    <w:rsid w:val="003B7F11"/>
    <w:rsid w:val="003C04E6"/>
    <w:rsid w:val="003C06C7"/>
    <w:rsid w:val="003C0A54"/>
    <w:rsid w:val="003C0C70"/>
    <w:rsid w:val="003C0D3C"/>
    <w:rsid w:val="003C0E5E"/>
    <w:rsid w:val="003C0FE7"/>
    <w:rsid w:val="003C1081"/>
    <w:rsid w:val="003C10CA"/>
    <w:rsid w:val="003C1547"/>
    <w:rsid w:val="003C164D"/>
    <w:rsid w:val="003C1797"/>
    <w:rsid w:val="003C1928"/>
    <w:rsid w:val="003C1D1C"/>
    <w:rsid w:val="003C1EEB"/>
    <w:rsid w:val="003C1F39"/>
    <w:rsid w:val="003C2043"/>
    <w:rsid w:val="003C2061"/>
    <w:rsid w:val="003C2097"/>
    <w:rsid w:val="003C20E5"/>
    <w:rsid w:val="003C2138"/>
    <w:rsid w:val="003C261D"/>
    <w:rsid w:val="003C2BC5"/>
    <w:rsid w:val="003C2D2D"/>
    <w:rsid w:val="003C2E7B"/>
    <w:rsid w:val="003C2EA1"/>
    <w:rsid w:val="003C306D"/>
    <w:rsid w:val="003C33E4"/>
    <w:rsid w:val="003C345B"/>
    <w:rsid w:val="003C3766"/>
    <w:rsid w:val="003C39C8"/>
    <w:rsid w:val="003C3BDF"/>
    <w:rsid w:val="003C3DE0"/>
    <w:rsid w:val="003C3EC0"/>
    <w:rsid w:val="003C40FE"/>
    <w:rsid w:val="003C4338"/>
    <w:rsid w:val="003C4700"/>
    <w:rsid w:val="003C484B"/>
    <w:rsid w:val="003C4B6C"/>
    <w:rsid w:val="003C4BC3"/>
    <w:rsid w:val="003C4E7A"/>
    <w:rsid w:val="003C5292"/>
    <w:rsid w:val="003C5328"/>
    <w:rsid w:val="003C5329"/>
    <w:rsid w:val="003C5517"/>
    <w:rsid w:val="003C5A28"/>
    <w:rsid w:val="003C5AAA"/>
    <w:rsid w:val="003C5C51"/>
    <w:rsid w:val="003C5FDF"/>
    <w:rsid w:val="003C600D"/>
    <w:rsid w:val="003C62AB"/>
    <w:rsid w:val="003C6461"/>
    <w:rsid w:val="003C64DF"/>
    <w:rsid w:val="003C697A"/>
    <w:rsid w:val="003C69B4"/>
    <w:rsid w:val="003C6A96"/>
    <w:rsid w:val="003C6BC5"/>
    <w:rsid w:val="003C6F44"/>
    <w:rsid w:val="003C6F81"/>
    <w:rsid w:val="003C6FF1"/>
    <w:rsid w:val="003C701B"/>
    <w:rsid w:val="003C709F"/>
    <w:rsid w:val="003C73CC"/>
    <w:rsid w:val="003C7436"/>
    <w:rsid w:val="003C788D"/>
    <w:rsid w:val="003C791C"/>
    <w:rsid w:val="003C794B"/>
    <w:rsid w:val="003C7A55"/>
    <w:rsid w:val="003C7B47"/>
    <w:rsid w:val="003C7DF6"/>
    <w:rsid w:val="003C7E0A"/>
    <w:rsid w:val="003C7E8C"/>
    <w:rsid w:val="003D000C"/>
    <w:rsid w:val="003D02F3"/>
    <w:rsid w:val="003D054A"/>
    <w:rsid w:val="003D060C"/>
    <w:rsid w:val="003D0784"/>
    <w:rsid w:val="003D0C0B"/>
    <w:rsid w:val="003D0F80"/>
    <w:rsid w:val="003D165C"/>
    <w:rsid w:val="003D167E"/>
    <w:rsid w:val="003D1827"/>
    <w:rsid w:val="003D183D"/>
    <w:rsid w:val="003D18E1"/>
    <w:rsid w:val="003D1A72"/>
    <w:rsid w:val="003D1D52"/>
    <w:rsid w:val="003D1EBC"/>
    <w:rsid w:val="003D20BC"/>
    <w:rsid w:val="003D22EF"/>
    <w:rsid w:val="003D2348"/>
    <w:rsid w:val="003D23F3"/>
    <w:rsid w:val="003D28D8"/>
    <w:rsid w:val="003D2D49"/>
    <w:rsid w:val="003D2D80"/>
    <w:rsid w:val="003D2EC7"/>
    <w:rsid w:val="003D32FB"/>
    <w:rsid w:val="003D3661"/>
    <w:rsid w:val="003D37BB"/>
    <w:rsid w:val="003D3B00"/>
    <w:rsid w:val="003D3E00"/>
    <w:rsid w:val="003D401E"/>
    <w:rsid w:val="003D418D"/>
    <w:rsid w:val="003D41FD"/>
    <w:rsid w:val="003D4209"/>
    <w:rsid w:val="003D440F"/>
    <w:rsid w:val="003D45EE"/>
    <w:rsid w:val="003D49C9"/>
    <w:rsid w:val="003D4A7E"/>
    <w:rsid w:val="003D4B1F"/>
    <w:rsid w:val="003D4BAB"/>
    <w:rsid w:val="003D4E5F"/>
    <w:rsid w:val="003D53AB"/>
    <w:rsid w:val="003D53B1"/>
    <w:rsid w:val="003D5643"/>
    <w:rsid w:val="003D56F0"/>
    <w:rsid w:val="003D5BDE"/>
    <w:rsid w:val="003D5DF2"/>
    <w:rsid w:val="003D5E2A"/>
    <w:rsid w:val="003D608C"/>
    <w:rsid w:val="003D60B9"/>
    <w:rsid w:val="003D611C"/>
    <w:rsid w:val="003D6221"/>
    <w:rsid w:val="003D65D6"/>
    <w:rsid w:val="003D67AE"/>
    <w:rsid w:val="003D681D"/>
    <w:rsid w:val="003D686A"/>
    <w:rsid w:val="003D6AA4"/>
    <w:rsid w:val="003D6BB8"/>
    <w:rsid w:val="003D6BD5"/>
    <w:rsid w:val="003D6CDF"/>
    <w:rsid w:val="003D715B"/>
    <w:rsid w:val="003D7295"/>
    <w:rsid w:val="003D72D2"/>
    <w:rsid w:val="003D74D9"/>
    <w:rsid w:val="003D7B04"/>
    <w:rsid w:val="003D7F10"/>
    <w:rsid w:val="003E021C"/>
    <w:rsid w:val="003E039F"/>
    <w:rsid w:val="003E044A"/>
    <w:rsid w:val="003E0562"/>
    <w:rsid w:val="003E087D"/>
    <w:rsid w:val="003E08EE"/>
    <w:rsid w:val="003E0BB1"/>
    <w:rsid w:val="003E0BEE"/>
    <w:rsid w:val="003E0C06"/>
    <w:rsid w:val="003E0C34"/>
    <w:rsid w:val="003E0FAA"/>
    <w:rsid w:val="003E11F6"/>
    <w:rsid w:val="003E12BF"/>
    <w:rsid w:val="003E13A6"/>
    <w:rsid w:val="003E1583"/>
    <w:rsid w:val="003E181E"/>
    <w:rsid w:val="003E1886"/>
    <w:rsid w:val="003E1AB9"/>
    <w:rsid w:val="003E1B4C"/>
    <w:rsid w:val="003E1BE5"/>
    <w:rsid w:val="003E1E92"/>
    <w:rsid w:val="003E1F31"/>
    <w:rsid w:val="003E2176"/>
    <w:rsid w:val="003E29F4"/>
    <w:rsid w:val="003E2BE2"/>
    <w:rsid w:val="003E2C1A"/>
    <w:rsid w:val="003E2D54"/>
    <w:rsid w:val="003E2F77"/>
    <w:rsid w:val="003E34A4"/>
    <w:rsid w:val="003E3576"/>
    <w:rsid w:val="003E36B2"/>
    <w:rsid w:val="003E37C4"/>
    <w:rsid w:val="003E38F0"/>
    <w:rsid w:val="003E3B08"/>
    <w:rsid w:val="003E41E0"/>
    <w:rsid w:val="003E4700"/>
    <w:rsid w:val="003E476E"/>
    <w:rsid w:val="003E4969"/>
    <w:rsid w:val="003E4BDB"/>
    <w:rsid w:val="003E4CBD"/>
    <w:rsid w:val="003E4E39"/>
    <w:rsid w:val="003E4F81"/>
    <w:rsid w:val="003E50F9"/>
    <w:rsid w:val="003E552B"/>
    <w:rsid w:val="003E556C"/>
    <w:rsid w:val="003E55AA"/>
    <w:rsid w:val="003E5A90"/>
    <w:rsid w:val="003E5CDE"/>
    <w:rsid w:val="003E5E01"/>
    <w:rsid w:val="003E5E37"/>
    <w:rsid w:val="003E5F05"/>
    <w:rsid w:val="003E601F"/>
    <w:rsid w:val="003E62E5"/>
    <w:rsid w:val="003E65B3"/>
    <w:rsid w:val="003E691A"/>
    <w:rsid w:val="003E695E"/>
    <w:rsid w:val="003E70DB"/>
    <w:rsid w:val="003E7311"/>
    <w:rsid w:val="003E788C"/>
    <w:rsid w:val="003E7911"/>
    <w:rsid w:val="003E79F6"/>
    <w:rsid w:val="003E7A12"/>
    <w:rsid w:val="003E7A1D"/>
    <w:rsid w:val="003E7BD9"/>
    <w:rsid w:val="003E7BDF"/>
    <w:rsid w:val="003E7D6C"/>
    <w:rsid w:val="003E7F08"/>
    <w:rsid w:val="003E7F1E"/>
    <w:rsid w:val="003F0067"/>
    <w:rsid w:val="003F0321"/>
    <w:rsid w:val="003F038A"/>
    <w:rsid w:val="003F069A"/>
    <w:rsid w:val="003F0769"/>
    <w:rsid w:val="003F07D0"/>
    <w:rsid w:val="003F0927"/>
    <w:rsid w:val="003F0A5B"/>
    <w:rsid w:val="003F0A6D"/>
    <w:rsid w:val="003F0B43"/>
    <w:rsid w:val="003F1081"/>
    <w:rsid w:val="003F1370"/>
    <w:rsid w:val="003F1636"/>
    <w:rsid w:val="003F1649"/>
    <w:rsid w:val="003F16E3"/>
    <w:rsid w:val="003F184D"/>
    <w:rsid w:val="003F18DE"/>
    <w:rsid w:val="003F1B40"/>
    <w:rsid w:val="003F1B92"/>
    <w:rsid w:val="003F1D32"/>
    <w:rsid w:val="003F208C"/>
    <w:rsid w:val="003F23D1"/>
    <w:rsid w:val="003F27A6"/>
    <w:rsid w:val="003F2A59"/>
    <w:rsid w:val="003F2AF6"/>
    <w:rsid w:val="003F2C92"/>
    <w:rsid w:val="003F2D4C"/>
    <w:rsid w:val="003F3552"/>
    <w:rsid w:val="003F3881"/>
    <w:rsid w:val="003F3C36"/>
    <w:rsid w:val="003F3C54"/>
    <w:rsid w:val="003F40A0"/>
    <w:rsid w:val="003F41BA"/>
    <w:rsid w:val="003F4329"/>
    <w:rsid w:val="003F451B"/>
    <w:rsid w:val="003F46DD"/>
    <w:rsid w:val="003F46F4"/>
    <w:rsid w:val="003F4850"/>
    <w:rsid w:val="003F4975"/>
    <w:rsid w:val="003F4C40"/>
    <w:rsid w:val="003F4F93"/>
    <w:rsid w:val="003F5590"/>
    <w:rsid w:val="003F5618"/>
    <w:rsid w:val="003F567A"/>
    <w:rsid w:val="003F5723"/>
    <w:rsid w:val="003F583C"/>
    <w:rsid w:val="003F59A8"/>
    <w:rsid w:val="003F5B44"/>
    <w:rsid w:val="003F5C59"/>
    <w:rsid w:val="003F5D1D"/>
    <w:rsid w:val="003F5F57"/>
    <w:rsid w:val="003F6116"/>
    <w:rsid w:val="003F615A"/>
    <w:rsid w:val="003F6A58"/>
    <w:rsid w:val="003F6BB8"/>
    <w:rsid w:val="003F6C48"/>
    <w:rsid w:val="003F6D8A"/>
    <w:rsid w:val="003F7509"/>
    <w:rsid w:val="0040009F"/>
    <w:rsid w:val="0040024D"/>
    <w:rsid w:val="004002F6"/>
    <w:rsid w:val="0040098D"/>
    <w:rsid w:val="00400A40"/>
    <w:rsid w:val="00400A58"/>
    <w:rsid w:val="00400B75"/>
    <w:rsid w:val="00400E9F"/>
    <w:rsid w:val="004013E6"/>
    <w:rsid w:val="0040141B"/>
    <w:rsid w:val="004014A9"/>
    <w:rsid w:val="00401546"/>
    <w:rsid w:val="004015EF"/>
    <w:rsid w:val="004018D7"/>
    <w:rsid w:val="00401CA2"/>
    <w:rsid w:val="00401E83"/>
    <w:rsid w:val="004022BA"/>
    <w:rsid w:val="00402328"/>
    <w:rsid w:val="004023E6"/>
    <w:rsid w:val="0040262A"/>
    <w:rsid w:val="00402694"/>
    <w:rsid w:val="00402894"/>
    <w:rsid w:val="00402F35"/>
    <w:rsid w:val="0040316B"/>
    <w:rsid w:val="004031F8"/>
    <w:rsid w:val="0040331F"/>
    <w:rsid w:val="004035E4"/>
    <w:rsid w:val="004038B2"/>
    <w:rsid w:val="00403907"/>
    <w:rsid w:val="00403C4F"/>
    <w:rsid w:val="00403D6B"/>
    <w:rsid w:val="00403FD9"/>
    <w:rsid w:val="00404207"/>
    <w:rsid w:val="004044D7"/>
    <w:rsid w:val="0040475D"/>
    <w:rsid w:val="00404A0E"/>
    <w:rsid w:val="00404AEE"/>
    <w:rsid w:val="00404AFE"/>
    <w:rsid w:val="00404F94"/>
    <w:rsid w:val="00405151"/>
    <w:rsid w:val="004057B4"/>
    <w:rsid w:val="00405E4B"/>
    <w:rsid w:val="004064A3"/>
    <w:rsid w:val="004064F1"/>
    <w:rsid w:val="0040666E"/>
    <w:rsid w:val="004069CA"/>
    <w:rsid w:val="00406B8F"/>
    <w:rsid w:val="00406E3C"/>
    <w:rsid w:val="00406E76"/>
    <w:rsid w:val="00406EE7"/>
    <w:rsid w:val="00407132"/>
    <w:rsid w:val="00407409"/>
    <w:rsid w:val="0040741B"/>
    <w:rsid w:val="00407633"/>
    <w:rsid w:val="00407986"/>
    <w:rsid w:val="00407CA6"/>
    <w:rsid w:val="00410150"/>
    <w:rsid w:val="0041026D"/>
    <w:rsid w:val="00410646"/>
    <w:rsid w:val="00410911"/>
    <w:rsid w:val="00410CE3"/>
    <w:rsid w:val="00410E27"/>
    <w:rsid w:val="00410E28"/>
    <w:rsid w:val="0041112A"/>
    <w:rsid w:val="00411402"/>
    <w:rsid w:val="004114DB"/>
    <w:rsid w:val="00411646"/>
    <w:rsid w:val="00411A73"/>
    <w:rsid w:val="00412097"/>
    <w:rsid w:val="00412306"/>
    <w:rsid w:val="00412534"/>
    <w:rsid w:val="0041274D"/>
    <w:rsid w:val="00412885"/>
    <w:rsid w:val="00412B03"/>
    <w:rsid w:val="00412C83"/>
    <w:rsid w:val="00412F8B"/>
    <w:rsid w:val="00413061"/>
    <w:rsid w:val="0041370D"/>
    <w:rsid w:val="00413798"/>
    <w:rsid w:val="00413D3C"/>
    <w:rsid w:val="00414394"/>
    <w:rsid w:val="004145B6"/>
    <w:rsid w:val="00414616"/>
    <w:rsid w:val="004146E7"/>
    <w:rsid w:val="004148C4"/>
    <w:rsid w:val="004149FD"/>
    <w:rsid w:val="00414D66"/>
    <w:rsid w:val="00414E55"/>
    <w:rsid w:val="00415124"/>
    <w:rsid w:val="004152F5"/>
    <w:rsid w:val="00415406"/>
    <w:rsid w:val="00415445"/>
    <w:rsid w:val="00415662"/>
    <w:rsid w:val="0041583A"/>
    <w:rsid w:val="00415C96"/>
    <w:rsid w:val="00415D86"/>
    <w:rsid w:val="00416005"/>
    <w:rsid w:val="0041609B"/>
    <w:rsid w:val="00416592"/>
    <w:rsid w:val="004166A8"/>
    <w:rsid w:val="00416AF7"/>
    <w:rsid w:val="0041743B"/>
    <w:rsid w:val="0041745F"/>
    <w:rsid w:val="00417494"/>
    <w:rsid w:val="004174A0"/>
    <w:rsid w:val="0041753D"/>
    <w:rsid w:val="004179A5"/>
    <w:rsid w:val="00417ABB"/>
    <w:rsid w:val="00417B85"/>
    <w:rsid w:val="00417C2C"/>
    <w:rsid w:val="00420123"/>
    <w:rsid w:val="004201E2"/>
    <w:rsid w:val="004202EC"/>
    <w:rsid w:val="004202ED"/>
    <w:rsid w:val="0042036C"/>
    <w:rsid w:val="004204FC"/>
    <w:rsid w:val="00420966"/>
    <w:rsid w:val="004209F8"/>
    <w:rsid w:val="00420A4F"/>
    <w:rsid w:val="00420C50"/>
    <w:rsid w:val="00420D4A"/>
    <w:rsid w:val="00420FAE"/>
    <w:rsid w:val="00420FED"/>
    <w:rsid w:val="004210E6"/>
    <w:rsid w:val="004210F7"/>
    <w:rsid w:val="0042115E"/>
    <w:rsid w:val="00421D2C"/>
    <w:rsid w:val="00421D43"/>
    <w:rsid w:val="00421E17"/>
    <w:rsid w:val="00421E51"/>
    <w:rsid w:val="00421FB5"/>
    <w:rsid w:val="0042218E"/>
    <w:rsid w:val="0042220D"/>
    <w:rsid w:val="00422468"/>
    <w:rsid w:val="004227AB"/>
    <w:rsid w:val="004227EB"/>
    <w:rsid w:val="00422EAB"/>
    <w:rsid w:val="0042324B"/>
    <w:rsid w:val="0042347D"/>
    <w:rsid w:val="004235B1"/>
    <w:rsid w:val="004238EB"/>
    <w:rsid w:val="00423AD9"/>
    <w:rsid w:val="00423AE9"/>
    <w:rsid w:val="00423B91"/>
    <w:rsid w:val="00423F2E"/>
    <w:rsid w:val="0042400A"/>
    <w:rsid w:val="00424A76"/>
    <w:rsid w:val="00424D7B"/>
    <w:rsid w:val="00424F3B"/>
    <w:rsid w:val="004250F6"/>
    <w:rsid w:val="0042516A"/>
    <w:rsid w:val="00425303"/>
    <w:rsid w:val="00425384"/>
    <w:rsid w:val="004254E2"/>
    <w:rsid w:val="00425552"/>
    <w:rsid w:val="004256EB"/>
    <w:rsid w:val="00425DF4"/>
    <w:rsid w:val="00426014"/>
    <w:rsid w:val="004261E8"/>
    <w:rsid w:val="00426582"/>
    <w:rsid w:val="0042681A"/>
    <w:rsid w:val="00426847"/>
    <w:rsid w:val="0042687E"/>
    <w:rsid w:val="00426FB2"/>
    <w:rsid w:val="00427048"/>
    <w:rsid w:val="00427217"/>
    <w:rsid w:val="004275AE"/>
    <w:rsid w:val="0042782B"/>
    <w:rsid w:val="00427889"/>
    <w:rsid w:val="004278E4"/>
    <w:rsid w:val="004279D1"/>
    <w:rsid w:val="0043004F"/>
    <w:rsid w:val="004300A3"/>
    <w:rsid w:val="0043021A"/>
    <w:rsid w:val="00430223"/>
    <w:rsid w:val="004304CC"/>
    <w:rsid w:val="00430C5A"/>
    <w:rsid w:val="00430D96"/>
    <w:rsid w:val="00430E26"/>
    <w:rsid w:val="004312A0"/>
    <w:rsid w:val="00431308"/>
    <w:rsid w:val="004313AE"/>
    <w:rsid w:val="00431612"/>
    <w:rsid w:val="00431632"/>
    <w:rsid w:val="00431714"/>
    <w:rsid w:val="0043182E"/>
    <w:rsid w:val="00431879"/>
    <w:rsid w:val="00431999"/>
    <w:rsid w:val="00431AB9"/>
    <w:rsid w:val="00431ECA"/>
    <w:rsid w:val="004322F3"/>
    <w:rsid w:val="0043233A"/>
    <w:rsid w:val="004323CA"/>
    <w:rsid w:val="004324E9"/>
    <w:rsid w:val="004329D0"/>
    <w:rsid w:val="00432BA9"/>
    <w:rsid w:val="00432ED9"/>
    <w:rsid w:val="004335BB"/>
    <w:rsid w:val="00433746"/>
    <w:rsid w:val="0043377D"/>
    <w:rsid w:val="0043379E"/>
    <w:rsid w:val="00433AE8"/>
    <w:rsid w:val="00433B41"/>
    <w:rsid w:val="00433BBE"/>
    <w:rsid w:val="00433C73"/>
    <w:rsid w:val="00433D06"/>
    <w:rsid w:val="00433D60"/>
    <w:rsid w:val="00433F19"/>
    <w:rsid w:val="00434078"/>
    <w:rsid w:val="0043414A"/>
    <w:rsid w:val="00434433"/>
    <w:rsid w:val="0043469A"/>
    <w:rsid w:val="00434A7E"/>
    <w:rsid w:val="00434B31"/>
    <w:rsid w:val="00434D47"/>
    <w:rsid w:val="00434D71"/>
    <w:rsid w:val="00434E72"/>
    <w:rsid w:val="00434FD3"/>
    <w:rsid w:val="004350AA"/>
    <w:rsid w:val="0043541D"/>
    <w:rsid w:val="00435513"/>
    <w:rsid w:val="0043599A"/>
    <w:rsid w:val="00435DE7"/>
    <w:rsid w:val="00435EB6"/>
    <w:rsid w:val="0043608D"/>
    <w:rsid w:val="0043617B"/>
    <w:rsid w:val="00436189"/>
    <w:rsid w:val="0043621A"/>
    <w:rsid w:val="004364BB"/>
    <w:rsid w:val="00436643"/>
    <w:rsid w:val="004366A5"/>
    <w:rsid w:val="00436762"/>
    <w:rsid w:val="00436914"/>
    <w:rsid w:val="00436C62"/>
    <w:rsid w:val="00436CB6"/>
    <w:rsid w:val="00436E68"/>
    <w:rsid w:val="004373A7"/>
    <w:rsid w:val="004377B3"/>
    <w:rsid w:val="004379AC"/>
    <w:rsid w:val="00437A1B"/>
    <w:rsid w:val="00437BCA"/>
    <w:rsid w:val="00437C1C"/>
    <w:rsid w:val="00437D7F"/>
    <w:rsid w:val="00437D85"/>
    <w:rsid w:val="004403B6"/>
    <w:rsid w:val="004403B7"/>
    <w:rsid w:val="004403D8"/>
    <w:rsid w:val="00440574"/>
    <w:rsid w:val="00440589"/>
    <w:rsid w:val="00440636"/>
    <w:rsid w:val="004407CB"/>
    <w:rsid w:val="00440A18"/>
    <w:rsid w:val="00440A5E"/>
    <w:rsid w:val="00440A66"/>
    <w:rsid w:val="00440D3E"/>
    <w:rsid w:val="00440FE7"/>
    <w:rsid w:val="00441159"/>
    <w:rsid w:val="00441263"/>
    <w:rsid w:val="004413B6"/>
    <w:rsid w:val="00441546"/>
    <w:rsid w:val="004416B4"/>
    <w:rsid w:val="00441869"/>
    <w:rsid w:val="0044189A"/>
    <w:rsid w:val="00441AD8"/>
    <w:rsid w:val="0044223F"/>
    <w:rsid w:val="0044240C"/>
    <w:rsid w:val="004425F8"/>
    <w:rsid w:val="00442878"/>
    <w:rsid w:val="00443037"/>
    <w:rsid w:val="00443086"/>
    <w:rsid w:val="0044321F"/>
    <w:rsid w:val="0044367C"/>
    <w:rsid w:val="004437E9"/>
    <w:rsid w:val="0044390F"/>
    <w:rsid w:val="00443E75"/>
    <w:rsid w:val="00443EAF"/>
    <w:rsid w:val="00443EC6"/>
    <w:rsid w:val="00443F38"/>
    <w:rsid w:val="00443F6D"/>
    <w:rsid w:val="0044443C"/>
    <w:rsid w:val="00444563"/>
    <w:rsid w:val="0044479F"/>
    <w:rsid w:val="0044492B"/>
    <w:rsid w:val="004449FB"/>
    <w:rsid w:val="00444B90"/>
    <w:rsid w:val="00444F8D"/>
    <w:rsid w:val="0044503E"/>
    <w:rsid w:val="0044520C"/>
    <w:rsid w:val="0044562D"/>
    <w:rsid w:val="004458DE"/>
    <w:rsid w:val="00445957"/>
    <w:rsid w:val="004459B2"/>
    <w:rsid w:val="004459E5"/>
    <w:rsid w:val="00445A5D"/>
    <w:rsid w:val="00445DF6"/>
    <w:rsid w:val="00445FF1"/>
    <w:rsid w:val="00446163"/>
    <w:rsid w:val="00446169"/>
    <w:rsid w:val="0044617E"/>
    <w:rsid w:val="00446258"/>
    <w:rsid w:val="00446376"/>
    <w:rsid w:val="00446475"/>
    <w:rsid w:val="004465B9"/>
    <w:rsid w:val="00446BB9"/>
    <w:rsid w:val="00446F2A"/>
    <w:rsid w:val="004470A5"/>
    <w:rsid w:val="004471E2"/>
    <w:rsid w:val="00447208"/>
    <w:rsid w:val="0044739A"/>
    <w:rsid w:val="0044780E"/>
    <w:rsid w:val="0044788C"/>
    <w:rsid w:val="00447D16"/>
    <w:rsid w:val="00447E3C"/>
    <w:rsid w:val="004500B1"/>
    <w:rsid w:val="00450166"/>
    <w:rsid w:val="00450766"/>
    <w:rsid w:val="00450890"/>
    <w:rsid w:val="004508E2"/>
    <w:rsid w:val="00450A99"/>
    <w:rsid w:val="00450DA1"/>
    <w:rsid w:val="004513E8"/>
    <w:rsid w:val="0045174C"/>
    <w:rsid w:val="00451779"/>
    <w:rsid w:val="004519DA"/>
    <w:rsid w:val="00451BDA"/>
    <w:rsid w:val="00451C9D"/>
    <w:rsid w:val="00451F4D"/>
    <w:rsid w:val="00451F7A"/>
    <w:rsid w:val="004523B1"/>
    <w:rsid w:val="0045253C"/>
    <w:rsid w:val="004525AF"/>
    <w:rsid w:val="0045264D"/>
    <w:rsid w:val="004527F1"/>
    <w:rsid w:val="00452837"/>
    <w:rsid w:val="00452B89"/>
    <w:rsid w:val="00452CCE"/>
    <w:rsid w:val="00452D2C"/>
    <w:rsid w:val="00453337"/>
    <w:rsid w:val="004534DA"/>
    <w:rsid w:val="004535D6"/>
    <w:rsid w:val="00453631"/>
    <w:rsid w:val="00453930"/>
    <w:rsid w:val="00453B38"/>
    <w:rsid w:val="00453B4F"/>
    <w:rsid w:val="00453BA0"/>
    <w:rsid w:val="00453BCA"/>
    <w:rsid w:val="00453BCC"/>
    <w:rsid w:val="00453E29"/>
    <w:rsid w:val="00453E87"/>
    <w:rsid w:val="00454108"/>
    <w:rsid w:val="00454135"/>
    <w:rsid w:val="0045422D"/>
    <w:rsid w:val="00454268"/>
    <w:rsid w:val="004542D0"/>
    <w:rsid w:val="0045459A"/>
    <w:rsid w:val="0045459F"/>
    <w:rsid w:val="00454708"/>
    <w:rsid w:val="0045475E"/>
    <w:rsid w:val="00454781"/>
    <w:rsid w:val="00454E5D"/>
    <w:rsid w:val="00454ECE"/>
    <w:rsid w:val="00455236"/>
    <w:rsid w:val="004555A9"/>
    <w:rsid w:val="004556E9"/>
    <w:rsid w:val="004557B7"/>
    <w:rsid w:val="004559C6"/>
    <w:rsid w:val="00455C02"/>
    <w:rsid w:val="00455FD1"/>
    <w:rsid w:val="004560C4"/>
    <w:rsid w:val="0045639F"/>
    <w:rsid w:val="004563CE"/>
    <w:rsid w:val="004564A6"/>
    <w:rsid w:val="004564FE"/>
    <w:rsid w:val="00456AE6"/>
    <w:rsid w:val="00456FC5"/>
    <w:rsid w:val="0045731E"/>
    <w:rsid w:val="00457351"/>
    <w:rsid w:val="004574EA"/>
    <w:rsid w:val="004575B4"/>
    <w:rsid w:val="00457659"/>
    <w:rsid w:val="004577FB"/>
    <w:rsid w:val="00457AA1"/>
    <w:rsid w:val="00457C0A"/>
    <w:rsid w:val="00457C19"/>
    <w:rsid w:val="00457D14"/>
    <w:rsid w:val="00457ED2"/>
    <w:rsid w:val="004600BF"/>
    <w:rsid w:val="004606A4"/>
    <w:rsid w:val="00460749"/>
    <w:rsid w:val="00460755"/>
    <w:rsid w:val="00460962"/>
    <w:rsid w:val="00460B04"/>
    <w:rsid w:val="00460B43"/>
    <w:rsid w:val="00460B7D"/>
    <w:rsid w:val="00460CD3"/>
    <w:rsid w:val="00460D44"/>
    <w:rsid w:val="00461123"/>
    <w:rsid w:val="00461151"/>
    <w:rsid w:val="004613B6"/>
    <w:rsid w:val="004613EF"/>
    <w:rsid w:val="00461AB2"/>
    <w:rsid w:val="00461B85"/>
    <w:rsid w:val="00461D42"/>
    <w:rsid w:val="00461E1F"/>
    <w:rsid w:val="00461E29"/>
    <w:rsid w:val="00461E78"/>
    <w:rsid w:val="00461FF3"/>
    <w:rsid w:val="004623B4"/>
    <w:rsid w:val="0046244D"/>
    <w:rsid w:val="004624C9"/>
    <w:rsid w:val="004624CF"/>
    <w:rsid w:val="00462518"/>
    <w:rsid w:val="004627B0"/>
    <w:rsid w:val="00462862"/>
    <w:rsid w:val="00462B8C"/>
    <w:rsid w:val="00462E39"/>
    <w:rsid w:val="00462E70"/>
    <w:rsid w:val="00463126"/>
    <w:rsid w:val="00463646"/>
    <w:rsid w:val="00463841"/>
    <w:rsid w:val="004638E7"/>
    <w:rsid w:val="00463966"/>
    <w:rsid w:val="004639AE"/>
    <w:rsid w:val="00463DB8"/>
    <w:rsid w:val="004640C0"/>
    <w:rsid w:val="004640FA"/>
    <w:rsid w:val="004642DE"/>
    <w:rsid w:val="0046498A"/>
    <w:rsid w:val="00464A55"/>
    <w:rsid w:val="00464B80"/>
    <w:rsid w:val="00464C1E"/>
    <w:rsid w:val="00464D3B"/>
    <w:rsid w:val="004655B3"/>
    <w:rsid w:val="00465ABC"/>
    <w:rsid w:val="00465CEC"/>
    <w:rsid w:val="004661D2"/>
    <w:rsid w:val="00466AE5"/>
    <w:rsid w:val="00466C13"/>
    <w:rsid w:val="00466C22"/>
    <w:rsid w:val="00466DD2"/>
    <w:rsid w:val="00466DEE"/>
    <w:rsid w:val="00467013"/>
    <w:rsid w:val="004671C4"/>
    <w:rsid w:val="004676AC"/>
    <w:rsid w:val="00467A45"/>
    <w:rsid w:val="00467ADE"/>
    <w:rsid w:val="00467B61"/>
    <w:rsid w:val="00467BE4"/>
    <w:rsid w:val="00467C9E"/>
    <w:rsid w:val="00467FBF"/>
    <w:rsid w:val="00470324"/>
    <w:rsid w:val="004703FC"/>
    <w:rsid w:val="0047081A"/>
    <w:rsid w:val="0047091E"/>
    <w:rsid w:val="00470D15"/>
    <w:rsid w:val="00470DF1"/>
    <w:rsid w:val="0047111F"/>
    <w:rsid w:val="004711E9"/>
    <w:rsid w:val="0047132B"/>
    <w:rsid w:val="00471425"/>
    <w:rsid w:val="004715AA"/>
    <w:rsid w:val="00471680"/>
    <w:rsid w:val="00471740"/>
    <w:rsid w:val="00471D3F"/>
    <w:rsid w:val="00471E30"/>
    <w:rsid w:val="00471FA4"/>
    <w:rsid w:val="00471FF7"/>
    <w:rsid w:val="00472158"/>
    <w:rsid w:val="004721B3"/>
    <w:rsid w:val="00472388"/>
    <w:rsid w:val="00472469"/>
    <w:rsid w:val="00472730"/>
    <w:rsid w:val="004728B7"/>
    <w:rsid w:val="004728B9"/>
    <w:rsid w:val="00472938"/>
    <w:rsid w:val="00472A76"/>
    <w:rsid w:val="00472E3F"/>
    <w:rsid w:val="00472F42"/>
    <w:rsid w:val="00473041"/>
    <w:rsid w:val="00473418"/>
    <w:rsid w:val="004738C8"/>
    <w:rsid w:val="00473A39"/>
    <w:rsid w:val="00473B1E"/>
    <w:rsid w:val="00473D61"/>
    <w:rsid w:val="00473D71"/>
    <w:rsid w:val="00474324"/>
    <w:rsid w:val="004744C6"/>
    <w:rsid w:val="0047459F"/>
    <w:rsid w:val="0047470E"/>
    <w:rsid w:val="00474885"/>
    <w:rsid w:val="00474C74"/>
    <w:rsid w:val="00474DDB"/>
    <w:rsid w:val="00474E01"/>
    <w:rsid w:val="00474E8D"/>
    <w:rsid w:val="00474F65"/>
    <w:rsid w:val="004750BE"/>
    <w:rsid w:val="004753DD"/>
    <w:rsid w:val="004755EB"/>
    <w:rsid w:val="0047590A"/>
    <w:rsid w:val="00475A44"/>
    <w:rsid w:val="00475AD9"/>
    <w:rsid w:val="00475B98"/>
    <w:rsid w:val="00475D1E"/>
    <w:rsid w:val="00475E7D"/>
    <w:rsid w:val="004760D3"/>
    <w:rsid w:val="00476142"/>
    <w:rsid w:val="004764F8"/>
    <w:rsid w:val="004766F8"/>
    <w:rsid w:val="0047679D"/>
    <w:rsid w:val="004768F2"/>
    <w:rsid w:val="00476984"/>
    <w:rsid w:val="00476BB7"/>
    <w:rsid w:val="00476BBA"/>
    <w:rsid w:val="00476E31"/>
    <w:rsid w:val="004773EE"/>
    <w:rsid w:val="0047742B"/>
    <w:rsid w:val="00477A57"/>
    <w:rsid w:val="00477CE9"/>
    <w:rsid w:val="00477DD9"/>
    <w:rsid w:val="00477DE3"/>
    <w:rsid w:val="00477E88"/>
    <w:rsid w:val="004801C1"/>
    <w:rsid w:val="004805DD"/>
    <w:rsid w:val="0048071A"/>
    <w:rsid w:val="00480AB6"/>
    <w:rsid w:val="00480C07"/>
    <w:rsid w:val="00480CB0"/>
    <w:rsid w:val="00480D98"/>
    <w:rsid w:val="00480E42"/>
    <w:rsid w:val="00481236"/>
    <w:rsid w:val="004812D8"/>
    <w:rsid w:val="0048176F"/>
    <w:rsid w:val="004818B6"/>
    <w:rsid w:val="0048230F"/>
    <w:rsid w:val="004823C3"/>
    <w:rsid w:val="0048267D"/>
    <w:rsid w:val="00482BB6"/>
    <w:rsid w:val="0048302E"/>
    <w:rsid w:val="004830CF"/>
    <w:rsid w:val="00483435"/>
    <w:rsid w:val="0048346B"/>
    <w:rsid w:val="00483648"/>
    <w:rsid w:val="004836A2"/>
    <w:rsid w:val="00483823"/>
    <w:rsid w:val="00483913"/>
    <w:rsid w:val="00483988"/>
    <w:rsid w:val="00483BEB"/>
    <w:rsid w:val="00483C17"/>
    <w:rsid w:val="00483DB5"/>
    <w:rsid w:val="00484051"/>
    <w:rsid w:val="004840AA"/>
    <w:rsid w:val="0048437E"/>
    <w:rsid w:val="004843D1"/>
    <w:rsid w:val="004844E7"/>
    <w:rsid w:val="004848CA"/>
    <w:rsid w:val="00484A09"/>
    <w:rsid w:val="00484B2F"/>
    <w:rsid w:val="00484B94"/>
    <w:rsid w:val="00484B97"/>
    <w:rsid w:val="00484BF8"/>
    <w:rsid w:val="00484E2B"/>
    <w:rsid w:val="00484E37"/>
    <w:rsid w:val="004850BF"/>
    <w:rsid w:val="004850EF"/>
    <w:rsid w:val="00485420"/>
    <w:rsid w:val="00485620"/>
    <w:rsid w:val="004856D6"/>
    <w:rsid w:val="00485B78"/>
    <w:rsid w:val="00485CC8"/>
    <w:rsid w:val="00486157"/>
    <w:rsid w:val="004866A5"/>
    <w:rsid w:val="004866E7"/>
    <w:rsid w:val="00486764"/>
    <w:rsid w:val="00486814"/>
    <w:rsid w:val="00486865"/>
    <w:rsid w:val="00486903"/>
    <w:rsid w:val="00486A14"/>
    <w:rsid w:val="00486B36"/>
    <w:rsid w:val="00486BE5"/>
    <w:rsid w:val="00486CD5"/>
    <w:rsid w:val="00486CE6"/>
    <w:rsid w:val="00486CE9"/>
    <w:rsid w:val="004874ED"/>
    <w:rsid w:val="00487592"/>
    <w:rsid w:val="004876B0"/>
    <w:rsid w:val="004877DD"/>
    <w:rsid w:val="00487820"/>
    <w:rsid w:val="0048785E"/>
    <w:rsid w:val="00487A57"/>
    <w:rsid w:val="00487B1A"/>
    <w:rsid w:val="00487D58"/>
    <w:rsid w:val="00487D7D"/>
    <w:rsid w:val="00487DBE"/>
    <w:rsid w:val="00487DFF"/>
    <w:rsid w:val="004904B9"/>
    <w:rsid w:val="0049073F"/>
    <w:rsid w:val="004909DC"/>
    <w:rsid w:val="004912A4"/>
    <w:rsid w:val="004913D3"/>
    <w:rsid w:val="00491536"/>
    <w:rsid w:val="00491FBF"/>
    <w:rsid w:val="00491FFE"/>
    <w:rsid w:val="0049201E"/>
    <w:rsid w:val="00492201"/>
    <w:rsid w:val="00492286"/>
    <w:rsid w:val="004924F5"/>
    <w:rsid w:val="004926F8"/>
    <w:rsid w:val="00492765"/>
    <w:rsid w:val="004927EE"/>
    <w:rsid w:val="00492BE9"/>
    <w:rsid w:val="00492D96"/>
    <w:rsid w:val="00492FF0"/>
    <w:rsid w:val="00493292"/>
    <w:rsid w:val="004936D4"/>
    <w:rsid w:val="004938AF"/>
    <w:rsid w:val="00493C3B"/>
    <w:rsid w:val="004941D0"/>
    <w:rsid w:val="0049448A"/>
    <w:rsid w:val="00494A6B"/>
    <w:rsid w:val="00494C2B"/>
    <w:rsid w:val="00495247"/>
    <w:rsid w:val="00495359"/>
    <w:rsid w:val="0049591A"/>
    <w:rsid w:val="00495993"/>
    <w:rsid w:val="004959E1"/>
    <w:rsid w:val="00495B87"/>
    <w:rsid w:val="00495BBF"/>
    <w:rsid w:val="00495BDC"/>
    <w:rsid w:val="00495C2D"/>
    <w:rsid w:val="00495E1D"/>
    <w:rsid w:val="00496067"/>
    <w:rsid w:val="004960B4"/>
    <w:rsid w:val="004961FB"/>
    <w:rsid w:val="0049632E"/>
    <w:rsid w:val="00496510"/>
    <w:rsid w:val="004967B6"/>
    <w:rsid w:val="004968F4"/>
    <w:rsid w:val="00496A9F"/>
    <w:rsid w:val="00496BCF"/>
    <w:rsid w:val="00496D1D"/>
    <w:rsid w:val="00496DD1"/>
    <w:rsid w:val="00496F80"/>
    <w:rsid w:val="004970FB"/>
    <w:rsid w:val="004971F3"/>
    <w:rsid w:val="00497300"/>
    <w:rsid w:val="004975FB"/>
    <w:rsid w:val="00497791"/>
    <w:rsid w:val="00497915"/>
    <w:rsid w:val="00497B9E"/>
    <w:rsid w:val="00497C6E"/>
    <w:rsid w:val="004A000F"/>
    <w:rsid w:val="004A0015"/>
    <w:rsid w:val="004A00A3"/>
    <w:rsid w:val="004A0260"/>
    <w:rsid w:val="004A03DE"/>
    <w:rsid w:val="004A0A3C"/>
    <w:rsid w:val="004A0BA3"/>
    <w:rsid w:val="004A0E5A"/>
    <w:rsid w:val="004A1000"/>
    <w:rsid w:val="004A10B1"/>
    <w:rsid w:val="004A1118"/>
    <w:rsid w:val="004A1166"/>
    <w:rsid w:val="004A1362"/>
    <w:rsid w:val="004A138D"/>
    <w:rsid w:val="004A15A7"/>
    <w:rsid w:val="004A173D"/>
    <w:rsid w:val="004A1A15"/>
    <w:rsid w:val="004A1B98"/>
    <w:rsid w:val="004A210C"/>
    <w:rsid w:val="004A230D"/>
    <w:rsid w:val="004A2992"/>
    <w:rsid w:val="004A2A5B"/>
    <w:rsid w:val="004A2ECF"/>
    <w:rsid w:val="004A2F26"/>
    <w:rsid w:val="004A2FAF"/>
    <w:rsid w:val="004A2FC1"/>
    <w:rsid w:val="004A3095"/>
    <w:rsid w:val="004A3125"/>
    <w:rsid w:val="004A333A"/>
    <w:rsid w:val="004A3485"/>
    <w:rsid w:val="004A362F"/>
    <w:rsid w:val="004A3852"/>
    <w:rsid w:val="004A38B2"/>
    <w:rsid w:val="004A3919"/>
    <w:rsid w:val="004A3998"/>
    <w:rsid w:val="004A3AE9"/>
    <w:rsid w:val="004A40A6"/>
    <w:rsid w:val="004A41C0"/>
    <w:rsid w:val="004A49B1"/>
    <w:rsid w:val="004A4B4C"/>
    <w:rsid w:val="004A4C7D"/>
    <w:rsid w:val="004A4D26"/>
    <w:rsid w:val="004A4D77"/>
    <w:rsid w:val="004A4DB1"/>
    <w:rsid w:val="004A5051"/>
    <w:rsid w:val="004A532F"/>
    <w:rsid w:val="004A55E6"/>
    <w:rsid w:val="004A56F0"/>
    <w:rsid w:val="004A58C3"/>
    <w:rsid w:val="004A58D2"/>
    <w:rsid w:val="004A5912"/>
    <w:rsid w:val="004A593E"/>
    <w:rsid w:val="004A5A35"/>
    <w:rsid w:val="004A5D4D"/>
    <w:rsid w:val="004A5F38"/>
    <w:rsid w:val="004A611B"/>
    <w:rsid w:val="004A612C"/>
    <w:rsid w:val="004A63C6"/>
    <w:rsid w:val="004A69E5"/>
    <w:rsid w:val="004A6A80"/>
    <w:rsid w:val="004A6B1A"/>
    <w:rsid w:val="004A6B7F"/>
    <w:rsid w:val="004A6CCE"/>
    <w:rsid w:val="004A6D88"/>
    <w:rsid w:val="004A6F55"/>
    <w:rsid w:val="004A7415"/>
    <w:rsid w:val="004A74BC"/>
    <w:rsid w:val="004A74D4"/>
    <w:rsid w:val="004A75BE"/>
    <w:rsid w:val="004A77AD"/>
    <w:rsid w:val="004A7998"/>
    <w:rsid w:val="004A7AD7"/>
    <w:rsid w:val="004A7DFC"/>
    <w:rsid w:val="004A7F33"/>
    <w:rsid w:val="004B05D3"/>
    <w:rsid w:val="004B066C"/>
    <w:rsid w:val="004B0755"/>
    <w:rsid w:val="004B0770"/>
    <w:rsid w:val="004B0B32"/>
    <w:rsid w:val="004B0D7F"/>
    <w:rsid w:val="004B0DB6"/>
    <w:rsid w:val="004B0E0F"/>
    <w:rsid w:val="004B15C7"/>
    <w:rsid w:val="004B1EE9"/>
    <w:rsid w:val="004B1FD9"/>
    <w:rsid w:val="004B2354"/>
    <w:rsid w:val="004B2414"/>
    <w:rsid w:val="004B2512"/>
    <w:rsid w:val="004B2569"/>
    <w:rsid w:val="004B25DD"/>
    <w:rsid w:val="004B25FB"/>
    <w:rsid w:val="004B2732"/>
    <w:rsid w:val="004B2804"/>
    <w:rsid w:val="004B28CE"/>
    <w:rsid w:val="004B2BD4"/>
    <w:rsid w:val="004B2D5A"/>
    <w:rsid w:val="004B2D76"/>
    <w:rsid w:val="004B2DFD"/>
    <w:rsid w:val="004B2E0D"/>
    <w:rsid w:val="004B2F14"/>
    <w:rsid w:val="004B304F"/>
    <w:rsid w:val="004B319C"/>
    <w:rsid w:val="004B32F4"/>
    <w:rsid w:val="004B34EA"/>
    <w:rsid w:val="004B3591"/>
    <w:rsid w:val="004B37B2"/>
    <w:rsid w:val="004B37C2"/>
    <w:rsid w:val="004B37EA"/>
    <w:rsid w:val="004B381B"/>
    <w:rsid w:val="004B3824"/>
    <w:rsid w:val="004B382B"/>
    <w:rsid w:val="004B397D"/>
    <w:rsid w:val="004B3995"/>
    <w:rsid w:val="004B3A19"/>
    <w:rsid w:val="004B3BA0"/>
    <w:rsid w:val="004B3BEB"/>
    <w:rsid w:val="004B3C97"/>
    <w:rsid w:val="004B3E0A"/>
    <w:rsid w:val="004B3EE3"/>
    <w:rsid w:val="004B42D6"/>
    <w:rsid w:val="004B42D9"/>
    <w:rsid w:val="004B42FD"/>
    <w:rsid w:val="004B47E7"/>
    <w:rsid w:val="004B4881"/>
    <w:rsid w:val="004B4A0E"/>
    <w:rsid w:val="004B4C25"/>
    <w:rsid w:val="004B4ED9"/>
    <w:rsid w:val="004B505E"/>
    <w:rsid w:val="004B53E7"/>
    <w:rsid w:val="004B5494"/>
    <w:rsid w:val="004B5603"/>
    <w:rsid w:val="004B568D"/>
    <w:rsid w:val="004B57DA"/>
    <w:rsid w:val="004B59F2"/>
    <w:rsid w:val="004B5F82"/>
    <w:rsid w:val="004B5FCB"/>
    <w:rsid w:val="004B6232"/>
    <w:rsid w:val="004B6425"/>
    <w:rsid w:val="004B6512"/>
    <w:rsid w:val="004B655C"/>
    <w:rsid w:val="004B683F"/>
    <w:rsid w:val="004B6A9E"/>
    <w:rsid w:val="004B6D15"/>
    <w:rsid w:val="004B6D66"/>
    <w:rsid w:val="004B6E99"/>
    <w:rsid w:val="004B6EDD"/>
    <w:rsid w:val="004B705F"/>
    <w:rsid w:val="004B70F2"/>
    <w:rsid w:val="004B72FC"/>
    <w:rsid w:val="004B7513"/>
    <w:rsid w:val="004B7725"/>
    <w:rsid w:val="004B7857"/>
    <w:rsid w:val="004B7BB4"/>
    <w:rsid w:val="004B7C20"/>
    <w:rsid w:val="004C0034"/>
    <w:rsid w:val="004C036E"/>
    <w:rsid w:val="004C0478"/>
    <w:rsid w:val="004C0525"/>
    <w:rsid w:val="004C0879"/>
    <w:rsid w:val="004C0B14"/>
    <w:rsid w:val="004C0E8F"/>
    <w:rsid w:val="004C111B"/>
    <w:rsid w:val="004C143C"/>
    <w:rsid w:val="004C148E"/>
    <w:rsid w:val="004C17B0"/>
    <w:rsid w:val="004C17ED"/>
    <w:rsid w:val="004C1C00"/>
    <w:rsid w:val="004C1D3F"/>
    <w:rsid w:val="004C1EFB"/>
    <w:rsid w:val="004C21EE"/>
    <w:rsid w:val="004C22D5"/>
    <w:rsid w:val="004C2550"/>
    <w:rsid w:val="004C2FD8"/>
    <w:rsid w:val="004C3170"/>
    <w:rsid w:val="004C3247"/>
    <w:rsid w:val="004C3329"/>
    <w:rsid w:val="004C336E"/>
    <w:rsid w:val="004C3660"/>
    <w:rsid w:val="004C3983"/>
    <w:rsid w:val="004C3AE8"/>
    <w:rsid w:val="004C4004"/>
    <w:rsid w:val="004C481C"/>
    <w:rsid w:val="004C4DA7"/>
    <w:rsid w:val="004C50D3"/>
    <w:rsid w:val="004C5220"/>
    <w:rsid w:val="004C530C"/>
    <w:rsid w:val="004C5587"/>
    <w:rsid w:val="004C5679"/>
    <w:rsid w:val="004C5886"/>
    <w:rsid w:val="004C5961"/>
    <w:rsid w:val="004C5A29"/>
    <w:rsid w:val="004C5B0E"/>
    <w:rsid w:val="004C5CA7"/>
    <w:rsid w:val="004C5FBF"/>
    <w:rsid w:val="004C60E9"/>
    <w:rsid w:val="004C612C"/>
    <w:rsid w:val="004C6287"/>
    <w:rsid w:val="004C6309"/>
    <w:rsid w:val="004C646D"/>
    <w:rsid w:val="004C69E0"/>
    <w:rsid w:val="004C6F35"/>
    <w:rsid w:val="004C7677"/>
    <w:rsid w:val="004C767F"/>
    <w:rsid w:val="004C7A2B"/>
    <w:rsid w:val="004C7D3A"/>
    <w:rsid w:val="004C7FD5"/>
    <w:rsid w:val="004D00BB"/>
    <w:rsid w:val="004D02DB"/>
    <w:rsid w:val="004D042B"/>
    <w:rsid w:val="004D0431"/>
    <w:rsid w:val="004D04C8"/>
    <w:rsid w:val="004D065F"/>
    <w:rsid w:val="004D0875"/>
    <w:rsid w:val="004D091B"/>
    <w:rsid w:val="004D09EA"/>
    <w:rsid w:val="004D0AFB"/>
    <w:rsid w:val="004D0F6F"/>
    <w:rsid w:val="004D1169"/>
    <w:rsid w:val="004D12EC"/>
    <w:rsid w:val="004D1543"/>
    <w:rsid w:val="004D1654"/>
    <w:rsid w:val="004D1923"/>
    <w:rsid w:val="004D1E64"/>
    <w:rsid w:val="004D224E"/>
    <w:rsid w:val="004D23F0"/>
    <w:rsid w:val="004D24F7"/>
    <w:rsid w:val="004D2975"/>
    <w:rsid w:val="004D29D8"/>
    <w:rsid w:val="004D2BD9"/>
    <w:rsid w:val="004D2C12"/>
    <w:rsid w:val="004D2C47"/>
    <w:rsid w:val="004D2D2F"/>
    <w:rsid w:val="004D2FD3"/>
    <w:rsid w:val="004D30E7"/>
    <w:rsid w:val="004D32F8"/>
    <w:rsid w:val="004D3342"/>
    <w:rsid w:val="004D334C"/>
    <w:rsid w:val="004D344A"/>
    <w:rsid w:val="004D36C3"/>
    <w:rsid w:val="004D371D"/>
    <w:rsid w:val="004D3819"/>
    <w:rsid w:val="004D3AFC"/>
    <w:rsid w:val="004D3DE8"/>
    <w:rsid w:val="004D41DA"/>
    <w:rsid w:val="004D47F6"/>
    <w:rsid w:val="004D4A53"/>
    <w:rsid w:val="004D4B50"/>
    <w:rsid w:val="004D4B56"/>
    <w:rsid w:val="004D51B9"/>
    <w:rsid w:val="004D5380"/>
    <w:rsid w:val="004D53EC"/>
    <w:rsid w:val="004D562B"/>
    <w:rsid w:val="004D5F8B"/>
    <w:rsid w:val="004D5FE0"/>
    <w:rsid w:val="004D607D"/>
    <w:rsid w:val="004D6346"/>
    <w:rsid w:val="004D64C1"/>
    <w:rsid w:val="004D694B"/>
    <w:rsid w:val="004D6AF0"/>
    <w:rsid w:val="004D6C8C"/>
    <w:rsid w:val="004D6E6A"/>
    <w:rsid w:val="004D6F4F"/>
    <w:rsid w:val="004D72FB"/>
    <w:rsid w:val="004D731D"/>
    <w:rsid w:val="004D736C"/>
    <w:rsid w:val="004D765B"/>
    <w:rsid w:val="004D793B"/>
    <w:rsid w:val="004D7B33"/>
    <w:rsid w:val="004D7C59"/>
    <w:rsid w:val="004D7CDE"/>
    <w:rsid w:val="004E0007"/>
    <w:rsid w:val="004E00C5"/>
    <w:rsid w:val="004E00FD"/>
    <w:rsid w:val="004E03B6"/>
    <w:rsid w:val="004E053D"/>
    <w:rsid w:val="004E0675"/>
    <w:rsid w:val="004E0BC5"/>
    <w:rsid w:val="004E0C70"/>
    <w:rsid w:val="004E0D1E"/>
    <w:rsid w:val="004E11E4"/>
    <w:rsid w:val="004E1458"/>
    <w:rsid w:val="004E1583"/>
    <w:rsid w:val="004E15D0"/>
    <w:rsid w:val="004E15DB"/>
    <w:rsid w:val="004E1608"/>
    <w:rsid w:val="004E170D"/>
    <w:rsid w:val="004E1965"/>
    <w:rsid w:val="004E19ED"/>
    <w:rsid w:val="004E1C81"/>
    <w:rsid w:val="004E1DC7"/>
    <w:rsid w:val="004E21BB"/>
    <w:rsid w:val="004E2383"/>
    <w:rsid w:val="004E244A"/>
    <w:rsid w:val="004E2479"/>
    <w:rsid w:val="004E2547"/>
    <w:rsid w:val="004E273F"/>
    <w:rsid w:val="004E319D"/>
    <w:rsid w:val="004E3441"/>
    <w:rsid w:val="004E353C"/>
    <w:rsid w:val="004E3819"/>
    <w:rsid w:val="004E3833"/>
    <w:rsid w:val="004E3D6B"/>
    <w:rsid w:val="004E40A4"/>
    <w:rsid w:val="004E4551"/>
    <w:rsid w:val="004E4603"/>
    <w:rsid w:val="004E48A1"/>
    <w:rsid w:val="004E498D"/>
    <w:rsid w:val="004E4EF6"/>
    <w:rsid w:val="004E503E"/>
    <w:rsid w:val="004E5117"/>
    <w:rsid w:val="004E51C2"/>
    <w:rsid w:val="004E51FF"/>
    <w:rsid w:val="004E54DC"/>
    <w:rsid w:val="004E578C"/>
    <w:rsid w:val="004E57B3"/>
    <w:rsid w:val="004E59CE"/>
    <w:rsid w:val="004E5A1B"/>
    <w:rsid w:val="004E5C42"/>
    <w:rsid w:val="004E5D24"/>
    <w:rsid w:val="004E6500"/>
    <w:rsid w:val="004E69C2"/>
    <w:rsid w:val="004E6B27"/>
    <w:rsid w:val="004E6E63"/>
    <w:rsid w:val="004E6E89"/>
    <w:rsid w:val="004E6F42"/>
    <w:rsid w:val="004E70B8"/>
    <w:rsid w:val="004E7337"/>
    <w:rsid w:val="004E74D4"/>
    <w:rsid w:val="004E74F5"/>
    <w:rsid w:val="004E751E"/>
    <w:rsid w:val="004E7568"/>
    <w:rsid w:val="004E7643"/>
    <w:rsid w:val="004E7668"/>
    <w:rsid w:val="004E76AF"/>
    <w:rsid w:val="004E7908"/>
    <w:rsid w:val="004E7C8A"/>
    <w:rsid w:val="004E7C96"/>
    <w:rsid w:val="004E7D60"/>
    <w:rsid w:val="004E7E0B"/>
    <w:rsid w:val="004F026D"/>
    <w:rsid w:val="004F02C2"/>
    <w:rsid w:val="004F02F8"/>
    <w:rsid w:val="004F050E"/>
    <w:rsid w:val="004F0813"/>
    <w:rsid w:val="004F0985"/>
    <w:rsid w:val="004F0AF6"/>
    <w:rsid w:val="004F0BF0"/>
    <w:rsid w:val="004F0C35"/>
    <w:rsid w:val="004F0E04"/>
    <w:rsid w:val="004F1177"/>
    <w:rsid w:val="004F140E"/>
    <w:rsid w:val="004F1532"/>
    <w:rsid w:val="004F15D7"/>
    <w:rsid w:val="004F169D"/>
    <w:rsid w:val="004F182E"/>
    <w:rsid w:val="004F1A3C"/>
    <w:rsid w:val="004F1C49"/>
    <w:rsid w:val="004F20D6"/>
    <w:rsid w:val="004F2107"/>
    <w:rsid w:val="004F210E"/>
    <w:rsid w:val="004F22C0"/>
    <w:rsid w:val="004F2392"/>
    <w:rsid w:val="004F2868"/>
    <w:rsid w:val="004F2BE2"/>
    <w:rsid w:val="004F2E7F"/>
    <w:rsid w:val="004F2E9C"/>
    <w:rsid w:val="004F2F7B"/>
    <w:rsid w:val="004F2FD2"/>
    <w:rsid w:val="004F3000"/>
    <w:rsid w:val="004F317B"/>
    <w:rsid w:val="004F33C7"/>
    <w:rsid w:val="004F34D7"/>
    <w:rsid w:val="004F37D2"/>
    <w:rsid w:val="004F3A50"/>
    <w:rsid w:val="004F3AD4"/>
    <w:rsid w:val="004F3CC6"/>
    <w:rsid w:val="004F3D2F"/>
    <w:rsid w:val="004F3ED7"/>
    <w:rsid w:val="004F4002"/>
    <w:rsid w:val="004F4312"/>
    <w:rsid w:val="004F450E"/>
    <w:rsid w:val="004F45AD"/>
    <w:rsid w:val="004F4605"/>
    <w:rsid w:val="004F4713"/>
    <w:rsid w:val="004F4821"/>
    <w:rsid w:val="004F4A56"/>
    <w:rsid w:val="004F4B70"/>
    <w:rsid w:val="004F4E65"/>
    <w:rsid w:val="004F54A2"/>
    <w:rsid w:val="004F5D71"/>
    <w:rsid w:val="004F5DFE"/>
    <w:rsid w:val="004F5F3B"/>
    <w:rsid w:val="004F6222"/>
    <w:rsid w:val="004F633D"/>
    <w:rsid w:val="004F64F4"/>
    <w:rsid w:val="004F67CF"/>
    <w:rsid w:val="004F6955"/>
    <w:rsid w:val="004F6B8E"/>
    <w:rsid w:val="004F6C3B"/>
    <w:rsid w:val="004F6CB2"/>
    <w:rsid w:val="004F6CD8"/>
    <w:rsid w:val="004F6E41"/>
    <w:rsid w:val="004F6F4C"/>
    <w:rsid w:val="004F710B"/>
    <w:rsid w:val="004F7153"/>
    <w:rsid w:val="004F7328"/>
    <w:rsid w:val="004F73EE"/>
    <w:rsid w:val="004F7456"/>
    <w:rsid w:val="004F7492"/>
    <w:rsid w:val="004F7524"/>
    <w:rsid w:val="004F75CB"/>
    <w:rsid w:val="004F75F8"/>
    <w:rsid w:val="004F79EA"/>
    <w:rsid w:val="004F7AD4"/>
    <w:rsid w:val="004F7BF5"/>
    <w:rsid w:val="004F7CF4"/>
    <w:rsid w:val="004F7E40"/>
    <w:rsid w:val="004F7F09"/>
    <w:rsid w:val="00500282"/>
    <w:rsid w:val="005009E2"/>
    <w:rsid w:val="00500A3F"/>
    <w:rsid w:val="00500B1C"/>
    <w:rsid w:val="00500C0D"/>
    <w:rsid w:val="00500D3F"/>
    <w:rsid w:val="00500E4D"/>
    <w:rsid w:val="00500E84"/>
    <w:rsid w:val="00501095"/>
    <w:rsid w:val="005018A8"/>
    <w:rsid w:val="00501958"/>
    <w:rsid w:val="00501AEA"/>
    <w:rsid w:val="00501B2E"/>
    <w:rsid w:val="00501BB4"/>
    <w:rsid w:val="00501CE6"/>
    <w:rsid w:val="005021AE"/>
    <w:rsid w:val="00502280"/>
    <w:rsid w:val="005024E0"/>
    <w:rsid w:val="005027D0"/>
    <w:rsid w:val="005028FF"/>
    <w:rsid w:val="00502A78"/>
    <w:rsid w:val="00502C62"/>
    <w:rsid w:val="005031C9"/>
    <w:rsid w:val="00503216"/>
    <w:rsid w:val="005032DC"/>
    <w:rsid w:val="0050344C"/>
    <w:rsid w:val="00503457"/>
    <w:rsid w:val="005035A6"/>
    <w:rsid w:val="005035DE"/>
    <w:rsid w:val="00503E75"/>
    <w:rsid w:val="00503F05"/>
    <w:rsid w:val="00503F07"/>
    <w:rsid w:val="00503FC9"/>
    <w:rsid w:val="00504314"/>
    <w:rsid w:val="005043A4"/>
    <w:rsid w:val="00504D06"/>
    <w:rsid w:val="00505049"/>
    <w:rsid w:val="00505064"/>
    <w:rsid w:val="005051E0"/>
    <w:rsid w:val="0050520F"/>
    <w:rsid w:val="0050522A"/>
    <w:rsid w:val="0050527C"/>
    <w:rsid w:val="005057D1"/>
    <w:rsid w:val="0050593C"/>
    <w:rsid w:val="00505A39"/>
    <w:rsid w:val="00505AAE"/>
    <w:rsid w:val="00505B69"/>
    <w:rsid w:val="00505BD7"/>
    <w:rsid w:val="00505CC1"/>
    <w:rsid w:val="00506031"/>
    <w:rsid w:val="00506159"/>
    <w:rsid w:val="005062AA"/>
    <w:rsid w:val="00506517"/>
    <w:rsid w:val="00506531"/>
    <w:rsid w:val="005065B2"/>
    <w:rsid w:val="00506607"/>
    <w:rsid w:val="0050660D"/>
    <w:rsid w:val="005068F6"/>
    <w:rsid w:val="00506920"/>
    <w:rsid w:val="00506AC1"/>
    <w:rsid w:val="00506B72"/>
    <w:rsid w:val="00506C3F"/>
    <w:rsid w:val="00506E63"/>
    <w:rsid w:val="00506F0D"/>
    <w:rsid w:val="00507438"/>
    <w:rsid w:val="00507745"/>
    <w:rsid w:val="00507AF1"/>
    <w:rsid w:val="00507B3A"/>
    <w:rsid w:val="00507BA4"/>
    <w:rsid w:val="00507D06"/>
    <w:rsid w:val="00507D6B"/>
    <w:rsid w:val="00507EE6"/>
    <w:rsid w:val="00507F99"/>
    <w:rsid w:val="00510509"/>
    <w:rsid w:val="0051054A"/>
    <w:rsid w:val="00510659"/>
    <w:rsid w:val="00510840"/>
    <w:rsid w:val="00510BBA"/>
    <w:rsid w:val="00510DAE"/>
    <w:rsid w:val="00511214"/>
    <w:rsid w:val="00511741"/>
    <w:rsid w:val="0051178D"/>
    <w:rsid w:val="005117FE"/>
    <w:rsid w:val="005118EE"/>
    <w:rsid w:val="00511936"/>
    <w:rsid w:val="00511A58"/>
    <w:rsid w:val="00511E2C"/>
    <w:rsid w:val="00511EEF"/>
    <w:rsid w:val="005120B1"/>
    <w:rsid w:val="005123B5"/>
    <w:rsid w:val="005127CA"/>
    <w:rsid w:val="0051282F"/>
    <w:rsid w:val="0051288D"/>
    <w:rsid w:val="00512987"/>
    <w:rsid w:val="00512A39"/>
    <w:rsid w:val="00512C19"/>
    <w:rsid w:val="00512EB3"/>
    <w:rsid w:val="0051374B"/>
    <w:rsid w:val="00513896"/>
    <w:rsid w:val="0051391F"/>
    <w:rsid w:val="00513C5D"/>
    <w:rsid w:val="00514034"/>
    <w:rsid w:val="005144C7"/>
    <w:rsid w:val="00514637"/>
    <w:rsid w:val="0051476F"/>
    <w:rsid w:val="005149A0"/>
    <w:rsid w:val="00514D0F"/>
    <w:rsid w:val="00515070"/>
    <w:rsid w:val="00515136"/>
    <w:rsid w:val="00515278"/>
    <w:rsid w:val="005152B5"/>
    <w:rsid w:val="00515442"/>
    <w:rsid w:val="00515832"/>
    <w:rsid w:val="005158EC"/>
    <w:rsid w:val="00515A25"/>
    <w:rsid w:val="00515AB0"/>
    <w:rsid w:val="00515D74"/>
    <w:rsid w:val="00515EBC"/>
    <w:rsid w:val="0051611B"/>
    <w:rsid w:val="00516397"/>
    <w:rsid w:val="00516405"/>
    <w:rsid w:val="005167E7"/>
    <w:rsid w:val="005168BF"/>
    <w:rsid w:val="00516908"/>
    <w:rsid w:val="00516B9A"/>
    <w:rsid w:val="00516D96"/>
    <w:rsid w:val="00517104"/>
    <w:rsid w:val="0051712C"/>
    <w:rsid w:val="00517658"/>
    <w:rsid w:val="005177B8"/>
    <w:rsid w:val="00517A4A"/>
    <w:rsid w:val="00517E3B"/>
    <w:rsid w:val="00517F5B"/>
    <w:rsid w:val="00520020"/>
    <w:rsid w:val="0052016F"/>
    <w:rsid w:val="00520177"/>
    <w:rsid w:val="005201DA"/>
    <w:rsid w:val="005208F3"/>
    <w:rsid w:val="00520925"/>
    <w:rsid w:val="00520C51"/>
    <w:rsid w:val="0052102E"/>
    <w:rsid w:val="00521186"/>
    <w:rsid w:val="0052163F"/>
    <w:rsid w:val="0052166A"/>
    <w:rsid w:val="005218F8"/>
    <w:rsid w:val="00521991"/>
    <w:rsid w:val="00521B70"/>
    <w:rsid w:val="00521BCF"/>
    <w:rsid w:val="00521DA8"/>
    <w:rsid w:val="00521FC1"/>
    <w:rsid w:val="005220DC"/>
    <w:rsid w:val="00522164"/>
    <w:rsid w:val="00522480"/>
    <w:rsid w:val="0052291B"/>
    <w:rsid w:val="00522BF4"/>
    <w:rsid w:val="00522E25"/>
    <w:rsid w:val="00523160"/>
    <w:rsid w:val="005233D8"/>
    <w:rsid w:val="00523564"/>
    <w:rsid w:val="005237BC"/>
    <w:rsid w:val="0052389E"/>
    <w:rsid w:val="00523977"/>
    <w:rsid w:val="00523E4B"/>
    <w:rsid w:val="00523EEB"/>
    <w:rsid w:val="005240BF"/>
    <w:rsid w:val="00524610"/>
    <w:rsid w:val="0052463B"/>
    <w:rsid w:val="00524770"/>
    <w:rsid w:val="00524DA7"/>
    <w:rsid w:val="00524F06"/>
    <w:rsid w:val="0052514B"/>
    <w:rsid w:val="00525286"/>
    <w:rsid w:val="005252E3"/>
    <w:rsid w:val="00525351"/>
    <w:rsid w:val="005253F1"/>
    <w:rsid w:val="005254DF"/>
    <w:rsid w:val="005254ED"/>
    <w:rsid w:val="00525704"/>
    <w:rsid w:val="00525952"/>
    <w:rsid w:val="00525A25"/>
    <w:rsid w:val="00525A35"/>
    <w:rsid w:val="00525AB8"/>
    <w:rsid w:val="00525B1E"/>
    <w:rsid w:val="00525FF1"/>
    <w:rsid w:val="00526702"/>
    <w:rsid w:val="005268DC"/>
    <w:rsid w:val="005268FC"/>
    <w:rsid w:val="005269CC"/>
    <w:rsid w:val="00526A95"/>
    <w:rsid w:val="00526D48"/>
    <w:rsid w:val="00526F95"/>
    <w:rsid w:val="005272A4"/>
    <w:rsid w:val="005274F0"/>
    <w:rsid w:val="0052760E"/>
    <w:rsid w:val="00527696"/>
    <w:rsid w:val="00527751"/>
    <w:rsid w:val="00527C3E"/>
    <w:rsid w:val="00527CFA"/>
    <w:rsid w:val="0052E1AA"/>
    <w:rsid w:val="00530199"/>
    <w:rsid w:val="005305F2"/>
    <w:rsid w:val="005306EE"/>
    <w:rsid w:val="005306EF"/>
    <w:rsid w:val="005307AD"/>
    <w:rsid w:val="00530BDE"/>
    <w:rsid w:val="00530D10"/>
    <w:rsid w:val="00530D8A"/>
    <w:rsid w:val="00530DE5"/>
    <w:rsid w:val="00530E66"/>
    <w:rsid w:val="00530EBD"/>
    <w:rsid w:val="00530FFB"/>
    <w:rsid w:val="00531122"/>
    <w:rsid w:val="0053134A"/>
    <w:rsid w:val="005314A9"/>
    <w:rsid w:val="0053167B"/>
    <w:rsid w:val="00531704"/>
    <w:rsid w:val="005321C1"/>
    <w:rsid w:val="005324F1"/>
    <w:rsid w:val="0053279A"/>
    <w:rsid w:val="00532A14"/>
    <w:rsid w:val="00532A40"/>
    <w:rsid w:val="00532C14"/>
    <w:rsid w:val="00532CF9"/>
    <w:rsid w:val="00532D5B"/>
    <w:rsid w:val="0053301B"/>
    <w:rsid w:val="00533130"/>
    <w:rsid w:val="0053329B"/>
    <w:rsid w:val="005332C1"/>
    <w:rsid w:val="00533332"/>
    <w:rsid w:val="005334AB"/>
    <w:rsid w:val="005335F1"/>
    <w:rsid w:val="00533737"/>
    <w:rsid w:val="00533956"/>
    <w:rsid w:val="00533A5B"/>
    <w:rsid w:val="00533AFE"/>
    <w:rsid w:val="00533CCC"/>
    <w:rsid w:val="00533D19"/>
    <w:rsid w:val="00533D2B"/>
    <w:rsid w:val="00533DD5"/>
    <w:rsid w:val="00533DE8"/>
    <w:rsid w:val="005342EF"/>
    <w:rsid w:val="005343C4"/>
    <w:rsid w:val="00534CCE"/>
    <w:rsid w:val="00534ECB"/>
    <w:rsid w:val="0053518B"/>
    <w:rsid w:val="0053598A"/>
    <w:rsid w:val="00535AA7"/>
    <w:rsid w:val="00535CC0"/>
    <w:rsid w:val="0053600B"/>
    <w:rsid w:val="00536076"/>
    <w:rsid w:val="00536125"/>
    <w:rsid w:val="00536162"/>
    <w:rsid w:val="005363AC"/>
    <w:rsid w:val="005364C2"/>
    <w:rsid w:val="00537017"/>
    <w:rsid w:val="0053712D"/>
    <w:rsid w:val="005375A2"/>
    <w:rsid w:val="005375FE"/>
    <w:rsid w:val="00537650"/>
    <w:rsid w:val="00537802"/>
    <w:rsid w:val="0053797B"/>
    <w:rsid w:val="00537BA6"/>
    <w:rsid w:val="00537C32"/>
    <w:rsid w:val="00537F2E"/>
    <w:rsid w:val="00537FB1"/>
    <w:rsid w:val="00540116"/>
    <w:rsid w:val="00540206"/>
    <w:rsid w:val="00540257"/>
    <w:rsid w:val="0054040B"/>
    <w:rsid w:val="0054063A"/>
    <w:rsid w:val="00540649"/>
    <w:rsid w:val="005406B2"/>
    <w:rsid w:val="00540D13"/>
    <w:rsid w:val="00540DFE"/>
    <w:rsid w:val="00540E7E"/>
    <w:rsid w:val="00540E8B"/>
    <w:rsid w:val="005410FC"/>
    <w:rsid w:val="0054111B"/>
    <w:rsid w:val="00541826"/>
    <w:rsid w:val="00541874"/>
    <w:rsid w:val="005419AF"/>
    <w:rsid w:val="00541A84"/>
    <w:rsid w:val="00541A9E"/>
    <w:rsid w:val="00541F52"/>
    <w:rsid w:val="00541F6E"/>
    <w:rsid w:val="005421D3"/>
    <w:rsid w:val="0054240E"/>
    <w:rsid w:val="005425B8"/>
    <w:rsid w:val="00542650"/>
    <w:rsid w:val="005426D6"/>
    <w:rsid w:val="005429EA"/>
    <w:rsid w:val="00542ADC"/>
    <w:rsid w:val="00542B9B"/>
    <w:rsid w:val="00542E73"/>
    <w:rsid w:val="00542EA9"/>
    <w:rsid w:val="00543209"/>
    <w:rsid w:val="005435E5"/>
    <w:rsid w:val="005435FC"/>
    <w:rsid w:val="005436B3"/>
    <w:rsid w:val="00543AA4"/>
    <w:rsid w:val="00543CEA"/>
    <w:rsid w:val="005440AD"/>
    <w:rsid w:val="00544119"/>
    <w:rsid w:val="00544144"/>
    <w:rsid w:val="0054419D"/>
    <w:rsid w:val="005441E9"/>
    <w:rsid w:val="00544233"/>
    <w:rsid w:val="005442BA"/>
    <w:rsid w:val="005443F3"/>
    <w:rsid w:val="0054440A"/>
    <w:rsid w:val="00544490"/>
    <w:rsid w:val="00544785"/>
    <w:rsid w:val="005447F4"/>
    <w:rsid w:val="005448E7"/>
    <w:rsid w:val="00544906"/>
    <w:rsid w:val="005449FA"/>
    <w:rsid w:val="00544E18"/>
    <w:rsid w:val="00544E67"/>
    <w:rsid w:val="00544FC1"/>
    <w:rsid w:val="00545342"/>
    <w:rsid w:val="00545579"/>
    <w:rsid w:val="00545633"/>
    <w:rsid w:val="0054566E"/>
    <w:rsid w:val="00545799"/>
    <w:rsid w:val="005457FB"/>
    <w:rsid w:val="00545A88"/>
    <w:rsid w:val="00545ACB"/>
    <w:rsid w:val="00545D94"/>
    <w:rsid w:val="0054622D"/>
    <w:rsid w:val="00546355"/>
    <w:rsid w:val="00546799"/>
    <w:rsid w:val="00546B25"/>
    <w:rsid w:val="00546C84"/>
    <w:rsid w:val="005471C6"/>
    <w:rsid w:val="005477F1"/>
    <w:rsid w:val="00547D85"/>
    <w:rsid w:val="00547DFD"/>
    <w:rsid w:val="005501B2"/>
    <w:rsid w:val="00550757"/>
    <w:rsid w:val="00550AC1"/>
    <w:rsid w:val="00550D6F"/>
    <w:rsid w:val="00550FCE"/>
    <w:rsid w:val="005510A5"/>
    <w:rsid w:val="00551166"/>
    <w:rsid w:val="0055156C"/>
    <w:rsid w:val="00551B3A"/>
    <w:rsid w:val="00551EE3"/>
    <w:rsid w:val="005520C0"/>
    <w:rsid w:val="00552421"/>
    <w:rsid w:val="005525EF"/>
    <w:rsid w:val="00552683"/>
    <w:rsid w:val="005526CB"/>
    <w:rsid w:val="0055284A"/>
    <w:rsid w:val="00552979"/>
    <w:rsid w:val="0055297D"/>
    <w:rsid w:val="00552DB7"/>
    <w:rsid w:val="00552E37"/>
    <w:rsid w:val="00553047"/>
    <w:rsid w:val="005530A7"/>
    <w:rsid w:val="005532BD"/>
    <w:rsid w:val="005533E0"/>
    <w:rsid w:val="00553876"/>
    <w:rsid w:val="00553C08"/>
    <w:rsid w:val="00553CFB"/>
    <w:rsid w:val="00553E02"/>
    <w:rsid w:val="00553E2D"/>
    <w:rsid w:val="00553FDA"/>
    <w:rsid w:val="005541FC"/>
    <w:rsid w:val="005545AE"/>
    <w:rsid w:val="005546A0"/>
    <w:rsid w:val="005546B7"/>
    <w:rsid w:val="00554C66"/>
    <w:rsid w:val="0055531A"/>
    <w:rsid w:val="0055533C"/>
    <w:rsid w:val="00555775"/>
    <w:rsid w:val="005559DE"/>
    <w:rsid w:val="00555AD6"/>
    <w:rsid w:val="00555C1A"/>
    <w:rsid w:val="00555C92"/>
    <w:rsid w:val="00555FAD"/>
    <w:rsid w:val="0055663A"/>
    <w:rsid w:val="00556699"/>
    <w:rsid w:val="00556937"/>
    <w:rsid w:val="00556C76"/>
    <w:rsid w:val="00556D56"/>
    <w:rsid w:val="00556FA4"/>
    <w:rsid w:val="0055706F"/>
    <w:rsid w:val="005571E6"/>
    <w:rsid w:val="005573F0"/>
    <w:rsid w:val="0055741D"/>
    <w:rsid w:val="0055786F"/>
    <w:rsid w:val="00557BF1"/>
    <w:rsid w:val="00557DF6"/>
    <w:rsid w:val="0056003F"/>
    <w:rsid w:val="005602E4"/>
    <w:rsid w:val="005603B9"/>
    <w:rsid w:val="00560478"/>
    <w:rsid w:val="00560481"/>
    <w:rsid w:val="0056068E"/>
    <w:rsid w:val="0056088D"/>
    <w:rsid w:val="00560B9D"/>
    <w:rsid w:val="00560C0D"/>
    <w:rsid w:val="00560DE1"/>
    <w:rsid w:val="00560E56"/>
    <w:rsid w:val="005610E0"/>
    <w:rsid w:val="00561690"/>
    <w:rsid w:val="005618A0"/>
    <w:rsid w:val="005618B3"/>
    <w:rsid w:val="00561B16"/>
    <w:rsid w:val="00561CF7"/>
    <w:rsid w:val="00561D71"/>
    <w:rsid w:val="00562053"/>
    <w:rsid w:val="005622E1"/>
    <w:rsid w:val="005624DD"/>
    <w:rsid w:val="00562695"/>
    <w:rsid w:val="005626A8"/>
    <w:rsid w:val="0056279D"/>
    <w:rsid w:val="0056280C"/>
    <w:rsid w:val="00562BC5"/>
    <w:rsid w:val="00562BDC"/>
    <w:rsid w:val="00562C28"/>
    <w:rsid w:val="00562C42"/>
    <w:rsid w:val="005633D5"/>
    <w:rsid w:val="0056345B"/>
    <w:rsid w:val="00563718"/>
    <w:rsid w:val="00563879"/>
    <w:rsid w:val="00563E2D"/>
    <w:rsid w:val="00563EA3"/>
    <w:rsid w:val="00563FA7"/>
    <w:rsid w:val="00563FBE"/>
    <w:rsid w:val="005641AD"/>
    <w:rsid w:val="0056431F"/>
    <w:rsid w:val="00564509"/>
    <w:rsid w:val="0056451F"/>
    <w:rsid w:val="0056455D"/>
    <w:rsid w:val="0056487C"/>
    <w:rsid w:val="00564AEC"/>
    <w:rsid w:val="00564DED"/>
    <w:rsid w:val="00564E7B"/>
    <w:rsid w:val="00564EB5"/>
    <w:rsid w:val="00564FDA"/>
    <w:rsid w:val="00564FF1"/>
    <w:rsid w:val="00565145"/>
    <w:rsid w:val="00565262"/>
    <w:rsid w:val="0056526E"/>
    <w:rsid w:val="0056529D"/>
    <w:rsid w:val="00565374"/>
    <w:rsid w:val="0056562B"/>
    <w:rsid w:val="00565744"/>
    <w:rsid w:val="00565932"/>
    <w:rsid w:val="00565B22"/>
    <w:rsid w:val="00565BB6"/>
    <w:rsid w:val="00565EC6"/>
    <w:rsid w:val="00565EC7"/>
    <w:rsid w:val="00566097"/>
    <w:rsid w:val="0056612B"/>
    <w:rsid w:val="00566368"/>
    <w:rsid w:val="00566433"/>
    <w:rsid w:val="0056646C"/>
    <w:rsid w:val="005664F7"/>
    <w:rsid w:val="00566D0B"/>
    <w:rsid w:val="00566E80"/>
    <w:rsid w:val="00566F8D"/>
    <w:rsid w:val="005670B6"/>
    <w:rsid w:val="00567398"/>
    <w:rsid w:val="00567544"/>
    <w:rsid w:val="005675AB"/>
    <w:rsid w:val="00567A0D"/>
    <w:rsid w:val="00567C76"/>
    <w:rsid w:val="00567E5D"/>
    <w:rsid w:val="005701D5"/>
    <w:rsid w:val="005702E5"/>
    <w:rsid w:val="00570371"/>
    <w:rsid w:val="00570590"/>
    <w:rsid w:val="0057098D"/>
    <w:rsid w:val="005709FB"/>
    <w:rsid w:val="00570E0D"/>
    <w:rsid w:val="005713A1"/>
    <w:rsid w:val="0057194A"/>
    <w:rsid w:val="00571A21"/>
    <w:rsid w:val="00571ABD"/>
    <w:rsid w:val="005720EE"/>
    <w:rsid w:val="005721FF"/>
    <w:rsid w:val="005726DD"/>
    <w:rsid w:val="00572922"/>
    <w:rsid w:val="00572952"/>
    <w:rsid w:val="005729AC"/>
    <w:rsid w:val="00572A48"/>
    <w:rsid w:val="00572BAC"/>
    <w:rsid w:val="00572C10"/>
    <w:rsid w:val="00572C4A"/>
    <w:rsid w:val="00572E0E"/>
    <w:rsid w:val="00572E2F"/>
    <w:rsid w:val="00572F0C"/>
    <w:rsid w:val="00572F7A"/>
    <w:rsid w:val="00572F8F"/>
    <w:rsid w:val="00573156"/>
    <w:rsid w:val="00573221"/>
    <w:rsid w:val="005734CA"/>
    <w:rsid w:val="00573598"/>
    <w:rsid w:val="00573631"/>
    <w:rsid w:val="005739A6"/>
    <w:rsid w:val="005739D3"/>
    <w:rsid w:val="00573B55"/>
    <w:rsid w:val="00573C36"/>
    <w:rsid w:val="00574460"/>
    <w:rsid w:val="00574486"/>
    <w:rsid w:val="005744DC"/>
    <w:rsid w:val="0057457F"/>
    <w:rsid w:val="005748E2"/>
    <w:rsid w:val="00574A20"/>
    <w:rsid w:val="00574A64"/>
    <w:rsid w:val="00574E1D"/>
    <w:rsid w:val="00574F2A"/>
    <w:rsid w:val="005751AC"/>
    <w:rsid w:val="00575275"/>
    <w:rsid w:val="0057540C"/>
    <w:rsid w:val="005757F0"/>
    <w:rsid w:val="005759ED"/>
    <w:rsid w:val="0057634A"/>
    <w:rsid w:val="005763DA"/>
    <w:rsid w:val="0057643F"/>
    <w:rsid w:val="00576459"/>
    <w:rsid w:val="00576474"/>
    <w:rsid w:val="0057689A"/>
    <w:rsid w:val="00576B30"/>
    <w:rsid w:val="00577188"/>
    <w:rsid w:val="0057721A"/>
    <w:rsid w:val="005772DB"/>
    <w:rsid w:val="005772FD"/>
    <w:rsid w:val="0057757D"/>
    <w:rsid w:val="00577647"/>
    <w:rsid w:val="005777ED"/>
    <w:rsid w:val="00577816"/>
    <w:rsid w:val="0057783C"/>
    <w:rsid w:val="00577B3B"/>
    <w:rsid w:val="00577BD8"/>
    <w:rsid w:val="00577D41"/>
    <w:rsid w:val="00577EFD"/>
    <w:rsid w:val="0058039E"/>
    <w:rsid w:val="00580A4F"/>
    <w:rsid w:val="00580AC2"/>
    <w:rsid w:val="00580B0E"/>
    <w:rsid w:val="00580BA0"/>
    <w:rsid w:val="00580D96"/>
    <w:rsid w:val="00580EA4"/>
    <w:rsid w:val="00580EB0"/>
    <w:rsid w:val="00581049"/>
    <w:rsid w:val="0058145D"/>
    <w:rsid w:val="005814AD"/>
    <w:rsid w:val="00581686"/>
    <w:rsid w:val="005817AA"/>
    <w:rsid w:val="00581C9A"/>
    <w:rsid w:val="00582290"/>
    <w:rsid w:val="0058264D"/>
    <w:rsid w:val="00582675"/>
    <w:rsid w:val="005827F3"/>
    <w:rsid w:val="005828A7"/>
    <w:rsid w:val="0058318F"/>
    <w:rsid w:val="005831C8"/>
    <w:rsid w:val="0058346D"/>
    <w:rsid w:val="005835EF"/>
    <w:rsid w:val="0058384C"/>
    <w:rsid w:val="005839F7"/>
    <w:rsid w:val="00583F1C"/>
    <w:rsid w:val="00583FFE"/>
    <w:rsid w:val="005842E4"/>
    <w:rsid w:val="0058434D"/>
    <w:rsid w:val="00584661"/>
    <w:rsid w:val="005846D0"/>
    <w:rsid w:val="005848A1"/>
    <w:rsid w:val="00584A39"/>
    <w:rsid w:val="00584D7D"/>
    <w:rsid w:val="00584DD8"/>
    <w:rsid w:val="00584E0E"/>
    <w:rsid w:val="005850C5"/>
    <w:rsid w:val="00585119"/>
    <w:rsid w:val="00585280"/>
    <w:rsid w:val="00585390"/>
    <w:rsid w:val="0058548D"/>
    <w:rsid w:val="0058568E"/>
    <w:rsid w:val="0058584D"/>
    <w:rsid w:val="00585C67"/>
    <w:rsid w:val="00586135"/>
    <w:rsid w:val="00586366"/>
    <w:rsid w:val="005863BF"/>
    <w:rsid w:val="00586552"/>
    <w:rsid w:val="00586717"/>
    <w:rsid w:val="005867BE"/>
    <w:rsid w:val="005868CD"/>
    <w:rsid w:val="00586A99"/>
    <w:rsid w:val="00586E8B"/>
    <w:rsid w:val="0058710B"/>
    <w:rsid w:val="0058727D"/>
    <w:rsid w:val="00587308"/>
    <w:rsid w:val="005873A8"/>
    <w:rsid w:val="005874FB"/>
    <w:rsid w:val="0058769F"/>
    <w:rsid w:val="0058770B"/>
    <w:rsid w:val="0058785E"/>
    <w:rsid w:val="00587993"/>
    <w:rsid w:val="00587B8A"/>
    <w:rsid w:val="00587E9D"/>
    <w:rsid w:val="005900A9"/>
    <w:rsid w:val="005901E4"/>
    <w:rsid w:val="00590514"/>
    <w:rsid w:val="0059073A"/>
    <w:rsid w:val="005909BD"/>
    <w:rsid w:val="00590F8E"/>
    <w:rsid w:val="00590FAB"/>
    <w:rsid w:val="00590FE0"/>
    <w:rsid w:val="0059113D"/>
    <w:rsid w:val="005911F3"/>
    <w:rsid w:val="0059145B"/>
    <w:rsid w:val="00591539"/>
    <w:rsid w:val="005916CF"/>
    <w:rsid w:val="005916FB"/>
    <w:rsid w:val="00591871"/>
    <w:rsid w:val="0059187A"/>
    <w:rsid w:val="00591CDD"/>
    <w:rsid w:val="00591E48"/>
    <w:rsid w:val="00591FCB"/>
    <w:rsid w:val="00592443"/>
    <w:rsid w:val="00592A75"/>
    <w:rsid w:val="00592D44"/>
    <w:rsid w:val="005931B1"/>
    <w:rsid w:val="0059324C"/>
    <w:rsid w:val="005932B8"/>
    <w:rsid w:val="005932D5"/>
    <w:rsid w:val="005935AB"/>
    <w:rsid w:val="00593750"/>
    <w:rsid w:val="00593984"/>
    <w:rsid w:val="005939A5"/>
    <w:rsid w:val="00593CBC"/>
    <w:rsid w:val="00593CC1"/>
    <w:rsid w:val="00593CE1"/>
    <w:rsid w:val="00593CEA"/>
    <w:rsid w:val="00593E4E"/>
    <w:rsid w:val="00593EEA"/>
    <w:rsid w:val="00594D73"/>
    <w:rsid w:val="00594DFC"/>
    <w:rsid w:val="00594E86"/>
    <w:rsid w:val="00594FC7"/>
    <w:rsid w:val="0059509B"/>
    <w:rsid w:val="0059531D"/>
    <w:rsid w:val="00595564"/>
    <w:rsid w:val="00595760"/>
    <w:rsid w:val="005957A1"/>
    <w:rsid w:val="0059592B"/>
    <w:rsid w:val="00595BB4"/>
    <w:rsid w:val="00595CC5"/>
    <w:rsid w:val="00595D2C"/>
    <w:rsid w:val="005964E0"/>
    <w:rsid w:val="005965F7"/>
    <w:rsid w:val="00596632"/>
    <w:rsid w:val="005967BC"/>
    <w:rsid w:val="005968A3"/>
    <w:rsid w:val="00596947"/>
    <w:rsid w:val="00596A2F"/>
    <w:rsid w:val="00596AAF"/>
    <w:rsid w:val="00596B89"/>
    <w:rsid w:val="00596C75"/>
    <w:rsid w:val="00596CCD"/>
    <w:rsid w:val="00596E17"/>
    <w:rsid w:val="00596FEA"/>
    <w:rsid w:val="00597327"/>
    <w:rsid w:val="005973BA"/>
    <w:rsid w:val="005974A4"/>
    <w:rsid w:val="005979C1"/>
    <w:rsid w:val="00597BFD"/>
    <w:rsid w:val="005A002E"/>
    <w:rsid w:val="005A007C"/>
    <w:rsid w:val="005A00DE"/>
    <w:rsid w:val="005A0101"/>
    <w:rsid w:val="005A0351"/>
    <w:rsid w:val="005A045C"/>
    <w:rsid w:val="005A04E6"/>
    <w:rsid w:val="005A056B"/>
    <w:rsid w:val="005A0835"/>
    <w:rsid w:val="005A084A"/>
    <w:rsid w:val="005A0B8B"/>
    <w:rsid w:val="005A0BEE"/>
    <w:rsid w:val="005A0CE1"/>
    <w:rsid w:val="005A0DA3"/>
    <w:rsid w:val="005A0DE4"/>
    <w:rsid w:val="005A0E9A"/>
    <w:rsid w:val="005A1072"/>
    <w:rsid w:val="005A1341"/>
    <w:rsid w:val="005A148C"/>
    <w:rsid w:val="005A149A"/>
    <w:rsid w:val="005A1614"/>
    <w:rsid w:val="005A1691"/>
    <w:rsid w:val="005A19EB"/>
    <w:rsid w:val="005A1B43"/>
    <w:rsid w:val="005A1B52"/>
    <w:rsid w:val="005A1C1C"/>
    <w:rsid w:val="005A1D22"/>
    <w:rsid w:val="005A1DE5"/>
    <w:rsid w:val="005A1EE5"/>
    <w:rsid w:val="005A1FCD"/>
    <w:rsid w:val="005A21A7"/>
    <w:rsid w:val="005A22AD"/>
    <w:rsid w:val="005A265E"/>
    <w:rsid w:val="005A266D"/>
    <w:rsid w:val="005A2877"/>
    <w:rsid w:val="005A2CF1"/>
    <w:rsid w:val="005A2E1A"/>
    <w:rsid w:val="005A2E54"/>
    <w:rsid w:val="005A2EAC"/>
    <w:rsid w:val="005A33AE"/>
    <w:rsid w:val="005A37B5"/>
    <w:rsid w:val="005A37B6"/>
    <w:rsid w:val="005A37D1"/>
    <w:rsid w:val="005A381E"/>
    <w:rsid w:val="005A3942"/>
    <w:rsid w:val="005A3B2C"/>
    <w:rsid w:val="005A3B52"/>
    <w:rsid w:val="005A3C2B"/>
    <w:rsid w:val="005A3ED3"/>
    <w:rsid w:val="005A3F6C"/>
    <w:rsid w:val="005A421C"/>
    <w:rsid w:val="005A4406"/>
    <w:rsid w:val="005A440B"/>
    <w:rsid w:val="005A47E2"/>
    <w:rsid w:val="005A481C"/>
    <w:rsid w:val="005A48CA"/>
    <w:rsid w:val="005A4921"/>
    <w:rsid w:val="005A49B1"/>
    <w:rsid w:val="005A49C7"/>
    <w:rsid w:val="005A4A0D"/>
    <w:rsid w:val="005A4E9B"/>
    <w:rsid w:val="005A50D8"/>
    <w:rsid w:val="005A5547"/>
    <w:rsid w:val="005A5769"/>
    <w:rsid w:val="005A5B7E"/>
    <w:rsid w:val="005A5E1D"/>
    <w:rsid w:val="005A5E3F"/>
    <w:rsid w:val="005A61E3"/>
    <w:rsid w:val="005A6227"/>
    <w:rsid w:val="005A6B76"/>
    <w:rsid w:val="005A6CAD"/>
    <w:rsid w:val="005A6CB6"/>
    <w:rsid w:val="005A6D32"/>
    <w:rsid w:val="005A6FCD"/>
    <w:rsid w:val="005A704A"/>
    <w:rsid w:val="005A75D3"/>
    <w:rsid w:val="005A7869"/>
    <w:rsid w:val="005A79B0"/>
    <w:rsid w:val="005A7CE4"/>
    <w:rsid w:val="005A7E02"/>
    <w:rsid w:val="005A7E28"/>
    <w:rsid w:val="005A7E82"/>
    <w:rsid w:val="005A7E8C"/>
    <w:rsid w:val="005B0099"/>
    <w:rsid w:val="005B061C"/>
    <w:rsid w:val="005B0637"/>
    <w:rsid w:val="005B0659"/>
    <w:rsid w:val="005B089C"/>
    <w:rsid w:val="005B0979"/>
    <w:rsid w:val="005B0BDF"/>
    <w:rsid w:val="005B0CB5"/>
    <w:rsid w:val="005B0EA1"/>
    <w:rsid w:val="005B0EF4"/>
    <w:rsid w:val="005B1213"/>
    <w:rsid w:val="005B1379"/>
    <w:rsid w:val="005B14AF"/>
    <w:rsid w:val="005B15C6"/>
    <w:rsid w:val="005B16A4"/>
    <w:rsid w:val="005B1A3C"/>
    <w:rsid w:val="005B1B18"/>
    <w:rsid w:val="005B1B29"/>
    <w:rsid w:val="005B1C22"/>
    <w:rsid w:val="005B1D5F"/>
    <w:rsid w:val="005B219D"/>
    <w:rsid w:val="005B234F"/>
    <w:rsid w:val="005B25E9"/>
    <w:rsid w:val="005B2EB8"/>
    <w:rsid w:val="005B2EC2"/>
    <w:rsid w:val="005B2F65"/>
    <w:rsid w:val="005B2F9D"/>
    <w:rsid w:val="005B304E"/>
    <w:rsid w:val="005B30A2"/>
    <w:rsid w:val="005B31DE"/>
    <w:rsid w:val="005B368F"/>
    <w:rsid w:val="005B36E9"/>
    <w:rsid w:val="005B380E"/>
    <w:rsid w:val="005B3D34"/>
    <w:rsid w:val="005B3E32"/>
    <w:rsid w:val="005B3F90"/>
    <w:rsid w:val="005B41F9"/>
    <w:rsid w:val="005B4307"/>
    <w:rsid w:val="005B453E"/>
    <w:rsid w:val="005B4AB6"/>
    <w:rsid w:val="005B4AFD"/>
    <w:rsid w:val="005B4C07"/>
    <w:rsid w:val="005B4E12"/>
    <w:rsid w:val="005B4F7A"/>
    <w:rsid w:val="005B4FE0"/>
    <w:rsid w:val="005B5087"/>
    <w:rsid w:val="005B5184"/>
    <w:rsid w:val="005B5389"/>
    <w:rsid w:val="005B5900"/>
    <w:rsid w:val="005B5957"/>
    <w:rsid w:val="005B5A4B"/>
    <w:rsid w:val="005B5D1E"/>
    <w:rsid w:val="005B5D86"/>
    <w:rsid w:val="005B605E"/>
    <w:rsid w:val="005B63E7"/>
    <w:rsid w:val="005B68B1"/>
    <w:rsid w:val="005B6A9D"/>
    <w:rsid w:val="005B7130"/>
    <w:rsid w:val="005B7529"/>
    <w:rsid w:val="005B78C6"/>
    <w:rsid w:val="005B79B3"/>
    <w:rsid w:val="005B7C6A"/>
    <w:rsid w:val="005B7CFD"/>
    <w:rsid w:val="005C025C"/>
    <w:rsid w:val="005C056E"/>
    <w:rsid w:val="005C0AE4"/>
    <w:rsid w:val="005C0CBA"/>
    <w:rsid w:val="005C0E3B"/>
    <w:rsid w:val="005C0E68"/>
    <w:rsid w:val="005C0E7A"/>
    <w:rsid w:val="005C0FC4"/>
    <w:rsid w:val="005C0FEB"/>
    <w:rsid w:val="005C1111"/>
    <w:rsid w:val="005C1396"/>
    <w:rsid w:val="005C1631"/>
    <w:rsid w:val="005C1871"/>
    <w:rsid w:val="005C18AE"/>
    <w:rsid w:val="005C18E4"/>
    <w:rsid w:val="005C1B86"/>
    <w:rsid w:val="005C1DB3"/>
    <w:rsid w:val="005C1E37"/>
    <w:rsid w:val="005C227B"/>
    <w:rsid w:val="005C25DD"/>
    <w:rsid w:val="005C2AD0"/>
    <w:rsid w:val="005C2B51"/>
    <w:rsid w:val="005C2BDB"/>
    <w:rsid w:val="005C2D3F"/>
    <w:rsid w:val="005C2F4B"/>
    <w:rsid w:val="005C31E8"/>
    <w:rsid w:val="005C3273"/>
    <w:rsid w:val="005C357A"/>
    <w:rsid w:val="005C35BA"/>
    <w:rsid w:val="005C39BE"/>
    <w:rsid w:val="005C3CE6"/>
    <w:rsid w:val="005C4BB4"/>
    <w:rsid w:val="005C4BC4"/>
    <w:rsid w:val="005C4CA5"/>
    <w:rsid w:val="005C4D56"/>
    <w:rsid w:val="005C4D8B"/>
    <w:rsid w:val="005C4E30"/>
    <w:rsid w:val="005C4EBF"/>
    <w:rsid w:val="005C4F37"/>
    <w:rsid w:val="005C4FE1"/>
    <w:rsid w:val="005C5165"/>
    <w:rsid w:val="005C51F3"/>
    <w:rsid w:val="005C5465"/>
    <w:rsid w:val="005C5580"/>
    <w:rsid w:val="005C58FA"/>
    <w:rsid w:val="005C59E2"/>
    <w:rsid w:val="005C59F2"/>
    <w:rsid w:val="005C5D74"/>
    <w:rsid w:val="005C5F15"/>
    <w:rsid w:val="005C5F4C"/>
    <w:rsid w:val="005C6194"/>
    <w:rsid w:val="005C6275"/>
    <w:rsid w:val="005C63CC"/>
    <w:rsid w:val="005C643C"/>
    <w:rsid w:val="005C6454"/>
    <w:rsid w:val="005C6636"/>
    <w:rsid w:val="005C6750"/>
    <w:rsid w:val="005C677C"/>
    <w:rsid w:val="005C679A"/>
    <w:rsid w:val="005C6929"/>
    <w:rsid w:val="005C6936"/>
    <w:rsid w:val="005C6C16"/>
    <w:rsid w:val="005C715B"/>
    <w:rsid w:val="005C7208"/>
    <w:rsid w:val="005C763F"/>
    <w:rsid w:val="005C764B"/>
    <w:rsid w:val="005C7817"/>
    <w:rsid w:val="005C7AE1"/>
    <w:rsid w:val="005C7B67"/>
    <w:rsid w:val="005C7B80"/>
    <w:rsid w:val="005C7CD8"/>
    <w:rsid w:val="005C7D1E"/>
    <w:rsid w:val="005C7E7B"/>
    <w:rsid w:val="005D0012"/>
    <w:rsid w:val="005D0041"/>
    <w:rsid w:val="005D009A"/>
    <w:rsid w:val="005D021D"/>
    <w:rsid w:val="005D04C8"/>
    <w:rsid w:val="005D0772"/>
    <w:rsid w:val="005D0828"/>
    <w:rsid w:val="005D0ABE"/>
    <w:rsid w:val="005D0BEB"/>
    <w:rsid w:val="005D0D88"/>
    <w:rsid w:val="005D11B1"/>
    <w:rsid w:val="005D13B0"/>
    <w:rsid w:val="005D14AE"/>
    <w:rsid w:val="005D1B74"/>
    <w:rsid w:val="005D1FA8"/>
    <w:rsid w:val="005D202C"/>
    <w:rsid w:val="005D2165"/>
    <w:rsid w:val="005D233E"/>
    <w:rsid w:val="005D24E5"/>
    <w:rsid w:val="005D254C"/>
    <w:rsid w:val="005D29C6"/>
    <w:rsid w:val="005D2A67"/>
    <w:rsid w:val="005D2C22"/>
    <w:rsid w:val="005D2DD7"/>
    <w:rsid w:val="005D2E06"/>
    <w:rsid w:val="005D31B4"/>
    <w:rsid w:val="005D34CF"/>
    <w:rsid w:val="005D36E2"/>
    <w:rsid w:val="005D3733"/>
    <w:rsid w:val="005D376E"/>
    <w:rsid w:val="005D3871"/>
    <w:rsid w:val="005D387E"/>
    <w:rsid w:val="005D39CD"/>
    <w:rsid w:val="005D3B1F"/>
    <w:rsid w:val="005D3DA5"/>
    <w:rsid w:val="005D4434"/>
    <w:rsid w:val="005D47A6"/>
    <w:rsid w:val="005D4917"/>
    <w:rsid w:val="005D4C03"/>
    <w:rsid w:val="005D4D66"/>
    <w:rsid w:val="005D4F80"/>
    <w:rsid w:val="005D5176"/>
    <w:rsid w:val="005D521E"/>
    <w:rsid w:val="005D5343"/>
    <w:rsid w:val="005D5393"/>
    <w:rsid w:val="005D53E6"/>
    <w:rsid w:val="005D57CD"/>
    <w:rsid w:val="005D5F79"/>
    <w:rsid w:val="005D62E7"/>
    <w:rsid w:val="005D64CA"/>
    <w:rsid w:val="005D6782"/>
    <w:rsid w:val="005D69F5"/>
    <w:rsid w:val="005D6CA5"/>
    <w:rsid w:val="005D6EA6"/>
    <w:rsid w:val="005D701B"/>
    <w:rsid w:val="005D72C0"/>
    <w:rsid w:val="005D7391"/>
    <w:rsid w:val="005D750A"/>
    <w:rsid w:val="005D774B"/>
    <w:rsid w:val="005D7AF3"/>
    <w:rsid w:val="005D7BCC"/>
    <w:rsid w:val="005D7EB1"/>
    <w:rsid w:val="005D7F2A"/>
    <w:rsid w:val="005E09B3"/>
    <w:rsid w:val="005E0A16"/>
    <w:rsid w:val="005E0FB3"/>
    <w:rsid w:val="005E10F9"/>
    <w:rsid w:val="005E117C"/>
    <w:rsid w:val="005E12A5"/>
    <w:rsid w:val="005E12DE"/>
    <w:rsid w:val="005E13C5"/>
    <w:rsid w:val="005E1F40"/>
    <w:rsid w:val="005E1F74"/>
    <w:rsid w:val="005E219C"/>
    <w:rsid w:val="005E2512"/>
    <w:rsid w:val="005E25F0"/>
    <w:rsid w:val="005E27B5"/>
    <w:rsid w:val="005E285E"/>
    <w:rsid w:val="005E28AA"/>
    <w:rsid w:val="005E28E1"/>
    <w:rsid w:val="005E2AD2"/>
    <w:rsid w:val="005E2D6D"/>
    <w:rsid w:val="005E2F2C"/>
    <w:rsid w:val="005E31F5"/>
    <w:rsid w:val="005E355F"/>
    <w:rsid w:val="005E3609"/>
    <w:rsid w:val="005E37BE"/>
    <w:rsid w:val="005E37FE"/>
    <w:rsid w:val="005E38F9"/>
    <w:rsid w:val="005E3AEA"/>
    <w:rsid w:val="005E4220"/>
    <w:rsid w:val="005E43AA"/>
    <w:rsid w:val="005E44B4"/>
    <w:rsid w:val="005E44CF"/>
    <w:rsid w:val="005E4514"/>
    <w:rsid w:val="005E457D"/>
    <w:rsid w:val="005E46D4"/>
    <w:rsid w:val="005E498F"/>
    <w:rsid w:val="005E499A"/>
    <w:rsid w:val="005E4BC4"/>
    <w:rsid w:val="005E4C89"/>
    <w:rsid w:val="005E4D37"/>
    <w:rsid w:val="005E4DBE"/>
    <w:rsid w:val="005E4F99"/>
    <w:rsid w:val="005E5323"/>
    <w:rsid w:val="005E5382"/>
    <w:rsid w:val="005E557B"/>
    <w:rsid w:val="005E55C0"/>
    <w:rsid w:val="005E5687"/>
    <w:rsid w:val="005E56B2"/>
    <w:rsid w:val="005E5C1C"/>
    <w:rsid w:val="005E5C28"/>
    <w:rsid w:val="005E5C47"/>
    <w:rsid w:val="005E5EFF"/>
    <w:rsid w:val="005E5F5A"/>
    <w:rsid w:val="005E6088"/>
    <w:rsid w:val="005E62EE"/>
    <w:rsid w:val="005E658F"/>
    <w:rsid w:val="005E6649"/>
    <w:rsid w:val="005E66F2"/>
    <w:rsid w:val="005E69E2"/>
    <w:rsid w:val="005E6D19"/>
    <w:rsid w:val="005E6D28"/>
    <w:rsid w:val="005E6E00"/>
    <w:rsid w:val="005E7225"/>
    <w:rsid w:val="005E751D"/>
    <w:rsid w:val="005E7574"/>
    <w:rsid w:val="005E7669"/>
    <w:rsid w:val="005E76E8"/>
    <w:rsid w:val="005E79EC"/>
    <w:rsid w:val="005E7D2A"/>
    <w:rsid w:val="005E7D6D"/>
    <w:rsid w:val="005E7ED5"/>
    <w:rsid w:val="005F0208"/>
    <w:rsid w:val="005F02A0"/>
    <w:rsid w:val="005F03E3"/>
    <w:rsid w:val="005F0441"/>
    <w:rsid w:val="005F058B"/>
    <w:rsid w:val="005F07F8"/>
    <w:rsid w:val="005F0CD6"/>
    <w:rsid w:val="005F160D"/>
    <w:rsid w:val="005F1B2D"/>
    <w:rsid w:val="005F1BA6"/>
    <w:rsid w:val="005F1BF0"/>
    <w:rsid w:val="005F1D1A"/>
    <w:rsid w:val="005F1F9A"/>
    <w:rsid w:val="005F2383"/>
    <w:rsid w:val="005F2415"/>
    <w:rsid w:val="005F24C2"/>
    <w:rsid w:val="005F2874"/>
    <w:rsid w:val="005F28CE"/>
    <w:rsid w:val="005F293E"/>
    <w:rsid w:val="005F2E5B"/>
    <w:rsid w:val="005F34C7"/>
    <w:rsid w:val="005F35D0"/>
    <w:rsid w:val="005F39C7"/>
    <w:rsid w:val="005F39EE"/>
    <w:rsid w:val="005F3C01"/>
    <w:rsid w:val="005F3DBB"/>
    <w:rsid w:val="005F464A"/>
    <w:rsid w:val="005F46A4"/>
    <w:rsid w:val="005F4706"/>
    <w:rsid w:val="005F49C5"/>
    <w:rsid w:val="005F4B70"/>
    <w:rsid w:val="005F4D75"/>
    <w:rsid w:val="005F58EB"/>
    <w:rsid w:val="005F5E99"/>
    <w:rsid w:val="005F6007"/>
    <w:rsid w:val="005F6272"/>
    <w:rsid w:val="005F6348"/>
    <w:rsid w:val="005F6BC9"/>
    <w:rsid w:val="005F6D52"/>
    <w:rsid w:val="005F71A2"/>
    <w:rsid w:val="005F7328"/>
    <w:rsid w:val="005F7683"/>
    <w:rsid w:val="005F7DAE"/>
    <w:rsid w:val="005F7EB1"/>
    <w:rsid w:val="005F7FBE"/>
    <w:rsid w:val="00600020"/>
    <w:rsid w:val="00600090"/>
    <w:rsid w:val="006001BE"/>
    <w:rsid w:val="00600267"/>
    <w:rsid w:val="00600538"/>
    <w:rsid w:val="006006F9"/>
    <w:rsid w:val="00600933"/>
    <w:rsid w:val="0060099C"/>
    <w:rsid w:val="00600CFB"/>
    <w:rsid w:val="0060119F"/>
    <w:rsid w:val="006014F0"/>
    <w:rsid w:val="006015D6"/>
    <w:rsid w:val="00601A30"/>
    <w:rsid w:val="00601DE0"/>
    <w:rsid w:val="00602050"/>
    <w:rsid w:val="0060208A"/>
    <w:rsid w:val="006020F0"/>
    <w:rsid w:val="00602238"/>
    <w:rsid w:val="0060229F"/>
    <w:rsid w:val="006022B7"/>
    <w:rsid w:val="00602321"/>
    <w:rsid w:val="006026D9"/>
    <w:rsid w:val="0060287C"/>
    <w:rsid w:val="00602954"/>
    <w:rsid w:val="00602A42"/>
    <w:rsid w:val="00602B7B"/>
    <w:rsid w:val="00602CB8"/>
    <w:rsid w:val="00603097"/>
    <w:rsid w:val="0060317E"/>
    <w:rsid w:val="006032A3"/>
    <w:rsid w:val="00603482"/>
    <w:rsid w:val="00603519"/>
    <w:rsid w:val="00603578"/>
    <w:rsid w:val="006035AF"/>
    <w:rsid w:val="0060385A"/>
    <w:rsid w:val="0060396B"/>
    <w:rsid w:val="006039EF"/>
    <w:rsid w:val="00603AB3"/>
    <w:rsid w:val="00603C83"/>
    <w:rsid w:val="00603CBE"/>
    <w:rsid w:val="00603DDE"/>
    <w:rsid w:val="00603E29"/>
    <w:rsid w:val="00603FFB"/>
    <w:rsid w:val="006040AC"/>
    <w:rsid w:val="006046BC"/>
    <w:rsid w:val="0060471A"/>
    <w:rsid w:val="006047B1"/>
    <w:rsid w:val="0060484D"/>
    <w:rsid w:val="0060493C"/>
    <w:rsid w:val="006053AF"/>
    <w:rsid w:val="0060577D"/>
    <w:rsid w:val="0060583D"/>
    <w:rsid w:val="006058CA"/>
    <w:rsid w:val="00605CAE"/>
    <w:rsid w:val="00605CEC"/>
    <w:rsid w:val="00605CF3"/>
    <w:rsid w:val="00605D39"/>
    <w:rsid w:val="00606034"/>
    <w:rsid w:val="0060610E"/>
    <w:rsid w:val="00606193"/>
    <w:rsid w:val="00606307"/>
    <w:rsid w:val="00606308"/>
    <w:rsid w:val="00606641"/>
    <w:rsid w:val="00606659"/>
    <w:rsid w:val="00606ACB"/>
    <w:rsid w:val="00606B18"/>
    <w:rsid w:val="00606BC7"/>
    <w:rsid w:val="00607254"/>
    <w:rsid w:val="006078CE"/>
    <w:rsid w:val="0060792B"/>
    <w:rsid w:val="00607954"/>
    <w:rsid w:val="006079DD"/>
    <w:rsid w:val="00607D5F"/>
    <w:rsid w:val="006101A1"/>
    <w:rsid w:val="006101A9"/>
    <w:rsid w:val="00610474"/>
    <w:rsid w:val="006105B7"/>
    <w:rsid w:val="006107D3"/>
    <w:rsid w:val="006108D9"/>
    <w:rsid w:val="00610A51"/>
    <w:rsid w:val="00610DC6"/>
    <w:rsid w:val="0061107B"/>
    <w:rsid w:val="00611228"/>
    <w:rsid w:val="00611732"/>
    <w:rsid w:val="0061185F"/>
    <w:rsid w:val="006118A1"/>
    <w:rsid w:val="006118F2"/>
    <w:rsid w:val="00611980"/>
    <w:rsid w:val="006119A0"/>
    <w:rsid w:val="00611C4F"/>
    <w:rsid w:val="00611CDC"/>
    <w:rsid w:val="00611D41"/>
    <w:rsid w:val="00611E77"/>
    <w:rsid w:val="00612001"/>
    <w:rsid w:val="00612686"/>
    <w:rsid w:val="00612755"/>
    <w:rsid w:val="00612CDD"/>
    <w:rsid w:val="00612E61"/>
    <w:rsid w:val="00612E6C"/>
    <w:rsid w:val="0061369A"/>
    <w:rsid w:val="00613885"/>
    <w:rsid w:val="00613DF7"/>
    <w:rsid w:val="00613E95"/>
    <w:rsid w:val="00614159"/>
    <w:rsid w:val="0061418D"/>
    <w:rsid w:val="006143AF"/>
    <w:rsid w:val="00614568"/>
    <w:rsid w:val="006145C5"/>
    <w:rsid w:val="006147DA"/>
    <w:rsid w:val="006149AF"/>
    <w:rsid w:val="00614B05"/>
    <w:rsid w:val="00614D06"/>
    <w:rsid w:val="00614D83"/>
    <w:rsid w:val="00614F7D"/>
    <w:rsid w:val="006153E3"/>
    <w:rsid w:val="00615670"/>
    <w:rsid w:val="0061576B"/>
    <w:rsid w:val="00615907"/>
    <w:rsid w:val="006159C7"/>
    <w:rsid w:val="006159D6"/>
    <w:rsid w:val="00615C6C"/>
    <w:rsid w:val="006160F5"/>
    <w:rsid w:val="00616300"/>
    <w:rsid w:val="006163AE"/>
    <w:rsid w:val="006166FB"/>
    <w:rsid w:val="00616EAC"/>
    <w:rsid w:val="00616F3E"/>
    <w:rsid w:val="006170C2"/>
    <w:rsid w:val="006175B8"/>
    <w:rsid w:val="0061762E"/>
    <w:rsid w:val="006177E1"/>
    <w:rsid w:val="0061788E"/>
    <w:rsid w:val="00617D95"/>
    <w:rsid w:val="00617E48"/>
    <w:rsid w:val="0062008B"/>
    <w:rsid w:val="006208E2"/>
    <w:rsid w:val="00620B28"/>
    <w:rsid w:val="00620CC7"/>
    <w:rsid w:val="00620D11"/>
    <w:rsid w:val="00620DC5"/>
    <w:rsid w:val="00620E11"/>
    <w:rsid w:val="006211D0"/>
    <w:rsid w:val="006211EF"/>
    <w:rsid w:val="0062166C"/>
    <w:rsid w:val="00621707"/>
    <w:rsid w:val="00621A4F"/>
    <w:rsid w:val="00621D3B"/>
    <w:rsid w:val="00621E6F"/>
    <w:rsid w:val="006222B8"/>
    <w:rsid w:val="00622307"/>
    <w:rsid w:val="0062231C"/>
    <w:rsid w:val="00622329"/>
    <w:rsid w:val="006223C8"/>
    <w:rsid w:val="0062292F"/>
    <w:rsid w:val="0062297E"/>
    <w:rsid w:val="00622D2A"/>
    <w:rsid w:val="00622E8E"/>
    <w:rsid w:val="00622EA6"/>
    <w:rsid w:val="00622F4A"/>
    <w:rsid w:val="00623091"/>
    <w:rsid w:val="00623310"/>
    <w:rsid w:val="006234E6"/>
    <w:rsid w:val="00623556"/>
    <w:rsid w:val="00623658"/>
    <w:rsid w:val="0062387E"/>
    <w:rsid w:val="00623A32"/>
    <w:rsid w:val="00623AAF"/>
    <w:rsid w:val="00623AD8"/>
    <w:rsid w:val="00624292"/>
    <w:rsid w:val="006244A1"/>
    <w:rsid w:val="0062455C"/>
    <w:rsid w:val="00624571"/>
    <w:rsid w:val="006245DD"/>
    <w:rsid w:val="00624A49"/>
    <w:rsid w:val="00624B0D"/>
    <w:rsid w:val="00624D23"/>
    <w:rsid w:val="00624F04"/>
    <w:rsid w:val="00625001"/>
    <w:rsid w:val="00625003"/>
    <w:rsid w:val="00625307"/>
    <w:rsid w:val="006253AE"/>
    <w:rsid w:val="00625450"/>
    <w:rsid w:val="0062567A"/>
    <w:rsid w:val="006259C5"/>
    <w:rsid w:val="00625FAC"/>
    <w:rsid w:val="006263C5"/>
    <w:rsid w:val="00626655"/>
    <w:rsid w:val="0062697C"/>
    <w:rsid w:val="006269FD"/>
    <w:rsid w:val="00626CE9"/>
    <w:rsid w:val="00626D9E"/>
    <w:rsid w:val="006278F8"/>
    <w:rsid w:val="00627B60"/>
    <w:rsid w:val="00627D96"/>
    <w:rsid w:val="0063000A"/>
    <w:rsid w:val="00630440"/>
    <w:rsid w:val="0063045D"/>
    <w:rsid w:val="006306DF"/>
    <w:rsid w:val="006307F9"/>
    <w:rsid w:val="0063095F"/>
    <w:rsid w:val="00630A11"/>
    <w:rsid w:val="00630AEC"/>
    <w:rsid w:val="00630B5A"/>
    <w:rsid w:val="00630C24"/>
    <w:rsid w:val="00630C8F"/>
    <w:rsid w:val="00630DBB"/>
    <w:rsid w:val="00630E74"/>
    <w:rsid w:val="00631241"/>
    <w:rsid w:val="0063133E"/>
    <w:rsid w:val="00631350"/>
    <w:rsid w:val="00631708"/>
    <w:rsid w:val="006318F4"/>
    <w:rsid w:val="0063192C"/>
    <w:rsid w:val="00631993"/>
    <w:rsid w:val="00631BA8"/>
    <w:rsid w:val="00631C51"/>
    <w:rsid w:val="00631DE1"/>
    <w:rsid w:val="00631E14"/>
    <w:rsid w:val="00631E44"/>
    <w:rsid w:val="00631FE0"/>
    <w:rsid w:val="00632207"/>
    <w:rsid w:val="006325AA"/>
    <w:rsid w:val="0063270E"/>
    <w:rsid w:val="00632758"/>
    <w:rsid w:val="00632815"/>
    <w:rsid w:val="0063298E"/>
    <w:rsid w:val="00632C75"/>
    <w:rsid w:val="00632D6D"/>
    <w:rsid w:val="00633286"/>
    <w:rsid w:val="0063353B"/>
    <w:rsid w:val="0063388E"/>
    <w:rsid w:val="00633AB3"/>
    <w:rsid w:val="00633CE1"/>
    <w:rsid w:val="00633D07"/>
    <w:rsid w:val="00633D6F"/>
    <w:rsid w:val="0063409C"/>
    <w:rsid w:val="006341E1"/>
    <w:rsid w:val="0063426F"/>
    <w:rsid w:val="00634273"/>
    <w:rsid w:val="006342F0"/>
    <w:rsid w:val="00634308"/>
    <w:rsid w:val="00634446"/>
    <w:rsid w:val="006344A7"/>
    <w:rsid w:val="00634561"/>
    <w:rsid w:val="00634817"/>
    <w:rsid w:val="0063491C"/>
    <w:rsid w:val="00634A47"/>
    <w:rsid w:val="00634B50"/>
    <w:rsid w:val="00634C76"/>
    <w:rsid w:val="00634E1D"/>
    <w:rsid w:val="0063514F"/>
    <w:rsid w:val="00635DF3"/>
    <w:rsid w:val="00635F92"/>
    <w:rsid w:val="00635FFA"/>
    <w:rsid w:val="00636194"/>
    <w:rsid w:val="006361B8"/>
    <w:rsid w:val="006361F3"/>
    <w:rsid w:val="00636466"/>
    <w:rsid w:val="006364FD"/>
    <w:rsid w:val="00636551"/>
    <w:rsid w:val="006365C1"/>
    <w:rsid w:val="00636665"/>
    <w:rsid w:val="006369A6"/>
    <w:rsid w:val="00636BBA"/>
    <w:rsid w:val="00636FEF"/>
    <w:rsid w:val="00637282"/>
    <w:rsid w:val="00637397"/>
    <w:rsid w:val="0063739A"/>
    <w:rsid w:val="006375BD"/>
    <w:rsid w:val="006378D5"/>
    <w:rsid w:val="00637A77"/>
    <w:rsid w:val="00637B7F"/>
    <w:rsid w:val="00637D6D"/>
    <w:rsid w:val="00637D73"/>
    <w:rsid w:val="00637DCA"/>
    <w:rsid w:val="00637E7D"/>
    <w:rsid w:val="00640018"/>
    <w:rsid w:val="006404EC"/>
    <w:rsid w:val="006404FA"/>
    <w:rsid w:val="00640608"/>
    <w:rsid w:val="006406DB"/>
    <w:rsid w:val="00640732"/>
    <w:rsid w:val="006407AA"/>
    <w:rsid w:val="00640A11"/>
    <w:rsid w:val="00640B30"/>
    <w:rsid w:val="00640E6D"/>
    <w:rsid w:val="00641332"/>
    <w:rsid w:val="00641461"/>
    <w:rsid w:val="00641A8E"/>
    <w:rsid w:val="0064219C"/>
    <w:rsid w:val="00642350"/>
    <w:rsid w:val="006424A5"/>
    <w:rsid w:val="00642571"/>
    <w:rsid w:val="006425F1"/>
    <w:rsid w:val="00642634"/>
    <w:rsid w:val="0064263A"/>
    <w:rsid w:val="006426D6"/>
    <w:rsid w:val="006426EB"/>
    <w:rsid w:val="00642960"/>
    <w:rsid w:val="0064297B"/>
    <w:rsid w:val="0064299E"/>
    <w:rsid w:val="006429F8"/>
    <w:rsid w:val="00642C5E"/>
    <w:rsid w:val="00642C95"/>
    <w:rsid w:val="00642E4B"/>
    <w:rsid w:val="00642ED7"/>
    <w:rsid w:val="00642F0D"/>
    <w:rsid w:val="00643009"/>
    <w:rsid w:val="00643033"/>
    <w:rsid w:val="0064306F"/>
    <w:rsid w:val="006432AE"/>
    <w:rsid w:val="00643434"/>
    <w:rsid w:val="006436C6"/>
    <w:rsid w:val="00643789"/>
    <w:rsid w:val="006439EB"/>
    <w:rsid w:val="00643F45"/>
    <w:rsid w:val="0064423A"/>
    <w:rsid w:val="00644245"/>
    <w:rsid w:val="006448CD"/>
    <w:rsid w:val="00644C96"/>
    <w:rsid w:val="00644D5F"/>
    <w:rsid w:val="00644DC3"/>
    <w:rsid w:val="00645238"/>
    <w:rsid w:val="0064542F"/>
    <w:rsid w:val="006455BC"/>
    <w:rsid w:val="0064592A"/>
    <w:rsid w:val="00645A25"/>
    <w:rsid w:val="00645ED5"/>
    <w:rsid w:val="006461A8"/>
    <w:rsid w:val="00646275"/>
    <w:rsid w:val="0064632E"/>
    <w:rsid w:val="00646407"/>
    <w:rsid w:val="006464FF"/>
    <w:rsid w:val="00646501"/>
    <w:rsid w:val="0064698D"/>
    <w:rsid w:val="00646BF8"/>
    <w:rsid w:val="00646E7C"/>
    <w:rsid w:val="0064709B"/>
    <w:rsid w:val="0064727E"/>
    <w:rsid w:val="00647525"/>
    <w:rsid w:val="006475CF"/>
    <w:rsid w:val="00647608"/>
    <w:rsid w:val="006477E7"/>
    <w:rsid w:val="006479C2"/>
    <w:rsid w:val="00647A07"/>
    <w:rsid w:val="00647CDF"/>
    <w:rsid w:val="00647D42"/>
    <w:rsid w:val="00647E93"/>
    <w:rsid w:val="00647FF0"/>
    <w:rsid w:val="006500B6"/>
    <w:rsid w:val="00650226"/>
    <w:rsid w:val="006502F0"/>
    <w:rsid w:val="00650676"/>
    <w:rsid w:val="00650D72"/>
    <w:rsid w:val="00650EEF"/>
    <w:rsid w:val="006510CD"/>
    <w:rsid w:val="00651764"/>
    <w:rsid w:val="00651791"/>
    <w:rsid w:val="00651836"/>
    <w:rsid w:val="00651997"/>
    <w:rsid w:val="00651A8A"/>
    <w:rsid w:val="00651A9E"/>
    <w:rsid w:val="00652058"/>
    <w:rsid w:val="006525A9"/>
    <w:rsid w:val="00652649"/>
    <w:rsid w:val="006527BE"/>
    <w:rsid w:val="006527FB"/>
    <w:rsid w:val="00652A0B"/>
    <w:rsid w:val="00652CBF"/>
    <w:rsid w:val="00652D6A"/>
    <w:rsid w:val="00652E83"/>
    <w:rsid w:val="00652FE9"/>
    <w:rsid w:val="00653101"/>
    <w:rsid w:val="00653814"/>
    <w:rsid w:val="00653836"/>
    <w:rsid w:val="00653871"/>
    <w:rsid w:val="00653A7C"/>
    <w:rsid w:val="00653AA7"/>
    <w:rsid w:val="00653E27"/>
    <w:rsid w:val="00653E92"/>
    <w:rsid w:val="0065409B"/>
    <w:rsid w:val="00654355"/>
    <w:rsid w:val="006543B7"/>
    <w:rsid w:val="0065445D"/>
    <w:rsid w:val="0065453E"/>
    <w:rsid w:val="006546B2"/>
    <w:rsid w:val="00654C79"/>
    <w:rsid w:val="00654E30"/>
    <w:rsid w:val="00654F3D"/>
    <w:rsid w:val="00654FE3"/>
    <w:rsid w:val="00655088"/>
    <w:rsid w:val="006552E4"/>
    <w:rsid w:val="00655867"/>
    <w:rsid w:val="006559CC"/>
    <w:rsid w:val="00655B95"/>
    <w:rsid w:val="00655BE1"/>
    <w:rsid w:val="00655BF9"/>
    <w:rsid w:val="00655C00"/>
    <w:rsid w:val="00655E51"/>
    <w:rsid w:val="006560F7"/>
    <w:rsid w:val="0065684D"/>
    <w:rsid w:val="00656A90"/>
    <w:rsid w:val="00656AF4"/>
    <w:rsid w:val="00656B88"/>
    <w:rsid w:val="00656BD7"/>
    <w:rsid w:val="00656EDC"/>
    <w:rsid w:val="00657074"/>
    <w:rsid w:val="0065739D"/>
    <w:rsid w:val="00657668"/>
    <w:rsid w:val="0065776D"/>
    <w:rsid w:val="00657830"/>
    <w:rsid w:val="0065786D"/>
    <w:rsid w:val="00657B8C"/>
    <w:rsid w:val="006600E2"/>
    <w:rsid w:val="0066030F"/>
    <w:rsid w:val="0066033E"/>
    <w:rsid w:val="0066078D"/>
    <w:rsid w:val="00660A39"/>
    <w:rsid w:val="00660E69"/>
    <w:rsid w:val="00660F85"/>
    <w:rsid w:val="00660F99"/>
    <w:rsid w:val="00661079"/>
    <w:rsid w:val="00661084"/>
    <w:rsid w:val="00661890"/>
    <w:rsid w:val="0066194F"/>
    <w:rsid w:val="00661AF5"/>
    <w:rsid w:val="00661AFE"/>
    <w:rsid w:val="00662351"/>
    <w:rsid w:val="006626CC"/>
    <w:rsid w:val="00662741"/>
    <w:rsid w:val="0066281C"/>
    <w:rsid w:val="006628A0"/>
    <w:rsid w:val="006628F0"/>
    <w:rsid w:val="00662D94"/>
    <w:rsid w:val="00662DFE"/>
    <w:rsid w:val="006630CD"/>
    <w:rsid w:val="00663135"/>
    <w:rsid w:val="00663502"/>
    <w:rsid w:val="00663678"/>
    <w:rsid w:val="00663AFD"/>
    <w:rsid w:val="00663D69"/>
    <w:rsid w:val="00663EF8"/>
    <w:rsid w:val="00663F8E"/>
    <w:rsid w:val="006640A6"/>
    <w:rsid w:val="00664219"/>
    <w:rsid w:val="006645BE"/>
    <w:rsid w:val="006646C7"/>
    <w:rsid w:val="00664823"/>
    <w:rsid w:val="00664826"/>
    <w:rsid w:val="00664986"/>
    <w:rsid w:val="00664D84"/>
    <w:rsid w:val="00665029"/>
    <w:rsid w:val="00665490"/>
    <w:rsid w:val="006656ED"/>
    <w:rsid w:val="006658E6"/>
    <w:rsid w:val="00665B40"/>
    <w:rsid w:val="00665C1C"/>
    <w:rsid w:val="00665FB8"/>
    <w:rsid w:val="00665FE8"/>
    <w:rsid w:val="006661C9"/>
    <w:rsid w:val="00666222"/>
    <w:rsid w:val="006665B5"/>
    <w:rsid w:val="0066670C"/>
    <w:rsid w:val="00666981"/>
    <w:rsid w:val="00666A66"/>
    <w:rsid w:val="00666B91"/>
    <w:rsid w:val="00666BBD"/>
    <w:rsid w:val="00666C45"/>
    <w:rsid w:val="00666E44"/>
    <w:rsid w:val="00667258"/>
    <w:rsid w:val="0066741D"/>
    <w:rsid w:val="0066746F"/>
    <w:rsid w:val="0066747A"/>
    <w:rsid w:val="0066777C"/>
    <w:rsid w:val="00667786"/>
    <w:rsid w:val="00667A1C"/>
    <w:rsid w:val="00667D37"/>
    <w:rsid w:val="006703C8"/>
    <w:rsid w:val="0067047B"/>
    <w:rsid w:val="006704EF"/>
    <w:rsid w:val="00670733"/>
    <w:rsid w:val="00670B61"/>
    <w:rsid w:val="00670DF0"/>
    <w:rsid w:val="00670F8F"/>
    <w:rsid w:val="00671182"/>
    <w:rsid w:val="006713C9"/>
    <w:rsid w:val="00671725"/>
    <w:rsid w:val="006718B6"/>
    <w:rsid w:val="00671949"/>
    <w:rsid w:val="00671A09"/>
    <w:rsid w:val="00671A81"/>
    <w:rsid w:val="00671B2F"/>
    <w:rsid w:val="00671E95"/>
    <w:rsid w:val="00671F3D"/>
    <w:rsid w:val="006721C2"/>
    <w:rsid w:val="006722EB"/>
    <w:rsid w:val="0067261D"/>
    <w:rsid w:val="00672787"/>
    <w:rsid w:val="006727DA"/>
    <w:rsid w:val="00672827"/>
    <w:rsid w:val="0067285B"/>
    <w:rsid w:val="0067292B"/>
    <w:rsid w:val="00672C60"/>
    <w:rsid w:val="00672D1C"/>
    <w:rsid w:val="00673096"/>
    <w:rsid w:val="006732AD"/>
    <w:rsid w:val="00673355"/>
    <w:rsid w:val="006733BD"/>
    <w:rsid w:val="00673600"/>
    <w:rsid w:val="0067363D"/>
    <w:rsid w:val="00673D67"/>
    <w:rsid w:val="00673D98"/>
    <w:rsid w:val="00673E47"/>
    <w:rsid w:val="00673E86"/>
    <w:rsid w:val="00674056"/>
    <w:rsid w:val="006743E6"/>
    <w:rsid w:val="006744BF"/>
    <w:rsid w:val="006745FE"/>
    <w:rsid w:val="00674701"/>
    <w:rsid w:val="00674821"/>
    <w:rsid w:val="00674BA1"/>
    <w:rsid w:val="00674E5C"/>
    <w:rsid w:val="0067508E"/>
    <w:rsid w:val="00675210"/>
    <w:rsid w:val="00675250"/>
    <w:rsid w:val="00675485"/>
    <w:rsid w:val="00675540"/>
    <w:rsid w:val="00675618"/>
    <w:rsid w:val="006758BE"/>
    <w:rsid w:val="00675B49"/>
    <w:rsid w:val="00675C2B"/>
    <w:rsid w:val="00675F8E"/>
    <w:rsid w:val="0067615F"/>
    <w:rsid w:val="00676419"/>
    <w:rsid w:val="0067654F"/>
    <w:rsid w:val="0067655F"/>
    <w:rsid w:val="00676783"/>
    <w:rsid w:val="0067693B"/>
    <w:rsid w:val="00676A9E"/>
    <w:rsid w:val="00676BA2"/>
    <w:rsid w:val="00676BB0"/>
    <w:rsid w:val="00676EA5"/>
    <w:rsid w:val="00677718"/>
    <w:rsid w:val="006777CA"/>
    <w:rsid w:val="00677A02"/>
    <w:rsid w:val="00677ACE"/>
    <w:rsid w:val="00677D76"/>
    <w:rsid w:val="00677D94"/>
    <w:rsid w:val="00677E60"/>
    <w:rsid w:val="00677E7B"/>
    <w:rsid w:val="00677FAD"/>
    <w:rsid w:val="006803BB"/>
    <w:rsid w:val="00680531"/>
    <w:rsid w:val="00680617"/>
    <w:rsid w:val="00680844"/>
    <w:rsid w:val="00680AC9"/>
    <w:rsid w:val="00680CF4"/>
    <w:rsid w:val="00680D47"/>
    <w:rsid w:val="00680F19"/>
    <w:rsid w:val="00680FAD"/>
    <w:rsid w:val="00681456"/>
    <w:rsid w:val="006815D0"/>
    <w:rsid w:val="006817C5"/>
    <w:rsid w:val="006817F6"/>
    <w:rsid w:val="00681D14"/>
    <w:rsid w:val="00681E5F"/>
    <w:rsid w:val="00681E8F"/>
    <w:rsid w:val="00681F06"/>
    <w:rsid w:val="00681F32"/>
    <w:rsid w:val="00681F6B"/>
    <w:rsid w:val="00681FEF"/>
    <w:rsid w:val="0068209F"/>
    <w:rsid w:val="00682167"/>
    <w:rsid w:val="006821EB"/>
    <w:rsid w:val="0068225C"/>
    <w:rsid w:val="006822BE"/>
    <w:rsid w:val="00682421"/>
    <w:rsid w:val="0068264C"/>
    <w:rsid w:val="0068296E"/>
    <w:rsid w:val="00682B4B"/>
    <w:rsid w:val="00682C0F"/>
    <w:rsid w:val="00682E2D"/>
    <w:rsid w:val="00682E8A"/>
    <w:rsid w:val="00682FEC"/>
    <w:rsid w:val="00683083"/>
    <w:rsid w:val="006830D7"/>
    <w:rsid w:val="0068328E"/>
    <w:rsid w:val="0068332B"/>
    <w:rsid w:val="00683938"/>
    <w:rsid w:val="00683AAE"/>
    <w:rsid w:val="00684050"/>
    <w:rsid w:val="0068488E"/>
    <w:rsid w:val="00684EF5"/>
    <w:rsid w:val="00685646"/>
    <w:rsid w:val="00685925"/>
    <w:rsid w:val="00685964"/>
    <w:rsid w:val="00685968"/>
    <w:rsid w:val="006859AC"/>
    <w:rsid w:val="00685C5A"/>
    <w:rsid w:val="00685CAC"/>
    <w:rsid w:val="00685E30"/>
    <w:rsid w:val="0068608E"/>
    <w:rsid w:val="006861D7"/>
    <w:rsid w:val="0068635A"/>
    <w:rsid w:val="006865F6"/>
    <w:rsid w:val="00686A5C"/>
    <w:rsid w:val="00686AF5"/>
    <w:rsid w:val="00686CAB"/>
    <w:rsid w:val="00686ECB"/>
    <w:rsid w:val="00686F68"/>
    <w:rsid w:val="00686F9B"/>
    <w:rsid w:val="006870B6"/>
    <w:rsid w:val="006872FC"/>
    <w:rsid w:val="0068737A"/>
    <w:rsid w:val="006875D3"/>
    <w:rsid w:val="00687C27"/>
    <w:rsid w:val="00687CB5"/>
    <w:rsid w:val="00687DD7"/>
    <w:rsid w:val="00687E31"/>
    <w:rsid w:val="00690063"/>
    <w:rsid w:val="006901A0"/>
    <w:rsid w:val="00690272"/>
    <w:rsid w:val="00690284"/>
    <w:rsid w:val="0069059F"/>
    <w:rsid w:val="006905F6"/>
    <w:rsid w:val="006906BC"/>
    <w:rsid w:val="006906BF"/>
    <w:rsid w:val="006908D2"/>
    <w:rsid w:val="006908E3"/>
    <w:rsid w:val="006909C8"/>
    <w:rsid w:val="00690AA6"/>
    <w:rsid w:val="00690B35"/>
    <w:rsid w:val="00690DE2"/>
    <w:rsid w:val="00690F55"/>
    <w:rsid w:val="00691161"/>
    <w:rsid w:val="006914A6"/>
    <w:rsid w:val="006916F8"/>
    <w:rsid w:val="00691AFF"/>
    <w:rsid w:val="00691D07"/>
    <w:rsid w:val="00691EED"/>
    <w:rsid w:val="006920BE"/>
    <w:rsid w:val="0069213B"/>
    <w:rsid w:val="00692274"/>
    <w:rsid w:val="0069284F"/>
    <w:rsid w:val="00692B45"/>
    <w:rsid w:val="00692C03"/>
    <w:rsid w:val="00692F9F"/>
    <w:rsid w:val="006930E8"/>
    <w:rsid w:val="00693271"/>
    <w:rsid w:val="006932D1"/>
    <w:rsid w:val="006933C0"/>
    <w:rsid w:val="00693453"/>
    <w:rsid w:val="0069347C"/>
    <w:rsid w:val="0069386A"/>
    <w:rsid w:val="00693AAD"/>
    <w:rsid w:val="00693BDB"/>
    <w:rsid w:val="00693C52"/>
    <w:rsid w:val="00693EA8"/>
    <w:rsid w:val="00693F00"/>
    <w:rsid w:val="00693FF0"/>
    <w:rsid w:val="00694088"/>
    <w:rsid w:val="006941D4"/>
    <w:rsid w:val="00694793"/>
    <w:rsid w:val="006947BB"/>
    <w:rsid w:val="006947E0"/>
    <w:rsid w:val="0069486F"/>
    <w:rsid w:val="00694960"/>
    <w:rsid w:val="00694D30"/>
    <w:rsid w:val="00694D37"/>
    <w:rsid w:val="00694EFD"/>
    <w:rsid w:val="0069507A"/>
    <w:rsid w:val="0069573E"/>
    <w:rsid w:val="00695879"/>
    <w:rsid w:val="00695B81"/>
    <w:rsid w:val="00695EEF"/>
    <w:rsid w:val="0069609D"/>
    <w:rsid w:val="006962CE"/>
    <w:rsid w:val="006966B9"/>
    <w:rsid w:val="00696834"/>
    <w:rsid w:val="006968ED"/>
    <w:rsid w:val="00696BA3"/>
    <w:rsid w:val="00696E9D"/>
    <w:rsid w:val="00696F74"/>
    <w:rsid w:val="00696FAF"/>
    <w:rsid w:val="00697095"/>
    <w:rsid w:val="006970A1"/>
    <w:rsid w:val="0069710F"/>
    <w:rsid w:val="00697120"/>
    <w:rsid w:val="006972E2"/>
    <w:rsid w:val="006976E0"/>
    <w:rsid w:val="006976F9"/>
    <w:rsid w:val="006977B6"/>
    <w:rsid w:val="00697E6F"/>
    <w:rsid w:val="006A0003"/>
    <w:rsid w:val="006A0289"/>
    <w:rsid w:val="006A02B6"/>
    <w:rsid w:val="006A050E"/>
    <w:rsid w:val="006A05BC"/>
    <w:rsid w:val="006A06C4"/>
    <w:rsid w:val="006A08E4"/>
    <w:rsid w:val="006A0CA0"/>
    <w:rsid w:val="006A0E78"/>
    <w:rsid w:val="006A10B0"/>
    <w:rsid w:val="006A138B"/>
    <w:rsid w:val="006A1533"/>
    <w:rsid w:val="006A1621"/>
    <w:rsid w:val="006A1669"/>
    <w:rsid w:val="006A1761"/>
    <w:rsid w:val="006A17A3"/>
    <w:rsid w:val="006A1ED8"/>
    <w:rsid w:val="006A1EF6"/>
    <w:rsid w:val="006A1F65"/>
    <w:rsid w:val="006A2176"/>
    <w:rsid w:val="006A225A"/>
    <w:rsid w:val="006A28D8"/>
    <w:rsid w:val="006A29C3"/>
    <w:rsid w:val="006A2B90"/>
    <w:rsid w:val="006A2D26"/>
    <w:rsid w:val="006A2DC7"/>
    <w:rsid w:val="006A2E31"/>
    <w:rsid w:val="006A3106"/>
    <w:rsid w:val="006A35A5"/>
    <w:rsid w:val="006A3629"/>
    <w:rsid w:val="006A3863"/>
    <w:rsid w:val="006A39E5"/>
    <w:rsid w:val="006A3F58"/>
    <w:rsid w:val="006A4225"/>
    <w:rsid w:val="006A4378"/>
    <w:rsid w:val="006A44A8"/>
    <w:rsid w:val="006A455D"/>
    <w:rsid w:val="006A484A"/>
    <w:rsid w:val="006A48C5"/>
    <w:rsid w:val="006A4B43"/>
    <w:rsid w:val="006A4BA6"/>
    <w:rsid w:val="006A501E"/>
    <w:rsid w:val="006A5443"/>
    <w:rsid w:val="006A57D3"/>
    <w:rsid w:val="006A590A"/>
    <w:rsid w:val="006A5CD8"/>
    <w:rsid w:val="006A6007"/>
    <w:rsid w:val="006A607D"/>
    <w:rsid w:val="006A6288"/>
    <w:rsid w:val="006A64FE"/>
    <w:rsid w:val="006A68A3"/>
    <w:rsid w:val="006A6A69"/>
    <w:rsid w:val="006A6BE7"/>
    <w:rsid w:val="006A6CB7"/>
    <w:rsid w:val="006A70E5"/>
    <w:rsid w:val="006A7248"/>
    <w:rsid w:val="006A739C"/>
    <w:rsid w:val="006A78BD"/>
    <w:rsid w:val="006A79E6"/>
    <w:rsid w:val="006A7B41"/>
    <w:rsid w:val="006A7F50"/>
    <w:rsid w:val="006B0027"/>
    <w:rsid w:val="006B005D"/>
    <w:rsid w:val="006B0241"/>
    <w:rsid w:val="006B0408"/>
    <w:rsid w:val="006B0444"/>
    <w:rsid w:val="006B04E4"/>
    <w:rsid w:val="006B057D"/>
    <w:rsid w:val="006B08CD"/>
    <w:rsid w:val="006B0B99"/>
    <w:rsid w:val="006B0B9F"/>
    <w:rsid w:val="006B0C01"/>
    <w:rsid w:val="006B115F"/>
    <w:rsid w:val="006B1373"/>
    <w:rsid w:val="006B13E1"/>
    <w:rsid w:val="006B151B"/>
    <w:rsid w:val="006B160D"/>
    <w:rsid w:val="006B175B"/>
    <w:rsid w:val="006B1838"/>
    <w:rsid w:val="006B1D46"/>
    <w:rsid w:val="006B2126"/>
    <w:rsid w:val="006B21FB"/>
    <w:rsid w:val="006B2511"/>
    <w:rsid w:val="006B2538"/>
    <w:rsid w:val="006B2C4D"/>
    <w:rsid w:val="006B2D05"/>
    <w:rsid w:val="006B2F2E"/>
    <w:rsid w:val="006B30A5"/>
    <w:rsid w:val="006B32C6"/>
    <w:rsid w:val="006B338A"/>
    <w:rsid w:val="006B36D7"/>
    <w:rsid w:val="006B3710"/>
    <w:rsid w:val="006B38BC"/>
    <w:rsid w:val="006B3957"/>
    <w:rsid w:val="006B3B8F"/>
    <w:rsid w:val="006B421B"/>
    <w:rsid w:val="006B4251"/>
    <w:rsid w:val="006B42B9"/>
    <w:rsid w:val="006B446A"/>
    <w:rsid w:val="006B4474"/>
    <w:rsid w:val="006B4544"/>
    <w:rsid w:val="006B4580"/>
    <w:rsid w:val="006B49AB"/>
    <w:rsid w:val="006B49BF"/>
    <w:rsid w:val="006B4A5C"/>
    <w:rsid w:val="006B4FA0"/>
    <w:rsid w:val="006B5088"/>
    <w:rsid w:val="006B50AC"/>
    <w:rsid w:val="006B53F9"/>
    <w:rsid w:val="006B5425"/>
    <w:rsid w:val="006B5622"/>
    <w:rsid w:val="006B5740"/>
    <w:rsid w:val="006B5787"/>
    <w:rsid w:val="006B5D0C"/>
    <w:rsid w:val="006B5D7F"/>
    <w:rsid w:val="006B5E6D"/>
    <w:rsid w:val="006B6484"/>
    <w:rsid w:val="006B6969"/>
    <w:rsid w:val="006B6BC6"/>
    <w:rsid w:val="006B6C9A"/>
    <w:rsid w:val="006B6D8D"/>
    <w:rsid w:val="006B6EA2"/>
    <w:rsid w:val="006B7384"/>
    <w:rsid w:val="006B7718"/>
    <w:rsid w:val="006B7876"/>
    <w:rsid w:val="006B7962"/>
    <w:rsid w:val="006B7A3E"/>
    <w:rsid w:val="006B7B26"/>
    <w:rsid w:val="006B7C8E"/>
    <w:rsid w:val="006B7D5E"/>
    <w:rsid w:val="006B7F25"/>
    <w:rsid w:val="006C021D"/>
    <w:rsid w:val="006C0235"/>
    <w:rsid w:val="006C060C"/>
    <w:rsid w:val="006C0748"/>
    <w:rsid w:val="006C0890"/>
    <w:rsid w:val="006C0B22"/>
    <w:rsid w:val="006C0D98"/>
    <w:rsid w:val="006C0E37"/>
    <w:rsid w:val="006C0E66"/>
    <w:rsid w:val="006C1031"/>
    <w:rsid w:val="006C120F"/>
    <w:rsid w:val="006C13C7"/>
    <w:rsid w:val="006C14D1"/>
    <w:rsid w:val="006C16E9"/>
    <w:rsid w:val="006C1784"/>
    <w:rsid w:val="006C189B"/>
    <w:rsid w:val="006C1BDC"/>
    <w:rsid w:val="006C1E1F"/>
    <w:rsid w:val="006C1EFD"/>
    <w:rsid w:val="006C1F10"/>
    <w:rsid w:val="006C1F37"/>
    <w:rsid w:val="006C2041"/>
    <w:rsid w:val="006C20BA"/>
    <w:rsid w:val="006C2246"/>
    <w:rsid w:val="006C2B74"/>
    <w:rsid w:val="006C2BFB"/>
    <w:rsid w:val="006C2D81"/>
    <w:rsid w:val="006C2DF0"/>
    <w:rsid w:val="006C2FB2"/>
    <w:rsid w:val="006C2FE7"/>
    <w:rsid w:val="006C3117"/>
    <w:rsid w:val="006C373E"/>
    <w:rsid w:val="006C3CCF"/>
    <w:rsid w:val="006C4022"/>
    <w:rsid w:val="006C42AA"/>
    <w:rsid w:val="006C43AD"/>
    <w:rsid w:val="006C44F5"/>
    <w:rsid w:val="006C47F0"/>
    <w:rsid w:val="006C484B"/>
    <w:rsid w:val="006C49C1"/>
    <w:rsid w:val="006C4A2D"/>
    <w:rsid w:val="006C4A3F"/>
    <w:rsid w:val="006C4D98"/>
    <w:rsid w:val="006C4DD8"/>
    <w:rsid w:val="006C4E92"/>
    <w:rsid w:val="006C4F59"/>
    <w:rsid w:val="006C505E"/>
    <w:rsid w:val="006C51B2"/>
    <w:rsid w:val="006C5389"/>
    <w:rsid w:val="006C5421"/>
    <w:rsid w:val="006C55AB"/>
    <w:rsid w:val="006C5797"/>
    <w:rsid w:val="006C5E1B"/>
    <w:rsid w:val="006C5E8F"/>
    <w:rsid w:val="006C611B"/>
    <w:rsid w:val="006C634F"/>
    <w:rsid w:val="006C645A"/>
    <w:rsid w:val="006C6518"/>
    <w:rsid w:val="006C6816"/>
    <w:rsid w:val="006C6D13"/>
    <w:rsid w:val="006C6DDB"/>
    <w:rsid w:val="006C7265"/>
    <w:rsid w:val="006C72DC"/>
    <w:rsid w:val="006C7308"/>
    <w:rsid w:val="006C730C"/>
    <w:rsid w:val="006C74CA"/>
    <w:rsid w:val="006C7514"/>
    <w:rsid w:val="006C7771"/>
    <w:rsid w:val="006C7AA6"/>
    <w:rsid w:val="006D01EC"/>
    <w:rsid w:val="006D0308"/>
    <w:rsid w:val="006D039D"/>
    <w:rsid w:val="006D06E6"/>
    <w:rsid w:val="006D0722"/>
    <w:rsid w:val="006D08A8"/>
    <w:rsid w:val="006D09D4"/>
    <w:rsid w:val="006D0A03"/>
    <w:rsid w:val="006D0A11"/>
    <w:rsid w:val="006D0B2A"/>
    <w:rsid w:val="006D0C2B"/>
    <w:rsid w:val="006D0FF6"/>
    <w:rsid w:val="006D1136"/>
    <w:rsid w:val="006D1304"/>
    <w:rsid w:val="006D1654"/>
    <w:rsid w:val="006D1D4A"/>
    <w:rsid w:val="006D1E28"/>
    <w:rsid w:val="006D21C1"/>
    <w:rsid w:val="006D21E4"/>
    <w:rsid w:val="006D2596"/>
    <w:rsid w:val="006D274C"/>
    <w:rsid w:val="006D28E7"/>
    <w:rsid w:val="006D28EC"/>
    <w:rsid w:val="006D2B5C"/>
    <w:rsid w:val="006D2E10"/>
    <w:rsid w:val="006D2E8C"/>
    <w:rsid w:val="006D2FAF"/>
    <w:rsid w:val="006D3010"/>
    <w:rsid w:val="006D32A1"/>
    <w:rsid w:val="006D3333"/>
    <w:rsid w:val="006D36B6"/>
    <w:rsid w:val="006D3715"/>
    <w:rsid w:val="006D3837"/>
    <w:rsid w:val="006D3A14"/>
    <w:rsid w:val="006D3A55"/>
    <w:rsid w:val="006D3B1F"/>
    <w:rsid w:val="006D3B7A"/>
    <w:rsid w:val="006D3C56"/>
    <w:rsid w:val="006D3EB6"/>
    <w:rsid w:val="006D3F29"/>
    <w:rsid w:val="006D3FA6"/>
    <w:rsid w:val="006D3FEF"/>
    <w:rsid w:val="006D41CC"/>
    <w:rsid w:val="006D42DC"/>
    <w:rsid w:val="006D462F"/>
    <w:rsid w:val="006D476D"/>
    <w:rsid w:val="006D49C0"/>
    <w:rsid w:val="006D4A7D"/>
    <w:rsid w:val="006D4AFD"/>
    <w:rsid w:val="006D4CD2"/>
    <w:rsid w:val="006D4D9D"/>
    <w:rsid w:val="006D4E37"/>
    <w:rsid w:val="006D4EF9"/>
    <w:rsid w:val="006D5157"/>
    <w:rsid w:val="006D52CB"/>
    <w:rsid w:val="006D5353"/>
    <w:rsid w:val="006D53AB"/>
    <w:rsid w:val="006D55F5"/>
    <w:rsid w:val="006D58E9"/>
    <w:rsid w:val="006D59E2"/>
    <w:rsid w:val="006D5A8A"/>
    <w:rsid w:val="006D5CEF"/>
    <w:rsid w:val="006D5D27"/>
    <w:rsid w:val="006D5E92"/>
    <w:rsid w:val="006D5F1D"/>
    <w:rsid w:val="006D5FD4"/>
    <w:rsid w:val="006D60B8"/>
    <w:rsid w:val="006D6187"/>
    <w:rsid w:val="006D6653"/>
    <w:rsid w:val="006D6720"/>
    <w:rsid w:val="006D6739"/>
    <w:rsid w:val="006D6A69"/>
    <w:rsid w:val="006D71B3"/>
    <w:rsid w:val="006D7241"/>
    <w:rsid w:val="006D7314"/>
    <w:rsid w:val="006D74BF"/>
    <w:rsid w:val="006D74E7"/>
    <w:rsid w:val="006D75A1"/>
    <w:rsid w:val="006D781A"/>
    <w:rsid w:val="006D7846"/>
    <w:rsid w:val="006D7C82"/>
    <w:rsid w:val="006D7CA7"/>
    <w:rsid w:val="006D7DDF"/>
    <w:rsid w:val="006D7EAC"/>
    <w:rsid w:val="006D7F4A"/>
    <w:rsid w:val="006D7FCC"/>
    <w:rsid w:val="006E0AA9"/>
    <w:rsid w:val="006E0AE7"/>
    <w:rsid w:val="006E0BDC"/>
    <w:rsid w:val="006E0F0F"/>
    <w:rsid w:val="006E1072"/>
    <w:rsid w:val="006E1150"/>
    <w:rsid w:val="006E11F3"/>
    <w:rsid w:val="006E128A"/>
    <w:rsid w:val="006E15CA"/>
    <w:rsid w:val="006E1772"/>
    <w:rsid w:val="006E185A"/>
    <w:rsid w:val="006E1ADF"/>
    <w:rsid w:val="006E1BE2"/>
    <w:rsid w:val="006E1E80"/>
    <w:rsid w:val="006E1F0C"/>
    <w:rsid w:val="006E1FBD"/>
    <w:rsid w:val="006E20A5"/>
    <w:rsid w:val="006E214F"/>
    <w:rsid w:val="006E233D"/>
    <w:rsid w:val="006E2585"/>
    <w:rsid w:val="006E25C3"/>
    <w:rsid w:val="006E266F"/>
    <w:rsid w:val="006E26FF"/>
    <w:rsid w:val="006E285D"/>
    <w:rsid w:val="006E29B5"/>
    <w:rsid w:val="006E29C5"/>
    <w:rsid w:val="006E2CCF"/>
    <w:rsid w:val="006E303E"/>
    <w:rsid w:val="006E3177"/>
    <w:rsid w:val="006E3384"/>
    <w:rsid w:val="006E3430"/>
    <w:rsid w:val="006E3464"/>
    <w:rsid w:val="006E35A4"/>
    <w:rsid w:val="006E374F"/>
    <w:rsid w:val="006E3761"/>
    <w:rsid w:val="006E37AB"/>
    <w:rsid w:val="006E3836"/>
    <w:rsid w:val="006E387D"/>
    <w:rsid w:val="006E39EF"/>
    <w:rsid w:val="006E3B3E"/>
    <w:rsid w:val="006E3C42"/>
    <w:rsid w:val="006E3C9C"/>
    <w:rsid w:val="006E40A6"/>
    <w:rsid w:val="006E419D"/>
    <w:rsid w:val="006E4462"/>
    <w:rsid w:val="006E4587"/>
    <w:rsid w:val="006E490D"/>
    <w:rsid w:val="006E49B6"/>
    <w:rsid w:val="006E4D27"/>
    <w:rsid w:val="006E4E1B"/>
    <w:rsid w:val="006E5241"/>
    <w:rsid w:val="006E5275"/>
    <w:rsid w:val="006E5408"/>
    <w:rsid w:val="006E58E9"/>
    <w:rsid w:val="006E5CD3"/>
    <w:rsid w:val="006E5E28"/>
    <w:rsid w:val="006E5E5A"/>
    <w:rsid w:val="006E5EB9"/>
    <w:rsid w:val="006E5EC6"/>
    <w:rsid w:val="006E5F4A"/>
    <w:rsid w:val="006E5F9B"/>
    <w:rsid w:val="006E6543"/>
    <w:rsid w:val="006E6574"/>
    <w:rsid w:val="006E6EDB"/>
    <w:rsid w:val="006E7327"/>
    <w:rsid w:val="006E7ABE"/>
    <w:rsid w:val="006E7CF1"/>
    <w:rsid w:val="006E7DC5"/>
    <w:rsid w:val="006F013A"/>
    <w:rsid w:val="006F013F"/>
    <w:rsid w:val="006F0244"/>
    <w:rsid w:val="006F02AB"/>
    <w:rsid w:val="006F0C25"/>
    <w:rsid w:val="006F0C9E"/>
    <w:rsid w:val="006F0DCA"/>
    <w:rsid w:val="006F11F8"/>
    <w:rsid w:val="006F1236"/>
    <w:rsid w:val="006F13F6"/>
    <w:rsid w:val="006F1777"/>
    <w:rsid w:val="006F17D3"/>
    <w:rsid w:val="006F187F"/>
    <w:rsid w:val="006F1B13"/>
    <w:rsid w:val="006F1B8D"/>
    <w:rsid w:val="006F1BE0"/>
    <w:rsid w:val="006F1C0E"/>
    <w:rsid w:val="006F1C30"/>
    <w:rsid w:val="006F1D33"/>
    <w:rsid w:val="006F1D60"/>
    <w:rsid w:val="006F20A7"/>
    <w:rsid w:val="006F20B1"/>
    <w:rsid w:val="006F2113"/>
    <w:rsid w:val="006F238E"/>
    <w:rsid w:val="006F257D"/>
    <w:rsid w:val="006F269E"/>
    <w:rsid w:val="006F298F"/>
    <w:rsid w:val="006F2A78"/>
    <w:rsid w:val="006F2B82"/>
    <w:rsid w:val="006F2B8F"/>
    <w:rsid w:val="006F2BF0"/>
    <w:rsid w:val="006F2C16"/>
    <w:rsid w:val="006F2D89"/>
    <w:rsid w:val="006F2F2E"/>
    <w:rsid w:val="006F36C7"/>
    <w:rsid w:val="006F37E8"/>
    <w:rsid w:val="006F3890"/>
    <w:rsid w:val="006F39A4"/>
    <w:rsid w:val="006F3C94"/>
    <w:rsid w:val="006F4018"/>
    <w:rsid w:val="006F4134"/>
    <w:rsid w:val="006F45A4"/>
    <w:rsid w:val="006F485B"/>
    <w:rsid w:val="006F4895"/>
    <w:rsid w:val="006F49E1"/>
    <w:rsid w:val="006F4F91"/>
    <w:rsid w:val="006F4FEF"/>
    <w:rsid w:val="006F53DC"/>
    <w:rsid w:val="006F5481"/>
    <w:rsid w:val="006F55EA"/>
    <w:rsid w:val="006F55EE"/>
    <w:rsid w:val="006F57A0"/>
    <w:rsid w:val="006F58ED"/>
    <w:rsid w:val="006F5A62"/>
    <w:rsid w:val="006F5BCD"/>
    <w:rsid w:val="006F5CA7"/>
    <w:rsid w:val="006F623D"/>
    <w:rsid w:val="006F63DF"/>
    <w:rsid w:val="006F640F"/>
    <w:rsid w:val="006F66AF"/>
    <w:rsid w:val="006F66E6"/>
    <w:rsid w:val="006F6830"/>
    <w:rsid w:val="006F6EF0"/>
    <w:rsid w:val="006F6FF3"/>
    <w:rsid w:val="006F75FF"/>
    <w:rsid w:val="006F76A3"/>
    <w:rsid w:val="006F7711"/>
    <w:rsid w:val="006F782F"/>
    <w:rsid w:val="006F786F"/>
    <w:rsid w:val="006F7ACF"/>
    <w:rsid w:val="006F7B71"/>
    <w:rsid w:val="006F7F68"/>
    <w:rsid w:val="00700162"/>
    <w:rsid w:val="00700205"/>
    <w:rsid w:val="0070022D"/>
    <w:rsid w:val="00700533"/>
    <w:rsid w:val="00700751"/>
    <w:rsid w:val="00700760"/>
    <w:rsid w:val="00700A74"/>
    <w:rsid w:val="00700BA9"/>
    <w:rsid w:val="00700E6D"/>
    <w:rsid w:val="00700F2B"/>
    <w:rsid w:val="00700F53"/>
    <w:rsid w:val="007011D4"/>
    <w:rsid w:val="007011EB"/>
    <w:rsid w:val="007013BA"/>
    <w:rsid w:val="0070143E"/>
    <w:rsid w:val="00701468"/>
    <w:rsid w:val="00701493"/>
    <w:rsid w:val="00701659"/>
    <w:rsid w:val="00701936"/>
    <w:rsid w:val="00701AA6"/>
    <w:rsid w:val="00701F0E"/>
    <w:rsid w:val="007021C2"/>
    <w:rsid w:val="00702387"/>
    <w:rsid w:val="0070266C"/>
    <w:rsid w:val="0070299E"/>
    <w:rsid w:val="00702B69"/>
    <w:rsid w:val="00702BDB"/>
    <w:rsid w:val="007030F6"/>
    <w:rsid w:val="0070338F"/>
    <w:rsid w:val="007037D2"/>
    <w:rsid w:val="00703D22"/>
    <w:rsid w:val="0070444F"/>
    <w:rsid w:val="0070464C"/>
    <w:rsid w:val="007046CB"/>
    <w:rsid w:val="007046E8"/>
    <w:rsid w:val="007047AF"/>
    <w:rsid w:val="00704811"/>
    <w:rsid w:val="00704882"/>
    <w:rsid w:val="00704D1A"/>
    <w:rsid w:val="00705039"/>
    <w:rsid w:val="0070526A"/>
    <w:rsid w:val="00705332"/>
    <w:rsid w:val="00705437"/>
    <w:rsid w:val="0070551A"/>
    <w:rsid w:val="00705573"/>
    <w:rsid w:val="007056A0"/>
    <w:rsid w:val="00705C74"/>
    <w:rsid w:val="00705DCB"/>
    <w:rsid w:val="00705E8C"/>
    <w:rsid w:val="00705EB4"/>
    <w:rsid w:val="00705F0A"/>
    <w:rsid w:val="0070601E"/>
    <w:rsid w:val="007061E7"/>
    <w:rsid w:val="0070653B"/>
    <w:rsid w:val="00706B11"/>
    <w:rsid w:val="00707340"/>
    <w:rsid w:val="00707451"/>
    <w:rsid w:val="0070747A"/>
    <w:rsid w:val="0070753E"/>
    <w:rsid w:val="00707743"/>
    <w:rsid w:val="007077FD"/>
    <w:rsid w:val="00707958"/>
    <w:rsid w:val="00707F12"/>
    <w:rsid w:val="00707F4A"/>
    <w:rsid w:val="00707F70"/>
    <w:rsid w:val="00710678"/>
    <w:rsid w:val="007108AC"/>
    <w:rsid w:val="00710A79"/>
    <w:rsid w:val="00710C24"/>
    <w:rsid w:val="00710F3F"/>
    <w:rsid w:val="007110B8"/>
    <w:rsid w:val="0071110B"/>
    <w:rsid w:val="00711230"/>
    <w:rsid w:val="00711889"/>
    <w:rsid w:val="0071188E"/>
    <w:rsid w:val="007118B0"/>
    <w:rsid w:val="00711A81"/>
    <w:rsid w:val="00711AAC"/>
    <w:rsid w:val="00711B87"/>
    <w:rsid w:val="00711CF6"/>
    <w:rsid w:val="007120EA"/>
    <w:rsid w:val="0071219A"/>
    <w:rsid w:val="00712227"/>
    <w:rsid w:val="0071227B"/>
    <w:rsid w:val="0071236F"/>
    <w:rsid w:val="007125F6"/>
    <w:rsid w:val="007127CF"/>
    <w:rsid w:val="0071281D"/>
    <w:rsid w:val="00712B31"/>
    <w:rsid w:val="00712BAE"/>
    <w:rsid w:val="00712E2A"/>
    <w:rsid w:val="00712F05"/>
    <w:rsid w:val="00712F0F"/>
    <w:rsid w:val="00712FDD"/>
    <w:rsid w:val="007132B4"/>
    <w:rsid w:val="007132C8"/>
    <w:rsid w:val="00713530"/>
    <w:rsid w:val="0071378A"/>
    <w:rsid w:val="007137AC"/>
    <w:rsid w:val="00713828"/>
    <w:rsid w:val="00713E14"/>
    <w:rsid w:val="00713EF1"/>
    <w:rsid w:val="007143CB"/>
    <w:rsid w:val="00714646"/>
    <w:rsid w:val="00714662"/>
    <w:rsid w:val="00714A4F"/>
    <w:rsid w:val="00714A6E"/>
    <w:rsid w:val="00714CF2"/>
    <w:rsid w:val="00714E05"/>
    <w:rsid w:val="00714E89"/>
    <w:rsid w:val="00715234"/>
    <w:rsid w:val="007156B9"/>
    <w:rsid w:val="0071579F"/>
    <w:rsid w:val="0071587E"/>
    <w:rsid w:val="007158E6"/>
    <w:rsid w:val="00715966"/>
    <w:rsid w:val="007159AA"/>
    <w:rsid w:val="00715B9B"/>
    <w:rsid w:val="00715FA6"/>
    <w:rsid w:val="00716037"/>
    <w:rsid w:val="0071612F"/>
    <w:rsid w:val="00716332"/>
    <w:rsid w:val="00716468"/>
    <w:rsid w:val="00716556"/>
    <w:rsid w:val="007165B6"/>
    <w:rsid w:val="007166C6"/>
    <w:rsid w:val="0071678A"/>
    <w:rsid w:val="007168F7"/>
    <w:rsid w:val="00716BE7"/>
    <w:rsid w:val="00716F99"/>
    <w:rsid w:val="0071700E"/>
    <w:rsid w:val="00717026"/>
    <w:rsid w:val="0071708E"/>
    <w:rsid w:val="00717204"/>
    <w:rsid w:val="00717253"/>
    <w:rsid w:val="007172EC"/>
    <w:rsid w:val="00717518"/>
    <w:rsid w:val="007176A9"/>
    <w:rsid w:val="007176FB"/>
    <w:rsid w:val="00717A0C"/>
    <w:rsid w:val="00717E83"/>
    <w:rsid w:val="00717EA2"/>
    <w:rsid w:val="00717F0A"/>
    <w:rsid w:val="00720018"/>
    <w:rsid w:val="00720554"/>
    <w:rsid w:val="0072076E"/>
    <w:rsid w:val="00720817"/>
    <w:rsid w:val="00720A56"/>
    <w:rsid w:val="00720A9E"/>
    <w:rsid w:val="00720B07"/>
    <w:rsid w:val="0072127C"/>
    <w:rsid w:val="007213D9"/>
    <w:rsid w:val="0072151F"/>
    <w:rsid w:val="0072165A"/>
    <w:rsid w:val="0072167C"/>
    <w:rsid w:val="00721A31"/>
    <w:rsid w:val="00722245"/>
    <w:rsid w:val="00722267"/>
    <w:rsid w:val="00722362"/>
    <w:rsid w:val="007224CC"/>
    <w:rsid w:val="0072258D"/>
    <w:rsid w:val="0072262B"/>
    <w:rsid w:val="00722850"/>
    <w:rsid w:val="0072296B"/>
    <w:rsid w:val="00722AC0"/>
    <w:rsid w:val="00722B8C"/>
    <w:rsid w:val="00722D01"/>
    <w:rsid w:val="00722EF1"/>
    <w:rsid w:val="00722FB0"/>
    <w:rsid w:val="00722FE5"/>
    <w:rsid w:val="00723007"/>
    <w:rsid w:val="00723041"/>
    <w:rsid w:val="00723236"/>
    <w:rsid w:val="00723711"/>
    <w:rsid w:val="007247DE"/>
    <w:rsid w:val="0072495A"/>
    <w:rsid w:val="00724985"/>
    <w:rsid w:val="00724A11"/>
    <w:rsid w:val="00724D87"/>
    <w:rsid w:val="00724FFB"/>
    <w:rsid w:val="00725308"/>
    <w:rsid w:val="0072532C"/>
    <w:rsid w:val="0072534C"/>
    <w:rsid w:val="0072542B"/>
    <w:rsid w:val="00725AE6"/>
    <w:rsid w:val="00725B1D"/>
    <w:rsid w:val="00725BF1"/>
    <w:rsid w:val="00725C10"/>
    <w:rsid w:val="00725E65"/>
    <w:rsid w:val="0072603C"/>
    <w:rsid w:val="00726075"/>
    <w:rsid w:val="00726128"/>
    <w:rsid w:val="00726224"/>
    <w:rsid w:val="007262BD"/>
    <w:rsid w:val="007262DD"/>
    <w:rsid w:val="007269BF"/>
    <w:rsid w:val="00726B9E"/>
    <w:rsid w:val="00726D9F"/>
    <w:rsid w:val="007270DA"/>
    <w:rsid w:val="007270F2"/>
    <w:rsid w:val="007270FB"/>
    <w:rsid w:val="0072715D"/>
    <w:rsid w:val="00727668"/>
    <w:rsid w:val="00727790"/>
    <w:rsid w:val="007278A7"/>
    <w:rsid w:val="00727979"/>
    <w:rsid w:val="00727B6C"/>
    <w:rsid w:val="007304DD"/>
    <w:rsid w:val="007305E1"/>
    <w:rsid w:val="00730C3C"/>
    <w:rsid w:val="00730FF8"/>
    <w:rsid w:val="00731052"/>
    <w:rsid w:val="007313D3"/>
    <w:rsid w:val="007313E7"/>
    <w:rsid w:val="007314AB"/>
    <w:rsid w:val="007315D8"/>
    <w:rsid w:val="0073165F"/>
    <w:rsid w:val="0073179D"/>
    <w:rsid w:val="007318A4"/>
    <w:rsid w:val="00731AEC"/>
    <w:rsid w:val="00731BFF"/>
    <w:rsid w:val="00731C04"/>
    <w:rsid w:val="00731E13"/>
    <w:rsid w:val="00731F6D"/>
    <w:rsid w:val="0073214E"/>
    <w:rsid w:val="0073246D"/>
    <w:rsid w:val="0073256C"/>
    <w:rsid w:val="00732758"/>
    <w:rsid w:val="007328F5"/>
    <w:rsid w:val="007329C4"/>
    <w:rsid w:val="00732A5C"/>
    <w:rsid w:val="00732EED"/>
    <w:rsid w:val="007330F6"/>
    <w:rsid w:val="00733537"/>
    <w:rsid w:val="0073353F"/>
    <w:rsid w:val="007335E2"/>
    <w:rsid w:val="00733802"/>
    <w:rsid w:val="00733B70"/>
    <w:rsid w:val="00733ED7"/>
    <w:rsid w:val="00733FD5"/>
    <w:rsid w:val="00734376"/>
    <w:rsid w:val="00734671"/>
    <w:rsid w:val="007347BA"/>
    <w:rsid w:val="00734BC5"/>
    <w:rsid w:val="00734BCD"/>
    <w:rsid w:val="00734C91"/>
    <w:rsid w:val="007356AE"/>
    <w:rsid w:val="007357A0"/>
    <w:rsid w:val="007359B1"/>
    <w:rsid w:val="00735A91"/>
    <w:rsid w:val="00735E48"/>
    <w:rsid w:val="007360DF"/>
    <w:rsid w:val="007363D0"/>
    <w:rsid w:val="00736403"/>
    <w:rsid w:val="00736634"/>
    <w:rsid w:val="007366F3"/>
    <w:rsid w:val="0073674E"/>
    <w:rsid w:val="00736E5D"/>
    <w:rsid w:val="00737270"/>
    <w:rsid w:val="00737289"/>
    <w:rsid w:val="0073750E"/>
    <w:rsid w:val="0073751F"/>
    <w:rsid w:val="007375A3"/>
    <w:rsid w:val="00737844"/>
    <w:rsid w:val="00737A08"/>
    <w:rsid w:val="007400A6"/>
    <w:rsid w:val="00740482"/>
    <w:rsid w:val="007404A6"/>
    <w:rsid w:val="0074065B"/>
    <w:rsid w:val="0074083C"/>
    <w:rsid w:val="00740998"/>
    <w:rsid w:val="007409AB"/>
    <w:rsid w:val="00740D06"/>
    <w:rsid w:val="00740F32"/>
    <w:rsid w:val="00740F62"/>
    <w:rsid w:val="007411C8"/>
    <w:rsid w:val="00741D93"/>
    <w:rsid w:val="00741F5E"/>
    <w:rsid w:val="0074202B"/>
    <w:rsid w:val="00742200"/>
    <w:rsid w:val="0074236B"/>
    <w:rsid w:val="007424A0"/>
    <w:rsid w:val="007424BE"/>
    <w:rsid w:val="00742544"/>
    <w:rsid w:val="007428E2"/>
    <w:rsid w:val="00742A02"/>
    <w:rsid w:val="00742BFB"/>
    <w:rsid w:val="00742E45"/>
    <w:rsid w:val="00742FDA"/>
    <w:rsid w:val="007435C7"/>
    <w:rsid w:val="0074376C"/>
    <w:rsid w:val="0074380E"/>
    <w:rsid w:val="00743D1B"/>
    <w:rsid w:val="00743DA9"/>
    <w:rsid w:val="00743ED9"/>
    <w:rsid w:val="00743FE8"/>
    <w:rsid w:val="00744232"/>
    <w:rsid w:val="0074431D"/>
    <w:rsid w:val="007443AD"/>
    <w:rsid w:val="0074453B"/>
    <w:rsid w:val="0074470D"/>
    <w:rsid w:val="007447AF"/>
    <w:rsid w:val="00744BD0"/>
    <w:rsid w:val="00744C29"/>
    <w:rsid w:val="00745118"/>
    <w:rsid w:val="00745381"/>
    <w:rsid w:val="0074543F"/>
    <w:rsid w:val="007455A0"/>
    <w:rsid w:val="007455DA"/>
    <w:rsid w:val="00745636"/>
    <w:rsid w:val="00745818"/>
    <w:rsid w:val="0074587F"/>
    <w:rsid w:val="00745A5B"/>
    <w:rsid w:val="00745A90"/>
    <w:rsid w:val="00745B35"/>
    <w:rsid w:val="00745B9F"/>
    <w:rsid w:val="00745CFA"/>
    <w:rsid w:val="00745D6C"/>
    <w:rsid w:val="00746072"/>
    <w:rsid w:val="00746577"/>
    <w:rsid w:val="007465CE"/>
    <w:rsid w:val="007465E6"/>
    <w:rsid w:val="0074682A"/>
    <w:rsid w:val="007469A3"/>
    <w:rsid w:val="00746A98"/>
    <w:rsid w:val="00746DB5"/>
    <w:rsid w:val="00746E1D"/>
    <w:rsid w:val="00746F9C"/>
    <w:rsid w:val="00747734"/>
    <w:rsid w:val="00747789"/>
    <w:rsid w:val="0074784D"/>
    <w:rsid w:val="00747921"/>
    <w:rsid w:val="00747B95"/>
    <w:rsid w:val="00747D79"/>
    <w:rsid w:val="00747E35"/>
    <w:rsid w:val="00747F57"/>
    <w:rsid w:val="0075009E"/>
    <w:rsid w:val="007500C0"/>
    <w:rsid w:val="00750145"/>
    <w:rsid w:val="0075038C"/>
    <w:rsid w:val="00750816"/>
    <w:rsid w:val="007508B6"/>
    <w:rsid w:val="0075090B"/>
    <w:rsid w:val="007509C7"/>
    <w:rsid w:val="00750C4F"/>
    <w:rsid w:val="00750D75"/>
    <w:rsid w:val="00750E3F"/>
    <w:rsid w:val="00750E9B"/>
    <w:rsid w:val="007511EB"/>
    <w:rsid w:val="0075125B"/>
    <w:rsid w:val="007512DA"/>
    <w:rsid w:val="00751407"/>
    <w:rsid w:val="007514D7"/>
    <w:rsid w:val="0075194B"/>
    <w:rsid w:val="00751D66"/>
    <w:rsid w:val="00751EB0"/>
    <w:rsid w:val="007523AC"/>
    <w:rsid w:val="00752630"/>
    <w:rsid w:val="007527E8"/>
    <w:rsid w:val="00752B44"/>
    <w:rsid w:val="00752C5E"/>
    <w:rsid w:val="00752CA1"/>
    <w:rsid w:val="00752DA5"/>
    <w:rsid w:val="00752E83"/>
    <w:rsid w:val="00752E9C"/>
    <w:rsid w:val="00752EDC"/>
    <w:rsid w:val="007532E8"/>
    <w:rsid w:val="00753307"/>
    <w:rsid w:val="00753703"/>
    <w:rsid w:val="007537E6"/>
    <w:rsid w:val="00753AC5"/>
    <w:rsid w:val="00753DA1"/>
    <w:rsid w:val="0075401F"/>
    <w:rsid w:val="007544A9"/>
    <w:rsid w:val="00754B16"/>
    <w:rsid w:val="00754C7D"/>
    <w:rsid w:val="00754CD5"/>
    <w:rsid w:val="007550E7"/>
    <w:rsid w:val="00755153"/>
    <w:rsid w:val="00755299"/>
    <w:rsid w:val="00755445"/>
    <w:rsid w:val="00755669"/>
    <w:rsid w:val="007556B5"/>
    <w:rsid w:val="00755794"/>
    <w:rsid w:val="007557CC"/>
    <w:rsid w:val="00755ABA"/>
    <w:rsid w:val="00755B7B"/>
    <w:rsid w:val="00755C91"/>
    <w:rsid w:val="00755CDA"/>
    <w:rsid w:val="00756006"/>
    <w:rsid w:val="0075633A"/>
    <w:rsid w:val="007563D4"/>
    <w:rsid w:val="00756560"/>
    <w:rsid w:val="00756794"/>
    <w:rsid w:val="007569B6"/>
    <w:rsid w:val="007569CC"/>
    <w:rsid w:val="00756A2A"/>
    <w:rsid w:val="007572BA"/>
    <w:rsid w:val="00757491"/>
    <w:rsid w:val="007577FF"/>
    <w:rsid w:val="00757B5E"/>
    <w:rsid w:val="00757BD1"/>
    <w:rsid w:val="00757CDC"/>
    <w:rsid w:val="00757E30"/>
    <w:rsid w:val="00760285"/>
    <w:rsid w:val="0076038A"/>
    <w:rsid w:val="0076053C"/>
    <w:rsid w:val="00760692"/>
    <w:rsid w:val="007606AB"/>
    <w:rsid w:val="00760938"/>
    <w:rsid w:val="00760A15"/>
    <w:rsid w:val="00760BD0"/>
    <w:rsid w:val="0076121C"/>
    <w:rsid w:val="007613B2"/>
    <w:rsid w:val="00761860"/>
    <w:rsid w:val="00761C86"/>
    <w:rsid w:val="00761E2A"/>
    <w:rsid w:val="00761E4D"/>
    <w:rsid w:val="00762178"/>
    <w:rsid w:val="00762271"/>
    <w:rsid w:val="007627AB"/>
    <w:rsid w:val="007628DA"/>
    <w:rsid w:val="00762980"/>
    <w:rsid w:val="00762AA3"/>
    <w:rsid w:val="00762AE3"/>
    <w:rsid w:val="00762BA2"/>
    <w:rsid w:val="00762D92"/>
    <w:rsid w:val="00762E9D"/>
    <w:rsid w:val="007630B6"/>
    <w:rsid w:val="007634B8"/>
    <w:rsid w:val="007636B4"/>
    <w:rsid w:val="00763712"/>
    <w:rsid w:val="00763968"/>
    <w:rsid w:val="0076399E"/>
    <w:rsid w:val="00763BA0"/>
    <w:rsid w:val="00763F80"/>
    <w:rsid w:val="00763FE1"/>
    <w:rsid w:val="00764156"/>
    <w:rsid w:val="0076437A"/>
    <w:rsid w:val="00764873"/>
    <w:rsid w:val="007652BF"/>
    <w:rsid w:val="00765439"/>
    <w:rsid w:val="00765754"/>
    <w:rsid w:val="007657C1"/>
    <w:rsid w:val="0076582E"/>
    <w:rsid w:val="007658D0"/>
    <w:rsid w:val="007658D1"/>
    <w:rsid w:val="00765C8B"/>
    <w:rsid w:val="00765EB1"/>
    <w:rsid w:val="00765F48"/>
    <w:rsid w:val="00765FA4"/>
    <w:rsid w:val="007660C1"/>
    <w:rsid w:val="00766312"/>
    <w:rsid w:val="00766395"/>
    <w:rsid w:val="0076650F"/>
    <w:rsid w:val="0076663C"/>
    <w:rsid w:val="007667BF"/>
    <w:rsid w:val="007669A9"/>
    <w:rsid w:val="00766BBC"/>
    <w:rsid w:val="00766D84"/>
    <w:rsid w:val="00766DCB"/>
    <w:rsid w:val="00766F23"/>
    <w:rsid w:val="00767059"/>
    <w:rsid w:val="007672D8"/>
    <w:rsid w:val="00767337"/>
    <w:rsid w:val="0076746C"/>
    <w:rsid w:val="00767508"/>
    <w:rsid w:val="00767CA6"/>
    <w:rsid w:val="00767CDD"/>
    <w:rsid w:val="00770045"/>
    <w:rsid w:val="0077080F"/>
    <w:rsid w:val="00771147"/>
    <w:rsid w:val="0077125F"/>
    <w:rsid w:val="00771480"/>
    <w:rsid w:val="00771513"/>
    <w:rsid w:val="00771759"/>
    <w:rsid w:val="00771902"/>
    <w:rsid w:val="00771986"/>
    <w:rsid w:val="00771AB7"/>
    <w:rsid w:val="00771CD0"/>
    <w:rsid w:val="00771CDC"/>
    <w:rsid w:val="00771F6B"/>
    <w:rsid w:val="007720D8"/>
    <w:rsid w:val="007722D3"/>
    <w:rsid w:val="0077250D"/>
    <w:rsid w:val="0077261E"/>
    <w:rsid w:val="0077276A"/>
    <w:rsid w:val="007728A3"/>
    <w:rsid w:val="007729C6"/>
    <w:rsid w:val="007729D7"/>
    <w:rsid w:val="00772B19"/>
    <w:rsid w:val="00772F42"/>
    <w:rsid w:val="00772F70"/>
    <w:rsid w:val="00772FCA"/>
    <w:rsid w:val="0077306D"/>
    <w:rsid w:val="00773127"/>
    <w:rsid w:val="007733BF"/>
    <w:rsid w:val="0077345B"/>
    <w:rsid w:val="007737C0"/>
    <w:rsid w:val="00773B5F"/>
    <w:rsid w:val="00773FA9"/>
    <w:rsid w:val="007744A5"/>
    <w:rsid w:val="0077477D"/>
    <w:rsid w:val="0077478E"/>
    <w:rsid w:val="0077497D"/>
    <w:rsid w:val="00774A6B"/>
    <w:rsid w:val="0077524D"/>
    <w:rsid w:val="00775695"/>
    <w:rsid w:val="007757F1"/>
    <w:rsid w:val="0077585A"/>
    <w:rsid w:val="00775AEC"/>
    <w:rsid w:val="00775B09"/>
    <w:rsid w:val="00775C05"/>
    <w:rsid w:val="00775D74"/>
    <w:rsid w:val="00775F29"/>
    <w:rsid w:val="00775F6B"/>
    <w:rsid w:val="007761D6"/>
    <w:rsid w:val="007763DB"/>
    <w:rsid w:val="00776672"/>
    <w:rsid w:val="0077672F"/>
    <w:rsid w:val="0077679D"/>
    <w:rsid w:val="00776CC8"/>
    <w:rsid w:val="007770D1"/>
    <w:rsid w:val="0077755F"/>
    <w:rsid w:val="007776E8"/>
    <w:rsid w:val="007776FD"/>
    <w:rsid w:val="00777D2B"/>
    <w:rsid w:val="00777D42"/>
    <w:rsid w:val="00777DE2"/>
    <w:rsid w:val="00780050"/>
    <w:rsid w:val="007801D5"/>
    <w:rsid w:val="0078088D"/>
    <w:rsid w:val="007808D0"/>
    <w:rsid w:val="00780903"/>
    <w:rsid w:val="00780C79"/>
    <w:rsid w:val="00780E08"/>
    <w:rsid w:val="00780E79"/>
    <w:rsid w:val="00780E91"/>
    <w:rsid w:val="00780F52"/>
    <w:rsid w:val="0078114F"/>
    <w:rsid w:val="00781320"/>
    <w:rsid w:val="007813C4"/>
    <w:rsid w:val="0078146E"/>
    <w:rsid w:val="00781718"/>
    <w:rsid w:val="00781843"/>
    <w:rsid w:val="007818C0"/>
    <w:rsid w:val="00781963"/>
    <w:rsid w:val="007819CD"/>
    <w:rsid w:val="00781B4E"/>
    <w:rsid w:val="00781BE5"/>
    <w:rsid w:val="00781C67"/>
    <w:rsid w:val="00781ED8"/>
    <w:rsid w:val="00781EFF"/>
    <w:rsid w:val="00781F96"/>
    <w:rsid w:val="00781FAF"/>
    <w:rsid w:val="007823DF"/>
    <w:rsid w:val="00782618"/>
    <w:rsid w:val="00782A65"/>
    <w:rsid w:val="00782A7D"/>
    <w:rsid w:val="00782A97"/>
    <w:rsid w:val="00782FCA"/>
    <w:rsid w:val="00782FE6"/>
    <w:rsid w:val="00783134"/>
    <w:rsid w:val="007831E3"/>
    <w:rsid w:val="007831EE"/>
    <w:rsid w:val="0078321A"/>
    <w:rsid w:val="0078337C"/>
    <w:rsid w:val="00783466"/>
    <w:rsid w:val="00783587"/>
    <w:rsid w:val="00783604"/>
    <w:rsid w:val="007839EB"/>
    <w:rsid w:val="00783C3D"/>
    <w:rsid w:val="00783DF0"/>
    <w:rsid w:val="00783E65"/>
    <w:rsid w:val="00783FAB"/>
    <w:rsid w:val="007841E7"/>
    <w:rsid w:val="00784302"/>
    <w:rsid w:val="00784514"/>
    <w:rsid w:val="0078477A"/>
    <w:rsid w:val="007847E0"/>
    <w:rsid w:val="00784835"/>
    <w:rsid w:val="00784943"/>
    <w:rsid w:val="00784970"/>
    <w:rsid w:val="007849F1"/>
    <w:rsid w:val="00785229"/>
    <w:rsid w:val="007855CB"/>
    <w:rsid w:val="007856BF"/>
    <w:rsid w:val="00785989"/>
    <w:rsid w:val="00785BAE"/>
    <w:rsid w:val="00785E4D"/>
    <w:rsid w:val="00785FB9"/>
    <w:rsid w:val="0078613B"/>
    <w:rsid w:val="00786191"/>
    <w:rsid w:val="0078647F"/>
    <w:rsid w:val="00786814"/>
    <w:rsid w:val="0078690D"/>
    <w:rsid w:val="00786A11"/>
    <w:rsid w:val="00786A93"/>
    <w:rsid w:val="007872D4"/>
    <w:rsid w:val="0078742F"/>
    <w:rsid w:val="0078757E"/>
    <w:rsid w:val="00787733"/>
    <w:rsid w:val="0078786A"/>
    <w:rsid w:val="007879DA"/>
    <w:rsid w:val="00787A7B"/>
    <w:rsid w:val="00787D88"/>
    <w:rsid w:val="00787FD5"/>
    <w:rsid w:val="007901B5"/>
    <w:rsid w:val="007905ED"/>
    <w:rsid w:val="0079080E"/>
    <w:rsid w:val="007909B9"/>
    <w:rsid w:val="00790A8F"/>
    <w:rsid w:val="00790AEA"/>
    <w:rsid w:val="00790E22"/>
    <w:rsid w:val="00790EAF"/>
    <w:rsid w:val="00790F77"/>
    <w:rsid w:val="00791204"/>
    <w:rsid w:val="00791271"/>
    <w:rsid w:val="00791322"/>
    <w:rsid w:val="00791412"/>
    <w:rsid w:val="00791435"/>
    <w:rsid w:val="007914F7"/>
    <w:rsid w:val="007919D0"/>
    <w:rsid w:val="00791A5A"/>
    <w:rsid w:val="00791C8F"/>
    <w:rsid w:val="00791E20"/>
    <w:rsid w:val="00792131"/>
    <w:rsid w:val="0079224F"/>
    <w:rsid w:val="0079233C"/>
    <w:rsid w:val="007925D2"/>
    <w:rsid w:val="00792672"/>
    <w:rsid w:val="0079285E"/>
    <w:rsid w:val="00792A52"/>
    <w:rsid w:val="00792C63"/>
    <w:rsid w:val="00792C9F"/>
    <w:rsid w:val="00792FE4"/>
    <w:rsid w:val="0079301B"/>
    <w:rsid w:val="007932A9"/>
    <w:rsid w:val="007933B6"/>
    <w:rsid w:val="00793940"/>
    <w:rsid w:val="00793960"/>
    <w:rsid w:val="00793AAA"/>
    <w:rsid w:val="00793B82"/>
    <w:rsid w:val="00793D70"/>
    <w:rsid w:val="00793E6E"/>
    <w:rsid w:val="007941BA"/>
    <w:rsid w:val="0079428E"/>
    <w:rsid w:val="00794674"/>
    <w:rsid w:val="00794C4E"/>
    <w:rsid w:val="00794F5A"/>
    <w:rsid w:val="00794F7B"/>
    <w:rsid w:val="00795156"/>
    <w:rsid w:val="00795275"/>
    <w:rsid w:val="00795619"/>
    <w:rsid w:val="00795889"/>
    <w:rsid w:val="007959C4"/>
    <w:rsid w:val="00795A73"/>
    <w:rsid w:val="00795AA4"/>
    <w:rsid w:val="00795ABD"/>
    <w:rsid w:val="00795DCF"/>
    <w:rsid w:val="00795F8E"/>
    <w:rsid w:val="00796145"/>
    <w:rsid w:val="00796251"/>
    <w:rsid w:val="0079669C"/>
    <w:rsid w:val="00796DCB"/>
    <w:rsid w:val="00797050"/>
    <w:rsid w:val="007970D4"/>
    <w:rsid w:val="00797476"/>
    <w:rsid w:val="0079750C"/>
    <w:rsid w:val="00797592"/>
    <w:rsid w:val="0079765A"/>
    <w:rsid w:val="00797AD4"/>
    <w:rsid w:val="00797BA9"/>
    <w:rsid w:val="00797C43"/>
    <w:rsid w:val="00797CB4"/>
    <w:rsid w:val="00797D65"/>
    <w:rsid w:val="007A0014"/>
    <w:rsid w:val="007A0427"/>
    <w:rsid w:val="007A04AD"/>
    <w:rsid w:val="007A05CD"/>
    <w:rsid w:val="007A05E6"/>
    <w:rsid w:val="007A0A42"/>
    <w:rsid w:val="007A0D7A"/>
    <w:rsid w:val="007A0F05"/>
    <w:rsid w:val="007A0F6B"/>
    <w:rsid w:val="007A107F"/>
    <w:rsid w:val="007A12FE"/>
    <w:rsid w:val="007A168E"/>
    <w:rsid w:val="007A190A"/>
    <w:rsid w:val="007A1AA9"/>
    <w:rsid w:val="007A1B54"/>
    <w:rsid w:val="007A202A"/>
    <w:rsid w:val="007A2599"/>
    <w:rsid w:val="007A2675"/>
    <w:rsid w:val="007A26AF"/>
    <w:rsid w:val="007A26F4"/>
    <w:rsid w:val="007A2773"/>
    <w:rsid w:val="007A2B9E"/>
    <w:rsid w:val="007A2D13"/>
    <w:rsid w:val="007A2D3E"/>
    <w:rsid w:val="007A2D8E"/>
    <w:rsid w:val="007A2DB6"/>
    <w:rsid w:val="007A2F7A"/>
    <w:rsid w:val="007A306A"/>
    <w:rsid w:val="007A3157"/>
    <w:rsid w:val="007A335F"/>
    <w:rsid w:val="007A35E7"/>
    <w:rsid w:val="007A3635"/>
    <w:rsid w:val="007A3646"/>
    <w:rsid w:val="007A3649"/>
    <w:rsid w:val="007A3922"/>
    <w:rsid w:val="007A3932"/>
    <w:rsid w:val="007A3A12"/>
    <w:rsid w:val="007A3CA5"/>
    <w:rsid w:val="007A3CC9"/>
    <w:rsid w:val="007A406D"/>
    <w:rsid w:val="007A41D8"/>
    <w:rsid w:val="007A45F9"/>
    <w:rsid w:val="007A494A"/>
    <w:rsid w:val="007A4B1D"/>
    <w:rsid w:val="007A4B5F"/>
    <w:rsid w:val="007A4B71"/>
    <w:rsid w:val="007A4CA7"/>
    <w:rsid w:val="007A4F5B"/>
    <w:rsid w:val="007A4FDC"/>
    <w:rsid w:val="007A520B"/>
    <w:rsid w:val="007A5268"/>
    <w:rsid w:val="007A53BA"/>
    <w:rsid w:val="007A54A8"/>
    <w:rsid w:val="007A5510"/>
    <w:rsid w:val="007A55DB"/>
    <w:rsid w:val="007A563F"/>
    <w:rsid w:val="007A5945"/>
    <w:rsid w:val="007A5949"/>
    <w:rsid w:val="007A597A"/>
    <w:rsid w:val="007A5BC8"/>
    <w:rsid w:val="007A5C18"/>
    <w:rsid w:val="007A5CD5"/>
    <w:rsid w:val="007A603B"/>
    <w:rsid w:val="007A6106"/>
    <w:rsid w:val="007A62B0"/>
    <w:rsid w:val="007A65CF"/>
    <w:rsid w:val="007A6B9D"/>
    <w:rsid w:val="007A6C50"/>
    <w:rsid w:val="007A6C7E"/>
    <w:rsid w:val="007A6E83"/>
    <w:rsid w:val="007A70E6"/>
    <w:rsid w:val="007A71F2"/>
    <w:rsid w:val="007A7504"/>
    <w:rsid w:val="007A7897"/>
    <w:rsid w:val="007A7C0E"/>
    <w:rsid w:val="007A7DFC"/>
    <w:rsid w:val="007A7F76"/>
    <w:rsid w:val="007B048F"/>
    <w:rsid w:val="007B06BE"/>
    <w:rsid w:val="007B07FA"/>
    <w:rsid w:val="007B0ABA"/>
    <w:rsid w:val="007B0B57"/>
    <w:rsid w:val="007B0C13"/>
    <w:rsid w:val="007B0C48"/>
    <w:rsid w:val="007B0C64"/>
    <w:rsid w:val="007B13B9"/>
    <w:rsid w:val="007B16AC"/>
    <w:rsid w:val="007B1794"/>
    <w:rsid w:val="007B1BDF"/>
    <w:rsid w:val="007B2006"/>
    <w:rsid w:val="007B20A7"/>
    <w:rsid w:val="007B2125"/>
    <w:rsid w:val="007B229D"/>
    <w:rsid w:val="007B243A"/>
    <w:rsid w:val="007B2442"/>
    <w:rsid w:val="007B292C"/>
    <w:rsid w:val="007B2B0C"/>
    <w:rsid w:val="007B2C14"/>
    <w:rsid w:val="007B2D2E"/>
    <w:rsid w:val="007B300A"/>
    <w:rsid w:val="007B32F7"/>
    <w:rsid w:val="007B3412"/>
    <w:rsid w:val="007B35C5"/>
    <w:rsid w:val="007B3B6E"/>
    <w:rsid w:val="007B3C12"/>
    <w:rsid w:val="007B4046"/>
    <w:rsid w:val="007B4411"/>
    <w:rsid w:val="007B445B"/>
    <w:rsid w:val="007B4461"/>
    <w:rsid w:val="007B44F0"/>
    <w:rsid w:val="007B4565"/>
    <w:rsid w:val="007B45D0"/>
    <w:rsid w:val="007B4647"/>
    <w:rsid w:val="007B4701"/>
    <w:rsid w:val="007B4B39"/>
    <w:rsid w:val="007B4C59"/>
    <w:rsid w:val="007B4F1F"/>
    <w:rsid w:val="007B5068"/>
    <w:rsid w:val="007B54AE"/>
    <w:rsid w:val="007B565A"/>
    <w:rsid w:val="007B5BE8"/>
    <w:rsid w:val="007B5C30"/>
    <w:rsid w:val="007B5C8F"/>
    <w:rsid w:val="007B5F6D"/>
    <w:rsid w:val="007B600A"/>
    <w:rsid w:val="007B6084"/>
    <w:rsid w:val="007B61D0"/>
    <w:rsid w:val="007B6235"/>
    <w:rsid w:val="007B62EF"/>
    <w:rsid w:val="007B6714"/>
    <w:rsid w:val="007B6744"/>
    <w:rsid w:val="007B6A27"/>
    <w:rsid w:val="007B6BB8"/>
    <w:rsid w:val="007B6BE0"/>
    <w:rsid w:val="007B6D46"/>
    <w:rsid w:val="007B7234"/>
    <w:rsid w:val="007B7643"/>
    <w:rsid w:val="007B781B"/>
    <w:rsid w:val="007B7C81"/>
    <w:rsid w:val="007B7CD0"/>
    <w:rsid w:val="007B7E7E"/>
    <w:rsid w:val="007B7ECD"/>
    <w:rsid w:val="007C0288"/>
    <w:rsid w:val="007C02DB"/>
    <w:rsid w:val="007C0357"/>
    <w:rsid w:val="007C03C4"/>
    <w:rsid w:val="007C04E8"/>
    <w:rsid w:val="007C0535"/>
    <w:rsid w:val="007C06CE"/>
    <w:rsid w:val="007C0707"/>
    <w:rsid w:val="007C092E"/>
    <w:rsid w:val="007C0ABA"/>
    <w:rsid w:val="007C0F0E"/>
    <w:rsid w:val="007C1138"/>
    <w:rsid w:val="007C122C"/>
    <w:rsid w:val="007C14D6"/>
    <w:rsid w:val="007C175C"/>
    <w:rsid w:val="007C1793"/>
    <w:rsid w:val="007C1984"/>
    <w:rsid w:val="007C1E66"/>
    <w:rsid w:val="007C1E7E"/>
    <w:rsid w:val="007C23E4"/>
    <w:rsid w:val="007C2672"/>
    <w:rsid w:val="007C2691"/>
    <w:rsid w:val="007C2935"/>
    <w:rsid w:val="007C29BD"/>
    <w:rsid w:val="007C2A44"/>
    <w:rsid w:val="007C2AED"/>
    <w:rsid w:val="007C2C04"/>
    <w:rsid w:val="007C2C20"/>
    <w:rsid w:val="007C2E35"/>
    <w:rsid w:val="007C2F4F"/>
    <w:rsid w:val="007C3166"/>
    <w:rsid w:val="007C31B1"/>
    <w:rsid w:val="007C320E"/>
    <w:rsid w:val="007C33DE"/>
    <w:rsid w:val="007C34AB"/>
    <w:rsid w:val="007C3507"/>
    <w:rsid w:val="007C3661"/>
    <w:rsid w:val="007C3905"/>
    <w:rsid w:val="007C3CF9"/>
    <w:rsid w:val="007C3FB6"/>
    <w:rsid w:val="007C3FC5"/>
    <w:rsid w:val="007C4041"/>
    <w:rsid w:val="007C4114"/>
    <w:rsid w:val="007C42E2"/>
    <w:rsid w:val="007C47EE"/>
    <w:rsid w:val="007C4843"/>
    <w:rsid w:val="007C48FC"/>
    <w:rsid w:val="007C498D"/>
    <w:rsid w:val="007C49C1"/>
    <w:rsid w:val="007C4C04"/>
    <w:rsid w:val="007C4EFC"/>
    <w:rsid w:val="007C527E"/>
    <w:rsid w:val="007C536C"/>
    <w:rsid w:val="007C53E3"/>
    <w:rsid w:val="007C5426"/>
    <w:rsid w:val="007C56EB"/>
    <w:rsid w:val="007C5A0C"/>
    <w:rsid w:val="007C62F5"/>
    <w:rsid w:val="007C68E2"/>
    <w:rsid w:val="007C6C07"/>
    <w:rsid w:val="007C6CCA"/>
    <w:rsid w:val="007C6CCE"/>
    <w:rsid w:val="007C6DC0"/>
    <w:rsid w:val="007C6EA8"/>
    <w:rsid w:val="007C707E"/>
    <w:rsid w:val="007C736E"/>
    <w:rsid w:val="007C74B9"/>
    <w:rsid w:val="007C777B"/>
    <w:rsid w:val="007C7934"/>
    <w:rsid w:val="007C7AAE"/>
    <w:rsid w:val="007C7BAB"/>
    <w:rsid w:val="007D0515"/>
    <w:rsid w:val="007D0864"/>
    <w:rsid w:val="007D0994"/>
    <w:rsid w:val="007D0EFB"/>
    <w:rsid w:val="007D1100"/>
    <w:rsid w:val="007D116C"/>
    <w:rsid w:val="007D1247"/>
    <w:rsid w:val="007D1327"/>
    <w:rsid w:val="007D1543"/>
    <w:rsid w:val="007D1B8B"/>
    <w:rsid w:val="007D1D86"/>
    <w:rsid w:val="007D21B7"/>
    <w:rsid w:val="007D21D8"/>
    <w:rsid w:val="007D2232"/>
    <w:rsid w:val="007D2306"/>
    <w:rsid w:val="007D233B"/>
    <w:rsid w:val="007D2865"/>
    <w:rsid w:val="007D2868"/>
    <w:rsid w:val="007D2A64"/>
    <w:rsid w:val="007D2A8C"/>
    <w:rsid w:val="007D2E8E"/>
    <w:rsid w:val="007D3149"/>
    <w:rsid w:val="007D3276"/>
    <w:rsid w:val="007D32E7"/>
    <w:rsid w:val="007D3407"/>
    <w:rsid w:val="007D35D4"/>
    <w:rsid w:val="007D35D8"/>
    <w:rsid w:val="007D35F7"/>
    <w:rsid w:val="007D370E"/>
    <w:rsid w:val="007D3811"/>
    <w:rsid w:val="007D3C2B"/>
    <w:rsid w:val="007D3DA6"/>
    <w:rsid w:val="007D3EB0"/>
    <w:rsid w:val="007D4175"/>
    <w:rsid w:val="007D42A0"/>
    <w:rsid w:val="007D4523"/>
    <w:rsid w:val="007D46FD"/>
    <w:rsid w:val="007D4939"/>
    <w:rsid w:val="007D4A96"/>
    <w:rsid w:val="007D4B83"/>
    <w:rsid w:val="007D4BC6"/>
    <w:rsid w:val="007D4D47"/>
    <w:rsid w:val="007D5275"/>
    <w:rsid w:val="007D52EB"/>
    <w:rsid w:val="007D532F"/>
    <w:rsid w:val="007D5535"/>
    <w:rsid w:val="007D56A1"/>
    <w:rsid w:val="007D56B1"/>
    <w:rsid w:val="007D58CF"/>
    <w:rsid w:val="007D5CAC"/>
    <w:rsid w:val="007D6055"/>
    <w:rsid w:val="007D60EF"/>
    <w:rsid w:val="007D61AB"/>
    <w:rsid w:val="007D660E"/>
    <w:rsid w:val="007D67B6"/>
    <w:rsid w:val="007D685A"/>
    <w:rsid w:val="007D68BF"/>
    <w:rsid w:val="007D6ACB"/>
    <w:rsid w:val="007D6D94"/>
    <w:rsid w:val="007D6EFC"/>
    <w:rsid w:val="007D6F9E"/>
    <w:rsid w:val="007D6FC5"/>
    <w:rsid w:val="007D6FF5"/>
    <w:rsid w:val="007D724C"/>
    <w:rsid w:val="007D7808"/>
    <w:rsid w:val="007D7A2C"/>
    <w:rsid w:val="007D7AE8"/>
    <w:rsid w:val="007D7B49"/>
    <w:rsid w:val="007D7D0E"/>
    <w:rsid w:val="007D7EA4"/>
    <w:rsid w:val="007D7F8A"/>
    <w:rsid w:val="007E024F"/>
    <w:rsid w:val="007E04BD"/>
    <w:rsid w:val="007E053C"/>
    <w:rsid w:val="007E06FC"/>
    <w:rsid w:val="007E0777"/>
    <w:rsid w:val="007E0902"/>
    <w:rsid w:val="007E0A67"/>
    <w:rsid w:val="007E0A95"/>
    <w:rsid w:val="007E0C5B"/>
    <w:rsid w:val="007E0EC1"/>
    <w:rsid w:val="007E0FEE"/>
    <w:rsid w:val="007E11A7"/>
    <w:rsid w:val="007E120E"/>
    <w:rsid w:val="007E145D"/>
    <w:rsid w:val="007E1590"/>
    <w:rsid w:val="007E1708"/>
    <w:rsid w:val="007E1753"/>
    <w:rsid w:val="007E180B"/>
    <w:rsid w:val="007E1907"/>
    <w:rsid w:val="007E2048"/>
    <w:rsid w:val="007E20C7"/>
    <w:rsid w:val="007E2460"/>
    <w:rsid w:val="007E2490"/>
    <w:rsid w:val="007E24C9"/>
    <w:rsid w:val="007E2681"/>
    <w:rsid w:val="007E26A6"/>
    <w:rsid w:val="007E26C9"/>
    <w:rsid w:val="007E26E6"/>
    <w:rsid w:val="007E2966"/>
    <w:rsid w:val="007E2A59"/>
    <w:rsid w:val="007E310E"/>
    <w:rsid w:val="007E3196"/>
    <w:rsid w:val="007E319C"/>
    <w:rsid w:val="007E31E1"/>
    <w:rsid w:val="007E3582"/>
    <w:rsid w:val="007E369C"/>
    <w:rsid w:val="007E3807"/>
    <w:rsid w:val="007E3AAC"/>
    <w:rsid w:val="007E3D10"/>
    <w:rsid w:val="007E3ED0"/>
    <w:rsid w:val="007E3FE6"/>
    <w:rsid w:val="007E40D6"/>
    <w:rsid w:val="007E418B"/>
    <w:rsid w:val="007E4351"/>
    <w:rsid w:val="007E4960"/>
    <w:rsid w:val="007E4AAC"/>
    <w:rsid w:val="007E4E10"/>
    <w:rsid w:val="007E5243"/>
    <w:rsid w:val="007E529A"/>
    <w:rsid w:val="007E548A"/>
    <w:rsid w:val="007E5907"/>
    <w:rsid w:val="007E61BF"/>
    <w:rsid w:val="007E6486"/>
    <w:rsid w:val="007E67F4"/>
    <w:rsid w:val="007E685C"/>
    <w:rsid w:val="007E685D"/>
    <w:rsid w:val="007E6980"/>
    <w:rsid w:val="007E6A58"/>
    <w:rsid w:val="007E6BAA"/>
    <w:rsid w:val="007E6C11"/>
    <w:rsid w:val="007E6D0E"/>
    <w:rsid w:val="007E718C"/>
    <w:rsid w:val="007E7413"/>
    <w:rsid w:val="007E742A"/>
    <w:rsid w:val="007E77A0"/>
    <w:rsid w:val="007E798B"/>
    <w:rsid w:val="007E7BB1"/>
    <w:rsid w:val="007F033C"/>
    <w:rsid w:val="007F03A3"/>
    <w:rsid w:val="007F045E"/>
    <w:rsid w:val="007F04F9"/>
    <w:rsid w:val="007F0654"/>
    <w:rsid w:val="007F0681"/>
    <w:rsid w:val="007F0723"/>
    <w:rsid w:val="007F0A7D"/>
    <w:rsid w:val="007F0B1C"/>
    <w:rsid w:val="007F1064"/>
    <w:rsid w:val="007F106F"/>
    <w:rsid w:val="007F13A0"/>
    <w:rsid w:val="007F165D"/>
    <w:rsid w:val="007F17B4"/>
    <w:rsid w:val="007F18E7"/>
    <w:rsid w:val="007F18E8"/>
    <w:rsid w:val="007F19A3"/>
    <w:rsid w:val="007F1CA8"/>
    <w:rsid w:val="007F2017"/>
    <w:rsid w:val="007F214A"/>
    <w:rsid w:val="007F218B"/>
    <w:rsid w:val="007F21A9"/>
    <w:rsid w:val="007F21DD"/>
    <w:rsid w:val="007F23BF"/>
    <w:rsid w:val="007F2423"/>
    <w:rsid w:val="007F24B4"/>
    <w:rsid w:val="007F2695"/>
    <w:rsid w:val="007F2705"/>
    <w:rsid w:val="007F27E2"/>
    <w:rsid w:val="007F2A67"/>
    <w:rsid w:val="007F2D00"/>
    <w:rsid w:val="007F2D69"/>
    <w:rsid w:val="007F3031"/>
    <w:rsid w:val="007F313C"/>
    <w:rsid w:val="007F3144"/>
    <w:rsid w:val="007F3204"/>
    <w:rsid w:val="007F324F"/>
    <w:rsid w:val="007F33A0"/>
    <w:rsid w:val="007F36C7"/>
    <w:rsid w:val="007F394A"/>
    <w:rsid w:val="007F3CC3"/>
    <w:rsid w:val="007F3CFD"/>
    <w:rsid w:val="007F3D9F"/>
    <w:rsid w:val="007F3E3C"/>
    <w:rsid w:val="007F40DC"/>
    <w:rsid w:val="007F415E"/>
    <w:rsid w:val="007F41F9"/>
    <w:rsid w:val="007F47B1"/>
    <w:rsid w:val="007F4897"/>
    <w:rsid w:val="007F4C65"/>
    <w:rsid w:val="007F4CB4"/>
    <w:rsid w:val="007F4CCB"/>
    <w:rsid w:val="007F4CF7"/>
    <w:rsid w:val="007F4D12"/>
    <w:rsid w:val="007F531A"/>
    <w:rsid w:val="007F57B9"/>
    <w:rsid w:val="007F5B38"/>
    <w:rsid w:val="007F5C88"/>
    <w:rsid w:val="007F5C93"/>
    <w:rsid w:val="007F5E8D"/>
    <w:rsid w:val="007F5EA4"/>
    <w:rsid w:val="007F606A"/>
    <w:rsid w:val="007F60BD"/>
    <w:rsid w:val="007F61AE"/>
    <w:rsid w:val="007F6290"/>
    <w:rsid w:val="007F6537"/>
    <w:rsid w:val="007F6D98"/>
    <w:rsid w:val="007F6FEF"/>
    <w:rsid w:val="007F7000"/>
    <w:rsid w:val="007F74D4"/>
    <w:rsid w:val="007F759E"/>
    <w:rsid w:val="007F76C9"/>
    <w:rsid w:val="007F77AB"/>
    <w:rsid w:val="007F785B"/>
    <w:rsid w:val="007F7C7D"/>
    <w:rsid w:val="00800035"/>
    <w:rsid w:val="008003A3"/>
    <w:rsid w:val="008005E0"/>
    <w:rsid w:val="00800721"/>
    <w:rsid w:val="008007B3"/>
    <w:rsid w:val="00800BA8"/>
    <w:rsid w:val="00800D7D"/>
    <w:rsid w:val="00800E89"/>
    <w:rsid w:val="00800EC1"/>
    <w:rsid w:val="00800F7C"/>
    <w:rsid w:val="00801228"/>
    <w:rsid w:val="00801317"/>
    <w:rsid w:val="00801602"/>
    <w:rsid w:val="00801664"/>
    <w:rsid w:val="0080192E"/>
    <w:rsid w:val="00801AB3"/>
    <w:rsid w:val="00801D26"/>
    <w:rsid w:val="00801D86"/>
    <w:rsid w:val="00801DB0"/>
    <w:rsid w:val="00801E3F"/>
    <w:rsid w:val="00801EFC"/>
    <w:rsid w:val="00802176"/>
    <w:rsid w:val="00802287"/>
    <w:rsid w:val="00802365"/>
    <w:rsid w:val="00802742"/>
    <w:rsid w:val="00802876"/>
    <w:rsid w:val="008029A5"/>
    <w:rsid w:val="00802B13"/>
    <w:rsid w:val="00802BD3"/>
    <w:rsid w:val="00802EE1"/>
    <w:rsid w:val="00803268"/>
    <w:rsid w:val="008035D9"/>
    <w:rsid w:val="00803606"/>
    <w:rsid w:val="00803ACF"/>
    <w:rsid w:val="008042E2"/>
    <w:rsid w:val="00804518"/>
    <w:rsid w:val="00804824"/>
    <w:rsid w:val="00804961"/>
    <w:rsid w:val="00804AB7"/>
    <w:rsid w:val="00804CB7"/>
    <w:rsid w:val="00805266"/>
    <w:rsid w:val="0080532A"/>
    <w:rsid w:val="00805485"/>
    <w:rsid w:val="008060C5"/>
    <w:rsid w:val="00806175"/>
    <w:rsid w:val="00806363"/>
    <w:rsid w:val="00806418"/>
    <w:rsid w:val="00806507"/>
    <w:rsid w:val="0080660A"/>
    <w:rsid w:val="00806656"/>
    <w:rsid w:val="00806808"/>
    <w:rsid w:val="0080693C"/>
    <w:rsid w:val="00806AA4"/>
    <w:rsid w:val="00806B73"/>
    <w:rsid w:val="00806DF5"/>
    <w:rsid w:val="00806E71"/>
    <w:rsid w:val="00807049"/>
    <w:rsid w:val="008070AC"/>
    <w:rsid w:val="00807227"/>
    <w:rsid w:val="00807229"/>
    <w:rsid w:val="0080731B"/>
    <w:rsid w:val="00807355"/>
    <w:rsid w:val="00807378"/>
    <w:rsid w:val="00807381"/>
    <w:rsid w:val="0080755B"/>
    <w:rsid w:val="00807826"/>
    <w:rsid w:val="008079D7"/>
    <w:rsid w:val="008079DC"/>
    <w:rsid w:val="00807B92"/>
    <w:rsid w:val="00807F0E"/>
    <w:rsid w:val="0081003F"/>
    <w:rsid w:val="00810056"/>
    <w:rsid w:val="008104E6"/>
    <w:rsid w:val="008106C8"/>
    <w:rsid w:val="008108A7"/>
    <w:rsid w:val="008109A0"/>
    <w:rsid w:val="00810A15"/>
    <w:rsid w:val="00810B8B"/>
    <w:rsid w:val="00810E21"/>
    <w:rsid w:val="00811333"/>
    <w:rsid w:val="0081141D"/>
    <w:rsid w:val="0081187B"/>
    <w:rsid w:val="008120B5"/>
    <w:rsid w:val="00812134"/>
    <w:rsid w:val="0081283A"/>
    <w:rsid w:val="00812D52"/>
    <w:rsid w:val="008132B8"/>
    <w:rsid w:val="0081353F"/>
    <w:rsid w:val="00813671"/>
    <w:rsid w:val="008136EB"/>
    <w:rsid w:val="008138BE"/>
    <w:rsid w:val="008138D8"/>
    <w:rsid w:val="00813AE7"/>
    <w:rsid w:val="00813B11"/>
    <w:rsid w:val="00813B60"/>
    <w:rsid w:val="00813C2A"/>
    <w:rsid w:val="00813C84"/>
    <w:rsid w:val="00813CDA"/>
    <w:rsid w:val="00813D97"/>
    <w:rsid w:val="00813E6C"/>
    <w:rsid w:val="00813F2C"/>
    <w:rsid w:val="00814075"/>
    <w:rsid w:val="0081429D"/>
    <w:rsid w:val="008142BB"/>
    <w:rsid w:val="00814522"/>
    <w:rsid w:val="00814978"/>
    <w:rsid w:val="00814FA2"/>
    <w:rsid w:val="0081512F"/>
    <w:rsid w:val="00815228"/>
    <w:rsid w:val="00815381"/>
    <w:rsid w:val="008153A7"/>
    <w:rsid w:val="008153E3"/>
    <w:rsid w:val="008159CF"/>
    <w:rsid w:val="008159FE"/>
    <w:rsid w:val="00815B48"/>
    <w:rsid w:val="00815CDB"/>
    <w:rsid w:val="00815DB2"/>
    <w:rsid w:val="00815E04"/>
    <w:rsid w:val="0081622C"/>
    <w:rsid w:val="008162E1"/>
    <w:rsid w:val="008163EE"/>
    <w:rsid w:val="00816539"/>
    <w:rsid w:val="00816861"/>
    <w:rsid w:val="00816A81"/>
    <w:rsid w:val="00816B6C"/>
    <w:rsid w:val="00816BB6"/>
    <w:rsid w:val="00816C64"/>
    <w:rsid w:val="00816E05"/>
    <w:rsid w:val="00816F57"/>
    <w:rsid w:val="008172FC"/>
    <w:rsid w:val="0081733F"/>
    <w:rsid w:val="008173D2"/>
    <w:rsid w:val="00817481"/>
    <w:rsid w:val="00817686"/>
    <w:rsid w:val="008177FF"/>
    <w:rsid w:val="00817895"/>
    <w:rsid w:val="00817928"/>
    <w:rsid w:val="00817AEF"/>
    <w:rsid w:val="00817C0A"/>
    <w:rsid w:val="00817C77"/>
    <w:rsid w:val="00817D9B"/>
    <w:rsid w:val="00817FCF"/>
    <w:rsid w:val="0082016F"/>
    <w:rsid w:val="00820312"/>
    <w:rsid w:val="008203E3"/>
    <w:rsid w:val="008203E4"/>
    <w:rsid w:val="008207BF"/>
    <w:rsid w:val="00820825"/>
    <w:rsid w:val="008208CE"/>
    <w:rsid w:val="0082105D"/>
    <w:rsid w:val="0082156C"/>
    <w:rsid w:val="008215E2"/>
    <w:rsid w:val="008216CA"/>
    <w:rsid w:val="008218DF"/>
    <w:rsid w:val="00821A1C"/>
    <w:rsid w:val="00821E62"/>
    <w:rsid w:val="00821F0C"/>
    <w:rsid w:val="008224D1"/>
    <w:rsid w:val="0082261E"/>
    <w:rsid w:val="00822C8B"/>
    <w:rsid w:val="00822D14"/>
    <w:rsid w:val="00822EAE"/>
    <w:rsid w:val="00822F28"/>
    <w:rsid w:val="00823104"/>
    <w:rsid w:val="0082311A"/>
    <w:rsid w:val="008232A3"/>
    <w:rsid w:val="008234DB"/>
    <w:rsid w:val="0082351F"/>
    <w:rsid w:val="00823621"/>
    <w:rsid w:val="008237D1"/>
    <w:rsid w:val="008239BB"/>
    <w:rsid w:val="0082400E"/>
    <w:rsid w:val="00824093"/>
    <w:rsid w:val="0082418A"/>
    <w:rsid w:val="008241E2"/>
    <w:rsid w:val="00824375"/>
    <w:rsid w:val="008243EB"/>
    <w:rsid w:val="008245F1"/>
    <w:rsid w:val="008247F2"/>
    <w:rsid w:val="008248A3"/>
    <w:rsid w:val="00824934"/>
    <w:rsid w:val="00824BFD"/>
    <w:rsid w:val="00824C8F"/>
    <w:rsid w:val="00825196"/>
    <w:rsid w:val="0082521B"/>
    <w:rsid w:val="0082551E"/>
    <w:rsid w:val="00825587"/>
    <w:rsid w:val="0082566C"/>
    <w:rsid w:val="008258AB"/>
    <w:rsid w:val="00825917"/>
    <w:rsid w:val="008259DE"/>
    <w:rsid w:val="00825E3A"/>
    <w:rsid w:val="00825FAA"/>
    <w:rsid w:val="00825FAB"/>
    <w:rsid w:val="00826003"/>
    <w:rsid w:val="00826096"/>
    <w:rsid w:val="008260A9"/>
    <w:rsid w:val="00826129"/>
    <w:rsid w:val="0082620B"/>
    <w:rsid w:val="00826653"/>
    <w:rsid w:val="0082669E"/>
    <w:rsid w:val="0082693C"/>
    <w:rsid w:val="00826A70"/>
    <w:rsid w:val="00826F7E"/>
    <w:rsid w:val="00826FFF"/>
    <w:rsid w:val="0082725D"/>
    <w:rsid w:val="0082726C"/>
    <w:rsid w:val="008274D5"/>
    <w:rsid w:val="00827566"/>
    <w:rsid w:val="008278AF"/>
    <w:rsid w:val="0082799B"/>
    <w:rsid w:val="008279B2"/>
    <w:rsid w:val="00827D3E"/>
    <w:rsid w:val="00827DE4"/>
    <w:rsid w:val="00827FA0"/>
    <w:rsid w:val="00830080"/>
    <w:rsid w:val="0083016F"/>
    <w:rsid w:val="008302BC"/>
    <w:rsid w:val="008302FB"/>
    <w:rsid w:val="0083049E"/>
    <w:rsid w:val="00830513"/>
    <w:rsid w:val="0083055C"/>
    <w:rsid w:val="00830581"/>
    <w:rsid w:val="0083060E"/>
    <w:rsid w:val="00830731"/>
    <w:rsid w:val="00830792"/>
    <w:rsid w:val="008309FA"/>
    <w:rsid w:val="00830AA6"/>
    <w:rsid w:val="00830C63"/>
    <w:rsid w:val="00830C74"/>
    <w:rsid w:val="00830DC5"/>
    <w:rsid w:val="00831144"/>
    <w:rsid w:val="0083140F"/>
    <w:rsid w:val="0083166C"/>
    <w:rsid w:val="008317AD"/>
    <w:rsid w:val="0083187A"/>
    <w:rsid w:val="0083194E"/>
    <w:rsid w:val="00831977"/>
    <w:rsid w:val="00831BA1"/>
    <w:rsid w:val="00831D60"/>
    <w:rsid w:val="00831DED"/>
    <w:rsid w:val="0083205A"/>
    <w:rsid w:val="008320B1"/>
    <w:rsid w:val="00832232"/>
    <w:rsid w:val="008322D5"/>
    <w:rsid w:val="00832A95"/>
    <w:rsid w:val="00832C23"/>
    <w:rsid w:val="00832E4A"/>
    <w:rsid w:val="00832F01"/>
    <w:rsid w:val="00832F3B"/>
    <w:rsid w:val="008331A9"/>
    <w:rsid w:val="008332A3"/>
    <w:rsid w:val="00833478"/>
    <w:rsid w:val="00833739"/>
    <w:rsid w:val="00833773"/>
    <w:rsid w:val="00833869"/>
    <w:rsid w:val="008339BB"/>
    <w:rsid w:val="00833F5D"/>
    <w:rsid w:val="0083403D"/>
    <w:rsid w:val="008342A6"/>
    <w:rsid w:val="008343C5"/>
    <w:rsid w:val="008343EE"/>
    <w:rsid w:val="008343FC"/>
    <w:rsid w:val="0083479E"/>
    <w:rsid w:val="00834997"/>
    <w:rsid w:val="008350FC"/>
    <w:rsid w:val="00835264"/>
    <w:rsid w:val="008352CF"/>
    <w:rsid w:val="008353AD"/>
    <w:rsid w:val="0083551A"/>
    <w:rsid w:val="00835666"/>
    <w:rsid w:val="008357C7"/>
    <w:rsid w:val="00835BDF"/>
    <w:rsid w:val="00835C91"/>
    <w:rsid w:val="00835D8A"/>
    <w:rsid w:val="00835E61"/>
    <w:rsid w:val="0083607A"/>
    <w:rsid w:val="008363C5"/>
    <w:rsid w:val="008365B1"/>
    <w:rsid w:val="00836719"/>
    <w:rsid w:val="008367A8"/>
    <w:rsid w:val="008372E4"/>
    <w:rsid w:val="00837863"/>
    <w:rsid w:val="00837988"/>
    <w:rsid w:val="00837AA5"/>
    <w:rsid w:val="00837BBB"/>
    <w:rsid w:val="00837CD5"/>
    <w:rsid w:val="00837D2D"/>
    <w:rsid w:val="00837DE1"/>
    <w:rsid w:val="00837E2C"/>
    <w:rsid w:val="00837FE6"/>
    <w:rsid w:val="00837FF4"/>
    <w:rsid w:val="00840087"/>
    <w:rsid w:val="008400C9"/>
    <w:rsid w:val="0084042D"/>
    <w:rsid w:val="00840623"/>
    <w:rsid w:val="00840C95"/>
    <w:rsid w:val="00840D4F"/>
    <w:rsid w:val="00841126"/>
    <w:rsid w:val="00841213"/>
    <w:rsid w:val="0084138A"/>
    <w:rsid w:val="0084173B"/>
    <w:rsid w:val="0084197C"/>
    <w:rsid w:val="008419B8"/>
    <w:rsid w:val="00841A9A"/>
    <w:rsid w:val="00841C75"/>
    <w:rsid w:val="00841D36"/>
    <w:rsid w:val="00841D3F"/>
    <w:rsid w:val="008423EC"/>
    <w:rsid w:val="00842F22"/>
    <w:rsid w:val="00842FCD"/>
    <w:rsid w:val="0084301F"/>
    <w:rsid w:val="008430D3"/>
    <w:rsid w:val="008435AC"/>
    <w:rsid w:val="008435D6"/>
    <w:rsid w:val="00843703"/>
    <w:rsid w:val="00843ADF"/>
    <w:rsid w:val="00843D9D"/>
    <w:rsid w:val="00844015"/>
    <w:rsid w:val="008440D5"/>
    <w:rsid w:val="008441FB"/>
    <w:rsid w:val="0084431A"/>
    <w:rsid w:val="008443FC"/>
    <w:rsid w:val="00844490"/>
    <w:rsid w:val="008448BA"/>
    <w:rsid w:val="00844978"/>
    <w:rsid w:val="00844AB4"/>
    <w:rsid w:val="008450BF"/>
    <w:rsid w:val="008450C5"/>
    <w:rsid w:val="00845302"/>
    <w:rsid w:val="00845502"/>
    <w:rsid w:val="00845687"/>
    <w:rsid w:val="00845872"/>
    <w:rsid w:val="00845903"/>
    <w:rsid w:val="00845AD0"/>
    <w:rsid w:val="00845D60"/>
    <w:rsid w:val="00845D6A"/>
    <w:rsid w:val="00845EE4"/>
    <w:rsid w:val="00846098"/>
    <w:rsid w:val="008460C2"/>
    <w:rsid w:val="008462A5"/>
    <w:rsid w:val="00846352"/>
    <w:rsid w:val="0084669D"/>
    <w:rsid w:val="008466F0"/>
    <w:rsid w:val="00846765"/>
    <w:rsid w:val="00846A39"/>
    <w:rsid w:val="008471E0"/>
    <w:rsid w:val="008472AC"/>
    <w:rsid w:val="00847688"/>
    <w:rsid w:val="00847A52"/>
    <w:rsid w:val="00850013"/>
    <w:rsid w:val="00850186"/>
    <w:rsid w:val="008506C8"/>
    <w:rsid w:val="0085070F"/>
    <w:rsid w:val="0085072E"/>
    <w:rsid w:val="00850799"/>
    <w:rsid w:val="00850A01"/>
    <w:rsid w:val="00850A20"/>
    <w:rsid w:val="00850AF6"/>
    <w:rsid w:val="00850F2D"/>
    <w:rsid w:val="00851520"/>
    <w:rsid w:val="0085160C"/>
    <w:rsid w:val="0085160D"/>
    <w:rsid w:val="008518B2"/>
    <w:rsid w:val="008518CC"/>
    <w:rsid w:val="00851A06"/>
    <w:rsid w:val="00851B26"/>
    <w:rsid w:val="00852464"/>
    <w:rsid w:val="008524B9"/>
    <w:rsid w:val="008525AF"/>
    <w:rsid w:val="0085265F"/>
    <w:rsid w:val="008528A8"/>
    <w:rsid w:val="00852A72"/>
    <w:rsid w:val="00852B0C"/>
    <w:rsid w:val="00852B53"/>
    <w:rsid w:val="00852BAE"/>
    <w:rsid w:val="00852CEE"/>
    <w:rsid w:val="008536BA"/>
    <w:rsid w:val="008537D2"/>
    <w:rsid w:val="008539F3"/>
    <w:rsid w:val="00853D22"/>
    <w:rsid w:val="008540E7"/>
    <w:rsid w:val="0085423D"/>
    <w:rsid w:val="008544E5"/>
    <w:rsid w:val="00854ACD"/>
    <w:rsid w:val="00854E2B"/>
    <w:rsid w:val="00855034"/>
    <w:rsid w:val="0085543C"/>
    <w:rsid w:val="00855678"/>
    <w:rsid w:val="0085569B"/>
    <w:rsid w:val="008557BB"/>
    <w:rsid w:val="00855D19"/>
    <w:rsid w:val="00856300"/>
    <w:rsid w:val="00856536"/>
    <w:rsid w:val="008565B4"/>
    <w:rsid w:val="00856738"/>
    <w:rsid w:val="0085678E"/>
    <w:rsid w:val="008569EF"/>
    <w:rsid w:val="00856CAC"/>
    <w:rsid w:val="00856FDD"/>
    <w:rsid w:val="008570EC"/>
    <w:rsid w:val="00857309"/>
    <w:rsid w:val="0085736E"/>
    <w:rsid w:val="00857424"/>
    <w:rsid w:val="0085750A"/>
    <w:rsid w:val="0085758F"/>
    <w:rsid w:val="00857783"/>
    <w:rsid w:val="00857A8B"/>
    <w:rsid w:val="00857D30"/>
    <w:rsid w:val="00857DED"/>
    <w:rsid w:val="00857FCE"/>
    <w:rsid w:val="00857FF2"/>
    <w:rsid w:val="0086008E"/>
    <w:rsid w:val="00860139"/>
    <w:rsid w:val="00860195"/>
    <w:rsid w:val="008604B1"/>
    <w:rsid w:val="0086055C"/>
    <w:rsid w:val="008609E8"/>
    <w:rsid w:val="00860A7B"/>
    <w:rsid w:val="00860C0D"/>
    <w:rsid w:val="00860C98"/>
    <w:rsid w:val="00860D2C"/>
    <w:rsid w:val="00861142"/>
    <w:rsid w:val="00861296"/>
    <w:rsid w:val="008614B1"/>
    <w:rsid w:val="00861852"/>
    <w:rsid w:val="00861958"/>
    <w:rsid w:val="00861BEC"/>
    <w:rsid w:val="00861D2D"/>
    <w:rsid w:val="0086202E"/>
    <w:rsid w:val="00862222"/>
    <w:rsid w:val="00862350"/>
    <w:rsid w:val="00862353"/>
    <w:rsid w:val="00862546"/>
    <w:rsid w:val="00862936"/>
    <w:rsid w:val="00862A9F"/>
    <w:rsid w:val="00862B4C"/>
    <w:rsid w:val="00862C5F"/>
    <w:rsid w:val="00862CE7"/>
    <w:rsid w:val="008631E3"/>
    <w:rsid w:val="0086333C"/>
    <w:rsid w:val="00863349"/>
    <w:rsid w:val="0086334E"/>
    <w:rsid w:val="0086362F"/>
    <w:rsid w:val="00863679"/>
    <w:rsid w:val="008636AE"/>
    <w:rsid w:val="00863838"/>
    <w:rsid w:val="00863B16"/>
    <w:rsid w:val="00863EA0"/>
    <w:rsid w:val="0086419A"/>
    <w:rsid w:val="008641E4"/>
    <w:rsid w:val="008643C3"/>
    <w:rsid w:val="0086440B"/>
    <w:rsid w:val="0086457F"/>
    <w:rsid w:val="00864E90"/>
    <w:rsid w:val="00864EB8"/>
    <w:rsid w:val="00864FE8"/>
    <w:rsid w:val="00865074"/>
    <w:rsid w:val="008652A7"/>
    <w:rsid w:val="008652F3"/>
    <w:rsid w:val="0086552F"/>
    <w:rsid w:val="008657A4"/>
    <w:rsid w:val="00865A0E"/>
    <w:rsid w:val="00865AB4"/>
    <w:rsid w:val="00865EAE"/>
    <w:rsid w:val="00866013"/>
    <w:rsid w:val="0086635A"/>
    <w:rsid w:val="008665A5"/>
    <w:rsid w:val="00866618"/>
    <w:rsid w:val="00866E43"/>
    <w:rsid w:val="00866FFF"/>
    <w:rsid w:val="008670EB"/>
    <w:rsid w:val="00867349"/>
    <w:rsid w:val="0086748D"/>
    <w:rsid w:val="008676E9"/>
    <w:rsid w:val="008678F2"/>
    <w:rsid w:val="00867BA5"/>
    <w:rsid w:val="0087009D"/>
    <w:rsid w:val="0087011E"/>
    <w:rsid w:val="00870162"/>
    <w:rsid w:val="0087023B"/>
    <w:rsid w:val="00870327"/>
    <w:rsid w:val="00870585"/>
    <w:rsid w:val="0087059C"/>
    <w:rsid w:val="008706A7"/>
    <w:rsid w:val="00870AD6"/>
    <w:rsid w:val="00870BB2"/>
    <w:rsid w:val="00870E90"/>
    <w:rsid w:val="00870ED8"/>
    <w:rsid w:val="00870FA0"/>
    <w:rsid w:val="00871264"/>
    <w:rsid w:val="008712D4"/>
    <w:rsid w:val="0087141C"/>
    <w:rsid w:val="008714A3"/>
    <w:rsid w:val="008717B1"/>
    <w:rsid w:val="00871AED"/>
    <w:rsid w:val="0087212B"/>
    <w:rsid w:val="00872590"/>
    <w:rsid w:val="00872C62"/>
    <w:rsid w:val="00872DCA"/>
    <w:rsid w:val="00872DE8"/>
    <w:rsid w:val="00872F17"/>
    <w:rsid w:val="00872F9D"/>
    <w:rsid w:val="00872FB8"/>
    <w:rsid w:val="00873028"/>
    <w:rsid w:val="00873098"/>
    <w:rsid w:val="008731AB"/>
    <w:rsid w:val="00873283"/>
    <w:rsid w:val="008736D2"/>
    <w:rsid w:val="00873779"/>
    <w:rsid w:val="00873B23"/>
    <w:rsid w:val="00873BD8"/>
    <w:rsid w:val="00873D74"/>
    <w:rsid w:val="008741B4"/>
    <w:rsid w:val="008744A7"/>
    <w:rsid w:val="008745F2"/>
    <w:rsid w:val="00874AFE"/>
    <w:rsid w:val="00874B69"/>
    <w:rsid w:val="00874C81"/>
    <w:rsid w:val="00874DC3"/>
    <w:rsid w:val="00874DE5"/>
    <w:rsid w:val="00874E5A"/>
    <w:rsid w:val="00874E5E"/>
    <w:rsid w:val="00875412"/>
    <w:rsid w:val="008754BD"/>
    <w:rsid w:val="008756A5"/>
    <w:rsid w:val="00875903"/>
    <w:rsid w:val="00875A44"/>
    <w:rsid w:val="00875B81"/>
    <w:rsid w:val="00875BBF"/>
    <w:rsid w:val="00875D17"/>
    <w:rsid w:val="00875F7B"/>
    <w:rsid w:val="008760AE"/>
    <w:rsid w:val="008760BD"/>
    <w:rsid w:val="0087663C"/>
    <w:rsid w:val="0087695E"/>
    <w:rsid w:val="00876A3C"/>
    <w:rsid w:val="00876C71"/>
    <w:rsid w:val="00876FE3"/>
    <w:rsid w:val="008770D1"/>
    <w:rsid w:val="0087770B"/>
    <w:rsid w:val="00877939"/>
    <w:rsid w:val="00877B98"/>
    <w:rsid w:val="00877C04"/>
    <w:rsid w:val="00877F13"/>
    <w:rsid w:val="00877F27"/>
    <w:rsid w:val="008802DC"/>
    <w:rsid w:val="0088037B"/>
    <w:rsid w:val="00880434"/>
    <w:rsid w:val="008804EA"/>
    <w:rsid w:val="00880A30"/>
    <w:rsid w:val="00880EC4"/>
    <w:rsid w:val="00880F51"/>
    <w:rsid w:val="0088124D"/>
    <w:rsid w:val="00881336"/>
    <w:rsid w:val="008817FA"/>
    <w:rsid w:val="00881A0C"/>
    <w:rsid w:val="00881ABC"/>
    <w:rsid w:val="00881B0F"/>
    <w:rsid w:val="00881D07"/>
    <w:rsid w:val="00881FA0"/>
    <w:rsid w:val="008820FE"/>
    <w:rsid w:val="008822B9"/>
    <w:rsid w:val="008825C4"/>
    <w:rsid w:val="00882767"/>
    <w:rsid w:val="00882842"/>
    <w:rsid w:val="00882A85"/>
    <w:rsid w:val="00882AF7"/>
    <w:rsid w:val="00882B36"/>
    <w:rsid w:val="00882D26"/>
    <w:rsid w:val="00882DC7"/>
    <w:rsid w:val="008830AF"/>
    <w:rsid w:val="0088318A"/>
    <w:rsid w:val="008831F2"/>
    <w:rsid w:val="0088327A"/>
    <w:rsid w:val="00883629"/>
    <w:rsid w:val="00883A73"/>
    <w:rsid w:val="00883A75"/>
    <w:rsid w:val="00883C6B"/>
    <w:rsid w:val="00883FD7"/>
    <w:rsid w:val="00883FFB"/>
    <w:rsid w:val="008840E8"/>
    <w:rsid w:val="0088414E"/>
    <w:rsid w:val="0088426C"/>
    <w:rsid w:val="008843EC"/>
    <w:rsid w:val="0088449B"/>
    <w:rsid w:val="00884A47"/>
    <w:rsid w:val="00884A6C"/>
    <w:rsid w:val="00884B18"/>
    <w:rsid w:val="00884D39"/>
    <w:rsid w:val="00884D48"/>
    <w:rsid w:val="008852FA"/>
    <w:rsid w:val="00885420"/>
    <w:rsid w:val="00885469"/>
    <w:rsid w:val="008854C4"/>
    <w:rsid w:val="0088562A"/>
    <w:rsid w:val="008857C4"/>
    <w:rsid w:val="00885AB3"/>
    <w:rsid w:val="00885C26"/>
    <w:rsid w:val="00885C6C"/>
    <w:rsid w:val="00885CB0"/>
    <w:rsid w:val="00885CD5"/>
    <w:rsid w:val="00885E82"/>
    <w:rsid w:val="00885F45"/>
    <w:rsid w:val="00885FB9"/>
    <w:rsid w:val="00886047"/>
    <w:rsid w:val="008864C0"/>
    <w:rsid w:val="0088655F"/>
    <w:rsid w:val="00886C3B"/>
    <w:rsid w:val="00886CE5"/>
    <w:rsid w:val="00886DB9"/>
    <w:rsid w:val="00886FD6"/>
    <w:rsid w:val="0088744F"/>
    <w:rsid w:val="008875FD"/>
    <w:rsid w:val="0088774D"/>
    <w:rsid w:val="00887F20"/>
    <w:rsid w:val="00887FEC"/>
    <w:rsid w:val="008900E1"/>
    <w:rsid w:val="008902A7"/>
    <w:rsid w:val="008903F4"/>
    <w:rsid w:val="0089043E"/>
    <w:rsid w:val="008905DF"/>
    <w:rsid w:val="00890705"/>
    <w:rsid w:val="0089092F"/>
    <w:rsid w:val="008909C0"/>
    <w:rsid w:val="00890B00"/>
    <w:rsid w:val="00890C86"/>
    <w:rsid w:val="00890F09"/>
    <w:rsid w:val="0089105F"/>
    <w:rsid w:val="008910EB"/>
    <w:rsid w:val="00891215"/>
    <w:rsid w:val="00891406"/>
    <w:rsid w:val="00891653"/>
    <w:rsid w:val="00891808"/>
    <w:rsid w:val="00891A17"/>
    <w:rsid w:val="00891D76"/>
    <w:rsid w:val="00891E62"/>
    <w:rsid w:val="00891F1D"/>
    <w:rsid w:val="0089219A"/>
    <w:rsid w:val="0089221D"/>
    <w:rsid w:val="008922D6"/>
    <w:rsid w:val="008923BE"/>
    <w:rsid w:val="00892552"/>
    <w:rsid w:val="00892828"/>
    <w:rsid w:val="00892880"/>
    <w:rsid w:val="00892D2D"/>
    <w:rsid w:val="00892DCC"/>
    <w:rsid w:val="00892E32"/>
    <w:rsid w:val="00892E9B"/>
    <w:rsid w:val="00892FEC"/>
    <w:rsid w:val="0089305C"/>
    <w:rsid w:val="008930CA"/>
    <w:rsid w:val="008930DB"/>
    <w:rsid w:val="008930E3"/>
    <w:rsid w:val="008934F8"/>
    <w:rsid w:val="008934FD"/>
    <w:rsid w:val="0089352D"/>
    <w:rsid w:val="0089353F"/>
    <w:rsid w:val="00893656"/>
    <w:rsid w:val="008936B3"/>
    <w:rsid w:val="008936C7"/>
    <w:rsid w:val="008936FF"/>
    <w:rsid w:val="008937A2"/>
    <w:rsid w:val="00893871"/>
    <w:rsid w:val="00893FA5"/>
    <w:rsid w:val="00894018"/>
    <w:rsid w:val="008940AA"/>
    <w:rsid w:val="00894219"/>
    <w:rsid w:val="00894592"/>
    <w:rsid w:val="008945C8"/>
    <w:rsid w:val="008945F6"/>
    <w:rsid w:val="00894831"/>
    <w:rsid w:val="00894886"/>
    <w:rsid w:val="00894D24"/>
    <w:rsid w:val="00894DAE"/>
    <w:rsid w:val="008955A2"/>
    <w:rsid w:val="008959FE"/>
    <w:rsid w:val="00895E1A"/>
    <w:rsid w:val="00895FCF"/>
    <w:rsid w:val="00896483"/>
    <w:rsid w:val="008968FC"/>
    <w:rsid w:val="008969BE"/>
    <w:rsid w:val="00896B00"/>
    <w:rsid w:val="00896C64"/>
    <w:rsid w:val="00896D8E"/>
    <w:rsid w:val="00896F32"/>
    <w:rsid w:val="00896F45"/>
    <w:rsid w:val="00897035"/>
    <w:rsid w:val="00897265"/>
    <w:rsid w:val="00897305"/>
    <w:rsid w:val="00897560"/>
    <w:rsid w:val="00897807"/>
    <w:rsid w:val="00897825"/>
    <w:rsid w:val="00897971"/>
    <w:rsid w:val="00897B2D"/>
    <w:rsid w:val="00897BE3"/>
    <w:rsid w:val="00897E92"/>
    <w:rsid w:val="008A0048"/>
    <w:rsid w:val="008A0123"/>
    <w:rsid w:val="008A0528"/>
    <w:rsid w:val="008A0610"/>
    <w:rsid w:val="008A0656"/>
    <w:rsid w:val="008A06E8"/>
    <w:rsid w:val="008A0931"/>
    <w:rsid w:val="008A0BA4"/>
    <w:rsid w:val="008A1105"/>
    <w:rsid w:val="008A1238"/>
    <w:rsid w:val="008A154C"/>
    <w:rsid w:val="008A1593"/>
    <w:rsid w:val="008A15BE"/>
    <w:rsid w:val="008A179F"/>
    <w:rsid w:val="008A1877"/>
    <w:rsid w:val="008A1901"/>
    <w:rsid w:val="008A23D9"/>
    <w:rsid w:val="008A258E"/>
    <w:rsid w:val="008A26F1"/>
    <w:rsid w:val="008A2786"/>
    <w:rsid w:val="008A29C7"/>
    <w:rsid w:val="008A2A6B"/>
    <w:rsid w:val="008A2A7A"/>
    <w:rsid w:val="008A2C01"/>
    <w:rsid w:val="008A34AA"/>
    <w:rsid w:val="008A364A"/>
    <w:rsid w:val="008A366B"/>
    <w:rsid w:val="008A37D4"/>
    <w:rsid w:val="008A3E82"/>
    <w:rsid w:val="008A3FA8"/>
    <w:rsid w:val="008A407A"/>
    <w:rsid w:val="008A4227"/>
    <w:rsid w:val="008A4334"/>
    <w:rsid w:val="008A4433"/>
    <w:rsid w:val="008A44D0"/>
    <w:rsid w:val="008A4572"/>
    <w:rsid w:val="008A45AB"/>
    <w:rsid w:val="008A46F7"/>
    <w:rsid w:val="008A4863"/>
    <w:rsid w:val="008A4899"/>
    <w:rsid w:val="008A4E82"/>
    <w:rsid w:val="008A5754"/>
    <w:rsid w:val="008A5DD4"/>
    <w:rsid w:val="008A6069"/>
    <w:rsid w:val="008A6958"/>
    <w:rsid w:val="008A6B1E"/>
    <w:rsid w:val="008A6C1D"/>
    <w:rsid w:val="008A6CD8"/>
    <w:rsid w:val="008A6D65"/>
    <w:rsid w:val="008A6DA9"/>
    <w:rsid w:val="008A6F15"/>
    <w:rsid w:val="008A703A"/>
    <w:rsid w:val="008A7191"/>
    <w:rsid w:val="008A74E4"/>
    <w:rsid w:val="008A76F1"/>
    <w:rsid w:val="008A770D"/>
    <w:rsid w:val="008A7BEB"/>
    <w:rsid w:val="008A7C9C"/>
    <w:rsid w:val="008A7F69"/>
    <w:rsid w:val="008B01E4"/>
    <w:rsid w:val="008B03B9"/>
    <w:rsid w:val="008B048E"/>
    <w:rsid w:val="008B0864"/>
    <w:rsid w:val="008B0907"/>
    <w:rsid w:val="008B0ABD"/>
    <w:rsid w:val="008B0C3D"/>
    <w:rsid w:val="008B0E7E"/>
    <w:rsid w:val="008B0E8F"/>
    <w:rsid w:val="008B12AB"/>
    <w:rsid w:val="008B12B9"/>
    <w:rsid w:val="008B143A"/>
    <w:rsid w:val="008B14ED"/>
    <w:rsid w:val="008B19B4"/>
    <w:rsid w:val="008B1ACA"/>
    <w:rsid w:val="008B1E8E"/>
    <w:rsid w:val="008B2249"/>
    <w:rsid w:val="008B231E"/>
    <w:rsid w:val="008B242D"/>
    <w:rsid w:val="008B24D3"/>
    <w:rsid w:val="008B2519"/>
    <w:rsid w:val="008B29CF"/>
    <w:rsid w:val="008B2B8B"/>
    <w:rsid w:val="008B2DE9"/>
    <w:rsid w:val="008B2E8C"/>
    <w:rsid w:val="008B2F5C"/>
    <w:rsid w:val="008B30FD"/>
    <w:rsid w:val="008B3156"/>
    <w:rsid w:val="008B315D"/>
    <w:rsid w:val="008B39B6"/>
    <w:rsid w:val="008B408C"/>
    <w:rsid w:val="008B42F8"/>
    <w:rsid w:val="008B4C96"/>
    <w:rsid w:val="008B4E8C"/>
    <w:rsid w:val="008B524E"/>
    <w:rsid w:val="008B5695"/>
    <w:rsid w:val="008B56EF"/>
    <w:rsid w:val="008B588D"/>
    <w:rsid w:val="008B5A3C"/>
    <w:rsid w:val="008B5CAE"/>
    <w:rsid w:val="008B5CD2"/>
    <w:rsid w:val="008B5E7A"/>
    <w:rsid w:val="008B6039"/>
    <w:rsid w:val="008B6225"/>
    <w:rsid w:val="008B6391"/>
    <w:rsid w:val="008B667F"/>
    <w:rsid w:val="008B6CB9"/>
    <w:rsid w:val="008B6F38"/>
    <w:rsid w:val="008B7182"/>
    <w:rsid w:val="008B77D7"/>
    <w:rsid w:val="008B7CD8"/>
    <w:rsid w:val="008B7E44"/>
    <w:rsid w:val="008B7F3E"/>
    <w:rsid w:val="008C000E"/>
    <w:rsid w:val="008C0037"/>
    <w:rsid w:val="008C021B"/>
    <w:rsid w:val="008C039B"/>
    <w:rsid w:val="008C04A0"/>
    <w:rsid w:val="008C0506"/>
    <w:rsid w:val="008C0911"/>
    <w:rsid w:val="008C094C"/>
    <w:rsid w:val="008C0AC1"/>
    <w:rsid w:val="008C0AF8"/>
    <w:rsid w:val="008C0C78"/>
    <w:rsid w:val="008C0D5A"/>
    <w:rsid w:val="008C0D96"/>
    <w:rsid w:val="008C1107"/>
    <w:rsid w:val="008C1143"/>
    <w:rsid w:val="008C1C29"/>
    <w:rsid w:val="008C1D09"/>
    <w:rsid w:val="008C1FB3"/>
    <w:rsid w:val="008C1FD1"/>
    <w:rsid w:val="008C2432"/>
    <w:rsid w:val="008C25D0"/>
    <w:rsid w:val="008C2636"/>
    <w:rsid w:val="008C2A15"/>
    <w:rsid w:val="008C2A45"/>
    <w:rsid w:val="008C2C5D"/>
    <w:rsid w:val="008C2DDB"/>
    <w:rsid w:val="008C2FC5"/>
    <w:rsid w:val="008C314E"/>
    <w:rsid w:val="008C3241"/>
    <w:rsid w:val="008C32C1"/>
    <w:rsid w:val="008C3712"/>
    <w:rsid w:val="008C373D"/>
    <w:rsid w:val="008C37E3"/>
    <w:rsid w:val="008C3B5B"/>
    <w:rsid w:val="008C3BD2"/>
    <w:rsid w:val="008C4045"/>
    <w:rsid w:val="008C40D3"/>
    <w:rsid w:val="008C4332"/>
    <w:rsid w:val="008C4343"/>
    <w:rsid w:val="008C46C0"/>
    <w:rsid w:val="008C487A"/>
    <w:rsid w:val="008C4D45"/>
    <w:rsid w:val="008C4DE7"/>
    <w:rsid w:val="008C4EDC"/>
    <w:rsid w:val="008C4F72"/>
    <w:rsid w:val="008C52B8"/>
    <w:rsid w:val="008C546E"/>
    <w:rsid w:val="008C5631"/>
    <w:rsid w:val="008C5693"/>
    <w:rsid w:val="008C5860"/>
    <w:rsid w:val="008C5958"/>
    <w:rsid w:val="008C5E3C"/>
    <w:rsid w:val="008C5F38"/>
    <w:rsid w:val="008C666D"/>
    <w:rsid w:val="008C6712"/>
    <w:rsid w:val="008C6B02"/>
    <w:rsid w:val="008C6B31"/>
    <w:rsid w:val="008C6C66"/>
    <w:rsid w:val="008C6C72"/>
    <w:rsid w:val="008C6E65"/>
    <w:rsid w:val="008C70F9"/>
    <w:rsid w:val="008C71F0"/>
    <w:rsid w:val="008C7308"/>
    <w:rsid w:val="008C7413"/>
    <w:rsid w:val="008C7541"/>
    <w:rsid w:val="008C7553"/>
    <w:rsid w:val="008C76AE"/>
    <w:rsid w:val="008C7A0F"/>
    <w:rsid w:val="008C7A4C"/>
    <w:rsid w:val="008C7A76"/>
    <w:rsid w:val="008C7CE2"/>
    <w:rsid w:val="008D0169"/>
    <w:rsid w:val="008D03D7"/>
    <w:rsid w:val="008D03F4"/>
    <w:rsid w:val="008D0486"/>
    <w:rsid w:val="008D04CD"/>
    <w:rsid w:val="008D0716"/>
    <w:rsid w:val="008D0797"/>
    <w:rsid w:val="008D08EE"/>
    <w:rsid w:val="008D0949"/>
    <w:rsid w:val="008D0B3C"/>
    <w:rsid w:val="008D0B98"/>
    <w:rsid w:val="008D0C61"/>
    <w:rsid w:val="008D12AD"/>
    <w:rsid w:val="008D12EB"/>
    <w:rsid w:val="008D1387"/>
    <w:rsid w:val="008D16B7"/>
    <w:rsid w:val="008D18F7"/>
    <w:rsid w:val="008D1AB3"/>
    <w:rsid w:val="008D1B03"/>
    <w:rsid w:val="008D1E65"/>
    <w:rsid w:val="008D2151"/>
    <w:rsid w:val="008D2405"/>
    <w:rsid w:val="008D25C6"/>
    <w:rsid w:val="008D2A7B"/>
    <w:rsid w:val="008D2DC1"/>
    <w:rsid w:val="008D2FD4"/>
    <w:rsid w:val="008D3071"/>
    <w:rsid w:val="008D33F4"/>
    <w:rsid w:val="008D345C"/>
    <w:rsid w:val="008D350F"/>
    <w:rsid w:val="008D3739"/>
    <w:rsid w:val="008D3B2F"/>
    <w:rsid w:val="008D3B45"/>
    <w:rsid w:val="008D3CD5"/>
    <w:rsid w:val="008D40E7"/>
    <w:rsid w:val="008D4189"/>
    <w:rsid w:val="008D4A37"/>
    <w:rsid w:val="008D4AE4"/>
    <w:rsid w:val="008D4B69"/>
    <w:rsid w:val="008D4C8B"/>
    <w:rsid w:val="008D4CAF"/>
    <w:rsid w:val="008D4FD2"/>
    <w:rsid w:val="008D51A9"/>
    <w:rsid w:val="008D5291"/>
    <w:rsid w:val="008D52E5"/>
    <w:rsid w:val="008D567D"/>
    <w:rsid w:val="008D5710"/>
    <w:rsid w:val="008D5765"/>
    <w:rsid w:val="008D5CD3"/>
    <w:rsid w:val="008D5D35"/>
    <w:rsid w:val="008D5D48"/>
    <w:rsid w:val="008D6143"/>
    <w:rsid w:val="008D64D0"/>
    <w:rsid w:val="008D64E3"/>
    <w:rsid w:val="008D65BA"/>
    <w:rsid w:val="008D6BBF"/>
    <w:rsid w:val="008D6C61"/>
    <w:rsid w:val="008D6E26"/>
    <w:rsid w:val="008D7204"/>
    <w:rsid w:val="008D7246"/>
    <w:rsid w:val="008D73BC"/>
    <w:rsid w:val="008D755D"/>
    <w:rsid w:val="008D7719"/>
    <w:rsid w:val="008D7B38"/>
    <w:rsid w:val="008D7C4C"/>
    <w:rsid w:val="008D7D35"/>
    <w:rsid w:val="008E012E"/>
    <w:rsid w:val="008E0202"/>
    <w:rsid w:val="008E0408"/>
    <w:rsid w:val="008E06ED"/>
    <w:rsid w:val="008E14A4"/>
    <w:rsid w:val="008E14B1"/>
    <w:rsid w:val="008E152F"/>
    <w:rsid w:val="008E1593"/>
    <w:rsid w:val="008E15B7"/>
    <w:rsid w:val="008E1618"/>
    <w:rsid w:val="008E1E98"/>
    <w:rsid w:val="008E1FFB"/>
    <w:rsid w:val="008E2173"/>
    <w:rsid w:val="008E227A"/>
    <w:rsid w:val="008E23F8"/>
    <w:rsid w:val="008E2651"/>
    <w:rsid w:val="008E2850"/>
    <w:rsid w:val="008E294C"/>
    <w:rsid w:val="008E2C70"/>
    <w:rsid w:val="008E2D4E"/>
    <w:rsid w:val="008E2E8B"/>
    <w:rsid w:val="008E36E5"/>
    <w:rsid w:val="008E3839"/>
    <w:rsid w:val="008E38D6"/>
    <w:rsid w:val="008E39CD"/>
    <w:rsid w:val="008E3A62"/>
    <w:rsid w:val="008E3CF3"/>
    <w:rsid w:val="008E3EC1"/>
    <w:rsid w:val="008E3EFE"/>
    <w:rsid w:val="008E4139"/>
    <w:rsid w:val="008E42C2"/>
    <w:rsid w:val="008E4310"/>
    <w:rsid w:val="008E4EBB"/>
    <w:rsid w:val="008E5008"/>
    <w:rsid w:val="008E506B"/>
    <w:rsid w:val="008E5147"/>
    <w:rsid w:val="008E51FE"/>
    <w:rsid w:val="008E553A"/>
    <w:rsid w:val="008E572B"/>
    <w:rsid w:val="008E5A80"/>
    <w:rsid w:val="008E5DAB"/>
    <w:rsid w:val="008E5DDD"/>
    <w:rsid w:val="008E60F4"/>
    <w:rsid w:val="008E640D"/>
    <w:rsid w:val="008E65A9"/>
    <w:rsid w:val="008E673C"/>
    <w:rsid w:val="008E67B7"/>
    <w:rsid w:val="008E6809"/>
    <w:rsid w:val="008E6870"/>
    <w:rsid w:val="008E6916"/>
    <w:rsid w:val="008E69A7"/>
    <w:rsid w:val="008E6AE6"/>
    <w:rsid w:val="008E6B63"/>
    <w:rsid w:val="008E6D51"/>
    <w:rsid w:val="008E6D72"/>
    <w:rsid w:val="008E7187"/>
    <w:rsid w:val="008E71C2"/>
    <w:rsid w:val="008E725A"/>
    <w:rsid w:val="008E76B4"/>
    <w:rsid w:val="008E79B7"/>
    <w:rsid w:val="008E7A53"/>
    <w:rsid w:val="008E7CAC"/>
    <w:rsid w:val="008E7FAE"/>
    <w:rsid w:val="008E7FD1"/>
    <w:rsid w:val="008F00A3"/>
    <w:rsid w:val="008F0116"/>
    <w:rsid w:val="008F03C7"/>
    <w:rsid w:val="008F072F"/>
    <w:rsid w:val="008F079D"/>
    <w:rsid w:val="008F08D1"/>
    <w:rsid w:val="008F0B44"/>
    <w:rsid w:val="008F0B8B"/>
    <w:rsid w:val="008F0CCF"/>
    <w:rsid w:val="008F0DBC"/>
    <w:rsid w:val="008F0E73"/>
    <w:rsid w:val="008F0EB4"/>
    <w:rsid w:val="008F0F0B"/>
    <w:rsid w:val="008F1086"/>
    <w:rsid w:val="008F12D4"/>
    <w:rsid w:val="008F143D"/>
    <w:rsid w:val="008F1701"/>
    <w:rsid w:val="008F1794"/>
    <w:rsid w:val="008F17D3"/>
    <w:rsid w:val="008F1964"/>
    <w:rsid w:val="008F1A86"/>
    <w:rsid w:val="008F1AFD"/>
    <w:rsid w:val="008F1DB2"/>
    <w:rsid w:val="008F1DF2"/>
    <w:rsid w:val="008F238E"/>
    <w:rsid w:val="008F28A4"/>
    <w:rsid w:val="008F28D0"/>
    <w:rsid w:val="008F2927"/>
    <w:rsid w:val="008F296D"/>
    <w:rsid w:val="008F2AD0"/>
    <w:rsid w:val="008F2C2B"/>
    <w:rsid w:val="008F3032"/>
    <w:rsid w:val="008F310E"/>
    <w:rsid w:val="008F315C"/>
    <w:rsid w:val="008F3541"/>
    <w:rsid w:val="008F3978"/>
    <w:rsid w:val="008F39A7"/>
    <w:rsid w:val="008F39B4"/>
    <w:rsid w:val="008F3B66"/>
    <w:rsid w:val="008F3B98"/>
    <w:rsid w:val="008F3CE3"/>
    <w:rsid w:val="008F3D2A"/>
    <w:rsid w:val="008F3E40"/>
    <w:rsid w:val="008F4028"/>
    <w:rsid w:val="008F4341"/>
    <w:rsid w:val="008F45D2"/>
    <w:rsid w:val="008F4851"/>
    <w:rsid w:val="008F49AF"/>
    <w:rsid w:val="008F4A10"/>
    <w:rsid w:val="008F4B53"/>
    <w:rsid w:val="008F4EE8"/>
    <w:rsid w:val="008F5050"/>
    <w:rsid w:val="008F50E9"/>
    <w:rsid w:val="008F531C"/>
    <w:rsid w:val="008F53A2"/>
    <w:rsid w:val="008F57EF"/>
    <w:rsid w:val="008F5AC6"/>
    <w:rsid w:val="008F5C0F"/>
    <w:rsid w:val="008F5C1F"/>
    <w:rsid w:val="008F5EE4"/>
    <w:rsid w:val="008F6281"/>
    <w:rsid w:val="008F62BC"/>
    <w:rsid w:val="008F63F6"/>
    <w:rsid w:val="008F652E"/>
    <w:rsid w:val="008F698A"/>
    <w:rsid w:val="008F6C82"/>
    <w:rsid w:val="008F6D44"/>
    <w:rsid w:val="008F6D9D"/>
    <w:rsid w:val="008F6E92"/>
    <w:rsid w:val="008F6FF0"/>
    <w:rsid w:val="008F71A0"/>
    <w:rsid w:val="008F71C1"/>
    <w:rsid w:val="008F7FBC"/>
    <w:rsid w:val="009002D3"/>
    <w:rsid w:val="009002F9"/>
    <w:rsid w:val="00900539"/>
    <w:rsid w:val="0090074B"/>
    <w:rsid w:val="009007B9"/>
    <w:rsid w:val="0090083F"/>
    <w:rsid w:val="009008ED"/>
    <w:rsid w:val="00900D4D"/>
    <w:rsid w:val="00901025"/>
    <w:rsid w:val="009012C8"/>
    <w:rsid w:val="009012D7"/>
    <w:rsid w:val="00901485"/>
    <w:rsid w:val="009014B5"/>
    <w:rsid w:val="009015E8"/>
    <w:rsid w:val="00901646"/>
    <w:rsid w:val="00901680"/>
    <w:rsid w:val="009017BA"/>
    <w:rsid w:val="009017D9"/>
    <w:rsid w:val="0090195F"/>
    <w:rsid w:val="00901CF2"/>
    <w:rsid w:val="00901DD2"/>
    <w:rsid w:val="00902059"/>
    <w:rsid w:val="009021F9"/>
    <w:rsid w:val="00902310"/>
    <w:rsid w:val="009024CF"/>
    <w:rsid w:val="00902504"/>
    <w:rsid w:val="00902B2F"/>
    <w:rsid w:val="00902B78"/>
    <w:rsid w:val="00902BC0"/>
    <w:rsid w:val="00902CC1"/>
    <w:rsid w:val="00902E03"/>
    <w:rsid w:val="0090300D"/>
    <w:rsid w:val="009034CC"/>
    <w:rsid w:val="009035C1"/>
    <w:rsid w:val="00903666"/>
    <w:rsid w:val="00903836"/>
    <w:rsid w:val="00903B99"/>
    <w:rsid w:val="00903D43"/>
    <w:rsid w:val="00903E1C"/>
    <w:rsid w:val="00903FFD"/>
    <w:rsid w:val="0090400A"/>
    <w:rsid w:val="00904749"/>
    <w:rsid w:val="0090480B"/>
    <w:rsid w:val="00904A77"/>
    <w:rsid w:val="00904CC8"/>
    <w:rsid w:val="00904F16"/>
    <w:rsid w:val="009050D4"/>
    <w:rsid w:val="009050F1"/>
    <w:rsid w:val="009052CA"/>
    <w:rsid w:val="00905953"/>
    <w:rsid w:val="00905961"/>
    <w:rsid w:val="00905DF7"/>
    <w:rsid w:val="00905E0D"/>
    <w:rsid w:val="00905F1E"/>
    <w:rsid w:val="009062FC"/>
    <w:rsid w:val="00906876"/>
    <w:rsid w:val="0090690D"/>
    <w:rsid w:val="009069F0"/>
    <w:rsid w:val="00906A04"/>
    <w:rsid w:val="00906A0C"/>
    <w:rsid w:val="00906BC6"/>
    <w:rsid w:val="00906DC7"/>
    <w:rsid w:val="00906FD0"/>
    <w:rsid w:val="009077D0"/>
    <w:rsid w:val="00907C30"/>
    <w:rsid w:val="00907D50"/>
    <w:rsid w:val="00907DA5"/>
    <w:rsid w:val="00907E83"/>
    <w:rsid w:val="00910393"/>
    <w:rsid w:val="00910792"/>
    <w:rsid w:val="009107A9"/>
    <w:rsid w:val="00910885"/>
    <w:rsid w:val="009109B7"/>
    <w:rsid w:val="00910A5D"/>
    <w:rsid w:val="00910AC3"/>
    <w:rsid w:val="00910AE7"/>
    <w:rsid w:val="00910AF8"/>
    <w:rsid w:val="00910B26"/>
    <w:rsid w:val="00910B2B"/>
    <w:rsid w:val="00910B59"/>
    <w:rsid w:val="00910D51"/>
    <w:rsid w:val="0091103B"/>
    <w:rsid w:val="009110DF"/>
    <w:rsid w:val="00911110"/>
    <w:rsid w:val="0091116D"/>
    <w:rsid w:val="00911841"/>
    <w:rsid w:val="0091195D"/>
    <w:rsid w:val="00911A0D"/>
    <w:rsid w:val="00911ABF"/>
    <w:rsid w:val="00911FAB"/>
    <w:rsid w:val="00912139"/>
    <w:rsid w:val="0091233C"/>
    <w:rsid w:val="00912808"/>
    <w:rsid w:val="009129CE"/>
    <w:rsid w:val="00912C5E"/>
    <w:rsid w:val="00913251"/>
    <w:rsid w:val="009132F3"/>
    <w:rsid w:val="00913408"/>
    <w:rsid w:val="0091355B"/>
    <w:rsid w:val="009135B3"/>
    <w:rsid w:val="0091363B"/>
    <w:rsid w:val="00913681"/>
    <w:rsid w:val="009138A5"/>
    <w:rsid w:val="00913E7A"/>
    <w:rsid w:val="00913EDB"/>
    <w:rsid w:val="0091414B"/>
    <w:rsid w:val="00914765"/>
    <w:rsid w:val="00914781"/>
    <w:rsid w:val="00914C10"/>
    <w:rsid w:val="00914CC7"/>
    <w:rsid w:val="00914D69"/>
    <w:rsid w:val="00914E0E"/>
    <w:rsid w:val="00914E81"/>
    <w:rsid w:val="009150FC"/>
    <w:rsid w:val="00915452"/>
    <w:rsid w:val="00915534"/>
    <w:rsid w:val="00915560"/>
    <w:rsid w:val="00915678"/>
    <w:rsid w:val="009157B4"/>
    <w:rsid w:val="009159CC"/>
    <w:rsid w:val="009159E3"/>
    <w:rsid w:val="00916139"/>
    <w:rsid w:val="0091623A"/>
    <w:rsid w:val="009165FD"/>
    <w:rsid w:val="00916A74"/>
    <w:rsid w:val="00916D77"/>
    <w:rsid w:val="00916F12"/>
    <w:rsid w:val="00917180"/>
    <w:rsid w:val="00917187"/>
    <w:rsid w:val="00917602"/>
    <w:rsid w:val="009176C7"/>
    <w:rsid w:val="009178BE"/>
    <w:rsid w:val="00917A11"/>
    <w:rsid w:val="00917BB2"/>
    <w:rsid w:val="00917DCF"/>
    <w:rsid w:val="00917FC7"/>
    <w:rsid w:val="009207BB"/>
    <w:rsid w:val="00920C5C"/>
    <w:rsid w:val="00920DD5"/>
    <w:rsid w:val="00920DE0"/>
    <w:rsid w:val="00920EDA"/>
    <w:rsid w:val="009210D6"/>
    <w:rsid w:val="0092113F"/>
    <w:rsid w:val="009211A9"/>
    <w:rsid w:val="009211CE"/>
    <w:rsid w:val="00921569"/>
    <w:rsid w:val="009215C5"/>
    <w:rsid w:val="00921672"/>
    <w:rsid w:val="009216F4"/>
    <w:rsid w:val="00921A06"/>
    <w:rsid w:val="00921AE9"/>
    <w:rsid w:val="00922109"/>
    <w:rsid w:val="0092219A"/>
    <w:rsid w:val="00922373"/>
    <w:rsid w:val="009226CD"/>
    <w:rsid w:val="00922951"/>
    <w:rsid w:val="009230D3"/>
    <w:rsid w:val="009231FE"/>
    <w:rsid w:val="00923261"/>
    <w:rsid w:val="00923671"/>
    <w:rsid w:val="009238D9"/>
    <w:rsid w:val="00923A4C"/>
    <w:rsid w:val="00923AAD"/>
    <w:rsid w:val="00923B05"/>
    <w:rsid w:val="00923CC7"/>
    <w:rsid w:val="00923D05"/>
    <w:rsid w:val="00923D65"/>
    <w:rsid w:val="0092402F"/>
    <w:rsid w:val="0092423A"/>
    <w:rsid w:val="00924599"/>
    <w:rsid w:val="009245BB"/>
    <w:rsid w:val="00924752"/>
    <w:rsid w:val="00924897"/>
    <w:rsid w:val="00924A1C"/>
    <w:rsid w:val="00924B8B"/>
    <w:rsid w:val="00924C65"/>
    <w:rsid w:val="00924D53"/>
    <w:rsid w:val="00924E14"/>
    <w:rsid w:val="00924F63"/>
    <w:rsid w:val="0092603D"/>
    <w:rsid w:val="009261EF"/>
    <w:rsid w:val="009261F2"/>
    <w:rsid w:val="00926426"/>
    <w:rsid w:val="0092653A"/>
    <w:rsid w:val="00926720"/>
    <w:rsid w:val="009269A4"/>
    <w:rsid w:val="00926FDE"/>
    <w:rsid w:val="0092714F"/>
    <w:rsid w:val="009272B2"/>
    <w:rsid w:val="0092775B"/>
    <w:rsid w:val="009278C8"/>
    <w:rsid w:val="00927963"/>
    <w:rsid w:val="00927A4E"/>
    <w:rsid w:val="00927E76"/>
    <w:rsid w:val="009301FE"/>
    <w:rsid w:val="00930364"/>
    <w:rsid w:val="0093044A"/>
    <w:rsid w:val="009306C3"/>
    <w:rsid w:val="0093072F"/>
    <w:rsid w:val="00930B9F"/>
    <w:rsid w:val="00930C16"/>
    <w:rsid w:val="00930D13"/>
    <w:rsid w:val="00930D2E"/>
    <w:rsid w:val="00930F05"/>
    <w:rsid w:val="009310BF"/>
    <w:rsid w:val="009318BE"/>
    <w:rsid w:val="00931D3D"/>
    <w:rsid w:val="00931DD8"/>
    <w:rsid w:val="00931F23"/>
    <w:rsid w:val="00931FC6"/>
    <w:rsid w:val="00932291"/>
    <w:rsid w:val="00932351"/>
    <w:rsid w:val="00932498"/>
    <w:rsid w:val="00932539"/>
    <w:rsid w:val="009325F4"/>
    <w:rsid w:val="0093265A"/>
    <w:rsid w:val="009326F9"/>
    <w:rsid w:val="00932828"/>
    <w:rsid w:val="00932865"/>
    <w:rsid w:val="009329AD"/>
    <w:rsid w:val="009329BF"/>
    <w:rsid w:val="00932DE0"/>
    <w:rsid w:val="00932E6D"/>
    <w:rsid w:val="009336AF"/>
    <w:rsid w:val="00933B52"/>
    <w:rsid w:val="00933BC3"/>
    <w:rsid w:val="009344D7"/>
    <w:rsid w:val="009346D7"/>
    <w:rsid w:val="00934CCF"/>
    <w:rsid w:val="00934E51"/>
    <w:rsid w:val="009351D1"/>
    <w:rsid w:val="00935371"/>
    <w:rsid w:val="0093584D"/>
    <w:rsid w:val="009358B2"/>
    <w:rsid w:val="00935924"/>
    <w:rsid w:val="00935B10"/>
    <w:rsid w:val="00935B26"/>
    <w:rsid w:val="00935BB1"/>
    <w:rsid w:val="00936374"/>
    <w:rsid w:val="009366A8"/>
    <w:rsid w:val="00936890"/>
    <w:rsid w:val="009369E1"/>
    <w:rsid w:val="00936B61"/>
    <w:rsid w:val="00936C0E"/>
    <w:rsid w:val="00936FC0"/>
    <w:rsid w:val="00937209"/>
    <w:rsid w:val="0093737C"/>
    <w:rsid w:val="0093778F"/>
    <w:rsid w:val="0093786C"/>
    <w:rsid w:val="0093797F"/>
    <w:rsid w:val="009379D4"/>
    <w:rsid w:val="00937CCC"/>
    <w:rsid w:val="009400B1"/>
    <w:rsid w:val="009403E0"/>
    <w:rsid w:val="00940433"/>
    <w:rsid w:val="00940522"/>
    <w:rsid w:val="00940732"/>
    <w:rsid w:val="0094073A"/>
    <w:rsid w:val="00940F83"/>
    <w:rsid w:val="00941635"/>
    <w:rsid w:val="00941645"/>
    <w:rsid w:val="0094176F"/>
    <w:rsid w:val="00941838"/>
    <w:rsid w:val="00941929"/>
    <w:rsid w:val="00941A88"/>
    <w:rsid w:val="00941C92"/>
    <w:rsid w:val="00941C96"/>
    <w:rsid w:val="00941D49"/>
    <w:rsid w:val="00941D59"/>
    <w:rsid w:val="00941E21"/>
    <w:rsid w:val="00941E42"/>
    <w:rsid w:val="00941FA4"/>
    <w:rsid w:val="00942047"/>
    <w:rsid w:val="00942246"/>
    <w:rsid w:val="009423A2"/>
    <w:rsid w:val="0094254A"/>
    <w:rsid w:val="00942814"/>
    <w:rsid w:val="009429FD"/>
    <w:rsid w:val="00942B0D"/>
    <w:rsid w:val="00942DCB"/>
    <w:rsid w:val="00943130"/>
    <w:rsid w:val="009431B3"/>
    <w:rsid w:val="00943377"/>
    <w:rsid w:val="00943A45"/>
    <w:rsid w:val="00943EF3"/>
    <w:rsid w:val="00944033"/>
    <w:rsid w:val="00944053"/>
    <w:rsid w:val="009441E9"/>
    <w:rsid w:val="009441F2"/>
    <w:rsid w:val="00944EAC"/>
    <w:rsid w:val="00944F4C"/>
    <w:rsid w:val="009450D9"/>
    <w:rsid w:val="00945783"/>
    <w:rsid w:val="0094591C"/>
    <w:rsid w:val="00945BB3"/>
    <w:rsid w:val="00945EF5"/>
    <w:rsid w:val="00946130"/>
    <w:rsid w:val="00946405"/>
    <w:rsid w:val="00946562"/>
    <w:rsid w:val="00946605"/>
    <w:rsid w:val="0094680A"/>
    <w:rsid w:val="009469F0"/>
    <w:rsid w:val="00946CAF"/>
    <w:rsid w:val="0094715F"/>
    <w:rsid w:val="009472F7"/>
    <w:rsid w:val="0094741F"/>
    <w:rsid w:val="009475E6"/>
    <w:rsid w:val="0094767B"/>
    <w:rsid w:val="009477B5"/>
    <w:rsid w:val="0094782A"/>
    <w:rsid w:val="0094783C"/>
    <w:rsid w:val="0094789D"/>
    <w:rsid w:val="009479AD"/>
    <w:rsid w:val="00947A06"/>
    <w:rsid w:val="00947BA7"/>
    <w:rsid w:val="00947CEA"/>
    <w:rsid w:val="00947D15"/>
    <w:rsid w:val="00947E7A"/>
    <w:rsid w:val="00947EC4"/>
    <w:rsid w:val="0095037A"/>
    <w:rsid w:val="009505F1"/>
    <w:rsid w:val="009506B1"/>
    <w:rsid w:val="009507B7"/>
    <w:rsid w:val="00950858"/>
    <w:rsid w:val="0095093E"/>
    <w:rsid w:val="009509CA"/>
    <w:rsid w:val="00950B7D"/>
    <w:rsid w:val="00950B8B"/>
    <w:rsid w:val="00950BBE"/>
    <w:rsid w:val="00950C80"/>
    <w:rsid w:val="00951245"/>
    <w:rsid w:val="00951680"/>
    <w:rsid w:val="00951681"/>
    <w:rsid w:val="00951BD2"/>
    <w:rsid w:val="00951D09"/>
    <w:rsid w:val="00951EBB"/>
    <w:rsid w:val="0095205A"/>
    <w:rsid w:val="009521B4"/>
    <w:rsid w:val="009521CE"/>
    <w:rsid w:val="009523A2"/>
    <w:rsid w:val="009523DF"/>
    <w:rsid w:val="00952463"/>
    <w:rsid w:val="0095250A"/>
    <w:rsid w:val="0095253E"/>
    <w:rsid w:val="009528CC"/>
    <w:rsid w:val="00952A7A"/>
    <w:rsid w:val="00952CC0"/>
    <w:rsid w:val="00952E03"/>
    <w:rsid w:val="00952F5A"/>
    <w:rsid w:val="009531FA"/>
    <w:rsid w:val="009536A5"/>
    <w:rsid w:val="00953BDA"/>
    <w:rsid w:val="00953C21"/>
    <w:rsid w:val="0095405B"/>
    <w:rsid w:val="0095425F"/>
    <w:rsid w:val="009543E1"/>
    <w:rsid w:val="00954613"/>
    <w:rsid w:val="00954643"/>
    <w:rsid w:val="009547FE"/>
    <w:rsid w:val="00954B7C"/>
    <w:rsid w:val="00954D34"/>
    <w:rsid w:val="00954F46"/>
    <w:rsid w:val="00955284"/>
    <w:rsid w:val="0095551F"/>
    <w:rsid w:val="00955579"/>
    <w:rsid w:val="0095570B"/>
    <w:rsid w:val="0095596C"/>
    <w:rsid w:val="009561C4"/>
    <w:rsid w:val="009563C6"/>
    <w:rsid w:val="00956501"/>
    <w:rsid w:val="00956579"/>
    <w:rsid w:val="009566EC"/>
    <w:rsid w:val="009568B5"/>
    <w:rsid w:val="00956997"/>
    <w:rsid w:val="009569B3"/>
    <w:rsid w:val="00956BDC"/>
    <w:rsid w:val="00957349"/>
    <w:rsid w:val="00957355"/>
    <w:rsid w:val="00957AF9"/>
    <w:rsid w:val="00957C4B"/>
    <w:rsid w:val="00957D1C"/>
    <w:rsid w:val="00957D43"/>
    <w:rsid w:val="009601C8"/>
    <w:rsid w:val="009604A3"/>
    <w:rsid w:val="00960595"/>
    <w:rsid w:val="00960877"/>
    <w:rsid w:val="00960894"/>
    <w:rsid w:val="00960996"/>
    <w:rsid w:val="00960C57"/>
    <w:rsid w:val="00960C78"/>
    <w:rsid w:val="00960CF3"/>
    <w:rsid w:val="00961232"/>
    <w:rsid w:val="00961574"/>
    <w:rsid w:val="009615A2"/>
    <w:rsid w:val="00961749"/>
    <w:rsid w:val="00961753"/>
    <w:rsid w:val="00961853"/>
    <w:rsid w:val="00961991"/>
    <w:rsid w:val="009619E5"/>
    <w:rsid w:val="00961DEB"/>
    <w:rsid w:val="0096203A"/>
    <w:rsid w:val="00962114"/>
    <w:rsid w:val="0096219A"/>
    <w:rsid w:val="00962296"/>
    <w:rsid w:val="0096256D"/>
    <w:rsid w:val="0096295E"/>
    <w:rsid w:val="00962B95"/>
    <w:rsid w:val="00962C26"/>
    <w:rsid w:val="00962C40"/>
    <w:rsid w:val="00962C79"/>
    <w:rsid w:val="00962DD7"/>
    <w:rsid w:val="00962E65"/>
    <w:rsid w:val="0096309D"/>
    <w:rsid w:val="009634BC"/>
    <w:rsid w:val="0096353D"/>
    <w:rsid w:val="00963560"/>
    <w:rsid w:val="00963678"/>
    <w:rsid w:val="0096384C"/>
    <w:rsid w:val="00963C1B"/>
    <w:rsid w:val="00963DB2"/>
    <w:rsid w:val="009641A0"/>
    <w:rsid w:val="009641AB"/>
    <w:rsid w:val="00964292"/>
    <w:rsid w:val="009645DC"/>
    <w:rsid w:val="009648BF"/>
    <w:rsid w:val="0096495C"/>
    <w:rsid w:val="00964CF9"/>
    <w:rsid w:val="00964D77"/>
    <w:rsid w:val="00964F1D"/>
    <w:rsid w:val="00965079"/>
    <w:rsid w:val="0096526B"/>
    <w:rsid w:val="00965283"/>
    <w:rsid w:val="00965369"/>
    <w:rsid w:val="009653EA"/>
    <w:rsid w:val="00965579"/>
    <w:rsid w:val="0096557B"/>
    <w:rsid w:val="0096566A"/>
    <w:rsid w:val="009657EE"/>
    <w:rsid w:val="009658F9"/>
    <w:rsid w:val="00965B1B"/>
    <w:rsid w:val="00965D4D"/>
    <w:rsid w:val="00965F0D"/>
    <w:rsid w:val="00965FCE"/>
    <w:rsid w:val="009661F7"/>
    <w:rsid w:val="009665D2"/>
    <w:rsid w:val="009669D2"/>
    <w:rsid w:val="00966D08"/>
    <w:rsid w:val="00967147"/>
    <w:rsid w:val="009671CB"/>
    <w:rsid w:val="00967319"/>
    <w:rsid w:val="00967457"/>
    <w:rsid w:val="009679EE"/>
    <w:rsid w:val="00967B5D"/>
    <w:rsid w:val="00967BAC"/>
    <w:rsid w:val="00967D07"/>
    <w:rsid w:val="00967DA5"/>
    <w:rsid w:val="00970287"/>
    <w:rsid w:val="00970436"/>
    <w:rsid w:val="00970594"/>
    <w:rsid w:val="009706CF"/>
    <w:rsid w:val="00970748"/>
    <w:rsid w:val="00970D89"/>
    <w:rsid w:val="00970DC2"/>
    <w:rsid w:val="00970E53"/>
    <w:rsid w:val="00970E8D"/>
    <w:rsid w:val="00970FA6"/>
    <w:rsid w:val="009710BA"/>
    <w:rsid w:val="00971301"/>
    <w:rsid w:val="009718A1"/>
    <w:rsid w:val="00971985"/>
    <w:rsid w:val="00971AD6"/>
    <w:rsid w:val="00971C47"/>
    <w:rsid w:val="00971C86"/>
    <w:rsid w:val="0097206D"/>
    <w:rsid w:val="009720E9"/>
    <w:rsid w:val="009721F2"/>
    <w:rsid w:val="0097253E"/>
    <w:rsid w:val="009725BE"/>
    <w:rsid w:val="0097272D"/>
    <w:rsid w:val="00972821"/>
    <w:rsid w:val="009728AD"/>
    <w:rsid w:val="00972BE5"/>
    <w:rsid w:val="00972E9E"/>
    <w:rsid w:val="009730F8"/>
    <w:rsid w:val="009731FF"/>
    <w:rsid w:val="009735BD"/>
    <w:rsid w:val="00973618"/>
    <w:rsid w:val="0097379A"/>
    <w:rsid w:val="0097379E"/>
    <w:rsid w:val="00973823"/>
    <w:rsid w:val="0097393C"/>
    <w:rsid w:val="00973C91"/>
    <w:rsid w:val="00973E21"/>
    <w:rsid w:val="00973E7C"/>
    <w:rsid w:val="009742F3"/>
    <w:rsid w:val="009742F5"/>
    <w:rsid w:val="009743C9"/>
    <w:rsid w:val="00974508"/>
    <w:rsid w:val="009745D0"/>
    <w:rsid w:val="00974A00"/>
    <w:rsid w:val="00974BC1"/>
    <w:rsid w:val="00974C18"/>
    <w:rsid w:val="00974CA8"/>
    <w:rsid w:val="00974D06"/>
    <w:rsid w:val="0097529E"/>
    <w:rsid w:val="009752D9"/>
    <w:rsid w:val="009754B2"/>
    <w:rsid w:val="00975592"/>
    <w:rsid w:val="0097575C"/>
    <w:rsid w:val="00975985"/>
    <w:rsid w:val="00975A3C"/>
    <w:rsid w:val="00975A70"/>
    <w:rsid w:val="00975D64"/>
    <w:rsid w:val="00975ED5"/>
    <w:rsid w:val="00975FA2"/>
    <w:rsid w:val="0097611A"/>
    <w:rsid w:val="0097627D"/>
    <w:rsid w:val="00976321"/>
    <w:rsid w:val="00976CC9"/>
    <w:rsid w:val="00977145"/>
    <w:rsid w:val="0097754F"/>
    <w:rsid w:val="009779C3"/>
    <w:rsid w:val="00977A64"/>
    <w:rsid w:val="00980124"/>
    <w:rsid w:val="009804DF"/>
    <w:rsid w:val="0098091D"/>
    <w:rsid w:val="00980C43"/>
    <w:rsid w:val="00980E12"/>
    <w:rsid w:val="00981075"/>
    <w:rsid w:val="0098138E"/>
    <w:rsid w:val="00981408"/>
    <w:rsid w:val="009816D7"/>
    <w:rsid w:val="0098173E"/>
    <w:rsid w:val="00981A4B"/>
    <w:rsid w:val="00981CD8"/>
    <w:rsid w:val="009821A8"/>
    <w:rsid w:val="009827C5"/>
    <w:rsid w:val="00982B96"/>
    <w:rsid w:val="00982C9C"/>
    <w:rsid w:val="00982E52"/>
    <w:rsid w:val="00982FEC"/>
    <w:rsid w:val="0098309C"/>
    <w:rsid w:val="009831BE"/>
    <w:rsid w:val="00983552"/>
    <w:rsid w:val="00983568"/>
    <w:rsid w:val="009837E0"/>
    <w:rsid w:val="00983850"/>
    <w:rsid w:val="00983889"/>
    <w:rsid w:val="00983A4A"/>
    <w:rsid w:val="00983BB9"/>
    <w:rsid w:val="00983D0E"/>
    <w:rsid w:val="00983D63"/>
    <w:rsid w:val="00983ED4"/>
    <w:rsid w:val="0098415E"/>
    <w:rsid w:val="009842E6"/>
    <w:rsid w:val="0098479F"/>
    <w:rsid w:val="00984809"/>
    <w:rsid w:val="0098491C"/>
    <w:rsid w:val="00984B3B"/>
    <w:rsid w:val="00984B54"/>
    <w:rsid w:val="00984BE3"/>
    <w:rsid w:val="00984DE5"/>
    <w:rsid w:val="009851AB"/>
    <w:rsid w:val="00985498"/>
    <w:rsid w:val="00985512"/>
    <w:rsid w:val="009856F1"/>
    <w:rsid w:val="009857D1"/>
    <w:rsid w:val="0098584B"/>
    <w:rsid w:val="009858D0"/>
    <w:rsid w:val="00985C0E"/>
    <w:rsid w:val="00985D60"/>
    <w:rsid w:val="00985D79"/>
    <w:rsid w:val="00985F35"/>
    <w:rsid w:val="009862A0"/>
    <w:rsid w:val="00986360"/>
    <w:rsid w:val="00986440"/>
    <w:rsid w:val="0098655A"/>
    <w:rsid w:val="00986652"/>
    <w:rsid w:val="0098686E"/>
    <w:rsid w:val="009868DD"/>
    <w:rsid w:val="00986BA4"/>
    <w:rsid w:val="00986CC6"/>
    <w:rsid w:val="00987181"/>
    <w:rsid w:val="009872FE"/>
    <w:rsid w:val="00987352"/>
    <w:rsid w:val="00987377"/>
    <w:rsid w:val="00987409"/>
    <w:rsid w:val="00987E00"/>
    <w:rsid w:val="00987F02"/>
    <w:rsid w:val="00990028"/>
    <w:rsid w:val="00990261"/>
    <w:rsid w:val="00990484"/>
    <w:rsid w:val="00990770"/>
    <w:rsid w:val="009909ED"/>
    <w:rsid w:val="00990CC3"/>
    <w:rsid w:val="00990CEF"/>
    <w:rsid w:val="00990D4F"/>
    <w:rsid w:val="0099153B"/>
    <w:rsid w:val="0099158F"/>
    <w:rsid w:val="009916C6"/>
    <w:rsid w:val="00991984"/>
    <w:rsid w:val="00991A2A"/>
    <w:rsid w:val="00991BEC"/>
    <w:rsid w:val="00991CE6"/>
    <w:rsid w:val="00991DB7"/>
    <w:rsid w:val="00991F53"/>
    <w:rsid w:val="009921CC"/>
    <w:rsid w:val="009924CD"/>
    <w:rsid w:val="00992610"/>
    <w:rsid w:val="00992714"/>
    <w:rsid w:val="00992784"/>
    <w:rsid w:val="009928A6"/>
    <w:rsid w:val="009928BC"/>
    <w:rsid w:val="00992D3B"/>
    <w:rsid w:val="00993271"/>
    <w:rsid w:val="00993778"/>
    <w:rsid w:val="0099398D"/>
    <w:rsid w:val="00993CBB"/>
    <w:rsid w:val="00993ED1"/>
    <w:rsid w:val="00993F87"/>
    <w:rsid w:val="00994030"/>
    <w:rsid w:val="009941E3"/>
    <w:rsid w:val="00994628"/>
    <w:rsid w:val="00994897"/>
    <w:rsid w:val="00994A35"/>
    <w:rsid w:val="00994AB3"/>
    <w:rsid w:val="009950CF"/>
    <w:rsid w:val="00995284"/>
    <w:rsid w:val="0099555A"/>
    <w:rsid w:val="00995671"/>
    <w:rsid w:val="00995B35"/>
    <w:rsid w:val="00995B5F"/>
    <w:rsid w:val="00995E12"/>
    <w:rsid w:val="00995E66"/>
    <w:rsid w:val="00995FF4"/>
    <w:rsid w:val="00996199"/>
    <w:rsid w:val="009961CF"/>
    <w:rsid w:val="00996222"/>
    <w:rsid w:val="009963BB"/>
    <w:rsid w:val="00996478"/>
    <w:rsid w:val="009964A3"/>
    <w:rsid w:val="00996637"/>
    <w:rsid w:val="009967F9"/>
    <w:rsid w:val="00996856"/>
    <w:rsid w:val="009968DE"/>
    <w:rsid w:val="00996910"/>
    <w:rsid w:val="009969DD"/>
    <w:rsid w:val="00996A14"/>
    <w:rsid w:val="00996F3D"/>
    <w:rsid w:val="00996F6E"/>
    <w:rsid w:val="00997476"/>
    <w:rsid w:val="00997BF0"/>
    <w:rsid w:val="00997C84"/>
    <w:rsid w:val="009A006D"/>
    <w:rsid w:val="009A0076"/>
    <w:rsid w:val="009A02D8"/>
    <w:rsid w:val="009A0B35"/>
    <w:rsid w:val="009A0E31"/>
    <w:rsid w:val="009A0FF1"/>
    <w:rsid w:val="009A113B"/>
    <w:rsid w:val="009A13A7"/>
    <w:rsid w:val="009A13C9"/>
    <w:rsid w:val="009A157F"/>
    <w:rsid w:val="009A15F8"/>
    <w:rsid w:val="009A1643"/>
    <w:rsid w:val="009A16F2"/>
    <w:rsid w:val="009A17A4"/>
    <w:rsid w:val="009A1966"/>
    <w:rsid w:val="009A1BB0"/>
    <w:rsid w:val="009A1C3F"/>
    <w:rsid w:val="009A1E3B"/>
    <w:rsid w:val="009A2036"/>
    <w:rsid w:val="009A271C"/>
    <w:rsid w:val="009A2A33"/>
    <w:rsid w:val="009A2A70"/>
    <w:rsid w:val="009A2D45"/>
    <w:rsid w:val="009A2E52"/>
    <w:rsid w:val="009A3017"/>
    <w:rsid w:val="009A303C"/>
    <w:rsid w:val="009A3292"/>
    <w:rsid w:val="009A3C60"/>
    <w:rsid w:val="009A3D37"/>
    <w:rsid w:val="009A3DBA"/>
    <w:rsid w:val="009A4003"/>
    <w:rsid w:val="009A40B2"/>
    <w:rsid w:val="009A448C"/>
    <w:rsid w:val="009A4562"/>
    <w:rsid w:val="009A46B0"/>
    <w:rsid w:val="009A4825"/>
    <w:rsid w:val="009A4934"/>
    <w:rsid w:val="009A4972"/>
    <w:rsid w:val="009A4AF1"/>
    <w:rsid w:val="009A5614"/>
    <w:rsid w:val="009A5814"/>
    <w:rsid w:val="009A59EE"/>
    <w:rsid w:val="009A5B4E"/>
    <w:rsid w:val="009A5D9D"/>
    <w:rsid w:val="009A5E8F"/>
    <w:rsid w:val="009A63B6"/>
    <w:rsid w:val="009A6A9A"/>
    <w:rsid w:val="009A6F0C"/>
    <w:rsid w:val="009A6F35"/>
    <w:rsid w:val="009A6F54"/>
    <w:rsid w:val="009A7042"/>
    <w:rsid w:val="009A7352"/>
    <w:rsid w:val="009A78F0"/>
    <w:rsid w:val="009A7B53"/>
    <w:rsid w:val="009A7BD1"/>
    <w:rsid w:val="009A7BEA"/>
    <w:rsid w:val="009A7C06"/>
    <w:rsid w:val="009A7D4D"/>
    <w:rsid w:val="009B015F"/>
    <w:rsid w:val="009B01E1"/>
    <w:rsid w:val="009B03D5"/>
    <w:rsid w:val="009B0524"/>
    <w:rsid w:val="009B0560"/>
    <w:rsid w:val="009B0582"/>
    <w:rsid w:val="009B07F7"/>
    <w:rsid w:val="009B088D"/>
    <w:rsid w:val="009B0B1D"/>
    <w:rsid w:val="009B0B49"/>
    <w:rsid w:val="009B0B75"/>
    <w:rsid w:val="009B0C07"/>
    <w:rsid w:val="009B13C7"/>
    <w:rsid w:val="009B19E2"/>
    <w:rsid w:val="009B1CDE"/>
    <w:rsid w:val="009B1F3A"/>
    <w:rsid w:val="009B1FBD"/>
    <w:rsid w:val="009B2001"/>
    <w:rsid w:val="009B2258"/>
    <w:rsid w:val="009B2A4D"/>
    <w:rsid w:val="009B2A54"/>
    <w:rsid w:val="009B2A9C"/>
    <w:rsid w:val="009B2AA3"/>
    <w:rsid w:val="009B2ABD"/>
    <w:rsid w:val="009B315E"/>
    <w:rsid w:val="009B3323"/>
    <w:rsid w:val="009B3479"/>
    <w:rsid w:val="009B3757"/>
    <w:rsid w:val="009B3778"/>
    <w:rsid w:val="009B37BA"/>
    <w:rsid w:val="009B39C9"/>
    <w:rsid w:val="009B3ADA"/>
    <w:rsid w:val="009B3B5E"/>
    <w:rsid w:val="009B3B7B"/>
    <w:rsid w:val="009B40A6"/>
    <w:rsid w:val="009B42A9"/>
    <w:rsid w:val="009B42D0"/>
    <w:rsid w:val="009B42FB"/>
    <w:rsid w:val="009B4469"/>
    <w:rsid w:val="009B4472"/>
    <w:rsid w:val="009B44DC"/>
    <w:rsid w:val="009B4513"/>
    <w:rsid w:val="009B494C"/>
    <w:rsid w:val="009B5107"/>
    <w:rsid w:val="009B51A3"/>
    <w:rsid w:val="009B52CD"/>
    <w:rsid w:val="009B5446"/>
    <w:rsid w:val="009B5B38"/>
    <w:rsid w:val="009B5BB4"/>
    <w:rsid w:val="009B5C30"/>
    <w:rsid w:val="009B646B"/>
    <w:rsid w:val="009B6862"/>
    <w:rsid w:val="009B68C1"/>
    <w:rsid w:val="009B6A19"/>
    <w:rsid w:val="009B6C23"/>
    <w:rsid w:val="009B6C3F"/>
    <w:rsid w:val="009B6F7F"/>
    <w:rsid w:val="009B6FC0"/>
    <w:rsid w:val="009B712D"/>
    <w:rsid w:val="009B7177"/>
    <w:rsid w:val="009B7401"/>
    <w:rsid w:val="009B7404"/>
    <w:rsid w:val="009B74E8"/>
    <w:rsid w:val="009B755B"/>
    <w:rsid w:val="009B7A9C"/>
    <w:rsid w:val="009B7AD9"/>
    <w:rsid w:val="009B7AFE"/>
    <w:rsid w:val="009B7D8A"/>
    <w:rsid w:val="009B7FA4"/>
    <w:rsid w:val="009C0410"/>
    <w:rsid w:val="009C04EE"/>
    <w:rsid w:val="009C0876"/>
    <w:rsid w:val="009C0933"/>
    <w:rsid w:val="009C0954"/>
    <w:rsid w:val="009C0D9A"/>
    <w:rsid w:val="009C0EED"/>
    <w:rsid w:val="009C0F61"/>
    <w:rsid w:val="009C0F76"/>
    <w:rsid w:val="009C130E"/>
    <w:rsid w:val="009C1500"/>
    <w:rsid w:val="009C1525"/>
    <w:rsid w:val="009C18DC"/>
    <w:rsid w:val="009C1BA1"/>
    <w:rsid w:val="009C21AC"/>
    <w:rsid w:val="009C22BC"/>
    <w:rsid w:val="009C22CB"/>
    <w:rsid w:val="009C2582"/>
    <w:rsid w:val="009C25E3"/>
    <w:rsid w:val="009C25F2"/>
    <w:rsid w:val="009C2659"/>
    <w:rsid w:val="009C28E2"/>
    <w:rsid w:val="009C2939"/>
    <w:rsid w:val="009C2B9C"/>
    <w:rsid w:val="009C2DEF"/>
    <w:rsid w:val="009C2E40"/>
    <w:rsid w:val="009C318F"/>
    <w:rsid w:val="009C31D6"/>
    <w:rsid w:val="009C3346"/>
    <w:rsid w:val="009C337B"/>
    <w:rsid w:val="009C3655"/>
    <w:rsid w:val="009C399A"/>
    <w:rsid w:val="009C39BD"/>
    <w:rsid w:val="009C3A83"/>
    <w:rsid w:val="009C3C31"/>
    <w:rsid w:val="009C3D36"/>
    <w:rsid w:val="009C40EB"/>
    <w:rsid w:val="009C4156"/>
    <w:rsid w:val="009C41AA"/>
    <w:rsid w:val="009C4380"/>
    <w:rsid w:val="009C44A1"/>
    <w:rsid w:val="009C45A4"/>
    <w:rsid w:val="009C4801"/>
    <w:rsid w:val="009C493B"/>
    <w:rsid w:val="009C4AFB"/>
    <w:rsid w:val="009C4B0B"/>
    <w:rsid w:val="009C4B55"/>
    <w:rsid w:val="009C4F09"/>
    <w:rsid w:val="009C4F2A"/>
    <w:rsid w:val="009C5312"/>
    <w:rsid w:val="009C5635"/>
    <w:rsid w:val="009C5705"/>
    <w:rsid w:val="009C5F26"/>
    <w:rsid w:val="009C5F6F"/>
    <w:rsid w:val="009C5F90"/>
    <w:rsid w:val="009C5FD0"/>
    <w:rsid w:val="009C62DD"/>
    <w:rsid w:val="009C644B"/>
    <w:rsid w:val="009C65A0"/>
    <w:rsid w:val="009C65A1"/>
    <w:rsid w:val="009C6636"/>
    <w:rsid w:val="009C68F8"/>
    <w:rsid w:val="009C69C8"/>
    <w:rsid w:val="009C6A82"/>
    <w:rsid w:val="009C6BA7"/>
    <w:rsid w:val="009C6C62"/>
    <w:rsid w:val="009C725C"/>
    <w:rsid w:val="009C72B6"/>
    <w:rsid w:val="009C7395"/>
    <w:rsid w:val="009C76EC"/>
    <w:rsid w:val="009C78A9"/>
    <w:rsid w:val="009C79EC"/>
    <w:rsid w:val="009C7C7A"/>
    <w:rsid w:val="009D0710"/>
    <w:rsid w:val="009D07D1"/>
    <w:rsid w:val="009D0805"/>
    <w:rsid w:val="009D084C"/>
    <w:rsid w:val="009D09CE"/>
    <w:rsid w:val="009D0F6E"/>
    <w:rsid w:val="009D1068"/>
    <w:rsid w:val="009D1293"/>
    <w:rsid w:val="009D12B6"/>
    <w:rsid w:val="009D17CC"/>
    <w:rsid w:val="009D1856"/>
    <w:rsid w:val="009D1B53"/>
    <w:rsid w:val="009D1B7C"/>
    <w:rsid w:val="009D1BB9"/>
    <w:rsid w:val="009D1DBA"/>
    <w:rsid w:val="009D1DD4"/>
    <w:rsid w:val="009D2248"/>
    <w:rsid w:val="009D23AE"/>
    <w:rsid w:val="009D28C7"/>
    <w:rsid w:val="009D2A26"/>
    <w:rsid w:val="009D2B5A"/>
    <w:rsid w:val="009D2CBC"/>
    <w:rsid w:val="009D2D27"/>
    <w:rsid w:val="009D2F11"/>
    <w:rsid w:val="009D31A5"/>
    <w:rsid w:val="009D325E"/>
    <w:rsid w:val="009D367B"/>
    <w:rsid w:val="009D388F"/>
    <w:rsid w:val="009D3900"/>
    <w:rsid w:val="009D39B7"/>
    <w:rsid w:val="009D3AE9"/>
    <w:rsid w:val="009D3C64"/>
    <w:rsid w:val="009D3C90"/>
    <w:rsid w:val="009D3D7D"/>
    <w:rsid w:val="009D3D8D"/>
    <w:rsid w:val="009D4255"/>
    <w:rsid w:val="009D441B"/>
    <w:rsid w:val="009D482D"/>
    <w:rsid w:val="009D499F"/>
    <w:rsid w:val="009D4DB2"/>
    <w:rsid w:val="009D4F36"/>
    <w:rsid w:val="009D52DB"/>
    <w:rsid w:val="009D537B"/>
    <w:rsid w:val="009D53A2"/>
    <w:rsid w:val="009D5483"/>
    <w:rsid w:val="009D5502"/>
    <w:rsid w:val="009D583B"/>
    <w:rsid w:val="009D58F2"/>
    <w:rsid w:val="009D5946"/>
    <w:rsid w:val="009D5A16"/>
    <w:rsid w:val="009D5A8B"/>
    <w:rsid w:val="009D5D38"/>
    <w:rsid w:val="009D6123"/>
    <w:rsid w:val="009D6238"/>
    <w:rsid w:val="009D660F"/>
    <w:rsid w:val="009D66C3"/>
    <w:rsid w:val="009D68B5"/>
    <w:rsid w:val="009D6A59"/>
    <w:rsid w:val="009D6C11"/>
    <w:rsid w:val="009D6C29"/>
    <w:rsid w:val="009D6C60"/>
    <w:rsid w:val="009D701C"/>
    <w:rsid w:val="009D70D7"/>
    <w:rsid w:val="009D73A8"/>
    <w:rsid w:val="009D75D7"/>
    <w:rsid w:val="009D75DE"/>
    <w:rsid w:val="009D7CF3"/>
    <w:rsid w:val="009D7EC3"/>
    <w:rsid w:val="009E0317"/>
    <w:rsid w:val="009E0638"/>
    <w:rsid w:val="009E076B"/>
    <w:rsid w:val="009E07E4"/>
    <w:rsid w:val="009E0916"/>
    <w:rsid w:val="009E0A5C"/>
    <w:rsid w:val="009E0AED"/>
    <w:rsid w:val="009E0C41"/>
    <w:rsid w:val="009E0CC4"/>
    <w:rsid w:val="009E0E0F"/>
    <w:rsid w:val="009E0E9D"/>
    <w:rsid w:val="009E0F05"/>
    <w:rsid w:val="009E0FE0"/>
    <w:rsid w:val="009E13AB"/>
    <w:rsid w:val="009E148F"/>
    <w:rsid w:val="009E14F0"/>
    <w:rsid w:val="009E1BDF"/>
    <w:rsid w:val="009E1C35"/>
    <w:rsid w:val="009E1E3A"/>
    <w:rsid w:val="009E207E"/>
    <w:rsid w:val="009E20EE"/>
    <w:rsid w:val="009E23E7"/>
    <w:rsid w:val="009E27F0"/>
    <w:rsid w:val="009E2921"/>
    <w:rsid w:val="009E2B20"/>
    <w:rsid w:val="009E2C75"/>
    <w:rsid w:val="009E3241"/>
    <w:rsid w:val="009E345E"/>
    <w:rsid w:val="009E3600"/>
    <w:rsid w:val="009E3743"/>
    <w:rsid w:val="009E3A31"/>
    <w:rsid w:val="009E3C06"/>
    <w:rsid w:val="009E3D7D"/>
    <w:rsid w:val="009E4577"/>
    <w:rsid w:val="009E4920"/>
    <w:rsid w:val="009E4DC0"/>
    <w:rsid w:val="009E5053"/>
    <w:rsid w:val="009E5393"/>
    <w:rsid w:val="009E54C9"/>
    <w:rsid w:val="009E5548"/>
    <w:rsid w:val="009E576B"/>
    <w:rsid w:val="009E577C"/>
    <w:rsid w:val="009E5850"/>
    <w:rsid w:val="009E5991"/>
    <w:rsid w:val="009E59BE"/>
    <w:rsid w:val="009E5F48"/>
    <w:rsid w:val="009E6052"/>
    <w:rsid w:val="009E61AB"/>
    <w:rsid w:val="009E62BF"/>
    <w:rsid w:val="009E6555"/>
    <w:rsid w:val="009E6700"/>
    <w:rsid w:val="009E67CB"/>
    <w:rsid w:val="009E695C"/>
    <w:rsid w:val="009E6AFE"/>
    <w:rsid w:val="009E6B01"/>
    <w:rsid w:val="009E6BDA"/>
    <w:rsid w:val="009E6BFA"/>
    <w:rsid w:val="009E6D69"/>
    <w:rsid w:val="009E6DA8"/>
    <w:rsid w:val="009E71CE"/>
    <w:rsid w:val="009E7351"/>
    <w:rsid w:val="009E7664"/>
    <w:rsid w:val="009E7713"/>
    <w:rsid w:val="009E7932"/>
    <w:rsid w:val="009E7C64"/>
    <w:rsid w:val="009E7C7F"/>
    <w:rsid w:val="009E7E0C"/>
    <w:rsid w:val="009E7F60"/>
    <w:rsid w:val="009F0000"/>
    <w:rsid w:val="009F0132"/>
    <w:rsid w:val="009F01BD"/>
    <w:rsid w:val="009F020F"/>
    <w:rsid w:val="009F0641"/>
    <w:rsid w:val="009F0808"/>
    <w:rsid w:val="009F0815"/>
    <w:rsid w:val="009F0BB1"/>
    <w:rsid w:val="009F0D68"/>
    <w:rsid w:val="009F0FDB"/>
    <w:rsid w:val="009F1431"/>
    <w:rsid w:val="009F16BE"/>
    <w:rsid w:val="009F1769"/>
    <w:rsid w:val="009F17DC"/>
    <w:rsid w:val="009F2541"/>
    <w:rsid w:val="009F26D0"/>
    <w:rsid w:val="009F27E8"/>
    <w:rsid w:val="009F28DD"/>
    <w:rsid w:val="009F2A33"/>
    <w:rsid w:val="009F2D65"/>
    <w:rsid w:val="009F2F6F"/>
    <w:rsid w:val="009F3208"/>
    <w:rsid w:val="009F3254"/>
    <w:rsid w:val="009F3596"/>
    <w:rsid w:val="009F37CC"/>
    <w:rsid w:val="009F37DE"/>
    <w:rsid w:val="009F3EE9"/>
    <w:rsid w:val="009F3FC2"/>
    <w:rsid w:val="009F4174"/>
    <w:rsid w:val="009F44B0"/>
    <w:rsid w:val="009F49D5"/>
    <w:rsid w:val="009F4AB5"/>
    <w:rsid w:val="009F4C65"/>
    <w:rsid w:val="009F4E2A"/>
    <w:rsid w:val="009F4EDC"/>
    <w:rsid w:val="009F4F16"/>
    <w:rsid w:val="009F5105"/>
    <w:rsid w:val="009F554F"/>
    <w:rsid w:val="009F55B0"/>
    <w:rsid w:val="009F5C34"/>
    <w:rsid w:val="009F5DEF"/>
    <w:rsid w:val="009F5E54"/>
    <w:rsid w:val="009F5ECD"/>
    <w:rsid w:val="009F6227"/>
    <w:rsid w:val="009F63F8"/>
    <w:rsid w:val="009F6451"/>
    <w:rsid w:val="009F6684"/>
    <w:rsid w:val="009F6FA5"/>
    <w:rsid w:val="009F700B"/>
    <w:rsid w:val="009F711B"/>
    <w:rsid w:val="009F72A5"/>
    <w:rsid w:val="009F7402"/>
    <w:rsid w:val="009F767C"/>
    <w:rsid w:val="009F76E4"/>
    <w:rsid w:val="009F78C6"/>
    <w:rsid w:val="009F7B99"/>
    <w:rsid w:val="009F7C80"/>
    <w:rsid w:val="009F7D20"/>
    <w:rsid w:val="009F7D2C"/>
    <w:rsid w:val="009F7D52"/>
    <w:rsid w:val="009F7F49"/>
    <w:rsid w:val="009F7FD7"/>
    <w:rsid w:val="00A00086"/>
    <w:rsid w:val="00A002CC"/>
    <w:rsid w:val="00A007D8"/>
    <w:rsid w:val="00A00855"/>
    <w:rsid w:val="00A00CF2"/>
    <w:rsid w:val="00A0105E"/>
    <w:rsid w:val="00A010CC"/>
    <w:rsid w:val="00A011D3"/>
    <w:rsid w:val="00A01319"/>
    <w:rsid w:val="00A013BF"/>
    <w:rsid w:val="00A014B9"/>
    <w:rsid w:val="00A015DA"/>
    <w:rsid w:val="00A018DC"/>
    <w:rsid w:val="00A01B6B"/>
    <w:rsid w:val="00A01BC0"/>
    <w:rsid w:val="00A01C4E"/>
    <w:rsid w:val="00A01F0A"/>
    <w:rsid w:val="00A02192"/>
    <w:rsid w:val="00A02274"/>
    <w:rsid w:val="00A023C3"/>
    <w:rsid w:val="00A025FA"/>
    <w:rsid w:val="00A026EE"/>
    <w:rsid w:val="00A02D29"/>
    <w:rsid w:val="00A02DCE"/>
    <w:rsid w:val="00A0300B"/>
    <w:rsid w:val="00A0335E"/>
    <w:rsid w:val="00A0383C"/>
    <w:rsid w:val="00A03872"/>
    <w:rsid w:val="00A03AA7"/>
    <w:rsid w:val="00A03B9F"/>
    <w:rsid w:val="00A03BE9"/>
    <w:rsid w:val="00A03CEE"/>
    <w:rsid w:val="00A0412A"/>
    <w:rsid w:val="00A04166"/>
    <w:rsid w:val="00A0479A"/>
    <w:rsid w:val="00A04898"/>
    <w:rsid w:val="00A051E1"/>
    <w:rsid w:val="00A0534D"/>
    <w:rsid w:val="00A058FF"/>
    <w:rsid w:val="00A059E6"/>
    <w:rsid w:val="00A059E7"/>
    <w:rsid w:val="00A05A7E"/>
    <w:rsid w:val="00A05D29"/>
    <w:rsid w:val="00A05DFA"/>
    <w:rsid w:val="00A06278"/>
    <w:rsid w:val="00A06309"/>
    <w:rsid w:val="00A064DF"/>
    <w:rsid w:val="00A06B9A"/>
    <w:rsid w:val="00A06EA6"/>
    <w:rsid w:val="00A06F8D"/>
    <w:rsid w:val="00A07425"/>
    <w:rsid w:val="00A07473"/>
    <w:rsid w:val="00A0747F"/>
    <w:rsid w:val="00A07597"/>
    <w:rsid w:val="00A07707"/>
    <w:rsid w:val="00A0775A"/>
    <w:rsid w:val="00A077A0"/>
    <w:rsid w:val="00A07955"/>
    <w:rsid w:val="00A07A7A"/>
    <w:rsid w:val="00A07BF9"/>
    <w:rsid w:val="00A07BFF"/>
    <w:rsid w:val="00A07D3A"/>
    <w:rsid w:val="00A07D51"/>
    <w:rsid w:val="00A07E0F"/>
    <w:rsid w:val="00A07E74"/>
    <w:rsid w:val="00A07FC0"/>
    <w:rsid w:val="00A0B882"/>
    <w:rsid w:val="00A10119"/>
    <w:rsid w:val="00A10188"/>
    <w:rsid w:val="00A101F8"/>
    <w:rsid w:val="00A10239"/>
    <w:rsid w:val="00A10495"/>
    <w:rsid w:val="00A10555"/>
    <w:rsid w:val="00A106DE"/>
    <w:rsid w:val="00A109FB"/>
    <w:rsid w:val="00A10B2D"/>
    <w:rsid w:val="00A10D26"/>
    <w:rsid w:val="00A10F17"/>
    <w:rsid w:val="00A10F5C"/>
    <w:rsid w:val="00A112FA"/>
    <w:rsid w:val="00A11579"/>
    <w:rsid w:val="00A1158A"/>
    <w:rsid w:val="00A1188A"/>
    <w:rsid w:val="00A11A89"/>
    <w:rsid w:val="00A11E41"/>
    <w:rsid w:val="00A11EBA"/>
    <w:rsid w:val="00A12063"/>
    <w:rsid w:val="00A121B6"/>
    <w:rsid w:val="00A122D2"/>
    <w:rsid w:val="00A12671"/>
    <w:rsid w:val="00A126DD"/>
    <w:rsid w:val="00A129B2"/>
    <w:rsid w:val="00A12CF8"/>
    <w:rsid w:val="00A13014"/>
    <w:rsid w:val="00A131C5"/>
    <w:rsid w:val="00A132D4"/>
    <w:rsid w:val="00A1333E"/>
    <w:rsid w:val="00A13467"/>
    <w:rsid w:val="00A134A5"/>
    <w:rsid w:val="00A13615"/>
    <w:rsid w:val="00A139F7"/>
    <w:rsid w:val="00A13C91"/>
    <w:rsid w:val="00A13D08"/>
    <w:rsid w:val="00A13DAA"/>
    <w:rsid w:val="00A13DBD"/>
    <w:rsid w:val="00A13DD4"/>
    <w:rsid w:val="00A14329"/>
    <w:rsid w:val="00A1438C"/>
    <w:rsid w:val="00A145DE"/>
    <w:rsid w:val="00A14703"/>
    <w:rsid w:val="00A1499D"/>
    <w:rsid w:val="00A14A8C"/>
    <w:rsid w:val="00A14C49"/>
    <w:rsid w:val="00A14DE6"/>
    <w:rsid w:val="00A1501F"/>
    <w:rsid w:val="00A15117"/>
    <w:rsid w:val="00A151B3"/>
    <w:rsid w:val="00A15419"/>
    <w:rsid w:val="00A1542E"/>
    <w:rsid w:val="00A15703"/>
    <w:rsid w:val="00A1586F"/>
    <w:rsid w:val="00A15C5A"/>
    <w:rsid w:val="00A1606F"/>
    <w:rsid w:val="00A16127"/>
    <w:rsid w:val="00A16188"/>
    <w:rsid w:val="00A16432"/>
    <w:rsid w:val="00A16A2D"/>
    <w:rsid w:val="00A16AC2"/>
    <w:rsid w:val="00A16DF5"/>
    <w:rsid w:val="00A16FCF"/>
    <w:rsid w:val="00A170BD"/>
    <w:rsid w:val="00A17176"/>
    <w:rsid w:val="00A17187"/>
    <w:rsid w:val="00A17537"/>
    <w:rsid w:val="00A17552"/>
    <w:rsid w:val="00A17710"/>
    <w:rsid w:val="00A17726"/>
    <w:rsid w:val="00A17994"/>
    <w:rsid w:val="00A17AA8"/>
    <w:rsid w:val="00A17BA4"/>
    <w:rsid w:val="00A17CE0"/>
    <w:rsid w:val="00A20A70"/>
    <w:rsid w:val="00A20C88"/>
    <w:rsid w:val="00A20FB7"/>
    <w:rsid w:val="00A2133A"/>
    <w:rsid w:val="00A21589"/>
    <w:rsid w:val="00A215AD"/>
    <w:rsid w:val="00A21959"/>
    <w:rsid w:val="00A21B74"/>
    <w:rsid w:val="00A21DFB"/>
    <w:rsid w:val="00A220A6"/>
    <w:rsid w:val="00A22120"/>
    <w:rsid w:val="00A223ED"/>
    <w:rsid w:val="00A22474"/>
    <w:rsid w:val="00A225EB"/>
    <w:rsid w:val="00A228E3"/>
    <w:rsid w:val="00A229E6"/>
    <w:rsid w:val="00A22C63"/>
    <w:rsid w:val="00A22E56"/>
    <w:rsid w:val="00A23057"/>
    <w:rsid w:val="00A23205"/>
    <w:rsid w:val="00A23255"/>
    <w:rsid w:val="00A23604"/>
    <w:rsid w:val="00A23928"/>
    <w:rsid w:val="00A23D48"/>
    <w:rsid w:val="00A23E6E"/>
    <w:rsid w:val="00A24221"/>
    <w:rsid w:val="00A2425A"/>
    <w:rsid w:val="00A24371"/>
    <w:rsid w:val="00A2441A"/>
    <w:rsid w:val="00A244A8"/>
    <w:rsid w:val="00A244E3"/>
    <w:rsid w:val="00A247AF"/>
    <w:rsid w:val="00A2494B"/>
    <w:rsid w:val="00A24972"/>
    <w:rsid w:val="00A249F4"/>
    <w:rsid w:val="00A24A62"/>
    <w:rsid w:val="00A24AD1"/>
    <w:rsid w:val="00A24CCA"/>
    <w:rsid w:val="00A24E0C"/>
    <w:rsid w:val="00A24E15"/>
    <w:rsid w:val="00A24E6E"/>
    <w:rsid w:val="00A2516B"/>
    <w:rsid w:val="00A251CE"/>
    <w:rsid w:val="00A25279"/>
    <w:rsid w:val="00A25317"/>
    <w:rsid w:val="00A256F3"/>
    <w:rsid w:val="00A25A94"/>
    <w:rsid w:val="00A25C93"/>
    <w:rsid w:val="00A25ECC"/>
    <w:rsid w:val="00A2601E"/>
    <w:rsid w:val="00A26029"/>
    <w:rsid w:val="00A2613F"/>
    <w:rsid w:val="00A261AD"/>
    <w:rsid w:val="00A26577"/>
    <w:rsid w:val="00A265D8"/>
    <w:rsid w:val="00A265FC"/>
    <w:rsid w:val="00A266D6"/>
    <w:rsid w:val="00A267D3"/>
    <w:rsid w:val="00A26A22"/>
    <w:rsid w:val="00A26A4F"/>
    <w:rsid w:val="00A26A60"/>
    <w:rsid w:val="00A26FFA"/>
    <w:rsid w:val="00A27245"/>
    <w:rsid w:val="00A272D5"/>
    <w:rsid w:val="00A27498"/>
    <w:rsid w:val="00A274AC"/>
    <w:rsid w:val="00A275DF"/>
    <w:rsid w:val="00A278D8"/>
    <w:rsid w:val="00A27AC4"/>
    <w:rsid w:val="00A27D3E"/>
    <w:rsid w:val="00A27E2B"/>
    <w:rsid w:val="00A27F8A"/>
    <w:rsid w:val="00A27FB5"/>
    <w:rsid w:val="00A300D0"/>
    <w:rsid w:val="00A300DF"/>
    <w:rsid w:val="00A301B9"/>
    <w:rsid w:val="00A302BA"/>
    <w:rsid w:val="00A3060F"/>
    <w:rsid w:val="00A308AA"/>
    <w:rsid w:val="00A30AF4"/>
    <w:rsid w:val="00A30E71"/>
    <w:rsid w:val="00A31434"/>
    <w:rsid w:val="00A31450"/>
    <w:rsid w:val="00A314E1"/>
    <w:rsid w:val="00A315F1"/>
    <w:rsid w:val="00A31681"/>
    <w:rsid w:val="00A3179C"/>
    <w:rsid w:val="00A3188B"/>
    <w:rsid w:val="00A31974"/>
    <w:rsid w:val="00A31A9C"/>
    <w:rsid w:val="00A31DA4"/>
    <w:rsid w:val="00A31F11"/>
    <w:rsid w:val="00A3203A"/>
    <w:rsid w:val="00A3248E"/>
    <w:rsid w:val="00A329B3"/>
    <w:rsid w:val="00A32D84"/>
    <w:rsid w:val="00A32EBC"/>
    <w:rsid w:val="00A33249"/>
    <w:rsid w:val="00A334BB"/>
    <w:rsid w:val="00A3374A"/>
    <w:rsid w:val="00A340A8"/>
    <w:rsid w:val="00A34376"/>
    <w:rsid w:val="00A34393"/>
    <w:rsid w:val="00A343F7"/>
    <w:rsid w:val="00A34498"/>
    <w:rsid w:val="00A34677"/>
    <w:rsid w:val="00A3479A"/>
    <w:rsid w:val="00A349D2"/>
    <w:rsid w:val="00A34C96"/>
    <w:rsid w:val="00A34D19"/>
    <w:rsid w:val="00A34DB7"/>
    <w:rsid w:val="00A34EF9"/>
    <w:rsid w:val="00A34F89"/>
    <w:rsid w:val="00A354E7"/>
    <w:rsid w:val="00A355ED"/>
    <w:rsid w:val="00A35782"/>
    <w:rsid w:val="00A35840"/>
    <w:rsid w:val="00A35871"/>
    <w:rsid w:val="00A358DC"/>
    <w:rsid w:val="00A35986"/>
    <w:rsid w:val="00A35AF1"/>
    <w:rsid w:val="00A35C52"/>
    <w:rsid w:val="00A35DBC"/>
    <w:rsid w:val="00A35F0B"/>
    <w:rsid w:val="00A36077"/>
    <w:rsid w:val="00A364FD"/>
    <w:rsid w:val="00A36ACD"/>
    <w:rsid w:val="00A36DED"/>
    <w:rsid w:val="00A36F93"/>
    <w:rsid w:val="00A3728C"/>
    <w:rsid w:val="00A3742D"/>
    <w:rsid w:val="00A374D0"/>
    <w:rsid w:val="00A37591"/>
    <w:rsid w:val="00A375E6"/>
    <w:rsid w:val="00A3774A"/>
    <w:rsid w:val="00A3792D"/>
    <w:rsid w:val="00A37A23"/>
    <w:rsid w:val="00A37C7A"/>
    <w:rsid w:val="00A37F29"/>
    <w:rsid w:val="00A37FA0"/>
    <w:rsid w:val="00A400BF"/>
    <w:rsid w:val="00A4025A"/>
    <w:rsid w:val="00A40555"/>
    <w:rsid w:val="00A4077C"/>
    <w:rsid w:val="00A407FF"/>
    <w:rsid w:val="00A4097A"/>
    <w:rsid w:val="00A40AE1"/>
    <w:rsid w:val="00A40CB1"/>
    <w:rsid w:val="00A41069"/>
    <w:rsid w:val="00A41191"/>
    <w:rsid w:val="00A412AA"/>
    <w:rsid w:val="00A4155D"/>
    <w:rsid w:val="00A41772"/>
    <w:rsid w:val="00A41A87"/>
    <w:rsid w:val="00A41A8F"/>
    <w:rsid w:val="00A41AA3"/>
    <w:rsid w:val="00A41F53"/>
    <w:rsid w:val="00A41F98"/>
    <w:rsid w:val="00A42105"/>
    <w:rsid w:val="00A422E6"/>
    <w:rsid w:val="00A42306"/>
    <w:rsid w:val="00A423AF"/>
    <w:rsid w:val="00A424C1"/>
    <w:rsid w:val="00A425AD"/>
    <w:rsid w:val="00A42666"/>
    <w:rsid w:val="00A426A4"/>
    <w:rsid w:val="00A426CF"/>
    <w:rsid w:val="00A42850"/>
    <w:rsid w:val="00A42898"/>
    <w:rsid w:val="00A42AC3"/>
    <w:rsid w:val="00A42CF9"/>
    <w:rsid w:val="00A433DF"/>
    <w:rsid w:val="00A43641"/>
    <w:rsid w:val="00A43677"/>
    <w:rsid w:val="00A43963"/>
    <w:rsid w:val="00A439CE"/>
    <w:rsid w:val="00A43EED"/>
    <w:rsid w:val="00A442E1"/>
    <w:rsid w:val="00A44462"/>
    <w:rsid w:val="00A44644"/>
    <w:rsid w:val="00A446C4"/>
    <w:rsid w:val="00A44AF3"/>
    <w:rsid w:val="00A44C20"/>
    <w:rsid w:val="00A44E8D"/>
    <w:rsid w:val="00A44FF9"/>
    <w:rsid w:val="00A451AC"/>
    <w:rsid w:val="00A45272"/>
    <w:rsid w:val="00A4536C"/>
    <w:rsid w:val="00A45715"/>
    <w:rsid w:val="00A4599B"/>
    <w:rsid w:val="00A45ACE"/>
    <w:rsid w:val="00A45E65"/>
    <w:rsid w:val="00A45E7E"/>
    <w:rsid w:val="00A46091"/>
    <w:rsid w:val="00A4617F"/>
    <w:rsid w:val="00A461EA"/>
    <w:rsid w:val="00A4666E"/>
    <w:rsid w:val="00A4675C"/>
    <w:rsid w:val="00A46BA3"/>
    <w:rsid w:val="00A46D30"/>
    <w:rsid w:val="00A46E5E"/>
    <w:rsid w:val="00A46EA8"/>
    <w:rsid w:val="00A47309"/>
    <w:rsid w:val="00A47462"/>
    <w:rsid w:val="00A477D2"/>
    <w:rsid w:val="00A47B02"/>
    <w:rsid w:val="00A47E82"/>
    <w:rsid w:val="00A5008B"/>
    <w:rsid w:val="00A501F0"/>
    <w:rsid w:val="00A5039D"/>
    <w:rsid w:val="00A509CE"/>
    <w:rsid w:val="00A50A1D"/>
    <w:rsid w:val="00A50A9E"/>
    <w:rsid w:val="00A50B1E"/>
    <w:rsid w:val="00A50CEF"/>
    <w:rsid w:val="00A50DBA"/>
    <w:rsid w:val="00A5130A"/>
    <w:rsid w:val="00A5191B"/>
    <w:rsid w:val="00A51974"/>
    <w:rsid w:val="00A51A1A"/>
    <w:rsid w:val="00A51C16"/>
    <w:rsid w:val="00A51C71"/>
    <w:rsid w:val="00A51C7B"/>
    <w:rsid w:val="00A52218"/>
    <w:rsid w:val="00A5247E"/>
    <w:rsid w:val="00A526C7"/>
    <w:rsid w:val="00A52700"/>
    <w:rsid w:val="00A52ACC"/>
    <w:rsid w:val="00A52C70"/>
    <w:rsid w:val="00A52CAD"/>
    <w:rsid w:val="00A52EFA"/>
    <w:rsid w:val="00A52F50"/>
    <w:rsid w:val="00A5303A"/>
    <w:rsid w:val="00A531F4"/>
    <w:rsid w:val="00A5322E"/>
    <w:rsid w:val="00A53286"/>
    <w:rsid w:val="00A533AB"/>
    <w:rsid w:val="00A536D4"/>
    <w:rsid w:val="00A537E8"/>
    <w:rsid w:val="00A538E9"/>
    <w:rsid w:val="00A53904"/>
    <w:rsid w:val="00A5394E"/>
    <w:rsid w:val="00A539BA"/>
    <w:rsid w:val="00A539D7"/>
    <w:rsid w:val="00A53A60"/>
    <w:rsid w:val="00A53AA9"/>
    <w:rsid w:val="00A545BC"/>
    <w:rsid w:val="00A54683"/>
    <w:rsid w:val="00A5469E"/>
    <w:rsid w:val="00A5471C"/>
    <w:rsid w:val="00A547D6"/>
    <w:rsid w:val="00A54930"/>
    <w:rsid w:val="00A54939"/>
    <w:rsid w:val="00A5493B"/>
    <w:rsid w:val="00A54BE0"/>
    <w:rsid w:val="00A54D26"/>
    <w:rsid w:val="00A54F38"/>
    <w:rsid w:val="00A55020"/>
    <w:rsid w:val="00A55107"/>
    <w:rsid w:val="00A551AA"/>
    <w:rsid w:val="00A55202"/>
    <w:rsid w:val="00A553A9"/>
    <w:rsid w:val="00A556E6"/>
    <w:rsid w:val="00A55ACD"/>
    <w:rsid w:val="00A55D31"/>
    <w:rsid w:val="00A55D55"/>
    <w:rsid w:val="00A55EFD"/>
    <w:rsid w:val="00A56560"/>
    <w:rsid w:val="00A566AD"/>
    <w:rsid w:val="00A566D7"/>
    <w:rsid w:val="00A5694A"/>
    <w:rsid w:val="00A569A4"/>
    <w:rsid w:val="00A569AA"/>
    <w:rsid w:val="00A569BB"/>
    <w:rsid w:val="00A56DA3"/>
    <w:rsid w:val="00A57171"/>
    <w:rsid w:val="00A574C9"/>
    <w:rsid w:val="00A57594"/>
    <w:rsid w:val="00A579E8"/>
    <w:rsid w:val="00A579F3"/>
    <w:rsid w:val="00A57BB1"/>
    <w:rsid w:val="00A57D39"/>
    <w:rsid w:val="00A57FD8"/>
    <w:rsid w:val="00A601EA"/>
    <w:rsid w:val="00A601F1"/>
    <w:rsid w:val="00A6033F"/>
    <w:rsid w:val="00A605FE"/>
    <w:rsid w:val="00A608C5"/>
    <w:rsid w:val="00A609A1"/>
    <w:rsid w:val="00A609C3"/>
    <w:rsid w:val="00A60BBB"/>
    <w:rsid w:val="00A60BE6"/>
    <w:rsid w:val="00A60FDF"/>
    <w:rsid w:val="00A6149C"/>
    <w:rsid w:val="00A61732"/>
    <w:rsid w:val="00A618A7"/>
    <w:rsid w:val="00A61DD0"/>
    <w:rsid w:val="00A61E24"/>
    <w:rsid w:val="00A61E6B"/>
    <w:rsid w:val="00A62418"/>
    <w:rsid w:val="00A6262A"/>
    <w:rsid w:val="00A6287F"/>
    <w:rsid w:val="00A628ED"/>
    <w:rsid w:val="00A62B04"/>
    <w:rsid w:val="00A62B12"/>
    <w:rsid w:val="00A62C86"/>
    <w:rsid w:val="00A62D4D"/>
    <w:rsid w:val="00A62FA7"/>
    <w:rsid w:val="00A62FBA"/>
    <w:rsid w:val="00A63005"/>
    <w:rsid w:val="00A63059"/>
    <w:rsid w:val="00A63061"/>
    <w:rsid w:val="00A6326A"/>
    <w:rsid w:val="00A6326C"/>
    <w:rsid w:val="00A6359F"/>
    <w:rsid w:val="00A638F6"/>
    <w:rsid w:val="00A63F4F"/>
    <w:rsid w:val="00A63FF1"/>
    <w:rsid w:val="00A64051"/>
    <w:rsid w:val="00A64118"/>
    <w:rsid w:val="00A64353"/>
    <w:rsid w:val="00A64459"/>
    <w:rsid w:val="00A648FB"/>
    <w:rsid w:val="00A6519D"/>
    <w:rsid w:val="00A65215"/>
    <w:rsid w:val="00A65C60"/>
    <w:rsid w:val="00A65E36"/>
    <w:rsid w:val="00A65EE4"/>
    <w:rsid w:val="00A662BB"/>
    <w:rsid w:val="00A6644A"/>
    <w:rsid w:val="00A6653F"/>
    <w:rsid w:val="00A66685"/>
    <w:rsid w:val="00A666E4"/>
    <w:rsid w:val="00A66921"/>
    <w:rsid w:val="00A66994"/>
    <w:rsid w:val="00A66AEE"/>
    <w:rsid w:val="00A66C42"/>
    <w:rsid w:val="00A66D2A"/>
    <w:rsid w:val="00A66E2E"/>
    <w:rsid w:val="00A66EE0"/>
    <w:rsid w:val="00A66FA0"/>
    <w:rsid w:val="00A6728E"/>
    <w:rsid w:val="00A672CA"/>
    <w:rsid w:val="00A6762D"/>
    <w:rsid w:val="00A678F4"/>
    <w:rsid w:val="00A67A54"/>
    <w:rsid w:val="00A67BA2"/>
    <w:rsid w:val="00A67EBA"/>
    <w:rsid w:val="00A70404"/>
    <w:rsid w:val="00A70877"/>
    <w:rsid w:val="00A70970"/>
    <w:rsid w:val="00A70980"/>
    <w:rsid w:val="00A70BF1"/>
    <w:rsid w:val="00A70D4C"/>
    <w:rsid w:val="00A7184A"/>
    <w:rsid w:val="00A71852"/>
    <w:rsid w:val="00A71867"/>
    <w:rsid w:val="00A71881"/>
    <w:rsid w:val="00A71906"/>
    <w:rsid w:val="00A71930"/>
    <w:rsid w:val="00A719FE"/>
    <w:rsid w:val="00A71B76"/>
    <w:rsid w:val="00A71EC8"/>
    <w:rsid w:val="00A71FFC"/>
    <w:rsid w:val="00A722C6"/>
    <w:rsid w:val="00A724BA"/>
    <w:rsid w:val="00A725CD"/>
    <w:rsid w:val="00A726AB"/>
    <w:rsid w:val="00A728A6"/>
    <w:rsid w:val="00A72AE7"/>
    <w:rsid w:val="00A72D6F"/>
    <w:rsid w:val="00A7328E"/>
    <w:rsid w:val="00A7352A"/>
    <w:rsid w:val="00A7393D"/>
    <w:rsid w:val="00A73A19"/>
    <w:rsid w:val="00A73AA3"/>
    <w:rsid w:val="00A73B60"/>
    <w:rsid w:val="00A73E38"/>
    <w:rsid w:val="00A73EC5"/>
    <w:rsid w:val="00A73FB3"/>
    <w:rsid w:val="00A74404"/>
    <w:rsid w:val="00A744EA"/>
    <w:rsid w:val="00A74568"/>
    <w:rsid w:val="00A7484D"/>
    <w:rsid w:val="00A74BDD"/>
    <w:rsid w:val="00A74EFF"/>
    <w:rsid w:val="00A74F10"/>
    <w:rsid w:val="00A74F62"/>
    <w:rsid w:val="00A74FFB"/>
    <w:rsid w:val="00A7509F"/>
    <w:rsid w:val="00A7547F"/>
    <w:rsid w:val="00A7560B"/>
    <w:rsid w:val="00A7560F"/>
    <w:rsid w:val="00A75732"/>
    <w:rsid w:val="00A758E9"/>
    <w:rsid w:val="00A75C2E"/>
    <w:rsid w:val="00A75C35"/>
    <w:rsid w:val="00A75CE5"/>
    <w:rsid w:val="00A75D90"/>
    <w:rsid w:val="00A75E27"/>
    <w:rsid w:val="00A761E1"/>
    <w:rsid w:val="00A762DB"/>
    <w:rsid w:val="00A7630B"/>
    <w:rsid w:val="00A763AB"/>
    <w:rsid w:val="00A76471"/>
    <w:rsid w:val="00A766DF"/>
    <w:rsid w:val="00A76C12"/>
    <w:rsid w:val="00A76D00"/>
    <w:rsid w:val="00A76F80"/>
    <w:rsid w:val="00A77382"/>
    <w:rsid w:val="00A773EE"/>
    <w:rsid w:val="00A77419"/>
    <w:rsid w:val="00A774B5"/>
    <w:rsid w:val="00A77543"/>
    <w:rsid w:val="00A77A9C"/>
    <w:rsid w:val="00A77C57"/>
    <w:rsid w:val="00A77E66"/>
    <w:rsid w:val="00A800F1"/>
    <w:rsid w:val="00A804FF"/>
    <w:rsid w:val="00A80561"/>
    <w:rsid w:val="00A80975"/>
    <w:rsid w:val="00A80ADC"/>
    <w:rsid w:val="00A80E75"/>
    <w:rsid w:val="00A8104A"/>
    <w:rsid w:val="00A810E3"/>
    <w:rsid w:val="00A811F0"/>
    <w:rsid w:val="00A81261"/>
    <w:rsid w:val="00A81302"/>
    <w:rsid w:val="00A81498"/>
    <w:rsid w:val="00A81A15"/>
    <w:rsid w:val="00A81E97"/>
    <w:rsid w:val="00A821EF"/>
    <w:rsid w:val="00A82346"/>
    <w:rsid w:val="00A82685"/>
    <w:rsid w:val="00A82859"/>
    <w:rsid w:val="00A82921"/>
    <w:rsid w:val="00A8298B"/>
    <w:rsid w:val="00A82999"/>
    <w:rsid w:val="00A829D3"/>
    <w:rsid w:val="00A82EBC"/>
    <w:rsid w:val="00A82ED6"/>
    <w:rsid w:val="00A8322F"/>
    <w:rsid w:val="00A832E7"/>
    <w:rsid w:val="00A8359B"/>
    <w:rsid w:val="00A835DC"/>
    <w:rsid w:val="00A8364E"/>
    <w:rsid w:val="00A83B29"/>
    <w:rsid w:val="00A83C33"/>
    <w:rsid w:val="00A83CEA"/>
    <w:rsid w:val="00A84112"/>
    <w:rsid w:val="00A84145"/>
    <w:rsid w:val="00A84448"/>
    <w:rsid w:val="00A845FD"/>
    <w:rsid w:val="00A847B9"/>
    <w:rsid w:val="00A84E1D"/>
    <w:rsid w:val="00A8546D"/>
    <w:rsid w:val="00A8586D"/>
    <w:rsid w:val="00A858FC"/>
    <w:rsid w:val="00A85903"/>
    <w:rsid w:val="00A85C41"/>
    <w:rsid w:val="00A85CB3"/>
    <w:rsid w:val="00A85CCF"/>
    <w:rsid w:val="00A85D27"/>
    <w:rsid w:val="00A85EA3"/>
    <w:rsid w:val="00A860C4"/>
    <w:rsid w:val="00A860CB"/>
    <w:rsid w:val="00A86302"/>
    <w:rsid w:val="00A8648A"/>
    <w:rsid w:val="00A864BD"/>
    <w:rsid w:val="00A867FE"/>
    <w:rsid w:val="00A8682C"/>
    <w:rsid w:val="00A871AA"/>
    <w:rsid w:val="00A87707"/>
    <w:rsid w:val="00A8795E"/>
    <w:rsid w:val="00A87C66"/>
    <w:rsid w:val="00A87D08"/>
    <w:rsid w:val="00A87F13"/>
    <w:rsid w:val="00A90076"/>
    <w:rsid w:val="00A90079"/>
    <w:rsid w:val="00A902D6"/>
    <w:rsid w:val="00A9047A"/>
    <w:rsid w:val="00A904CC"/>
    <w:rsid w:val="00A9080B"/>
    <w:rsid w:val="00A909B5"/>
    <w:rsid w:val="00A90B6C"/>
    <w:rsid w:val="00A90C52"/>
    <w:rsid w:val="00A91288"/>
    <w:rsid w:val="00A912AB"/>
    <w:rsid w:val="00A91362"/>
    <w:rsid w:val="00A9139D"/>
    <w:rsid w:val="00A916BB"/>
    <w:rsid w:val="00A9185E"/>
    <w:rsid w:val="00A91991"/>
    <w:rsid w:val="00A91ADE"/>
    <w:rsid w:val="00A91BB6"/>
    <w:rsid w:val="00A921E3"/>
    <w:rsid w:val="00A922A7"/>
    <w:rsid w:val="00A923B4"/>
    <w:rsid w:val="00A92478"/>
    <w:rsid w:val="00A924E5"/>
    <w:rsid w:val="00A92606"/>
    <w:rsid w:val="00A9281C"/>
    <w:rsid w:val="00A9287F"/>
    <w:rsid w:val="00A92F9A"/>
    <w:rsid w:val="00A930AF"/>
    <w:rsid w:val="00A9313C"/>
    <w:rsid w:val="00A931A7"/>
    <w:rsid w:val="00A93409"/>
    <w:rsid w:val="00A9351A"/>
    <w:rsid w:val="00A93745"/>
    <w:rsid w:val="00A938CE"/>
    <w:rsid w:val="00A93D01"/>
    <w:rsid w:val="00A93F32"/>
    <w:rsid w:val="00A945FF"/>
    <w:rsid w:val="00A94665"/>
    <w:rsid w:val="00A94790"/>
    <w:rsid w:val="00A94A41"/>
    <w:rsid w:val="00A94E7A"/>
    <w:rsid w:val="00A94F63"/>
    <w:rsid w:val="00A95168"/>
    <w:rsid w:val="00A9520B"/>
    <w:rsid w:val="00A95544"/>
    <w:rsid w:val="00A957C8"/>
    <w:rsid w:val="00A957D9"/>
    <w:rsid w:val="00A95B77"/>
    <w:rsid w:val="00A95D2B"/>
    <w:rsid w:val="00A95ED1"/>
    <w:rsid w:val="00A95F4B"/>
    <w:rsid w:val="00A95FEF"/>
    <w:rsid w:val="00A9625C"/>
    <w:rsid w:val="00A963E2"/>
    <w:rsid w:val="00A96460"/>
    <w:rsid w:val="00A964BE"/>
    <w:rsid w:val="00A964C9"/>
    <w:rsid w:val="00A966E1"/>
    <w:rsid w:val="00A967ED"/>
    <w:rsid w:val="00A96B45"/>
    <w:rsid w:val="00A96E55"/>
    <w:rsid w:val="00A96F1E"/>
    <w:rsid w:val="00A96F78"/>
    <w:rsid w:val="00A97151"/>
    <w:rsid w:val="00A9718E"/>
    <w:rsid w:val="00A971DC"/>
    <w:rsid w:val="00A9736F"/>
    <w:rsid w:val="00A97397"/>
    <w:rsid w:val="00A9761D"/>
    <w:rsid w:val="00A977BE"/>
    <w:rsid w:val="00A979F1"/>
    <w:rsid w:val="00A97A43"/>
    <w:rsid w:val="00A97B4E"/>
    <w:rsid w:val="00A97B51"/>
    <w:rsid w:val="00A97B5F"/>
    <w:rsid w:val="00A97ED7"/>
    <w:rsid w:val="00AA0027"/>
    <w:rsid w:val="00AA0675"/>
    <w:rsid w:val="00AA0770"/>
    <w:rsid w:val="00AA07CE"/>
    <w:rsid w:val="00AA0861"/>
    <w:rsid w:val="00AA0934"/>
    <w:rsid w:val="00AA0A8C"/>
    <w:rsid w:val="00AA0F18"/>
    <w:rsid w:val="00AA0FC0"/>
    <w:rsid w:val="00AA1120"/>
    <w:rsid w:val="00AA14C0"/>
    <w:rsid w:val="00AA1829"/>
    <w:rsid w:val="00AA18AF"/>
    <w:rsid w:val="00AA18BD"/>
    <w:rsid w:val="00AA1E2A"/>
    <w:rsid w:val="00AA208F"/>
    <w:rsid w:val="00AA21A9"/>
    <w:rsid w:val="00AA24DF"/>
    <w:rsid w:val="00AA257F"/>
    <w:rsid w:val="00AA259C"/>
    <w:rsid w:val="00AA262B"/>
    <w:rsid w:val="00AA2A29"/>
    <w:rsid w:val="00AA2E73"/>
    <w:rsid w:val="00AA2E93"/>
    <w:rsid w:val="00AA2E9B"/>
    <w:rsid w:val="00AA2F08"/>
    <w:rsid w:val="00AA3069"/>
    <w:rsid w:val="00AA3517"/>
    <w:rsid w:val="00AA367F"/>
    <w:rsid w:val="00AA37F6"/>
    <w:rsid w:val="00AA39AA"/>
    <w:rsid w:val="00AA3A7A"/>
    <w:rsid w:val="00AA3B02"/>
    <w:rsid w:val="00AA3B28"/>
    <w:rsid w:val="00AA414E"/>
    <w:rsid w:val="00AA45DE"/>
    <w:rsid w:val="00AA4673"/>
    <w:rsid w:val="00AA475B"/>
    <w:rsid w:val="00AA4923"/>
    <w:rsid w:val="00AA495B"/>
    <w:rsid w:val="00AA4A13"/>
    <w:rsid w:val="00AA4CA0"/>
    <w:rsid w:val="00AA4E57"/>
    <w:rsid w:val="00AA4F4F"/>
    <w:rsid w:val="00AA4F82"/>
    <w:rsid w:val="00AA534B"/>
    <w:rsid w:val="00AA5411"/>
    <w:rsid w:val="00AA5E31"/>
    <w:rsid w:val="00AA5F32"/>
    <w:rsid w:val="00AA5F3C"/>
    <w:rsid w:val="00AA60BB"/>
    <w:rsid w:val="00AA634C"/>
    <w:rsid w:val="00AA67EF"/>
    <w:rsid w:val="00AA6B3C"/>
    <w:rsid w:val="00AA6D24"/>
    <w:rsid w:val="00AA6DBB"/>
    <w:rsid w:val="00AA6FB7"/>
    <w:rsid w:val="00AA71BA"/>
    <w:rsid w:val="00AA72C3"/>
    <w:rsid w:val="00AA733B"/>
    <w:rsid w:val="00AA7675"/>
    <w:rsid w:val="00AA783D"/>
    <w:rsid w:val="00AA7875"/>
    <w:rsid w:val="00AA7ADE"/>
    <w:rsid w:val="00AA7AEB"/>
    <w:rsid w:val="00AA7BE3"/>
    <w:rsid w:val="00AA7CA3"/>
    <w:rsid w:val="00AA7CC9"/>
    <w:rsid w:val="00AA7D62"/>
    <w:rsid w:val="00AA7DEC"/>
    <w:rsid w:val="00AB046B"/>
    <w:rsid w:val="00AB0840"/>
    <w:rsid w:val="00AB0A59"/>
    <w:rsid w:val="00AB0EDD"/>
    <w:rsid w:val="00AB10D8"/>
    <w:rsid w:val="00AB1475"/>
    <w:rsid w:val="00AB1601"/>
    <w:rsid w:val="00AB1709"/>
    <w:rsid w:val="00AB177B"/>
    <w:rsid w:val="00AB17EA"/>
    <w:rsid w:val="00AB1957"/>
    <w:rsid w:val="00AB1A4F"/>
    <w:rsid w:val="00AB1AFE"/>
    <w:rsid w:val="00AB1E7E"/>
    <w:rsid w:val="00AB1EA5"/>
    <w:rsid w:val="00AB26D1"/>
    <w:rsid w:val="00AB2A25"/>
    <w:rsid w:val="00AB2D35"/>
    <w:rsid w:val="00AB2D83"/>
    <w:rsid w:val="00AB2F2F"/>
    <w:rsid w:val="00AB31B5"/>
    <w:rsid w:val="00AB3628"/>
    <w:rsid w:val="00AB376F"/>
    <w:rsid w:val="00AB38EB"/>
    <w:rsid w:val="00AB3A38"/>
    <w:rsid w:val="00AB3BC0"/>
    <w:rsid w:val="00AB3D01"/>
    <w:rsid w:val="00AB45BB"/>
    <w:rsid w:val="00AB4696"/>
    <w:rsid w:val="00AB46BA"/>
    <w:rsid w:val="00AB48B7"/>
    <w:rsid w:val="00AB48DB"/>
    <w:rsid w:val="00AB4997"/>
    <w:rsid w:val="00AB4E33"/>
    <w:rsid w:val="00AB4EE7"/>
    <w:rsid w:val="00AB4F7C"/>
    <w:rsid w:val="00AB4F98"/>
    <w:rsid w:val="00AB5057"/>
    <w:rsid w:val="00AB50C3"/>
    <w:rsid w:val="00AB51C7"/>
    <w:rsid w:val="00AB5462"/>
    <w:rsid w:val="00AB546F"/>
    <w:rsid w:val="00AB5524"/>
    <w:rsid w:val="00AB5689"/>
    <w:rsid w:val="00AB5916"/>
    <w:rsid w:val="00AB59A4"/>
    <w:rsid w:val="00AB59B9"/>
    <w:rsid w:val="00AB59BB"/>
    <w:rsid w:val="00AB5AA0"/>
    <w:rsid w:val="00AB60DA"/>
    <w:rsid w:val="00AB6512"/>
    <w:rsid w:val="00AB66AE"/>
    <w:rsid w:val="00AB66F0"/>
    <w:rsid w:val="00AB6AFC"/>
    <w:rsid w:val="00AB6C5B"/>
    <w:rsid w:val="00AB6C94"/>
    <w:rsid w:val="00AB6E90"/>
    <w:rsid w:val="00AB6EC9"/>
    <w:rsid w:val="00AB713D"/>
    <w:rsid w:val="00AB7654"/>
    <w:rsid w:val="00AB7875"/>
    <w:rsid w:val="00AB7D99"/>
    <w:rsid w:val="00AC0606"/>
    <w:rsid w:val="00AC0661"/>
    <w:rsid w:val="00AC09B5"/>
    <w:rsid w:val="00AC0E7A"/>
    <w:rsid w:val="00AC12B4"/>
    <w:rsid w:val="00AC13BC"/>
    <w:rsid w:val="00AC1402"/>
    <w:rsid w:val="00AC1C88"/>
    <w:rsid w:val="00AC1E56"/>
    <w:rsid w:val="00AC2274"/>
    <w:rsid w:val="00AC24C0"/>
    <w:rsid w:val="00AC27C8"/>
    <w:rsid w:val="00AC2921"/>
    <w:rsid w:val="00AC298F"/>
    <w:rsid w:val="00AC3198"/>
    <w:rsid w:val="00AC356D"/>
    <w:rsid w:val="00AC36F1"/>
    <w:rsid w:val="00AC371F"/>
    <w:rsid w:val="00AC397A"/>
    <w:rsid w:val="00AC3A12"/>
    <w:rsid w:val="00AC3B5E"/>
    <w:rsid w:val="00AC3E4B"/>
    <w:rsid w:val="00AC3E90"/>
    <w:rsid w:val="00AC3F4B"/>
    <w:rsid w:val="00AC4143"/>
    <w:rsid w:val="00AC43D1"/>
    <w:rsid w:val="00AC4626"/>
    <w:rsid w:val="00AC46A2"/>
    <w:rsid w:val="00AC4741"/>
    <w:rsid w:val="00AC4B69"/>
    <w:rsid w:val="00AC4C04"/>
    <w:rsid w:val="00AC4C41"/>
    <w:rsid w:val="00AC5052"/>
    <w:rsid w:val="00AC5337"/>
    <w:rsid w:val="00AC5425"/>
    <w:rsid w:val="00AC56E0"/>
    <w:rsid w:val="00AC5C76"/>
    <w:rsid w:val="00AC5E7B"/>
    <w:rsid w:val="00AC60CE"/>
    <w:rsid w:val="00AC6158"/>
    <w:rsid w:val="00AC65AC"/>
    <w:rsid w:val="00AC68EE"/>
    <w:rsid w:val="00AC6960"/>
    <w:rsid w:val="00AC6A4E"/>
    <w:rsid w:val="00AC6A59"/>
    <w:rsid w:val="00AC6CB6"/>
    <w:rsid w:val="00AC6EC1"/>
    <w:rsid w:val="00AC7218"/>
    <w:rsid w:val="00AC7317"/>
    <w:rsid w:val="00AC73A5"/>
    <w:rsid w:val="00AC7780"/>
    <w:rsid w:val="00AC79E5"/>
    <w:rsid w:val="00AC7B1D"/>
    <w:rsid w:val="00AC7D9B"/>
    <w:rsid w:val="00AC7DEE"/>
    <w:rsid w:val="00AD009B"/>
    <w:rsid w:val="00AD03AF"/>
    <w:rsid w:val="00AD05EE"/>
    <w:rsid w:val="00AD0982"/>
    <w:rsid w:val="00AD0D99"/>
    <w:rsid w:val="00AD13EA"/>
    <w:rsid w:val="00AD15D8"/>
    <w:rsid w:val="00AD189C"/>
    <w:rsid w:val="00AD1F62"/>
    <w:rsid w:val="00AD20A8"/>
    <w:rsid w:val="00AD20BA"/>
    <w:rsid w:val="00AD21B5"/>
    <w:rsid w:val="00AD226C"/>
    <w:rsid w:val="00AD23F3"/>
    <w:rsid w:val="00AD2B0A"/>
    <w:rsid w:val="00AD2BD0"/>
    <w:rsid w:val="00AD2C27"/>
    <w:rsid w:val="00AD2EB4"/>
    <w:rsid w:val="00AD32FE"/>
    <w:rsid w:val="00AD33B8"/>
    <w:rsid w:val="00AD3710"/>
    <w:rsid w:val="00AD3711"/>
    <w:rsid w:val="00AD37E7"/>
    <w:rsid w:val="00AD38C1"/>
    <w:rsid w:val="00AD3995"/>
    <w:rsid w:val="00AD3D0F"/>
    <w:rsid w:val="00AD3E01"/>
    <w:rsid w:val="00AD3E6D"/>
    <w:rsid w:val="00AD3F02"/>
    <w:rsid w:val="00AD3F1A"/>
    <w:rsid w:val="00AD4646"/>
    <w:rsid w:val="00AD4664"/>
    <w:rsid w:val="00AD46F5"/>
    <w:rsid w:val="00AD4810"/>
    <w:rsid w:val="00AD4A27"/>
    <w:rsid w:val="00AD4CC9"/>
    <w:rsid w:val="00AD4DFE"/>
    <w:rsid w:val="00AD4E34"/>
    <w:rsid w:val="00AD4EC2"/>
    <w:rsid w:val="00AD5035"/>
    <w:rsid w:val="00AD50ED"/>
    <w:rsid w:val="00AD50EE"/>
    <w:rsid w:val="00AD523F"/>
    <w:rsid w:val="00AD526B"/>
    <w:rsid w:val="00AD5272"/>
    <w:rsid w:val="00AD52C3"/>
    <w:rsid w:val="00AD5366"/>
    <w:rsid w:val="00AD53CA"/>
    <w:rsid w:val="00AD5509"/>
    <w:rsid w:val="00AD5522"/>
    <w:rsid w:val="00AD5696"/>
    <w:rsid w:val="00AD5841"/>
    <w:rsid w:val="00AD5878"/>
    <w:rsid w:val="00AD595A"/>
    <w:rsid w:val="00AD5A07"/>
    <w:rsid w:val="00AD5A43"/>
    <w:rsid w:val="00AD5E62"/>
    <w:rsid w:val="00AD5F7B"/>
    <w:rsid w:val="00AD60F5"/>
    <w:rsid w:val="00AD6112"/>
    <w:rsid w:val="00AD69B8"/>
    <w:rsid w:val="00AD6DE2"/>
    <w:rsid w:val="00AD706E"/>
    <w:rsid w:val="00AD70F6"/>
    <w:rsid w:val="00AD7284"/>
    <w:rsid w:val="00AD7446"/>
    <w:rsid w:val="00AD7534"/>
    <w:rsid w:val="00AD78EB"/>
    <w:rsid w:val="00AD7D64"/>
    <w:rsid w:val="00AE0283"/>
    <w:rsid w:val="00AE0311"/>
    <w:rsid w:val="00AE0D1B"/>
    <w:rsid w:val="00AE1030"/>
    <w:rsid w:val="00AE103C"/>
    <w:rsid w:val="00AE115C"/>
    <w:rsid w:val="00AE11B8"/>
    <w:rsid w:val="00AE13F8"/>
    <w:rsid w:val="00AE1422"/>
    <w:rsid w:val="00AE197D"/>
    <w:rsid w:val="00AE1AAB"/>
    <w:rsid w:val="00AE1B46"/>
    <w:rsid w:val="00AE1BFE"/>
    <w:rsid w:val="00AE1DC3"/>
    <w:rsid w:val="00AE22DB"/>
    <w:rsid w:val="00AE264E"/>
    <w:rsid w:val="00AE28B8"/>
    <w:rsid w:val="00AE28C7"/>
    <w:rsid w:val="00AE2C3F"/>
    <w:rsid w:val="00AE2D1B"/>
    <w:rsid w:val="00AE2FA1"/>
    <w:rsid w:val="00AE3306"/>
    <w:rsid w:val="00AE3326"/>
    <w:rsid w:val="00AE340A"/>
    <w:rsid w:val="00AE3E6B"/>
    <w:rsid w:val="00AE3F27"/>
    <w:rsid w:val="00AE3F99"/>
    <w:rsid w:val="00AE3FBB"/>
    <w:rsid w:val="00AE40E6"/>
    <w:rsid w:val="00AE4326"/>
    <w:rsid w:val="00AE446A"/>
    <w:rsid w:val="00AE4495"/>
    <w:rsid w:val="00AE480A"/>
    <w:rsid w:val="00AE4B85"/>
    <w:rsid w:val="00AE4D91"/>
    <w:rsid w:val="00AE51CD"/>
    <w:rsid w:val="00AE54C3"/>
    <w:rsid w:val="00AE55F6"/>
    <w:rsid w:val="00AE5703"/>
    <w:rsid w:val="00AE576E"/>
    <w:rsid w:val="00AE607B"/>
    <w:rsid w:val="00AE6188"/>
    <w:rsid w:val="00AE62E0"/>
    <w:rsid w:val="00AE62F7"/>
    <w:rsid w:val="00AE6B75"/>
    <w:rsid w:val="00AE6C50"/>
    <w:rsid w:val="00AE6CEF"/>
    <w:rsid w:val="00AE6FF3"/>
    <w:rsid w:val="00AE7083"/>
    <w:rsid w:val="00AE7318"/>
    <w:rsid w:val="00AE73E4"/>
    <w:rsid w:val="00AE749E"/>
    <w:rsid w:val="00AE74F4"/>
    <w:rsid w:val="00AE7E6E"/>
    <w:rsid w:val="00AE7EC5"/>
    <w:rsid w:val="00AE7F19"/>
    <w:rsid w:val="00AE7FDA"/>
    <w:rsid w:val="00AF0303"/>
    <w:rsid w:val="00AF0346"/>
    <w:rsid w:val="00AF0463"/>
    <w:rsid w:val="00AF05FF"/>
    <w:rsid w:val="00AF0896"/>
    <w:rsid w:val="00AF08A0"/>
    <w:rsid w:val="00AF08E2"/>
    <w:rsid w:val="00AF09DA"/>
    <w:rsid w:val="00AF0B6D"/>
    <w:rsid w:val="00AF0D57"/>
    <w:rsid w:val="00AF0EB6"/>
    <w:rsid w:val="00AF1064"/>
    <w:rsid w:val="00AF120F"/>
    <w:rsid w:val="00AF125C"/>
    <w:rsid w:val="00AF12D0"/>
    <w:rsid w:val="00AF1424"/>
    <w:rsid w:val="00AF152B"/>
    <w:rsid w:val="00AF17C0"/>
    <w:rsid w:val="00AF1858"/>
    <w:rsid w:val="00AF1860"/>
    <w:rsid w:val="00AF19F5"/>
    <w:rsid w:val="00AF1A6A"/>
    <w:rsid w:val="00AF1C18"/>
    <w:rsid w:val="00AF1EC6"/>
    <w:rsid w:val="00AF22FA"/>
    <w:rsid w:val="00AF2687"/>
    <w:rsid w:val="00AF2751"/>
    <w:rsid w:val="00AF2BC3"/>
    <w:rsid w:val="00AF2FC5"/>
    <w:rsid w:val="00AF2FE9"/>
    <w:rsid w:val="00AF30A2"/>
    <w:rsid w:val="00AF3841"/>
    <w:rsid w:val="00AF3CFD"/>
    <w:rsid w:val="00AF3FA6"/>
    <w:rsid w:val="00AF4063"/>
    <w:rsid w:val="00AF411E"/>
    <w:rsid w:val="00AF417E"/>
    <w:rsid w:val="00AF4321"/>
    <w:rsid w:val="00AF439F"/>
    <w:rsid w:val="00AF43A1"/>
    <w:rsid w:val="00AF4520"/>
    <w:rsid w:val="00AF45BF"/>
    <w:rsid w:val="00AF4A4A"/>
    <w:rsid w:val="00AF4B0E"/>
    <w:rsid w:val="00AF53DA"/>
    <w:rsid w:val="00AF55BB"/>
    <w:rsid w:val="00AF55CA"/>
    <w:rsid w:val="00AF55EC"/>
    <w:rsid w:val="00AF5DC5"/>
    <w:rsid w:val="00AF5F8C"/>
    <w:rsid w:val="00AF5F98"/>
    <w:rsid w:val="00AF5F9A"/>
    <w:rsid w:val="00AF63F7"/>
    <w:rsid w:val="00AF69C2"/>
    <w:rsid w:val="00AF6B2C"/>
    <w:rsid w:val="00AF6E61"/>
    <w:rsid w:val="00AF6EDA"/>
    <w:rsid w:val="00AF70E4"/>
    <w:rsid w:val="00AF7100"/>
    <w:rsid w:val="00AF7356"/>
    <w:rsid w:val="00AF7394"/>
    <w:rsid w:val="00AF747A"/>
    <w:rsid w:val="00AF78C6"/>
    <w:rsid w:val="00AF78EF"/>
    <w:rsid w:val="00AF7A29"/>
    <w:rsid w:val="00AF7A64"/>
    <w:rsid w:val="00AF7CFB"/>
    <w:rsid w:val="00AF7D1D"/>
    <w:rsid w:val="00AF7E68"/>
    <w:rsid w:val="00AF7EC2"/>
    <w:rsid w:val="00AF7FF8"/>
    <w:rsid w:val="00B00433"/>
    <w:rsid w:val="00B0057F"/>
    <w:rsid w:val="00B00851"/>
    <w:rsid w:val="00B0093B"/>
    <w:rsid w:val="00B0094E"/>
    <w:rsid w:val="00B00E86"/>
    <w:rsid w:val="00B0135E"/>
    <w:rsid w:val="00B013CD"/>
    <w:rsid w:val="00B014B9"/>
    <w:rsid w:val="00B01775"/>
    <w:rsid w:val="00B01BAB"/>
    <w:rsid w:val="00B01D5D"/>
    <w:rsid w:val="00B01F7E"/>
    <w:rsid w:val="00B01F96"/>
    <w:rsid w:val="00B0238A"/>
    <w:rsid w:val="00B027B5"/>
    <w:rsid w:val="00B0287B"/>
    <w:rsid w:val="00B028CA"/>
    <w:rsid w:val="00B029C3"/>
    <w:rsid w:val="00B02B6E"/>
    <w:rsid w:val="00B02C2D"/>
    <w:rsid w:val="00B02D5A"/>
    <w:rsid w:val="00B02FE9"/>
    <w:rsid w:val="00B03008"/>
    <w:rsid w:val="00B034AE"/>
    <w:rsid w:val="00B035C1"/>
    <w:rsid w:val="00B038BF"/>
    <w:rsid w:val="00B03A0E"/>
    <w:rsid w:val="00B03DF6"/>
    <w:rsid w:val="00B03FDF"/>
    <w:rsid w:val="00B0403D"/>
    <w:rsid w:val="00B043CC"/>
    <w:rsid w:val="00B04768"/>
    <w:rsid w:val="00B04C18"/>
    <w:rsid w:val="00B04F23"/>
    <w:rsid w:val="00B05044"/>
    <w:rsid w:val="00B05526"/>
    <w:rsid w:val="00B05BE7"/>
    <w:rsid w:val="00B05C5C"/>
    <w:rsid w:val="00B06148"/>
    <w:rsid w:val="00B06202"/>
    <w:rsid w:val="00B06717"/>
    <w:rsid w:val="00B067C9"/>
    <w:rsid w:val="00B06843"/>
    <w:rsid w:val="00B06A2E"/>
    <w:rsid w:val="00B06A83"/>
    <w:rsid w:val="00B06FF9"/>
    <w:rsid w:val="00B07017"/>
    <w:rsid w:val="00B0718E"/>
    <w:rsid w:val="00B0730A"/>
    <w:rsid w:val="00B073DD"/>
    <w:rsid w:val="00B073FB"/>
    <w:rsid w:val="00B07524"/>
    <w:rsid w:val="00B07602"/>
    <w:rsid w:val="00B0767E"/>
    <w:rsid w:val="00B077C8"/>
    <w:rsid w:val="00B078E6"/>
    <w:rsid w:val="00B07C3F"/>
    <w:rsid w:val="00B07DF8"/>
    <w:rsid w:val="00B07E7B"/>
    <w:rsid w:val="00B1003C"/>
    <w:rsid w:val="00B107FC"/>
    <w:rsid w:val="00B10D11"/>
    <w:rsid w:val="00B10FE5"/>
    <w:rsid w:val="00B11181"/>
    <w:rsid w:val="00B111F6"/>
    <w:rsid w:val="00B112DF"/>
    <w:rsid w:val="00B11315"/>
    <w:rsid w:val="00B117EE"/>
    <w:rsid w:val="00B1184C"/>
    <w:rsid w:val="00B11BFA"/>
    <w:rsid w:val="00B1222E"/>
    <w:rsid w:val="00B12301"/>
    <w:rsid w:val="00B124E2"/>
    <w:rsid w:val="00B125BB"/>
    <w:rsid w:val="00B1263A"/>
    <w:rsid w:val="00B12A54"/>
    <w:rsid w:val="00B12CDF"/>
    <w:rsid w:val="00B1319B"/>
    <w:rsid w:val="00B13334"/>
    <w:rsid w:val="00B133A6"/>
    <w:rsid w:val="00B13711"/>
    <w:rsid w:val="00B13AA6"/>
    <w:rsid w:val="00B13B03"/>
    <w:rsid w:val="00B13C3F"/>
    <w:rsid w:val="00B13F22"/>
    <w:rsid w:val="00B14489"/>
    <w:rsid w:val="00B14671"/>
    <w:rsid w:val="00B1475A"/>
    <w:rsid w:val="00B147A0"/>
    <w:rsid w:val="00B14E8E"/>
    <w:rsid w:val="00B14E95"/>
    <w:rsid w:val="00B1505E"/>
    <w:rsid w:val="00B153CF"/>
    <w:rsid w:val="00B155AF"/>
    <w:rsid w:val="00B1571B"/>
    <w:rsid w:val="00B15AF8"/>
    <w:rsid w:val="00B15CF8"/>
    <w:rsid w:val="00B15E31"/>
    <w:rsid w:val="00B15E59"/>
    <w:rsid w:val="00B160A7"/>
    <w:rsid w:val="00B161BA"/>
    <w:rsid w:val="00B161FF"/>
    <w:rsid w:val="00B162A8"/>
    <w:rsid w:val="00B16456"/>
    <w:rsid w:val="00B1655B"/>
    <w:rsid w:val="00B16610"/>
    <w:rsid w:val="00B166BB"/>
    <w:rsid w:val="00B1683D"/>
    <w:rsid w:val="00B1690E"/>
    <w:rsid w:val="00B16913"/>
    <w:rsid w:val="00B169A4"/>
    <w:rsid w:val="00B16B2A"/>
    <w:rsid w:val="00B16C2A"/>
    <w:rsid w:val="00B16C9D"/>
    <w:rsid w:val="00B16CDE"/>
    <w:rsid w:val="00B16D93"/>
    <w:rsid w:val="00B1717D"/>
    <w:rsid w:val="00B176FF"/>
    <w:rsid w:val="00B1796A"/>
    <w:rsid w:val="00B1796F"/>
    <w:rsid w:val="00B179C6"/>
    <w:rsid w:val="00B17B52"/>
    <w:rsid w:val="00B17FB7"/>
    <w:rsid w:val="00B20180"/>
    <w:rsid w:val="00B201D8"/>
    <w:rsid w:val="00B203B6"/>
    <w:rsid w:val="00B20408"/>
    <w:rsid w:val="00B20566"/>
    <w:rsid w:val="00B2068C"/>
    <w:rsid w:val="00B209E4"/>
    <w:rsid w:val="00B20A2D"/>
    <w:rsid w:val="00B20AD4"/>
    <w:rsid w:val="00B20AFB"/>
    <w:rsid w:val="00B20B3A"/>
    <w:rsid w:val="00B20BA3"/>
    <w:rsid w:val="00B20D48"/>
    <w:rsid w:val="00B20FB2"/>
    <w:rsid w:val="00B21316"/>
    <w:rsid w:val="00B216AC"/>
    <w:rsid w:val="00B21873"/>
    <w:rsid w:val="00B218E1"/>
    <w:rsid w:val="00B21C2C"/>
    <w:rsid w:val="00B21E9C"/>
    <w:rsid w:val="00B21F01"/>
    <w:rsid w:val="00B2214B"/>
    <w:rsid w:val="00B22269"/>
    <w:rsid w:val="00B225CE"/>
    <w:rsid w:val="00B227BB"/>
    <w:rsid w:val="00B228EA"/>
    <w:rsid w:val="00B22C45"/>
    <w:rsid w:val="00B23135"/>
    <w:rsid w:val="00B233CB"/>
    <w:rsid w:val="00B237FF"/>
    <w:rsid w:val="00B2381F"/>
    <w:rsid w:val="00B23A5C"/>
    <w:rsid w:val="00B240A4"/>
    <w:rsid w:val="00B241A7"/>
    <w:rsid w:val="00B241E8"/>
    <w:rsid w:val="00B24237"/>
    <w:rsid w:val="00B24295"/>
    <w:rsid w:val="00B24866"/>
    <w:rsid w:val="00B24B59"/>
    <w:rsid w:val="00B24B65"/>
    <w:rsid w:val="00B24B77"/>
    <w:rsid w:val="00B24CDC"/>
    <w:rsid w:val="00B24E18"/>
    <w:rsid w:val="00B25223"/>
    <w:rsid w:val="00B252BE"/>
    <w:rsid w:val="00B253CF"/>
    <w:rsid w:val="00B256D5"/>
    <w:rsid w:val="00B258AA"/>
    <w:rsid w:val="00B259F7"/>
    <w:rsid w:val="00B25A6D"/>
    <w:rsid w:val="00B25A85"/>
    <w:rsid w:val="00B25BA1"/>
    <w:rsid w:val="00B25BE7"/>
    <w:rsid w:val="00B25E70"/>
    <w:rsid w:val="00B25EC2"/>
    <w:rsid w:val="00B26474"/>
    <w:rsid w:val="00B2674F"/>
    <w:rsid w:val="00B2676B"/>
    <w:rsid w:val="00B2689F"/>
    <w:rsid w:val="00B26992"/>
    <w:rsid w:val="00B26B1A"/>
    <w:rsid w:val="00B26D55"/>
    <w:rsid w:val="00B26EEB"/>
    <w:rsid w:val="00B27075"/>
    <w:rsid w:val="00B2708C"/>
    <w:rsid w:val="00B2723C"/>
    <w:rsid w:val="00B27304"/>
    <w:rsid w:val="00B27765"/>
    <w:rsid w:val="00B27828"/>
    <w:rsid w:val="00B278E5"/>
    <w:rsid w:val="00B27963"/>
    <w:rsid w:val="00B27C84"/>
    <w:rsid w:val="00B27CBA"/>
    <w:rsid w:val="00B27DD3"/>
    <w:rsid w:val="00B27F84"/>
    <w:rsid w:val="00B30053"/>
    <w:rsid w:val="00B304A6"/>
    <w:rsid w:val="00B3087D"/>
    <w:rsid w:val="00B308F8"/>
    <w:rsid w:val="00B30A6F"/>
    <w:rsid w:val="00B30B81"/>
    <w:rsid w:val="00B30BEA"/>
    <w:rsid w:val="00B30CB7"/>
    <w:rsid w:val="00B30F07"/>
    <w:rsid w:val="00B31057"/>
    <w:rsid w:val="00B312C6"/>
    <w:rsid w:val="00B314F9"/>
    <w:rsid w:val="00B315DC"/>
    <w:rsid w:val="00B31656"/>
    <w:rsid w:val="00B31A77"/>
    <w:rsid w:val="00B31A7A"/>
    <w:rsid w:val="00B31B73"/>
    <w:rsid w:val="00B31DFE"/>
    <w:rsid w:val="00B31FD8"/>
    <w:rsid w:val="00B32253"/>
    <w:rsid w:val="00B322CE"/>
    <w:rsid w:val="00B32369"/>
    <w:rsid w:val="00B32662"/>
    <w:rsid w:val="00B32867"/>
    <w:rsid w:val="00B329B6"/>
    <w:rsid w:val="00B32C7C"/>
    <w:rsid w:val="00B32F53"/>
    <w:rsid w:val="00B33307"/>
    <w:rsid w:val="00B335DE"/>
    <w:rsid w:val="00B3367B"/>
    <w:rsid w:val="00B336F0"/>
    <w:rsid w:val="00B3376E"/>
    <w:rsid w:val="00B338DA"/>
    <w:rsid w:val="00B3397B"/>
    <w:rsid w:val="00B33ACF"/>
    <w:rsid w:val="00B33CF6"/>
    <w:rsid w:val="00B33EF6"/>
    <w:rsid w:val="00B34794"/>
    <w:rsid w:val="00B34893"/>
    <w:rsid w:val="00B34C41"/>
    <w:rsid w:val="00B34C9C"/>
    <w:rsid w:val="00B3523C"/>
    <w:rsid w:val="00B3528C"/>
    <w:rsid w:val="00B3559A"/>
    <w:rsid w:val="00B3585D"/>
    <w:rsid w:val="00B35880"/>
    <w:rsid w:val="00B35BC1"/>
    <w:rsid w:val="00B35CBF"/>
    <w:rsid w:val="00B35FB7"/>
    <w:rsid w:val="00B36140"/>
    <w:rsid w:val="00B363B7"/>
    <w:rsid w:val="00B363E6"/>
    <w:rsid w:val="00B36462"/>
    <w:rsid w:val="00B36A07"/>
    <w:rsid w:val="00B36AE7"/>
    <w:rsid w:val="00B36D17"/>
    <w:rsid w:val="00B36F74"/>
    <w:rsid w:val="00B37095"/>
    <w:rsid w:val="00B37126"/>
    <w:rsid w:val="00B371AA"/>
    <w:rsid w:val="00B3721B"/>
    <w:rsid w:val="00B374A8"/>
    <w:rsid w:val="00B3757A"/>
    <w:rsid w:val="00B375E8"/>
    <w:rsid w:val="00B37916"/>
    <w:rsid w:val="00B37DD0"/>
    <w:rsid w:val="00B37FE9"/>
    <w:rsid w:val="00B40000"/>
    <w:rsid w:val="00B40069"/>
    <w:rsid w:val="00B40086"/>
    <w:rsid w:val="00B402BC"/>
    <w:rsid w:val="00B402CF"/>
    <w:rsid w:val="00B40346"/>
    <w:rsid w:val="00B404AA"/>
    <w:rsid w:val="00B4074A"/>
    <w:rsid w:val="00B40858"/>
    <w:rsid w:val="00B40A29"/>
    <w:rsid w:val="00B40A71"/>
    <w:rsid w:val="00B40DEF"/>
    <w:rsid w:val="00B4134A"/>
    <w:rsid w:val="00B415D4"/>
    <w:rsid w:val="00B41779"/>
    <w:rsid w:val="00B41AB4"/>
    <w:rsid w:val="00B41ABE"/>
    <w:rsid w:val="00B41B3E"/>
    <w:rsid w:val="00B420AF"/>
    <w:rsid w:val="00B421D9"/>
    <w:rsid w:val="00B424DC"/>
    <w:rsid w:val="00B4274C"/>
    <w:rsid w:val="00B42849"/>
    <w:rsid w:val="00B4288B"/>
    <w:rsid w:val="00B429F6"/>
    <w:rsid w:val="00B42A0A"/>
    <w:rsid w:val="00B42C4D"/>
    <w:rsid w:val="00B42D6A"/>
    <w:rsid w:val="00B42F72"/>
    <w:rsid w:val="00B42FD5"/>
    <w:rsid w:val="00B43571"/>
    <w:rsid w:val="00B435D6"/>
    <w:rsid w:val="00B437F3"/>
    <w:rsid w:val="00B43966"/>
    <w:rsid w:val="00B43A55"/>
    <w:rsid w:val="00B43CD0"/>
    <w:rsid w:val="00B4410B"/>
    <w:rsid w:val="00B44650"/>
    <w:rsid w:val="00B4471C"/>
    <w:rsid w:val="00B44788"/>
    <w:rsid w:val="00B44956"/>
    <w:rsid w:val="00B44A6D"/>
    <w:rsid w:val="00B44BF5"/>
    <w:rsid w:val="00B44EA0"/>
    <w:rsid w:val="00B44F23"/>
    <w:rsid w:val="00B44F42"/>
    <w:rsid w:val="00B45021"/>
    <w:rsid w:val="00B450D4"/>
    <w:rsid w:val="00B4534D"/>
    <w:rsid w:val="00B453C8"/>
    <w:rsid w:val="00B45B38"/>
    <w:rsid w:val="00B45E59"/>
    <w:rsid w:val="00B45F58"/>
    <w:rsid w:val="00B464C0"/>
    <w:rsid w:val="00B4658F"/>
    <w:rsid w:val="00B4659D"/>
    <w:rsid w:val="00B4686E"/>
    <w:rsid w:val="00B4691C"/>
    <w:rsid w:val="00B46F94"/>
    <w:rsid w:val="00B471AE"/>
    <w:rsid w:val="00B47274"/>
    <w:rsid w:val="00B472C0"/>
    <w:rsid w:val="00B474B4"/>
    <w:rsid w:val="00B47742"/>
    <w:rsid w:val="00B47891"/>
    <w:rsid w:val="00B4793F"/>
    <w:rsid w:val="00B47B49"/>
    <w:rsid w:val="00B47EBE"/>
    <w:rsid w:val="00B501F0"/>
    <w:rsid w:val="00B50216"/>
    <w:rsid w:val="00B503F0"/>
    <w:rsid w:val="00B505F3"/>
    <w:rsid w:val="00B508BF"/>
    <w:rsid w:val="00B509D7"/>
    <w:rsid w:val="00B509F1"/>
    <w:rsid w:val="00B50C2B"/>
    <w:rsid w:val="00B50E2D"/>
    <w:rsid w:val="00B50F1C"/>
    <w:rsid w:val="00B510DA"/>
    <w:rsid w:val="00B51214"/>
    <w:rsid w:val="00B51285"/>
    <w:rsid w:val="00B512E1"/>
    <w:rsid w:val="00B5136F"/>
    <w:rsid w:val="00B514BB"/>
    <w:rsid w:val="00B51888"/>
    <w:rsid w:val="00B51989"/>
    <w:rsid w:val="00B51CE8"/>
    <w:rsid w:val="00B51F26"/>
    <w:rsid w:val="00B52008"/>
    <w:rsid w:val="00B528B3"/>
    <w:rsid w:val="00B52B15"/>
    <w:rsid w:val="00B52C27"/>
    <w:rsid w:val="00B52CD9"/>
    <w:rsid w:val="00B52FAD"/>
    <w:rsid w:val="00B5373D"/>
    <w:rsid w:val="00B53858"/>
    <w:rsid w:val="00B53A7B"/>
    <w:rsid w:val="00B53BF7"/>
    <w:rsid w:val="00B53EC7"/>
    <w:rsid w:val="00B53F4E"/>
    <w:rsid w:val="00B5409B"/>
    <w:rsid w:val="00B54194"/>
    <w:rsid w:val="00B543B6"/>
    <w:rsid w:val="00B544B3"/>
    <w:rsid w:val="00B54547"/>
    <w:rsid w:val="00B5461A"/>
    <w:rsid w:val="00B54976"/>
    <w:rsid w:val="00B549FD"/>
    <w:rsid w:val="00B54DF6"/>
    <w:rsid w:val="00B54F4B"/>
    <w:rsid w:val="00B54F6D"/>
    <w:rsid w:val="00B54F8A"/>
    <w:rsid w:val="00B5521D"/>
    <w:rsid w:val="00B55277"/>
    <w:rsid w:val="00B55316"/>
    <w:rsid w:val="00B55493"/>
    <w:rsid w:val="00B55634"/>
    <w:rsid w:val="00B55687"/>
    <w:rsid w:val="00B5579D"/>
    <w:rsid w:val="00B558D4"/>
    <w:rsid w:val="00B55F88"/>
    <w:rsid w:val="00B56534"/>
    <w:rsid w:val="00B565F3"/>
    <w:rsid w:val="00B565FC"/>
    <w:rsid w:val="00B56898"/>
    <w:rsid w:val="00B569C8"/>
    <w:rsid w:val="00B569FF"/>
    <w:rsid w:val="00B56A05"/>
    <w:rsid w:val="00B56A93"/>
    <w:rsid w:val="00B56BE7"/>
    <w:rsid w:val="00B56BEB"/>
    <w:rsid w:val="00B56D79"/>
    <w:rsid w:val="00B56EA9"/>
    <w:rsid w:val="00B571F1"/>
    <w:rsid w:val="00B572A6"/>
    <w:rsid w:val="00B57406"/>
    <w:rsid w:val="00B5780B"/>
    <w:rsid w:val="00B5792E"/>
    <w:rsid w:val="00B5793C"/>
    <w:rsid w:val="00B57C59"/>
    <w:rsid w:val="00B602CD"/>
    <w:rsid w:val="00B602FA"/>
    <w:rsid w:val="00B60421"/>
    <w:rsid w:val="00B6062A"/>
    <w:rsid w:val="00B60669"/>
    <w:rsid w:val="00B606A0"/>
    <w:rsid w:val="00B60843"/>
    <w:rsid w:val="00B60885"/>
    <w:rsid w:val="00B6095B"/>
    <w:rsid w:val="00B6097E"/>
    <w:rsid w:val="00B60994"/>
    <w:rsid w:val="00B60AAA"/>
    <w:rsid w:val="00B60ABA"/>
    <w:rsid w:val="00B60B18"/>
    <w:rsid w:val="00B61005"/>
    <w:rsid w:val="00B612D4"/>
    <w:rsid w:val="00B612DB"/>
    <w:rsid w:val="00B61F75"/>
    <w:rsid w:val="00B623A0"/>
    <w:rsid w:val="00B6269D"/>
    <w:rsid w:val="00B62BE6"/>
    <w:rsid w:val="00B62C83"/>
    <w:rsid w:val="00B62EB2"/>
    <w:rsid w:val="00B63175"/>
    <w:rsid w:val="00B631D1"/>
    <w:rsid w:val="00B634AD"/>
    <w:rsid w:val="00B634D5"/>
    <w:rsid w:val="00B636E2"/>
    <w:rsid w:val="00B63A8D"/>
    <w:rsid w:val="00B63DD2"/>
    <w:rsid w:val="00B6406A"/>
    <w:rsid w:val="00B645AF"/>
    <w:rsid w:val="00B64C30"/>
    <w:rsid w:val="00B64D25"/>
    <w:rsid w:val="00B64D61"/>
    <w:rsid w:val="00B64E47"/>
    <w:rsid w:val="00B64FAC"/>
    <w:rsid w:val="00B65198"/>
    <w:rsid w:val="00B6524C"/>
    <w:rsid w:val="00B65422"/>
    <w:rsid w:val="00B6569A"/>
    <w:rsid w:val="00B65E3F"/>
    <w:rsid w:val="00B65EA2"/>
    <w:rsid w:val="00B65ECB"/>
    <w:rsid w:val="00B65F9B"/>
    <w:rsid w:val="00B660C9"/>
    <w:rsid w:val="00B6623F"/>
    <w:rsid w:val="00B666D0"/>
    <w:rsid w:val="00B66867"/>
    <w:rsid w:val="00B669AA"/>
    <w:rsid w:val="00B66F0A"/>
    <w:rsid w:val="00B66FD7"/>
    <w:rsid w:val="00B672DF"/>
    <w:rsid w:val="00B675DC"/>
    <w:rsid w:val="00B676A9"/>
    <w:rsid w:val="00B677C7"/>
    <w:rsid w:val="00B679B7"/>
    <w:rsid w:val="00B67F20"/>
    <w:rsid w:val="00B67FF4"/>
    <w:rsid w:val="00B70145"/>
    <w:rsid w:val="00B7019A"/>
    <w:rsid w:val="00B70330"/>
    <w:rsid w:val="00B70427"/>
    <w:rsid w:val="00B706A0"/>
    <w:rsid w:val="00B70902"/>
    <w:rsid w:val="00B70ACE"/>
    <w:rsid w:val="00B711F2"/>
    <w:rsid w:val="00B7163D"/>
    <w:rsid w:val="00B718F7"/>
    <w:rsid w:val="00B71988"/>
    <w:rsid w:val="00B71AF3"/>
    <w:rsid w:val="00B71BC0"/>
    <w:rsid w:val="00B71CD9"/>
    <w:rsid w:val="00B7285C"/>
    <w:rsid w:val="00B72A1D"/>
    <w:rsid w:val="00B72A9A"/>
    <w:rsid w:val="00B72BCE"/>
    <w:rsid w:val="00B72C52"/>
    <w:rsid w:val="00B72F3C"/>
    <w:rsid w:val="00B73075"/>
    <w:rsid w:val="00B730D5"/>
    <w:rsid w:val="00B738F7"/>
    <w:rsid w:val="00B73AA2"/>
    <w:rsid w:val="00B73D6D"/>
    <w:rsid w:val="00B74008"/>
    <w:rsid w:val="00B74032"/>
    <w:rsid w:val="00B740B9"/>
    <w:rsid w:val="00B740E3"/>
    <w:rsid w:val="00B74279"/>
    <w:rsid w:val="00B743BF"/>
    <w:rsid w:val="00B743E4"/>
    <w:rsid w:val="00B7478E"/>
    <w:rsid w:val="00B74A13"/>
    <w:rsid w:val="00B74AE3"/>
    <w:rsid w:val="00B74AF4"/>
    <w:rsid w:val="00B74BAA"/>
    <w:rsid w:val="00B74C07"/>
    <w:rsid w:val="00B750AA"/>
    <w:rsid w:val="00B7524B"/>
    <w:rsid w:val="00B75613"/>
    <w:rsid w:val="00B75747"/>
    <w:rsid w:val="00B7577E"/>
    <w:rsid w:val="00B75787"/>
    <w:rsid w:val="00B757DB"/>
    <w:rsid w:val="00B75D32"/>
    <w:rsid w:val="00B75DDB"/>
    <w:rsid w:val="00B75DF8"/>
    <w:rsid w:val="00B75F20"/>
    <w:rsid w:val="00B75F24"/>
    <w:rsid w:val="00B7608D"/>
    <w:rsid w:val="00B7663A"/>
    <w:rsid w:val="00B7672A"/>
    <w:rsid w:val="00B76FE2"/>
    <w:rsid w:val="00B7705B"/>
    <w:rsid w:val="00B77335"/>
    <w:rsid w:val="00B774B9"/>
    <w:rsid w:val="00B7766B"/>
    <w:rsid w:val="00B77672"/>
    <w:rsid w:val="00B7780B"/>
    <w:rsid w:val="00B77B71"/>
    <w:rsid w:val="00B77DC0"/>
    <w:rsid w:val="00B77E65"/>
    <w:rsid w:val="00B77E87"/>
    <w:rsid w:val="00B77E94"/>
    <w:rsid w:val="00B800CE"/>
    <w:rsid w:val="00B8078A"/>
    <w:rsid w:val="00B807E7"/>
    <w:rsid w:val="00B808D8"/>
    <w:rsid w:val="00B809BF"/>
    <w:rsid w:val="00B80A6B"/>
    <w:rsid w:val="00B80B54"/>
    <w:rsid w:val="00B80E9D"/>
    <w:rsid w:val="00B80F66"/>
    <w:rsid w:val="00B8107A"/>
    <w:rsid w:val="00B81455"/>
    <w:rsid w:val="00B814D7"/>
    <w:rsid w:val="00B8152B"/>
    <w:rsid w:val="00B8179B"/>
    <w:rsid w:val="00B8191D"/>
    <w:rsid w:val="00B8197B"/>
    <w:rsid w:val="00B81A7E"/>
    <w:rsid w:val="00B81E80"/>
    <w:rsid w:val="00B81EB6"/>
    <w:rsid w:val="00B82104"/>
    <w:rsid w:val="00B82114"/>
    <w:rsid w:val="00B827C4"/>
    <w:rsid w:val="00B8297E"/>
    <w:rsid w:val="00B82BD3"/>
    <w:rsid w:val="00B82CD7"/>
    <w:rsid w:val="00B83357"/>
    <w:rsid w:val="00B835CA"/>
    <w:rsid w:val="00B83777"/>
    <w:rsid w:val="00B83B90"/>
    <w:rsid w:val="00B83E63"/>
    <w:rsid w:val="00B84110"/>
    <w:rsid w:val="00B841CB"/>
    <w:rsid w:val="00B84231"/>
    <w:rsid w:val="00B842C3"/>
    <w:rsid w:val="00B842E9"/>
    <w:rsid w:val="00B8438A"/>
    <w:rsid w:val="00B84555"/>
    <w:rsid w:val="00B8458A"/>
    <w:rsid w:val="00B84900"/>
    <w:rsid w:val="00B84BAC"/>
    <w:rsid w:val="00B85073"/>
    <w:rsid w:val="00B8516A"/>
    <w:rsid w:val="00B851B5"/>
    <w:rsid w:val="00B8530E"/>
    <w:rsid w:val="00B85431"/>
    <w:rsid w:val="00B85964"/>
    <w:rsid w:val="00B85A56"/>
    <w:rsid w:val="00B85A8F"/>
    <w:rsid w:val="00B85C20"/>
    <w:rsid w:val="00B85C9E"/>
    <w:rsid w:val="00B85D41"/>
    <w:rsid w:val="00B86336"/>
    <w:rsid w:val="00B8637B"/>
    <w:rsid w:val="00B863F7"/>
    <w:rsid w:val="00B8646B"/>
    <w:rsid w:val="00B864E4"/>
    <w:rsid w:val="00B86676"/>
    <w:rsid w:val="00B86881"/>
    <w:rsid w:val="00B86DFC"/>
    <w:rsid w:val="00B86E70"/>
    <w:rsid w:val="00B8742D"/>
    <w:rsid w:val="00B87500"/>
    <w:rsid w:val="00B87583"/>
    <w:rsid w:val="00B877BD"/>
    <w:rsid w:val="00B87949"/>
    <w:rsid w:val="00B87CCF"/>
    <w:rsid w:val="00B87CFA"/>
    <w:rsid w:val="00B87D47"/>
    <w:rsid w:val="00B902D6"/>
    <w:rsid w:val="00B90488"/>
    <w:rsid w:val="00B9068E"/>
    <w:rsid w:val="00B906A1"/>
    <w:rsid w:val="00B90795"/>
    <w:rsid w:val="00B907AF"/>
    <w:rsid w:val="00B90CE8"/>
    <w:rsid w:val="00B90ECC"/>
    <w:rsid w:val="00B91064"/>
    <w:rsid w:val="00B911FA"/>
    <w:rsid w:val="00B917F3"/>
    <w:rsid w:val="00B919B5"/>
    <w:rsid w:val="00B91A79"/>
    <w:rsid w:val="00B91AE9"/>
    <w:rsid w:val="00B91BDE"/>
    <w:rsid w:val="00B91C61"/>
    <w:rsid w:val="00B91E8A"/>
    <w:rsid w:val="00B91F95"/>
    <w:rsid w:val="00B92011"/>
    <w:rsid w:val="00B92067"/>
    <w:rsid w:val="00B9221D"/>
    <w:rsid w:val="00B923FA"/>
    <w:rsid w:val="00B926C0"/>
    <w:rsid w:val="00B928F1"/>
    <w:rsid w:val="00B92967"/>
    <w:rsid w:val="00B92DEC"/>
    <w:rsid w:val="00B93053"/>
    <w:rsid w:val="00B93242"/>
    <w:rsid w:val="00B9356B"/>
    <w:rsid w:val="00B93634"/>
    <w:rsid w:val="00B93683"/>
    <w:rsid w:val="00B93995"/>
    <w:rsid w:val="00B93BE4"/>
    <w:rsid w:val="00B93E16"/>
    <w:rsid w:val="00B93F62"/>
    <w:rsid w:val="00B93FAD"/>
    <w:rsid w:val="00B941C1"/>
    <w:rsid w:val="00B943F1"/>
    <w:rsid w:val="00B943F5"/>
    <w:rsid w:val="00B947D7"/>
    <w:rsid w:val="00B949DC"/>
    <w:rsid w:val="00B94B57"/>
    <w:rsid w:val="00B94B8C"/>
    <w:rsid w:val="00B9518D"/>
    <w:rsid w:val="00B953AF"/>
    <w:rsid w:val="00B95442"/>
    <w:rsid w:val="00B95594"/>
    <w:rsid w:val="00B9597F"/>
    <w:rsid w:val="00B95A6D"/>
    <w:rsid w:val="00B95B55"/>
    <w:rsid w:val="00B95D69"/>
    <w:rsid w:val="00B96461"/>
    <w:rsid w:val="00B9646E"/>
    <w:rsid w:val="00B9652A"/>
    <w:rsid w:val="00B96616"/>
    <w:rsid w:val="00B968D5"/>
    <w:rsid w:val="00B969AA"/>
    <w:rsid w:val="00B96B4B"/>
    <w:rsid w:val="00B96C43"/>
    <w:rsid w:val="00B9703E"/>
    <w:rsid w:val="00B970E0"/>
    <w:rsid w:val="00B97159"/>
    <w:rsid w:val="00B972C8"/>
    <w:rsid w:val="00B975AF"/>
    <w:rsid w:val="00B97939"/>
    <w:rsid w:val="00B97989"/>
    <w:rsid w:val="00B97F70"/>
    <w:rsid w:val="00B97F9D"/>
    <w:rsid w:val="00BA009B"/>
    <w:rsid w:val="00BA0139"/>
    <w:rsid w:val="00BA0378"/>
    <w:rsid w:val="00BA0546"/>
    <w:rsid w:val="00BA05BF"/>
    <w:rsid w:val="00BA0AAD"/>
    <w:rsid w:val="00BA0AEA"/>
    <w:rsid w:val="00BA0E32"/>
    <w:rsid w:val="00BA0F7F"/>
    <w:rsid w:val="00BA10DD"/>
    <w:rsid w:val="00BA1533"/>
    <w:rsid w:val="00BA15D3"/>
    <w:rsid w:val="00BA15EF"/>
    <w:rsid w:val="00BA19E2"/>
    <w:rsid w:val="00BA1ACE"/>
    <w:rsid w:val="00BA2028"/>
    <w:rsid w:val="00BA20C3"/>
    <w:rsid w:val="00BA2193"/>
    <w:rsid w:val="00BA235F"/>
    <w:rsid w:val="00BA2508"/>
    <w:rsid w:val="00BA2706"/>
    <w:rsid w:val="00BA2721"/>
    <w:rsid w:val="00BA2976"/>
    <w:rsid w:val="00BA2A67"/>
    <w:rsid w:val="00BA2A80"/>
    <w:rsid w:val="00BA3210"/>
    <w:rsid w:val="00BA3229"/>
    <w:rsid w:val="00BA32B3"/>
    <w:rsid w:val="00BA3508"/>
    <w:rsid w:val="00BA366C"/>
    <w:rsid w:val="00BA37C9"/>
    <w:rsid w:val="00BA3BF9"/>
    <w:rsid w:val="00BA3EB0"/>
    <w:rsid w:val="00BA3F15"/>
    <w:rsid w:val="00BA3F1F"/>
    <w:rsid w:val="00BA4050"/>
    <w:rsid w:val="00BA40E0"/>
    <w:rsid w:val="00BA423B"/>
    <w:rsid w:val="00BA4537"/>
    <w:rsid w:val="00BA48D0"/>
    <w:rsid w:val="00BA491C"/>
    <w:rsid w:val="00BA4DCE"/>
    <w:rsid w:val="00BA4DEB"/>
    <w:rsid w:val="00BA5356"/>
    <w:rsid w:val="00BA5639"/>
    <w:rsid w:val="00BA56A9"/>
    <w:rsid w:val="00BA5750"/>
    <w:rsid w:val="00BA58FA"/>
    <w:rsid w:val="00BA5B25"/>
    <w:rsid w:val="00BA5C06"/>
    <w:rsid w:val="00BA5C59"/>
    <w:rsid w:val="00BA5E1A"/>
    <w:rsid w:val="00BA5FE1"/>
    <w:rsid w:val="00BA60B9"/>
    <w:rsid w:val="00BA62DD"/>
    <w:rsid w:val="00BA65B3"/>
    <w:rsid w:val="00BA68C3"/>
    <w:rsid w:val="00BA6D60"/>
    <w:rsid w:val="00BA6F44"/>
    <w:rsid w:val="00BA6F58"/>
    <w:rsid w:val="00BA70B4"/>
    <w:rsid w:val="00BA73B2"/>
    <w:rsid w:val="00BA79D9"/>
    <w:rsid w:val="00BA7A43"/>
    <w:rsid w:val="00BA7C83"/>
    <w:rsid w:val="00BB0002"/>
    <w:rsid w:val="00BB0243"/>
    <w:rsid w:val="00BB0269"/>
    <w:rsid w:val="00BB02FC"/>
    <w:rsid w:val="00BB0694"/>
    <w:rsid w:val="00BB070A"/>
    <w:rsid w:val="00BB0CB9"/>
    <w:rsid w:val="00BB0DE9"/>
    <w:rsid w:val="00BB0E5A"/>
    <w:rsid w:val="00BB1070"/>
    <w:rsid w:val="00BB16A5"/>
    <w:rsid w:val="00BB1C6C"/>
    <w:rsid w:val="00BB1CCE"/>
    <w:rsid w:val="00BB1F97"/>
    <w:rsid w:val="00BB231A"/>
    <w:rsid w:val="00BB231C"/>
    <w:rsid w:val="00BB24B5"/>
    <w:rsid w:val="00BB26BC"/>
    <w:rsid w:val="00BB2AA7"/>
    <w:rsid w:val="00BB2DA6"/>
    <w:rsid w:val="00BB2DFF"/>
    <w:rsid w:val="00BB2E53"/>
    <w:rsid w:val="00BB301F"/>
    <w:rsid w:val="00BB3506"/>
    <w:rsid w:val="00BB377C"/>
    <w:rsid w:val="00BB37BD"/>
    <w:rsid w:val="00BB3C7D"/>
    <w:rsid w:val="00BB3D8C"/>
    <w:rsid w:val="00BB3DF7"/>
    <w:rsid w:val="00BB3EAB"/>
    <w:rsid w:val="00BB430F"/>
    <w:rsid w:val="00BB4E82"/>
    <w:rsid w:val="00BB4F12"/>
    <w:rsid w:val="00BB515D"/>
    <w:rsid w:val="00BB541E"/>
    <w:rsid w:val="00BB54C3"/>
    <w:rsid w:val="00BB54E1"/>
    <w:rsid w:val="00BB555E"/>
    <w:rsid w:val="00BB5A13"/>
    <w:rsid w:val="00BB5B93"/>
    <w:rsid w:val="00BB5BBD"/>
    <w:rsid w:val="00BB5D7E"/>
    <w:rsid w:val="00BB65C2"/>
    <w:rsid w:val="00BB69AA"/>
    <w:rsid w:val="00BB6C26"/>
    <w:rsid w:val="00BB7298"/>
    <w:rsid w:val="00BB72E7"/>
    <w:rsid w:val="00BB741F"/>
    <w:rsid w:val="00BB7668"/>
    <w:rsid w:val="00BB791B"/>
    <w:rsid w:val="00BB7A50"/>
    <w:rsid w:val="00BB7BD6"/>
    <w:rsid w:val="00BB7D3B"/>
    <w:rsid w:val="00BB7E1C"/>
    <w:rsid w:val="00BB7E73"/>
    <w:rsid w:val="00BB7F6F"/>
    <w:rsid w:val="00BC04C9"/>
    <w:rsid w:val="00BC0502"/>
    <w:rsid w:val="00BC0B3D"/>
    <w:rsid w:val="00BC1069"/>
    <w:rsid w:val="00BC1087"/>
    <w:rsid w:val="00BC1266"/>
    <w:rsid w:val="00BC16AC"/>
    <w:rsid w:val="00BC1A5E"/>
    <w:rsid w:val="00BC1B24"/>
    <w:rsid w:val="00BC1C26"/>
    <w:rsid w:val="00BC1FC4"/>
    <w:rsid w:val="00BC249A"/>
    <w:rsid w:val="00BC25F2"/>
    <w:rsid w:val="00BC27CC"/>
    <w:rsid w:val="00BC2992"/>
    <w:rsid w:val="00BC2A22"/>
    <w:rsid w:val="00BC2AEF"/>
    <w:rsid w:val="00BC2BED"/>
    <w:rsid w:val="00BC2D0A"/>
    <w:rsid w:val="00BC2DDB"/>
    <w:rsid w:val="00BC2E40"/>
    <w:rsid w:val="00BC3071"/>
    <w:rsid w:val="00BC3293"/>
    <w:rsid w:val="00BC339C"/>
    <w:rsid w:val="00BC35BE"/>
    <w:rsid w:val="00BC36AE"/>
    <w:rsid w:val="00BC371E"/>
    <w:rsid w:val="00BC3B16"/>
    <w:rsid w:val="00BC3B97"/>
    <w:rsid w:val="00BC3F97"/>
    <w:rsid w:val="00BC424E"/>
    <w:rsid w:val="00BC4314"/>
    <w:rsid w:val="00BC4CF6"/>
    <w:rsid w:val="00BC5019"/>
    <w:rsid w:val="00BC5211"/>
    <w:rsid w:val="00BC52D2"/>
    <w:rsid w:val="00BC57A5"/>
    <w:rsid w:val="00BC57B2"/>
    <w:rsid w:val="00BC5A4C"/>
    <w:rsid w:val="00BC5B58"/>
    <w:rsid w:val="00BC5BA6"/>
    <w:rsid w:val="00BC5DB1"/>
    <w:rsid w:val="00BC604C"/>
    <w:rsid w:val="00BC62C3"/>
    <w:rsid w:val="00BC6481"/>
    <w:rsid w:val="00BC670D"/>
    <w:rsid w:val="00BC6830"/>
    <w:rsid w:val="00BC6909"/>
    <w:rsid w:val="00BC69C1"/>
    <w:rsid w:val="00BC6A0E"/>
    <w:rsid w:val="00BC6B2E"/>
    <w:rsid w:val="00BC6BC3"/>
    <w:rsid w:val="00BC6FC9"/>
    <w:rsid w:val="00BC750D"/>
    <w:rsid w:val="00BC7655"/>
    <w:rsid w:val="00BC7684"/>
    <w:rsid w:val="00BC7943"/>
    <w:rsid w:val="00BC7B74"/>
    <w:rsid w:val="00BC7BC3"/>
    <w:rsid w:val="00BD001C"/>
    <w:rsid w:val="00BD0364"/>
    <w:rsid w:val="00BD057E"/>
    <w:rsid w:val="00BD05BC"/>
    <w:rsid w:val="00BD0610"/>
    <w:rsid w:val="00BD0828"/>
    <w:rsid w:val="00BD0ABE"/>
    <w:rsid w:val="00BD0BCF"/>
    <w:rsid w:val="00BD0CA6"/>
    <w:rsid w:val="00BD1015"/>
    <w:rsid w:val="00BD11D6"/>
    <w:rsid w:val="00BD12A7"/>
    <w:rsid w:val="00BD16E9"/>
    <w:rsid w:val="00BD18B1"/>
    <w:rsid w:val="00BD18DD"/>
    <w:rsid w:val="00BD1924"/>
    <w:rsid w:val="00BD1D66"/>
    <w:rsid w:val="00BD1E2D"/>
    <w:rsid w:val="00BD1F36"/>
    <w:rsid w:val="00BD2599"/>
    <w:rsid w:val="00BD2AA1"/>
    <w:rsid w:val="00BD2CA1"/>
    <w:rsid w:val="00BD2D12"/>
    <w:rsid w:val="00BD2F6B"/>
    <w:rsid w:val="00BD2F80"/>
    <w:rsid w:val="00BD30E2"/>
    <w:rsid w:val="00BD321C"/>
    <w:rsid w:val="00BD33B1"/>
    <w:rsid w:val="00BD347F"/>
    <w:rsid w:val="00BD37B6"/>
    <w:rsid w:val="00BD38DE"/>
    <w:rsid w:val="00BD396C"/>
    <w:rsid w:val="00BD3A96"/>
    <w:rsid w:val="00BD3BE0"/>
    <w:rsid w:val="00BD3CB0"/>
    <w:rsid w:val="00BD4087"/>
    <w:rsid w:val="00BD40DF"/>
    <w:rsid w:val="00BD411F"/>
    <w:rsid w:val="00BD422A"/>
    <w:rsid w:val="00BD4241"/>
    <w:rsid w:val="00BD4430"/>
    <w:rsid w:val="00BD454A"/>
    <w:rsid w:val="00BD45A2"/>
    <w:rsid w:val="00BD48FB"/>
    <w:rsid w:val="00BD4975"/>
    <w:rsid w:val="00BD4F15"/>
    <w:rsid w:val="00BD5071"/>
    <w:rsid w:val="00BD50AC"/>
    <w:rsid w:val="00BD50E6"/>
    <w:rsid w:val="00BD5152"/>
    <w:rsid w:val="00BD5761"/>
    <w:rsid w:val="00BD59A7"/>
    <w:rsid w:val="00BD6303"/>
    <w:rsid w:val="00BD6387"/>
    <w:rsid w:val="00BD673D"/>
    <w:rsid w:val="00BD6BBB"/>
    <w:rsid w:val="00BD7027"/>
    <w:rsid w:val="00BD71B1"/>
    <w:rsid w:val="00BD735E"/>
    <w:rsid w:val="00BD7412"/>
    <w:rsid w:val="00BD74B9"/>
    <w:rsid w:val="00BD7692"/>
    <w:rsid w:val="00BD77FB"/>
    <w:rsid w:val="00BD7951"/>
    <w:rsid w:val="00BD79AB"/>
    <w:rsid w:val="00BD7EB0"/>
    <w:rsid w:val="00BE0012"/>
    <w:rsid w:val="00BE0384"/>
    <w:rsid w:val="00BE0490"/>
    <w:rsid w:val="00BE0A2A"/>
    <w:rsid w:val="00BE0B4A"/>
    <w:rsid w:val="00BE0C2A"/>
    <w:rsid w:val="00BE0C8A"/>
    <w:rsid w:val="00BE0DED"/>
    <w:rsid w:val="00BE0F7C"/>
    <w:rsid w:val="00BE1124"/>
    <w:rsid w:val="00BE1296"/>
    <w:rsid w:val="00BE1924"/>
    <w:rsid w:val="00BE1AA9"/>
    <w:rsid w:val="00BE1B8B"/>
    <w:rsid w:val="00BE1D0D"/>
    <w:rsid w:val="00BE21FF"/>
    <w:rsid w:val="00BE23EF"/>
    <w:rsid w:val="00BE2C3B"/>
    <w:rsid w:val="00BE2CCE"/>
    <w:rsid w:val="00BE2D1F"/>
    <w:rsid w:val="00BE2E4A"/>
    <w:rsid w:val="00BE2F23"/>
    <w:rsid w:val="00BE32D1"/>
    <w:rsid w:val="00BE3744"/>
    <w:rsid w:val="00BE39E7"/>
    <w:rsid w:val="00BE3C10"/>
    <w:rsid w:val="00BE3C79"/>
    <w:rsid w:val="00BE3CD1"/>
    <w:rsid w:val="00BE3DB6"/>
    <w:rsid w:val="00BE407C"/>
    <w:rsid w:val="00BE42D6"/>
    <w:rsid w:val="00BE439D"/>
    <w:rsid w:val="00BE4402"/>
    <w:rsid w:val="00BE448D"/>
    <w:rsid w:val="00BE4504"/>
    <w:rsid w:val="00BE473C"/>
    <w:rsid w:val="00BE47D2"/>
    <w:rsid w:val="00BE4892"/>
    <w:rsid w:val="00BE4998"/>
    <w:rsid w:val="00BE4F63"/>
    <w:rsid w:val="00BE5064"/>
    <w:rsid w:val="00BE5478"/>
    <w:rsid w:val="00BE549E"/>
    <w:rsid w:val="00BE5639"/>
    <w:rsid w:val="00BE566F"/>
    <w:rsid w:val="00BE588B"/>
    <w:rsid w:val="00BE59E7"/>
    <w:rsid w:val="00BE5A6E"/>
    <w:rsid w:val="00BE5CB2"/>
    <w:rsid w:val="00BE5D2D"/>
    <w:rsid w:val="00BE5E45"/>
    <w:rsid w:val="00BE61CE"/>
    <w:rsid w:val="00BE62E2"/>
    <w:rsid w:val="00BE7194"/>
    <w:rsid w:val="00BE71F9"/>
    <w:rsid w:val="00BE7467"/>
    <w:rsid w:val="00BE748B"/>
    <w:rsid w:val="00BE78BE"/>
    <w:rsid w:val="00BE7D6A"/>
    <w:rsid w:val="00BE7F7B"/>
    <w:rsid w:val="00BF00D7"/>
    <w:rsid w:val="00BF049B"/>
    <w:rsid w:val="00BF0C42"/>
    <w:rsid w:val="00BF0C63"/>
    <w:rsid w:val="00BF1061"/>
    <w:rsid w:val="00BF10F8"/>
    <w:rsid w:val="00BF1366"/>
    <w:rsid w:val="00BF15ED"/>
    <w:rsid w:val="00BF1789"/>
    <w:rsid w:val="00BF18B6"/>
    <w:rsid w:val="00BF194E"/>
    <w:rsid w:val="00BF1B08"/>
    <w:rsid w:val="00BF1B5A"/>
    <w:rsid w:val="00BF1CF3"/>
    <w:rsid w:val="00BF1F62"/>
    <w:rsid w:val="00BF2085"/>
    <w:rsid w:val="00BF244A"/>
    <w:rsid w:val="00BF2699"/>
    <w:rsid w:val="00BF26B4"/>
    <w:rsid w:val="00BF2812"/>
    <w:rsid w:val="00BF2848"/>
    <w:rsid w:val="00BF2854"/>
    <w:rsid w:val="00BF287B"/>
    <w:rsid w:val="00BF311F"/>
    <w:rsid w:val="00BF35F1"/>
    <w:rsid w:val="00BF374C"/>
    <w:rsid w:val="00BF390C"/>
    <w:rsid w:val="00BF3AE3"/>
    <w:rsid w:val="00BF3F01"/>
    <w:rsid w:val="00BF3FEC"/>
    <w:rsid w:val="00BF422B"/>
    <w:rsid w:val="00BF4745"/>
    <w:rsid w:val="00BF47A3"/>
    <w:rsid w:val="00BF4FF9"/>
    <w:rsid w:val="00BF5090"/>
    <w:rsid w:val="00BF52DA"/>
    <w:rsid w:val="00BF54AE"/>
    <w:rsid w:val="00BF559E"/>
    <w:rsid w:val="00BF56B0"/>
    <w:rsid w:val="00BF5D79"/>
    <w:rsid w:val="00BF5D95"/>
    <w:rsid w:val="00BF5E1E"/>
    <w:rsid w:val="00BF635F"/>
    <w:rsid w:val="00BF655E"/>
    <w:rsid w:val="00BF6791"/>
    <w:rsid w:val="00BF680A"/>
    <w:rsid w:val="00BF6822"/>
    <w:rsid w:val="00BF6B07"/>
    <w:rsid w:val="00BF6C44"/>
    <w:rsid w:val="00BF7085"/>
    <w:rsid w:val="00BF73F5"/>
    <w:rsid w:val="00BF7421"/>
    <w:rsid w:val="00BF754E"/>
    <w:rsid w:val="00BF7837"/>
    <w:rsid w:val="00BF7980"/>
    <w:rsid w:val="00BF7BE3"/>
    <w:rsid w:val="00BF7E02"/>
    <w:rsid w:val="00BF7E4F"/>
    <w:rsid w:val="00BF7FBB"/>
    <w:rsid w:val="00C000C2"/>
    <w:rsid w:val="00C00154"/>
    <w:rsid w:val="00C0036B"/>
    <w:rsid w:val="00C00777"/>
    <w:rsid w:val="00C008E2"/>
    <w:rsid w:val="00C00A4B"/>
    <w:rsid w:val="00C00BDC"/>
    <w:rsid w:val="00C00DE3"/>
    <w:rsid w:val="00C00E4C"/>
    <w:rsid w:val="00C01069"/>
    <w:rsid w:val="00C011F5"/>
    <w:rsid w:val="00C013D0"/>
    <w:rsid w:val="00C0147B"/>
    <w:rsid w:val="00C0160E"/>
    <w:rsid w:val="00C019DB"/>
    <w:rsid w:val="00C01BE2"/>
    <w:rsid w:val="00C01D18"/>
    <w:rsid w:val="00C01FEE"/>
    <w:rsid w:val="00C026B1"/>
    <w:rsid w:val="00C02797"/>
    <w:rsid w:val="00C029A9"/>
    <w:rsid w:val="00C02A28"/>
    <w:rsid w:val="00C02B41"/>
    <w:rsid w:val="00C02B92"/>
    <w:rsid w:val="00C02CB3"/>
    <w:rsid w:val="00C02E7D"/>
    <w:rsid w:val="00C02F21"/>
    <w:rsid w:val="00C03171"/>
    <w:rsid w:val="00C03415"/>
    <w:rsid w:val="00C035F3"/>
    <w:rsid w:val="00C037E9"/>
    <w:rsid w:val="00C0408B"/>
    <w:rsid w:val="00C0417C"/>
    <w:rsid w:val="00C0426D"/>
    <w:rsid w:val="00C045ED"/>
    <w:rsid w:val="00C045F9"/>
    <w:rsid w:val="00C049E3"/>
    <w:rsid w:val="00C04A1D"/>
    <w:rsid w:val="00C04DBA"/>
    <w:rsid w:val="00C04E6C"/>
    <w:rsid w:val="00C04EC2"/>
    <w:rsid w:val="00C04F3A"/>
    <w:rsid w:val="00C0557E"/>
    <w:rsid w:val="00C058F4"/>
    <w:rsid w:val="00C059BF"/>
    <w:rsid w:val="00C05A74"/>
    <w:rsid w:val="00C05AB8"/>
    <w:rsid w:val="00C05E21"/>
    <w:rsid w:val="00C05E48"/>
    <w:rsid w:val="00C05E59"/>
    <w:rsid w:val="00C06069"/>
    <w:rsid w:val="00C06294"/>
    <w:rsid w:val="00C06487"/>
    <w:rsid w:val="00C06572"/>
    <w:rsid w:val="00C06A27"/>
    <w:rsid w:val="00C0721E"/>
    <w:rsid w:val="00C07371"/>
    <w:rsid w:val="00C073DA"/>
    <w:rsid w:val="00C07422"/>
    <w:rsid w:val="00C07494"/>
    <w:rsid w:val="00C07680"/>
    <w:rsid w:val="00C0781D"/>
    <w:rsid w:val="00C07CB0"/>
    <w:rsid w:val="00C07E3E"/>
    <w:rsid w:val="00C1025D"/>
    <w:rsid w:val="00C1052D"/>
    <w:rsid w:val="00C105D6"/>
    <w:rsid w:val="00C106DA"/>
    <w:rsid w:val="00C107C1"/>
    <w:rsid w:val="00C10A2C"/>
    <w:rsid w:val="00C10AF3"/>
    <w:rsid w:val="00C10B5F"/>
    <w:rsid w:val="00C10D1F"/>
    <w:rsid w:val="00C10ECB"/>
    <w:rsid w:val="00C10FE5"/>
    <w:rsid w:val="00C1125D"/>
    <w:rsid w:val="00C11551"/>
    <w:rsid w:val="00C1167A"/>
    <w:rsid w:val="00C11740"/>
    <w:rsid w:val="00C11BB2"/>
    <w:rsid w:val="00C11DEF"/>
    <w:rsid w:val="00C12097"/>
    <w:rsid w:val="00C122BE"/>
    <w:rsid w:val="00C1234D"/>
    <w:rsid w:val="00C1236B"/>
    <w:rsid w:val="00C125B9"/>
    <w:rsid w:val="00C12648"/>
    <w:rsid w:val="00C1265C"/>
    <w:rsid w:val="00C12C8B"/>
    <w:rsid w:val="00C12DD3"/>
    <w:rsid w:val="00C12E94"/>
    <w:rsid w:val="00C12EDD"/>
    <w:rsid w:val="00C12F8D"/>
    <w:rsid w:val="00C131A4"/>
    <w:rsid w:val="00C13CA9"/>
    <w:rsid w:val="00C14146"/>
    <w:rsid w:val="00C14419"/>
    <w:rsid w:val="00C14453"/>
    <w:rsid w:val="00C14556"/>
    <w:rsid w:val="00C14603"/>
    <w:rsid w:val="00C14973"/>
    <w:rsid w:val="00C149B0"/>
    <w:rsid w:val="00C14A84"/>
    <w:rsid w:val="00C14BC4"/>
    <w:rsid w:val="00C14E32"/>
    <w:rsid w:val="00C14E70"/>
    <w:rsid w:val="00C151CD"/>
    <w:rsid w:val="00C152D1"/>
    <w:rsid w:val="00C154FC"/>
    <w:rsid w:val="00C155D4"/>
    <w:rsid w:val="00C1572D"/>
    <w:rsid w:val="00C15749"/>
    <w:rsid w:val="00C15892"/>
    <w:rsid w:val="00C15C68"/>
    <w:rsid w:val="00C15D1A"/>
    <w:rsid w:val="00C15DD3"/>
    <w:rsid w:val="00C16410"/>
    <w:rsid w:val="00C16695"/>
    <w:rsid w:val="00C16703"/>
    <w:rsid w:val="00C167FF"/>
    <w:rsid w:val="00C16997"/>
    <w:rsid w:val="00C169EA"/>
    <w:rsid w:val="00C16A33"/>
    <w:rsid w:val="00C16B06"/>
    <w:rsid w:val="00C16E83"/>
    <w:rsid w:val="00C1738C"/>
    <w:rsid w:val="00C175D1"/>
    <w:rsid w:val="00C176D3"/>
    <w:rsid w:val="00C1770F"/>
    <w:rsid w:val="00C179E4"/>
    <w:rsid w:val="00C17A29"/>
    <w:rsid w:val="00C17C0A"/>
    <w:rsid w:val="00C17D32"/>
    <w:rsid w:val="00C17F60"/>
    <w:rsid w:val="00C20247"/>
    <w:rsid w:val="00C202B1"/>
    <w:rsid w:val="00C202F4"/>
    <w:rsid w:val="00C20496"/>
    <w:rsid w:val="00C2057C"/>
    <w:rsid w:val="00C20690"/>
    <w:rsid w:val="00C208BD"/>
    <w:rsid w:val="00C20B4E"/>
    <w:rsid w:val="00C20E88"/>
    <w:rsid w:val="00C2115F"/>
    <w:rsid w:val="00C21307"/>
    <w:rsid w:val="00C21595"/>
    <w:rsid w:val="00C215DA"/>
    <w:rsid w:val="00C2167F"/>
    <w:rsid w:val="00C2176C"/>
    <w:rsid w:val="00C21787"/>
    <w:rsid w:val="00C2196A"/>
    <w:rsid w:val="00C21B35"/>
    <w:rsid w:val="00C21B8C"/>
    <w:rsid w:val="00C21CD1"/>
    <w:rsid w:val="00C2230D"/>
    <w:rsid w:val="00C224A6"/>
    <w:rsid w:val="00C226D7"/>
    <w:rsid w:val="00C22B7B"/>
    <w:rsid w:val="00C22C6C"/>
    <w:rsid w:val="00C22E86"/>
    <w:rsid w:val="00C23082"/>
    <w:rsid w:val="00C230AF"/>
    <w:rsid w:val="00C2364D"/>
    <w:rsid w:val="00C23AC4"/>
    <w:rsid w:val="00C23FDD"/>
    <w:rsid w:val="00C2436D"/>
    <w:rsid w:val="00C244AE"/>
    <w:rsid w:val="00C24554"/>
    <w:rsid w:val="00C246C2"/>
    <w:rsid w:val="00C24900"/>
    <w:rsid w:val="00C24A6E"/>
    <w:rsid w:val="00C24A80"/>
    <w:rsid w:val="00C24BDF"/>
    <w:rsid w:val="00C24E0D"/>
    <w:rsid w:val="00C250EE"/>
    <w:rsid w:val="00C2512F"/>
    <w:rsid w:val="00C252B4"/>
    <w:rsid w:val="00C25383"/>
    <w:rsid w:val="00C25393"/>
    <w:rsid w:val="00C254AC"/>
    <w:rsid w:val="00C255DE"/>
    <w:rsid w:val="00C25792"/>
    <w:rsid w:val="00C2587E"/>
    <w:rsid w:val="00C25B53"/>
    <w:rsid w:val="00C25BB0"/>
    <w:rsid w:val="00C26446"/>
    <w:rsid w:val="00C26536"/>
    <w:rsid w:val="00C26685"/>
    <w:rsid w:val="00C26B16"/>
    <w:rsid w:val="00C26B62"/>
    <w:rsid w:val="00C26C3D"/>
    <w:rsid w:val="00C26FBA"/>
    <w:rsid w:val="00C270A3"/>
    <w:rsid w:val="00C27105"/>
    <w:rsid w:val="00C271C8"/>
    <w:rsid w:val="00C2736F"/>
    <w:rsid w:val="00C273C5"/>
    <w:rsid w:val="00C27B5C"/>
    <w:rsid w:val="00C27B97"/>
    <w:rsid w:val="00C27CC6"/>
    <w:rsid w:val="00C27F88"/>
    <w:rsid w:val="00C3028C"/>
    <w:rsid w:val="00C302DD"/>
    <w:rsid w:val="00C303D2"/>
    <w:rsid w:val="00C30505"/>
    <w:rsid w:val="00C305B9"/>
    <w:rsid w:val="00C305D2"/>
    <w:rsid w:val="00C3089D"/>
    <w:rsid w:val="00C308BA"/>
    <w:rsid w:val="00C309FA"/>
    <w:rsid w:val="00C30B6A"/>
    <w:rsid w:val="00C30C3D"/>
    <w:rsid w:val="00C30D94"/>
    <w:rsid w:val="00C31922"/>
    <w:rsid w:val="00C31E05"/>
    <w:rsid w:val="00C31E8D"/>
    <w:rsid w:val="00C31EFE"/>
    <w:rsid w:val="00C31FDC"/>
    <w:rsid w:val="00C3262C"/>
    <w:rsid w:val="00C32797"/>
    <w:rsid w:val="00C3279E"/>
    <w:rsid w:val="00C3287A"/>
    <w:rsid w:val="00C32A64"/>
    <w:rsid w:val="00C32BE7"/>
    <w:rsid w:val="00C32C4F"/>
    <w:rsid w:val="00C32DC0"/>
    <w:rsid w:val="00C32ED0"/>
    <w:rsid w:val="00C3340E"/>
    <w:rsid w:val="00C33649"/>
    <w:rsid w:val="00C3393D"/>
    <w:rsid w:val="00C33B3D"/>
    <w:rsid w:val="00C33C8D"/>
    <w:rsid w:val="00C33CD4"/>
    <w:rsid w:val="00C33EC7"/>
    <w:rsid w:val="00C33FC5"/>
    <w:rsid w:val="00C34227"/>
    <w:rsid w:val="00C3439B"/>
    <w:rsid w:val="00C34736"/>
    <w:rsid w:val="00C348FC"/>
    <w:rsid w:val="00C34BAB"/>
    <w:rsid w:val="00C34EF0"/>
    <w:rsid w:val="00C34F3B"/>
    <w:rsid w:val="00C34F42"/>
    <w:rsid w:val="00C3543B"/>
    <w:rsid w:val="00C35441"/>
    <w:rsid w:val="00C35562"/>
    <w:rsid w:val="00C3563B"/>
    <w:rsid w:val="00C3571A"/>
    <w:rsid w:val="00C3579E"/>
    <w:rsid w:val="00C358FA"/>
    <w:rsid w:val="00C35905"/>
    <w:rsid w:val="00C3596D"/>
    <w:rsid w:val="00C36126"/>
    <w:rsid w:val="00C36175"/>
    <w:rsid w:val="00C3635C"/>
    <w:rsid w:val="00C363C6"/>
    <w:rsid w:val="00C36604"/>
    <w:rsid w:val="00C36964"/>
    <w:rsid w:val="00C36BBE"/>
    <w:rsid w:val="00C36C22"/>
    <w:rsid w:val="00C37131"/>
    <w:rsid w:val="00C3746D"/>
    <w:rsid w:val="00C37495"/>
    <w:rsid w:val="00C3756E"/>
    <w:rsid w:val="00C375D9"/>
    <w:rsid w:val="00C37815"/>
    <w:rsid w:val="00C378DF"/>
    <w:rsid w:val="00C37907"/>
    <w:rsid w:val="00C3796D"/>
    <w:rsid w:val="00C37AB9"/>
    <w:rsid w:val="00C402C7"/>
    <w:rsid w:val="00C40354"/>
    <w:rsid w:val="00C4056D"/>
    <w:rsid w:val="00C407F9"/>
    <w:rsid w:val="00C4088F"/>
    <w:rsid w:val="00C40962"/>
    <w:rsid w:val="00C40A4D"/>
    <w:rsid w:val="00C40BD1"/>
    <w:rsid w:val="00C40BDB"/>
    <w:rsid w:val="00C40C26"/>
    <w:rsid w:val="00C40EBA"/>
    <w:rsid w:val="00C4105E"/>
    <w:rsid w:val="00C41143"/>
    <w:rsid w:val="00C411C9"/>
    <w:rsid w:val="00C413A9"/>
    <w:rsid w:val="00C413E3"/>
    <w:rsid w:val="00C414A3"/>
    <w:rsid w:val="00C41564"/>
    <w:rsid w:val="00C41C08"/>
    <w:rsid w:val="00C41D7D"/>
    <w:rsid w:val="00C42079"/>
    <w:rsid w:val="00C4227C"/>
    <w:rsid w:val="00C422B1"/>
    <w:rsid w:val="00C4237B"/>
    <w:rsid w:val="00C42F4F"/>
    <w:rsid w:val="00C42F52"/>
    <w:rsid w:val="00C42FBE"/>
    <w:rsid w:val="00C43084"/>
    <w:rsid w:val="00C431A7"/>
    <w:rsid w:val="00C43430"/>
    <w:rsid w:val="00C43C68"/>
    <w:rsid w:val="00C43D5B"/>
    <w:rsid w:val="00C4419E"/>
    <w:rsid w:val="00C44209"/>
    <w:rsid w:val="00C4450A"/>
    <w:rsid w:val="00C447FE"/>
    <w:rsid w:val="00C4491E"/>
    <w:rsid w:val="00C449D1"/>
    <w:rsid w:val="00C44C9D"/>
    <w:rsid w:val="00C44F57"/>
    <w:rsid w:val="00C453FC"/>
    <w:rsid w:val="00C45F4A"/>
    <w:rsid w:val="00C464C1"/>
    <w:rsid w:val="00C4658B"/>
    <w:rsid w:val="00C46A9A"/>
    <w:rsid w:val="00C46C37"/>
    <w:rsid w:val="00C46DD8"/>
    <w:rsid w:val="00C46F4D"/>
    <w:rsid w:val="00C472F2"/>
    <w:rsid w:val="00C47343"/>
    <w:rsid w:val="00C4734B"/>
    <w:rsid w:val="00C473EA"/>
    <w:rsid w:val="00C47463"/>
    <w:rsid w:val="00C476CC"/>
    <w:rsid w:val="00C47725"/>
    <w:rsid w:val="00C477A9"/>
    <w:rsid w:val="00C5009B"/>
    <w:rsid w:val="00C500B0"/>
    <w:rsid w:val="00C5015E"/>
    <w:rsid w:val="00C5065A"/>
    <w:rsid w:val="00C507EB"/>
    <w:rsid w:val="00C50E34"/>
    <w:rsid w:val="00C50F06"/>
    <w:rsid w:val="00C51291"/>
    <w:rsid w:val="00C51553"/>
    <w:rsid w:val="00C51613"/>
    <w:rsid w:val="00C51709"/>
    <w:rsid w:val="00C51995"/>
    <w:rsid w:val="00C519AB"/>
    <w:rsid w:val="00C51AFE"/>
    <w:rsid w:val="00C520D7"/>
    <w:rsid w:val="00C52161"/>
    <w:rsid w:val="00C524AA"/>
    <w:rsid w:val="00C5257F"/>
    <w:rsid w:val="00C52681"/>
    <w:rsid w:val="00C529EC"/>
    <w:rsid w:val="00C52B39"/>
    <w:rsid w:val="00C52C9E"/>
    <w:rsid w:val="00C52FCA"/>
    <w:rsid w:val="00C52FD1"/>
    <w:rsid w:val="00C5339F"/>
    <w:rsid w:val="00C533D1"/>
    <w:rsid w:val="00C538DA"/>
    <w:rsid w:val="00C5398D"/>
    <w:rsid w:val="00C53C72"/>
    <w:rsid w:val="00C543F4"/>
    <w:rsid w:val="00C54497"/>
    <w:rsid w:val="00C5452F"/>
    <w:rsid w:val="00C5459E"/>
    <w:rsid w:val="00C54864"/>
    <w:rsid w:val="00C54870"/>
    <w:rsid w:val="00C54966"/>
    <w:rsid w:val="00C549CA"/>
    <w:rsid w:val="00C54A52"/>
    <w:rsid w:val="00C54AA3"/>
    <w:rsid w:val="00C54D60"/>
    <w:rsid w:val="00C55344"/>
    <w:rsid w:val="00C553A2"/>
    <w:rsid w:val="00C553B0"/>
    <w:rsid w:val="00C55464"/>
    <w:rsid w:val="00C55482"/>
    <w:rsid w:val="00C55B69"/>
    <w:rsid w:val="00C55FE4"/>
    <w:rsid w:val="00C56267"/>
    <w:rsid w:val="00C56344"/>
    <w:rsid w:val="00C563AD"/>
    <w:rsid w:val="00C564E9"/>
    <w:rsid w:val="00C5666B"/>
    <w:rsid w:val="00C56928"/>
    <w:rsid w:val="00C569BB"/>
    <w:rsid w:val="00C56A83"/>
    <w:rsid w:val="00C56AA0"/>
    <w:rsid w:val="00C56AD6"/>
    <w:rsid w:val="00C56EF6"/>
    <w:rsid w:val="00C5704E"/>
    <w:rsid w:val="00C571F0"/>
    <w:rsid w:val="00C574EC"/>
    <w:rsid w:val="00C57798"/>
    <w:rsid w:val="00C579C1"/>
    <w:rsid w:val="00C57B4A"/>
    <w:rsid w:val="00C57C09"/>
    <w:rsid w:val="00C57D8F"/>
    <w:rsid w:val="00C57FD2"/>
    <w:rsid w:val="00C6004F"/>
    <w:rsid w:val="00C602B4"/>
    <w:rsid w:val="00C60F80"/>
    <w:rsid w:val="00C610C8"/>
    <w:rsid w:val="00C611B4"/>
    <w:rsid w:val="00C6157C"/>
    <w:rsid w:val="00C6166B"/>
    <w:rsid w:val="00C61A7A"/>
    <w:rsid w:val="00C61AA5"/>
    <w:rsid w:val="00C61AEF"/>
    <w:rsid w:val="00C62847"/>
    <w:rsid w:val="00C628A5"/>
    <w:rsid w:val="00C62E4F"/>
    <w:rsid w:val="00C6314D"/>
    <w:rsid w:val="00C633C5"/>
    <w:rsid w:val="00C63509"/>
    <w:rsid w:val="00C635B7"/>
    <w:rsid w:val="00C6380A"/>
    <w:rsid w:val="00C638D1"/>
    <w:rsid w:val="00C639A4"/>
    <w:rsid w:val="00C63C3F"/>
    <w:rsid w:val="00C63C59"/>
    <w:rsid w:val="00C63E57"/>
    <w:rsid w:val="00C642B3"/>
    <w:rsid w:val="00C643AE"/>
    <w:rsid w:val="00C64623"/>
    <w:rsid w:val="00C649B3"/>
    <w:rsid w:val="00C64A8C"/>
    <w:rsid w:val="00C64CB5"/>
    <w:rsid w:val="00C64D07"/>
    <w:rsid w:val="00C64E82"/>
    <w:rsid w:val="00C64EC8"/>
    <w:rsid w:val="00C65099"/>
    <w:rsid w:val="00C6543D"/>
    <w:rsid w:val="00C65479"/>
    <w:rsid w:val="00C65499"/>
    <w:rsid w:val="00C65B17"/>
    <w:rsid w:val="00C65B7B"/>
    <w:rsid w:val="00C65CDB"/>
    <w:rsid w:val="00C65EA1"/>
    <w:rsid w:val="00C66000"/>
    <w:rsid w:val="00C6621C"/>
    <w:rsid w:val="00C66459"/>
    <w:rsid w:val="00C6659C"/>
    <w:rsid w:val="00C66624"/>
    <w:rsid w:val="00C66AB4"/>
    <w:rsid w:val="00C67017"/>
    <w:rsid w:val="00C67184"/>
    <w:rsid w:val="00C67329"/>
    <w:rsid w:val="00C67427"/>
    <w:rsid w:val="00C6748F"/>
    <w:rsid w:val="00C6759D"/>
    <w:rsid w:val="00C6779B"/>
    <w:rsid w:val="00C6781D"/>
    <w:rsid w:val="00C67938"/>
    <w:rsid w:val="00C67B33"/>
    <w:rsid w:val="00C67B5C"/>
    <w:rsid w:val="00C67BB4"/>
    <w:rsid w:val="00C67CF5"/>
    <w:rsid w:val="00C701C9"/>
    <w:rsid w:val="00C7045C"/>
    <w:rsid w:val="00C70461"/>
    <w:rsid w:val="00C7053F"/>
    <w:rsid w:val="00C70905"/>
    <w:rsid w:val="00C70A53"/>
    <w:rsid w:val="00C70C88"/>
    <w:rsid w:val="00C70CC4"/>
    <w:rsid w:val="00C70E6C"/>
    <w:rsid w:val="00C7119E"/>
    <w:rsid w:val="00C712C9"/>
    <w:rsid w:val="00C71485"/>
    <w:rsid w:val="00C71790"/>
    <w:rsid w:val="00C71BB3"/>
    <w:rsid w:val="00C71BEC"/>
    <w:rsid w:val="00C71C28"/>
    <w:rsid w:val="00C71D6A"/>
    <w:rsid w:val="00C72052"/>
    <w:rsid w:val="00C72067"/>
    <w:rsid w:val="00C72418"/>
    <w:rsid w:val="00C726C3"/>
    <w:rsid w:val="00C72884"/>
    <w:rsid w:val="00C72D13"/>
    <w:rsid w:val="00C72E01"/>
    <w:rsid w:val="00C72E5E"/>
    <w:rsid w:val="00C72F8F"/>
    <w:rsid w:val="00C7385C"/>
    <w:rsid w:val="00C73A3A"/>
    <w:rsid w:val="00C73A5E"/>
    <w:rsid w:val="00C73A63"/>
    <w:rsid w:val="00C73B06"/>
    <w:rsid w:val="00C73C37"/>
    <w:rsid w:val="00C73C97"/>
    <w:rsid w:val="00C741FF"/>
    <w:rsid w:val="00C743CD"/>
    <w:rsid w:val="00C7444F"/>
    <w:rsid w:val="00C74499"/>
    <w:rsid w:val="00C7498D"/>
    <w:rsid w:val="00C74B34"/>
    <w:rsid w:val="00C74E29"/>
    <w:rsid w:val="00C75055"/>
    <w:rsid w:val="00C750E6"/>
    <w:rsid w:val="00C752D3"/>
    <w:rsid w:val="00C7541B"/>
    <w:rsid w:val="00C755C8"/>
    <w:rsid w:val="00C755EB"/>
    <w:rsid w:val="00C75637"/>
    <w:rsid w:val="00C75814"/>
    <w:rsid w:val="00C7587E"/>
    <w:rsid w:val="00C75D23"/>
    <w:rsid w:val="00C75D82"/>
    <w:rsid w:val="00C75FB6"/>
    <w:rsid w:val="00C76177"/>
    <w:rsid w:val="00C76197"/>
    <w:rsid w:val="00C763AC"/>
    <w:rsid w:val="00C76D46"/>
    <w:rsid w:val="00C770D5"/>
    <w:rsid w:val="00C770DD"/>
    <w:rsid w:val="00C773CC"/>
    <w:rsid w:val="00C779D9"/>
    <w:rsid w:val="00C779F2"/>
    <w:rsid w:val="00C77C4A"/>
    <w:rsid w:val="00C77D79"/>
    <w:rsid w:val="00C77EE5"/>
    <w:rsid w:val="00C80592"/>
    <w:rsid w:val="00C80762"/>
    <w:rsid w:val="00C8084F"/>
    <w:rsid w:val="00C80915"/>
    <w:rsid w:val="00C80B5B"/>
    <w:rsid w:val="00C80B70"/>
    <w:rsid w:val="00C80BB5"/>
    <w:rsid w:val="00C80CBB"/>
    <w:rsid w:val="00C81154"/>
    <w:rsid w:val="00C81253"/>
    <w:rsid w:val="00C813A5"/>
    <w:rsid w:val="00C813D2"/>
    <w:rsid w:val="00C81519"/>
    <w:rsid w:val="00C818B6"/>
    <w:rsid w:val="00C81B45"/>
    <w:rsid w:val="00C81FB2"/>
    <w:rsid w:val="00C822FF"/>
    <w:rsid w:val="00C82618"/>
    <w:rsid w:val="00C82624"/>
    <w:rsid w:val="00C8270F"/>
    <w:rsid w:val="00C82869"/>
    <w:rsid w:val="00C82BB1"/>
    <w:rsid w:val="00C82C2F"/>
    <w:rsid w:val="00C82D41"/>
    <w:rsid w:val="00C83485"/>
    <w:rsid w:val="00C8366A"/>
    <w:rsid w:val="00C83683"/>
    <w:rsid w:val="00C836CA"/>
    <w:rsid w:val="00C83737"/>
    <w:rsid w:val="00C837CF"/>
    <w:rsid w:val="00C837F1"/>
    <w:rsid w:val="00C83C41"/>
    <w:rsid w:val="00C83F56"/>
    <w:rsid w:val="00C8406B"/>
    <w:rsid w:val="00C840D4"/>
    <w:rsid w:val="00C84381"/>
    <w:rsid w:val="00C84449"/>
    <w:rsid w:val="00C846F6"/>
    <w:rsid w:val="00C847B0"/>
    <w:rsid w:val="00C84977"/>
    <w:rsid w:val="00C84EAE"/>
    <w:rsid w:val="00C84FAA"/>
    <w:rsid w:val="00C8502B"/>
    <w:rsid w:val="00C8520B"/>
    <w:rsid w:val="00C8530C"/>
    <w:rsid w:val="00C856E8"/>
    <w:rsid w:val="00C85A65"/>
    <w:rsid w:val="00C85AB5"/>
    <w:rsid w:val="00C86445"/>
    <w:rsid w:val="00C864FC"/>
    <w:rsid w:val="00C865BD"/>
    <w:rsid w:val="00C86735"/>
    <w:rsid w:val="00C86A72"/>
    <w:rsid w:val="00C86E17"/>
    <w:rsid w:val="00C86E41"/>
    <w:rsid w:val="00C86F1C"/>
    <w:rsid w:val="00C86F7F"/>
    <w:rsid w:val="00C87036"/>
    <w:rsid w:val="00C872B2"/>
    <w:rsid w:val="00C872E2"/>
    <w:rsid w:val="00C87422"/>
    <w:rsid w:val="00C87604"/>
    <w:rsid w:val="00C876AB"/>
    <w:rsid w:val="00C878D5"/>
    <w:rsid w:val="00C87AD0"/>
    <w:rsid w:val="00C87BB8"/>
    <w:rsid w:val="00C9011B"/>
    <w:rsid w:val="00C9033B"/>
    <w:rsid w:val="00C9052F"/>
    <w:rsid w:val="00C9070A"/>
    <w:rsid w:val="00C907C4"/>
    <w:rsid w:val="00C909C1"/>
    <w:rsid w:val="00C909ED"/>
    <w:rsid w:val="00C90A11"/>
    <w:rsid w:val="00C90A1A"/>
    <w:rsid w:val="00C90C4E"/>
    <w:rsid w:val="00C90CF8"/>
    <w:rsid w:val="00C90E40"/>
    <w:rsid w:val="00C90F29"/>
    <w:rsid w:val="00C90F8A"/>
    <w:rsid w:val="00C91002"/>
    <w:rsid w:val="00C913A1"/>
    <w:rsid w:val="00C913B1"/>
    <w:rsid w:val="00C913DC"/>
    <w:rsid w:val="00C91578"/>
    <w:rsid w:val="00C91618"/>
    <w:rsid w:val="00C9184A"/>
    <w:rsid w:val="00C918DB"/>
    <w:rsid w:val="00C919E9"/>
    <w:rsid w:val="00C91B41"/>
    <w:rsid w:val="00C92401"/>
    <w:rsid w:val="00C9282C"/>
    <w:rsid w:val="00C9286E"/>
    <w:rsid w:val="00C928E4"/>
    <w:rsid w:val="00C9293F"/>
    <w:rsid w:val="00C92976"/>
    <w:rsid w:val="00C92A44"/>
    <w:rsid w:val="00C92A92"/>
    <w:rsid w:val="00C92D75"/>
    <w:rsid w:val="00C92EFE"/>
    <w:rsid w:val="00C9316F"/>
    <w:rsid w:val="00C93209"/>
    <w:rsid w:val="00C9320E"/>
    <w:rsid w:val="00C9320F"/>
    <w:rsid w:val="00C932F6"/>
    <w:rsid w:val="00C93401"/>
    <w:rsid w:val="00C934D2"/>
    <w:rsid w:val="00C935C2"/>
    <w:rsid w:val="00C9384C"/>
    <w:rsid w:val="00C9388D"/>
    <w:rsid w:val="00C93AEE"/>
    <w:rsid w:val="00C93C3B"/>
    <w:rsid w:val="00C93CE2"/>
    <w:rsid w:val="00C93CEC"/>
    <w:rsid w:val="00C93D9B"/>
    <w:rsid w:val="00C93EA2"/>
    <w:rsid w:val="00C9428D"/>
    <w:rsid w:val="00C943C3"/>
    <w:rsid w:val="00C946E8"/>
    <w:rsid w:val="00C94BD2"/>
    <w:rsid w:val="00C94F4C"/>
    <w:rsid w:val="00C94FB3"/>
    <w:rsid w:val="00C950DF"/>
    <w:rsid w:val="00C95718"/>
    <w:rsid w:val="00C95B80"/>
    <w:rsid w:val="00C95B92"/>
    <w:rsid w:val="00C95D7B"/>
    <w:rsid w:val="00C95FFC"/>
    <w:rsid w:val="00C9607A"/>
    <w:rsid w:val="00C961C1"/>
    <w:rsid w:val="00C962A8"/>
    <w:rsid w:val="00C962CC"/>
    <w:rsid w:val="00C963EE"/>
    <w:rsid w:val="00C967EC"/>
    <w:rsid w:val="00C96CCC"/>
    <w:rsid w:val="00C96E9E"/>
    <w:rsid w:val="00C9706F"/>
    <w:rsid w:val="00C97152"/>
    <w:rsid w:val="00C97285"/>
    <w:rsid w:val="00C972FE"/>
    <w:rsid w:val="00C9762C"/>
    <w:rsid w:val="00C9764F"/>
    <w:rsid w:val="00C97722"/>
    <w:rsid w:val="00C97887"/>
    <w:rsid w:val="00C97974"/>
    <w:rsid w:val="00C97A8A"/>
    <w:rsid w:val="00C97B49"/>
    <w:rsid w:val="00C97D0F"/>
    <w:rsid w:val="00CA004E"/>
    <w:rsid w:val="00CA038F"/>
    <w:rsid w:val="00CA0405"/>
    <w:rsid w:val="00CA05A4"/>
    <w:rsid w:val="00CA0636"/>
    <w:rsid w:val="00CA0AF6"/>
    <w:rsid w:val="00CA0B77"/>
    <w:rsid w:val="00CA0DB7"/>
    <w:rsid w:val="00CA0F02"/>
    <w:rsid w:val="00CA10E1"/>
    <w:rsid w:val="00CA14AE"/>
    <w:rsid w:val="00CA196E"/>
    <w:rsid w:val="00CA1A13"/>
    <w:rsid w:val="00CA1BC9"/>
    <w:rsid w:val="00CA211D"/>
    <w:rsid w:val="00CA28A6"/>
    <w:rsid w:val="00CA28EB"/>
    <w:rsid w:val="00CA296D"/>
    <w:rsid w:val="00CA2AF0"/>
    <w:rsid w:val="00CA2B3B"/>
    <w:rsid w:val="00CA2C89"/>
    <w:rsid w:val="00CA2E1E"/>
    <w:rsid w:val="00CA2FCE"/>
    <w:rsid w:val="00CA309F"/>
    <w:rsid w:val="00CA317E"/>
    <w:rsid w:val="00CA32A8"/>
    <w:rsid w:val="00CA3A8F"/>
    <w:rsid w:val="00CA423C"/>
    <w:rsid w:val="00CA4489"/>
    <w:rsid w:val="00CA4553"/>
    <w:rsid w:val="00CA48DB"/>
    <w:rsid w:val="00CA4FA9"/>
    <w:rsid w:val="00CA5348"/>
    <w:rsid w:val="00CA5366"/>
    <w:rsid w:val="00CA55AA"/>
    <w:rsid w:val="00CA55E7"/>
    <w:rsid w:val="00CA59DD"/>
    <w:rsid w:val="00CA5A7D"/>
    <w:rsid w:val="00CA5B2C"/>
    <w:rsid w:val="00CA602D"/>
    <w:rsid w:val="00CA614A"/>
    <w:rsid w:val="00CA6189"/>
    <w:rsid w:val="00CA6259"/>
    <w:rsid w:val="00CA6307"/>
    <w:rsid w:val="00CA6476"/>
    <w:rsid w:val="00CA6762"/>
    <w:rsid w:val="00CA6943"/>
    <w:rsid w:val="00CA6ABF"/>
    <w:rsid w:val="00CA6B4A"/>
    <w:rsid w:val="00CA6F7D"/>
    <w:rsid w:val="00CA7017"/>
    <w:rsid w:val="00CA73D5"/>
    <w:rsid w:val="00CA748D"/>
    <w:rsid w:val="00CA7831"/>
    <w:rsid w:val="00CA7873"/>
    <w:rsid w:val="00CA788F"/>
    <w:rsid w:val="00CA78A8"/>
    <w:rsid w:val="00CA7A87"/>
    <w:rsid w:val="00CA7DC2"/>
    <w:rsid w:val="00CA7E3E"/>
    <w:rsid w:val="00CA7EBE"/>
    <w:rsid w:val="00CA7FDC"/>
    <w:rsid w:val="00CB0465"/>
    <w:rsid w:val="00CB056E"/>
    <w:rsid w:val="00CB0F16"/>
    <w:rsid w:val="00CB0F7F"/>
    <w:rsid w:val="00CB10D6"/>
    <w:rsid w:val="00CB154B"/>
    <w:rsid w:val="00CB15AA"/>
    <w:rsid w:val="00CB16A3"/>
    <w:rsid w:val="00CB187F"/>
    <w:rsid w:val="00CB1DA7"/>
    <w:rsid w:val="00CB1EC6"/>
    <w:rsid w:val="00CB218C"/>
    <w:rsid w:val="00CB21B6"/>
    <w:rsid w:val="00CB22BE"/>
    <w:rsid w:val="00CB258F"/>
    <w:rsid w:val="00CB2633"/>
    <w:rsid w:val="00CB27A4"/>
    <w:rsid w:val="00CB2BC8"/>
    <w:rsid w:val="00CB2CA8"/>
    <w:rsid w:val="00CB2E02"/>
    <w:rsid w:val="00CB306B"/>
    <w:rsid w:val="00CB33C4"/>
    <w:rsid w:val="00CB353F"/>
    <w:rsid w:val="00CB3541"/>
    <w:rsid w:val="00CB3834"/>
    <w:rsid w:val="00CB3898"/>
    <w:rsid w:val="00CB38A9"/>
    <w:rsid w:val="00CB3920"/>
    <w:rsid w:val="00CB3B31"/>
    <w:rsid w:val="00CB4189"/>
    <w:rsid w:val="00CB42A2"/>
    <w:rsid w:val="00CB4470"/>
    <w:rsid w:val="00CB457D"/>
    <w:rsid w:val="00CB4A08"/>
    <w:rsid w:val="00CB4C1F"/>
    <w:rsid w:val="00CB4E9C"/>
    <w:rsid w:val="00CB52BE"/>
    <w:rsid w:val="00CB5359"/>
    <w:rsid w:val="00CB5394"/>
    <w:rsid w:val="00CB53DB"/>
    <w:rsid w:val="00CB571E"/>
    <w:rsid w:val="00CB591E"/>
    <w:rsid w:val="00CB59DE"/>
    <w:rsid w:val="00CB5A4B"/>
    <w:rsid w:val="00CB5EF6"/>
    <w:rsid w:val="00CB5FFA"/>
    <w:rsid w:val="00CB602A"/>
    <w:rsid w:val="00CB6295"/>
    <w:rsid w:val="00CB649A"/>
    <w:rsid w:val="00CB667F"/>
    <w:rsid w:val="00CB66B6"/>
    <w:rsid w:val="00CB673A"/>
    <w:rsid w:val="00CB68B7"/>
    <w:rsid w:val="00CB68E0"/>
    <w:rsid w:val="00CB6992"/>
    <w:rsid w:val="00CB69DD"/>
    <w:rsid w:val="00CB6A2F"/>
    <w:rsid w:val="00CB6AE3"/>
    <w:rsid w:val="00CB6C2C"/>
    <w:rsid w:val="00CB6E1E"/>
    <w:rsid w:val="00CB6F40"/>
    <w:rsid w:val="00CB7127"/>
    <w:rsid w:val="00CB766B"/>
    <w:rsid w:val="00CB772D"/>
    <w:rsid w:val="00CB7831"/>
    <w:rsid w:val="00CB7918"/>
    <w:rsid w:val="00CB79D5"/>
    <w:rsid w:val="00CB7B32"/>
    <w:rsid w:val="00CB7B7F"/>
    <w:rsid w:val="00CC006F"/>
    <w:rsid w:val="00CC0078"/>
    <w:rsid w:val="00CC02F9"/>
    <w:rsid w:val="00CC042C"/>
    <w:rsid w:val="00CC0AD4"/>
    <w:rsid w:val="00CC0B42"/>
    <w:rsid w:val="00CC0E86"/>
    <w:rsid w:val="00CC0F2D"/>
    <w:rsid w:val="00CC1128"/>
    <w:rsid w:val="00CC13A2"/>
    <w:rsid w:val="00CC1494"/>
    <w:rsid w:val="00CC14BE"/>
    <w:rsid w:val="00CC1604"/>
    <w:rsid w:val="00CC163A"/>
    <w:rsid w:val="00CC1662"/>
    <w:rsid w:val="00CC17A1"/>
    <w:rsid w:val="00CC1A23"/>
    <w:rsid w:val="00CC1A54"/>
    <w:rsid w:val="00CC1BA9"/>
    <w:rsid w:val="00CC207C"/>
    <w:rsid w:val="00CC2282"/>
    <w:rsid w:val="00CC2323"/>
    <w:rsid w:val="00CC262D"/>
    <w:rsid w:val="00CC26B8"/>
    <w:rsid w:val="00CC2A67"/>
    <w:rsid w:val="00CC2C0D"/>
    <w:rsid w:val="00CC30A7"/>
    <w:rsid w:val="00CC31E4"/>
    <w:rsid w:val="00CC331E"/>
    <w:rsid w:val="00CC3363"/>
    <w:rsid w:val="00CC3434"/>
    <w:rsid w:val="00CC3594"/>
    <w:rsid w:val="00CC3822"/>
    <w:rsid w:val="00CC3A34"/>
    <w:rsid w:val="00CC3B05"/>
    <w:rsid w:val="00CC3C05"/>
    <w:rsid w:val="00CC3CFE"/>
    <w:rsid w:val="00CC3D7E"/>
    <w:rsid w:val="00CC3DCC"/>
    <w:rsid w:val="00CC3FD1"/>
    <w:rsid w:val="00CC4013"/>
    <w:rsid w:val="00CC44CB"/>
    <w:rsid w:val="00CC46A8"/>
    <w:rsid w:val="00CC481E"/>
    <w:rsid w:val="00CC4B82"/>
    <w:rsid w:val="00CC4E1C"/>
    <w:rsid w:val="00CC4E27"/>
    <w:rsid w:val="00CC4F05"/>
    <w:rsid w:val="00CC4FDB"/>
    <w:rsid w:val="00CC518B"/>
    <w:rsid w:val="00CC5496"/>
    <w:rsid w:val="00CC5821"/>
    <w:rsid w:val="00CC5824"/>
    <w:rsid w:val="00CC583A"/>
    <w:rsid w:val="00CC5A8D"/>
    <w:rsid w:val="00CC5AF9"/>
    <w:rsid w:val="00CC5C59"/>
    <w:rsid w:val="00CC5CFC"/>
    <w:rsid w:val="00CC5F0A"/>
    <w:rsid w:val="00CC6038"/>
    <w:rsid w:val="00CC62B6"/>
    <w:rsid w:val="00CC6424"/>
    <w:rsid w:val="00CC6768"/>
    <w:rsid w:val="00CC6A99"/>
    <w:rsid w:val="00CC6C79"/>
    <w:rsid w:val="00CC6C7E"/>
    <w:rsid w:val="00CC6CBB"/>
    <w:rsid w:val="00CC6E90"/>
    <w:rsid w:val="00CC71DD"/>
    <w:rsid w:val="00CC732B"/>
    <w:rsid w:val="00CC73DD"/>
    <w:rsid w:val="00CC74C3"/>
    <w:rsid w:val="00CC79AE"/>
    <w:rsid w:val="00CC7ADD"/>
    <w:rsid w:val="00CC7C72"/>
    <w:rsid w:val="00CC7DBD"/>
    <w:rsid w:val="00CC7E22"/>
    <w:rsid w:val="00CC7ED5"/>
    <w:rsid w:val="00CD0087"/>
    <w:rsid w:val="00CD0097"/>
    <w:rsid w:val="00CD026D"/>
    <w:rsid w:val="00CD05C9"/>
    <w:rsid w:val="00CD0604"/>
    <w:rsid w:val="00CD0741"/>
    <w:rsid w:val="00CD0878"/>
    <w:rsid w:val="00CD0987"/>
    <w:rsid w:val="00CD0A47"/>
    <w:rsid w:val="00CD0A5F"/>
    <w:rsid w:val="00CD0D18"/>
    <w:rsid w:val="00CD129C"/>
    <w:rsid w:val="00CD162E"/>
    <w:rsid w:val="00CD1756"/>
    <w:rsid w:val="00CD17B8"/>
    <w:rsid w:val="00CD189E"/>
    <w:rsid w:val="00CD19EA"/>
    <w:rsid w:val="00CD1B9A"/>
    <w:rsid w:val="00CD1C4E"/>
    <w:rsid w:val="00CD2034"/>
    <w:rsid w:val="00CD2250"/>
    <w:rsid w:val="00CD2278"/>
    <w:rsid w:val="00CD22BA"/>
    <w:rsid w:val="00CD237A"/>
    <w:rsid w:val="00CD2471"/>
    <w:rsid w:val="00CD2650"/>
    <w:rsid w:val="00CD28D7"/>
    <w:rsid w:val="00CD2B57"/>
    <w:rsid w:val="00CD2BEF"/>
    <w:rsid w:val="00CD2CC4"/>
    <w:rsid w:val="00CD30C6"/>
    <w:rsid w:val="00CD33BA"/>
    <w:rsid w:val="00CD3520"/>
    <w:rsid w:val="00CD3857"/>
    <w:rsid w:val="00CD38F0"/>
    <w:rsid w:val="00CD3BB8"/>
    <w:rsid w:val="00CD3BDD"/>
    <w:rsid w:val="00CD3D0B"/>
    <w:rsid w:val="00CD3DC6"/>
    <w:rsid w:val="00CD4152"/>
    <w:rsid w:val="00CD417C"/>
    <w:rsid w:val="00CD4657"/>
    <w:rsid w:val="00CD475E"/>
    <w:rsid w:val="00CD483F"/>
    <w:rsid w:val="00CD4BAC"/>
    <w:rsid w:val="00CD51AC"/>
    <w:rsid w:val="00CD5413"/>
    <w:rsid w:val="00CD55DB"/>
    <w:rsid w:val="00CD55F1"/>
    <w:rsid w:val="00CD564F"/>
    <w:rsid w:val="00CD5755"/>
    <w:rsid w:val="00CD588C"/>
    <w:rsid w:val="00CD5A55"/>
    <w:rsid w:val="00CD5AA5"/>
    <w:rsid w:val="00CD5BAB"/>
    <w:rsid w:val="00CD5CBF"/>
    <w:rsid w:val="00CD5EA5"/>
    <w:rsid w:val="00CD6231"/>
    <w:rsid w:val="00CD6531"/>
    <w:rsid w:val="00CD6C7C"/>
    <w:rsid w:val="00CD6E14"/>
    <w:rsid w:val="00CD6EBF"/>
    <w:rsid w:val="00CD7497"/>
    <w:rsid w:val="00CD7626"/>
    <w:rsid w:val="00CD76C0"/>
    <w:rsid w:val="00CD771D"/>
    <w:rsid w:val="00CD78C1"/>
    <w:rsid w:val="00CD7E20"/>
    <w:rsid w:val="00CD7ED1"/>
    <w:rsid w:val="00CD7F6A"/>
    <w:rsid w:val="00CD7FF2"/>
    <w:rsid w:val="00CE007C"/>
    <w:rsid w:val="00CE0186"/>
    <w:rsid w:val="00CE0496"/>
    <w:rsid w:val="00CE0E5D"/>
    <w:rsid w:val="00CE0E98"/>
    <w:rsid w:val="00CE1097"/>
    <w:rsid w:val="00CE12E8"/>
    <w:rsid w:val="00CE1744"/>
    <w:rsid w:val="00CE17A1"/>
    <w:rsid w:val="00CE1979"/>
    <w:rsid w:val="00CE199F"/>
    <w:rsid w:val="00CE1A3D"/>
    <w:rsid w:val="00CE1D19"/>
    <w:rsid w:val="00CE2120"/>
    <w:rsid w:val="00CE2199"/>
    <w:rsid w:val="00CE2266"/>
    <w:rsid w:val="00CE2A66"/>
    <w:rsid w:val="00CE2BC0"/>
    <w:rsid w:val="00CE2CA4"/>
    <w:rsid w:val="00CE2E75"/>
    <w:rsid w:val="00CE2F81"/>
    <w:rsid w:val="00CE3097"/>
    <w:rsid w:val="00CE30C0"/>
    <w:rsid w:val="00CE325A"/>
    <w:rsid w:val="00CE3294"/>
    <w:rsid w:val="00CE37B2"/>
    <w:rsid w:val="00CE3C12"/>
    <w:rsid w:val="00CE4130"/>
    <w:rsid w:val="00CE413D"/>
    <w:rsid w:val="00CE4423"/>
    <w:rsid w:val="00CE4D56"/>
    <w:rsid w:val="00CE4F7A"/>
    <w:rsid w:val="00CE50A0"/>
    <w:rsid w:val="00CE51CF"/>
    <w:rsid w:val="00CE520B"/>
    <w:rsid w:val="00CE5236"/>
    <w:rsid w:val="00CE5792"/>
    <w:rsid w:val="00CE579E"/>
    <w:rsid w:val="00CE5B4B"/>
    <w:rsid w:val="00CE5B7F"/>
    <w:rsid w:val="00CE5B8F"/>
    <w:rsid w:val="00CE5FFB"/>
    <w:rsid w:val="00CE6122"/>
    <w:rsid w:val="00CE6191"/>
    <w:rsid w:val="00CE6286"/>
    <w:rsid w:val="00CE650A"/>
    <w:rsid w:val="00CE6549"/>
    <w:rsid w:val="00CE656B"/>
    <w:rsid w:val="00CE6606"/>
    <w:rsid w:val="00CE6657"/>
    <w:rsid w:val="00CE6933"/>
    <w:rsid w:val="00CE6B9C"/>
    <w:rsid w:val="00CE6EAB"/>
    <w:rsid w:val="00CE6F92"/>
    <w:rsid w:val="00CE74B7"/>
    <w:rsid w:val="00CE7810"/>
    <w:rsid w:val="00CE7984"/>
    <w:rsid w:val="00CE79BE"/>
    <w:rsid w:val="00CE7A46"/>
    <w:rsid w:val="00CE7C57"/>
    <w:rsid w:val="00CE7D09"/>
    <w:rsid w:val="00CE7EB0"/>
    <w:rsid w:val="00CF005B"/>
    <w:rsid w:val="00CF041E"/>
    <w:rsid w:val="00CF0439"/>
    <w:rsid w:val="00CF04FB"/>
    <w:rsid w:val="00CF056D"/>
    <w:rsid w:val="00CF09BB"/>
    <w:rsid w:val="00CF0ECD"/>
    <w:rsid w:val="00CF0F92"/>
    <w:rsid w:val="00CF0FED"/>
    <w:rsid w:val="00CF111E"/>
    <w:rsid w:val="00CF137E"/>
    <w:rsid w:val="00CF13B2"/>
    <w:rsid w:val="00CF14AB"/>
    <w:rsid w:val="00CF17C6"/>
    <w:rsid w:val="00CF1996"/>
    <w:rsid w:val="00CF20C7"/>
    <w:rsid w:val="00CF2247"/>
    <w:rsid w:val="00CF2287"/>
    <w:rsid w:val="00CF24C9"/>
    <w:rsid w:val="00CF26DD"/>
    <w:rsid w:val="00CF2C59"/>
    <w:rsid w:val="00CF2E33"/>
    <w:rsid w:val="00CF305F"/>
    <w:rsid w:val="00CF30E4"/>
    <w:rsid w:val="00CF34E0"/>
    <w:rsid w:val="00CF3628"/>
    <w:rsid w:val="00CF3CB3"/>
    <w:rsid w:val="00CF3E04"/>
    <w:rsid w:val="00CF3E2A"/>
    <w:rsid w:val="00CF3F3E"/>
    <w:rsid w:val="00CF434A"/>
    <w:rsid w:val="00CF4358"/>
    <w:rsid w:val="00CF43D8"/>
    <w:rsid w:val="00CF46E7"/>
    <w:rsid w:val="00CF481A"/>
    <w:rsid w:val="00CF4AB0"/>
    <w:rsid w:val="00CF4B06"/>
    <w:rsid w:val="00CF4C4B"/>
    <w:rsid w:val="00CF4D0F"/>
    <w:rsid w:val="00CF4E76"/>
    <w:rsid w:val="00CF4EFB"/>
    <w:rsid w:val="00CF4F6E"/>
    <w:rsid w:val="00CF5165"/>
    <w:rsid w:val="00CF52B6"/>
    <w:rsid w:val="00CF52C7"/>
    <w:rsid w:val="00CF537A"/>
    <w:rsid w:val="00CF5862"/>
    <w:rsid w:val="00CF5C90"/>
    <w:rsid w:val="00CF5E1C"/>
    <w:rsid w:val="00CF5FA4"/>
    <w:rsid w:val="00CF6741"/>
    <w:rsid w:val="00CF6A43"/>
    <w:rsid w:val="00CF6B9A"/>
    <w:rsid w:val="00CF6CF2"/>
    <w:rsid w:val="00CF6EFC"/>
    <w:rsid w:val="00CF7151"/>
    <w:rsid w:val="00CF72DB"/>
    <w:rsid w:val="00CF73B5"/>
    <w:rsid w:val="00CF73BC"/>
    <w:rsid w:val="00CF75D1"/>
    <w:rsid w:val="00CF766C"/>
    <w:rsid w:val="00CF7B1E"/>
    <w:rsid w:val="00CF7B83"/>
    <w:rsid w:val="00CF7CF5"/>
    <w:rsid w:val="00CF7DD0"/>
    <w:rsid w:val="00CF7F92"/>
    <w:rsid w:val="00D000DF"/>
    <w:rsid w:val="00D00102"/>
    <w:rsid w:val="00D0034B"/>
    <w:rsid w:val="00D005CC"/>
    <w:rsid w:val="00D007E1"/>
    <w:rsid w:val="00D008A9"/>
    <w:rsid w:val="00D00AA3"/>
    <w:rsid w:val="00D00E65"/>
    <w:rsid w:val="00D00FD2"/>
    <w:rsid w:val="00D0118C"/>
    <w:rsid w:val="00D011A1"/>
    <w:rsid w:val="00D014E8"/>
    <w:rsid w:val="00D015BA"/>
    <w:rsid w:val="00D016E2"/>
    <w:rsid w:val="00D01850"/>
    <w:rsid w:val="00D01863"/>
    <w:rsid w:val="00D0198D"/>
    <w:rsid w:val="00D01B3B"/>
    <w:rsid w:val="00D01D27"/>
    <w:rsid w:val="00D0200E"/>
    <w:rsid w:val="00D020F2"/>
    <w:rsid w:val="00D02735"/>
    <w:rsid w:val="00D02758"/>
    <w:rsid w:val="00D02774"/>
    <w:rsid w:val="00D0297E"/>
    <w:rsid w:val="00D02A41"/>
    <w:rsid w:val="00D02B9E"/>
    <w:rsid w:val="00D02BB2"/>
    <w:rsid w:val="00D02C23"/>
    <w:rsid w:val="00D02CFE"/>
    <w:rsid w:val="00D02DF1"/>
    <w:rsid w:val="00D02E03"/>
    <w:rsid w:val="00D03003"/>
    <w:rsid w:val="00D030BE"/>
    <w:rsid w:val="00D0310C"/>
    <w:rsid w:val="00D0314B"/>
    <w:rsid w:val="00D03305"/>
    <w:rsid w:val="00D033E8"/>
    <w:rsid w:val="00D0387D"/>
    <w:rsid w:val="00D03A39"/>
    <w:rsid w:val="00D03A6F"/>
    <w:rsid w:val="00D03E11"/>
    <w:rsid w:val="00D03F05"/>
    <w:rsid w:val="00D03F96"/>
    <w:rsid w:val="00D04015"/>
    <w:rsid w:val="00D040EC"/>
    <w:rsid w:val="00D04356"/>
    <w:rsid w:val="00D04611"/>
    <w:rsid w:val="00D04816"/>
    <w:rsid w:val="00D04876"/>
    <w:rsid w:val="00D04895"/>
    <w:rsid w:val="00D04ABF"/>
    <w:rsid w:val="00D04DC5"/>
    <w:rsid w:val="00D04DD5"/>
    <w:rsid w:val="00D04E01"/>
    <w:rsid w:val="00D04EE9"/>
    <w:rsid w:val="00D0504E"/>
    <w:rsid w:val="00D05446"/>
    <w:rsid w:val="00D056F0"/>
    <w:rsid w:val="00D05816"/>
    <w:rsid w:val="00D058E3"/>
    <w:rsid w:val="00D059E6"/>
    <w:rsid w:val="00D05A14"/>
    <w:rsid w:val="00D05E04"/>
    <w:rsid w:val="00D061F2"/>
    <w:rsid w:val="00D0641B"/>
    <w:rsid w:val="00D06447"/>
    <w:rsid w:val="00D06451"/>
    <w:rsid w:val="00D06562"/>
    <w:rsid w:val="00D067E6"/>
    <w:rsid w:val="00D068E0"/>
    <w:rsid w:val="00D069D5"/>
    <w:rsid w:val="00D06C19"/>
    <w:rsid w:val="00D06E48"/>
    <w:rsid w:val="00D07019"/>
    <w:rsid w:val="00D070A2"/>
    <w:rsid w:val="00D072E7"/>
    <w:rsid w:val="00D073DB"/>
    <w:rsid w:val="00D0751D"/>
    <w:rsid w:val="00D07784"/>
    <w:rsid w:val="00D07837"/>
    <w:rsid w:val="00D07AE7"/>
    <w:rsid w:val="00D07BB4"/>
    <w:rsid w:val="00D07BE3"/>
    <w:rsid w:val="00D07F73"/>
    <w:rsid w:val="00D102E4"/>
    <w:rsid w:val="00D103EC"/>
    <w:rsid w:val="00D104B8"/>
    <w:rsid w:val="00D1082D"/>
    <w:rsid w:val="00D108AC"/>
    <w:rsid w:val="00D10ABC"/>
    <w:rsid w:val="00D10B95"/>
    <w:rsid w:val="00D10B9A"/>
    <w:rsid w:val="00D10D92"/>
    <w:rsid w:val="00D110C9"/>
    <w:rsid w:val="00D1112D"/>
    <w:rsid w:val="00D11185"/>
    <w:rsid w:val="00D11215"/>
    <w:rsid w:val="00D11299"/>
    <w:rsid w:val="00D1134E"/>
    <w:rsid w:val="00D11535"/>
    <w:rsid w:val="00D116B6"/>
    <w:rsid w:val="00D11704"/>
    <w:rsid w:val="00D117BB"/>
    <w:rsid w:val="00D118FD"/>
    <w:rsid w:val="00D11943"/>
    <w:rsid w:val="00D119DB"/>
    <w:rsid w:val="00D11E99"/>
    <w:rsid w:val="00D128B1"/>
    <w:rsid w:val="00D12E19"/>
    <w:rsid w:val="00D13011"/>
    <w:rsid w:val="00D1308F"/>
    <w:rsid w:val="00D13332"/>
    <w:rsid w:val="00D13521"/>
    <w:rsid w:val="00D1355A"/>
    <w:rsid w:val="00D1370A"/>
    <w:rsid w:val="00D13915"/>
    <w:rsid w:val="00D13934"/>
    <w:rsid w:val="00D13BC4"/>
    <w:rsid w:val="00D13D8C"/>
    <w:rsid w:val="00D13E31"/>
    <w:rsid w:val="00D13E36"/>
    <w:rsid w:val="00D13FEA"/>
    <w:rsid w:val="00D14065"/>
    <w:rsid w:val="00D140E2"/>
    <w:rsid w:val="00D14107"/>
    <w:rsid w:val="00D14166"/>
    <w:rsid w:val="00D142CC"/>
    <w:rsid w:val="00D143E4"/>
    <w:rsid w:val="00D144B1"/>
    <w:rsid w:val="00D147CC"/>
    <w:rsid w:val="00D14844"/>
    <w:rsid w:val="00D148D9"/>
    <w:rsid w:val="00D1495B"/>
    <w:rsid w:val="00D1499A"/>
    <w:rsid w:val="00D14B27"/>
    <w:rsid w:val="00D14C01"/>
    <w:rsid w:val="00D14D10"/>
    <w:rsid w:val="00D14DCF"/>
    <w:rsid w:val="00D14DD1"/>
    <w:rsid w:val="00D14EBA"/>
    <w:rsid w:val="00D1504D"/>
    <w:rsid w:val="00D15105"/>
    <w:rsid w:val="00D1515C"/>
    <w:rsid w:val="00D1552D"/>
    <w:rsid w:val="00D155C8"/>
    <w:rsid w:val="00D156F2"/>
    <w:rsid w:val="00D15BB4"/>
    <w:rsid w:val="00D15EAE"/>
    <w:rsid w:val="00D15EF0"/>
    <w:rsid w:val="00D15F96"/>
    <w:rsid w:val="00D1606B"/>
    <w:rsid w:val="00D161E8"/>
    <w:rsid w:val="00D164FF"/>
    <w:rsid w:val="00D16AF4"/>
    <w:rsid w:val="00D16B33"/>
    <w:rsid w:val="00D16D38"/>
    <w:rsid w:val="00D16D71"/>
    <w:rsid w:val="00D16F1B"/>
    <w:rsid w:val="00D1711B"/>
    <w:rsid w:val="00D17440"/>
    <w:rsid w:val="00D17B7D"/>
    <w:rsid w:val="00D17E08"/>
    <w:rsid w:val="00D17E21"/>
    <w:rsid w:val="00D17FAF"/>
    <w:rsid w:val="00D2041C"/>
    <w:rsid w:val="00D208FE"/>
    <w:rsid w:val="00D209C9"/>
    <w:rsid w:val="00D20A1B"/>
    <w:rsid w:val="00D20ADB"/>
    <w:rsid w:val="00D20B33"/>
    <w:rsid w:val="00D20BB0"/>
    <w:rsid w:val="00D20C6D"/>
    <w:rsid w:val="00D20D42"/>
    <w:rsid w:val="00D20DED"/>
    <w:rsid w:val="00D20E1C"/>
    <w:rsid w:val="00D20F0F"/>
    <w:rsid w:val="00D20F95"/>
    <w:rsid w:val="00D210C0"/>
    <w:rsid w:val="00D21864"/>
    <w:rsid w:val="00D219A9"/>
    <w:rsid w:val="00D21DF2"/>
    <w:rsid w:val="00D22504"/>
    <w:rsid w:val="00D22912"/>
    <w:rsid w:val="00D22D44"/>
    <w:rsid w:val="00D23186"/>
    <w:rsid w:val="00D23226"/>
    <w:rsid w:val="00D2337B"/>
    <w:rsid w:val="00D233AE"/>
    <w:rsid w:val="00D2340C"/>
    <w:rsid w:val="00D23583"/>
    <w:rsid w:val="00D2387A"/>
    <w:rsid w:val="00D23C65"/>
    <w:rsid w:val="00D23FF2"/>
    <w:rsid w:val="00D24164"/>
    <w:rsid w:val="00D2422C"/>
    <w:rsid w:val="00D24712"/>
    <w:rsid w:val="00D24AD9"/>
    <w:rsid w:val="00D24C9F"/>
    <w:rsid w:val="00D25172"/>
    <w:rsid w:val="00D25484"/>
    <w:rsid w:val="00D255FB"/>
    <w:rsid w:val="00D256FA"/>
    <w:rsid w:val="00D25709"/>
    <w:rsid w:val="00D2582E"/>
    <w:rsid w:val="00D25978"/>
    <w:rsid w:val="00D25ADE"/>
    <w:rsid w:val="00D26519"/>
    <w:rsid w:val="00D26547"/>
    <w:rsid w:val="00D266EA"/>
    <w:rsid w:val="00D26EAC"/>
    <w:rsid w:val="00D272EB"/>
    <w:rsid w:val="00D27380"/>
    <w:rsid w:val="00D274D8"/>
    <w:rsid w:val="00D27740"/>
    <w:rsid w:val="00D277DD"/>
    <w:rsid w:val="00D277F7"/>
    <w:rsid w:val="00D27A0F"/>
    <w:rsid w:val="00D27A43"/>
    <w:rsid w:val="00D27C0B"/>
    <w:rsid w:val="00D27CB5"/>
    <w:rsid w:val="00D27EF7"/>
    <w:rsid w:val="00D27FC2"/>
    <w:rsid w:val="00D3002C"/>
    <w:rsid w:val="00D301A2"/>
    <w:rsid w:val="00D30544"/>
    <w:rsid w:val="00D305B9"/>
    <w:rsid w:val="00D3069F"/>
    <w:rsid w:val="00D307E4"/>
    <w:rsid w:val="00D3083D"/>
    <w:rsid w:val="00D3085F"/>
    <w:rsid w:val="00D308DC"/>
    <w:rsid w:val="00D308E8"/>
    <w:rsid w:val="00D309B4"/>
    <w:rsid w:val="00D30ED6"/>
    <w:rsid w:val="00D31167"/>
    <w:rsid w:val="00D31254"/>
    <w:rsid w:val="00D318C8"/>
    <w:rsid w:val="00D31910"/>
    <w:rsid w:val="00D31B24"/>
    <w:rsid w:val="00D31B2F"/>
    <w:rsid w:val="00D31CF2"/>
    <w:rsid w:val="00D31F71"/>
    <w:rsid w:val="00D31FE9"/>
    <w:rsid w:val="00D3244C"/>
    <w:rsid w:val="00D32559"/>
    <w:rsid w:val="00D32841"/>
    <w:rsid w:val="00D32AF5"/>
    <w:rsid w:val="00D32B5E"/>
    <w:rsid w:val="00D32E1F"/>
    <w:rsid w:val="00D32E2C"/>
    <w:rsid w:val="00D3340F"/>
    <w:rsid w:val="00D3396A"/>
    <w:rsid w:val="00D33B44"/>
    <w:rsid w:val="00D33D87"/>
    <w:rsid w:val="00D3405B"/>
    <w:rsid w:val="00D3407C"/>
    <w:rsid w:val="00D34192"/>
    <w:rsid w:val="00D347F3"/>
    <w:rsid w:val="00D34B37"/>
    <w:rsid w:val="00D34C10"/>
    <w:rsid w:val="00D34F49"/>
    <w:rsid w:val="00D34F52"/>
    <w:rsid w:val="00D34FE5"/>
    <w:rsid w:val="00D35176"/>
    <w:rsid w:val="00D356AC"/>
    <w:rsid w:val="00D35730"/>
    <w:rsid w:val="00D3574E"/>
    <w:rsid w:val="00D35D2B"/>
    <w:rsid w:val="00D35DD7"/>
    <w:rsid w:val="00D35F6B"/>
    <w:rsid w:val="00D362F0"/>
    <w:rsid w:val="00D364ED"/>
    <w:rsid w:val="00D36672"/>
    <w:rsid w:val="00D36816"/>
    <w:rsid w:val="00D36A11"/>
    <w:rsid w:val="00D37201"/>
    <w:rsid w:val="00D3791E"/>
    <w:rsid w:val="00D37C52"/>
    <w:rsid w:val="00D37EDC"/>
    <w:rsid w:val="00D37F5D"/>
    <w:rsid w:val="00D400B2"/>
    <w:rsid w:val="00D40775"/>
    <w:rsid w:val="00D4086F"/>
    <w:rsid w:val="00D409A8"/>
    <w:rsid w:val="00D40A1B"/>
    <w:rsid w:val="00D40A1E"/>
    <w:rsid w:val="00D40C23"/>
    <w:rsid w:val="00D40C27"/>
    <w:rsid w:val="00D40DCE"/>
    <w:rsid w:val="00D40EA4"/>
    <w:rsid w:val="00D414BB"/>
    <w:rsid w:val="00D415A5"/>
    <w:rsid w:val="00D41B83"/>
    <w:rsid w:val="00D41E2C"/>
    <w:rsid w:val="00D4201D"/>
    <w:rsid w:val="00D425DE"/>
    <w:rsid w:val="00D4263A"/>
    <w:rsid w:val="00D427AF"/>
    <w:rsid w:val="00D427E1"/>
    <w:rsid w:val="00D42920"/>
    <w:rsid w:val="00D42BA5"/>
    <w:rsid w:val="00D42F35"/>
    <w:rsid w:val="00D42F68"/>
    <w:rsid w:val="00D43297"/>
    <w:rsid w:val="00D437DA"/>
    <w:rsid w:val="00D437F4"/>
    <w:rsid w:val="00D43817"/>
    <w:rsid w:val="00D43952"/>
    <w:rsid w:val="00D43A45"/>
    <w:rsid w:val="00D43D96"/>
    <w:rsid w:val="00D43E1F"/>
    <w:rsid w:val="00D43FCD"/>
    <w:rsid w:val="00D44268"/>
    <w:rsid w:val="00D447D0"/>
    <w:rsid w:val="00D44A03"/>
    <w:rsid w:val="00D44A9C"/>
    <w:rsid w:val="00D44CB6"/>
    <w:rsid w:val="00D44DB6"/>
    <w:rsid w:val="00D44FEE"/>
    <w:rsid w:val="00D451F3"/>
    <w:rsid w:val="00D4525E"/>
    <w:rsid w:val="00D452C7"/>
    <w:rsid w:val="00D4533D"/>
    <w:rsid w:val="00D4545D"/>
    <w:rsid w:val="00D454D4"/>
    <w:rsid w:val="00D455C2"/>
    <w:rsid w:val="00D455C4"/>
    <w:rsid w:val="00D45826"/>
    <w:rsid w:val="00D45A64"/>
    <w:rsid w:val="00D45B43"/>
    <w:rsid w:val="00D45C34"/>
    <w:rsid w:val="00D45D0F"/>
    <w:rsid w:val="00D45D3B"/>
    <w:rsid w:val="00D46189"/>
    <w:rsid w:val="00D46213"/>
    <w:rsid w:val="00D463EE"/>
    <w:rsid w:val="00D466AA"/>
    <w:rsid w:val="00D469A9"/>
    <w:rsid w:val="00D469D4"/>
    <w:rsid w:val="00D469F9"/>
    <w:rsid w:val="00D46A1B"/>
    <w:rsid w:val="00D46D29"/>
    <w:rsid w:val="00D46F55"/>
    <w:rsid w:val="00D46FCC"/>
    <w:rsid w:val="00D470E3"/>
    <w:rsid w:val="00D472D9"/>
    <w:rsid w:val="00D474B8"/>
    <w:rsid w:val="00D47650"/>
    <w:rsid w:val="00D478DE"/>
    <w:rsid w:val="00D47A60"/>
    <w:rsid w:val="00D47A77"/>
    <w:rsid w:val="00D47C9C"/>
    <w:rsid w:val="00D47CE3"/>
    <w:rsid w:val="00D47E70"/>
    <w:rsid w:val="00D50046"/>
    <w:rsid w:val="00D5007C"/>
    <w:rsid w:val="00D50119"/>
    <w:rsid w:val="00D504DC"/>
    <w:rsid w:val="00D50740"/>
    <w:rsid w:val="00D507A7"/>
    <w:rsid w:val="00D5085A"/>
    <w:rsid w:val="00D508B0"/>
    <w:rsid w:val="00D50A08"/>
    <w:rsid w:val="00D50A74"/>
    <w:rsid w:val="00D50D70"/>
    <w:rsid w:val="00D510A0"/>
    <w:rsid w:val="00D511B1"/>
    <w:rsid w:val="00D51688"/>
    <w:rsid w:val="00D51750"/>
    <w:rsid w:val="00D51B9B"/>
    <w:rsid w:val="00D51BB8"/>
    <w:rsid w:val="00D51C29"/>
    <w:rsid w:val="00D51C61"/>
    <w:rsid w:val="00D51DE3"/>
    <w:rsid w:val="00D51EB1"/>
    <w:rsid w:val="00D5201F"/>
    <w:rsid w:val="00D52190"/>
    <w:rsid w:val="00D5250D"/>
    <w:rsid w:val="00D52531"/>
    <w:rsid w:val="00D5274D"/>
    <w:rsid w:val="00D528EA"/>
    <w:rsid w:val="00D52ECF"/>
    <w:rsid w:val="00D52F53"/>
    <w:rsid w:val="00D5316D"/>
    <w:rsid w:val="00D53692"/>
    <w:rsid w:val="00D53709"/>
    <w:rsid w:val="00D53788"/>
    <w:rsid w:val="00D53891"/>
    <w:rsid w:val="00D53D8B"/>
    <w:rsid w:val="00D53D90"/>
    <w:rsid w:val="00D53E37"/>
    <w:rsid w:val="00D53E56"/>
    <w:rsid w:val="00D540BD"/>
    <w:rsid w:val="00D544E3"/>
    <w:rsid w:val="00D54890"/>
    <w:rsid w:val="00D54AF7"/>
    <w:rsid w:val="00D54BC8"/>
    <w:rsid w:val="00D54BFB"/>
    <w:rsid w:val="00D54F7C"/>
    <w:rsid w:val="00D5536A"/>
    <w:rsid w:val="00D555CB"/>
    <w:rsid w:val="00D55629"/>
    <w:rsid w:val="00D55632"/>
    <w:rsid w:val="00D55BC2"/>
    <w:rsid w:val="00D560EE"/>
    <w:rsid w:val="00D56407"/>
    <w:rsid w:val="00D5668D"/>
    <w:rsid w:val="00D56718"/>
    <w:rsid w:val="00D56BEB"/>
    <w:rsid w:val="00D56DC2"/>
    <w:rsid w:val="00D56E69"/>
    <w:rsid w:val="00D56EB1"/>
    <w:rsid w:val="00D57307"/>
    <w:rsid w:val="00D573C9"/>
    <w:rsid w:val="00D5740C"/>
    <w:rsid w:val="00D576EC"/>
    <w:rsid w:val="00D577DE"/>
    <w:rsid w:val="00D57CCF"/>
    <w:rsid w:val="00D57CDD"/>
    <w:rsid w:val="00D57E54"/>
    <w:rsid w:val="00D57EE5"/>
    <w:rsid w:val="00D57F0E"/>
    <w:rsid w:val="00D57FFD"/>
    <w:rsid w:val="00D602E7"/>
    <w:rsid w:val="00D6053E"/>
    <w:rsid w:val="00D608AA"/>
    <w:rsid w:val="00D608D2"/>
    <w:rsid w:val="00D60B24"/>
    <w:rsid w:val="00D60E4D"/>
    <w:rsid w:val="00D60F0B"/>
    <w:rsid w:val="00D60F6D"/>
    <w:rsid w:val="00D60F96"/>
    <w:rsid w:val="00D60FFB"/>
    <w:rsid w:val="00D617E9"/>
    <w:rsid w:val="00D618C7"/>
    <w:rsid w:val="00D619E6"/>
    <w:rsid w:val="00D6206C"/>
    <w:rsid w:val="00D620D0"/>
    <w:rsid w:val="00D622CB"/>
    <w:rsid w:val="00D6234E"/>
    <w:rsid w:val="00D62356"/>
    <w:rsid w:val="00D62375"/>
    <w:rsid w:val="00D6285D"/>
    <w:rsid w:val="00D62B95"/>
    <w:rsid w:val="00D62BCE"/>
    <w:rsid w:val="00D62E5E"/>
    <w:rsid w:val="00D62EB0"/>
    <w:rsid w:val="00D62F8C"/>
    <w:rsid w:val="00D630C4"/>
    <w:rsid w:val="00D63137"/>
    <w:rsid w:val="00D63257"/>
    <w:rsid w:val="00D63661"/>
    <w:rsid w:val="00D63BA1"/>
    <w:rsid w:val="00D63C71"/>
    <w:rsid w:val="00D63CE2"/>
    <w:rsid w:val="00D63CEF"/>
    <w:rsid w:val="00D63DB2"/>
    <w:rsid w:val="00D63EE7"/>
    <w:rsid w:val="00D64145"/>
    <w:rsid w:val="00D64289"/>
    <w:rsid w:val="00D643EB"/>
    <w:rsid w:val="00D64487"/>
    <w:rsid w:val="00D644D0"/>
    <w:rsid w:val="00D64932"/>
    <w:rsid w:val="00D64D06"/>
    <w:rsid w:val="00D64D94"/>
    <w:rsid w:val="00D64F3A"/>
    <w:rsid w:val="00D65196"/>
    <w:rsid w:val="00D651D7"/>
    <w:rsid w:val="00D6520C"/>
    <w:rsid w:val="00D65426"/>
    <w:rsid w:val="00D656EE"/>
    <w:rsid w:val="00D65821"/>
    <w:rsid w:val="00D65A59"/>
    <w:rsid w:val="00D65AA1"/>
    <w:rsid w:val="00D65B6B"/>
    <w:rsid w:val="00D65BE5"/>
    <w:rsid w:val="00D6612E"/>
    <w:rsid w:val="00D662C9"/>
    <w:rsid w:val="00D66458"/>
    <w:rsid w:val="00D665FE"/>
    <w:rsid w:val="00D6666C"/>
    <w:rsid w:val="00D66AD6"/>
    <w:rsid w:val="00D66B97"/>
    <w:rsid w:val="00D66BD4"/>
    <w:rsid w:val="00D66C98"/>
    <w:rsid w:val="00D66EAD"/>
    <w:rsid w:val="00D67126"/>
    <w:rsid w:val="00D671FF"/>
    <w:rsid w:val="00D67263"/>
    <w:rsid w:val="00D67299"/>
    <w:rsid w:val="00D67419"/>
    <w:rsid w:val="00D67674"/>
    <w:rsid w:val="00D67752"/>
    <w:rsid w:val="00D677DB"/>
    <w:rsid w:val="00D679A0"/>
    <w:rsid w:val="00D67B0D"/>
    <w:rsid w:val="00D67D17"/>
    <w:rsid w:val="00D700B4"/>
    <w:rsid w:val="00D701D0"/>
    <w:rsid w:val="00D70764"/>
    <w:rsid w:val="00D70810"/>
    <w:rsid w:val="00D70841"/>
    <w:rsid w:val="00D708B6"/>
    <w:rsid w:val="00D70AF5"/>
    <w:rsid w:val="00D70DFE"/>
    <w:rsid w:val="00D712A2"/>
    <w:rsid w:val="00D713B8"/>
    <w:rsid w:val="00D7157E"/>
    <w:rsid w:val="00D715BE"/>
    <w:rsid w:val="00D71801"/>
    <w:rsid w:val="00D719A3"/>
    <w:rsid w:val="00D721B0"/>
    <w:rsid w:val="00D721DC"/>
    <w:rsid w:val="00D72344"/>
    <w:rsid w:val="00D72370"/>
    <w:rsid w:val="00D7244C"/>
    <w:rsid w:val="00D725E8"/>
    <w:rsid w:val="00D726F0"/>
    <w:rsid w:val="00D727F1"/>
    <w:rsid w:val="00D728C4"/>
    <w:rsid w:val="00D72CA0"/>
    <w:rsid w:val="00D72E28"/>
    <w:rsid w:val="00D72F86"/>
    <w:rsid w:val="00D731F1"/>
    <w:rsid w:val="00D7354E"/>
    <w:rsid w:val="00D73659"/>
    <w:rsid w:val="00D7374C"/>
    <w:rsid w:val="00D73813"/>
    <w:rsid w:val="00D738F5"/>
    <w:rsid w:val="00D7392F"/>
    <w:rsid w:val="00D73969"/>
    <w:rsid w:val="00D73BC0"/>
    <w:rsid w:val="00D73EEC"/>
    <w:rsid w:val="00D74021"/>
    <w:rsid w:val="00D741F9"/>
    <w:rsid w:val="00D74263"/>
    <w:rsid w:val="00D74415"/>
    <w:rsid w:val="00D7445E"/>
    <w:rsid w:val="00D74559"/>
    <w:rsid w:val="00D74A30"/>
    <w:rsid w:val="00D74AFC"/>
    <w:rsid w:val="00D74C2A"/>
    <w:rsid w:val="00D74DD9"/>
    <w:rsid w:val="00D74E54"/>
    <w:rsid w:val="00D75028"/>
    <w:rsid w:val="00D75121"/>
    <w:rsid w:val="00D75139"/>
    <w:rsid w:val="00D751C9"/>
    <w:rsid w:val="00D751F6"/>
    <w:rsid w:val="00D753A0"/>
    <w:rsid w:val="00D754AF"/>
    <w:rsid w:val="00D755DC"/>
    <w:rsid w:val="00D75799"/>
    <w:rsid w:val="00D758FE"/>
    <w:rsid w:val="00D75A2C"/>
    <w:rsid w:val="00D75DA5"/>
    <w:rsid w:val="00D75E6B"/>
    <w:rsid w:val="00D75FA2"/>
    <w:rsid w:val="00D75FAD"/>
    <w:rsid w:val="00D7616D"/>
    <w:rsid w:val="00D761EC"/>
    <w:rsid w:val="00D764FD"/>
    <w:rsid w:val="00D766CD"/>
    <w:rsid w:val="00D768FA"/>
    <w:rsid w:val="00D76945"/>
    <w:rsid w:val="00D76B31"/>
    <w:rsid w:val="00D76D45"/>
    <w:rsid w:val="00D76DB5"/>
    <w:rsid w:val="00D76DD5"/>
    <w:rsid w:val="00D76F5E"/>
    <w:rsid w:val="00D76F5F"/>
    <w:rsid w:val="00D77001"/>
    <w:rsid w:val="00D7726E"/>
    <w:rsid w:val="00D77742"/>
    <w:rsid w:val="00D778CD"/>
    <w:rsid w:val="00D77908"/>
    <w:rsid w:val="00D77EA6"/>
    <w:rsid w:val="00D77F53"/>
    <w:rsid w:val="00D800E2"/>
    <w:rsid w:val="00D803F0"/>
    <w:rsid w:val="00D806F9"/>
    <w:rsid w:val="00D80AEC"/>
    <w:rsid w:val="00D80C7F"/>
    <w:rsid w:val="00D81035"/>
    <w:rsid w:val="00D810EF"/>
    <w:rsid w:val="00D8149E"/>
    <w:rsid w:val="00D814B6"/>
    <w:rsid w:val="00D8150E"/>
    <w:rsid w:val="00D81530"/>
    <w:rsid w:val="00D815A7"/>
    <w:rsid w:val="00D81839"/>
    <w:rsid w:val="00D818A9"/>
    <w:rsid w:val="00D8196C"/>
    <w:rsid w:val="00D819E0"/>
    <w:rsid w:val="00D81B5B"/>
    <w:rsid w:val="00D81BC8"/>
    <w:rsid w:val="00D81DDC"/>
    <w:rsid w:val="00D81F78"/>
    <w:rsid w:val="00D822E9"/>
    <w:rsid w:val="00D8272E"/>
    <w:rsid w:val="00D828AA"/>
    <w:rsid w:val="00D8291F"/>
    <w:rsid w:val="00D82A43"/>
    <w:rsid w:val="00D82E1E"/>
    <w:rsid w:val="00D82F3F"/>
    <w:rsid w:val="00D83269"/>
    <w:rsid w:val="00D83553"/>
    <w:rsid w:val="00D835C9"/>
    <w:rsid w:val="00D83837"/>
    <w:rsid w:val="00D8389B"/>
    <w:rsid w:val="00D83A44"/>
    <w:rsid w:val="00D83A8A"/>
    <w:rsid w:val="00D83AA7"/>
    <w:rsid w:val="00D83C6D"/>
    <w:rsid w:val="00D83D83"/>
    <w:rsid w:val="00D83E8E"/>
    <w:rsid w:val="00D8424F"/>
    <w:rsid w:val="00D844AA"/>
    <w:rsid w:val="00D84598"/>
    <w:rsid w:val="00D846D7"/>
    <w:rsid w:val="00D84A5B"/>
    <w:rsid w:val="00D84A69"/>
    <w:rsid w:val="00D84BBA"/>
    <w:rsid w:val="00D852E7"/>
    <w:rsid w:val="00D853B8"/>
    <w:rsid w:val="00D853CA"/>
    <w:rsid w:val="00D85457"/>
    <w:rsid w:val="00D854D4"/>
    <w:rsid w:val="00D857B2"/>
    <w:rsid w:val="00D85BA6"/>
    <w:rsid w:val="00D85DB3"/>
    <w:rsid w:val="00D85FB1"/>
    <w:rsid w:val="00D860A0"/>
    <w:rsid w:val="00D86268"/>
    <w:rsid w:val="00D864EC"/>
    <w:rsid w:val="00D86560"/>
    <w:rsid w:val="00D866BF"/>
    <w:rsid w:val="00D868C4"/>
    <w:rsid w:val="00D86963"/>
    <w:rsid w:val="00D86E30"/>
    <w:rsid w:val="00D86E58"/>
    <w:rsid w:val="00D870E5"/>
    <w:rsid w:val="00D8738B"/>
    <w:rsid w:val="00D873F5"/>
    <w:rsid w:val="00D876DD"/>
    <w:rsid w:val="00D8772C"/>
    <w:rsid w:val="00D8784E"/>
    <w:rsid w:val="00D87894"/>
    <w:rsid w:val="00D87CB9"/>
    <w:rsid w:val="00D87D64"/>
    <w:rsid w:val="00D87D92"/>
    <w:rsid w:val="00D87D9C"/>
    <w:rsid w:val="00D87E41"/>
    <w:rsid w:val="00D87FCD"/>
    <w:rsid w:val="00D900ED"/>
    <w:rsid w:val="00D90436"/>
    <w:rsid w:val="00D905CA"/>
    <w:rsid w:val="00D90C4D"/>
    <w:rsid w:val="00D90C9C"/>
    <w:rsid w:val="00D90CEC"/>
    <w:rsid w:val="00D90E10"/>
    <w:rsid w:val="00D90E72"/>
    <w:rsid w:val="00D911BA"/>
    <w:rsid w:val="00D91245"/>
    <w:rsid w:val="00D913CC"/>
    <w:rsid w:val="00D914FD"/>
    <w:rsid w:val="00D91573"/>
    <w:rsid w:val="00D91607"/>
    <w:rsid w:val="00D91915"/>
    <w:rsid w:val="00D91975"/>
    <w:rsid w:val="00D91A53"/>
    <w:rsid w:val="00D91ABD"/>
    <w:rsid w:val="00D91C48"/>
    <w:rsid w:val="00D91CA9"/>
    <w:rsid w:val="00D91DA4"/>
    <w:rsid w:val="00D91EB1"/>
    <w:rsid w:val="00D91FFF"/>
    <w:rsid w:val="00D920D8"/>
    <w:rsid w:val="00D92384"/>
    <w:rsid w:val="00D925C8"/>
    <w:rsid w:val="00D926ED"/>
    <w:rsid w:val="00D926FF"/>
    <w:rsid w:val="00D92909"/>
    <w:rsid w:val="00D92924"/>
    <w:rsid w:val="00D92997"/>
    <w:rsid w:val="00D92A3D"/>
    <w:rsid w:val="00D92E7A"/>
    <w:rsid w:val="00D92F04"/>
    <w:rsid w:val="00D9302E"/>
    <w:rsid w:val="00D93301"/>
    <w:rsid w:val="00D93559"/>
    <w:rsid w:val="00D935C6"/>
    <w:rsid w:val="00D93633"/>
    <w:rsid w:val="00D93918"/>
    <w:rsid w:val="00D93C5C"/>
    <w:rsid w:val="00D93EEE"/>
    <w:rsid w:val="00D940DD"/>
    <w:rsid w:val="00D9421A"/>
    <w:rsid w:val="00D9451E"/>
    <w:rsid w:val="00D947B0"/>
    <w:rsid w:val="00D9499A"/>
    <w:rsid w:val="00D95260"/>
    <w:rsid w:val="00D95297"/>
    <w:rsid w:val="00D954DF"/>
    <w:rsid w:val="00D95503"/>
    <w:rsid w:val="00D9580E"/>
    <w:rsid w:val="00D95A2A"/>
    <w:rsid w:val="00D95A34"/>
    <w:rsid w:val="00D95F43"/>
    <w:rsid w:val="00D95FEC"/>
    <w:rsid w:val="00D96307"/>
    <w:rsid w:val="00D964B9"/>
    <w:rsid w:val="00D96897"/>
    <w:rsid w:val="00D9691F"/>
    <w:rsid w:val="00D970D1"/>
    <w:rsid w:val="00D97155"/>
    <w:rsid w:val="00D971C5"/>
    <w:rsid w:val="00D973E7"/>
    <w:rsid w:val="00D97402"/>
    <w:rsid w:val="00D97505"/>
    <w:rsid w:val="00D97675"/>
    <w:rsid w:val="00D97771"/>
    <w:rsid w:val="00D97A04"/>
    <w:rsid w:val="00D97ADB"/>
    <w:rsid w:val="00D97DDA"/>
    <w:rsid w:val="00D97F7A"/>
    <w:rsid w:val="00DA00BC"/>
    <w:rsid w:val="00DA077E"/>
    <w:rsid w:val="00DA0921"/>
    <w:rsid w:val="00DA0CCC"/>
    <w:rsid w:val="00DA0EB1"/>
    <w:rsid w:val="00DA0ECD"/>
    <w:rsid w:val="00DA10AF"/>
    <w:rsid w:val="00DA1191"/>
    <w:rsid w:val="00DA1313"/>
    <w:rsid w:val="00DA1594"/>
    <w:rsid w:val="00DA230D"/>
    <w:rsid w:val="00DA23D3"/>
    <w:rsid w:val="00DA278E"/>
    <w:rsid w:val="00DA2984"/>
    <w:rsid w:val="00DA29F8"/>
    <w:rsid w:val="00DA2D29"/>
    <w:rsid w:val="00DA2F76"/>
    <w:rsid w:val="00DA30BB"/>
    <w:rsid w:val="00DA32AE"/>
    <w:rsid w:val="00DA33C6"/>
    <w:rsid w:val="00DA378B"/>
    <w:rsid w:val="00DA3847"/>
    <w:rsid w:val="00DA38FD"/>
    <w:rsid w:val="00DA3936"/>
    <w:rsid w:val="00DA3B65"/>
    <w:rsid w:val="00DA3CFF"/>
    <w:rsid w:val="00DA3D2F"/>
    <w:rsid w:val="00DA3DCB"/>
    <w:rsid w:val="00DA3F9C"/>
    <w:rsid w:val="00DA4147"/>
    <w:rsid w:val="00DA4A15"/>
    <w:rsid w:val="00DA4B26"/>
    <w:rsid w:val="00DA4BB2"/>
    <w:rsid w:val="00DA4CC8"/>
    <w:rsid w:val="00DA500C"/>
    <w:rsid w:val="00DA506C"/>
    <w:rsid w:val="00DA52B0"/>
    <w:rsid w:val="00DA52D3"/>
    <w:rsid w:val="00DA545D"/>
    <w:rsid w:val="00DA5B0C"/>
    <w:rsid w:val="00DA5CEC"/>
    <w:rsid w:val="00DA5F60"/>
    <w:rsid w:val="00DA615C"/>
    <w:rsid w:val="00DA624D"/>
    <w:rsid w:val="00DA630A"/>
    <w:rsid w:val="00DA63FA"/>
    <w:rsid w:val="00DA645B"/>
    <w:rsid w:val="00DA6654"/>
    <w:rsid w:val="00DA675A"/>
    <w:rsid w:val="00DA6BF3"/>
    <w:rsid w:val="00DA70DE"/>
    <w:rsid w:val="00DA72AC"/>
    <w:rsid w:val="00DA745B"/>
    <w:rsid w:val="00DA7583"/>
    <w:rsid w:val="00DA78E5"/>
    <w:rsid w:val="00DA7B5D"/>
    <w:rsid w:val="00DA7B8E"/>
    <w:rsid w:val="00DA7DFF"/>
    <w:rsid w:val="00DA7F94"/>
    <w:rsid w:val="00DB03DD"/>
    <w:rsid w:val="00DB03E6"/>
    <w:rsid w:val="00DB048E"/>
    <w:rsid w:val="00DB04E9"/>
    <w:rsid w:val="00DB05BC"/>
    <w:rsid w:val="00DB0AFA"/>
    <w:rsid w:val="00DB0CCD"/>
    <w:rsid w:val="00DB0DAF"/>
    <w:rsid w:val="00DB11FA"/>
    <w:rsid w:val="00DB1219"/>
    <w:rsid w:val="00DB1232"/>
    <w:rsid w:val="00DB1294"/>
    <w:rsid w:val="00DB12FC"/>
    <w:rsid w:val="00DB1557"/>
    <w:rsid w:val="00DB1A8C"/>
    <w:rsid w:val="00DB1AE7"/>
    <w:rsid w:val="00DB1D4F"/>
    <w:rsid w:val="00DB1E00"/>
    <w:rsid w:val="00DB1FF3"/>
    <w:rsid w:val="00DB2312"/>
    <w:rsid w:val="00DB2569"/>
    <w:rsid w:val="00DB281B"/>
    <w:rsid w:val="00DB29B5"/>
    <w:rsid w:val="00DB2E28"/>
    <w:rsid w:val="00DB3068"/>
    <w:rsid w:val="00DB30F9"/>
    <w:rsid w:val="00DB368B"/>
    <w:rsid w:val="00DB36D2"/>
    <w:rsid w:val="00DB3708"/>
    <w:rsid w:val="00DB37DE"/>
    <w:rsid w:val="00DB3A8B"/>
    <w:rsid w:val="00DB3B50"/>
    <w:rsid w:val="00DB3EA0"/>
    <w:rsid w:val="00DB415D"/>
    <w:rsid w:val="00DB43A0"/>
    <w:rsid w:val="00DB466D"/>
    <w:rsid w:val="00DB480B"/>
    <w:rsid w:val="00DB4BE0"/>
    <w:rsid w:val="00DB4DB2"/>
    <w:rsid w:val="00DB505E"/>
    <w:rsid w:val="00DB50ED"/>
    <w:rsid w:val="00DB5101"/>
    <w:rsid w:val="00DB511A"/>
    <w:rsid w:val="00DB5600"/>
    <w:rsid w:val="00DB5A15"/>
    <w:rsid w:val="00DB5C8E"/>
    <w:rsid w:val="00DB5FE0"/>
    <w:rsid w:val="00DB6259"/>
    <w:rsid w:val="00DB62D4"/>
    <w:rsid w:val="00DB643C"/>
    <w:rsid w:val="00DB64BC"/>
    <w:rsid w:val="00DB654F"/>
    <w:rsid w:val="00DB6692"/>
    <w:rsid w:val="00DB68E1"/>
    <w:rsid w:val="00DB6954"/>
    <w:rsid w:val="00DB6B78"/>
    <w:rsid w:val="00DB6BAA"/>
    <w:rsid w:val="00DB6BE5"/>
    <w:rsid w:val="00DB70DB"/>
    <w:rsid w:val="00DB76AC"/>
    <w:rsid w:val="00DB774E"/>
    <w:rsid w:val="00DB7797"/>
    <w:rsid w:val="00DB7961"/>
    <w:rsid w:val="00DB7DC1"/>
    <w:rsid w:val="00DB7DD8"/>
    <w:rsid w:val="00DB7E94"/>
    <w:rsid w:val="00DB7F23"/>
    <w:rsid w:val="00DB7F41"/>
    <w:rsid w:val="00DC0333"/>
    <w:rsid w:val="00DC05AB"/>
    <w:rsid w:val="00DC068F"/>
    <w:rsid w:val="00DC0729"/>
    <w:rsid w:val="00DC08AC"/>
    <w:rsid w:val="00DC0951"/>
    <w:rsid w:val="00DC0A56"/>
    <w:rsid w:val="00DC0A65"/>
    <w:rsid w:val="00DC0B00"/>
    <w:rsid w:val="00DC0D81"/>
    <w:rsid w:val="00DC0DAE"/>
    <w:rsid w:val="00DC0EC0"/>
    <w:rsid w:val="00DC127F"/>
    <w:rsid w:val="00DC1323"/>
    <w:rsid w:val="00DC145E"/>
    <w:rsid w:val="00DC150E"/>
    <w:rsid w:val="00DC1871"/>
    <w:rsid w:val="00DC1A3C"/>
    <w:rsid w:val="00DC1A8D"/>
    <w:rsid w:val="00DC1B06"/>
    <w:rsid w:val="00DC1DB8"/>
    <w:rsid w:val="00DC1FA3"/>
    <w:rsid w:val="00DC20BA"/>
    <w:rsid w:val="00DC240F"/>
    <w:rsid w:val="00DC276C"/>
    <w:rsid w:val="00DC2DFC"/>
    <w:rsid w:val="00DC2F45"/>
    <w:rsid w:val="00DC3042"/>
    <w:rsid w:val="00DC321D"/>
    <w:rsid w:val="00DC343D"/>
    <w:rsid w:val="00DC3536"/>
    <w:rsid w:val="00DC3A89"/>
    <w:rsid w:val="00DC3DEF"/>
    <w:rsid w:val="00DC404E"/>
    <w:rsid w:val="00DC40A2"/>
    <w:rsid w:val="00DC4631"/>
    <w:rsid w:val="00DC46F4"/>
    <w:rsid w:val="00DC4864"/>
    <w:rsid w:val="00DC49C8"/>
    <w:rsid w:val="00DC4BC6"/>
    <w:rsid w:val="00DC4C80"/>
    <w:rsid w:val="00DC4ED6"/>
    <w:rsid w:val="00DC4F61"/>
    <w:rsid w:val="00DC53B0"/>
    <w:rsid w:val="00DC542C"/>
    <w:rsid w:val="00DC559E"/>
    <w:rsid w:val="00DC57C6"/>
    <w:rsid w:val="00DC5B61"/>
    <w:rsid w:val="00DC5EBA"/>
    <w:rsid w:val="00DC607F"/>
    <w:rsid w:val="00DC608D"/>
    <w:rsid w:val="00DC6127"/>
    <w:rsid w:val="00DC61E8"/>
    <w:rsid w:val="00DC63AF"/>
    <w:rsid w:val="00DC6598"/>
    <w:rsid w:val="00DC65E8"/>
    <w:rsid w:val="00DC669C"/>
    <w:rsid w:val="00DC6917"/>
    <w:rsid w:val="00DC6AD8"/>
    <w:rsid w:val="00DC6ADF"/>
    <w:rsid w:val="00DC6C71"/>
    <w:rsid w:val="00DC6DA6"/>
    <w:rsid w:val="00DC74E1"/>
    <w:rsid w:val="00DC7629"/>
    <w:rsid w:val="00DC7748"/>
    <w:rsid w:val="00DD0294"/>
    <w:rsid w:val="00DD0295"/>
    <w:rsid w:val="00DD074E"/>
    <w:rsid w:val="00DD084D"/>
    <w:rsid w:val="00DD093E"/>
    <w:rsid w:val="00DD0BA7"/>
    <w:rsid w:val="00DD0E22"/>
    <w:rsid w:val="00DD0F46"/>
    <w:rsid w:val="00DD1037"/>
    <w:rsid w:val="00DD14A2"/>
    <w:rsid w:val="00DD198F"/>
    <w:rsid w:val="00DD19D6"/>
    <w:rsid w:val="00DD19E1"/>
    <w:rsid w:val="00DD1C8A"/>
    <w:rsid w:val="00DD1E55"/>
    <w:rsid w:val="00DD1EE1"/>
    <w:rsid w:val="00DD22A5"/>
    <w:rsid w:val="00DD24B5"/>
    <w:rsid w:val="00DD25B9"/>
    <w:rsid w:val="00DD262B"/>
    <w:rsid w:val="00DD2685"/>
    <w:rsid w:val="00DD26C7"/>
    <w:rsid w:val="00DD273A"/>
    <w:rsid w:val="00DD27FB"/>
    <w:rsid w:val="00DD28F8"/>
    <w:rsid w:val="00DD291E"/>
    <w:rsid w:val="00DD2940"/>
    <w:rsid w:val="00DD2E8F"/>
    <w:rsid w:val="00DD330D"/>
    <w:rsid w:val="00DD34E8"/>
    <w:rsid w:val="00DD38AE"/>
    <w:rsid w:val="00DD3A7B"/>
    <w:rsid w:val="00DD3AF9"/>
    <w:rsid w:val="00DD3B27"/>
    <w:rsid w:val="00DD3CC9"/>
    <w:rsid w:val="00DD3E81"/>
    <w:rsid w:val="00DD4008"/>
    <w:rsid w:val="00DD4102"/>
    <w:rsid w:val="00DD42D1"/>
    <w:rsid w:val="00DD4312"/>
    <w:rsid w:val="00DD491D"/>
    <w:rsid w:val="00DD4B18"/>
    <w:rsid w:val="00DD4B5C"/>
    <w:rsid w:val="00DD4B66"/>
    <w:rsid w:val="00DD4C1F"/>
    <w:rsid w:val="00DD4D9C"/>
    <w:rsid w:val="00DD4F34"/>
    <w:rsid w:val="00DD5007"/>
    <w:rsid w:val="00DD509C"/>
    <w:rsid w:val="00DD50D8"/>
    <w:rsid w:val="00DD5184"/>
    <w:rsid w:val="00DD5208"/>
    <w:rsid w:val="00DD56F9"/>
    <w:rsid w:val="00DD5878"/>
    <w:rsid w:val="00DD6009"/>
    <w:rsid w:val="00DD62D2"/>
    <w:rsid w:val="00DD6784"/>
    <w:rsid w:val="00DD6989"/>
    <w:rsid w:val="00DD6C7C"/>
    <w:rsid w:val="00DD6CAB"/>
    <w:rsid w:val="00DD6F3C"/>
    <w:rsid w:val="00DD724C"/>
    <w:rsid w:val="00DD72A3"/>
    <w:rsid w:val="00DD74CF"/>
    <w:rsid w:val="00DD751C"/>
    <w:rsid w:val="00DD75F9"/>
    <w:rsid w:val="00DD79DF"/>
    <w:rsid w:val="00DD7AF3"/>
    <w:rsid w:val="00DD7EDF"/>
    <w:rsid w:val="00DE00B7"/>
    <w:rsid w:val="00DE0481"/>
    <w:rsid w:val="00DE066A"/>
    <w:rsid w:val="00DE079C"/>
    <w:rsid w:val="00DE07F2"/>
    <w:rsid w:val="00DE07F6"/>
    <w:rsid w:val="00DE08D4"/>
    <w:rsid w:val="00DE0AB4"/>
    <w:rsid w:val="00DE0ED9"/>
    <w:rsid w:val="00DE1274"/>
    <w:rsid w:val="00DE12F3"/>
    <w:rsid w:val="00DE14C8"/>
    <w:rsid w:val="00DE15EC"/>
    <w:rsid w:val="00DE17B8"/>
    <w:rsid w:val="00DE1DC2"/>
    <w:rsid w:val="00DE1E3C"/>
    <w:rsid w:val="00DE1E80"/>
    <w:rsid w:val="00DE1F3C"/>
    <w:rsid w:val="00DE20F9"/>
    <w:rsid w:val="00DE217F"/>
    <w:rsid w:val="00DE21C0"/>
    <w:rsid w:val="00DE2297"/>
    <w:rsid w:val="00DE22BF"/>
    <w:rsid w:val="00DE2758"/>
    <w:rsid w:val="00DE29B2"/>
    <w:rsid w:val="00DE2B80"/>
    <w:rsid w:val="00DE37CA"/>
    <w:rsid w:val="00DE3C8A"/>
    <w:rsid w:val="00DE3E33"/>
    <w:rsid w:val="00DE3E74"/>
    <w:rsid w:val="00DE3F2A"/>
    <w:rsid w:val="00DE403C"/>
    <w:rsid w:val="00DE41A9"/>
    <w:rsid w:val="00DE42B0"/>
    <w:rsid w:val="00DE43EF"/>
    <w:rsid w:val="00DE444C"/>
    <w:rsid w:val="00DE45C7"/>
    <w:rsid w:val="00DE483A"/>
    <w:rsid w:val="00DE4D42"/>
    <w:rsid w:val="00DE4F1F"/>
    <w:rsid w:val="00DE4F3F"/>
    <w:rsid w:val="00DE4FA0"/>
    <w:rsid w:val="00DE4FAA"/>
    <w:rsid w:val="00DE515A"/>
    <w:rsid w:val="00DE51BC"/>
    <w:rsid w:val="00DE5210"/>
    <w:rsid w:val="00DE5238"/>
    <w:rsid w:val="00DE53E3"/>
    <w:rsid w:val="00DE5545"/>
    <w:rsid w:val="00DE5942"/>
    <w:rsid w:val="00DE59CD"/>
    <w:rsid w:val="00DE59E5"/>
    <w:rsid w:val="00DE5DA3"/>
    <w:rsid w:val="00DE5EF8"/>
    <w:rsid w:val="00DE6216"/>
    <w:rsid w:val="00DE636A"/>
    <w:rsid w:val="00DE6412"/>
    <w:rsid w:val="00DE66DC"/>
    <w:rsid w:val="00DE678B"/>
    <w:rsid w:val="00DE6A36"/>
    <w:rsid w:val="00DE6AAA"/>
    <w:rsid w:val="00DE6CD6"/>
    <w:rsid w:val="00DE6F98"/>
    <w:rsid w:val="00DE6FB3"/>
    <w:rsid w:val="00DE703A"/>
    <w:rsid w:val="00DE7087"/>
    <w:rsid w:val="00DE741B"/>
    <w:rsid w:val="00DE78BF"/>
    <w:rsid w:val="00DE7947"/>
    <w:rsid w:val="00DE7E67"/>
    <w:rsid w:val="00DE7FB9"/>
    <w:rsid w:val="00DF022C"/>
    <w:rsid w:val="00DF0360"/>
    <w:rsid w:val="00DF0708"/>
    <w:rsid w:val="00DF154C"/>
    <w:rsid w:val="00DF1556"/>
    <w:rsid w:val="00DF16D1"/>
    <w:rsid w:val="00DF1927"/>
    <w:rsid w:val="00DF1A47"/>
    <w:rsid w:val="00DF1AA6"/>
    <w:rsid w:val="00DF1FCC"/>
    <w:rsid w:val="00DF202D"/>
    <w:rsid w:val="00DF2663"/>
    <w:rsid w:val="00DF26D9"/>
    <w:rsid w:val="00DF2AE5"/>
    <w:rsid w:val="00DF308F"/>
    <w:rsid w:val="00DF3177"/>
    <w:rsid w:val="00DF32B6"/>
    <w:rsid w:val="00DF346C"/>
    <w:rsid w:val="00DF3480"/>
    <w:rsid w:val="00DF3550"/>
    <w:rsid w:val="00DF3649"/>
    <w:rsid w:val="00DF3BFB"/>
    <w:rsid w:val="00DF3E08"/>
    <w:rsid w:val="00DF4004"/>
    <w:rsid w:val="00DF4083"/>
    <w:rsid w:val="00DF42DB"/>
    <w:rsid w:val="00DF4363"/>
    <w:rsid w:val="00DF4909"/>
    <w:rsid w:val="00DF49CF"/>
    <w:rsid w:val="00DF49D1"/>
    <w:rsid w:val="00DF4A05"/>
    <w:rsid w:val="00DF4B52"/>
    <w:rsid w:val="00DF4D94"/>
    <w:rsid w:val="00DF4DE8"/>
    <w:rsid w:val="00DF5005"/>
    <w:rsid w:val="00DF50FA"/>
    <w:rsid w:val="00DF51CE"/>
    <w:rsid w:val="00DF544F"/>
    <w:rsid w:val="00DF5658"/>
    <w:rsid w:val="00DF57E9"/>
    <w:rsid w:val="00DF58E7"/>
    <w:rsid w:val="00DF5A31"/>
    <w:rsid w:val="00DF5B97"/>
    <w:rsid w:val="00DF5C6D"/>
    <w:rsid w:val="00DF5E7D"/>
    <w:rsid w:val="00DF5FDB"/>
    <w:rsid w:val="00DF62A9"/>
    <w:rsid w:val="00DF660C"/>
    <w:rsid w:val="00DF68BE"/>
    <w:rsid w:val="00DF6B7B"/>
    <w:rsid w:val="00DF6DC0"/>
    <w:rsid w:val="00DF6DC4"/>
    <w:rsid w:val="00DF6EEF"/>
    <w:rsid w:val="00DF7049"/>
    <w:rsid w:val="00DF7246"/>
    <w:rsid w:val="00DF7486"/>
    <w:rsid w:val="00DF7900"/>
    <w:rsid w:val="00E003C3"/>
    <w:rsid w:val="00E004C8"/>
    <w:rsid w:val="00E00562"/>
    <w:rsid w:val="00E00575"/>
    <w:rsid w:val="00E00666"/>
    <w:rsid w:val="00E006FA"/>
    <w:rsid w:val="00E007C7"/>
    <w:rsid w:val="00E00DB5"/>
    <w:rsid w:val="00E00E07"/>
    <w:rsid w:val="00E00E2F"/>
    <w:rsid w:val="00E01033"/>
    <w:rsid w:val="00E01099"/>
    <w:rsid w:val="00E01204"/>
    <w:rsid w:val="00E012D3"/>
    <w:rsid w:val="00E0187E"/>
    <w:rsid w:val="00E01B65"/>
    <w:rsid w:val="00E01BC5"/>
    <w:rsid w:val="00E01D44"/>
    <w:rsid w:val="00E01F37"/>
    <w:rsid w:val="00E020E6"/>
    <w:rsid w:val="00E02210"/>
    <w:rsid w:val="00E02316"/>
    <w:rsid w:val="00E02488"/>
    <w:rsid w:val="00E0267A"/>
    <w:rsid w:val="00E028A2"/>
    <w:rsid w:val="00E029BD"/>
    <w:rsid w:val="00E02AD3"/>
    <w:rsid w:val="00E02B8B"/>
    <w:rsid w:val="00E02CC9"/>
    <w:rsid w:val="00E02DAC"/>
    <w:rsid w:val="00E02F69"/>
    <w:rsid w:val="00E032B0"/>
    <w:rsid w:val="00E0340C"/>
    <w:rsid w:val="00E035D0"/>
    <w:rsid w:val="00E03692"/>
    <w:rsid w:val="00E03695"/>
    <w:rsid w:val="00E036CE"/>
    <w:rsid w:val="00E038E8"/>
    <w:rsid w:val="00E03C84"/>
    <w:rsid w:val="00E03DCC"/>
    <w:rsid w:val="00E03DE1"/>
    <w:rsid w:val="00E03DFF"/>
    <w:rsid w:val="00E03E97"/>
    <w:rsid w:val="00E041A5"/>
    <w:rsid w:val="00E04780"/>
    <w:rsid w:val="00E048E0"/>
    <w:rsid w:val="00E04941"/>
    <w:rsid w:val="00E04A96"/>
    <w:rsid w:val="00E04D36"/>
    <w:rsid w:val="00E04E39"/>
    <w:rsid w:val="00E0509D"/>
    <w:rsid w:val="00E050DD"/>
    <w:rsid w:val="00E05174"/>
    <w:rsid w:val="00E05573"/>
    <w:rsid w:val="00E055EE"/>
    <w:rsid w:val="00E057C3"/>
    <w:rsid w:val="00E05884"/>
    <w:rsid w:val="00E058B6"/>
    <w:rsid w:val="00E059B6"/>
    <w:rsid w:val="00E05BC1"/>
    <w:rsid w:val="00E0607E"/>
    <w:rsid w:val="00E061D4"/>
    <w:rsid w:val="00E063D1"/>
    <w:rsid w:val="00E06550"/>
    <w:rsid w:val="00E06893"/>
    <w:rsid w:val="00E069FE"/>
    <w:rsid w:val="00E06A56"/>
    <w:rsid w:val="00E06B1E"/>
    <w:rsid w:val="00E06EF5"/>
    <w:rsid w:val="00E0748F"/>
    <w:rsid w:val="00E07821"/>
    <w:rsid w:val="00E078AE"/>
    <w:rsid w:val="00E07CF7"/>
    <w:rsid w:val="00E07E0C"/>
    <w:rsid w:val="00E10103"/>
    <w:rsid w:val="00E1020D"/>
    <w:rsid w:val="00E10266"/>
    <w:rsid w:val="00E1032C"/>
    <w:rsid w:val="00E10336"/>
    <w:rsid w:val="00E105DE"/>
    <w:rsid w:val="00E1074C"/>
    <w:rsid w:val="00E1075C"/>
    <w:rsid w:val="00E10941"/>
    <w:rsid w:val="00E109A8"/>
    <w:rsid w:val="00E10B9C"/>
    <w:rsid w:val="00E10C66"/>
    <w:rsid w:val="00E10C7C"/>
    <w:rsid w:val="00E10EC2"/>
    <w:rsid w:val="00E111B4"/>
    <w:rsid w:val="00E11225"/>
    <w:rsid w:val="00E11388"/>
    <w:rsid w:val="00E11535"/>
    <w:rsid w:val="00E1158D"/>
    <w:rsid w:val="00E11699"/>
    <w:rsid w:val="00E116B7"/>
    <w:rsid w:val="00E116BB"/>
    <w:rsid w:val="00E117B4"/>
    <w:rsid w:val="00E11876"/>
    <w:rsid w:val="00E11BB0"/>
    <w:rsid w:val="00E11C44"/>
    <w:rsid w:val="00E11D1E"/>
    <w:rsid w:val="00E11E73"/>
    <w:rsid w:val="00E11E79"/>
    <w:rsid w:val="00E11EBF"/>
    <w:rsid w:val="00E11EF6"/>
    <w:rsid w:val="00E11F35"/>
    <w:rsid w:val="00E121EF"/>
    <w:rsid w:val="00E122D6"/>
    <w:rsid w:val="00E12580"/>
    <w:rsid w:val="00E127F3"/>
    <w:rsid w:val="00E12BA1"/>
    <w:rsid w:val="00E12C40"/>
    <w:rsid w:val="00E12CEA"/>
    <w:rsid w:val="00E12D2C"/>
    <w:rsid w:val="00E12E42"/>
    <w:rsid w:val="00E13941"/>
    <w:rsid w:val="00E13AE4"/>
    <w:rsid w:val="00E13C0F"/>
    <w:rsid w:val="00E13CD8"/>
    <w:rsid w:val="00E14144"/>
    <w:rsid w:val="00E14286"/>
    <w:rsid w:val="00E1430A"/>
    <w:rsid w:val="00E1431B"/>
    <w:rsid w:val="00E147FA"/>
    <w:rsid w:val="00E14C95"/>
    <w:rsid w:val="00E14D63"/>
    <w:rsid w:val="00E14E63"/>
    <w:rsid w:val="00E14F90"/>
    <w:rsid w:val="00E151D3"/>
    <w:rsid w:val="00E15258"/>
    <w:rsid w:val="00E15293"/>
    <w:rsid w:val="00E15386"/>
    <w:rsid w:val="00E1566A"/>
    <w:rsid w:val="00E15B1C"/>
    <w:rsid w:val="00E15BF4"/>
    <w:rsid w:val="00E15C43"/>
    <w:rsid w:val="00E15C5D"/>
    <w:rsid w:val="00E15EAB"/>
    <w:rsid w:val="00E16189"/>
    <w:rsid w:val="00E16435"/>
    <w:rsid w:val="00E1684F"/>
    <w:rsid w:val="00E16893"/>
    <w:rsid w:val="00E16903"/>
    <w:rsid w:val="00E16959"/>
    <w:rsid w:val="00E1700F"/>
    <w:rsid w:val="00E1770A"/>
    <w:rsid w:val="00E17795"/>
    <w:rsid w:val="00E1786C"/>
    <w:rsid w:val="00E1788C"/>
    <w:rsid w:val="00E17CE1"/>
    <w:rsid w:val="00E17D5D"/>
    <w:rsid w:val="00E17F2E"/>
    <w:rsid w:val="00E17FA1"/>
    <w:rsid w:val="00E20010"/>
    <w:rsid w:val="00E200C2"/>
    <w:rsid w:val="00E2013A"/>
    <w:rsid w:val="00E202D1"/>
    <w:rsid w:val="00E20428"/>
    <w:rsid w:val="00E20637"/>
    <w:rsid w:val="00E20E9E"/>
    <w:rsid w:val="00E210F0"/>
    <w:rsid w:val="00E2137D"/>
    <w:rsid w:val="00E217B9"/>
    <w:rsid w:val="00E21A3A"/>
    <w:rsid w:val="00E21C7D"/>
    <w:rsid w:val="00E21F03"/>
    <w:rsid w:val="00E21F65"/>
    <w:rsid w:val="00E2211E"/>
    <w:rsid w:val="00E22267"/>
    <w:rsid w:val="00E22326"/>
    <w:rsid w:val="00E22626"/>
    <w:rsid w:val="00E226B2"/>
    <w:rsid w:val="00E22DC9"/>
    <w:rsid w:val="00E22EB3"/>
    <w:rsid w:val="00E22F8E"/>
    <w:rsid w:val="00E2314A"/>
    <w:rsid w:val="00E23239"/>
    <w:rsid w:val="00E232A5"/>
    <w:rsid w:val="00E233E8"/>
    <w:rsid w:val="00E23564"/>
    <w:rsid w:val="00E23789"/>
    <w:rsid w:val="00E23CBB"/>
    <w:rsid w:val="00E23DA3"/>
    <w:rsid w:val="00E2431A"/>
    <w:rsid w:val="00E24334"/>
    <w:rsid w:val="00E2434F"/>
    <w:rsid w:val="00E245FB"/>
    <w:rsid w:val="00E2478A"/>
    <w:rsid w:val="00E24AD7"/>
    <w:rsid w:val="00E24D93"/>
    <w:rsid w:val="00E24EE8"/>
    <w:rsid w:val="00E24F2E"/>
    <w:rsid w:val="00E25011"/>
    <w:rsid w:val="00E25019"/>
    <w:rsid w:val="00E25241"/>
    <w:rsid w:val="00E252B2"/>
    <w:rsid w:val="00E252B5"/>
    <w:rsid w:val="00E25339"/>
    <w:rsid w:val="00E254E3"/>
    <w:rsid w:val="00E2558F"/>
    <w:rsid w:val="00E2561E"/>
    <w:rsid w:val="00E2578C"/>
    <w:rsid w:val="00E257B3"/>
    <w:rsid w:val="00E2587F"/>
    <w:rsid w:val="00E25888"/>
    <w:rsid w:val="00E25ABA"/>
    <w:rsid w:val="00E25BD5"/>
    <w:rsid w:val="00E25E10"/>
    <w:rsid w:val="00E2669C"/>
    <w:rsid w:val="00E2675B"/>
    <w:rsid w:val="00E26B64"/>
    <w:rsid w:val="00E26EB3"/>
    <w:rsid w:val="00E27004"/>
    <w:rsid w:val="00E27390"/>
    <w:rsid w:val="00E27671"/>
    <w:rsid w:val="00E276CB"/>
    <w:rsid w:val="00E27E11"/>
    <w:rsid w:val="00E27E90"/>
    <w:rsid w:val="00E27EB5"/>
    <w:rsid w:val="00E30263"/>
    <w:rsid w:val="00E303F2"/>
    <w:rsid w:val="00E3061E"/>
    <w:rsid w:val="00E3064A"/>
    <w:rsid w:val="00E308C0"/>
    <w:rsid w:val="00E3096B"/>
    <w:rsid w:val="00E30AA3"/>
    <w:rsid w:val="00E30E40"/>
    <w:rsid w:val="00E30E4D"/>
    <w:rsid w:val="00E30FBE"/>
    <w:rsid w:val="00E310AA"/>
    <w:rsid w:val="00E310F2"/>
    <w:rsid w:val="00E3129D"/>
    <w:rsid w:val="00E3137B"/>
    <w:rsid w:val="00E31890"/>
    <w:rsid w:val="00E31A43"/>
    <w:rsid w:val="00E31B44"/>
    <w:rsid w:val="00E31C2A"/>
    <w:rsid w:val="00E32130"/>
    <w:rsid w:val="00E32243"/>
    <w:rsid w:val="00E324A0"/>
    <w:rsid w:val="00E325E5"/>
    <w:rsid w:val="00E325E6"/>
    <w:rsid w:val="00E326BA"/>
    <w:rsid w:val="00E32744"/>
    <w:rsid w:val="00E32794"/>
    <w:rsid w:val="00E328BA"/>
    <w:rsid w:val="00E32A86"/>
    <w:rsid w:val="00E32BC5"/>
    <w:rsid w:val="00E33008"/>
    <w:rsid w:val="00E3303D"/>
    <w:rsid w:val="00E331B7"/>
    <w:rsid w:val="00E33272"/>
    <w:rsid w:val="00E335B4"/>
    <w:rsid w:val="00E33780"/>
    <w:rsid w:val="00E33919"/>
    <w:rsid w:val="00E339A2"/>
    <w:rsid w:val="00E339F5"/>
    <w:rsid w:val="00E33A89"/>
    <w:rsid w:val="00E33B47"/>
    <w:rsid w:val="00E33BC6"/>
    <w:rsid w:val="00E33D4B"/>
    <w:rsid w:val="00E33D53"/>
    <w:rsid w:val="00E33EFD"/>
    <w:rsid w:val="00E33F12"/>
    <w:rsid w:val="00E34266"/>
    <w:rsid w:val="00E342FE"/>
    <w:rsid w:val="00E346C4"/>
    <w:rsid w:val="00E34A19"/>
    <w:rsid w:val="00E34F80"/>
    <w:rsid w:val="00E351C3"/>
    <w:rsid w:val="00E352DD"/>
    <w:rsid w:val="00E35314"/>
    <w:rsid w:val="00E354D3"/>
    <w:rsid w:val="00E35519"/>
    <w:rsid w:val="00E35532"/>
    <w:rsid w:val="00E3586C"/>
    <w:rsid w:val="00E358C3"/>
    <w:rsid w:val="00E35A98"/>
    <w:rsid w:val="00E35C85"/>
    <w:rsid w:val="00E35DA3"/>
    <w:rsid w:val="00E35E12"/>
    <w:rsid w:val="00E362C0"/>
    <w:rsid w:val="00E363D1"/>
    <w:rsid w:val="00E36456"/>
    <w:rsid w:val="00E36597"/>
    <w:rsid w:val="00E36693"/>
    <w:rsid w:val="00E36708"/>
    <w:rsid w:val="00E36820"/>
    <w:rsid w:val="00E36844"/>
    <w:rsid w:val="00E368BE"/>
    <w:rsid w:val="00E36C21"/>
    <w:rsid w:val="00E36D0D"/>
    <w:rsid w:val="00E36E3B"/>
    <w:rsid w:val="00E36F62"/>
    <w:rsid w:val="00E36FE4"/>
    <w:rsid w:val="00E37131"/>
    <w:rsid w:val="00E37B59"/>
    <w:rsid w:val="00E37DE4"/>
    <w:rsid w:val="00E37F6D"/>
    <w:rsid w:val="00E40019"/>
    <w:rsid w:val="00E4015E"/>
    <w:rsid w:val="00E401C4"/>
    <w:rsid w:val="00E4045F"/>
    <w:rsid w:val="00E411CE"/>
    <w:rsid w:val="00E4135C"/>
    <w:rsid w:val="00E41636"/>
    <w:rsid w:val="00E4178B"/>
    <w:rsid w:val="00E419E0"/>
    <w:rsid w:val="00E41BF7"/>
    <w:rsid w:val="00E424AC"/>
    <w:rsid w:val="00E425AC"/>
    <w:rsid w:val="00E426A2"/>
    <w:rsid w:val="00E429A9"/>
    <w:rsid w:val="00E42ACB"/>
    <w:rsid w:val="00E42D2C"/>
    <w:rsid w:val="00E42D85"/>
    <w:rsid w:val="00E42ECD"/>
    <w:rsid w:val="00E42EDE"/>
    <w:rsid w:val="00E43110"/>
    <w:rsid w:val="00E43420"/>
    <w:rsid w:val="00E436A8"/>
    <w:rsid w:val="00E438CF"/>
    <w:rsid w:val="00E43A2E"/>
    <w:rsid w:val="00E43E70"/>
    <w:rsid w:val="00E43E99"/>
    <w:rsid w:val="00E43EBE"/>
    <w:rsid w:val="00E4405E"/>
    <w:rsid w:val="00E440D5"/>
    <w:rsid w:val="00E4442F"/>
    <w:rsid w:val="00E44509"/>
    <w:rsid w:val="00E44CB9"/>
    <w:rsid w:val="00E44D39"/>
    <w:rsid w:val="00E44DA7"/>
    <w:rsid w:val="00E45019"/>
    <w:rsid w:val="00E452D5"/>
    <w:rsid w:val="00E453F0"/>
    <w:rsid w:val="00E4543F"/>
    <w:rsid w:val="00E45450"/>
    <w:rsid w:val="00E45453"/>
    <w:rsid w:val="00E45536"/>
    <w:rsid w:val="00E4559F"/>
    <w:rsid w:val="00E45B4E"/>
    <w:rsid w:val="00E45BC7"/>
    <w:rsid w:val="00E45F97"/>
    <w:rsid w:val="00E46077"/>
    <w:rsid w:val="00E46201"/>
    <w:rsid w:val="00E466F5"/>
    <w:rsid w:val="00E46706"/>
    <w:rsid w:val="00E46806"/>
    <w:rsid w:val="00E46846"/>
    <w:rsid w:val="00E46888"/>
    <w:rsid w:val="00E46907"/>
    <w:rsid w:val="00E46A54"/>
    <w:rsid w:val="00E46B60"/>
    <w:rsid w:val="00E46D1E"/>
    <w:rsid w:val="00E46D49"/>
    <w:rsid w:val="00E47281"/>
    <w:rsid w:val="00E47381"/>
    <w:rsid w:val="00E47461"/>
    <w:rsid w:val="00E4760C"/>
    <w:rsid w:val="00E476DD"/>
    <w:rsid w:val="00E4775A"/>
    <w:rsid w:val="00E4791E"/>
    <w:rsid w:val="00E47A32"/>
    <w:rsid w:val="00E47B26"/>
    <w:rsid w:val="00E47CEB"/>
    <w:rsid w:val="00E47FF5"/>
    <w:rsid w:val="00E50137"/>
    <w:rsid w:val="00E50258"/>
    <w:rsid w:val="00E5028E"/>
    <w:rsid w:val="00E50613"/>
    <w:rsid w:val="00E50D3B"/>
    <w:rsid w:val="00E50F67"/>
    <w:rsid w:val="00E51024"/>
    <w:rsid w:val="00E51545"/>
    <w:rsid w:val="00E5182F"/>
    <w:rsid w:val="00E519D7"/>
    <w:rsid w:val="00E51F3E"/>
    <w:rsid w:val="00E51FC7"/>
    <w:rsid w:val="00E522D5"/>
    <w:rsid w:val="00E52397"/>
    <w:rsid w:val="00E52460"/>
    <w:rsid w:val="00E5275B"/>
    <w:rsid w:val="00E52818"/>
    <w:rsid w:val="00E52B05"/>
    <w:rsid w:val="00E52CCB"/>
    <w:rsid w:val="00E52CF8"/>
    <w:rsid w:val="00E52E64"/>
    <w:rsid w:val="00E52ED7"/>
    <w:rsid w:val="00E53121"/>
    <w:rsid w:val="00E53128"/>
    <w:rsid w:val="00E533B2"/>
    <w:rsid w:val="00E53438"/>
    <w:rsid w:val="00E535B0"/>
    <w:rsid w:val="00E53605"/>
    <w:rsid w:val="00E53724"/>
    <w:rsid w:val="00E53D5F"/>
    <w:rsid w:val="00E53EED"/>
    <w:rsid w:val="00E540A9"/>
    <w:rsid w:val="00E540BC"/>
    <w:rsid w:val="00E54488"/>
    <w:rsid w:val="00E545A9"/>
    <w:rsid w:val="00E54876"/>
    <w:rsid w:val="00E54B55"/>
    <w:rsid w:val="00E54D46"/>
    <w:rsid w:val="00E54DF8"/>
    <w:rsid w:val="00E54E2C"/>
    <w:rsid w:val="00E54E9C"/>
    <w:rsid w:val="00E54FB0"/>
    <w:rsid w:val="00E5514A"/>
    <w:rsid w:val="00E55246"/>
    <w:rsid w:val="00E5540A"/>
    <w:rsid w:val="00E55740"/>
    <w:rsid w:val="00E5581C"/>
    <w:rsid w:val="00E55868"/>
    <w:rsid w:val="00E55AD2"/>
    <w:rsid w:val="00E55BE9"/>
    <w:rsid w:val="00E55C85"/>
    <w:rsid w:val="00E55ED0"/>
    <w:rsid w:val="00E55F16"/>
    <w:rsid w:val="00E560D5"/>
    <w:rsid w:val="00E5624F"/>
    <w:rsid w:val="00E5661E"/>
    <w:rsid w:val="00E566E5"/>
    <w:rsid w:val="00E56984"/>
    <w:rsid w:val="00E5698C"/>
    <w:rsid w:val="00E56A9E"/>
    <w:rsid w:val="00E56EF5"/>
    <w:rsid w:val="00E56F1F"/>
    <w:rsid w:val="00E56F51"/>
    <w:rsid w:val="00E57053"/>
    <w:rsid w:val="00E57128"/>
    <w:rsid w:val="00E57355"/>
    <w:rsid w:val="00E5743E"/>
    <w:rsid w:val="00E57466"/>
    <w:rsid w:val="00E57AAA"/>
    <w:rsid w:val="00E57B4E"/>
    <w:rsid w:val="00E57B61"/>
    <w:rsid w:val="00E60001"/>
    <w:rsid w:val="00E6001D"/>
    <w:rsid w:val="00E6009F"/>
    <w:rsid w:val="00E600DC"/>
    <w:rsid w:val="00E60294"/>
    <w:rsid w:val="00E603C7"/>
    <w:rsid w:val="00E604B0"/>
    <w:rsid w:val="00E6051C"/>
    <w:rsid w:val="00E60663"/>
    <w:rsid w:val="00E606D8"/>
    <w:rsid w:val="00E608F3"/>
    <w:rsid w:val="00E60A1A"/>
    <w:rsid w:val="00E60CF4"/>
    <w:rsid w:val="00E61164"/>
    <w:rsid w:val="00E6116A"/>
    <w:rsid w:val="00E61209"/>
    <w:rsid w:val="00E61499"/>
    <w:rsid w:val="00E6197F"/>
    <w:rsid w:val="00E61A5F"/>
    <w:rsid w:val="00E61A81"/>
    <w:rsid w:val="00E61FA3"/>
    <w:rsid w:val="00E623CC"/>
    <w:rsid w:val="00E62880"/>
    <w:rsid w:val="00E628B9"/>
    <w:rsid w:val="00E62A0A"/>
    <w:rsid w:val="00E62A88"/>
    <w:rsid w:val="00E62C8D"/>
    <w:rsid w:val="00E62CB6"/>
    <w:rsid w:val="00E62E6C"/>
    <w:rsid w:val="00E630E5"/>
    <w:rsid w:val="00E63112"/>
    <w:rsid w:val="00E632E7"/>
    <w:rsid w:val="00E633CB"/>
    <w:rsid w:val="00E634A5"/>
    <w:rsid w:val="00E63743"/>
    <w:rsid w:val="00E63AC4"/>
    <w:rsid w:val="00E63BB9"/>
    <w:rsid w:val="00E63EA2"/>
    <w:rsid w:val="00E6402F"/>
    <w:rsid w:val="00E640FD"/>
    <w:rsid w:val="00E641EB"/>
    <w:rsid w:val="00E6434C"/>
    <w:rsid w:val="00E645FE"/>
    <w:rsid w:val="00E646AC"/>
    <w:rsid w:val="00E64919"/>
    <w:rsid w:val="00E64943"/>
    <w:rsid w:val="00E64A75"/>
    <w:rsid w:val="00E64C8E"/>
    <w:rsid w:val="00E64D03"/>
    <w:rsid w:val="00E64D20"/>
    <w:rsid w:val="00E64EBD"/>
    <w:rsid w:val="00E650A0"/>
    <w:rsid w:val="00E650EC"/>
    <w:rsid w:val="00E653F8"/>
    <w:rsid w:val="00E6569E"/>
    <w:rsid w:val="00E658B6"/>
    <w:rsid w:val="00E65B1F"/>
    <w:rsid w:val="00E65B38"/>
    <w:rsid w:val="00E65D9B"/>
    <w:rsid w:val="00E65ED1"/>
    <w:rsid w:val="00E660EC"/>
    <w:rsid w:val="00E66197"/>
    <w:rsid w:val="00E6658A"/>
    <w:rsid w:val="00E6658D"/>
    <w:rsid w:val="00E66837"/>
    <w:rsid w:val="00E6690B"/>
    <w:rsid w:val="00E66A82"/>
    <w:rsid w:val="00E66B17"/>
    <w:rsid w:val="00E66C5C"/>
    <w:rsid w:val="00E66FFC"/>
    <w:rsid w:val="00E67206"/>
    <w:rsid w:val="00E672F4"/>
    <w:rsid w:val="00E67FF1"/>
    <w:rsid w:val="00E700EE"/>
    <w:rsid w:val="00E70130"/>
    <w:rsid w:val="00E701BA"/>
    <w:rsid w:val="00E70536"/>
    <w:rsid w:val="00E70823"/>
    <w:rsid w:val="00E70AA7"/>
    <w:rsid w:val="00E70B84"/>
    <w:rsid w:val="00E70B8A"/>
    <w:rsid w:val="00E71038"/>
    <w:rsid w:val="00E713F1"/>
    <w:rsid w:val="00E7141A"/>
    <w:rsid w:val="00E714FB"/>
    <w:rsid w:val="00E71567"/>
    <w:rsid w:val="00E71676"/>
    <w:rsid w:val="00E7185F"/>
    <w:rsid w:val="00E719BA"/>
    <w:rsid w:val="00E71A8D"/>
    <w:rsid w:val="00E71B25"/>
    <w:rsid w:val="00E71CAE"/>
    <w:rsid w:val="00E71CDA"/>
    <w:rsid w:val="00E71E2E"/>
    <w:rsid w:val="00E72293"/>
    <w:rsid w:val="00E72330"/>
    <w:rsid w:val="00E7237E"/>
    <w:rsid w:val="00E725CE"/>
    <w:rsid w:val="00E725FC"/>
    <w:rsid w:val="00E72690"/>
    <w:rsid w:val="00E72AB3"/>
    <w:rsid w:val="00E72BEE"/>
    <w:rsid w:val="00E72C79"/>
    <w:rsid w:val="00E730EB"/>
    <w:rsid w:val="00E73277"/>
    <w:rsid w:val="00E73751"/>
    <w:rsid w:val="00E73AC6"/>
    <w:rsid w:val="00E74363"/>
    <w:rsid w:val="00E74420"/>
    <w:rsid w:val="00E748E0"/>
    <w:rsid w:val="00E74A38"/>
    <w:rsid w:val="00E74CBB"/>
    <w:rsid w:val="00E74D9F"/>
    <w:rsid w:val="00E74EF4"/>
    <w:rsid w:val="00E74F9A"/>
    <w:rsid w:val="00E7524B"/>
    <w:rsid w:val="00E752AC"/>
    <w:rsid w:val="00E75347"/>
    <w:rsid w:val="00E753F2"/>
    <w:rsid w:val="00E7541A"/>
    <w:rsid w:val="00E757C7"/>
    <w:rsid w:val="00E75A69"/>
    <w:rsid w:val="00E75D3D"/>
    <w:rsid w:val="00E75EDE"/>
    <w:rsid w:val="00E760DC"/>
    <w:rsid w:val="00E76871"/>
    <w:rsid w:val="00E76886"/>
    <w:rsid w:val="00E768CB"/>
    <w:rsid w:val="00E76B3D"/>
    <w:rsid w:val="00E76C04"/>
    <w:rsid w:val="00E76E34"/>
    <w:rsid w:val="00E77067"/>
    <w:rsid w:val="00E77143"/>
    <w:rsid w:val="00E773EA"/>
    <w:rsid w:val="00E773F5"/>
    <w:rsid w:val="00E774A5"/>
    <w:rsid w:val="00E77AAD"/>
    <w:rsid w:val="00E77D2B"/>
    <w:rsid w:val="00E77E3A"/>
    <w:rsid w:val="00E8000F"/>
    <w:rsid w:val="00E8016A"/>
    <w:rsid w:val="00E802D3"/>
    <w:rsid w:val="00E8034C"/>
    <w:rsid w:val="00E80379"/>
    <w:rsid w:val="00E8078F"/>
    <w:rsid w:val="00E8093F"/>
    <w:rsid w:val="00E80B5E"/>
    <w:rsid w:val="00E80C81"/>
    <w:rsid w:val="00E80DB5"/>
    <w:rsid w:val="00E80E7F"/>
    <w:rsid w:val="00E816E5"/>
    <w:rsid w:val="00E81704"/>
    <w:rsid w:val="00E81734"/>
    <w:rsid w:val="00E81B71"/>
    <w:rsid w:val="00E81D79"/>
    <w:rsid w:val="00E81D99"/>
    <w:rsid w:val="00E82162"/>
    <w:rsid w:val="00E823E6"/>
    <w:rsid w:val="00E82485"/>
    <w:rsid w:val="00E824B6"/>
    <w:rsid w:val="00E824D6"/>
    <w:rsid w:val="00E827F2"/>
    <w:rsid w:val="00E82A27"/>
    <w:rsid w:val="00E82B64"/>
    <w:rsid w:val="00E83129"/>
    <w:rsid w:val="00E83177"/>
    <w:rsid w:val="00E83355"/>
    <w:rsid w:val="00E8360F"/>
    <w:rsid w:val="00E83732"/>
    <w:rsid w:val="00E8391A"/>
    <w:rsid w:val="00E83C10"/>
    <w:rsid w:val="00E83D69"/>
    <w:rsid w:val="00E83E62"/>
    <w:rsid w:val="00E840FF"/>
    <w:rsid w:val="00E842A4"/>
    <w:rsid w:val="00E842DD"/>
    <w:rsid w:val="00E84304"/>
    <w:rsid w:val="00E84482"/>
    <w:rsid w:val="00E84566"/>
    <w:rsid w:val="00E8475B"/>
    <w:rsid w:val="00E847B4"/>
    <w:rsid w:val="00E8494F"/>
    <w:rsid w:val="00E85463"/>
    <w:rsid w:val="00E8556E"/>
    <w:rsid w:val="00E856E9"/>
    <w:rsid w:val="00E8588B"/>
    <w:rsid w:val="00E85B2A"/>
    <w:rsid w:val="00E85B59"/>
    <w:rsid w:val="00E85F65"/>
    <w:rsid w:val="00E864BB"/>
    <w:rsid w:val="00E864CF"/>
    <w:rsid w:val="00E86520"/>
    <w:rsid w:val="00E866DB"/>
    <w:rsid w:val="00E86D6E"/>
    <w:rsid w:val="00E86E5E"/>
    <w:rsid w:val="00E86EBD"/>
    <w:rsid w:val="00E8707C"/>
    <w:rsid w:val="00E870BD"/>
    <w:rsid w:val="00E872DF"/>
    <w:rsid w:val="00E8739C"/>
    <w:rsid w:val="00E877E9"/>
    <w:rsid w:val="00E8790E"/>
    <w:rsid w:val="00E87B1E"/>
    <w:rsid w:val="00E87B73"/>
    <w:rsid w:val="00E87CCE"/>
    <w:rsid w:val="00E87DE9"/>
    <w:rsid w:val="00E87E62"/>
    <w:rsid w:val="00E87F2F"/>
    <w:rsid w:val="00E9021A"/>
    <w:rsid w:val="00E9028B"/>
    <w:rsid w:val="00E903F0"/>
    <w:rsid w:val="00E903FB"/>
    <w:rsid w:val="00E9043A"/>
    <w:rsid w:val="00E907A0"/>
    <w:rsid w:val="00E909D7"/>
    <w:rsid w:val="00E90BAB"/>
    <w:rsid w:val="00E90BCE"/>
    <w:rsid w:val="00E90BDF"/>
    <w:rsid w:val="00E90C9A"/>
    <w:rsid w:val="00E9102E"/>
    <w:rsid w:val="00E91352"/>
    <w:rsid w:val="00E9147D"/>
    <w:rsid w:val="00E9148D"/>
    <w:rsid w:val="00E915C6"/>
    <w:rsid w:val="00E9162B"/>
    <w:rsid w:val="00E91731"/>
    <w:rsid w:val="00E91751"/>
    <w:rsid w:val="00E9182B"/>
    <w:rsid w:val="00E91A88"/>
    <w:rsid w:val="00E91BBB"/>
    <w:rsid w:val="00E91CAC"/>
    <w:rsid w:val="00E91E0D"/>
    <w:rsid w:val="00E91FD6"/>
    <w:rsid w:val="00E923C3"/>
    <w:rsid w:val="00E925D5"/>
    <w:rsid w:val="00E928BA"/>
    <w:rsid w:val="00E9293A"/>
    <w:rsid w:val="00E92B3C"/>
    <w:rsid w:val="00E92F9A"/>
    <w:rsid w:val="00E92FFE"/>
    <w:rsid w:val="00E93182"/>
    <w:rsid w:val="00E93191"/>
    <w:rsid w:val="00E931E1"/>
    <w:rsid w:val="00E933E3"/>
    <w:rsid w:val="00E93746"/>
    <w:rsid w:val="00E93796"/>
    <w:rsid w:val="00E93833"/>
    <w:rsid w:val="00E93CBD"/>
    <w:rsid w:val="00E93D39"/>
    <w:rsid w:val="00E93F96"/>
    <w:rsid w:val="00E940F1"/>
    <w:rsid w:val="00E94575"/>
    <w:rsid w:val="00E94848"/>
    <w:rsid w:val="00E94A7D"/>
    <w:rsid w:val="00E94C26"/>
    <w:rsid w:val="00E9506B"/>
    <w:rsid w:val="00E95122"/>
    <w:rsid w:val="00E95246"/>
    <w:rsid w:val="00E9540E"/>
    <w:rsid w:val="00E95501"/>
    <w:rsid w:val="00E95D04"/>
    <w:rsid w:val="00E962E3"/>
    <w:rsid w:val="00E965DD"/>
    <w:rsid w:val="00E968AB"/>
    <w:rsid w:val="00E96A46"/>
    <w:rsid w:val="00E96BB7"/>
    <w:rsid w:val="00E96CC3"/>
    <w:rsid w:val="00E96E5F"/>
    <w:rsid w:val="00E96FCE"/>
    <w:rsid w:val="00E9732E"/>
    <w:rsid w:val="00E974BC"/>
    <w:rsid w:val="00E9759E"/>
    <w:rsid w:val="00E97630"/>
    <w:rsid w:val="00E97896"/>
    <w:rsid w:val="00E9794B"/>
    <w:rsid w:val="00E97AEB"/>
    <w:rsid w:val="00E97D6E"/>
    <w:rsid w:val="00E97E5A"/>
    <w:rsid w:val="00E97EE5"/>
    <w:rsid w:val="00E97FD7"/>
    <w:rsid w:val="00EA016A"/>
    <w:rsid w:val="00EA0401"/>
    <w:rsid w:val="00EA04EF"/>
    <w:rsid w:val="00EA083B"/>
    <w:rsid w:val="00EA0863"/>
    <w:rsid w:val="00EA0938"/>
    <w:rsid w:val="00EA0A02"/>
    <w:rsid w:val="00EA0AC4"/>
    <w:rsid w:val="00EA0E0D"/>
    <w:rsid w:val="00EA0FB5"/>
    <w:rsid w:val="00EA0FCE"/>
    <w:rsid w:val="00EA1172"/>
    <w:rsid w:val="00EA1416"/>
    <w:rsid w:val="00EA145B"/>
    <w:rsid w:val="00EA1BFE"/>
    <w:rsid w:val="00EA1D5F"/>
    <w:rsid w:val="00EA1DA7"/>
    <w:rsid w:val="00EA203B"/>
    <w:rsid w:val="00EA20AE"/>
    <w:rsid w:val="00EA22F4"/>
    <w:rsid w:val="00EA254D"/>
    <w:rsid w:val="00EA2569"/>
    <w:rsid w:val="00EA25BC"/>
    <w:rsid w:val="00EA2725"/>
    <w:rsid w:val="00EA27E9"/>
    <w:rsid w:val="00EA2D31"/>
    <w:rsid w:val="00EA3250"/>
    <w:rsid w:val="00EA34B7"/>
    <w:rsid w:val="00EA355E"/>
    <w:rsid w:val="00EA36C6"/>
    <w:rsid w:val="00EA3755"/>
    <w:rsid w:val="00EA37B1"/>
    <w:rsid w:val="00EA37E8"/>
    <w:rsid w:val="00EA3DE5"/>
    <w:rsid w:val="00EA3E22"/>
    <w:rsid w:val="00EA44F7"/>
    <w:rsid w:val="00EA463E"/>
    <w:rsid w:val="00EA464C"/>
    <w:rsid w:val="00EA4661"/>
    <w:rsid w:val="00EA4938"/>
    <w:rsid w:val="00EA5346"/>
    <w:rsid w:val="00EA53BF"/>
    <w:rsid w:val="00EA588E"/>
    <w:rsid w:val="00EA59E6"/>
    <w:rsid w:val="00EA5B50"/>
    <w:rsid w:val="00EA5C2D"/>
    <w:rsid w:val="00EA5DBB"/>
    <w:rsid w:val="00EA6136"/>
    <w:rsid w:val="00EA63B1"/>
    <w:rsid w:val="00EA6EFF"/>
    <w:rsid w:val="00EA71F5"/>
    <w:rsid w:val="00EA72DD"/>
    <w:rsid w:val="00EA7327"/>
    <w:rsid w:val="00EA763B"/>
    <w:rsid w:val="00EA76C3"/>
    <w:rsid w:val="00EA7828"/>
    <w:rsid w:val="00EA7973"/>
    <w:rsid w:val="00EA7AE7"/>
    <w:rsid w:val="00EA7CB5"/>
    <w:rsid w:val="00EB0289"/>
    <w:rsid w:val="00EB05DE"/>
    <w:rsid w:val="00EB07F3"/>
    <w:rsid w:val="00EB09A8"/>
    <w:rsid w:val="00EB0CA8"/>
    <w:rsid w:val="00EB0D9C"/>
    <w:rsid w:val="00EB0DBD"/>
    <w:rsid w:val="00EB0E8E"/>
    <w:rsid w:val="00EB11D6"/>
    <w:rsid w:val="00EB1260"/>
    <w:rsid w:val="00EB19B6"/>
    <w:rsid w:val="00EB19CB"/>
    <w:rsid w:val="00EB1B23"/>
    <w:rsid w:val="00EB1B6A"/>
    <w:rsid w:val="00EB1BD7"/>
    <w:rsid w:val="00EB1C3A"/>
    <w:rsid w:val="00EB1DC0"/>
    <w:rsid w:val="00EB1FE7"/>
    <w:rsid w:val="00EB2051"/>
    <w:rsid w:val="00EB2178"/>
    <w:rsid w:val="00EB21E3"/>
    <w:rsid w:val="00EB23EF"/>
    <w:rsid w:val="00EB252E"/>
    <w:rsid w:val="00EB2782"/>
    <w:rsid w:val="00EB2D4B"/>
    <w:rsid w:val="00EB35B1"/>
    <w:rsid w:val="00EB3613"/>
    <w:rsid w:val="00EB370E"/>
    <w:rsid w:val="00EB3975"/>
    <w:rsid w:val="00EB3B2C"/>
    <w:rsid w:val="00EB3CFC"/>
    <w:rsid w:val="00EB3E8F"/>
    <w:rsid w:val="00EB41FD"/>
    <w:rsid w:val="00EB42F9"/>
    <w:rsid w:val="00EB43E5"/>
    <w:rsid w:val="00EB4583"/>
    <w:rsid w:val="00EB4718"/>
    <w:rsid w:val="00EB47FE"/>
    <w:rsid w:val="00EB4CD0"/>
    <w:rsid w:val="00EB4FD1"/>
    <w:rsid w:val="00EB5486"/>
    <w:rsid w:val="00EB5584"/>
    <w:rsid w:val="00EB59C0"/>
    <w:rsid w:val="00EB5A53"/>
    <w:rsid w:val="00EB5B2A"/>
    <w:rsid w:val="00EB5C7D"/>
    <w:rsid w:val="00EB5F6D"/>
    <w:rsid w:val="00EB60F1"/>
    <w:rsid w:val="00EB614F"/>
    <w:rsid w:val="00EB6220"/>
    <w:rsid w:val="00EB636E"/>
    <w:rsid w:val="00EB69BE"/>
    <w:rsid w:val="00EB69C3"/>
    <w:rsid w:val="00EB6E6B"/>
    <w:rsid w:val="00EB7223"/>
    <w:rsid w:val="00EB725E"/>
    <w:rsid w:val="00EB726E"/>
    <w:rsid w:val="00EB77D7"/>
    <w:rsid w:val="00EB798C"/>
    <w:rsid w:val="00EB79DE"/>
    <w:rsid w:val="00EB7AE8"/>
    <w:rsid w:val="00EB7BE4"/>
    <w:rsid w:val="00EB7C38"/>
    <w:rsid w:val="00EB7DAD"/>
    <w:rsid w:val="00EB7E2E"/>
    <w:rsid w:val="00EC01D2"/>
    <w:rsid w:val="00EC01FB"/>
    <w:rsid w:val="00EC032D"/>
    <w:rsid w:val="00EC086A"/>
    <w:rsid w:val="00EC09D7"/>
    <w:rsid w:val="00EC0A6F"/>
    <w:rsid w:val="00EC0C71"/>
    <w:rsid w:val="00EC0E71"/>
    <w:rsid w:val="00EC124C"/>
    <w:rsid w:val="00EC144B"/>
    <w:rsid w:val="00EC17AC"/>
    <w:rsid w:val="00EC2027"/>
    <w:rsid w:val="00EC2350"/>
    <w:rsid w:val="00EC239E"/>
    <w:rsid w:val="00EC2615"/>
    <w:rsid w:val="00EC281F"/>
    <w:rsid w:val="00EC2907"/>
    <w:rsid w:val="00EC30A7"/>
    <w:rsid w:val="00EC30F9"/>
    <w:rsid w:val="00EC3281"/>
    <w:rsid w:val="00EC33C0"/>
    <w:rsid w:val="00EC3505"/>
    <w:rsid w:val="00EC3803"/>
    <w:rsid w:val="00EC3E14"/>
    <w:rsid w:val="00EC3FF5"/>
    <w:rsid w:val="00EC448D"/>
    <w:rsid w:val="00EC4578"/>
    <w:rsid w:val="00EC486E"/>
    <w:rsid w:val="00EC491E"/>
    <w:rsid w:val="00EC497B"/>
    <w:rsid w:val="00EC4A9B"/>
    <w:rsid w:val="00EC4BB8"/>
    <w:rsid w:val="00EC5218"/>
    <w:rsid w:val="00EC52AB"/>
    <w:rsid w:val="00EC54B9"/>
    <w:rsid w:val="00EC54DB"/>
    <w:rsid w:val="00EC554D"/>
    <w:rsid w:val="00EC5A18"/>
    <w:rsid w:val="00EC5AF4"/>
    <w:rsid w:val="00EC5D70"/>
    <w:rsid w:val="00EC5F58"/>
    <w:rsid w:val="00EC604B"/>
    <w:rsid w:val="00EC6868"/>
    <w:rsid w:val="00EC6A2E"/>
    <w:rsid w:val="00EC6BED"/>
    <w:rsid w:val="00EC6D57"/>
    <w:rsid w:val="00EC70B7"/>
    <w:rsid w:val="00EC722D"/>
    <w:rsid w:val="00EC73D3"/>
    <w:rsid w:val="00EC74AC"/>
    <w:rsid w:val="00EC7515"/>
    <w:rsid w:val="00EC7551"/>
    <w:rsid w:val="00EC76DF"/>
    <w:rsid w:val="00EC7AFD"/>
    <w:rsid w:val="00EC7B33"/>
    <w:rsid w:val="00EC7B6A"/>
    <w:rsid w:val="00EC7CF1"/>
    <w:rsid w:val="00ED002C"/>
    <w:rsid w:val="00ED00E5"/>
    <w:rsid w:val="00ED01B2"/>
    <w:rsid w:val="00ED02F9"/>
    <w:rsid w:val="00ED044D"/>
    <w:rsid w:val="00ED04D1"/>
    <w:rsid w:val="00ED06AC"/>
    <w:rsid w:val="00ED089F"/>
    <w:rsid w:val="00ED08B0"/>
    <w:rsid w:val="00ED0906"/>
    <w:rsid w:val="00ED09A0"/>
    <w:rsid w:val="00ED09CC"/>
    <w:rsid w:val="00ED0D86"/>
    <w:rsid w:val="00ED0F29"/>
    <w:rsid w:val="00ED1258"/>
    <w:rsid w:val="00ED12E6"/>
    <w:rsid w:val="00ED14B6"/>
    <w:rsid w:val="00ED15C5"/>
    <w:rsid w:val="00ED15DB"/>
    <w:rsid w:val="00ED1603"/>
    <w:rsid w:val="00ED169D"/>
    <w:rsid w:val="00ED195D"/>
    <w:rsid w:val="00ED1D12"/>
    <w:rsid w:val="00ED1ED4"/>
    <w:rsid w:val="00ED22AF"/>
    <w:rsid w:val="00ED26EB"/>
    <w:rsid w:val="00ED2773"/>
    <w:rsid w:val="00ED28FE"/>
    <w:rsid w:val="00ED29CF"/>
    <w:rsid w:val="00ED2CB7"/>
    <w:rsid w:val="00ED2D0D"/>
    <w:rsid w:val="00ED3289"/>
    <w:rsid w:val="00ED32AC"/>
    <w:rsid w:val="00ED392B"/>
    <w:rsid w:val="00ED3AFF"/>
    <w:rsid w:val="00ED3B88"/>
    <w:rsid w:val="00ED3C1A"/>
    <w:rsid w:val="00ED3FBE"/>
    <w:rsid w:val="00ED3FE4"/>
    <w:rsid w:val="00ED40C1"/>
    <w:rsid w:val="00ED4379"/>
    <w:rsid w:val="00ED4398"/>
    <w:rsid w:val="00ED4525"/>
    <w:rsid w:val="00ED46D4"/>
    <w:rsid w:val="00ED499B"/>
    <w:rsid w:val="00ED49F6"/>
    <w:rsid w:val="00ED4D65"/>
    <w:rsid w:val="00ED4EC3"/>
    <w:rsid w:val="00ED4F5C"/>
    <w:rsid w:val="00ED516E"/>
    <w:rsid w:val="00ED52BC"/>
    <w:rsid w:val="00ED5346"/>
    <w:rsid w:val="00ED5576"/>
    <w:rsid w:val="00ED5627"/>
    <w:rsid w:val="00ED5676"/>
    <w:rsid w:val="00ED5713"/>
    <w:rsid w:val="00ED5725"/>
    <w:rsid w:val="00ED591C"/>
    <w:rsid w:val="00ED59E1"/>
    <w:rsid w:val="00ED60FA"/>
    <w:rsid w:val="00ED638D"/>
    <w:rsid w:val="00ED65D7"/>
    <w:rsid w:val="00ED67E9"/>
    <w:rsid w:val="00ED6A03"/>
    <w:rsid w:val="00ED6B5B"/>
    <w:rsid w:val="00ED7031"/>
    <w:rsid w:val="00ED70E1"/>
    <w:rsid w:val="00ED73A0"/>
    <w:rsid w:val="00ED7433"/>
    <w:rsid w:val="00ED7652"/>
    <w:rsid w:val="00ED7693"/>
    <w:rsid w:val="00ED76B0"/>
    <w:rsid w:val="00ED77CD"/>
    <w:rsid w:val="00ED794D"/>
    <w:rsid w:val="00ED79EC"/>
    <w:rsid w:val="00ED7BD8"/>
    <w:rsid w:val="00ED7CDC"/>
    <w:rsid w:val="00ED7FBB"/>
    <w:rsid w:val="00EE000B"/>
    <w:rsid w:val="00EE0097"/>
    <w:rsid w:val="00EE0134"/>
    <w:rsid w:val="00EE0410"/>
    <w:rsid w:val="00EE07AF"/>
    <w:rsid w:val="00EE07B6"/>
    <w:rsid w:val="00EE0D60"/>
    <w:rsid w:val="00EE114C"/>
    <w:rsid w:val="00EE1A79"/>
    <w:rsid w:val="00EE1D51"/>
    <w:rsid w:val="00EE1DBE"/>
    <w:rsid w:val="00EE1E3E"/>
    <w:rsid w:val="00EE1E93"/>
    <w:rsid w:val="00EE24DF"/>
    <w:rsid w:val="00EE2537"/>
    <w:rsid w:val="00EE293A"/>
    <w:rsid w:val="00EE29BE"/>
    <w:rsid w:val="00EE2D03"/>
    <w:rsid w:val="00EE2E63"/>
    <w:rsid w:val="00EE3060"/>
    <w:rsid w:val="00EE333A"/>
    <w:rsid w:val="00EE35AA"/>
    <w:rsid w:val="00EE3882"/>
    <w:rsid w:val="00EE40D3"/>
    <w:rsid w:val="00EE41C6"/>
    <w:rsid w:val="00EE4315"/>
    <w:rsid w:val="00EE45BB"/>
    <w:rsid w:val="00EE4673"/>
    <w:rsid w:val="00EE4716"/>
    <w:rsid w:val="00EE53A0"/>
    <w:rsid w:val="00EE54D5"/>
    <w:rsid w:val="00EE55C2"/>
    <w:rsid w:val="00EE5917"/>
    <w:rsid w:val="00EE5BC9"/>
    <w:rsid w:val="00EE5C60"/>
    <w:rsid w:val="00EE5D72"/>
    <w:rsid w:val="00EE5E0C"/>
    <w:rsid w:val="00EE6067"/>
    <w:rsid w:val="00EE63BA"/>
    <w:rsid w:val="00EE656B"/>
    <w:rsid w:val="00EE6A6D"/>
    <w:rsid w:val="00EE6AE8"/>
    <w:rsid w:val="00EE6B53"/>
    <w:rsid w:val="00EE6B71"/>
    <w:rsid w:val="00EE6C45"/>
    <w:rsid w:val="00EE6D73"/>
    <w:rsid w:val="00EE6E26"/>
    <w:rsid w:val="00EE6F8B"/>
    <w:rsid w:val="00EE7071"/>
    <w:rsid w:val="00EE709B"/>
    <w:rsid w:val="00EE713A"/>
    <w:rsid w:val="00EE7153"/>
    <w:rsid w:val="00EE7749"/>
    <w:rsid w:val="00EE7CF7"/>
    <w:rsid w:val="00EF0405"/>
    <w:rsid w:val="00EF04A1"/>
    <w:rsid w:val="00EF0568"/>
    <w:rsid w:val="00EF0630"/>
    <w:rsid w:val="00EF06C5"/>
    <w:rsid w:val="00EF0767"/>
    <w:rsid w:val="00EF07A1"/>
    <w:rsid w:val="00EF08E2"/>
    <w:rsid w:val="00EF08F5"/>
    <w:rsid w:val="00EF0A25"/>
    <w:rsid w:val="00EF0F7E"/>
    <w:rsid w:val="00EF10EA"/>
    <w:rsid w:val="00EF11CE"/>
    <w:rsid w:val="00EF133E"/>
    <w:rsid w:val="00EF1451"/>
    <w:rsid w:val="00EF17A5"/>
    <w:rsid w:val="00EF1AC9"/>
    <w:rsid w:val="00EF21C9"/>
    <w:rsid w:val="00EF26D7"/>
    <w:rsid w:val="00EF2770"/>
    <w:rsid w:val="00EF2CBB"/>
    <w:rsid w:val="00EF2E4A"/>
    <w:rsid w:val="00EF2E79"/>
    <w:rsid w:val="00EF300A"/>
    <w:rsid w:val="00EF30BB"/>
    <w:rsid w:val="00EF36D4"/>
    <w:rsid w:val="00EF3721"/>
    <w:rsid w:val="00EF3841"/>
    <w:rsid w:val="00EF3850"/>
    <w:rsid w:val="00EF3BD2"/>
    <w:rsid w:val="00EF3BF6"/>
    <w:rsid w:val="00EF3DCD"/>
    <w:rsid w:val="00EF400A"/>
    <w:rsid w:val="00EF4589"/>
    <w:rsid w:val="00EF47CF"/>
    <w:rsid w:val="00EF4895"/>
    <w:rsid w:val="00EF48B3"/>
    <w:rsid w:val="00EF4947"/>
    <w:rsid w:val="00EF4B7D"/>
    <w:rsid w:val="00EF4DA4"/>
    <w:rsid w:val="00EF4DE9"/>
    <w:rsid w:val="00EF5006"/>
    <w:rsid w:val="00EF50AA"/>
    <w:rsid w:val="00EF53A3"/>
    <w:rsid w:val="00EF586C"/>
    <w:rsid w:val="00EF5CE8"/>
    <w:rsid w:val="00EF6163"/>
    <w:rsid w:val="00EF6925"/>
    <w:rsid w:val="00EF6B7C"/>
    <w:rsid w:val="00EF6BD5"/>
    <w:rsid w:val="00EF6C3B"/>
    <w:rsid w:val="00EF6E01"/>
    <w:rsid w:val="00EF706E"/>
    <w:rsid w:val="00EF7256"/>
    <w:rsid w:val="00EF75CE"/>
    <w:rsid w:val="00EF75F3"/>
    <w:rsid w:val="00EF7661"/>
    <w:rsid w:val="00EF7817"/>
    <w:rsid w:val="00EF79CD"/>
    <w:rsid w:val="00EF7A16"/>
    <w:rsid w:val="00EF7BB0"/>
    <w:rsid w:val="00EF7BEA"/>
    <w:rsid w:val="00EF7E08"/>
    <w:rsid w:val="00F000E5"/>
    <w:rsid w:val="00F0016A"/>
    <w:rsid w:val="00F00494"/>
    <w:rsid w:val="00F004B3"/>
    <w:rsid w:val="00F00525"/>
    <w:rsid w:val="00F00A98"/>
    <w:rsid w:val="00F00AEA"/>
    <w:rsid w:val="00F00BAD"/>
    <w:rsid w:val="00F00C3D"/>
    <w:rsid w:val="00F00D02"/>
    <w:rsid w:val="00F00D0F"/>
    <w:rsid w:val="00F00D8F"/>
    <w:rsid w:val="00F00DEF"/>
    <w:rsid w:val="00F00EDC"/>
    <w:rsid w:val="00F01064"/>
    <w:rsid w:val="00F010D9"/>
    <w:rsid w:val="00F0140D"/>
    <w:rsid w:val="00F015F4"/>
    <w:rsid w:val="00F016C6"/>
    <w:rsid w:val="00F0197D"/>
    <w:rsid w:val="00F01AFB"/>
    <w:rsid w:val="00F01C5C"/>
    <w:rsid w:val="00F02178"/>
    <w:rsid w:val="00F0239B"/>
    <w:rsid w:val="00F02BDD"/>
    <w:rsid w:val="00F02C8F"/>
    <w:rsid w:val="00F03273"/>
    <w:rsid w:val="00F0361E"/>
    <w:rsid w:val="00F0365E"/>
    <w:rsid w:val="00F03B03"/>
    <w:rsid w:val="00F03CFE"/>
    <w:rsid w:val="00F03DE7"/>
    <w:rsid w:val="00F03E6F"/>
    <w:rsid w:val="00F03F2D"/>
    <w:rsid w:val="00F040C1"/>
    <w:rsid w:val="00F043A2"/>
    <w:rsid w:val="00F0441B"/>
    <w:rsid w:val="00F04499"/>
    <w:rsid w:val="00F04751"/>
    <w:rsid w:val="00F047B6"/>
    <w:rsid w:val="00F049C0"/>
    <w:rsid w:val="00F049CE"/>
    <w:rsid w:val="00F04CD1"/>
    <w:rsid w:val="00F04F29"/>
    <w:rsid w:val="00F053AB"/>
    <w:rsid w:val="00F05411"/>
    <w:rsid w:val="00F056AC"/>
    <w:rsid w:val="00F05775"/>
    <w:rsid w:val="00F057F4"/>
    <w:rsid w:val="00F05872"/>
    <w:rsid w:val="00F058DB"/>
    <w:rsid w:val="00F05C90"/>
    <w:rsid w:val="00F06026"/>
    <w:rsid w:val="00F06442"/>
    <w:rsid w:val="00F064DB"/>
    <w:rsid w:val="00F06A2F"/>
    <w:rsid w:val="00F06C3C"/>
    <w:rsid w:val="00F070C1"/>
    <w:rsid w:val="00F071DB"/>
    <w:rsid w:val="00F07681"/>
    <w:rsid w:val="00F077B2"/>
    <w:rsid w:val="00F07831"/>
    <w:rsid w:val="00F0798A"/>
    <w:rsid w:val="00F0799B"/>
    <w:rsid w:val="00F07B25"/>
    <w:rsid w:val="00F07DC9"/>
    <w:rsid w:val="00F1057F"/>
    <w:rsid w:val="00F1088D"/>
    <w:rsid w:val="00F10975"/>
    <w:rsid w:val="00F109FD"/>
    <w:rsid w:val="00F10AA2"/>
    <w:rsid w:val="00F10C4F"/>
    <w:rsid w:val="00F10C99"/>
    <w:rsid w:val="00F10CA2"/>
    <w:rsid w:val="00F1101B"/>
    <w:rsid w:val="00F111F4"/>
    <w:rsid w:val="00F11393"/>
    <w:rsid w:val="00F113BE"/>
    <w:rsid w:val="00F11937"/>
    <w:rsid w:val="00F11B1B"/>
    <w:rsid w:val="00F11C92"/>
    <w:rsid w:val="00F11D5F"/>
    <w:rsid w:val="00F11F1C"/>
    <w:rsid w:val="00F12440"/>
    <w:rsid w:val="00F12704"/>
    <w:rsid w:val="00F12B17"/>
    <w:rsid w:val="00F12B67"/>
    <w:rsid w:val="00F132A7"/>
    <w:rsid w:val="00F13382"/>
    <w:rsid w:val="00F134F5"/>
    <w:rsid w:val="00F136F8"/>
    <w:rsid w:val="00F1374E"/>
    <w:rsid w:val="00F13779"/>
    <w:rsid w:val="00F13952"/>
    <w:rsid w:val="00F13A99"/>
    <w:rsid w:val="00F13B18"/>
    <w:rsid w:val="00F143DB"/>
    <w:rsid w:val="00F145FE"/>
    <w:rsid w:val="00F147CA"/>
    <w:rsid w:val="00F14D08"/>
    <w:rsid w:val="00F14D0A"/>
    <w:rsid w:val="00F15050"/>
    <w:rsid w:val="00F1552D"/>
    <w:rsid w:val="00F15539"/>
    <w:rsid w:val="00F156BB"/>
    <w:rsid w:val="00F15A33"/>
    <w:rsid w:val="00F15CC1"/>
    <w:rsid w:val="00F15CF1"/>
    <w:rsid w:val="00F15F06"/>
    <w:rsid w:val="00F16218"/>
    <w:rsid w:val="00F164C7"/>
    <w:rsid w:val="00F1673C"/>
    <w:rsid w:val="00F16A6C"/>
    <w:rsid w:val="00F17080"/>
    <w:rsid w:val="00F170EC"/>
    <w:rsid w:val="00F172C1"/>
    <w:rsid w:val="00F173BE"/>
    <w:rsid w:val="00F17486"/>
    <w:rsid w:val="00F1754E"/>
    <w:rsid w:val="00F1765E"/>
    <w:rsid w:val="00F1781D"/>
    <w:rsid w:val="00F17B32"/>
    <w:rsid w:val="00F17D56"/>
    <w:rsid w:val="00F17FB4"/>
    <w:rsid w:val="00F201F2"/>
    <w:rsid w:val="00F20741"/>
    <w:rsid w:val="00F20892"/>
    <w:rsid w:val="00F20A4D"/>
    <w:rsid w:val="00F20B31"/>
    <w:rsid w:val="00F20D87"/>
    <w:rsid w:val="00F20DD5"/>
    <w:rsid w:val="00F20E2F"/>
    <w:rsid w:val="00F20E38"/>
    <w:rsid w:val="00F210A1"/>
    <w:rsid w:val="00F21509"/>
    <w:rsid w:val="00F21722"/>
    <w:rsid w:val="00F218E6"/>
    <w:rsid w:val="00F21904"/>
    <w:rsid w:val="00F219A1"/>
    <w:rsid w:val="00F219DB"/>
    <w:rsid w:val="00F21A7C"/>
    <w:rsid w:val="00F21A86"/>
    <w:rsid w:val="00F21C11"/>
    <w:rsid w:val="00F21C8A"/>
    <w:rsid w:val="00F21D01"/>
    <w:rsid w:val="00F2204E"/>
    <w:rsid w:val="00F22314"/>
    <w:rsid w:val="00F2252F"/>
    <w:rsid w:val="00F226D4"/>
    <w:rsid w:val="00F22AD3"/>
    <w:rsid w:val="00F22B32"/>
    <w:rsid w:val="00F22B99"/>
    <w:rsid w:val="00F22D82"/>
    <w:rsid w:val="00F23388"/>
    <w:rsid w:val="00F23708"/>
    <w:rsid w:val="00F2372E"/>
    <w:rsid w:val="00F239AA"/>
    <w:rsid w:val="00F239F4"/>
    <w:rsid w:val="00F23A6D"/>
    <w:rsid w:val="00F23B32"/>
    <w:rsid w:val="00F242E1"/>
    <w:rsid w:val="00F2464A"/>
    <w:rsid w:val="00F246B0"/>
    <w:rsid w:val="00F24783"/>
    <w:rsid w:val="00F249C0"/>
    <w:rsid w:val="00F24A9E"/>
    <w:rsid w:val="00F24C62"/>
    <w:rsid w:val="00F254FF"/>
    <w:rsid w:val="00F256A5"/>
    <w:rsid w:val="00F257E3"/>
    <w:rsid w:val="00F25C63"/>
    <w:rsid w:val="00F25D38"/>
    <w:rsid w:val="00F25FE3"/>
    <w:rsid w:val="00F261B0"/>
    <w:rsid w:val="00F2625B"/>
    <w:rsid w:val="00F26519"/>
    <w:rsid w:val="00F26691"/>
    <w:rsid w:val="00F269E0"/>
    <w:rsid w:val="00F26CFB"/>
    <w:rsid w:val="00F26DB0"/>
    <w:rsid w:val="00F26E7B"/>
    <w:rsid w:val="00F26ED3"/>
    <w:rsid w:val="00F27446"/>
    <w:rsid w:val="00F275F3"/>
    <w:rsid w:val="00F27885"/>
    <w:rsid w:val="00F27A29"/>
    <w:rsid w:val="00F27BE0"/>
    <w:rsid w:val="00F27E43"/>
    <w:rsid w:val="00F27ED8"/>
    <w:rsid w:val="00F27EEB"/>
    <w:rsid w:val="00F30002"/>
    <w:rsid w:val="00F30183"/>
    <w:rsid w:val="00F3022E"/>
    <w:rsid w:val="00F308F9"/>
    <w:rsid w:val="00F30AF5"/>
    <w:rsid w:val="00F30B98"/>
    <w:rsid w:val="00F30E01"/>
    <w:rsid w:val="00F3114A"/>
    <w:rsid w:val="00F31365"/>
    <w:rsid w:val="00F3136B"/>
    <w:rsid w:val="00F318DE"/>
    <w:rsid w:val="00F319C7"/>
    <w:rsid w:val="00F319EE"/>
    <w:rsid w:val="00F31A79"/>
    <w:rsid w:val="00F31C79"/>
    <w:rsid w:val="00F32422"/>
    <w:rsid w:val="00F32490"/>
    <w:rsid w:val="00F325A7"/>
    <w:rsid w:val="00F325F3"/>
    <w:rsid w:val="00F32681"/>
    <w:rsid w:val="00F32855"/>
    <w:rsid w:val="00F32C76"/>
    <w:rsid w:val="00F33345"/>
    <w:rsid w:val="00F333D2"/>
    <w:rsid w:val="00F33B01"/>
    <w:rsid w:val="00F33EAE"/>
    <w:rsid w:val="00F33F68"/>
    <w:rsid w:val="00F340DA"/>
    <w:rsid w:val="00F34247"/>
    <w:rsid w:val="00F34284"/>
    <w:rsid w:val="00F343BD"/>
    <w:rsid w:val="00F34496"/>
    <w:rsid w:val="00F3468D"/>
    <w:rsid w:val="00F34789"/>
    <w:rsid w:val="00F348B5"/>
    <w:rsid w:val="00F3491C"/>
    <w:rsid w:val="00F34D21"/>
    <w:rsid w:val="00F34F63"/>
    <w:rsid w:val="00F34F70"/>
    <w:rsid w:val="00F34FE4"/>
    <w:rsid w:val="00F351E5"/>
    <w:rsid w:val="00F3526C"/>
    <w:rsid w:val="00F35357"/>
    <w:rsid w:val="00F355BE"/>
    <w:rsid w:val="00F357BF"/>
    <w:rsid w:val="00F35873"/>
    <w:rsid w:val="00F3590C"/>
    <w:rsid w:val="00F3596F"/>
    <w:rsid w:val="00F359C2"/>
    <w:rsid w:val="00F35AB8"/>
    <w:rsid w:val="00F35C4F"/>
    <w:rsid w:val="00F35C55"/>
    <w:rsid w:val="00F35D24"/>
    <w:rsid w:val="00F35EA6"/>
    <w:rsid w:val="00F35F10"/>
    <w:rsid w:val="00F35F17"/>
    <w:rsid w:val="00F36074"/>
    <w:rsid w:val="00F36136"/>
    <w:rsid w:val="00F36345"/>
    <w:rsid w:val="00F364CC"/>
    <w:rsid w:val="00F36BC5"/>
    <w:rsid w:val="00F36C10"/>
    <w:rsid w:val="00F36C53"/>
    <w:rsid w:val="00F36D08"/>
    <w:rsid w:val="00F36EE3"/>
    <w:rsid w:val="00F36F08"/>
    <w:rsid w:val="00F36FA3"/>
    <w:rsid w:val="00F36FAA"/>
    <w:rsid w:val="00F372D4"/>
    <w:rsid w:val="00F3746C"/>
    <w:rsid w:val="00F37571"/>
    <w:rsid w:val="00F3772E"/>
    <w:rsid w:val="00F37A2A"/>
    <w:rsid w:val="00F37CDE"/>
    <w:rsid w:val="00F37F55"/>
    <w:rsid w:val="00F40226"/>
    <w:rsid w:val="00F402E4"/>
    <w:rsid w:val="00F40397"/>
    <w:rsid w:val="00F403FE"/>
    <w:rsid w:val="00F40661"/>
    <w:rsid w:val="00F409CD"/>
    <w:rsid w:val="00F40AFC"/>
    <w:rsid w:val="00F40BAB"/>
    <w:rsid w:val="00F40BCC"/>
    <w:rsid w:val="00F40FD8"/>
    <w:rsid w:val="00F410EE"/>
    <w:rsid w:val="00F413EF"/>
    <w:rsid w:val="00F414C9"/>
    <w:rsid w:val="00F4156E"/>
    <w:rsid w:val="00F41677"/>
    <w:rsid w:val="00F4220B"/>
    <w:rsid w:val="00F422E0"/>
    <w:rsid w:val="00F425AE"/>
    <w:rsid w:val="00F42677"/>
    <w:rsid w:val="00F42764"/>
    <w:rsid w:val="00F42CD0"/>
    <w:rsid w:val="00F42DFE"/>
    <w:rsid w:val="00F42E57"/>
    <w:rsid w:val="00F43386"/>
    <w:rsid w:val="00F437F8"/>
    <w:rsid w:val="00F4436A"/>
    <w:rsid w:val="00F44528"/>
    <w:rsid w:val="00F447CE"/>
    <w:rsid w:val="00F44813"/>
    <w:rsid w:val="00F44CAA"/>
    <w:rsid w:val="00F44F81"/>
    <w:rsid w:val="00F4512F"/>
    <w:rsid w:val="00F452AA"/>
    <w:rsid w:val="00F454ED"/>
    <w:rsid w:val="00F455C2"/>
    <w:rsid w:val="00F457D5"/>
    <w:rsid w:val="00F457DF"/>
    <w:rsid w:val="00F45800"/>
    <w:rsid w:val="00F45890"/>
    <w:rsid w:val="00F45ACA"/>
    <w:rsid w:val="00F45BC4"/>
    <w:rsid w:val="00F45D1B"/>
    <w:rsid w:val="00F46150"/>
    <w:rsid w:val="00F461AC"/>
    <w:rsid w:val="00F467A9"/>
    <w:rsid w:val="00F46856"/>
    <w:rsid w:val="00F468E4"/>
    <w:rsid w:val="00F4694F"/>
    <w:rsid w:val="00F46BA8"/>
    <w:rsid w:val="00F46EDF"/>
    <w:rsid w:val="00F46FBB"/>
    <w:rsid w:val="00F47018"/>
    <w:rsid w:val="00F470A5"/>
    <w:rsid w:val="00F47271"/>
    <w:rsid w:val="00F4740E"/>
    <w:rsid w:val="00F4777E"/>
    <w:rsid w:val="00F4799F"/>
    <w:rsid w:val="00F47BD8"/>
    <w:rsid w:val="00F47DC5"/>
    <w:rsid w:val="00F47E4F"/>
    <w:rsid w:val="00F5002E"/>
    <w:rsid w:val="00F500CB"/>
    <w:rsid w:val="00F502DA"/>
    <w:rsid w:val="00F502ED"/>
    <w:rsid w:val="00F50790"/>
    <w:rsid w:val="00F50A6E"/>
    <w:rsid w:val="00F50B96"/>
    <w:rsid w:val="00F50BF0"/>
    <w:rsid w:val="00F50DF3"/>
    <w:rsid w:val="00F50E1F"/>
    <w:rsid w:val="00F51034"/>
    <w:rsid w:val="00F5105F"/>
    <w:rsid w:val="00F51E99"/>
    <w:rsid w:val="00F522F3"/>
    <w:rsid w:val="00F52438"/>
    <w:rsid w:val="00F52686"/>
    <w:rsid w:val="00F52AE4"/>
    <w:rsid w:val="00F52CC3"/>
    <w:rsid w:val="00F52D9B"/>
    <w:rsid w:val="00F53297"/>
    <w:rsid w:val="00F535AF"/>
    <w:rsid w:val="00F537C8"/>
    <w:rsid w:val="00F53838"/>
    <w:rsid w:val="00F539BE"/>
    <w:rsid w:val="00F539F5"/>
    <w:rsid w:val="00F53B04"/>
    <w:rsid w:val="00F53C02"/>
    <w:rsid w:val="00F53D00"/>
    <w:rsid w:val="00F53D9A"/>
    <w:rsid w:val="00F54054"/>
    <w:rsid w:val="00F5405E"/>
    <w:rsid w:val="00F5410D"/>
    <w:rsid w:val="00F542EB"/>
    <w:rsid w:val="00F542EC"/>
    <w:rsid w:val="00F54731"/>
    <w:rsid w:val="00F547EE"/>
    <w:rsid w:val="00F54BD8"/>
    <w:rsid w:val="00F54EEA"/>
    <w:rsid w:val="00F54F1C"/>
    <w:rsid w:val="00F552BD"/>
    <w:rsid w:val="00F55411"/>
    <w:rsid w:val="00F55485"/>
    <w:rsid w:val="00F554C0"/>
    <w:rsid w:val="00F557AB"/>
    <w:rsid w:val="00F55A44"/>
    <w:rsid w:val="00F55B7F"/>
    <w:rsid w:val="00F55EBA"/>
    <w:rsid w:val="00F55F79"/>
    <w:rsid w:val="00F55FE4"/>
    <w:rsid w:val="00F56047"/>
    <w:rsid w:val="00F5608E"/>
    <w:rsid w:val="00F5631C"/>
    <w:rsid w:val="00F563DB"/>
    <w:rsid w:val="00F56424"/>
    <w:rsid w:val="00F56937"/>
    <w:rsid w:val="00F569D5"/>
    <w:rsid w:val="00F56AC9"/>
    <w:rsid w:val="00F56B60"/>
    <w:rsid w:val="00F56CB8"/>
    <w:rsid w:val="00F56DB4"/>
    <w:rsid w:val="00F57210"/>
    <w:rsid w:val="00F57929"/>
    <w:rsid w:val="00F57CBE"/>
    <w:rsid w:val="00F57E7E"/>
    <w:rsid w:val="00F5DEB6"/>
    <w:rsid w:val="00F60567"/>
    <w:rsid w:val="00F60709"/>
    <w:rsid w:val="00F608FB"/>
    <w:rsid w:val="00F60BE6"/>
    <w:rsid w:val="00F60CAA"/>
    <w:rsid w:val="00F60DED"/>
    <w:rsid w:val="00F61034"/>
    <w:rsid w:val="00F614D4"/>
    <w:rsid w:val="00F614EE"/>
    <w:rsid w:val="00F61571"/>
    <w:rsid w:val="00F61810"/>
    <w:rsid w:val="00F618CC"/>
    <w:rsid w:val="00F61A76"/>
    <w:rsid w:val="00F61B54"/>
    <w:rsid w:val="00F61C2B"/>
    <w:rsid w:val="00F61F46"/>
    <w:rsid w:val="00F61FA6"/>
    <w:rsid w:val="00F6261A"/>
    <w:rsid w:val="00F62705"/>
    <w:rsid w:val="00F62828"/>
    <w:rsid w:val="00F62852"/>
    <w:rsid w:val="00F62972"/>
    <w:rsid w:val="00F62A78"/>
    <w:rsid w:val="00F62B7A"/>
    <w:rsid w:val="00F62C4D"/>
    <w:rsid w:val="00F62E76"/>
    <w:rsid w:val="00F62F00"/>
    <w:rsid w:val="00F63175"/>
    <w:rsid w:val="00F63383"/>
    <w:rsid w:val="00F633F3"/>
    <w:rsid w:val="00F637AB"/>
    <w:rsid w:val="00F6397D"/>
    <w:rsid w:val="00F639DB"/>
    <w:rsid w:val="00F63AAE"/>
    <w:rsid w:val="00F63AF5"/>
    <w:rsid w:val="00F63D1B"/>
    <w:rsid w:val="00F63E54"/>
    <w:rsid w:val="00F63E85"/>
    <w:rsid w:val="00F64041"/>
    <w:rsid w:val="00F644ED"/>
    <w:rsid w:val="00F645A4"/>
    <w:rsid w:val="00F646D8"/>
    <w:rsid w:val="00F649E6"/>
    <w:rsid w:val="00F64AC7"/>
    <w:rsid w:val="00F64F71"/>
    <w:rsid w:val="00F65281"/>
    <w:rsid w:val="00F653B5"/>
    <w:rsid w:val="00F65425"/>
    <w:rsid w:val="00F655A5"/>
    <w:rsid w:val="00F656BE"/>
    <w:rsid w:val="00F6587D"/>
    <w:rsid w:val="00F65B10"/>
    <w:rsid w:val="00F65D13"/>
    <w:rsid w:val="00F65D40"/>
    <w:rsid w:val="00F66194"/>
    <w:rsid w:val="00F66360"/>
    <w:rsid w:val="00F66462"/>
    <w:rsid w:val="00F664D7"/>
    <w:rsid w:val="00F66716"/>
    <w:rsid w:val="00F66965"/>
    <w:rsid w:val="00F669A4"/>
    <w:rsid w:val="00F66AB7"/>
    <w:rsid w:val="00F66AE5"/>
    <w:rsid w:val="00F66B99"/>
    <w:rsid w:val="00F66D9E"/>
    <w:rsid w:val="00F66E5D"/>
    <w:rsid w:val="00F66FBB"/>
    <w:rsid w:val="00F674A5"/>
    <w:rsid w:val="00F674CF"/>
    <w:rsid w:val="00F67605"/>
    <w:rsid w:val="00F67656"/>
    <w:rsid w:val="00F67D83"/>
    <w:rsid w:val="00F70066"/>
    <w:rsid w:val="00F7008D"/>
    <w:rsid w:val="00F70194"/>
    <w:rsid w:val="00F703C5"/>
    <w:rsid w:val="00F704E3"/>
    <w:rsid w:val="00F70968"/>
    <w:rsid w:val="00F70A48"/>
    <w:rsid w:val="00F70C80"/>
    <w:rsid w:val="00F7142A"/>
    <w:rsid w:val="00F714E5"/>
    <w:rsid w:val="00F715A5"/>
    <w:rsid w:val="00F71975"/>
    <w:rsid w:val="00F71C2C"/>
    <w:rsid w:val="00F71C87"/>
    <w:rsid w:val="00F71D74"/>
    <w:rsid w:val="00F71D79"/>
    <w:rsid w:val="00F72144"/>
    <w:rsid w:val="00F72200"/>
    <w:rsid w:val="00F72586"/>
    <w:rsid w:val="00F726D9"/>
    <w:rsid w:val="00F7286A"/>
    <w:rsid w:val="00F7293E"/>
    <w:rsid w:val="00F72D81"/>
    <w:rsid w:val="00F72F11"/>
    <w:rsid w:val="00F731D8"/>
    <w:rsid w:val="00F733AC"/>
    <w:rsid w:val="00F73490"/>
    <w:rsid w:val="00F73706"/>
    <w:rsid w:val="00F74320"/>
    <w:rsid w:val="00F74682"/>
    <w:rsid w:val="00F7485D"/>
    <w:rsid w:val="00F74BA5"/>
    <w:rsid w:val="00F74CAA"/>
    <w:rsid w:val="00F74D17"/>
    <w:rsid w:val="00F74F20"/>
    <w:rsid w:val="00F74FE5"/>
    <w:rsid w:val="00F7531D"/>
    <w:rsid w:val="00F758BC"/>
    <w:rsid w:val="00F759AB"/>
    <w:rsid w:val="00F75B6D"/>
    <w:rsid w:val="00F75E1E"/>
    <w:rsid w:val="00F75E6E"/>
    <w:rsid w:val="00F75FA9"/>
    <w:rsid w:val="00F760D7"/>
    <w:rsid w:val="00F7629C"/>
    <w:rsid w:val="00F764EC"/>
    <w:rsid w:val="00F76650"/>
    <w:rsid w:val="00F76896"/>
    <w:rsid w:val="00F769A7"/>
    <w:rsid w:val="00F76A6C"/>
    <w:rsid w:val="00F76B1F"/>
    <w:rsid w:val="00F76C8C"/>
    <w:rsid w:val="00F76D00"/>
    <w:rsid w:val="00F76D11"/>
    <w:rsid w:val="00F76D3F"/>
    <w:rsid w:val="00F77317"/>
    <w:rsid w:val="00F77339"/>
    <w:rsid w:val="00F77706"/>
    <w:rsid w:val="00F7778E"/>
    <w:rsid w:val="00F77964"/>
    <w:rsid w:val="00F77993"/>
    <w:rsid w:val="00F80219"/>
    <w:rsid w:val="00F80F25"/>
    <w:rsid w:val="00F80FD2"/>
    <w:rsid w:val="00F811AF"/>
    <w:rsid w:val="00F8123D"/>
    <w:rsid w:val="00F813DA"/>
    <w:rsid w:val="00F81622"/>
    <w:rsid w:val="00F818BF"/>
    <w:rsid w:val="00F81ABC"/>
    <w:rsid w:val="00F81BC0"/>
    <w:rsid w:val="00F81D31"/>
    <w:rsid w:val="00F81D6C"/>
    <w:rsid w:val="00F81DCD"/>
    <w:rsid w:val="00F81E47"/>
    <w:rsid w:val="00F82202"/>
    <w:rsid w:val="00F8246A"/>
    <w:rsid w:val="00F8265C"/>
    <w:rsid w:val="00F82F63"/>
    <w:rsid w:val="00F83037"/>
    <w:rsid w:val="00F83104"/>
    <w:rsid w:val="00F8348E"/>
    <w:rsid w:val="00F8378D"/>
    <w:rsid w:val="00F83897"/>
    <w:rsid w:val="00F83976"/>
    <w:rsid w:val="00F83AAE"/>
    <w:rsid w:val="00F8428C"/>
    <w:rsid w:val="00F843BE"/>
    <w:rsid w:val="00F84406"/>
    <w:rsid w:val="00F8463A"/>
    <w:rsid w:val="00F84717"/>
    <w:rsid w:val="00F84C52"/>
    <w:rsid w:val="00F84F72"/>
    <w:rsid w:val="00F85302"/>
    <w:rsid w:val="00F85331"/>
    <w:rsid w:val="00F85393"/>
    <w:rsid w:val="00F85501"/>
    <w:rsid w:val="00F8582D"/>
    <w:rsid w:val="00F8586F"/>
    <w:rsid w:val="00F85B98"/>
    <w:rsid w:val="00F85BFC"/>
    <w:rsid w:val="00F860AA"/>
    <w:rsid w:val="00F86237"/>
    <w:rsid w:val="00F8697C"/>
    <w:rsid w:val="00F86D22"/>
    <w:rsid w:val="00F86FCD"/>
    <w:rsid w:val="00F87252"/>
    <w:rsid w:val="00F87357"/>
    <w:rsid w:val="00F87449"/>
    <w:rsid w:val="00F87510"/>
    <w:rsid w:val="00F87E76"/>
    <w:rsid w:val="00F90014"/>
    <w:rsid w:val="00F90331"/>
    <w:rsid w:val="00F90371"/>
    <w:rsid w:val="00F904FD"/>
    <w:rsid w:val="00F905FA"/>
    <w:rsid w:val="00F90762"/>
    <w:rsid w:val="00F9076C"/>
    <w:rsid w:val="00F9096F"/>
    <w:rsid w:val="00F909A4"/>
    <w:rsid w:val="00F909FA"/>
    <w:rsid w:val="00F90ACA"/>
    <w:rsid w:val="00F90ACC"/>
    <w:rsid w:val="00F90D2C"/>
    <w:rsid w:val="00F90D53"/>
    <w:rsid w:val="00F90E30"/>
    <w:rsid w:val="00F90FAB"/>
    <w:rsid w:val="00F9116F"/>
    <w:rsid w:val="00F91683"/>
    <w:rsid w:val="00F9187B"/>
    <w:rsid w:val="00F9190D"/>
    <w:rsid w:val="00F9195A"/>
    <w:rsid w:val="00F91A45"/>
    <w:rsid w:val="00F91AE2"/>
    <w:rsid w:val="00F91B9E"/>
    <w:rsid w:val="00F91C25"/>
    <w:rsid w:val="00F91C63"/>
    <w:rsid w:val="00F91D9E"/>
    <w:rsid w:val="00F91F7F"/>
    <w:rsid w:val="00F92300"/>
    <w:rsid w:val="00F92385"/>
    <w:rsid w:val="00F92526"/>
    <w:rsid w:val="00F9274D"/>
    <w:rsid w:val="00F929A8"/>
    <w:rsid w:val="00F92A72"/>
    <w:rsid w:val="00F92C34"/>
    <w:rsid w:val="00F93030"/>
    <w:rsid w:val="00F9317A"/>
    <w:rsid w:val="00F9330B"/>
    <w:rsid w:val="00F934E2"/>
    <w:rsid w:val="00F934EA"/>
    <w:rsid w:val="00F93912"/>
    <w:rsid w:val="00F93919"/>
    <w:rsid w:val="00F93B00"/>
    <w:rsid w:val="00F93EE4"/>
    <w:rsid w:val="00F93F9B"/>
    <w:rsid w:val="00F9408B"/>
    <w:rsid w:val="00F940A5"/>
    <w:rsid w:val="00F941A5"/>
    <w:rsid w:val="00F941B7"/>
    <w:rsid w:val="00F94484"/>
    <w:rsid w:val="00F944BF"/>
    <w:rsid w:val="00F944FE"/>
    <w:rsid w:val="00F94700"/>
    <w:rsid w:val="00F947D9"/>
    <w:rsid w:val="00F9485F"/>
    <w:rsid w:val="00F94897"/>
    <w:rsid w:val="00F948D9"/>
    <w:rsid w:val="00F94B5B"/>
    <w:rsid w:val="00F94B99"/>
    <w:rsid w:val="00F95191"/>
    <w:rsid w:val="00F95392"/>
    <w:rsid w:val="00F95577"/>
    <w:rsid w:val="00F958D1"/>
    <w:rsid w:val="00F95A7D"/>
    <w:rsid w:val="00F95BBB"/>
    <w:rsid w:val="00F9632E"/>
    <w:rsid w:val="00F963AB"/>
    <w:rsid w:val="00F96491"/>
    <w:rsid w:val="00F965E5"/>
    <w:rsid w:val="00F96703"/>
    <w:rsid w:val="00F96779"/>
    <w:rsid w:val="00F96C72"/>
    <w:rsid w:val="00F96CE4"/>
    <w:rsid w:val="00F96D30"/>
    <w:rsid w:val="00F96DDB"/>
    <w:rsid w:val="00F976BA"/>
    <w:rsid w:val="00F97F48"/>
    <w:rsid w:val="00FA0233"/>
    <w:rsid w:val="00FA0AA5"/>
    <w:rsid w:val="00FA0AB9"/>
    <w:rsid w:val="00FA0C0F"/>
    <w:rsid w:val="00FA11C3"/>
    <w:rsid w:val="00FA12EB"/>
    <w:rsid w:val="00FA1358"/>
    <w:rsid w:val="00FA137F"/>
    <w:rsid w:val="00FA15FD"/>
    <w:rsid w:val="00FA1621"/>
    <w:rsid w:val="00FA18A1"/>
    <w:rsid w:val="00FA19BE"/>
    <w:rsid w:val="00FA1A0B"/>
    <w:rsid w:val="00FA1A26"/>
    <w:rsid w:val="00FA1B1C"/>
    <w:rsid w:val="00FA1B4F"/>
    <w:rsid w:val="00FA1DA1"/>
    <w:rsid w:val="00FA1E95"/>
    <w:rsid w:val="00FA2078"/>
    <w:rsid w:val="00FA2186"/>
    <w:rsid w:val="00FA234F"/>
    <w:rsid w:val="00FA2665"/>
    <w:rsid w:val="00FA26DA"/>
    <w:rsid w:val="00FA27A6"/>
    <w:rsid w:val="00FA2B38"/>
    <w:rsid w:val="00FA2C31"/>
    <w:rsid w:val="00FA2CCE"/>
    <w:rsid w:val="00FA321B"/>
    <w:rsid w:val="00FA3598"/>
    <w:rsid w:val="00FA3662"/>
    <w:rsid w:val="00FA3877"/>
    <w:rsid w:val="00FA3F68"/>
    <w:rsid w:val="00FA405C"/>
    <w:rsid w:val="00FA474A"/>
    <w:rsid w:val="00FA48BD"/>
    <w:rsid w:val="00FA48E8"/>
    <w:rsid w:val="00FA4AAC"/>
    <w:rsid w:val="00FA4BD1"/>
    <w:rsid w:val="00FA4E33"/>
    <w:rsid w:val="00FA5048"/>
    <w:rsid w:val="00FA50C3"/>
    <w:rsid w:val="00FA50FB"/>
    <w:rsid w:val="00FA51F4"/>
    <w:rsid w:val="00FA52BC"/>
    <w:rsid w:val="00FA542E"/>
    <w:rsid w:val="00FA59C2"/>
    <w:rsid w:val="00FA5A12"/>
    <w:rsid w:val="00FA5B58"/>
    <w:rsid w:val="00FA5BB2"/>
    <w:rsid w:val="00FA5DEE"/>
    <w:rsid w:val="00FA5E6A"/>
    <w:rsid w:val="00FA5EC6"/>
    <w:rsid w:val="00FA6070"/>
    <w:rsid w:val="00FA6080"/>
    <w:rsid w:val="00FA60D8"/>
    <w:rsid w:val="00FA61E9"/>
    <w:rsid w:val="00FA6480"/>
    <w:rsid w:val="00FA64FE"/>
    <w:rsid w:val="00FA6612"/>
    <w:rsid w:val="00FA6702"/>
    <w:rsid w:val="00FA6851"/>
    <w:rsid w:val="00FA69CB"/>
    <w:rsid w:val="00FA6D74"/>
    <w:rsid w:val="00FA6E85"/>
    <w:rsid w:val="00FA7290"/>
    <w:rsid w:val="00FA7326"/>
    <w:rsid w:val="00FA7362"/>
    <w:rsid w:val="00FA7500"/>
    <w:rsid w:val="00FA7692"/>
    <w:rsid w:val="00FA7932"/>
    <w:rsid w:val="00FA7A21"/>
    <w:rsid w:val="00FA7ADA"/>
    <w:rsid w:val="00FA7F76"/>
    <w:rsid w:val="00FA9C7C"/>
    <w:rsid w:val="00FB0033"/>
    <w:rsid w:val="00FB0062"/>
    <w:rsid w:val="00FB006F"/>
    <w:rsid w:val="00FB0385"/>
    <w:rsid w:val="00FB0712"/>
    <w:rsid w:val="00FB0831"/>
    <w:rsid w:val="00FB0F86"/>
    <w:rsid w:val="00FB1285"/>
    <w:rsid w:val="00FB1496"/>
    <w:rsid w:val="00FB158F"/>
    <w:rsid w:val="00FB16B1"/>
    <w:rsid w:val="00FB17E3"/>
    <w:rsid w:val="00FB19F0"/>
    <w:rsid w:val="00FB1C05"/>
    <w:rsid w:val="00FB1D61"/>
    <w:rsid w:val="00FB1DCF"/>
    <w:rsid w:val="00FB1E6B"/>
    <w:rsid w:val="00FB1FE1"/>
    <w:rsid w:val="00FB2236"/>
    <w:rsid w:val="00FB2331"/>
    <w:rsid w:val="00FB234D"/>
    <w:rsid w:val="00FB2896"/>
    <w:rsid w:val="00FB28E4"/>
    <w:rsid w:val="00FB29C0"/>
    <w:rsid w:val="00FB2B50"/>
    <w:rsid w:val="00FB2B79"/>
    <w:rsid w:val="00FB2C3D"/>
    <w:rsid w:val="00FB2DBF"/>
    <w:rsid w:val="00FB2E80"/>
    <w:rsid w:val="00FB31A4"/>
    <w:rsid w:val="00FB3513"/>
    <w:rsid w:val="00FB354B"/>
    <w:rsid w:val="00FB3770"/>
    <w:rsid w:val="00FB37E5"/>
    <w:rsid w:val="00FB38B9"/>
    <w:rsid w:val="00FB3F2F"/>
    <w:rsid w:val="00FB427F"/>
    <w:rsid w:val="00FB4487"/>
    <w:rsid w:val="00FB464C"/>
    <w:rsid w:val="00FB46AE"/>
    <w:rsid w:val="00FB46DA"/>
    <w:rsid w:val="00FB4F28"/>
    <w:rsid w:val="00FB54E9"/>
    <w:rsid w:val="00FB57DC"/>
    <w:rsid w:val="00FB5E3C"/>
    <w:rsid w:val="00FB5EBE"/>
    <w:rsid w:val="00FB5FC3"/>
    <w:rsid w:val="00FB6017"/>
    <w:rsid w:val="00FB631F"/>
    <w:rsid w:val="00FB6564"/>
    <w:rsid w:val="00FB6676"/>
    <w:rsid w:val="00FB6AB9"/>
    <w:rsid w:val="00FB724C"/>
    <w:rsid w:val="00FB73DA"/>
    <w:rsid w:val="00FB7498"/>
    <w:rsid w:val="00FB7631"/>
    <w:rsid w:val="00FB777A"/>
    <w:rsid w:val="00FB7783"/>
    <w:rsid w:val="00FB78AA"/>
    <w:rsid w:val="00FB7C75"/>
    <w:rsid w:val="00FB7CEF"/>
    <w:rsid w:val="00FB7F87"/>
    <w:rsid w:val="00FC01B0"/>
    <w:rsid w:val="00FC01B5"/>
    <w:rsid w:val="00FC04A5"/>
    <w:rsid w:val="00FC07E0"/>
    <w:rsid w:val="00FC0D17"/>
    <w:rsid w:val="00FC0DAF"/>
    <w:rsid w:val="00FC0F56"/>
    <w:rsid w:val="00FC11C7"/>
    <w:rsid w:val="00FC134D"/>
    <w:rsid w:val="00FC142F"/>
    <w:rsid w:val="00FC1805"/>
    <w:rsid w:val="00FC1AE6"/>
    <w:rsid w:val="00FC1BF8"/>
    <w:rsid w:val="00FC1FC3"/>
    <w:rsid w:val="00FC2121"/>
    <w:rsid w:val="00FC2328"/>
    <w:rsid w:val="00FC2368"/>
    <w:rsid w:val="00FC2471"/>
    <w:rsid w:val="00FC29A8"/>
    <w:rsid w:val="00FC2AA0"/>
    <w:rsid w:val="00FC2D3A"/>
    <w:rsid w:val="00FC2EA9"/>
    <w:rsid w:val="00FC2ECD"/>
    <w:rsid w:val="00FC34FE"/>
    <w:rsid w:val="00FC36F4"/>
    <w:rsid w:val="00FC3810"/>
    <w:rsid w:val="00FC3813"/>
    <w:rsid w:val="00FC3988"/>
    <w:rsid w:val="00FC3B5B"/>
    <w:rsid w:val="00FC3DA3"/>
    <w:rsid w:val="00FC3FD4"/>
    <w:rsid w:val="00FC3FE0"/>
    <w:rsid w:val="00FC41F6"/>
    <w:rsid w:val="00FC4489"/>
    <w:rsid w:val="00FC4700"/>
    <w:rsid w:val="00FC475C"/>
    <w:rsid w:val="00FC47F9"/>
    <w:rsid w:val="00FC48B7"/>
    <w:rsid w:val="00FC48D1"/>
    <w:rsid w:val="00FC4B33"/>
    <w:rsid w:val="00FC4B39"/>
    <w:rsid w:val="00FC4D55"/>
    <w:rsid w:val="00FC4E88"/>
    <w:rsid w:val="00FC5078"/>
    <w:rsid w:val="00FC51DD"/>
    <w:rsid w:val="00FC5483"/>
    <w:rsid w:val="00FC55C8"/>
    <w:rsid w:val="00FC5677"/>
    <w:rsid w:val="00FC56FA"/>
    <w:rsid w:val="00FC5B3F"/>
    <w:rsid w:val="00FC5C97"/>
    <w:rsid w:val="00FC6013"/>
    <w:rsid w:val="00FC6338"/>
    <w:rsid w:val="00FC63D0"/>
    <w:rsid w:val="00FC6D0F"/>
    <w:rsid w:val="00FC6F0F"/>
    <w:rsid w:val="00FC6FA4"/>
    <w:rsid w:val="00FC704E"/>
    <w:rsid w:val="00FC71A7"/>
    <w:rsid w:val="00FC724E"/>
    <w:rsid w:val="00FC730E"/>
    <w:rsid w:val="00FC740C"/>
    <w:rsid w:val="00FC755B"/>
    <w:rsid w:val="00FC7CAC"/>
    <w:rsid w:val="00FD0001"/>
    <w:rsid w:val="00FD0028"/>
    <w:rsid w:val="00FD040A"/>
    <w:rsid w:val="00FD0584"/>
    <w:rsid w:val="00FD0BA6"/>
    <w:rsid w:val="00FD0DC7"/>
    <w:rsid w:val="00FD10B0"/>
    <w:rsid w:val="00FD1433"/>
    <w:rsid w:val="00FD14AE"/>
    <w:rsid w:val="00FD162C"/>
    <w:rsid w:val="00FD18B9"/>
    <w:rsid w:val="00FD1A44"/>
    <w:rsid w:val="00FD1ACB"/>
    <w:rsid w:val="00FD1BA5"/>
    <w:rsid w:val="00FD1D2A"/>
    <w:rsid w:val="00FD1DC1"/>
    <w:rsid w:val="00FD2705"/>
    <w:rsid w:val="00FD2AE1"/>
    <w:rsid w:val="00FD2D2E"/>
    <w:rsid w:val="00FD2F3D"/>
    <w:rsid w:val="00FD30C6"/>
    <w:rsid w:val="00FD3160"/>
    <w:rsid w:val="00FD320B"/>
    <w:rsid w:val="00FD3242"/>
    <w:rsid w:val="00FD3327"/>
    <w:rsid w:val="00FD3449"/>
    <w:rsid w:val="00FD3917"/>
    <w:rsid w:val="00FD3BA9"/>
    <w:rsid w:val="00FD3E16"/>
    <w:rsid w:val="00FD3FF2"/>
    <w:rsid w:val="00FD42B9"/>
    <w:rsid w:val="00FD4438"/>
    <w:rsid w:val="00FD4460"/>
    <w:rsid w:val="00FD453F"/>
    <w:rsid w:val="00FD4737"/>
    <w:rsid w:val="00FD47E3"/>
    <w:rsid w:val="00FD4868"/>
    <w:rsid w:val="00FD49D8"/>
    <w:rsid w:val="00FD4A63"/>
    <w:rsid w:val="00FD4B45"/>
    <w:rsid w:val="00FD4C4D"/>
    <w:rsid w:val="00FD4D5F"/>
    <w:rsid w:val="00FD50AF"/>
    <w:rsid w:val="00FD517D"/>
    <w:rsid w:val="00FD5192"/>
    <w:rsid w:val="00FD51AA"/>
    <w:rsid w:val="00FD5B70"/>
    <w:rsid w:val="00FD5EB3"/>
    <w:rsid w:val="00FD5F2D"/>
    <w:rsid w:val="00FD60C7"/>
    <w:rsid w:val="00FD6137"/>
    <w:rsid w:val="00FD6366"/>
    <w:rsid w:val="00FD6404"/>
    <w:rsid w:val="00FD64E3"/>
    <w:rsid w:val="00FD6529"/>
    <w:rsid w:val="00FD653E"/>
    <w:rsid w:val="00FD6B65"/>
    <w:rsid w:val="00FD6DC9"/>
    <w:rsid w:val="00FD6E73"/>
    <w:rsid w:val="00FD7192"/>
    <w:rsid w:val="00FD71E3"/>
    <w:rsid w:val="00FD7457"/>
    <w:rsid w:val="00FD79B8"/>
    <w:rsid w:val="00FE0010"/>
    <w:rsid w:val="00FE01BE"/>
    <w:rsid w:val="00FE03E5"/>
    <w:rsid w:val="00FE04A2"/>
    <w:rsid w:val="00FE0701"/>
    <w:rsid w:val="00FE0715"/>
    <w:rsid w:val="00FE0A2C"/>
    <w:rsid w:val="00FE0DC8"/>
    <w:rsid w:val="00FE0E5E"/>
    <w:rsid w:val="00FE1299"/>
    <w:rsid w:val="00FE16E8"/>
    <w:rsid w:val="00FE1CE1"/>
    <w:rsid w:val="00FE1E05"/>
    <w:rsid w:val="00FE1E91"/>
    <w:rsid w:val="00FE231B"/>
    <w:rsid w:val="00FE2351"/>
    <w:rsid w:val="00FE23E0"/>
    <w:rsid w:val="00FE2848"/>
    <w:rsid w:val="00FE2F78"/>
    <w:rsid w:val="00FE30C0"/>
    <w:rsid w:val="00FE313F"/>
    <w:rsid w:val="00FE3154"/>
    <w:rsid w:val="00FE337D"/>
    <w:rsid w:val="00FE34F6"/>
    <w:rsid w:val="00FE37FF"/>
    <w:rsid w:val="00FE3A20"/>
    <w:rsid w:val="00FE3CC4"/>
    <w:rsid w:val="00FE3D6F"/>
    <w:rsid w:val="00FE418A"/>
    <w:rsid w:val="00FE438A"/>
    <w:rsid w:val="00FE44A2"/>
    <w:rsid w:val="00FE488C"/>
    <w:rsid w:val="00FE4C66"/>
    <w:rsid w:val="00FE4D0C"/>
    <w:rsid w:val="00FE4F19"/>
    <w:rsid w:val="00FE5081"/>
    <w:rsid w:val="00FE512E"/>
    <w:rsid w:val="00FE54DA"/>
    <w:rsid w:val="00FE54FA"/>
    <w:rsid w:val="00FE5580"/>
    <w:rsid w:val="00FE5758"/>
    <w:rsid w:val="00FE57B7"/>
    <w:rsid w:val="00FE5F00"/>
    <w:rsid w:val="00FE61F2"/>
    <w:rsid w:val="00FE636B"/>
    <w:rsid w:val="00FE676C"/>
    <w:rsid w:val="00FE6802"/>
    <w:rsid w:val="00FE6B39"/>
    <w:rsid w:val="00FE6F41"/>
    <w:rsid w:val="00FE703A"/>
    <w:rsid w:val="00FE73DF"/>
    <w:rsid w:val="00FE74D0"/>
    <w:rsid w:val="00FE7786"/>
    <w:rsid w:val="00FE780B"/>
    <w:rsid w:val="00FE7A89"/>
    <w:rsid w:val="00FE7CA8"/>
    <w:rsid w:val="00FF007D"/>
    <w:rsid w:val="00FF0152"/>
    <w:rsid w:val="00FF029C"/>
    <w:rsid w:val="00FF02E6"/>
    <w:rsid w:val="00FF05BF"/>
    <w:rsid w:val="00FF07CA"/>
    <w:rsid w:val="00FF07EF"/>
    <w:rsid w:val="00FF0B22"/>
    <w:rsid w:val="00FF0B41"/>
    <w:rsid w:val="00FF0E52"/>
    <w:rsid w:val="00FF107C"/>
    <w:rsid w:val="00FF110C"/>
    <w:rsid w:val="00FF15C6"/>
    <w:rsid w:val="00FF16FC"/>
    <w:rsid w:val="00FF18DD"/>
    <w:rsid w:val="00FF1923"/>
    <w:rsid w:val="00FF1C20"/>
    <w:rsid w:val="00FF1CB4"/>
    <w:rsid w:val="00FF1CE0"/>
    <w:rsid w:val="00FF1EF6"/>
    <w:rsid w:val="00FF21B5"/>
    <w:rsid w:val="00FF2235"/>
    <w:rsid w:val="00FF229A"/>
    <w:rsid w:val="00FF26A1"/>
    <w:rsid w:val="00FF2749"/>
    <w:rsid w:val="00FF288A"/>
    <w:rsid w:val="00FF2975"/>
    <w:rsid w:val="00FF2DD8"/>
    <w:rsid w:val="00FF3194"/>
    <w:rsid w:val="00FF3686"/>
    <w:rsid w:val="00FF3732"/>
    <w:rsid w:val="00FF396C"/>
    <w:rsid w:val="00FF3A07"/>
    <w:rsid w:val="00FF3B75"/>
    <w:rsid w:val="00FF3F1B"/>
    <w:rsid w:val="00FF3F36"/>
    <w:rsid w:val="00FF3FBD"/>
    <w:rsid w:val="00FF41F5"/>
    <w:rsid w:val="00FF41F7"/>
    <w:rsid w:val="00FF4295"/>
    <w:rsid w:val="00FF4546"/>
    <w:rsid w:val="00FF4619"/>
    <w:rsid w:val="00FF474A"/>
    <w:rsid w:val="00FF47BD"/>
    <w:rsid w:val="00FF4AD2"/>
    <w:rsid w:val="00FF4C3C"/>
    <w:rsid w:val="00FF4EF5"/>
    <w:rsid w:val="00FF4F25"/>
    <w:rsid w:val="00FF528F"/>
    <w:rsid w:val="00FF5555"/>
    <w:rsid w:val="00FF5567"/>
    <w:rsid w:val="00FF5753"/>
    <w:rsid w:val="00FF5828"/>
    <w:rsid w:val="00FF5A31"/>
    <w:rsid w:val="00FF5B55"/>
    <w:rsid w:val="00FF5E70"/>
    <w:rsid w:val="00FF63A0"/>
    <w:rsid w:val="00FF63B4"/>
    <w:rsid w:val="00FF63C3"/>
    <w:rsid w:val="00FF6511"/>
    <w:rsid w:val="00FF65AD"/>
    <w:rsid w:val="00FF68BE"/>
    <w:rsid w:val="00FF68FE"/>
    <w:rsid w:val="00FF708F"/>
    <w:rsid w:val="00FF70E5"/>
    <w:rsid w:val="00FF72E4"/>
    <w:rsid w:val="00FF7826"/>
    <w:rsid w:val="00FF78E1"/>
    <w:rsid w:val="00FF7B37"/>
    <w:rsid w:val="00FF7C31"/>
    <w:rsid w:val="00FF7C50"/>
    <w:rsid w:val="00FF7CBB"/>
    <w:rsid w:val="014D1BC9"/>
    <w:rsid w:val="015F4EBF"/>
    <w:rsid w:val="01696752"/>
    <w:rsid w:val="01A639AC"/>
    <w:rsid w:val="01CA76CC"/>
    <w:rsid w:val="01DA3133"/>
    <w:rsid w:val="022C4E5A"/>
    <w:rsid w:val="0249AC09"/>
    <w:rsid w:val="025752C2"/>
    <w:rsid w:val="02DB3E9B"/>
    <w:rsid w:val="02DB98CC"/>
    <w:rsid w:val="02DBD145"/>
    <w:rsid w:val="02F211C9"/>
    <w:rsid w:val="02F6AE73"/>
    <w:rsid w:val="03215B1E"/>
    <w:rsid w:val="0326F2AD"/>
    <w:rsid w:val="032C7A9D"/>
    <w:rsid w:val="037FC828"/>
    <w:rsid w:val="03957601"/>
    <w:rsid w:val="03C9C518"/>
    <w:rsid w:val="03DFCD48"/>
    <w:rsid w:val="042C4898"/>
    <w:rsid w:val="04921422"/>
    <w:rsid w:val="05348F78"/>
    <w:rsid w:val="05498208"/>
    <w:rsid w:val="05684CF0"/>
    <w:rsid w:val="0582B8EA"/>
    <w:rsid w:val="05925ACF"/>
    <w:rsid w:val="05E3FBE3"/>
    <w:rsid w:val="05F1C247"/>
    <w:rsid w:val="05F5EC74"/>
    <w:rsid w:val="05FB493D"/>
    <w:rsid w:val="0631CB83"/>
    <w:rsid w:val="0638016C"/>
    <w:rsid w:val="06B8DE21"/>
    <w:rsid w:val="06D3BFC2"/>
    <w:rsid w:val="06DAF17C"/>
    <w:rsid w:val="06E97B7E"/>
    <w:rsid w:val="06ECA3B8"/>
    <w:rsid w:val="0707A6DE"/>
    <w:rsid w:val="070BEF7D"/>
    <w:rsid w:val="07215FB3"/>
    <w:rsid w:val="074B501D"/>
    <w:rsid w:val="07700A34"/>
    <w:rsid w:val="078808CA"/>
    <w:rsid w:val="079772F9"/>
    <w:rsid w:val="0798A0F2"/>
    <w:rsid w:val="07ACFFB7"/>
    <w:rsid w:val="07C673F7"/>
    <w:rsid w:val="07E6DEA3"/>
    <w:rsid w:val="07EC95BE"/>
    <w:rsid w:val="08385EC0"/>
    <w:rsid w:val="083D970C"/>
    <w:rsid w:val="086F89AE"/>
    <w:rsid w:val="0879CA30"/>
    <w:rsid w:val="08B6906E"/>
    <w:rsid w:val="08F2362D"/>
    <w:rsid w:val="08F3AEB3"/>
    <w:rsid w:val="08F50256"/>
    <w:rsid w:val="0904B0D0"/>
    <w:rsid w:val="090BDA95"/>
    <w:rsid w:val="0926D3F1"/>
    <w:rsid w:val="093E07A6"/>
    <w:rsid w:val="096071A7"/>
    <w:rsid w:val="0965E47D"/>
    <w:rsid w:val="0968F2DF"/>
    <w:rsid w:val="097EBC9B"/>
    <w:rsid w:val="09A22D46"/>
    <w:rsid w:val="09EF327B"/>
    <w:rsid w:val="09F8153E"/>
    <w:rsid w:val="09FA89EF"/>
    <w:rsid w:val="09FF686A"/>
    <w:rsid w:val="0A0E412C"/>
    <w:rsid w:val="0A0E695F"/>
    <w:rsid w:val="0A442FC9"/>
    <w:rsid w:val="0A635B45"/>
    <w:rsid w:val="0A6D8220"/>
    <w:rsid w:val="0A92565C"/>
    <w:rsid w:val="0A971AC5"/>
    <w:rsid w:val="0AC7BDF4"/>
    <w:rsid w:val="0AD59BAF"/>
    <w:rsid w:val="0AFEA812"/>
    <w:rsid w:val="0B033F8C"/>
    <w:rsid w:val="0B08632A"/>
    <w:rsid w:val="0B12D1D9"/>
    <w:rsid w:val="0B2B27BE"/>
    <w:rsid w:val="0B36B47F"/>
    <w:rsid w:val="0B489CC8"/>
    <w:rsid w:val="0B722DCF"/>
    <w:rsid w:val="0B771EEA"/>
    <w:rsid w:val="0BAB5731"/>
    <w:rsid w:val="0C0BF8D6"/>
    <w:rsid w:val="0C0DFAD2"/>
    <w:rsid w:val="0C1A3ADD"/>
    <w:rsid w:val="0C1F02E0"/>
    <w:rsid w:val="0C236723"/>
    <w:rsid w:val="0C38A65A"/>
    <w:rsid w:val="0C5401C0"/>
    <w:rsid w:val="0C67F036"/>
    <w:rsid w:val="0C8D6122"/>
    <w:rsid w:val="0CC58EE8"/>
    <w:rsid w:val="0CCBCF8D"/>
    <w:rsid w:val="0CD9D10D"/>
    <w:rsid w:val="0D1CF83A"/>
    <w:rsid w:val="0D284E2E"/>
    <w:rsid w:val="0D2B2755"/>
    <w:rsid w:val="0D38E492"/>
    <w:rsid w:val="0D5426FF"/>
    <w:rsid w:val="0D658571"/>
    <w:rsid w:val="0DFD54AA"/>
    <w:rsid w:val="0E367312"/>
    <w:rsid w:val="0E544A4F"/>
    <w:rsid w:val="0E5FD4C7"/>
    <w:rsid w:val="0E630890"/>
    <w:rsid w:val="0E7E5C46"/>
    <w:rsid w:val="0EABA13C"/>
    <w:rsid w:val="0EADC0FB"/>
    <w:rsid w:val="0EC87A0B"/>
    <w:rsid w:val="0ED3B16A"/>
    <w:rsid w:val="0EE76318"/>
    <w:rsid w:val="0EF395E8"/>
    <w:rsid w:val="0F1E5398"/>
    <w:rsid w:val="0F5AD0DB"/>
    <w:rsid w:val="0F5ED415"/>
    <w:rsid w:val="0F78F738"/>
    <w:rsid w:val="0FA252F6"/>
    <w:rsid w:val="0FA4390A"/>
    <w:rsid w:val="0FAAD960"/>
    <w:rsid w:val="0FBF10C8"/>
    <w:rsid w:val="0FDB797A"/>
    <w:rsid w:val="0FF234A0"/>
    <w:rsid w:val="1000F183"/>
    <w:rsid w:val="10167CC8"/>
    <w:rsid w:val="1034590E"/>
    <w:rsid w:val="10512674"/>
    <w:rsid w:val="10A8F808"/>
    <w:rsid w:val="10AFCDCA"/>
    <w:rsid w:val="10D57576"/>
    <w:rsid w:val="10F89774"/>
    <w:rsid w:val="11121D35"/>
    <w:rsid w:val="11417488"/>
    <w:rsid w:val="116B98A1"/>
    <w:rsid w:val="1189A60C"/>
    <w:rsid w:val="1196BA98"/>
    <w:rsid w:val="119B7F50"/>
    <w:rsid w:val="11A3C485"/>
    <w:rsid w:val="11E48002"/>
    <w:rsid w:val="11E97770"/>
    <w:rsid w:val="1221064C"/>
    <w:rsid w:val="124805A4"/>
    <w:rsid w:val="1248B54D"/>
    <w:rsid w:val="1256D782"/>
    <w:rsid w:val="1268851E"/>
    <w:rsid w:val="126BF481"/>
    <w:rsid w:val="128FAA46"/>
    <w:rsid w:val="12A5282A"/>
    <w:rsid w:val="12B0A003"/>
    <w:rsid w:val="133C3B2F"/>
    <w:rsid w:val="134C3A0F"/>
    <w:rsid w:val="136AA71C"/>
    <w:rsid w:val="139570D5"/>
    <w:rsid w:val="13A2EDE8"/>
    <w:rsid w:val="13DCBB5C"/>
    <w:rsid w:val="1418D298"/>
    <w:rsid w:val="1441C9F6"/>
    <w:rsid w:val="14606401"/>
    <w:rsid w:val="149514C6"/>
    <w:rsid w:val="1498235B"/>
    <w:rsid w:val="149CEFE1"/>
    <w:rsid w:val="14C1CCB5"/>
    <w:rsid w:val="14E9B10B"/>
    <w:rsid w:val="14F437B4"/>
    <w:rsid w:val="154129E9"/>
    <w:rsid w:val="15501860"/>
    <w:rsid w:val="1573FBAA"/>
    <w:rsid w:val="158D0C49"/>
    <w:rsid w:val="1597622F"/>
    <w:rsid w:val="15976F9A"/>
    <w:rsid w:val="15989FD6"/>
    <w:rsid w:val="1599A9C8"/>
    <w:rsid w:val="159D51F6"/>
    <w:rsid w:val="15B7EAB1"/>
    <w:rsid w:val="15F9D18B"/>
    <w:rsid w:val="16068203"/>
    <w:rsid w:val="160C31EB"/>
    <w:rsid w:val="160DFAE3"/>
    <w:rsid w:val="163A4174"/>
    <w:rsid w:val="163B662F"/>
    <w:rsid w:val="16412B8E"/>
    <w:rsid w:val="1657238E"/>
    <w:rsid w:val="165D14B3"/>
    <w:rsid w:val="1680C449"/>
    <w:rsid w:val="16BAFB0B"/>
    <w:rsid w:val="16D10D90"/>
    <w:rsid w:val="16E681D2"/>
    <w:rsid w:val="1732D581"/>
    <w:rsid w:val="17564254"/>
    <w:rsid w:val="17625555"/>
    <w:rsid w:val="178F76EC"/>
    <w:rsid w:val="179A2012"/>
    <w:rsid w:val="17AB03D0"/>
    <w:rsid w:val="17C728FE"/>
    <w:rsid w:val="17DC9A21"/>
    <w:rsid w:val="17E54208"/>
    <w:rsid w:val="17F97DC6"/>
    <w:rsid w:val="181711AC"/>
    <w:rsid w:val="181A2819"/>
    <w:rsid w:val="18207003"/>
    <w:rsid w:val="186250BB"/>
    <w:rsid w:val="1867EBD1"/>
    <w:rsid w:val="1876E719"/>
    <w:rsid w:val="189B4803"/>
    <w:rsid w:val="189E8524"/>
    <w:rsid w:val="18AA1719"/>
    <w:rsid w:val="18E3BDB0"/>
    <w:rsid w:val="18EDB159"/>
    <w:rsid w:val="18F0E8DA"/>
    <w:rsid w:val="18F43BBD"/>
    <w:rsid w:val="19F83D68"/>
    <w:rsid w:val="1A189F2A"/>
    <w:rsid w:val="1A1E60A9"/>
    <w:rsid w:val="1A26C981"/>
    <w:rsid w:val="1A5A3A04"/>
    <w:rsid w:val="1A651360"/>
    <w:rsid w:val="1AAF5565"/>
    <w:rsid w:val="1AD7FAC3"/>
    <w:rsid w:val="1B0C70FC"/>
    <w:rsid w:val="1B109492"/>
    <w:rsid w:val="1B34ED91"/>
    <w:rsid w:val="1B4B449D"/>
    <w:rsid w:val="1B55D4D1"/>
    <w:rsid w:val="1B582BAD"/>
    <w:rsid w:val="1B71F437"/>
    <w:rsid w:val="1BB78A8F"/>
    <w:rsid w:val="1BC24B8F"/>
    <w:rsid w:val="1BCABE3E"/>
    <w:rsid w:val="1C3F9612"/>
    <w:rsid w:val="1C413484"/>
    <w:rsid w:val="1C414F51"/>
    <w:rsid w:val="1C60C95F"/>
    <w:rsid w:val="1C625728"/>
    <w:rsid w:val="1CB9F481"/>
    <w:rsid w:val="1CC3453A"/>
    <w:rsid w:val="1CDD2644"/>
    <w:rsid w:val="1CF7638C"/>
    <w:rsid w:val="1CF7C4D3"/>
    <w:rsid w:val="1CFC0290"/>
    <w:rsid w:val="1D00BDF7"/>
    <w:rsid w:val="1D23DF38"/>
    <w:rsid w:val="1D64547F"/>
    <w:rsid w:val="1D700361"/>
    <w:rsid w:val="1D70FCCA"/>
    <w:rsid w:val="1D7CA06C"/>
    <w:rsid w:val="1D8D9413"/>
    <w:rsid w:val="1DAA76BD"/>
    <w:rsid w:val="1DB414BA"/>
    <w:rsid w:val="1DD5EFF4"/>
    <w:rsid w:val="1DE4E04D"/>
    <w:rsid w:val="1E1CCE28"/>
    <w:rsid w:val="1E6F9233"/>
    <w:rsid w:val="1E8F7C31"/>
    <w:rsid w:val="1EF313BD"/>
    <w:rsid w:val="1EFE07A1"/>
    <w:rsid w:val="1F0431A3"/>
    <w:rsid w:val="1F043D6A"/>
    <w:rsid w:val="1F071A21"/>
    <w:rsid w:val="1F2FA508"/>
    <w:rsid w:val="1F65965B"/>
    <w:rsid w:val="1F683A14"/>
    <w:rsid w:val="1F8C0DC3"/>
    <w:rsid w:val="1FBADC87"/>
    <w:rsid w:val="1FDB4598"/>
    <w:rsid w:val="2001E177"/>
    <w:rsid w:val="202B3B48"/>
    <w:rsid w:val="202DA181"/>
    <w:rsid w:val="2031240D"/>
    <w:rsid w:val="20450376"/>
    <w:rsid w:val="204CA648"/>
    <w:rsid w:val="20529984"/>
    <w:rsid w:val="2078647D"/>
    <w:rsid w:val="209A14A2"/>
    <w:rsid w:val="20A2D2AF"/>
    <w:rsid w:val="20B67400"/>
    <w:rsid w:val="20BA3EA3"/>
    <w:rsid w:val="20F2E983"/>
    <w:rsid w:val="210E3C7A"/>
    <w:rsid w:val="211B427C"/>
    <w:rsid w:val="214F5EB4"/>
    <w:rsid w:val="219E5F59"/>
    <w:rsid w:val="21B672C3"/>
    <w:rsid w:val="21F931BA"/>
    <w:rsid w:val="222875D0"/>
    <w:rsid w:val="2228A0D6"/>
    <w:rsid w:val="22529616"/>
    <w:rsid w:val="2259EB85"/>
    <w:rsid w:val="22B474E9"/>
    <w:rsid w:val="22C9C5EE"/>
    <w:rsid w:val="22D52AB1"/>
    <w:rsid w:val="22F3A4AC"/>
    <w:rsid w:val="2348B792"/>
    <w:rsid w:val="235ACB2B"/>
    <w:rsid w:val="236C61A3"/>
    <w:rsid w:val="23877B9D"/>
    <w:rsid w:val="238B90B8"/>
    <w:rsid w:val="2390FD9C"/>
    <w:rsid w:val="23A149AF"/>
    <w:rsid w:val="23BEB94C"/>
    <w:rsid w:val="23D18343"/>
    <w:rsid w:val="23FF0A32"/>
    <w:rsid w:val="240424FB"/>
    <w:rsid w:val="2406F3DC"/>
    <w:rsid w:val="24210FEC"/>
    <w:rsid w:val="24266A92"/>
    <w:rsid w:val="243DD6D7"/>
    <w:rsid w:val="24533F7C"/>
    <w:rsid w:val="24722821"/>
    <w:rsid w:val="247AE5DF"/>
    <w:rsid w:val="24805396"/>
    <w:rsid w:val="249F0AE8"/>
    <w:rsid w:val="24A02BAD"/>
    <w:rsid w:val="24B88F28"/>
    <w:rsid w:val="24CA622F"/>
    <w:rsid w:val="24E6F37E"/>
    <w:rsid w:val="250DEFEB"/>
    <w:rsid w:val="252F0279"/>
    <w:rsid w:val="253CDD8D"/>
    <w:rsid w:val="25785E67"/>
    <w:rsid w:val="25A406E1"/>
    <w:rsid w:val="25A48C4C"/>
    <w:rsid w:val="25A752DF"/>
    <w:rsid w:val="25A77B7E"/>
    <w:rsid w:val="25BC4137"/>
    <w:rsid w:val="25C9F8E0"/>
    <w:rsid w:val="25F6A2BA"/>
    <w:rsid w:val="2635BF8E"/>
    <w:rsid w:val="26858110"/>
    <w:rsid w:val="26BC94D8"/>
    <w:rsid w:val="26EB5C29"/>
    <w:rsid w:val="2722B311"/>
    <w:rsid w:val="27435A19"/>
    <w:rsid w:val="27839077"/>
    <w:rsid w:val="279377F5"/>
    <w:rsid w:val="2795F46A"/>
    <w:rsid w:val="27B7ADDE"/>
    <w:rsid w:val="27BC1925"/>
    <w:rsid w:val="27DB4C6D"/>
    <w:rsid w:val="27E6B873"/>
    <w:rsid w:val="27F4F0EE"/>
    <w:rsid w:val="2830CD96"/>
    <w:rsid w:val="283CBEA2"/>
    <w:rsid w:val="285D4FA3"/>
    <w:rsid w:val="286828A5"/>
    <w:rsid w:val="28A46718"/>
    <w:rsid w:val="28C4E946"/>
    <w:rsid w:val="28CA0604"/>
    <w:rsid w:val="28E93B47"/>
    <w:rsid w:val="2907CFE0"/>
    <w:rsid w:val="293498D2"/>
    <w:rsid w:val="298F5287"/>
    <w:rsid w:val="29A284EA"/>
    <w:rsid w:val="29C17DF6"/>
    <w:rsid w:val="29CF8866"/>
    <w:rsid w:val="29D4D9C1"/>
    <w:rsid w:val="2A043676"/>
    <w:rsid w:val="2A23C442"/>
    <w:rsid w:val="2A405A4B"/>
    <w:rsid w:val="2A5F8627"/>
    <w:rsid w:val="2A674765"/>
    <w:rsid w:val="2A7506C6"/>
    <w:rsid w:val="2A79D0B1"/>
    <w:rsid w:val="2A949658"/>
    <w:rsid w:val="2AAAC47B"/>
    <w:rsid w:val="2ABFAF04"/>
    <w:rsid w:val="2AC87494"/>
    <w:rsid w:val="2AE6E9E1"/>
    <w:rsid w:val="2B0D6FB5"/>
    <w:rsid w:val="2B0FEE5D"/>
    <w:rsid w:val="2B3200D4"/>
    <w:rsid w:val="2B655B02"/>
    <w:rsid w:val="2B9703AB"/>
    <w:rsid w:val="2BD6E456"/>
    <w:rsid w:val="2BEBA92D"/>
    <w:rsid w:val="2C38BF36"/>
    <w:rsid w:val="2C497C30"/>
    <w:rsid w:val="2C942EF8"/>
    <w:rsid w:val="2CD97E06"/>
    <w:rsid w:val="2CDCB262"/>
    <w:rsid w:val="2CF686B4"/>
    <w:rsid w:val="2D080DC7"/>
    <w:rsid w:val="2D0E6827"/>
    <w:rsid w:val="2D10EB1D"/>
    <w:rsid w:val="2D4BA04D"/>
    <w:rsid w:val="2D7BC340"/>
    <w:rsid w:val="2D93BD74"/>
    <w:rsid w:val="2DB23AC5"/>
    <w:rsid w:val="2DCC4B5A"/>
    <w:rsid w:val="2DE6D819"/>
    <w:rsid w:val="2E2FDFF2"/>
    <w:rsid w:val="2E58D0AD"/>
    <w:rsid w:val="2E5BFE2C"/>
    <w:rsid w:val="2E5FB5BC"/>
    <w:rsid w:val="2E786E2A"/>
    <w:rsid w:val="2EC05123"/>
    <w:rsid w:val="2F38AD0C"/>
    <w:rsid w:val="2F3B09D6"/>
    <w:rsid w:val="2F40C1C6"/>
    <w:rsid w:val="2F8AFFA2"/>
    <w:rsid w:val="2F8EE99D"/>
    <w:rsid w:val="30362BE1"/>
    <w:rsid w:val="3068DB6E"/>
    <w:rsid w:val="3077AEC5"/>
    <w:rsid w:val="3085423F"/>
    <w:rsid w:val="309536DD"/>
    <w:rsid w:val="30BE6E48"/>
    <w:rsid w:val="30F4C921"/>
    <w:rsid w:val="30FB512D"/>
    <w:rsid w:val="31383407"/>
    <w:rsid w:val="316DDC19"/>
    <w:rsid w:val="31837D7E"/>
    <w:rsid w:val="31A5AF94"/>
    <w:rsid w:val="31E81767"/>
    <w:rsid w:val="32392D15"/>
    <w:rsid w:val="3283A828"/>
    <w:rsid w:val="32D92CD5"/>
    <w:rsid w:val="32E2B011"/>
    <w:rsid w:val="33057344"/>
    <w:rsid w:val="33304C9E"/>
    <w:rsid w:val="3336D5CC"/>
    <w:rsid w:val="334EE5B3"/>
    <w:rsid w:val="33517964"/>
    <w:rsid w:val="33B4CD1B"/>
    <w:rsid w:val="33D388B2"/>
    <w:rsid w:val="345928CC"/>
    <w:rsid w:val="3465796C"/>
    <w:rsid w:val="34AC05AC"/>
    <w:rsid w:val="34EAA77E"/>
    <w:rsid w:val="34F3184D"/>
    <w:rsid w:val="354976DD"/>
    <w:rsid w:val="356332A0"/>
    <w:rsid w:val="35911E3E"/>
    <w:rsid w:val="35C43C05"/>
    <w:rsid w:val="35E6E2EA"/>
    <w:rsid w:val="36490067"/>
    <w:rsid w:val="3672655E"/>
    <w:rsid w:val="36830F81"/>
    <w:rsid w:val="36922E17"/>
    <w:rsid w:val="36C58ECF"/>
    <w:rsid w:val="36FC7C69"/>
    <w:rsid w:val="370DCC1C"/>
    <w:rsid w:val="3733AE6E"/>
    <w:rsid w:val="3736C9B2"/>
    <w:rsid w:val="375BDF2B"/>
    <w:rsid w:val="3792ECF8"/>
    <w:rsid w:val="37A01200"/>
    <w:rsid w:val="37BB5252"/>
    <w:rsid w:val="37C34C86"/>
    <w:rsid w:val="37C7BEA2"/>
    <w:rsid w:val="37CA7A04"/>
    <w:rsid w:val="37EB57BB"/>
    <w:rsid w:val="37F19BFB"/>
    <w:rsid w:val="381E19BE"/>
    <w:rsid w:val="382E907A"/>
    <w:rsid w:val="383C8B5E"/>
    <w:rsid w:val="3848658A"/>
    <w:rsid w:val="3852E401"/>
    <w:rsid w:val="385A70A5"/>
    <w:rsid w:val="388362BA"/>
    <w:rsid w:val="38B4F658"/>
    <w:rsid w:val="38C2CCCB"/>
    <w:rsid w:val="38C32303"/>
    <w:rsid w:val="38CC3A1C"/>
    <w:rsid w:val="38CC61EB"/>
    <w:rsid w:val="39340C8E"/>
    <w:rsid w:val="39BC430B"/>
    <w:rsid w:val="39DC525A"/>
    <w:rsid w:val="3A316902"/>
    <w:rsid w:val="3A4CD7FC"/>
    <w:rsid w:val="3A94818F"/>
    <w:rsid w:val="3AB4138B"/>
    <w:rsid w:val="3ADA832A"/>
    <w:rsid w:val="3AF3989D"/>
    <w:rsid w:val="3B2BE199"/>
    <w:rsid w:val="3B2E2E0C"/>
    <w:rsid w:val="3B549B00"/>
    <w:rsid w:val="3B5C602B"/>
    <w:rsid w:val="3B5EFA0F"/>
    <w:rsid w:val="3B73686C"/>
    <w:rsid w:val="3BB2AC26"/>
    <w:rsid w:val="3BE0422C"/>
    <w:rsid w:val="3C010031"/>
    <w:rsid w:val="3C0385E4"/>
    <w:rsid w:val="3C09DB6C"/>
    <w:rsid w:val="3C12EFEF"/>
    <w:rsid w:val="3C209E41"/>
    <w:rsid w:val="3C4C333F"/>
    <w:rsid w:val="3C6D704B"/>
    <w:rsid w:val="3C87B716"/>
    <w:rsid w:val="3D199351"/>
    <w:rsid w:val="3D2D20ED"/>
    <w:rsid w:val="3D3D61B3"/>
    <w:rsid w:val="3D45A714"/>
    <w:rsid w:val="3D497357"/>
    <w:rsid w:val="3D5C891A"/>
    <w:rsid w:val="3DE1C512"/>
    <w:rsid w:val="3E11E26D"/>
    <w:rsid w:val="3E1356D1"/>
    <w:rsid w:val="3E19E8B7"/>
    <w:rsid w:val="3E1D977F"/>
    <w:rsid w:val="3E43DC55"/>
    <w:rsid w:val="3E5F5D7B"/>
    <w:rsid w:val="3E7B6FE3"/>
    <w:rsid w:val="3E861AFF"/>
    <w:rsid w:val="3E9C3E4A"/>
    <w:rsid w:val="3EB77573"/>
    <w:rsid w:val="3EECA400"/>
    <w:rsid w:val="3EFD9CAB"/>
    <w:rsid w:val="3F62BC1C"/>
    <w:rsid w:val="3FA0C6B6"/>
    <w:rsid w:val="3FB5BFF6"/>
    <w:rsid w:val="3FD2553A"/>
    <w:rsid w:val="3FE25BB5"/>
    <w:rsid w:val="3FE325FE"/>
    <w:rsid w:val="4004C826"/>
    <w:rsid w:val="40314C49"/>
    <w:rsid w:val="40438EFD"/>
    <w:rsid w:val="4061499B"/>
    <w:rsid w:val="4087BDF6"/>
    <w:rsid w:val="409AFB5F"/>
    <w:rsid w:val="40B27A77"/>
    <w:rsid w:val="40B90690"/>
    <w:rsid w:val="40F53D83"/>
    <w:rsid w:val="40F7A350"/>
    <w:rsid w:val="40FC9EC3"/>
    <w:rsid w:val="41514456"/>
    <w:rsid w:val="415EE69B"/>
    <w:rsid w:val="4164CDFD"/>
    <w:rsid w:val="416C2EF6"/>
    <w:rsid w:val="417804F8"/>
    <w:rsid w:val="417D69FF"/>
    <w:rsid w:val="41A510C5"/>
    <w:rsid w:val="41A7D9DD"/>
    <w:rsid w:val="4214ECDD"/>
    <w:rsid w:val="423BE7F1"/>
    <w:rsid w:val="425BDD96"/>
    <w:rsid w:val="4263A913"/>
    <w:rsid w:val="429EC927"/>
    <w:rsid w:val="42B50D6C"/>
    <w:rsid w:val="42D2C58C"/>
    <w:rsid w:val="42EE1334"/>
    <w:rsid w:val="432CF1B6"/>
    <w:rsid w:val="43343330"/>
    <w:rsid w:val="433D4C7A"/>
    <w:rsid w:val="4378F5AC"/>
    <w:rsid w:val="43B1B050"/>
    <w:rsid w:val="43CD179B"/>
    <w:rsid w:val="43D6F7CF"/>
    <w:rsid w:val="43EBD3A8"/>
    <w:rsid w:val="4437021D"/>
    <w:rsid w:val="443B9FA5"/>
    <w:rsid w:val="4449F97A"/>
    <w:rsid w:val="4465EE9F"/>
    <w:rsid w:val="446B295A"/>
    <w:rsid w:val="44796292"/>
    <w:rsid w:val="4489CB75"/>
    <w:rsid w:val="44C0C132"/>
    <w:rsid w:val="44D6A075"/>
    <w:rsid w:val="44D7531F"/>
    <w:rsid w:val="451A01F2"/>
    <w:rsid w:val="45275FFD"/>
    <w:rsid w:val="4551A384"/>
    <w:rsid w:val="459584F1"/>
    <w:rsid w:val="45AFBB4F"/>
    <w:rsid w:val="45D74FF6"/>
    <w:rsid w:val="46154FE5"/>
    <w:rsid w:val="46262D60"/>
    <w:rsid w:val="469B8728"/>
    <w:rsid w:val="46B2D9C5"/>
    <w:rsid w:val="471C4473"/>
    <w:rsid w:val="47237A3D"/>
    <w:rsid w:val="476FE321"/>
    <w:rsid w:val="4772D0B3"/>
    <w:rsid w:val="478B0185"/>
    <w:rsid w:val="47A1471A"/>
    <w:rsid w:val="47B09B65"/>
    <w:rsid w:val="47B3C0FB"/>
    <w:rsid w:val="47BEDC81"/>
    <w:rsid w:val="47EB83CE"/>
    <w:rsid w:val="480EA90F"/>
    <w:rsid w:val="481E5953"/>
    <w:rsid w:val="48452092"/>
    <w:rsid w:val="48824B20"/>
    <w:rsid w:val="48A40364"/>
    <w:rsid w:val="48B5CEF9"/>
    <w:rsid w:val="48BC843D"/>
    <w:rsid w:val="48FA64EA"/>
    <w:rsid w:val="4933AE66"/>
    <w:rsid w:val="494B58C9"/>
    <w:rsid w:val="4986B3B1"/>
    <w:rsid w:val="4989783A"/>
    <w:rsid w:val="49B97893"/>
    <w:rsid w:val="49C955A0"/>
    <w:rsid w:val="49CBA237"/>
    <w:rsid w:val="49D201EE"/>
    <w:rsid w:val="49D226D6"/>
    <w:rsid w:val="49FF741C"/>
    <w:rsid w:val="4A383B25"/>
    <w:rsid w:val="4A405C2C"/>
    <w:rsid w:val="4A503542"/>
    <w:rsid w:val="4A53EA32"/>
    <w:rsid w:val="4A6DF126"/>
    <w:rsid w:val="4A9269E1"/>
    <w:rsid w:val="4A970C9E"/>
    <w:rsid w:val="4AB6E009"/>
    <w:rsid w:val="4AD81864"/>
    <w:rsid w:val="4ADD3803"/>
    <w:rsid w:val="4B28AFAC"/>
    <w:rsid w:val="4B7DAB65"/>
    <w:rsid w:val="4B8B901D"/>
    <w:rsid w:val="4BF4D153"/>
    <w:rsid w:val="4C29A49B"/>
    <w:rsid w:val="4C41B4FE"/>
    <w:rsid w:val="4C66C815"/>
    <w:rsid w:val="4C67A455"/>
    <w:rsid w:val="4C6A0BDD"/>
    <w:rsid w:val="4C762455"/>
    <w:rsid w:val="4C7BBFDD"/>
    <w:rsid w:val="4CC15A6F"/>
    <w:rsid w:val="4CCDE386"/>
    <w:rsid w:val="4CE72571"/>
    <w:rsid w:val="4D026B66"/>
    <w:rsid w:val="4D25E319"/>
    <w:rsid w:val="4D3DEC6F"/>
    <w:rsid w:val="4D865547"/>
    <w:rsid w:val="4D8D49D7"/>
    <w:rsid w:val="4D99B7BD"/>
    <w:rsid w:val="4DA34A33"/>
    <w:rsid w:val="4DBFE8D4"/>
    <w:rsid w:val="4DC231E0"/>
    <w:rsid w:val="4DC3A132"/>
    <w:rsid w:val="4DDFB457"/>
    <w:rsid w:val="4DFCFACC"/>
    <w:rsid w:val="4E0D30C3"/>
    <w:rsid w:val="4E0FA35F"/>
    <w:rsid w:val="4E135E50"/>
    <w:rsid w:val="4E406AE3"/>
    <w:rsid w:val="4E696027"/>
    <w:rsid w:val="4E8A90BE"/>
    <w:rsid w:val="4EA3E2AB"/>
    <w:rsid w:val="4EF9E557"/>
    <w:rsid w:val="4F0DF26C"/>
    <w:rsid w:val="4F3838FF"/>
    <w:rsid w:val="4F4D62E2"/>
    <w:rsid w:val="4F876938"/>
    <w:rsid w:val="4F88A908"/>
    <w:rsid w:val="4F8FD95A"/>
    <w:rsid w:val="4FC714AD"/>
    <w:rsid w:val="4FD2AA5A"/>
    <w:rsid w:val="502ABADA"/>
    <w:rsid w:val="502F3381"/>
    <w:rsid w:val="50474542"/>
    <w:rsid w:val="504BB7EA"/>
    <w:rsid w:val="504C5236"/>
    <w:rsid w:val="507922A6"/>
    <w:rsid w:val="507ED9CF"/>
    <w:rsid w:val="508E6EC3"/>
    <w:rsid w:val="509C094E"/>
    <w:rsid w:val="509DB56F"/>
    <w:rsid w:val="50C4253F"/>
    <w:rsid w:val="50D669E9"/>
    <w:rsid w:val="50D6EDF6"/>
    <w:rsid w:val="50F6A2C9"/>
    <w:rsid w:val="512FC2E4"/>
    <w:rsid w:val="51469D84"/>
    <w:rsid w:val="5178910F"/>
    <w:rsid w:val="5190CDF3"/>
    <w:rsid w:val="51D2B311"/>
    <w:rsid w:val="51DB1020"/>
    <w:rsid w:val="51F092DC"/>
    <w:rsid w:val="52052BA4"/>
    <w:rsid w:val="5261F967"/>
    <w:rsid w:val="5273229F"/>
    <w:rsid w:val="52A1E689"/>
    <w:rsid w:val="52D6A0E3"/>
    <w:rsid w:val="52E19262"/>
    <w:rsid w:val="5307D127"/>
    <w:rsid w:val="535A38D6"/>
    <w:rsid w:val="535C9925"/>
    <w:rsid w:val="53C4370B"/>
    <w:rsid w:val="53C584AB"/>
    <w:rsid w:val="53E63BB9"/>
    <w:rsid w:val="5449A68B"/>
    <w:rsid w:val="544EAA1D"/>
    <w:rsid w:val="54A09229"/>
    <w:rsid w:val="54D539B8"/>
    <w:rsid w:val="54E08D8B"/>
    <w:rsid w:val="5501F5C5"/>
    <w:rsid w:val="55909BA7"/>
    <w:rsid w:val="5591ED83"/>
    <w:rsid w:val="559B3DC5"/>
    <w:rsid w:val="55B7B954"/>
    <w:rsid w:val="55D88B2C"/>
    <w:rsid w:val="55D9F8A1"/>
    <w:rsid w:val="56066933"/>
    <w:rsid w:val="561E2030"/>
    <w:rsid w:val="5654C247"/>
    <w:rsid w:val="5667FFD0"/>
    <w:rsid w:val="56741A95"/>
    <w:rsid w:val="568122F9"/>
    <w:rsid w:val="568E600F"/>
    <w:rsid w:val="569AC223"/>
    <w:rsid w:val="56A36FE4"/>
    <w:rsid w:val="56E1D1EC"/>
    <w:rsid w:val="5732A242"/>
    <w:rsid w:val="5740BA00"/>
    <w:rsid w:val="57559886"/>
    <w:rsid w:val="576BA13B"/>
    <w:rsid w:val="576D3850"/>
    <w:rsid w:val="57874DF0"/>
    <w:rsid w:val="578E6B33"/>
    <w:rsid w:val="57C31ACF"/>
    <w:rsid w:val="57D390B5"/>
    <w:rsid w:val="57DD9204"/>
    <w:rsid w:val="5809FF13"/>
    <w:rsid w:val="5832CED1"/>
    <w:rsid w:val="585C2200"/>
    <w:rsid w:val="585DBB89"/>
    <w:rsid w:val="5870462C"/>
    <w:rsid w:val="58A4159C"/>
    <w:rsid w:val="58BBF372"/>
    <w:rsid w:val="58EB2220"/>
    <w:rsid w:val="594ECEB6"/>
    <w:rsid w:val="5968FC68"/>
    <w:rsid w:val="59BBB7EF"/>
    <w:rsid w:val="59CDA2B7"/>
    <w:rsid w:val="59F4E11F"/>
    <w:rsid w:val="59F74BBF"/>
    <w:rsid w:val="5A049B6E"/>
    <w:rsid w:val="5A25A46D"/>
    <w:rsid w:val="5A466754"/>
    <w:rsid w:val="5A89EB32"/>
    <w:rsid w:val="5AABDA9D"/>
    <w:rsid w:val="5ABD23F0"/>
    <w:rsid w:val="5B184D22"/>
    <w:rsid w:val="5B1BDD2B"/>
    <w:rsid w:val="5B2F2D6B"/>
    <w:rsid w:val="5B33F200"/>
    <w:rsid w:val="5B3B6AD3"/>
    <w:rsid w:val="5B783162"/>
    <w:rsid w:val="5BBA3E21"/>
    <w:rsid w:val="5BDCFE6A"/>
    <w:rsid w:val="5BE125DB"/>
    <w:rsid w:val="5C0A7AD8"/>
    <w:rsid w:val="5C0C9EF8"/>
    <w:rsid w:val="5C15E19B"/>
    <w:rsid w:val="5C28F3F9"/>
    <w:rsid w:val="5C354D59"/>
    <w:rsid w:val="5C359411"/>
    <w:rsid w:val="5C63971A"/>
    <w:rsid w:val="5C65F1B9"/>
    <w:rsid w:val="5C72B8F4"/>
    <w:rsid w:val="5CD472D1"/>
    <w:rsid w:val="5CD69BC1"/>
    <w:rsid w:val="5CE0A696"/>
    <w:rsid w:val="5D1D9E7C"/>
    <w:rsid w:val="5D565327"/>
    <w:rsid w:val="5D8CD054"/>
    <w:rsid w:val="5DC6415D"/>
    <w:rsid w:val="5DF3E57F"/>
    <w:rsid w:val="5E053175"/>
    <w:rsid w:val="5E0E3F88"/>
    <w:rsid w:val="5E3AF56F"/>
    <w:rsid w:val="5E45BEA4"/>
    <w:rsid w:val="5E56289E"/>
    <w:rsid w:val="5E78F709"/>
    <w:rsid w:val="5E7B60A0"/>
    <w:rsid w:val="5E8D0796"/>
    <w:rsid w:val="5E8EFFC2"/>
    <w:rsid w:val="5ECA8748"/>
    <w:rsid w:val="5F1261DE"/>
    <w:rsid w:val="5F1396F8"/>
    <w:rsid w:val="5F18B96E"/>
    <w:rsid w:val="5F38CE10"/>
    <w:rsid w:val="5F4A016B"/>
    <w:rsid w:val="5F6084A5"/>
    <w:rsid w:val="5F84B31D"/>
    <w:rsid w:val="5F9A2D80"/>
    <w:rsid w:val="5F9E635E"/>
    <w:rsid w:val="5F9FC2F5"/>
    <w:rsid w:val="5FFCDCE3"/>
    <w:rsid w:val="6011D50F"/>
    <w:rsid w:val="6022AC14"/>
    <w:rsid w:val="6035351A"/>
    <w:rsid w:val="6082584D"/>
    <w:rsid w:val="60D836CD"/>
    <w:rsid w:val="60EC536D"/>
    <w:rsid w:val="6108BC4C"/>
    <w:rsid w:val="611D87CD"/>
    <w:rsid w:val="613B26E8"/>
    <w:rsid w:val="6164E543"/>
    <w:rsid w:val="618445C1"/>
    <w:rsid w:val="618C2149"/>
    <w:rsid w:val="61C90A75"/>
    <w:rsid w:val="61EF4DB0"/>
    <w:rsid w:val="6204B480"/>
    <w:rsid w:val="6219BF05"/>
    <w:rsid w:val="621CA5F2"/>
    <w:rsid w:val="6227D016"/>
    <w:rsid w:val="622E3E90"/>
    <w:rsid w:val="6239C142"/>
    <w:rsid w:val="6255E5AF"/>
    <w:rsid w:val="62576D6C"/>
    <w:rsid w:val="626794CF"/>
    <w:rsid w:val="6268C387"/>
    <w:rsid w:val="6293B1A7"/>
    <w:rsid w:val="629CB932"/>
    <w:rsid w:val="62B974FC"/>
    <w:rsid w:val="62E97558"/>
    <w:rsid w:val="62F19D65"/>
    <w:rsid w:val="62F827BE"/>
    <w:rsid w:val="62F84EAA"/>
    <w:rsid w:val="631071C0"/>
    <w:rsid w:val="63339BE5"/>
    <w:rsid w:val="633618B1"/>
    <w:rsid w:val="6339D363"/>
    <w:rsid w:val="63AA2666"/>
    <w:rsid w:val="63BB1171"/>
    <w:rsid w:val="63C2AC2B"/>
    <w:rsid w:val="63E5BBA7"/>
    <w:rsid w:val="640CE41C"/>
    <w:rsid w:val="64200BB1"/>
    <w:rsid w:val="64786316"/>
    <w:rsid w:val="649466A9"/>
    <w:rsid w:val="64A9F02D"/>
    <w:rsid w:val="64B1FC2F"/>
    <w:rsid w:val="64BCAA46"/>
    <w:rsid w:val="64C766D6"/>
    <w:rsid w:val="64D558E3"/>
    <w:rsid w:val="64DB9D83"/>
    <w:rsid w:val="64E3BCDF"/>
    <w:rsid w:val="65096C6E"/>
    <w:rsid w:val="6522B53D"/>
    <w:rsid w:val="653C837E"/>
    <w:rsid w:val="65725B3E"/>
    <w:rsid w:val="65912722"/>
    <w:rsid w:val="65ACE19F"/>
    <w:rsid w:val="65DE252E"/>
    <w:rsid w:val="65F507EA"/>
    <w:rsid w:val="660826C4"/>
    <w:rsid w:val="66311972"/>
    <w:rsid w:val="663E4F08"/>
    <w:rsid w:val="66404D72"/>
    <w:rsid w:val="664B623D"/>
    <w:rsid w:val="665419D0"/>
    <w:rsid w:val="66755FC7"/>
    <w:rsid w:val="66771EBD"/>
    <w:rsid w:val="669CB150"/>
    <w:rsid w:val="66BB6A11"/>
    <w:rsid w:val="66D1C030"/>
    <w:rsid w:val="66DBBDE4"/>
    <w:rsid w:val="66E9FFA6"/>
    <w:rsid w:val="670B2173"/>
    <w:rsid w:val="67482492"/>
    <w:rsid w:val="67543389"/>
    <w:rsid w:val="67612FB7"/>
    <w:rsid w:val="6785BB1B"/>
    <w:rsid w:val="67CBFD86"/>
    <w:rsid w:val="67FA8EB6"/>
    <w:rsid w:val="68413274"/>
    <w:rsid w:val="6880A5B4"/>
    <w:rsid w:val="6898AD56"/>
    <w:rsid w:val="6899B31D"/>
    <w:rsid w:val="689A54C0"/>
    <w:rsid w:val="68B1961F"/>
    <w:rsid w:val="68D3DEC9"/>
    <w:rsid w:val="68DDADE4"/>
    <w:rsid w:val="68E04767"/>
    <w:rsid w:val="68F2C8C4"/>
    <w:rsid w:val="68FF36F5"/>
    <w:rsid w:val="691ECDAD"/>
    <w:rsid w:val="6949FAED"/>
    <w:rsid w:val="69595582"/>
    <w:rsid w:val="695C4940"/>
    <w:rsid w:val="69708557"/>
    <w:rsid w:val="6977737E"/>
    <w:rsid w:val="69A0ABED"/>
    <w:rsid w:val="69AECD37"/>
    <w:rsid w:val="69C84515"/>
    <w:rsid w:val="69F0169E"/>
    <w:rsid w:val="6A0A0381"/>
    <w:rsid w:val="6A406B97"/>
    <w:rsid w:val="6A8D0015"/>
    <w:rsid w:val="6A958B58"/>
    <w:rsid w:val="6A991787"/>
    <w:rsid w:val="6AAAF6CE"/>
    <w:rsid w:val="6ABB102D"/>
    <w:rsid w:val="6AC075F6"/>
    <w:rsid w:val="6AC23B92"/>
    <w:rsid w:val="6AC72828"/>
    <w:rsid w:val="6AD0CB3A"/>
    <w:rsid w:val="6AEE65DB"/>
    <w:rsid w:val="6B40F067"/>
    <w:rsid w:val="6B54F94A"/>
    <w:rsid w:val="6B64EFE4"/>
    <w:rsid w:val="6B8DF000"/>
    <w:rsid w:val="6B94FE4C"/>
    <w:rsid w:val="6BD4FB1F"/>
    <w:rsid w:val="6BF15E07"/>
    <w:rsid w:val="6BFCE125"/>
    <w:rsid w:val="6C3A09B7"/>
    <w:rsid w:val="6C79200C"/>
    <w:rsid w:val="6CBB4997"/>
    <w:rsid w:val="6CBE195A"/>
    <w:rsid w:val="6CC125E4"/>
    <w:rsid w:val="6CE1BE0E"/>
    <w:rsid w:val="6CE985CB"/>
    <w:rsid w:val="6CFCE26D"/>
    <w:rsid w:val="6D102513"/>
    <w:rsid w:val="6D38DE95"/>
    <w:rsid w:val="6D56E6A9"/>
    <w:rsid w:val="6D63BD5A"/>
    <w:rsid w:val="6D6770E4"/>
    <w:rsid w:val="6D7A241B"/>
    <w:rsid w:val="6D7E799A"/>
    <w:rsid w:val="6D93E1C2"/>
    <w:rsid w:val="6D955A52"/>
    <w:rsid w:val="6DA0F8E1"/>
    <w:rsid w:val="6DC3304F"/>
    <w:rsid w:val="6DC41CE5"/>
    <w:rsid w:val="6DF9DD30"/>
    <w:rsid w:val="6E034757"/>
    <w:rsid w:val="6E051D4A"/>
    <w:rsid w:val="6E06E8D0"/>
    <w:rsid w:val="6E1214AB"/>
    <w:rsid w:val="6E14314D"/>
    <w:rsid w:val="6E2B2D9B"/>
    <w:rsid w:val="6E3B7DF2"/>
    <w:rsid w:val="6E459A3F"/>
    <w:rsid w:val="6E63F80C"/>
    <w:rsid w:val="6E7F303D"/>
    <w:rsid w:val="6E859B43"/>
    <w:rsid w:val="6E8FA4DD"/>
    <w:rsid w:val="6E964B15"/>
    <w:rsid w:val="6E9757E1"/>
    <w:rsid w:val="6EB74DA3"/>
    <w:rsid w:val="6F21EF2E"/>
    <w:rsid w:val="6F3A4E74"/>
    <w:rsid w:val="6F54285C"/>
    <w:rsid w:val="6F57B66A"/>
    <w:rsid w:val="6F868518"/>
    <w:rsid w:val="6FB34297"/>
    <w:rsid w:val="6FBBF4BA"/>
    <w:rsid w:val="6FC1C822"/>
    <w:rsid w:val="6FC51C99"/>
    <w:rsid w:val="700065EC"/>
    <w:rsid w:val="700F0E5A"/>
    <w:rsid w:val="7047A8F9"/>
    <w:rsid w:val="7055386D"/>
    <w:rsid w:val="70735424"/>
    <w:rsid w:val="707FEE8A"/>
    <w:rsid w:val="709E3189"/>
    <w:rsid w:val="70C008A9"/>
    <w:rsid w:val="70C1C694"/>
    <w:rsid w:val="70ED1ADD"/>
    <w:rsid w:val="715223A1"/>
    <w:rsid w:val="717B0FCB"/>
    <w:rsid w:val="71871890"/>
    <w:rsid w:val="71ADA7A4"/>
    <w:rsid w:val="71B8CB18"/>
    <w:rsid w:val="71ED304F"/>
    <w:rsid w:val="71F6D1ED"/>
    <w:rsid w:val="7212F82F"/>
    <w:rsid w:val="72210258"/>
    <w:rsid w:val="723C27B7"/>
    <w:rsid w:val="725388A0"/>
    <w:rsid w:val="727C3926"/>
    <w:rsid w:val="72823C09"/>
    <w:rsid w:val="72873EF0"/>
    <w:rsid w:val="728E00B7"/>
    <w:rsid w:val="72D3DAC8"/>
    <w:rsid w:val="730772A4"/>
    <w:rsid w:val="7313250E"/>
    <w:rsid w:val="733C2BD9"/>
    <w:rsid w:val="7343391E"/>
    <w:rsid w:val="73695725"/>
    <w:rsid w:val="7375D332"/>
    <w:rsid w:val="73769AC3"/>
    <w:rsid w:val="739F1332"/>
    <w:rsid w:val="73E88B5A"/>
    <w:rsid w:val="73F4D5A2"/>
    <w:rsid w:val="7403E064"/>
    <w:rsid w:val="743137D3"/>
    <w:rsid w:val="743443AA"/>
    <w:rsid w:val="74360A2F"/>
    <w:rsid w:val="743801BB"/>
    <w:rsid w:val="7441958F"/>
    <w:rsid w:val="745A804F"/>
    <w:rsid w:val="747EC4BA"/>
    <w:rsid w:val="749FF13A"/>
    <w:rsid w:val="74A2E5A6"/>
    <w:rsid w:val="74BF4CB7"/>
    <w:rsid w:val="74DF9E4E"/>
    <w:rsid w:val="74FA9E1B"/>
    <w:rsid w:val="755AE68C"/>
    <w:rsid w:val="758F491D"/>
    <w:rsid w:val="759E201A"/>
    <w:rsid w:val="75EE1B9F"/>
    <w:rsid w:val="76153A05"/>
    <w:rsid w:val="76159930"/>
    <w:rsid w:val="76719300"/>
    <w:rsid w:val="76BB4050"/>
    <w:rsid w:val="76F49326"/>
    <w:rsid w:val="772A26CD"/>
    <w:rsid w:val="77411D9D"/>
    <w:rsid w:val="7749A7B1"/>
    <w:rsid w:val="7765E530"/>
    <w:rsid w:val="777A854C"/>
    <w:rsid w:val="779ED338"/>
    <w:rsid w:val="77FAC2F1"/>
    <w:rsid w:val="7853CA69"/>
    <w:rsid w:val="7869BC07"/>
    <w:rsid w:val="78A0D6C3"/>
    <w:rsid w:val="78C775D8"/>
    <w:rsid w:val="794552E3"/>
    <w:rsid w:val="794B86B5"/>
    <w:rsid w:val="79570827"/>
    <w:rsid w:val="795EEC65"/>
    <w:rsid w:val="796B7E13"/>
    <w:rsid w:val="797ADFD2"/>
    <w:rsid w:val="79B035A3"/>
    <w:rsid w:val="79B1213C"/>
    <w:rsid w:val="79CCB33D"/>
    <w:rsid w:val="79E1A0E3"/>
    <w:rsid w:val="79E26469"/>
    <w:rsid w:val="79F14AE9"/>
    <w:rsid w:val="7A14D613"/>
    <w:rsid w:val="7A5D9872"/>
    <w:rsid w:val="7A6893A1"/>
    <w:rsid w:val="7A98A9C9"/>
    <w:rsid w:val="7A9CD45D"/>
    <w:rsid w:val="7AA5749A"/>
    <w:rsid w:val="7AE40479"/>
    <w:rsid w:val="7B0B3B09"/>
    <w:rsid w:val="7B4C754A"/>
    <w:rsid w:val="7B50508D"/>
    <w:rsid w:val="7B66B184"/>
    <w:rsid w:val="7B736435"/>
    <w:rsid w:val="7BAA1291"/>
    <w:rsid w:val="7BC524F2"/>
    <w:rsid w:val="7BF6A431"/>
    <w:rsid w:val="7C08AF45"/>
    <w:rsid w:val="7C0D3AA2"/>
    <w:rsid w:val="7C0FA07E"/>
    <w:rsid w:val="7C3809EA"/>
    <w:rsid w:val="7CADCE43"/>
    <w:rsid w:val="7CB71A2A"/>
    <w:rsid w:val="7CCF41BD"/>
    <w:rsid w:val="7CE1F6D4"/>
    <w:rsid w:val="7CF8FFB0"/>
    <w:rsid w:val="7D1420C3"/>
    <w:rsid w:val="7D517C63"/>
    <w:rsid w:val="7D6400D1"/>
    <w:rsid w:val="7D6B36A5"/>
    <w:rsid w:val="7D897751"/>
    <w:rsid w:val="7DF50503"/>
    <w:rsid w:val="7DF7DE9B"/>
    <w:rsid w:val="7E05A7DB"/>
    <w:rsid w:val="7E16274E"/>
    <w:rsid w:val="7E18F97B"/>
    <w:rsid w:val="7E6EA506"/>
    <w:rsid w:val="7EEFFF13"/>
    <w:rsid w:val="7EFF6671"/>
    <w:rsid w:val="7F102C68"/>
    <w:rsid w:val="7F1EE844"/>
    <w:rsid w:val="7F555F87"/>
    <w:rsid w:val="7F652D8A"/>
    <w:rsid w:val="7F700886"/>
    <w:rsid w:val="7F76F089"/>
    <w:rsid w:val="7F99AFB4"/>
    <w:rsid w:val="7F9B981D"/>
    <w:rsid w:val="7FC3AC9B"/>
    <w:rsid w:val="7FDDCE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99919"/>
  <w15:chartTrackingRefBased/>
  <w15:docId w15:val="{FCEAF5B7-1721-4B11-B869-D5805986AE1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B14"/>
    <w:pPr>
      <w:spacing w:after="0" w:line="240" w:lineRule="auto"/>
    </w:pPr>
    <w:rPr>
      <w:rFonts w:ascii="Book Antiqua" w:eastAsia="Times New Roman" w:hAnsi="Book Antiqua" w:cs="Times New Roman"/>
      <w:sz w:val="26"/>
      <w:szCs w:val="24"/>
    </w:rPr>
  </w:style>
  <w:style w:type="paragraph" w:styleId="Heading1">
    <w:name w:val="heading 1"/>
    <w:basedOn w:val="Dummy"/>
    <w:next w:val="Standard"/>
    <w:link w:val="Heading1Char"/>
    <w:uiPriority w:val="4"/>
    <w:qFormat/>
    <w:rsid w:val="000E270A"/>
    <w:pPr>
      <w:ind w:left="720" w:right="2160" w:hanging="720"/>
    </w:pPr>
    <w:rPr>
      <w:rFonts w:eastAsiaTheme="majorEastAsia" w:cstheme="majorBidi"/>
      <w:szCs w:val="32"/>
    </w:rPr>
  </w:style>
  <w:style w:type="paragraph" w:styleId="Heading2">
    <w:name w:val="heading 2"/>
    <w:basedOn w:val="Dummy"/>
    <w:next w:val="Standard"/>
    <w:link w:val="Heading2Char"/>
    <w:uiPriority w:val="4"/>
    <w:qFormat/>
    <w:rsid w:val="000E270A"/>
    <w:pPr>
      <w:tabs>
        <w:tab w:val="num" w:pos="1080"/>
      </w:tabs>
      <w:ind w:left="1080" w:right="2160" w:hanging="720"/>
      <w:outlineLvl w:val="1"/>
    </w:pPr>
  </w:style>
  <w:style w:type="paragraph" w:styleId="Heading3">
    <w:name w:val="heading 3"/>
    <w:basedOn w:val="Dummy"/>
    <w:next w:val="Standard"/>
    <w:link w:val="Heading3Char"/>
    <w:uiPriority w:val="4"/>
    <w:qFormat/>
    <w:rsid w:val="000E270A"/>
    <w:pPr>
      <w:tabs>
        <w:tab w:val="num" w:pos="1656"/>
      </w:tabs>
      <w:ind w:left="1656" w:right="2160" w:hanging="936"/>
      <w:outlineLvl w:val="2"/>
    </w:pPr>
    <w:rPr>
      <w:rFonts w:eastAsiaTheme="majorEastAsia" w:cstheme="majorBidi"/>
      <w:szCs w:val="24"/>
    </w:rPr>
  </w:style>
  <w:style w:type="paragraph" w:styleId="Heading4">
    <w:name w:val="heading 4"/>
    <w:basedOn w:val="Dummy"/>
    <w:next w:val="Standard"/>
    <w:link w:val="Heading4Char"/>
    <w:uiPriority w:val="4"/>
    <w:rsid w:val="000E270A"/>
    <w:pPr>
      <w:tabs>
        <w:tab w:val="num" w:pos="2232"/>
      </w:tabs>
      <w:ind w:left="2232" w:right="2160" w:hanging="1152"/>
      <w:outlineLvl w:val="3"/>
    </w:pPr>
    <w:rPr>
      <w:rFonts w:eastAsiaTheme="majorEastAsia" w:cstheme="majorBidi"/>
      <w:iCs/>
    </w:rPr>
  </w:style>
  <w:style w:type="paragraph" w:styleId="Heading5">
    <w:name w:val="heading 5"/>
    <w:basedOn w:val="Dummy"/>
    <w:next w:val="Standard"/>
    <w:link w:val="Heading5Char"/>
    <w:uiPriority w:val="4"/>
    <w:rsid w:val="000E270A"/>
    <w:pPr>
      <w:tabs>
        <w:tab w:val="num" w:pos="2880"/>
      </w:tabs>
      <w:ind w:left="2880" w:right="2160" w:hanging="1440"/>
      <w:outlineLvl w:val="4"/>
    </w:pPr>
    <w:rPr>
      <w:rFonts w:eastAsiaTheme="majorEastAsia" w:cstheme="majorBidi"/>
    </w:rPr>
  </w:style>
  <w:style w:type="paragraph" w:styleId="Heading6">
    <w:name w:val="heading 6"/>
    <w:basedOn w:val="Dummy"/>
    <w:next w:val="Standard"/>
    <w:link w:val="Heading6Char"/>
    <w:uiPriority w:val="4"/>
    <w:rsid w:val="000E270A"/>
    <w:pPr>
      <w:tabs>
        <w:tab w:val="num" w:pos="3528"/>
      </w:tabs>
      <w:spacing w:before="40"/>
      <w:ind w:left="3528" w:right="2160" w:hanging="1728"/>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ind w:left="864" w:hanging="648"/>
    </w:pPr>
    <w:rPr>
      <w:rFonts w:eastAsiaTheme="minorEastAsia"/>
    </w:rPr>
  </w:style>
  <w:style w:type="paragraph" w:styleId="TOC1">
    <w:name w:val="toc 1"/>
    <w:basedOn w:val="Normal"/>
    <w:next w:val="Normal"/>
    <w:uiPriority w:val="39"/>
    <w:unhideWhenUsed/>
    <w:rsid w:val="00ED5725"/>
    <w:pPr>
      <w:ind w:left="432" w:hanging="432"/>
    </w:pPr>
    <w:rPr>
      <w:rFonts w:eastAsiaTheme="minorEastAsia"/>
    </w:rPr>
  </w:style>
  <w:style w:type="paragraph" w:styleId="TOC3">
    <w:name w:val="toc 3"/>
    <w:basedOn w:val="Normal"/>
    <w:next w:val="Normal"/>
    <w:uiPriority w:val="39"/>
    <w:unhideWhenUsed/>
    <w:rsid w:val="008C7413"/>
    <w:pPr>
      <w:ind w:left="1296" w:hanging="864"/>
    </w:pPr>
    <w:rPr>
      <w:rFonts w:eastAsiaTheme="minorEastAsia"/>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1"/>
      </w:numPr>
    </w:pPr>
  </w:style>
  <w:style w:type="paragraph" w:styleId="TOC9">
    <w:name w:val="toc 9"/>
    <w:basedOn w:val="Normal"/>
    <w:next w:val="Normal"/>
    <w:autoRedefine/>
    <w:uiPriority w:val="39"/>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4F4A56"/>
    <w:pPr>
      <w:spacing w:after="120"/>
      <w:ind w:left="720" w:right="720"/>
    </w:pPr>
  </w:style>
  <w:style w:type="paragraph" w:styleId="FootnoteText">
    <w:name w:val="footnote text"/>
    <w:aliases w:val="Footnote Text_RASA"/>
    <w:basedOn w:val="Normal"/>
    <w:link w:val="FootnoteTextChar"/>
    <w:uiPriority w:val="99"/>
    <w:qFormat/>
    <w:rsid w:val="00B01F7E"/>
    <w:pPr>
      <w:spacing w:after="120"/>
    </w:pPr>
    <w:rPr>
      <w:sz w:val="22"/>
      <w:szCs w:val="20"/>
    </w:rPr>
  </w:style>
  <w:style w:type="character" w:customStyle="1" w:styleId="FootnoteTextChar">
    <w:name w:val="Footnote Text Char"/>
    <w:aliases w:val="Footnote Text_RASA Char"/>
    <w:basedOn w:val="DefaultParagraphFont"/>
    <w:link w:val="FootnoteText"/>
    <w:uiPriority w:val="99"/>
    <w:rsid w:val="007657C1"/>
    <w:rPr>
      <w:rFonts w:ascii="Book Antiqua" w:hAnsi="Book Antiqua"/>
      <w:szCs w:val="20"/>
    </w:rPr>
  </w:style>
  <w:style w:type="character" w:styleId="FootnoteReference">
    <w:name w:val="footnote reference"/>
    <w:aliases w:val="Number_RASA,o,fr,Style 3,o1,o2,o3,o4,o5,o6,o11,o21,o7,Footnote Reference1,Style 17,Style 13,Appel note de bas de p,Style 12,(NECG) Footnote Reference,Style 124"/>
    <w:basedOn w:val="DefaultParagraphFont"/>
    <w:uiPriority w:val="99"/>
    <w:unhideWhenUsed/>
    <w:qFormat/>
    <w:rsid w:val="00DF58E7"/>
    <w:rPr>
      <w:vertAlign w:val="superscript"/>
    </w:rPr>
  </w:style>
  <w:style w:type="paragraph" w:customStyle="1" w:styleId="FoF">
    <w:name w:val="FoF"/>
    <w:basedOn w:val="Standard"/>
    <w:uiPriority w:val="6"/>
    <w:qFormat/>
    <w:rsid w:val="001E2A62"/>
    <w:pPr>
      <w:ind w:firstLine="540"/>
    </w:pPr>
  </w:style>
  <w:style w:type="paragraph" w:customStyle="1" w:styleId="CoL">
    <w:name w:val="CoL"/>
    <w:basedOn w:val="Standard"/>
    <w:uiPriority w:val="7"/>
    <w:qFormat/>
    <w:rsid w:val="001E2A62"/>
    <w:pPr>
      <w:ind w:firstLine="547"/>
    </w:pPr>
  </w:style>
  <w:style w:type="paragraph" w:styleId="NoSpacing">
    <w:name w:val="No Spacing"/>
    <w:basedOn w:val="Standard"/>
    <w:uiPriority w:val="1"/>
    <w:rsid w:val="00287BC5"/>
    <w:pPr>
      <w:spacing w:after="120"/>
      <w:contextualSpacing/>
    </w:pPr>
  </w:style>
  <w:style w:type="paragraph" w:customStyle="1" w:styleId="OP">
    <w:name w:val="OP"/>
    <w:basedOn w:val="Standard"/>
    <w:uiPriority w:val="8"/>
    <w:qFormat/>
    <w:rsid w:val="001E2A62"/>
    <w:pPr>
      <w:ind w:firstLine="540"/>
    </w:pPr>
  </w:style>
  <w:style w:type="paragraph" w:styleId="BalloonText">
    <w:name w:val="Balloon Text"/>
    <w:basedOn w:val="Normal"/>
    <w:link w:val="BalloonTextChar"/>
    <w:uiPriority w:val="99"/>
    <w:semiHidden/>
    <w:unhideWhenUsed/>
    <w:rsid w:val="004C7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2"/>
      </w:numPr>
    </w:pPr>
  </w:style>
  <w:style w:type="paragraph" w:customStyle="1" w:styleId="Standard">
    <w:name w:val="Standard"/>
    <w:basedOn w:val="Normal"/>
    <w:qFormat/>
    <w:rsid w:val="00736E5D"/>
    <w:pPr>
      <w:spacing w:line="360" w:lineRule="auto"/>
      <w:ind w:firstLine="720"/>
    </w:pPr>
  </w:style>
  <w:style w:type="paragraph" w:customStyle="1" w:styleId="ListAlpha">
    <w:name w:val="List Alpha"/>
    <w:basedOn w:val="Standard"/>
    <w:uiPriority w:val="4"/>
    <w:qFormat/>
    <w:rsid w:val="000E270A"/>
    <w:pPr>
      <w:spacing w:after="120"/>
      <w:ind w:left="1080" w:hanging="360"/>
    </w:pPr>
  </w:style>
  <w:style w:type="paragraph" w:styleId="ListBullet">
    <w:name w:val="List Bullet"/>
    <w:basedOn w:val="Standard"/>
    <w:uiPriority w:val="4"/>
    <w:qFormat/>
    <w:rsid w:val="004F4A56"/>
    <w:pPr>
      <w:numPr>
        <w:numId w:val="3"/>
      </w:numPr>
      <w:spacing w:after="120" w:line="240" w:lineRule="auto"/>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ind w:left="1728" w:hanging="1080"/>
    </w:pPr>
  </w:style>
  <w:style w:type="paragraph" w:styleId="TOC5">
    <w:name w:val="toc 5"/>
    <w:basedOn w:val="Normal"/>
    <w:next w:val="Normal"/>
    <w:autoRedefine/>
    <w:uiPriority w:val="39"/>
    <w:unhideWhenUsed/>
    <w:rsid w:val="008C7413"/>
    <w:pPr>
      <w:ind w:left="2160" w:hanging="1296"/>
    </w:pPr>
  </w:style>
  <w:style w:type="paragraph" w:styleId="TOC6">
    <w:name w:val="toc 6"/>
    <w:basedOn w:val="Normal"/>
    <w:next w:val="Normal"/>
    <w:autoRedefine/>
    <w:uiPriority w:val="39"/>
    <w:unhideWhenUsed/>
    <w:rsid w:val="008C7413"/>
    <w:pPr>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tabs>
        <w:tab w:val="num" w:pos="1080"/>
      </w:tabs>
      <w:spacing w:after="120"/>
      <w:ind w:left="1080" w:hanging="360"/>
    </w:pPr>
  </w:style>
  <w:style w:type="paragraph" w:customStyle="1" w:styleId="FNREFNoRASA">
    <w:name w:val="FN_REF_No_RASA"/>
    <w:basedOn w:val="Normal"/>
    <w:rsid w:val="002C2670"/>
    <w:pPr>
      <w:numPr>
        <w:numId w:val="5"/>
      </w:numPr>
      <w:tabs>
        <w:tab w:val="num" w:pos="360"/>
        <w:tab w:val="left" w:pos="720"/>
        <w:tab w:val="left" w:pos="1152"/>
      </w:tabs>
      <w:spacing w:before="60" w:after="60"/>
      <w:ind w:left="0" w:firstLine="720"/>
    </w:pPr>
    <w:rPr>
      <w:rFonts w:ascii="HGGothicE" w:hAnsi="HGGothicE" w:cs="Franklin Gothic Book (Body)"/>
      <w:b/>
      <w:sz w:val="20"/>
      <w:szCs w:val="20"/>
      <w:u w:val="single"/>
      <w:shd w:val="clear" w:color="auto" w:fill="FFFFFF"/>
      <w:vertAlign w:val="superscript"/>
    </w:rPr>
  </w:style>
  <w:style w:type="paragraph" w:styleId="CommentText">
    <w:name w:val="annotation text"/>
    <w:basedOn w:val="Normal"/>
    <w:link w:val="CommentTextChar"/>
    <w:uiPriority w:val="99"/>
    <w:unhideWhenUsed/>
    <w:rsid w:val="00A43641"/>
    <w:pPr>
      <w:spacing w:after="120"/>
    </w:pPr>
    <w:rPr>
      <w:sz w:val="20"/>
      <w:szCs w:val="20"/>
    </w:rPr>
  </w:style>
  <w:style w:type="character" w:customStyle="1" w:styleId="CommentTextChar">
    <w:name w:val="Comment Text Char"/>
    <w:basedOn w:val="DefaultParagraphFont"/>
    <w:link w:val="CommentText"/>
    <w:uiPriority w:val="99"/>
    <w:rsid w:val="00A43641"/>
    <w:rPr>
      <w:rFonts w:ascii="Times New Roman" w:hAnsi="Times New Roman"/>
      <w:sz w:val="20"/>
      <w:szCs w:val="20"/>
    </w:rPr>
  </w:style>
  <w:style w:type="character" w:styleId="FollowedHyperlink">
    <w:name w:val="FollowedHyperlink"/>
    <w:basedOn w:val="DefaultParagraphFont"/>
    <w:uiPriority w:val="99"/>
    <w:semiHidden/>
    <w:unhideWhenUsed/>
    <w:rsid w:val="008E7A53"/>
    <w:rPr>
      <w:color w:val="954F72" w:themeColor="followedHyperlink"/>
      <w:u w:val="single"/>
    </w:rPr>
  </w:style>
  <w:style w:type="character" w:styleId="Strong">
    <w:name w:val="Strong"/>
    <w:basedOn w:val="DefaultParagraphFont"/>
    <w:uiPriority w:val="22"/>
    <w:qFormat/>
    <w:rsid w:val="004563CE"/>
    <w:rPr>
      <w:rFonts w:ascii="Times New Roman" w:eastAsia="Times New Roman" w:hAnsi="Times New Roman" w:cstheme="minorHAnsi"/>
      <w:b w:val="0"/>
      <w:bCs/>
      <w:iCs/>
      <w:color w:val="auto"/>
      <w:sz w:val="24"/>
      <w:szCs w:val="20"/>
    </w:rPr>
  </w:style>
  <w:style w:type="paragraph" w:styleId="IntenseQuote">
    <w:name w:val="Intense Quote"/>
    <w:basedOn w:val="Normal"/>
    <w:next w:val="Normal"/>
    <w:link w:val="IntenseQuoteChar"/>
    <w:uiPriority w:val="30"/>
    <w:qFormat/>
    <w:rsid w:val="004563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563CE"/>
    <w:rPr>
      <w:rFonts w:ascii="Times New Roman" w:hAnsi="Times New Roman"/>
      <w:i/>
      <w:iCs/>
      <w:color w:val="4472C4" w:themeColor="accent1"/>
      <w:sz w:val="24"/>
    </w:rPr>
  </w:style>
  <w:style w:type="paragraph" w:styleId="ListParagraph">
    <w:name w:val="List Paragraph"/>
    <w:basedOn w:val="Normal"/>
    <w:uiPriority w:val="34"/>
    <w:qFormat/>
    <w:rsid w:val="004606A4"/>
    <w:pPr>
      <w:spacing w:after="160" w:line="259" w:lineRule="auto"/>
      <w:ind w:left="720"/>
      <w:contextualSpacing/>
    </w:pPr>
    <w:rPr>
      <w:rFonts w:asciiTheme="minorHAnsi" w:hAnsiTheme="minorHAnsi"/>
      <w:sz w:val="22"/>
    </w:rPr>
  </w:style>
  <w:style w:type="character" w:styleId="UnresolvedMention">
    <w:name w:val="Unresolved Mention"/>
    <w:basedOn w:val="DefaultParagraphFont"/>
    <w:uiPriority w:val="99"/>
    <w:unhideWhenUsed/>
    <w:rsid w:val="009725BE"/>
    <w:rPr>
      <w:color w:val="605E5C"/>
      <w:shd w:val="clear" w:color="auto" w:fill="E1DFDD"/>
    </w:rPr>
  </w:style>
  <w:style w:type="table" w:styleId="ListTable3-Accent1">
    <w:name w:val="List Table 3 Accent 1"/>
    <w:basedOn w:val="TableNormal"/>
    <w:uiPriority w:val="48"/>
    <w:rsid w:val="00A2392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11">
    <w:name w:val="List Table 3 - Accent 11"/>
    <w:basedOn w:val="TableNormal"/>
    <w:next w:val="ListTable3-Accent1"/>
    <w:uiPriority w:val="48"/>
    <w:rsid w:val="003268E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FootnotesNumbersBodyRASAChar">
    <w:name w:val="Footnotes_Numbers_Body_RASA Char"/>
    <w:basedOn w:val="DefaultParagraphFont"/>
    <w:link w:val="FootnotesNumbersBodyRASA"/>
    <w:locked/>
    <w:rsid w:val="003268E1"/>
    <w:rPr>
      <w:rFonts w:ascii="Times New Roman" w:eastAsia="HGGothicE" w:hAnsi="Times New Roman" w:cs="HGGothicE"/>
      <w:b/>
      <w:color w:val="201F1E"/>
      <w:szCs w:val="24"/>
      <w:u w:val="single"/>
      <w:shd w:val="clear" w:color="auto" w:fill="FFFFFF"/>
      <w:vertAlign w:val="superscript"/>
    </w:rPr>
  </w:style>
  <w:style w:type="paragraph" w:customStyle="1" w:styleId="FootnotesNumbersBodyRASA">
    <w:name w:val="Footnotes_Numbers_Body_RASA"/>
    <w:basedOn w:val="Normal"/>
    <w:link w:val="FootnotesNumbersBodyRASAChar"/>
    <w:qFormat/>
    <w:rsid w:val="003268E1"/>
    <w:pPr>
      <w:shd w:val="clear" w:color="auto" w:fill="FFFFFF"/>
      <w:tabs>
        <w:tab w:val="left" w:pos="720"/>
        <w:tab w:val="left" w:pos="1152"/>
      </w:tabs>
      <w:spacing w:before="60" w:after="120" w:line="268" w:lineRule="auto"/>
      <w:ind w:left="144"/>
    </w:pPr>
    <w:rPr>
      <w:rFonts w:eastAsia="HGGothicE" w:cs="HGGothicE"/>
      <w:b/>
      <w:color w:val="201F1E"/>
      <w:sz w:val="22"/>
      <w:u w:val="single"/>
      <w:vertAlign w:val="superscript"/>
    </w:rPr>
  </w:style>
  <w:style w:type="table" w:customStyle="1" w:styleId="ListTable3-Accent12">
    <w:name w:val="List Table 3 - Accent 12"/>
    <w:basedOn w:val="TableNormal"/>
    <w:next w:val="ListTable3-Accent1"/>
    <w:uiPriority w:val="48"/>
    <w:rsid w:val="00E5448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13">
    <w:name w:val="List Table 3 - Accent 13"/>
    <w:basedOn w:val="TableNormal"/>
    <w:next w:val="ListTable3-Accent1"/>
    <w:uiPriority w:val="48"/>
    <w:rsid w:val="0013327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14">
    <w:name w:val="List Table 3 - Accent 14"/>
    <w:basedOn w:val="TableNormal"/>
    <w:next w:val="ListTable3-Accent1"/>
    <w:uiPriority w:val="48"/>
    <w:rsid w:val="001852F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1Light-Accent1">
    <w:name w:val="Grid Table 1 Light Accent 1"/>
    <w:basedOn w:val="TableNormal"/>
    <w:uiPriority w:val="46"/>
    <w:rsid w:val="00870BB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3-Accent5">
    <w:name w:val="List Table 3 Accent 5"/>
    <w:basedOn w:val="TableNormal"/>
    <w:uiPriority w:val="48"/>
    <w:rsid w:val="005272A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CommentReference">
    <w:name w:val="annotation reference"/>
    <w:basedOn w:val="DefaultParagraphFont"/>
    <w:uiPriority w:val="99"/>
    <w:semiHidden/>
    <w:unhideWhenUsed/>
    <w:rsid w:val="00F95191"/>
    <w:rPr>
      <w:sz w:val="16"/>
      <w:szCs w:val="16"/>
    </w:rPr>
  </w:style>
  <w:style w:type="paragraph" w:styleId="CommentSubject">
    <w:name w:val="annotation subject"/>
    <w:basedOn w:val="CommentText"/>
    <w:next w:val="CommentText"/>
    <w:link w:val="CommentSubjectChar"/>
    <w:uiPriority w:val="99"/>
    <w:semiHidden/>
    <w:unhideWhenUsed/>
    <w:rsid w:val="00F95191"/>
    <w:pPr>
      <w:spacing w:after="0"/>
      <w:ind w:firstLine="720"/>
    </w:pPr>
    <w:rPr>
      <w:b/>
      <w:bCs/>
    </w:rPr>
  </w:style>
  <w:style w:type="character" w:customStyle="1" w:styleId="CommentSubjectChar">
    <w:name w:val="Comment Subject Char"/>
    <w:basedOn w:val="CommentTextChar"/>
    <w:link w:val="CommentSubject"/>
    <w:uiPriority w:val="99"/>
    <w:semiHidden/>
    <w:rsid w:val="00F95191"/>
    <w:rPr>
      <w:rFonts w:ascii="Book Antiqua" w:hAnsi="Book Antiqua"/>
      <w:b/>
      <w:bCs/>
      <w:sz w:val="20"/>
      <w:szCs w:val="20"/>
    </w:rPr>
  </w:style>
  <w:style w:type="paragraph" w:styleId="TOC7">
    <w:name w:val="toc 7"/>
    <w:basedOn w:val="Normal"/>
    <w:next w:val="Normal"/>
    <w:autoRedefine/>
    <w:uiPriority w:val="39"/>
    <w:unhideWhenUsed/>
    <w:rsid w:val="00DB774E"/>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B774E"/>
    <w:pPr>
      <w:spacing w:after="100" w:line="259" w:lineRule="auto"/>
      <w:ind w:left="1540"/>
    </w:pPr>
    <w:rPr>
      <w:rFonts w:asciiTheme="minorHAnsi" w:eastAsiaTheme="minorEastAsia" w:hAnsiTheme="minorHAnsi" w:cstheme="minorBidi"/>
      <w:sz w:val="22"/>
      <w:szCs w:val="22"/>
    </w:rPr>
  </w:style>
  <w:style w:type="character" w:styleId="Mention">
    <w:name w:val="Mention"/>
    <w:basedOn w:val="DefaultParagraphFont"/>
    <w:uiPriority w:val="99"/>
    <w:unhideWhenUsed/>
    <w:rsid w:val="009E4577"/>
    <w:rPr>
      <w:color w:val="2B579A"/>
      <w:shd w:val="clear" w:color="auto" w:fill="E1DFDD"/>
    </w:rPr>
  </w:style>
  <w:style w:type="paragraph" w:styleId="Revision">
    <w:name w:val="Revision"/>
    <w:hidden/>
    <w:uiPriority w:val="99"/>
    <w:semiHidden/>
    <w:rsid w:val="006C4F59"/>
    <w:pPr>
      <w:spacing w:after="0" w:line="240" w:lineRule="auto"/>
    </w:pPr>
    <w:rPr>
      <w:rFonts w:ascii="Times New Roman" w:eastAsia="Times New Roman" w:hAnsi="Times New Roman" w:cs="Times New Roman"/>
      <w:sz w:val="24"/>
      <w:szCs w:val="24"/>
    </w:rPr>
  </w:style>
  <w:style w:type="paragraph" w:customStyle="1" w:styleId="Default">
    <w:name w:val="Default"/>
    <w:rsid w:val="00664986"/>
    <w:pPr>
      <w:autoSpaceDE w:val="0"/>
      <w:autoSpaceDN w:val="0"/>
      <w:adjustRightInd w:val="0"/>
      <w:spacing w:after="0" w:line="240" w:lineRule="auto"/>
    </w:pPr>
    <w:rPr>
      <w:rFonts w:ascii="Calibri" w:hAnsi="Calibri" w:cs="Calibri"/>
      <w:color w:val="000000"/>
      <w:sz w:val="24"/>
      <w:szCs w:val="24"/>
    </w:rPr>
  </w:style>
  <w:style w:type="paragraph" w:customStyle="1" w:styleId="RASADocuments">
    <w:name w:val="RASA Documents"/>
    <w:basedOn w:val="Normal"/>
    <w:link w:val="RASADocumentsChar"/>
    <w:qFormat/>
    <w:rsid w:val="009450D9"/>
    <w:pPr>
      <w:tabs>
        <w:tab w:val="left" w:pos="432"/>
      </w:tabs>
      <w:spacing w:before="120" w:after="60" w:line="271" w:lineRule="auto"/>
      <w:ind w:left="432"/>
    </w:pPr>
    <w:rPr>
      <w:rFonts w:cstheme="minorHAnsi"/>
      <w:iCs/>
      <w:szCs w:val="20"/>
    </w:rPr>
  </w:style>
  <w:style w:type="character" w:customStyle="1" w:styleId="RASADocumentsChar">
    <w:name w:val="RASA Documents Char"/>
    <w:basedOn w:val="DefaultParagraphFont"/>
    <w:link w:val="RASADocuments"/>
    <w:rsid w:val="009450D9"/>
    <w:rPr>
      <w:rFonts w:ascii="Times New Roman" w:eastAsia="Times New Roman" w:hAnsi="Times New Roman" w:cstheme="minorHAnsi"/>
      <w:iCs/>
      <w:sz w:val="24"/>
      <w:szCs w:val="20"/>
    </w:rPr>
  </w:style>
  <w:style w:type="character" w:customStyle="1" w:styleId="normaltextrun">
    <w:name w:val="normaltextrun"/>
    <w:basedOn w:val="DefaultParagraphFont"/>
    <w:rsid w:val="00F14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8344">
      <w:bodyDiv w:val="1"/>
      <w:marLeft w:val="0"/>
      <w:marRight w:val="0"/>
      <w:marTop w:val="0"/>
      <w:marBottom w:val="0"/>
      <w:divBdr>
        <w:top w:val="none" w:sz="0" w:space="0" w:color="auto"/>
        <w:left w:val="none" w:sz="0" w:space="0" w:color="auto"/>
        <w:bottom w:val="none" w:sz="0" w:space="0" w:color="auto"/>
        <w:right w:val="none" w:sz="0" w:space="0" w:color="auto"/>
      </w:divBdr>
    </w:div>
    <w:div w:id="80761807">
      <w:bodyDiv w:val="1"/>
      <w:marLeft w:val="0"/>
      <w:marRight w:val="0"/>
      <w:marTop w:val="0"/>
      <w:marBottom w:val="0"/>
      <w:divBdr>
        <w:top w:val="none" w:sz="0" w:space="0" w:color="auto"/>
        <w:left w:val="none" w:sz="0" w:space="0" w:color="auto"/>
        <w:bottom w:val="none" w:sz="0" w:space="0" w:color="auto"/>
        <w:right w:val="none" w:sz="0" w:space="0" w:color="auto"/>
      </w:divBdr>
    </w:div>
    <w:div w:id="167064521">
      <w:bodyDiv w:val="1"/>
      <w:marLeft w:val="0"/>
      <w:marRight w:val="0"/>
      <w:marTop w:val="0"/>
      <w:marBottom w:val="0"/>
      <w:divBdr>
        <w:top w:val="none" w:sz="0" w:space="0" w:color="auto"/>
        <w:left w:val="none" w:sz="0" w:space="0" w:color="auto"/>
        <w:bottom w:val="none" w:sz="0" w:space="0" w:color="auto"/>
        <w:right w:val="none" w:sz="0" w:space="0" w:color="auto"/>
      </w:divBdr>
    </w:div>
    <w:div w:id="222298698">
      <w:bodyDiv w:val="1"/>
      <w:marLeft w:val="0"/>
      <w:marRight w:val="0"/>
      <w:marTop w:val="0"/>
      <w:marBottom w:val="0"/>
      <w:divBdr>
        <w:top w:val="none" w:sz="0" w:space="0" w:color="auto"/>
        <w:left w:val="none" w:sz="0" w:space="0" w:color="auto"/>
        <w:bottom w:val="none" w:sz="0" w:space="0" w:color="auto"/>
        <w:right w:val="none" w:sz="0" w:space="0" w:color="auto"/>
      </w:divBdr>
    </w:div>
    <w:div w:id="228616036">
      <w:bodyDiv w:val="1"/>
      <w:marLeft w:val="0"/>
      <w:marRight w:val="0"/>
      <w:marTop w:val="0"/>
      <w:marBottom w:val="0"/>
      <w:divBdr>
        <w:top w:val="none" w:sz="0" w:space="0" w:color="auto"/>
        <w:left w:val="none" w:sz="0" w:space="0" w:color="auto"/>
        <w:bottom w:val="none" w:sz="0" w:space="0" w:color="auto"/>
        <w:right w:val="none" w:sz="0" w:space="0" w:color="auto"/>
      </w:divBdr>
    </w:div>
    <w:div w:id="253784557">
      <w:bodyDiv w:val="1"/>
      <w:marLeft w:val="0"/>
      <w:marRight w:val="0"/>
      <w:marTop w:val="0"/>
      <w:marBottom w:val="0"/>
      <w:divBdr>
        <w:top w:val="none" w:sz="0" w:space="0" w:color="auto"/>
        <w:left w:val="none" w:sz="0" w:space="0" w:color="auto"/>
        <w:bottom w:val="none" w:sz="0" w:space="0" w:color="auto"/>
        <w:right w:val="none" w:sz="0" w:space="0" w:color="auto"/>
      </w:divBdr>
    </w:div>
    <w:div w:id="305398847">
      <w:bodyDiv w:val="1"/>
      <w:marLeft w:val="0"/>
      <w:marRight w:val="0"/>
      <w:marTop w:val="0"/>
      <w:marBottom w:val="0"/>
      <w:divBdr>
        <w:top w:val="none" w:sz="0" w:space="0" w:color="auto"/>
        <w:left w:val="none" w:sz="0" w:space="0" w:color="auto"/>
        <w:bottom w:val="none" w:sz="0" w:space="0" w:color="auto"/>
        <w:right w:val="none" w:sz="0" w:space="0" w:color="auto"/>
      </w:divBdr>
    </w:div>
    <w:div w:id="388067074">
      <w:bodyDiv w:val="1"/>
      <w:marLeft w:val="0"/>
      <w:marRight w:val="0"/>
      <w:marTop w:val="0"/>
      <w:marBottom w:val="0"/>
      <w:divBdr>
        <w:top w:val="none" w:sz="0" w:space="0" w:color="auto"/>
        <w:left w:val="none" w:sz="0" w:space="0" w:color="auto"/>
        <w:bottom w:val="none" w:sz="0" w:space="0" w:color="auto"/>
        <w:right w:val="none" w:sz="0" w:space="0" w:color="auto"/>
      </w:divBdr>
    </w:div>
    <w:div w:id="400761708">
      <w:bodyDiv w:val="1"/>
      <w:marLeft w:val="0"/>
      <w:marRight w:val="0"/>
      <w:marTop w:val="0"/>
      <w:marBottom w:val="0"/>
      <w:divBdr>
        <w:top w:val="none" w:sz="0" w:space="0" w:color="auto"/>
        <w:left w:val="none" w:sz="0" w:space="0" w:color="auto"/>
        <w:bottom w:val="none" w:sz="0" w:space="0" w:color="auto"/>
        <w:right w:val="none" w:sz="0" w:space="0" w:color="auto"/>
      </w:divBdr>
    </w:div>
    <w:div w:id="514658281">
      <w:bodyDiv w:val="1"/>
      <w:marLeft w:val="0"/>
      <w:marRight w:val="0"/>
      <w:marTop w:val="0"/>
      <w:marBottom w:val="0"/>
      <w:divBdr>
        <w:top w:val="none" w:sz="0" w:space="0" w:color="auto"/>
        <w:left w:val="none" w:sz="0" w:space="0" w:color="auto"/>
        <w:bottom w:val="none" w:sz="0" w:space="0" w:color="auto"/>
        <w:right w:val="none" w:sz="0" w:space="0" w:color="auto"/>
      </w:divBdr>
    </w:div>
    <w:div w:id="580988706">
      <w:bodyDiv w:val="1"/>
      <w:marLeft w:val="0"/>
      <w:marRight w:val="0"/>
      <w:marTop w:val="0"/>
      <w:marBottom w:val="0"/>
      <w:divBdr>
        <w:top w:val="none" w:sz="0" w:space="0" w:color="auto"/>
        <w:left w:val="none" w:sz="0" w:space="0" w:color="auto"/>
        <w:bottom w:val="none" w:sz="0" w:space="0" w:color="auto"/>
        <w:right w:val="none" w:sz="0" w:space="0" w:color="auto"/>
      </w:divBdr>
    </w:div>
    <w:div w:id="673336071">
      <w:bodyDiv w:val="1"/>
      <w:marLeft w:val="0"/>
      <w:marRight w:val="0"/>
      <w:marTop w:val="0"/>
      <w:marBottom w:val="0"/>
      <w:divBdr>
        <w:top w:val="none" w:sz="0" w:space="0" w:color="auto"/>
        <w:left w:val="none" w:sz="0" w:space="0" w:color="auto"/>
        <w:bottom w:val="none" w:sz="0" w:space="0" w:color="auto"/>
        <w:right w:val="none" w:sz="0" w:space="0" w:color="auto"/>
      </w:divBdr>
    </w:div>
    <w:div w:id="700134399">
      <w:bodyDiv w:val="1"/>
      <w:marLeft w:val="0"/>
      <w:marRight w:val="0"/>
      <w:marTop w:val="0"/>
      <w:marBottom w:val="0"/>
      <w:divBdr>
        <w:top w:val="none" w:sz="0" w:space="0" w:color="auto"/>
        <w:left w:val="none" w:sz="0" w:space="0" w:color="auto"/>
        <w:bottom w:val="none" w:sz="0" w:space="0" w:color="auto"/>
        <w:right w:val="none" w:sz="0" w:space="0" w:color="auto"/>
      </w:divBdr>
    </w:div>
    <w:div w:id="712508846">
      <w:bodyDiv w:val="1"/>
      <w:marLeft w:val="0"/>
      <w:marRight w:val="0"/>
      <w:marTop w:val="0"/>
      <w:marBottom w:val="0"/>
      <w:divBdr>
        <w:top w:val="none" w:sz="0" w:space="0" w:color="auto"/>
        <w:left w:val="none" w:sz="0" w:space="0" w:color="auto"/>
        <w:bottom w:val="none" w:sz="0" w:space="0" w:color="auto"/>
        <w:right w:val="none" w:sz="0" w:space="0" w:color="auto"/>
      </w:divBdr>
    </w:div>
    <w:div w:id="761871874">
      <w:bodyDiv w:val="1"/>
      <w:marLeft w:val="0"/>
      <w:marRight w:val="0"/>
      <w:marTop w:val="0"/>
      <w:marBottom w:val="0"/>
      <w:divBdr>
        <w:top w:val="none" w:sz="0" w:space="0" w:color="auto"/>
        <w:left w:val="none" w:sz="0" w:space="0" w:color="auto"/>
        <w:bottom w:val="none" w:sz="0" w:space="0" w:color="auto"/>
        <w:right w:val="none" w:sz="0" w:space="0" w:color="auto"/>
      </w:divBdr>
    </w:div>
    <w:div w:id="911743661">
      <w:bodyDiv w:val="1"/>
      <w:marLeft w:val="0"/>
      <w:marRight w:val="0"/>
      <w:marTop w:val="0"/>
      <w:marBottom w:val="0"/>
      <w:divBdr>
        <w:top w:val="none" w:sz="0" w:space="0" w:color="auto"/>
        <w:left w:val="none" w:sz="0" w:space="0" w:color="auto"/>
        <w:bottom w:val="none" w:sz="0" w:space="0" w:color="auto"/>
        <w:right w:val="none" w:sz="0" w:space="0" w:color="auto"/>
      </w:divBdr>
    </w:div>
    <w:div w:id="919488564">
      <w:bodyDiv w:val="1"/>
      <w:marLeft w:val="0"/>
      <w:marRight w:val="0"/>
      <w:marTop w:val="0"/>
      <w:marBottom w:val="0"/>
      <w:divBdr>
        <w:top w:val="none" w:sz="0" w:space="0" w:color="auto"/>
        <w:left w:val="none" w:sz="0" w:space="0" w:color="auto"/>
        <w:bottom w:val="none" w:sz="0" w:space="0" w:color="auto"/>
        <w:right w:val="none" w:sz="0" w:space="0" w:color="auto"/>
      </w:divBdr>
    </w:div>
    <w:div w:id="924604812">
      <w:bodyDiv w:val="1"/>
      <w:marLeft w:val="0"/>
      <w:marRight w:val="0"/>
      <w:marTop w:val="0"/>
      <w:marBottom w:val="0"/>
      <w:divBdr>
        <w:top w:val="none" w:sz="0" w:space="0" w:color="auto"/>
        <w:left w:val="none" w:sz="0" w:space="0" w:color="auto"/>
        <w:bottom w:val="none" w:sz="0" w:space="0" w:color="auto"/>
        <w:right w:val="none" w:sz="0" w:space="0" w:color="auto"/>
      </w:divBdr>
    </w:div>
    <w:div w:id="964189517">
      <w:bodyDiv w:val="1"/>
      <w:marLeft w:val="0"/>
      <w:marRight w:val="0"/>
      <w:marTop w:val="0"/>
      <w:marBottom w:val="0"/>
      <w:divBdr>
        <w:top w:val="none" w:sz="0" w:space="0" w:color="auto"/>
        <w:left w:val="none" w:sz="0" w:space="0" w:color="auto"/>
        <w:bottom w:val="none" w:sz="0" w:space="0" w:color="auto"/>
        <w:right w:val="none" w:sz="0" w:space="0" w:color="auto"/>
      </w:divBdr>
    </w:div>
    <w:div w:id="966084419">
      <w:bodyDiv w:val="1"/>
      <w:marLeft w:val="0"/>
      <w:marRight w:val="0"/>
      <w:marTop w:val="0"/>
      <w:marBottom w:val="0"/>
      <w:divBdr>
        <w:top w:val="none" w:sz="0" w:space="0" w:color="auto"/>
        <w:left w:val="none" w:sz="0" w:space="0" w:color="auto"/>
        <w:bottom w:val="none" w:sz="0" w:space="0" w:color="auto"/>
        <w:right w:val="none" w:sz="0" w:space="0" w:color="auto"/>
      </w:divBdr>
    </w:div>
    <w:div w:id="969213143">
      <w:bodyDiv w:val="1"/>
      <w:marLeft w:val="0"/>
      <w:marRight w:val="0"/>
      <w:marTop w:val="0"/>
      <w:marBottom w:val="0"/>
      <w:divBdr>
        <w:top w:val="none" w:sz="0" w:space="0" w:color="auto"/>
        <w:left w:val="none" w:sz="0" w:space="0" w:color="auto"/>
        <w:bottom w:val="none" w:sz="0" w:space="0" w:color="auto"/>
        <w:right w:val="none" w:sz="0" w:space="0" w:color="auto"/>
      </w:divBdr>
    </w:div>
    <w:div w:id="1020010717">
      <w:bodyDiv w:val="1"/>
      <w:marLeft w:val="0"/>
      <w:marRight w:val="0"/>
      <w:marTop w:val="0"/>
      <w:marBottom w:val="0"/>
      <w:divBdr>
        <w:top w:val="none" w:sz="0" w:space="0" w:color="auto"/>
        <w:left w:val="none" w:sz="0" w:space="0" w:color="auto"/>
        <w:bottom w:val="none" w:sz="0" w:space="0" w:color="auto"/>
        <w:right w:val="none" w:sz="0" w:space="0" w:color="auto"/>
      </w:divBdr>
    </w:div>
    <w:div w:id="1039357586">
      <w:bodyDiv w:val="1"/>
      <w:marLeft w:val="0"/>
      <w:marRight w:val="0"/>
      <w:marTop w:val="0"/>
      <w:marBottom w:val="0"/>
      <w:divBdr>
        <w:top w:val="none" w:sz="0" w:space="0" w:color="auto"/>
        <w:left w:val="none" w:sz="0" w:space="0" w:color="auto"/>
        <w:bottom w:val="none" w:sz="0" w:space="0" w:color="auto"/>
        <w:right w:val="none" w:sz="0" w:space="0" w:color="auto"/>
      </w:divBdr>
    </w:div>
    <w:div w:id="1122266496">
      <w:bodyDiv w:val="1"/>
      <w:marLeft w:val="0"/>
      <w:marRight w:val="0"/>
      <w:marTop w:val="0"/>
      <w:marBottom w:val="0"/>
      <w:divBdr>
        <w:top w:val="none" w:sz="0" w:space="0" w:color="auto"/>
        <w:left w:val="none" w:sz="0" w:space="0" w:color="auto"/>
        <w:bottom w:val="none" w:sz="0" w:space="0" w:color="auto"/>
        <w:right w:val="none" w:sz="0" w:space="0" w:color="auto"/>
      </w:divBdr>
    </w:div>
    <w:div w:id="1149592218">
      <w:bodyDiv w:val="1"/>
      <w:marLeft w:val="0"/>
      <w:marRight w:val="0"/>
      <w:marTop w:val="0"/>
      <w:marBottom w:val="0"/>
      <w:divBdr>
        <w:top w:val="none" w:sz="0" w:space="0" w:color="auto"/>
        <w:left w:val="none" w:sz="0" w:space="0" w:color="auto"/>
        <w:bottom w:val="none" w:sz="0" w:space="0" w:color="auto"/>
        <w:right w:val="none" w:sz="0" w:space="0" w:color="auto"/>
      </w:divBdr>
    </w:div>
    <w:div w:id="1219978596">
      <w:bodyDiv w:val="1"/>
      <w:marLeft w:val="0"/>
      <w:marRight w:val="0"/>
      <w:marTop w:val="0"/>
      <w:marBottom w:val="0"/>
      <w:divBdr>
        <w:top w:val="none" w:sz="0" w:space="0" w:color="auto"/>
        <w:left w:val="none" w:sz="0" w:space="0" w:color="auto"/>
        <w:bottom w:val="none" w:sz="0" w:space="0" w:color="auto"/>
        <w:right w:val="none" w:sz="0" w:space="0" w:color="auto"/>
      </w:divBdr>
    </w:div>
    <w:div w:id="1232080746">
      <w:bodyDiv w:val="1"/>
      <w:marLeft w:val="0"/>
      <w:marRight w:val="0"/>
      <w:marTop w:val="0"/>
      <w:marBottom w:val="0"/>
      <w:divBdr>
        <w:top w:val="none" w:sz="0" w:space="0" w:color="auto"/>
        <w:left w:val="none" w:sz="0" w:space="0" w:color="auto"/>
        <w:bottom w:val="none" w:sz="0" w:space="0" w:color="auto"/>
        <w:right w:val="none" w:sz="0" w:space="0" w:color="auto"/>
      </w:divBdr>
    </w:div>
    <w:div w:id="1244027153">
      <w:bodyDiv w:val="1"/>
      <w:marLeft w:val="0"/>
      <w:marRight w:val="0"/>
      <w:marTop w:val="0"/>
      <w:marBottom w:val="0"/>
      <w:divBdr>
        <w:top w:val="none" w:sz="0" w:space="0" w:color="auto"/>
        <w:left w:val="none" w:sz="0" w:space="0" w:color="auto"/>
        <w:bottom w:val="none" w:sz="0" w:space="0" w:color="auto"/>
        <w:right w:val="none" w:sz="0" w:space="0" w:color="auto"/>
      </w:divBdr>
    </w:div>
    <w:div w:id="1282802781">
      <w:bodyDiv w:val="1"/>
      <w:marLeft w:val="0"/>
      <w:marRight w:val="0"/>
      <w:marTop w:val="0"/>
      <w:marBottom w:val="0"/>
      <w:divBdr>
        <w:top w:val="none" w:sz="0" w:space="0" w:color="auto"/>
        <w:left w:val="none" w:sz="0" w:space="0" w:color="auto"/>
        <w:bottom w:val="none" w:sz="0" w:space="0" w:color="auto"/>
        <w:right w:val="none" w:sz="0" w:space="0" w:color="auto"/>
      </w:divBdr>
    </w:div>
    <w:div w:id="1293318237">
      <w:bodyDiv w:val="1"/>
      <w:marLeft w:val="0"/>
      <w:marRight w:val="0"/>
      <w:marTop w:val="0"/>
      <w:marBottom w:val="0"/>
      <w:divBdr>
        <w:top w:val="none" w:sz="0" w:space="0" w:color="auto"/>
        <w:left w:val="none" w:sz="0" w:space="0" w:color="auto"/>
        <w:bottom w:val="none" w:sz="0" w:space="0" w:color="auto"/>
        <w:right w:val="none" w:sz="0" w:space="0" w:color="auto"/>
      </w:divBdr>
    </w:div>
    <w:div w:id="1404329164">
      <w:bodyDiv w:val="1"/>
      <w:marLeft w:val="0"/>
      <w:marRight w:val="0"/>
      <w:marTop w:val="0"/>
      <w:marBottom w:val="0"/>
      <w:divBdr>
        <w:top w:val="none" w:sz="0" w:space="0" w:color="auto"/>
        <w:left w:val="none" w:sz="0" w:space="0" w:color="auto"/>
        <w:bottom w:val="none" w:sz="0" w:space="0" w:color="auto"/>
        <w:right w:val="none" w:sz="0" w:space="0" w:color="auto"/>
      </w:divBdr>
    </w:div>
    <w:div w:id="1424257382">
      <w:bodyDiv w:val="1"/>
      <w:marLeft w:val="0"/>
      <w:marRight w:val="0"/>
      <w:marTop w:val="0"/>
      <w:marBottom w:val="0"/>
      <w:divBdr>
        <w:top w:val="none" w:sz="0" w:space="0" w:color="auto"/>
        <w:left w:val="none" w:sz="0" w:space="0" w:color="auto"/>
        <w:bottom w:val="none" w:sz="0" w:space="0" w:color="auto"/>
        <w:right w:val="none" w:sz="0" w:space="0" w:color="auto"/>
      </w:divBdr>
    </w:div>
    <w:div w:id="1432435547">
      <w:bodyDiv w:val="1"/>
      <w:marLeft w:val="0"/>
      <w:marRight w:val="0"/>
      <w:marTop w:val="0"/>
      <w:marBottom w:val="0"/>
      <w:divBdr>
        <w:top w:val="none" w:sz="0" w:space="0" w:color="auto"/>
        <w:left w:val="none" w:sz="0" w:space="0" w:color="auto"/>
        <w:bottom w:val="none" w:sz="0" w:space="0" w:color="auto"/>
        <w:right w:val="none" w:sz="0" w:space="0" w:color="auto"/>
      </w:divBdr>
    </w:div>
    <w:div w:id="1524585970">
      <w:bodyDiv w:val="1"/>
      <w:marLeft w:val="0"/>
      <w:marRight w:val="0"/>
      <w:marTop w:val="0"/>
      <w:marBottom w:val="0"/>
      <w:divBdr>
        <w:top w:val="none" w:sz="0" w:space="0" w:color="auto"/>
        <w:left w:val="none" w:sz="0" w:space="0" w:color="auto"/>
        <w:bottom w:val="none" w:sz="0" w:space="0" w:color="auto"/>
        <w:right w:val="none" w:sz="0" w:space="0" w:color="auto"/>
      </w:divBdr>
    </w:div>
    <w:div w:id="1544559752">
      <w:bodyDiv w:val="1"/>
      <w:marLeft w:val="0"/>
      <w:marRight w:val="0"/>
      <w:marTop w:val="0"/>
      <w:marBottom w:val="0"/>
      <w:divBdr>
        <w:top w:val="none" w:sz="0" w:space="0" w:color="auto"/>
        <w:left w:val="none" w:sz="0" w:space="0" w:color="auto"/>
        <w:bottom w:val="none" w:sz="0" w:space="0" w:color="auto"/>
        <w:right w:val="none" w:sz="0" w:space="0" w:color="auto"/>
      </w:divBdr>
    </w:div>
    <w:div w:id="1574581782">
      <w:bodyDiv w:val="1"/>
      <w:marLeft w:val="0"/>
      <w:marRight w:val="0"/>
      <w:marTop w:val="0"/>
      <w:marBottom w:val="0"/>
      <w:divBdr>
        <w:top w:val="none" w:sz="0" w:space="0" w:color="auto"/>
        <w:left w:val="none" w:sz="0" w:space="0" w:color="auto"/>
        <w:bottom w:val="none" w:sz="0" w:space="0" w:color="auto"/>
        <w:right w:val="none" w:sz="0" w:space="0" w:color="auto"/>
      </w:divBdr>
    </w:div>
    <w:div w:id="1579246541">
      <w:bodyDiv w:val="1"/>
      <w:marLeft w:val="0"/>
      <w:marRight w:val="0"/>
      <w:marTop w:val="0"/>
      <w:marBottom w:val="0"/>
      <w:divBdr>
        <w:top w:val="none" w:sz="0" w:space="0" w:color="auto"/>
        <w:left w:val="none" w:sz="0" w:space="0" w:color="auto"/>
        <w:bottom w:val="none" w:sz="0" w:space="0" w:color="auto"/>
        <w:right w:val="none" w:sz="0" w:space="0" w:color="auto"/>
      </w:divBdr>
    </w:div>
    <w:div w:id="1665163585">
      <w:bodyDiv w:val="1"/>
      <w:marLeft w:val="0"/>
      <w:marRight w:val="0"/>
      <w:marTop w:val="0"/>
      <w:marBottom w:val="0"/>
      <w:divBdr>
        <w:top w:val="none" w:sz="0" w:space="0" w:color="auto"/>
        <w:left w:val="none" w:sz="0" w:space="0" w:color="auto"/>
        <w:bottom w:val="none" w:sz="0" w:space="0" w:color="auto"/>
        <w:right w:val="none" w:sz="0" w:space="0" w:color="auto"/>
      </w:divBdr>
    </w:div>
    <w:div w:id="1751610600">
      <w:bodyDiv w:val="1"/>
      <w:marLeft w:val="0"/>
      <w:marRight w:val="0"/>
      <w:marTop w:val="0"/>
      <w:marBottom w:val="0"/>
      <w:divBdr>
        <w:top w:val="none" w:sz="0" w:space="0" w:color="auto"/>
        <w:left w:val="none" w:sz="0" w:space="0" w:color="auto"/>
        <w:bottom w:val="none" w:sz="0" w:space="0" w:color="auto"/>
        <w:right w:val="none" w:sz="0" w:space="0" w:color="auto"/>
      </w:divBdr>
    </w:div>
    <w:div w:id="1782264640">
      <w:bodyDiv w:val="1"/>
      <w:marLeft w:val="0"/>
      <w:marRight w:val="0"/>
      <w:marTop w:val="0"/>
      <w:marBottom w:val="0"/>
      <w:divBdr>
        <w:top w:val="none" w:sz="0" w:space="0" w:color="auto"/>
        <w:left w:val="none" w:sz="0" w:space="0" w:color="auto"/>
        <w:bottom w:val="none" w:sz="0" w:space="0" w:color="auto"/>
        <w:right w:val="none" w:sz="0" w:space="0" w:color="auto"/>
      </w:divBdr>
    </w:div>
    <w:div w:id="1851067892">
      <w:bodyDiv w:val="1"/>
      <w:marLeft w:val="0"/>
      <w:marRight w:val="0"/>
      <w:marTop w:val="0"/>
      <w:marBottom w:val="0"/>
      <w:divBdr>
        <w:top w:val="none" w:sz="0" w:space="0" w:color="auto"/>
        <w:left w:val="none" w:sz="0" w:space="0" w:color="auto"/>
        <w:bottom w:val="none" w:sz="0" w:space="0" w:color="auto"/>
        <w:right w:val="none" w:sz="0" w:space="0" w:color="auto"/>
      </w:divBdr>
    </w:div>
    <w:div w:id="1866941195">
      <w:bodyDiv w:val="1"/>
      <w:marLeft w:val="0"/>
      <w:marRight w:val="0"/>
      <w:marTop w:val="0"/>
      <w:marBottom w:val="0"/>
      <w:divBdr>
        <w:top w:val="none" w:sz="0" w:space="0" w:color="auto"/>
        <w:left w:val="none" w:sz="0" w:space="0" w:color="auto"/>
        <w:bottom w:val="none" w:sz="0" w:space="0" w:color="auto"/>
        <w:right w:val="none" w:sz="0" w:space="0" w:color="auto"/>
      </w:divBdr>
    </w:div>
    <w:div w:id="1897474854">
      <w:bodyDiv w:val="1"/>
      <w:marLeft w:val="0"/>
      <w:marRight w:val="0"/>
      <w:marTop w:val="0"/>
      <w:marBottom w:val="0"/>
      <w:divBdr>
        <w:top w:val="none" w:sz="0" w:space="0" w:color="auto"/>
        <w:left w:val="none" w:sz="0" w:space="0" w:color="auto"/>
        <w:bottom w:val="none" w:sz="0" w:space="0" w:color="auto"/>
        <w:right w:val="none" w:sz="0" w:space="0" w:color="auto"/>
      </w:divBdr>
    </w:div>
    <w:div w:id="1916743403">
      <w:bodyDiv w:val="1"/>
      <w:marLeft w:val="0"/>
      <w:marRight w:val="0"/>
      <w:marTop w:val="0"/>
      <w:marBottom w:val="0"/>
      <w:divBdr>
        <w:top w:val="none" w:sz="0" w:space="0" w:color="auto"/>
        <w:left w:val="none" w:sz="0" w:space="0" w:color="auto"/>
        <w:bottom w:val="none" w:sz="0" w:space="0" w:color="auto"/>
        <w:right w:val="none" w:sz="0" w:space="0" w:color="auto"/>
      </w:divBdr>
    </w:div>
    <w:div w:id="2004044125">
      <w:bodyDiv w:val="1"/>
      <w:marLeft w:val="0"/>
      <w:marRight w:val="0"/>
      <w:marTop w:val="0"/>
      <w:marBottom w:val="0"/>
      <w:divBdr>
        <w:top w:val="none" w:sz="0" w:space="0" w:color="auto"/>
        <w:left w:val="none" w:sz="0" w:space="0" w:color="auto"/>
        <w:bottom w:val="none" w:sz="0" w:space="0" w:color="auto"/>
        <w:right w:val="none" w:sz="0" w:space="0" w:color="auto"/>
      </w:divBdr>
    </w:div>
    <w:div w:id="2022200867">
      <w:bodyDiv w:val="1"/>
      <w:marLeft w:val="0"/>
      <w:marRight w:val="0"/>
      <w:marTop w:val="0"/>
      <w:marBottom w:val="0"/>
      <w:divBdr>
        <w:top w:val="none" w:sz="0" w:space="0" w:color="auto"/>
        <w:left w:val="none" w:sz="0" w:space="0" w:color="auto"/>
        <w:bottom w:val="none" w:sz="0" w:space="0" w:color="auto"/>
        <w:right w:val="none" w:sz="0" w:space="0" w:color="auto"/>
      </w:divBdr>
    </w:div>
    <w:div w:id="2083259240">
      <w:bodyDiv w:val="1"/>
      <w:marLeft w:val="0"/>
      <w:marRight w:val="0"/>
      <w:marTop w:val="0"/>
      <w:marBottom w:val="0"/>
      <w:divBdr>
        <w:top w:val="none" w:sz="0" w:space="0" w:color="auto"/>
        <w:left w:val="none" w:sz="0" w:space="0" w:color="auto"/>
        <w:bottom w:val="none" w:sz="0" w:space="0" w:color="auto"/>
        <w:right w:val="none" w:sz="0" w:space="0" w:color="auto"/>
      </w:divBdr>
    </w:div>
    <w:div w:id="2095393843">
      <w:bodyDiv w:val="1"/>
      <w:marLeft w:val="0"/>
      <w:marRight w:val="0"/>
      <w:marTop w:val="0"/>
      <w:marBottom w:val="0"/>
      <w:divBdr>
        <w:top w:val="none" w:sz="0" w:space="0" w:color="auto"/>
        <w:left w:val="none" w:sz="0" w:space="0" w:color="auto"/>
        <w:bottom w:val="none" w:sz="0" w:space="0" w:color="auto"/>
        <w:right w:val="none" w:sz="0" w:space="0" w:color="auto"/>
      </w:divBdr>
    </w:div>
    <w:div w:id="2102211887">
      <w:bodyDiv w:val="1"/>
      <w:marLeft w:val="0"/>
      <w:marRight w:val="0"/>
      <w:marTop w:val="0"/>
      <w:marBottom w:val="0"/>
      <w:divBdr>
        <w:top w:val="none" w:sz="0" w:space="0" w:color="auto"/>
        <w:left w:val="none" w:sz="0" w:space="0" w:color="auto"/>
        <w:bottom w:val="none" w:sz="0" w:space="0" w:color="auto"/>
        <w:right w:val="none" w:sz="0" w:space="0" w:color="auto"/>
      </w:divBdr>
    </w:div>
    <w:div w:id="211088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RASA_Email@cpuc.ca.gov"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6.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hart" Target="charts/chart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eader" Target="header5.xml" Id="rId23" /><Relationship Type="http://schemas.microsoft.com/office/2019/05/relationships/documenttasks" Target="documenttasks/documenttasks1.xml" Id="rId28" /><Relationship Type="http://schemas.openxmlformats.org/officeDocument/2006/relationships/endnotes" Target="endnotes.xml" Id="rId10" /><Relationship Type="http://schemas.openxmlformats.org/officeDocument/2006/relationships/image" Target="media/image1.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RASA_Email@cpuc.ca.gov" TargetMode="External" Id="rId22" /><Relationship Type="http://schemas.openxmlformats.org/officeDocument/2006/relationships/theme" Target="theme/theme1.xml" Id="rId27" /><Relationship Type="http://schemas.openxmlformats.org/officeDocument/2006/relationships/hyperlink" Target="http://docs.cpuc.ca.gov/PublishedDocs/Published/G000/M421/K740/421740296.docx" TargetMode="External" Id="Rea4c9f8382be463f" /><Relationship Type="http://schemas.openxmlformats.org/officeDocument/2006/relationships/hyperlink" Target="http://docs.cpuc.ca.gov/PublishedDocs/Published/G000/M421/K740/421740298.docx" TargetMode="External" Id="R6d066d88854d4c61" /><Relationship Type="http://schemas.openxmlformats.org/officeDocument/2006/relationships/hyperlink" Target="http://docs.cpuc.ca.gov/PublishedDocs/Published/G000/M421/K075/421075368.pdf" TargetMode="External" Id="R1716f54ce3c84480" /><Relationship Type="http://schemas.openxmlformats.org/officeDocument/2006/relationships/hyperlink" Target="http://docs.cpuc.ca.gov/PublishedDocs/Published/G000/M421/K075/421075369.docx" TargetMode="External" Id="R5d7f62b8cbae4b04" /><Relationship Type="http://schemas.openxmlformats.org/officeDocument/2006/relationships/hyperlink" Target="http://docs.cpuc.ca.gov/PublishedDocs/Published/G000/M421/K098/421098802.docx" TargetMode="External" Id="R8fbaecbb12aa432b" /><Relationship Type="http://schemas.openxmlformats.org/officeDocument/2006/relationships/hyperlink" Target="http://docs.cpuc.ca.gov/PublishedDocs/Published/G000/M421/K092/421092037.docx" TargetMode="External" Id="R469ac88038a94bb6" /><Relationship Type="http://schemas.openxmlformats.org/officeDocument/2006/relationships/hyperlink" Target="http://docs.cpuc.ca.gov/PublishedDocs/Published/G000/M421/K098/421098804.docx" TargetMode="External" Id="Rdf8a971a5c3c4055" /></Relationships>
</file>

<file path=word/_rels/footnotes.xml.rels><?xml version="1.0" encoding="UTF-8" standalone="yes"?>
<Relationships xmlns="http://schemas.openxmlformats.org/package/2006/relationships"><Relationship Id="rId8" Type="http://schemas.openxmlformats.org/officeDocument/2006/relationships/hyperlink" Target="https://docs.cpuc.ca.gov/PublishedDocs/Published/G000/M398/K031/398031023.PDF" TargetMode="External"/><Relationship Id="rId13" Type="http://schemas.openxmlformats.org/officeDocument/2006/relationships/hyperlink" Target="https://docs.cpuc.ca.gov/PublishedDocs/Published/G000/M387/K099/387099293.PDF" TargetMode="External"/><Relationship Id="rId18" Type="http://schemas.openxmlformats.org/officeDocument/2006/relationships/hyperlink" Target="https://w1.weather.gov/glossary/index.php?word=red+flag+warning" TargetMode="External"/><Relationship Id="rId3" Type="http://schemas.openxmlformats.org/officeDocument/2006/relationships/hyperlink" Target="https://www.sce.com/sites/default/files/AEM/SCE%202020-2022%20Wildfire%20Mitigation%20Plan.pdf" TargetMode="External"/><Relationship Id="rId21" Type="http://schemas.openxmlformats.org/officeDocument/2006/relationships/hyperlink" Target="https://oehha.ca.gov/calenviroscreen" TargetMode="External"/><Relationship Id="rId7" Type="http://schemas.openxmlformats.org/officeDocument/2006/relationships/hyperlink" Target="https://docs.cpuc.ca.gov/PublishedDocs/Published/G000/M350/K405/350405017.PDF" TargetMode="External"/><Relationship Id="rId12" Type="http://schemas.openxmlformats.org/officeDocument/2006/relationships/hyperlink" Target="https://energysafety.ca.gov/wp-content/uploads/docs/wmp-2021/attachment-2.2-to-wsd-011-2021-wmp-guidelines-template.pdf" TargetMode="External"/><Relationship Id="rId17" Type="http://schemas.openxmlformats.org/officeDocument/2006/relationships/hyperlink" Target="https://www.cpuc.ca.gov/consumer-support/psps/technosylva-2019-psps-event-wildfire-risk-analysis-reports" TargetMode="External"/><Relationship Id="rId2" Type="http://schemas.openxmlformats.org/officeDocument/2006/relationships/hyperlink" Target="https://www.sdge.com/proceedings/2021-sdge-ramp-report" TargetMode="External"/><Relationship Id="rId16" Type="http://schemas.openxmlformats.org/officeDocument/2006/relationships/hyperlink" Target="https://www.cpuc.ca.gov/-/media/cpuc-website/divisions/safety-policy-division/documents/20210712-cpucoeis-mousigned.pdf" TargetMode="External"/><Relationship Id="rId20" Type="http://schemas.openxmlformats.org/officeDocument/2006/relationships/hyperlink" Target="https://www.cpuc.ca.gov/ESJactionplan/" TargetMode="External"/><Relationship Id="rId1" Type="http://schemas.openxmlformats.org/officeDocument/2006/relationships/hyperlink" Target="https://www.cpuc.ca.gov/about-cpuc/divisions/safety-policy-division/risk-assessment-and-safety-analytics" TargetMode="External"/><Relationship Id="rId6" Type="http://schemas.openxmlformats.org/officeDocument/2006/relationships/hyperlink" Target="https://energysafety.ca.gov/wp-content/uploads/docs/misc/wsd/wsd-executive-compensation-guidance-20201222.pdf" TargetMode="External"/><Relationship Id="rId11" Type="http://schemas.openxmlformats.org/officeDocument/2006/relationships/hyperlink" Target="https://standards.ieee.org/standard/1366-2012.html" TargetMode="External"/><Relationship Id="rId5" Type="http://schemas.openxmlformats.org/officeDocument/2006/relationships/hyperlink" Target="https://docs.cpuc.ca.gov/PublishedDocs/Published/G000/M367/K731/367731890.PDF" TargetMode="External"/><Relationship Id="rId15" Type="http://schemas.openxmlformats.org/officeDocument/2006/relationships/hyperlink" Target="https://energysafety.ca.gov/what-we-do/wildfire-mitigation-and-safety/wildfire-mitigation-plans/2021-wmp/" TargetMode="External"/><Relationship Id="rId10" Type="http://schemas.openxmlformats.org/officeDocument/2006/relationships/hyperlink" Target="https://cmte.ieee.org/pes-drwg/wp-content/uploads/sites/61/2003-01-Major-Events-Classification-v3.pdf" TargetMode="External"/><Relationship Id="rId19" Type="http://schemas.openxmlformats.org/officeDocument/2006/relationships/hyperlink" Target="https://energysafety.ca.gov/wp-content/uploads/docs/wmp-2021/attachment-2.2-to-wsd-011-2021-wmp-guidelines-template.pdf" TargetMode="External"/><Relationship Id="rId4" Type="http://schemas.openxmlformats.org/officeDocument/2006/relationships/hyperlink" Target="https://docs.cpuc.ca.gov/PublishedDocs/Efile/G000/M368/K055/368055506.PDF" TargetMode="External"/><Relationship Id="rId9" Type="http://schemas.openxmlformats.org/officeDocument/2006/relationships/hyperlink" Target="https://docs.cpuc.ca.gov/PublishedDocs/Published/G000/M350/K405/350405017.PDF" TargetMode="External"/><Relationship Id="rId14" Type="http://schemas.openxmlformats.org/officeDocument/2006/relationships/hyperlink" Target="https://energysafety.ca.gov/wp-content/uploads/docs/wmp-2021/attachment-2.2-to-wsd-011-2021-wmp-guidelines-template.pdf" TargetMode="External"/><Relationship Id="rId22" Type="http://schemas.openxmlformats.org/officeDocument/2006/relationships/hyperlink" Target="https://www.cpuc.ca.gov/news-and-updates/newsroom/environmental-and-social-justice-action-pla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tr\AppData\Local\Microsoft\Windows\INetCache\Content.Outlook\A9OSB3EL\PGE_%20All%20Data%20Tables%20Required%20by%202021%20WMP%20Guidelines%20-%20June%203%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solidFill>
                <a:latin typeface="+mn-lt"/>
                <a:ea typeface="+mn-ea"/>
                <a:cs typeface="+mn-cs"/>
              </a:defRPr>
            </a:pPr>
            <a:r>
              <a:rPr lang="en-US" sz="1600" b="1">
                <a:solidFill>
                  <a:schemeClr val="tx1"/>
                </a:solidFill>
              </a:rPr>
              <a:t>Fire</a:t>
            </a:r>
            <a:r>
              <a:rPr lang="en-US" sz="1600" b="1" baseline="0">
                <a:solidFill>
                  <a:schemeClr val="tx1"/>
                </a:solidFill>
              </a:rPr>
              <a:t> Incidents by Suspected Ignition Cause</a:t>
            </a:r>
            <a:endParaRPr lang="en-US" sz="1600" b="1">
              <a:solidFill>
                <a:schemeClr val="tx1"/>
              </a:solidFill>
            </a:endParaRP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2"/>
          <c:order val="0"/>
          <c:tx>
            <c:strRef>
              <c:f>NewCalculation!$T$9</c:f>
              <c:strCache>
                <c:ptCount val="1"/>
                <c:pt idx="0">
                  <c:v>2017</c:v>
                </c:pt>
              </c:strCache>
            </c:strRef>
          </c:tx>
          <c:spPr>
            <a:solidFill>
              <a:schemeClr val="accent3"/>
            </a:solidFill>
            <a:ln>
              <a:noFill/>
            </a:ln>
            <a:effectLst/>
            <a:sp3d/>
          </c:spPr>
          <c:invertIfNegative val="0"/>
          <c:dLbls>
            <c:dLbl>
              <c:idx val="0"/>
              <c:layout>
                <c:manualLayout>
                  <c:x val="-6.41025641025641E-3"/>
                  <c:y val="-1.7406440382941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90A-4A5E-8B17-BA1B61DF4C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NewCalculation!$O$10:$Q$16</c:f>
              <c:strCache>
                <c:ptCount val="7"/>
                <c:pt idx="0">
                  <c:v>Contact from Object</c:v>
                </c:pt>
                <c:pt idx="1">
                  <c:v>Equipment &amp; Facility Failure</c:v>
                </c:pt>
                <c:pt idx="2">
                  <c:v>Contamination -Wire to Wire</c:v>
                </c:pt>
                <c:pt idx="3">
                  <c:v>Contamination</c:v>
                </c:pt>
                <c:pt idx="4">
                  <c:v>Vandalism Theft</c:v>
                </c:pt>
                <c:pt idx="5">
                  <c:v>Other</c:v>
                </c:pt>
                <c:pt idx="6">
                  <c:v>Unknown</c:v>
                </c:pt>
              </c:strCache>
            </c:strRef>
          </c:cat>
          <c:val>
            <c:numRef>
              <c:f>NewCalculation!$T$10:$T$16</c:f>
              <c:numCache>
                <c:formatCode>General</c:formatCode>
                <c:ptCount val="7"/>
                <c:pt idx="0">
                  <c:v>315</c:v>
                </c:pt>
                <c:pt idx="1">
                  <c:v>237</c:v>
                </c:pt>
                <c:pt idx="2">
                  <c:v>4</c:v>
                </c:pt>
                <c:pt idx="3">
                  <c:v>2</c:v>
                </c:pt>
                <c:pt idx="4">
                  <c:v>5</c:v>
                </c:pt>
                <c:pt idx="5">
                  <c:v>7</c:v>
                </c:pt>
                <c:pt idx="6">
                  <c:v>5</c:v>
                </c:pt>
              </c:numCache>
            </c:numRef>
          </c:val>
          <c:extLst>
            <c:ext xmlns:c16="http://schemas.microsoft.com/office/drawing/2014/chart" uri="{C3380CC4-5D6E-409C-BE32-E72D297353CC}">
              <c16:uniqueId val="{00000003-C90A-4A5E-8B17-BA1B61DF4CCD}"/>
            </c:ext>
          </c:extLst>
        </c:ser>
        <c:ser>
          <c:idx val="3"/>
          <c:order val="1"/>
          <c:tx>
            <c:strRef>
              <c:f>NewCalculation!$U$9</c:f>
              <c:strCache>
                <c:ptCount val="1"/>
                <c:pt idx="0">
                  <c:v>2018</c:v>
                </c:pt>
              </c:strCache>
            </c:strRef>
          </c:tx>
          <c:spPr>
            <a:solidFill>
              <a:schemeClr val="accent4"/>
            </a:solidFill>
            <a:ln>
              <a:noFill/>
            </a:ln>
            <a:effectLst/>
            <a:sp3d/>
          </c:spPr>
          <c:invertIfNegative val="0"/>
          <c:dLbls>
            <c:dLbl>
              <c:idx val="0"/>
              <c:layout>
                <c:manualLayout>
                  <c:x val="7.2621632943734209E-3"/>
                  <c:y val="-5.3241298913793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0A-4A5E-8B17-BA1B61DF4C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NewCalculation!$O$10:$Q$16</c:f>
              <c:strCache>
                <c:ptCount val="7"/>
                <c:pt idx="0">
                  <c:v>Contact from Object</c:v>
                </c:pt>
                <c:pt idx="1">
                  <c:v>Equipment &amp; Facility Failure</c:v>
                </c:pt>
                <c:pt idx="2">
                  <c:v>Contamination -Wire to Wire</c:v>
                </c:pt>
                <c:pt idx="3">
                  <c:v>Contamination</c:v>
                </c:pt>
                <c:pt idx="4">
                  <c:v>Vandalism Theft</c:v>
                </c:pt>
                <c:pt idx="5">
                  <c:v>Other</c:v>
                </c:pt>
                <c:pt idx="6">
                  <c:v>Unknown</c:v>
                </c:pt>
              </c:strCache>
            </c:strRef>
          </c:cat>
          <c:val>
            <c:numRef>
              <c:f>NewCalculation!$U$10:$U$16</c:f>
              <c:numCache>
                <c:formatCode>General</c:formatCode>
                <c:ptCount val="7"/>
                <c:pt idx="0">
                  <c:v>294</c:v>
                </c:pt>
                <c:pt idx="1">
                  <c:v>138</c:v>
                </c:pt>
                <c:pt idx="2">
                  <c:v>0</c:v>
                </c:pt>
                <c:pt idx="3">
                  <c:v>1</c:v>
                </c:pt>
                <c:pt idx="4">
                  <c:v>0</c:v>
                </c:pt>
                <c:pt idx="5">
                  <c:v>11</c:v>
                </c:pt>
                <c:pt idx="6">
                  <c:v>27</c:v>
                </c:pt>
              </c:numCache>
            </c:numRef>
          </c:val>
          <c:extLst>
            <c:ext xmlns:c16="http://schemas.microsoft.com/office/drawing/2014/chart" uri="{C3380CC4-5D6E-409C-BE32-E72D297353CC}">
              <c16:uniqueId val="{00000005-C90A-4A5E-8B17-BA1B61DF4CCD}"/>
            </c:ext>
          </c:extLst>
        </c:ser>
        <c:ser>
          <c:idx val="4"/>
          <c:order val="2"/>
          <c:tx>
            <c:strRef>
              <c:f>NewCalculation!$V$9</c:f>
              <c:strCache>
                <c:ptCount val="1"/>
                <c:pt idx="0">
                  <c:v>2019</c:v>
                </c:pt>
              </c:strCache>
            </c:strRef>
          </c:tx>
          <c:spPr>
            <a:solidFill>
              <a:schemeClr val="accent5"/>
            </a:solidFill>
            <a:ln>
              <a:noFill/>
            </a:ln>
            <a:effectLst/>
            <a:sp3d/>
          </c:spPr>
          <c:invertIfNegative val="0"/>
          <c:dLbls>
            <c:dLbl>
              <c:idx val="0"/>
              <c:layout>
                <c:manualLayout>
                  <c:x val="4.5025412425115346E-2"/>
                  <c:y val="-4.9297498994253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90A-4A5E-8B17-BA1B61DF4C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NewCalculation!$O$10:$Q$16</c:f>
              <c:strCache>
                <c:ptCount val="7"/>
                <c:pt idx="0">
                  <c:v>Contact from Object</c:v>
                </c:pt>
                <c:pt idx="1">
                  <c:v>Equipment &amp; Facility Failure</c:v>
                </c:pt>
                <c:pt idx="2">
                  <c:v>Contamination -Wire to Wire</c:v>
                </c:pt>
                <c:pt idx="3">
                  <c:v>Contamination</c:v>
                </c:pt>
                <c:pt idx="4">
                  <c:v>Vandalism Theft</c:v>
                </c:pt>
                <c:pt idx="5">
                  <c:v>Other</c:v>
                </c:pt>
                <c:pt idx="6">
                  <c:v>Unknown</c:v>
                </c:pt>
              </c:strCache>
            </c:strRef>
          </c:cat>
          <c:val>
            <c:numRef>
              <c:f>NewCalculation!$V$10:$V$16</c:f>
              <c:numCache>
                <c:formatCode>General</c:formatCode>
                <c:ptCount val="7"/>
                <c:pt idx="0">
                  <c:v>297</c:v>
                </c:pt>
                <c:pt idx="1">
                  <c:v>169</c:v>
                </c:pt>
                <c:pt idx="2">
                  <c:v>0</c:v>
                </c:pt>
                <c:pt idx="3">
                  <c:v>0</c:v>
                </c:pt>
                <c:pt idx="4">
                  <c:v>0</c:v>
                </c:pt>
                <c:pt idx="5">
                  <c:v>5</c:v>
                </c:pt>
                <c:pt idx="6">
                  <c:v>16</c:v>
                </c:pt>
              </c:numCache>
            </c:numRef>
          </c:val>
          <c:extLst>
            <c:ext xmlns:c16="http://schemas.microsoft.com/office/drawing/2014/chart" uri="{C3380CC4-5D6E-409C-BE32-E72D297353CC}">
              <c16:uniqueId val="{00000007-C90A-4A5E-8B17-BA1B61DF4CCD}"/>
            </c:ext>
          </c:extLst>
        </c:ser>
        <c:ser>
          <c:idx val="5"/>
          <c:order val="3"/>
          <c:tx>
            <c:strRef>
              <c:f>NewCalculation!$W$9</c:f>
              <c:strCache>
                <c:ptCount val="1"/>
                <c:pt idx="0">
                  <c:v>2020</c:v>
                </c:pt>
              </c:strCache>
            </c:strRef>
          </c:tx>
          <c:spPr>
            <a:solidFill>
              <a:schemeClr val="accent6"/>
            </a:solidFill>
            <a:ln>
              <a:noFill/>
            </a:ln>
            <a:effectLst/>
            <a:sp3d/>
          </c:spPr>
          <c:invertIfNegative val="0"/>
          <c:dLbls>
            <c:dLbl>
              <c:idx val="0"/>
              <c:layout>
                <c:manualLayout>
                  <c:x val="3.4858383812992548E-2"/>
                  <c:y val="-2.3662799517241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90A-4A5E-8B17-BA1B61DF4C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NewCalculation!$O$10:$Q$16</c:f>
              <c:strCache>
                <c:ptCount val="7"/>
                <c:pt idx="0">
                  <c:v>Contact from Object</c:v>
                </c:pt>
                <c:pt idx="1">
                  <c:v>Equipment &amp; Facility Failure</c:v>
                </c:pt>
                <c:pt idx="2">
                  <c:v>Contamination -Wire to Wire</c:v>
                </c:pt>
                <c:pt idx="3">
                  <c:v>Contamination</c:v>
                </c:pt>
                <c:pt idx="4">
                  <c:v>Vandalism Theft</c:v>
                </c:pt>
                <c:pt idx="5">
                  <c:v>Other</c:v>
                </c:pt>
                <c:pt idx="6">
                  <c:v>Unknown</c:v>
                </c:pt>
              </c:strCache>
            </c:strRef>
          </c:cat>
          <c:val>
            <c:numRef>
              <c:f>NewCalculation!$W$10:$W$16</c:f>
              <c:numCache>
                <c:formatCode>General</c:formatCode>
                <c:ptCount val="7"/>
                <c:pt idx="0">
                  <c:v>282</c:v>
                </c:pt>
                <c:pt idx="1">
                  <c:v>210</c:v>
                </c:pt>
                <c:pt idx="2">
                  <c:v>0</c:v>
                </c:pt>
                <c:pt idx="3">
                  <c:v>6</c:v>
                </c:pt>
                <c:pt idx="4">
                  <c:v>3</c:v>
                </c:pt>
                <c:pt idx="5">
                  <c:v>9</c:v>
                </c:pt>
                <c:pt idx="6">
                  <c:v>1</c:v>
                </c:pt>
              </c:numCache>
            </c:numRef>
          </c:val>
          <c:extLst>
            <c:ext xmlns:c16="http://schemas.microsoft.com/office/drawing/2014/chart" uri="{C3380CC4-5D6E-409C-BE32-E72D297353CC}">
              <c16:uniqueId val="{00000009-C90A-4A5E-8B17-BA1B61DF4CCD}"/>
            </c:ext>
          </c:extLst>
        </c:ser>
        <c:dLbls>
          <c:showLegendKey val="0"/>
          <c:showVal val="1"/>
          <c:showCatName val="0"/>
          <c:showSerName val="0"/>
          <c:showPercent val="0"/>
          <c:showBubbleSize val="0"/>
        </c:dLbls>
        <c:gapWidth val="150"/>
        <c:shape val="box"/>
        <c:axId val="883951072"/>
        <c:axId val="883947744"/>
        <c:axId val="0"/>
      </c:bar3DChart>
      <c:catAx>
        <c:axId val="883951072"/>
        <c:scaling>
          <c:orientation val="minMax"/>
        </c:scaling>
        <c:delete val="0"/>
        <c:axPos val="b"/>
        <c:title>
          <c:tx>
            <c:rich>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r>
                  <a:rPr lang="en-US" sz="1050" b="1">
                    <a:solidFill>
                      <a:schemeClr val="tx1"/>
                    </a:solidFill>
                  </a:rPr>
                  <a:t>Suspected</a:t>
                </a:r>
                <a:r>
                  <a:rPr lang="en-US" sz="1050" b="1" baseline="0">
                    <a:solidFill>
                      <a:schemeClr val="tx1"/>
                    </a:solidFill>
                  </a:rPr>
                  <a:t> Ignition Cause</a:t>
                </a:r>
                <a:endParaRPr lang="en-US" sz="1050" b="1">
                  <a:solidFill>
                    <a:schemeClr val="tx1"/>
                  </a:solidFill>
                </a:endParaRP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883947744"/>
        <c:crosses val="autoZero"/>
        <c:auto val="1"/>
        <c:lblAlgn val="ctr"/>
        <c:lblOffset val="100"/>
        <c:noMultiLvlLbl val="0"/>
      </c:catAx>
      <c:valAx>
        <c:axId val="883947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solidFill>
                    <a:latin typeface="+mn-lt"/>
                    <a:ea typeface="+mn-ea"/>
                    <a:cs typeface="+mn-cs"/>
                  </a:defRPr>
                </a:pPr>
                <a:r>
                  <a:rPr lang="en-US" sz="1050" b="1">
                    <a:solidFill>
                      <a:schemeClr val="tx1"/>
                    </a:solidFill>
                  </a:rPr>
                  <a:t>Fire</a:t>
                </a:r>
                <a:r>
                  <a:rPr lang="en-US" sz="1050" b="1" baseline="0">
                    <a:solidFill>
                      <a:schemeClr val="tx1"/>
                    </a:solidFill>
                  </a:rPr>
                  <a:t> Incidents Reported </a:t>
                </a:r>
                <a:endParaRPr lang="en-US" sz="1050" b="1">
                  <a:solidFill>
                    <a:schemeClr val="tx1"/>
                  </a:solidFill>
                </a:endParaRPr>
              </a:p>
            </c:rich>
          </c:tx>
          <c:layout>
            <c:manualLayout>
              <c:xMode val="edge"/>
              <c:yMode val="edge"/>
              <c:x val="2.2267965591298487E-2"/>
              <c:y val="0.39941669832567311"/>
            </c:manualLayout>
          </c:layout>
          <c:overlay val="0"/>
          <c:spPr>
            <a:noFill/>
            <a:ln>
              <a:noFill/>
            </a:ln>
            <a:effectLst/>
          </c:spPr>
          <c:txPr>
            <a:bodyPr rot="-54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951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40ADC6F5-2578-482E-B3A6-2A5EA0AB9319}">
    <t:Anchor>
      <t:Comment id="615683800"/>
    </t:Anchor>
    <t:History>
      <t:Event id="{F08132CD-114A-4663-91E5-E066F39CF07F}" time="2021-08-03T05:32:06Z">
        <t:Attribution userId="S::benjamin.turner@cpuc.ca.gov::8e2d19b2-84e9-4013-b6ce-14293e2b5206" userProvider="AD" userName="Turner, Benjamin"/>
        <t:Anchor>
          <t:Comment id="693013297"/>
        </t:Anchor>
        <t:Create/>
      </t:Event>
      <t:Event id="{43E635D2-B8C7-48A1-9506-5BD0BA1CA543}" time="2021-08-03T05:32:06Z">
        <t:Attribution userId="S::benjamin.turner@cpuc.ca.gov::8e2d19b2-84e9-4013-b6ce-14293e2b5206" userProvider="AD" userName="Turner, Benjamin"/>
        <t:Anchor>
          <t:Comment id="693013297"/>
        </t:Anchor>
        <t:Assign userId="S::Shayla.Funk@cpuc.ca.gov::43732192-0dd4-41ba-9429-9ed062232d0a" userProvider="AD" userName="Funk, Shayla"/>
      </t:Event>
      <t:Event id="{8EC9455B-FAA1-4265-ADCF-30B178BA3A79}" time="2021-08-03T05:32:06Z">
        <t:Attribution userId="S::benjamin.turner@cpuc.ca.gov::8e2d19b2-84e9-4013-b6ce-14293e2b5206" userProvider="AD" userName="Turner, Benjamin"/>
        <t:Anchor>
          <t:Comment id="693013297"/>
        </t:Anchor>
        <t:SetTitle title="@Funk, Shayla"/>
      </t:Event>
    </t:History>
  </t:Task>
  <t:Task id="{91D17647-84E9-4D2B-9E1C-C8F4ED9FFCE3}">
    <t:Anchor>
      <t:Comment id="617757083"/>
    </t:Anchor>
    <t:History>
      <t:Event id="{E573674F-7629-42F2-97FD-52279961FE18}" time="2021-08-27T15:44:19.274Z">
        <t:Attribution userId="S::ayat.osman@cpuc.ca.gov::20f745cc-0f73-454c-832e-7367568bdfe5" userProvider="AD" userName="Osman, Ayat"/>
        <t:Anchor>
          <t:Comment id="268656344"/>
        </t:Anchor>
        <t:Create/>
      </t:Event>
      <t:Event id="{A03B291A-515C-4FBC-A75D-C21081E4B853}" time="2021-08-27T15:44:19.274Z">
        <t:Attribution userId="S::ayat.osman@cpuc.ca.gov::20f745cc-0f73-454c-832e-7367568bdfe5" userProvider="AD" userName="Osman, Ayat"/>
        <t:Anchor>
          <t:Comment id="268656344"/>
        </t:Anchor>
        <t:Assign userId="S::fred.hanes@cpuc.ca.gov::b00feec7-91bf-4c79-83ce-67350cc02427" userProvider="AD" userName="Hanes, Fred"/>
      </t:Event>
      <t:Event id="{EA31397F-A282-4773-8DC8-541594F7F914}" time="2021-08-27T15:44:19.274Z">
        <t:Attribution userId="S::ayat.osman@cpuc.ca.gov::20f745cc-0f73-454c-832e-7367568bdfe5" userProvider="AD" userName="Osman, Ayat"/>
        <t:Anchor>
          <t:Comment id="268656344"/>
        </t:Anchor>
        <t:SetTitle title="@Hanes, Fred please check the reference to the footnote,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_x007c_Proceeding xmlns="5eff49fa-fdc5-439e-aa03-034da97b653b" xsi:nil="true"/>
    <SharedWithUsers xmlns="4d6e3fb7-5a6e-44ec-bba8-0f5edb349e1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CC49087CBAF749BEA397E09F04586E" ma:contentTypeVersion="12" ma:contentTypeDescription="Create a new document." ma:contentTypeScope="" ma:versionID="c7bc160daff01331c3b2100310084fc2">
  <xsd:schema xmlns:xsd="http://www.w3.org/2001/XMLSchema" xmlns:xs="http://www.w3.org/2001/XMLSchema" xmlns:p="http://schemas.microsoft.com/office/2006/metadata/properties" xmlns:ns2="5eff49fa-fdc5-439e-aa03-034da97b653b" xmlns:ns3="4d6e3fb7-5a6e-44ec-bba8-0f5edb349e10" targetNamespace="http://schemas.microsoft.com/office/2006/metadata/properties" ma:root="true" ma:fieldsID="d963b02219d9908ae21c1e00aa6696d8" ns2:_="" ns3:_="">
    <xsd:import namespace="5eff49fa-fdc5-439e-aa03-034da97b653b"/>
    <xsd:import namespace="4d6e3fb7-5a6e-44ec-bba8-0f5edb349e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Topic_x007c_Proceeding"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f49fa-fdc5-439e-aa03-034da97b6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Topic_x007c_Proceeding" ma:index="17" nillable="true" ma:displayName="Topic  |  Proceeding" ma:format="Dropdown" ma:internalName="Topic_x007c_Proceeding">
      <xsd:simpleType>
        <xsd:restriction base="dms:Choice">
          <xsd:enumeration value="PSPS R.18-12-010"/>
          <xsd:enumeration value="Microgrids R.19-09-009"/>
          <xsd:enumeration value="EDPP R.15-06-009"/>
          <xsd:enumeration value="Primary"/>
          <xsd:enumeration value="CCORE"/>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6e3fb7-5a6e-44ec-bba8-0f5edb349e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579DB-1D1E-47DF-8D1B-9EAE6AE4D2A5}">
  <ds:schemaRefs>
    <ds:schemaRef ds:uri="http://schemas.microsoft.com/office/2006/metadata/properties"/>
    <ds:schemaRef ds:uri="http://schemas.microsoft.com/office/infopath/2007/PartnerControls"/>
    <ds:schemaRef ds:uri="5eff49fa-fdc5-439e-aa03-034da97b653b"/>
    <ds:schemaRef ds:uri="4d6e3fb7-5a6e-44ec-bba8-0f5edb349e10"/>
  </ds:schemaRefs>
</ds:datastoreItem>
</file>

<file path=customXml/itemProps2.xml><?xml version="1.0" encoding="utf-8"?>
<ds:datastoreItem xmlns:ds="http://schemas.openxmlformats.org/officeDocument/2006/customXml" ds:itemID="{F40D61D0-0C40-4BB5-A2DD-9D67AD069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f49fa-fdc5-439e-aa03-034da97b653b"/>
    <ds:schemaRef ds:uri="4d6e3fb7-5a6e-44ec-bba8-0f5edb349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196B8-A521-49A2-8923-8CC2F24AF897}">
  <ds:schemaRefs>
    <ds:schemaRef ds:uri="http://schemas.openxmlformats.org/officeDocument/2006/bibliography"/>
  </ds:schemaRefs>
</ds:datastoreItem>
</file>

<file path=customXml/itemProps4.xml><?xml version="1.0" encoding="utf-8"?>
<ds:datastoreItem xmlns:ds="http://schemas.openxmlformats.org/officeDocument/2006/customXml" ds:itemID="{9AB3DC5E-6001-4C53-84FD-FE3CFC97E819}">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156</ap:Pages>
  <ap:Words>36505</ap:Words>
  <ap:Characters>208079</ap:Characters>
  <ap:Application>Microsoft Office Word</ap:Application>
  <ap:DocSecurity>0</ap:DocSecurity>
  <ap:Lines>1733</ap:Lines>
  <ap:Paragraphs>488</ap:Paragraphs>
  <ap:ScaleCrop>false</ap:ScaleCrop>
  <ap:HeadingPairs>
    <vt:vector baseType="variant" size="4">
      <vt:variant>
        <vt:lpstr>Title</vt:lpstr>
      </vt:variant>
      <vt:variant>
        <vt:i4>1</vt:i4>
      </vt:variant>
      <vt:variant>
        <vt:lpstr>Headings</vt:lpstr>
      </vt:variant>
      <vt:variant>
        <vt:i4>42</vt:i4>
      </vt:variant>
    </vt:vector>
  </ap:HeadingPairs>
  <ap:TitlesOfParts>
    <vt:vector baseType="lpstr" size="43">
      <vt:lpstr/>
      <vt:lpstr>DECISION ADDRESSING PHASE I, TRACK 1 AND 2 ISSUES</vt:lpstr>
      <vt:lpstr>Summary</vt:lpstr>
      <vt:lpstr>Background</vt:lpstr>
      <vt:lpstr>2.	Procedural Background</vt:lpstr>
      <vt:lpstr>3.	Jurisdiction</vt:lpstr>
      <vt:lpstr>4.	Issues Before the Commission</vt:lpstr>
      <vt:lpstr>5.	Clarifying Guidance on “Controls”  and “Mitigations” </vt:lpstr>
      <vt:lpstr>    5.1	Background</vt:lpstr>
      <vt:lpstr>    5.2	Staff Proposal </vt:lpstr>
      <vt:lpstr>    5.3	Party Comments</vt:lpstr>
      <vt:lpstr>    5.4	Discussion</vt:lpstr>
      <vt:lpstr>6.	Treatment of Foundational  Programs &amp; Activities</vt:lpstr>
      <vt:lpstr>    6.1	Staff Proposal</vt:lpstr>
      <vt:lpstr>    6.2	Party Comments</vt:lpstr>
      <vt:lpstr>    6.3 	Discussion</vt:lpstr>
      <vt:lpstr>7.	Requiring Modeling of PSPS Events  as Risk Events</vt:lpstr>
      <vt:lpstr>    7.1	Staff Proposal</vt:lpstr>
      <vt:lpstr>    Party Comments</vt:lpstr>
      <vt:lpstr>    7.3	Discussion</vt:lpstr>
      <vt:lpstr>8.	Deferring Action on Best Practices  for Modeling Wildfire Risk</vt:lpstr>
      <vt:lpstr>    8.1	Staff Proposal</vt:lpstr>
      <vt:lpstr>    8.2	Party Comments</vt:lpstr>
      <vt:lpstr>    8.3	Discussion</vt:lpstr>
      <vt:lpstr>9	Related Clarifications </vt:lpstr>
      <vt:lpstr>    9.1	Transparency in RAMP Filings </vt:lpstr>
      <vt:lpstr>        9.1.1	PG&amp;E Transparency Proposal</vt:lpstr>
      <vt:lpstr>        9.1.2	Staff Recommendation</vt:lpstr>
      <vt:lpstr>        Party Comments</vt:lpstr>
      <vt:lpstr>        9.1.4	Discussion</vt:lpstr>
      <vt:lpstr>    9.2	Staff Proposal to Consider Climate Change Impacts in Phase II</vt:lpstr>
      <vt:lpstr>        9.2.1	Party Comments</vt:lpstr>
      <vt:lpstr>        9.2.2	Discussion</vt:lpstr>
      <vt:lpstr>10.	PG&amp;E Safety and Operational Metrics </vt:lpstr>
      <vt:lpstr>    10.1	PG&amp;E Enhanced Oversight  and Enforcement Process</vt:lpstr>
      <vt:lpstr>    10.2	Questions on SOMs in Assigned Commissioner’s Rulings  </vt:lpstr>
      <vt:lpstr>    10.3	PG&amp;E SOMs Proposal</vt:lpstr>
      <vt:lpstr>        10.3.1	Party Comments on PG&amp;E’s  Proposed SOMs</vt:lpstr>
      <vt:lpstr>        10.3.2	Discussion</vt:lpstr>
      <vt:lpstr>    10.4	Staff’s High Level SOMs Proposal</vt:lpstr>
      <vt:lpstr>        10.4.1	Staff’s General Approach</vt:lpstr>
      <vt:lpstr>        10.4.2	Staff’s Proposed Reporting Requirements and Review Methods</vt:lpstr>
      <vt:lpstr>        10.4.3	Party Comments</vt:lpstr>
    </vt:vector>
  </ap:TitlesOfParts>
  <ap:Company/>
  <ap:LinksUpToDate>false</ap:LinksUpToDate>
  <ap:CharactersWithSpaces>244096</ap:CharactersWithSpaces>
  <ap:SharedDoc>false</ap:SharedDoc>
  <ap:HLinks>
    <vt:vector baseType="variant" size="732">
      <vt:variant>
        <vt:i4>4784156</vt:i4>
      </vt:variant>
      <vt:variant>
        <vt:i4>594</vt:i4>
      </vt:variant>
      <vt:variant>
        <vt:i4>0</vt:i4>
      </vt:variant>
      <vt:variant>
        <vt:i4>5</vt:i4>
      </vt:variant>
      <vt:variant>
        <vt:lpwstr>mailto:RASA_Email@cpuc.ca.gov</vt:lpwstr>
      </vt:variant>
      <vt:variant>
        <vt:lpwstr/>
      </vt:variant>
      <vt:variant>
        <vt:i4>4784156</vt:i4>
      </vt:variant>
      <vt:variant>
        <vt:i4>591</vt:i4>
      </vt:variant>
      <vt:variant>
        <vt:i4>0</vt:i4>
      </vt:variant>
      <vt:variant>
        <vt:i4>5</vt:i4>
      </vt:variant>
      <vt:variant>
        <vt:lpwstr>mailto:RASA_Email@cpuc.ca.gov</vt:lpwstr>
      </vt:variant>
      <vt:variant>
        <vt:lpwstr/>
      </vt:variant>
      <vt:variant>
        <vt:i4>1245247</vt:i4>
      </vt:variant>
      <vt:variant>
        <vt:i4>584</vt:i4>
      </vt:variant>
      <vt:variant>
        <vt:i4>0</vt:i4>
      </vt:variant>
      <vt:variant>
        <vt:i4>5</vt:i4>
      </vt:variant>
      <vt:variant>
        <vt:lpwstr/>
      </vt:variant>
      <vt:variant>
        <vt:lpwstr>_Toc82760101</vt:lpwstr>
      </vt:variant>
      <vt:variant>
        <vt:i4>1179711</vt:i4>
      </vt:variant>
      <vt:variant>
        <vt:i4>578</vt:i4>
      </vt:variant>
      <vt:variant>
        <vt:i4>0</vt:i4>
      </vt:variant>
      <vt:variant>
        <vt:i4>5</vt:i4>
      </vt:variant>
      <vt:variant>
        <vt:lpwstr/>
      </vt:variant>
      <vt:variant>
        <vt:lpwstr>_Toc82760100</vt:lpwstr>
      </vt:variant>
      <vt:variant>
        <vt:i4>1703990</vt:i4>
      </vt:variant>
      <vt:variant>
        <vt:i4>572</vt:i4>
      </vt:variant>
      <vt:variant>
        <vt:i4>0</vt:i4>
      </vt:variant>
      <vt:variant>
        <vt:i4>5</vt:i4>
      </vt:variant>
      <vt:variant>
        <vt:lpwstr/>
      </vt:variant>
      <vt:variant>
        <vt:lpwstr>_Toc82760099</vt:lpwstr>
      </vt:variant>
      <vt:variant>
        <vt:i4>1769526</vt:i4>
      </vt:variant>
      <vt:variant>
        <vt:i4>566</vt:i4>
      </vt:variant>
      <vt:variant>
        <vt:i4>0</vt:i4>
      </vt:variant>
      <vt:variant>
        <vt:i4>5</vt:i4>
      </vt:variant>
      <vt:variant>
        <vt:lpwstr/>
      </vt:variant>
      <vt:variant>
        <vt:lpwstr>_Toc82760098</vt:lpwstr>
      </vt:variant>
      <vt:variant>
        <vt:i4>1310774</vt:i4>
      </vt:variant>
      <vt:variant>
        <vt:i4>560</vt:i4>
      </vt:variant>
      <vt:variant>
        <vt:i4>0</vt:i4>
      </vt:variant>
      <vt:variant>
        <vt:i4>5</vt:i4>
      </vt:variant>
      <vt:variant>
        <vt:lpwstr/>
      </vt:variant>
      <vt:variant>
        <vt:lpwstr>_Toc82760097</vt:lpwstr>
      </vt:variant>
      <vt:variant>
        <vt:i4>1376310</vt:i4>
      </vt:variant>
      <vt:variant>
        <vt:i4>554</vt:i4>
      </vt:variant>
      <vt:variant>
        <vt:i4>0</vt:i4>
      </vt:variant>
      <vt:variant>
        <vt:i4>5</vt:i4>
      </vt:variant>
      <vt:variant>
        <vt:lpwstr/>
      </vt:variant>
      <vt:variant>
        <vt:lpwstr>_Toc82760096</vt:lpwstr>
      </vt:variant>
      <vt:variant>
        <vt:i4>1441846</vt:i4>
      </vt:variant>
      <vt:variant>
        <vt:i4>548</vt:i4>
      </vt:variant>
      <vt:variant>
        <vt:i4>0</vt:i4>
      </vt:variant>
      <vt:variant>
        <vt:i4>5</vt:i4>
      </vt:variant>
      <vt:variant>
        <vt:lpwstr/>
      </vt:variant>
      <vt:variant>
        <vt:lpwstr>_Toc82760095</vt:lpwstr>
      </vt:variant>
      <vt:variant>
        <vt:i4>1507382</vt:i4>
      </vt:variant>
      <vt:variant>
        <vt:i4>542</vt:i4>
      </vt:variant>
      <vt:variant>
        <vt:i4>0</vt:i4>
      </vt:variant>
      <vt:variant>
        <vt:i4>5</vt:i4>
      </vt:variant>
      <vt:variant>
        <vt:lpwstr/>
      </vt:variant>
      <vt:variant>
        <vt:lpwstr>_Toc82760094</vt:lpwstr>
      </vt:variant>
      <vt:variant>
        <vt:i4>1048630</vt:i4>
      </vt:variant>
      <vt:variant>
        <vt:i4>536</vt:i4>
      </vt:variant>
      <vt:variant>
        <vt:i4>0</vt:i4>
      </vt:variant>
      <vt:variant>
        <vt:i4>5</vt:i4>
      </vt:variant>
      <vt:variant>
        <vt:lpwstr/>
      </vt:variant>
      <vt:variant>
        <vt:lpwstr>_Toc82760093</vt:lpwstr>
      </vt:variant>
      <vt:variant>
        <vt:i4>1114166</vt:i4>
      </vt:variant>
      <vt:variant>
        <vt:i4>530</vt:i4>
      </vt:variant>
      <vt:variant>
        <vt:i4>0</vt:i4>
      </vt:variant>
      <vt:variant>
        <vt:i4>5</vt:i4>
      </vt:variant>
      <vt:variant>
        <vt:lpwstr/>
      </vt:variant>
      <vt:variant>
        <vt:lpwstr>_Toc82760092</vt:lpwstr>
      </vt:variant>
      <vt:variant>
        <vt:i4>1179702</vt:i4>
      </vt:variant>
      <vt:variant>
        <vt:i4>524</vt:i4>
      </vt:variant>
      <vt:variant>
        <vt:i4>0</vt:i4>
      </vt:variant>
      <vt:variant>
        <vt:i4>5</vt:i4>
      </vt:variant>
      <vt:variant>
        <vt:lpwstr/>
      </vt:variant>
      <vt:variant>
        <vt:lpwstr>_Toc82760091</vt:lpwstr>
      </vt:variant>
      <vt:variant>
        <vt:i4>1245238</vt:i4>
      </vt:variant>
      <vt:variant>
        <vt:i4>518</vt:i4>
      </vt:variant>
      <vt:variant>
        <vt:i4>0</vt:i4>
      </vt:variant>
      <vt:variant>
        <vt:i4>5</vt:i4>
      </vt:variant>
      <vt:variant>
        <vt:lpwstr/>
      </vt:variant>
      <vt:variant>
        <vt:lpwstr>_Toc82760090</vt:lpwstr>
      </vt:variant>
      <vt:variant>
        <vt:i4>1703991</vt:i4>
      </vt:variant>
      <vt:variant>
        <vt:i4>512</vt:i4>
      </vt:variant>
      <vt:variant>
        <vt:i4>0</vt:i4>
      </vt:variant>
      <vt:variant>
        <vt:i4>5</vt:i4>
      </vt:variant>
      <vt:variant>
        <vt:lpwstr/>
      </vt:variant>
      <vt:variant>
        <vt:lpwstr>_Toc82760089</vt:lpwstr>
      </vt:variant>
      <vt:variant>
        <vt:i4>1769527</vt:i4>
      </vt:variant>
      <vt:variant>
        <vt:i4>506</vt:i4>
      </vt:variant>
      <vt:variant>
        <vt:i4>0</vt:i4>
      </vt:variant>
      <vt:variant>
        <vt:i4>5</vt:i4>
      </vt:variant>
      <vt:variant>
        <vt:lpwstr/>
      </vt:variant>
      <vt:variant>
        <vt:lpwstr>_Toc82760088</vt:lpwstr>
      </vt:variant>
      <vt:variant>
        <vt:i4>1310775</vt:i4>
      </vt:variant>
      <vt:variant>
        <vt:i4>500</vt:i4>
      </vt:variant>
      <vt:variant>
        <vt:i4>0</vt:i4>
      </vt:variant>
      <vt:variant>
        <vt:i4>5</vt:i4>
      </vt:variant>
      <vt:variant>
        <vt:lpwstr/>
      </vt:variant>
      <vt:variant>
        <vt:lpwstr>_Toc82760087</vt:lpwstr>
      </vt:variant>
      <vt:variant>
        <vt:i4>1376311</vt:i4>
      </vt:variant>
      <vt:variant>
        <vt:i4>494</vt:i4>
      </vt:variant>
      <vt:variant>
        <vt:i4>0</vt:i4>
      </vt:variant>
      <vt:variant>
        <vt:i4>5</vt:i4>
      </vt:variant>
      <vt:variant>
        <vt:lpwstr/>
      </vt:variant>
      <vt:variant>
        <vt:lpwstr>_Toc82760086</vt:lpwstr>
      </vt:variant>
      <vt:variant>
        <vt:i4>1441847</vt:i4>
      </vt:variant>
      <vt:variant>
        <vt:i4>488</vt:i4>
      </vt:variant>
      <vt:variant>
        <vt:i4>0</vt:i4>
      </vt:variant>
      <vt:variant>
        <vt:i4>5</vt:i4>
      </vt:variant>
      <vt:variant>
        <vt:lpwstr/>
      </vt:variant>
      <vt:variant>
        <vt:lpwstr>_Toc82760085</vt:lpwstr>
      </vt:variant>
      <vt:variant>
        <vt:i4>1507383</vt:i4>
      </vt:variant>
      <vt:variant>
        <vt:i4>482</vt:i4>
      </vt:variant>
      <vt:variant>
        <vt:i4>0</vt:i4>
      </vt:variant>
      <vt:variant>
        <vt:i4>5</vt:i4>
      </vt:variant>
      <vt:variant>
        <vt:lpwstr/>
      </vt:variant>
      <vt:variant>
        <vt:lpwstr>_Toc82760084</vt:lpwstr>
      </vt:variant>
      <vt:variant>
        <vt:i4>1048631</vt:i4>
      </vt:variant>
      <vt:variant>
        <vt:i4>476</vt:i4>
      </vt:variant>
      <vt:variant>
        <vt:i4>0</vt:i4>
      </vt:variant>
      <vt:variant>
        <vt:i4>5</vt:i4>
      </vt:variant>
      <vt:variant>
        <vt:lpwstr/>
      </vt:variant>
      <vt:variant>
        <vt:lpwstr>_Toc82760083</vt:lpwstr>
      </vt:variant>
      <vt:variant>
        <vt:i4>1114167</vt:i4>
      </vt:variant>
      <vt:variant>
        <vt:i4>470</vt:i4>
      </vt:variant>
      <vt:variant>
        <vt:i4>0</vt:i4>
      </vt:variant>
      <vt:variant>
        <vt:i4>5</vt:i4>
      </vt:variant>
      <vt:variant>
        <vt:lpwstr/>
      </vt:variant>
      <vt:variant>
        <vt:lpwstr>_Toc82760082</vt:lpwstr>
      </vt:variant>
      <vt:variant>
        <vt:i4>1179703</vt:i4>
      </vt:variant>
      <vt:variant>
        <vt:i4>464</vt:i4>
      </vt:variant>
      <vt:variant>
        <vt:i4>0</vt:i4>
      </vt:variant>
      <vt:variant>
        <vt:i4>5</vt:i4>
      </vt:variant>
      <vt:variant>
        <vt:lpwstr/>
      </vt:variant>
      <vt:variant>
        <vt:lpwstr>_Toc82760081</vt:lpwstr>
      </vt:variant>
      <vt:variant>
        <vt:i4>1245239</vt:i4>
      </vt:variant>
      <vt:variant>
        <vt:i4>458</vt:i4>
      </vt:variant>
      <vt:variant>
        <vt:i4>0</vt:i4>
      </vt:variant>
      <vt:variant>
        <vt:i4>5</vt:i4>
      </vt:variant>
      <vt:variant>
        <vt:lpwstr/>
      </vt:variant>
      <vt:variant>
        <vt:lpwstr>_Toc82760080</vt:lpwstr>
      </vt:variant>
      <vt:variant>
        <vt:i4>1703992</vt:i4>
      </vt:variant>
      <vt:variant>
        <vt:i4>452</vt:i4>
      </vt:variant>
      <vt:variant>
        <vt:i4>0</vt:i4>
      </vt:variant>
      <vt:variant>
        <vt:i4>5</vt:i4>
      </vt:variant>
      <vt:variant>
        <vt:lpwstr/>
      </vt:variant>
      <vt:variant>
        <vt:lpwstr>_Toc82760079</vt:lpwstr>
      </vt:variant>
      <vt:variant>
        <vt:i4>1769528</vt:i4>
      </vt:variant>
      <vt:variant>
        <vt:i4>446</vt:i4>
      </vt:variant>
      <vt:variant>
        <vt:i4>0</vt:i4>
      </vt:variant>
      <vt:variant>
        <vt:i4>5</vt:i4>
      </vt:variant>
      <vt:variant>
        <vt:lpwstr/>
      </vt:variant>
      <vt:variant>
        <vt:lpwstr>_Toc82760078</vt:lpwstr>
      </vt:variant>
      <vt:variant>
        <vt:i4>1310776</vt:i4>
      </vt:variant>
      <vt:variant>
        <vt:i4>440</vt:i4>
      </vt:variant>
      <vt:variant>
        <vt:i4>0</vt:i4>
      </vt:variant>
      <vt:variant>
        <vt:i4>5</vt:i4>
      </vt:variant>
      <vt:variant>
        <vt:lpwstr/>
      </vt:variant>
      <vt:variant>
        <vt:lpwstr>_Toc82760077</vt:lpwstr>
      </vt:variant>
      <vt:variant>
        <vt:i4>1376312</vt:i4>
      </vt:variant>
      <vt:variant>
        <vt:i4>434</vt:i4>
      </vt:variant>
      <vt:variant>
        <vt:i4>0</vt:i4>
      </vt:variant>
      <vt:variant>
        <vt:i4>5</vt:i4>
      </vt:variant>
      <vt:variant>
        <vt:lpwstr/>
      </vt:variant>
      <vt:variant>
        <vt:lpwstr>_Toc82760076</vt:lpwstr>
      </vt:variant>
      <vt:variant>
        <vt:i4>1441848</vt:i4>
      </vt:variant>
      <vt:variant>
        <vt:i4>428</vt:i4>
      </vt:variant>
      <vt:variant>
        <vt:i4>0</vt:i4>
      </vt:variant>
      <vt:variant>
        <vt:i4>5</vt:i4>
      </vt:variant>
      <vt:variant>
        <vt:lpwstr/>
      </vt:variant>
      <vt:variant>
        <vt:lpwstr>_Toc82760075</vt:lpwstr>
      </vt:variant>
      <vt:variant>
        <vt:i4>1507384</vt:i4>
      </vt:variant>
      <vt:variant>
        <vt:i4>422</vt:i4>
      </vt:variant>
      <vt:variant>
        <vt:i4>0</vt:i4>
      </vt:variant>
      <vt:variant>
        <vt:i4>5</vt:i4>
      </vt:variant>
      <vt:variant>
        <vt:lpwstr/>
      </vt:variant>
      <vt:variant>
        <vt:lpwstr>_Toc82760074</vt:lpwstr>
      </vt:variant>
      <vt:variant>
        <vt:i4>1048632</vt:i4>
      </vt:variant>
      <vt:variant>
        <vt:i4>416</vt:i4>
      </vt:variant>
      <vt:variant>
        <vt:i4>0</vt:i4>
      </vt:variant>
      <vt:variant>
        <vt:i4>5</vt:i4>
      </vt:variant>
      <vt:variant>
        <vt:lpwstr/>
      </vt:variant>
      <vt:variant>
        <vt:lpwstr>_Toc82760073</vt:lpwstr>
      </vt:variant>
      <vt:variant>
        <vt:i4>1114168</vt:i4>
      </vt:variant>
      <vt:variant>
        <vt:i4>410</vt:i4>
      </vt:variant>
      <vt:variant>
        <vt:i4>0</vt:i4>
      </vt:variant>
      <vt:variant>
        <vt:i4>5</vt:i4>
      </vt:variant>
      <vt:variant>
        <vt:lpwstr/>
      </vt:variant>
      <vt:variant>
        <vt:lpwstr>_Toc82760072</vt:lpwstr>
      </vt:variant>
      <vt:variant>
        <vt:i4>1179704</vt:i4>
      </vt:variant>
      <vt:variant>
        <vt:i4>404</vt:i4>
      </vt:variant>
      <vt:variant>
        <vt:i4>0</vt:i4>
      </vt:variant>
      <vt:variant>
        <vt:i4>5</vt:i4>
      </vt:variant>
      <vt:variant>
        <vt:lpwstr/>
      </vt:variant>
      <vt:variant>
        <vt:lpwstr>_Toc82760071</vt:lpwstr>
      </vt:variant>
      <vt:variant>
        <vt:i4>1245240</vt:i4>
      </vt:variant>
      <vt:variant>
        <vt:i4>398</vt:i4>
      </vt:variant>
      <vt:variant>
        <vt:i4>0</vt:i4>
      </vt:variant>
      <vt:variant>
        <vt:i4>5</vt:i4>
      </vt:variant>
      <vt:variant>
        <vt:lpwstr/>
      </vt:variant>
      <vt:variant>
        <vt:lpwstr>_Toc82760070</vt:lpwstr>
      </vt:variant>
      <vt:variant>
        <vt:i4>1703993</vt:i4>
      </vt:variant>
      <vt:variant>
        <vt:i4>392</vt:i4>
      </vt:variant>
      <vt:variant>
        <vt:i4>0</vt:i4>
      </vt:variant>
      <vt:variant>
        <vt:i4>5</vt:i4>
      </vt:variant>
      <vt:variant>
        <vt:lpwstr/>
      </vt:variant>
      <vt:variant>
        <vt:lpwstr>_Toc82760069</vt:lpwstr>
      </vt:variant>
      <vt:variant>
        <vt:i4>1769529</vt:i4>
      </vt:variant>
      <vt:variant>
        <vt:i4>386</vt:i4>
      </vt:variant>
      <vt:variant>
        <vt:i4>0</vt:i4>
      </vt:variant>
      <vt:variant>
        <vt:i4>5</vt:i4>
      </vt:variant>
      <vt:variant>
        <vt:lpwstr/>
      </vt:variant>
      <vt:variant>
        <vt:lpwstr>_Toc82760068</vt:lpwstr>
      </vt:variant>
      <vt:variant>
        <vt:i4>1310777</vt:i4>
      </vt:variant>
      <vt:variant>
        <vt:i4>380</vt:i4>
      </vt:variant>
      <vt:variant>
        <vt:i4>0</vt:i4>
      </vt:variant>
      <vt:variant>
        <vt:i4>5</vt:i4>
      </vt:variant>
      <vt:variant>
        <vt:lpwstr/>
      </vt:variant>
      <vt:variant>
        <vt:lpwstr>_Toc82760067</vt:lpwstr>
      </vt:variant>
      <vt:variant>
        <vt:i4>1376313</vt:i4>
      </vt:variant>
      <vt:variant>
        <vt:i4>374</vt:i4>
      </vt:variant>
      <vt:variant>
        <vt:i4>0</vt:i4>
      </vt:variant>
      <vt:variant>
        <vt:i4>5</vt:i4>
      </vt:variant>
      <vt:variant>
        <vt:lpwstr/>
      </vt:variant>
      <vt:variant>
        <vt:lpwstr>_Toc82760066</vt:lpwstr>
      </vt:variant>
      <vt:variant>
        <vt:i4>1441849</vt:i4>
      </vt:variant>
      <vt:variant>
        <vt:i4>368</vt:i4>
      </vt:variant>
      <vt:variant>
        <vt:i4>0</vt:i4>
      </vt:variant>
      <vt:variant>
        <vt:i4>5</vt:i4>
      </vt:variant>
      <vt:variant>
        <vt:lpwstr/>
      </vt:variant>
      <vt:variant>
        <vt:lpwstr>_Toc82760065</vt:lpwstr>
      </vt:variant>
      <vt:variant>
        <vt:i4>1507385</vt:i4>
      </vt:variant>
      <vt:variant>
        <vt:i4>362</vt:i4>
      </vt:variant>
      <vt:variant>
        <vt:i4>0</vt:i4>
      </vt:variant>
      <vt:variant>
        <vt:i4>5</vt:i4>
      </vt:variant>
      <vt:variant>
        <vt:lpwstr/>
      </vt:variant>
      <vt:variant>
        <vt:lpwstr>_Toc82760064</vt:lpwstr>
      </vt:variant>
      <vt:variant>
        <vt:i4>1048633</vt:i4>
      </vt:variant>
      <vt:variant>
        <vt:i4>356</vt:i4>
      </vt:variant>
      <vt:variant>
        <vt:i4>0</vt:i4>
      </vt:variant>
      <vt:variant>
        <vt:i4>5</vt:i4>
      </vt:variant>
      <vt:variant>
        <vt:lpwstr/>
      </vt:variant>
      <vt:variant>
        <vt:lpwstr>_Toc82760063</vt:lpwstr>
      </vt:variant>
      <vt:variant>
        <vt:i4>1114169</vt:i4>
      </vt:variant>
      <vt:variant>
        <vt:i4>350</vt:i4>
      </vt:variant>
      <vt:variant>
        <vt:i4>0</vt:i4>
      </vt:variant>
      <vt:variant>
        <vt:i4>5</vt:i4>
      </vt:variant>
      <vt:variant>
        <vt:lpwstr/>
      </vt:variant>
      <vt:variant>
        <vt:lpwstr>_Toc82760062</vt:lpwstr>
      </vt:variant>
      <vt:variant>
        <vt:i4>1179705</vt:i4>
      </vt:variant>
      <vt:variant>
        <vt:i4>344</vt:i4>
      </vt:variant>
      <vt:variant>
        <vt:i4>0</vt:i4>
      </vt:variant>
      <vt:variant>
        <vt:i4>5</vt:i4>
      </vt:variant>
      <vt:variant>
        <vt:lpwstr/>
      </vt:variant>
      <vt:variant>
        <vt:lpwstr>_Toc82760061</vt:lpwstr>
      </vt:variant>
      <vt:variant>
        <vt:i4>1245241</vt:i4>
      </vt:variant>
      <vt:variant>
        <vt:i4>338</vt:i4>
      </vt:variant>
      <vt:variant>
        <vt:i4>0</vt:i4>
      </vt:variant>
      <vt:variant>
        <vt:i4>5</vt:i4>
      </vt:variant>
      <vt:variant>
        <vt:lpwstr/>
      </vt:variant>
      <vt:variant>
        <vt:lpwstr>_Toc82760060</vt:lpwstr>
      </vt:variant>
      <vt:variant>
        <vt:i4>1703994</vt:i4>
      </vt:variant>
      <vt:variant>
        <vt:i4>332</vt:i4>
      </vt:variant>
      <vt:variant>
        <vt:i4>0</vt:i4>
      </vt:variant>
      <vt:variant>
        <vt:i4>5</vt:i4>
      </vt:variant>
      <vt:variant>
        <vt:lpwstr/>
      </vt:variant>
      <vt:variant>
        <vt:lpwstr>_Toc82760059</vt:lpwstr>
      </vt:variant>
      <vt:variant>
        <vt:i4>1769530</vt:i4>
      </vt:variant>
      <vt:variant>
        <vt:i4>326</vt:i4>
      </vt:variant>
      <vt:variant>
        <vt:i4>0</vt:i4>
      </vt:variant>
      <vt:variant>
        <vt:i4>5</vt:i4>
      </vt:variant>
      <vt:variant>
        <vt:lpwstr/>
      </vt:variant>
      <vt:variant>
        <vt:lpwstr>_Toc82760058</vt:lpwstr>
      </vt:variant>
      <vt:variant>
        <vt:i4>1310778</vt:i4>
      </vt:variant>
      <vt:variant>
        <vt:i4>320</vt:i4>
      </vt:variant>
      <vt:variant>
        <vt:i4>0</vt:i4>
      </vt:variant>
      <vt:variant>
        <vt:i4>5</vt:i4>
      </vt:variant>
      <vt:variant>
        <vt:lpwstr/>
      </vt:variant>
      <vt:variant>
        <vt:lpwstr>_Toc82760057</vt:lpwstr>
      </vt:variant>
      <vt:variant>
        <vt:i4>1376314</vt:i4>
      </vt:variant>
      <vt:variant>
        <vt:i4>314</vt:i4>
      </vt:variant>
      <vt:variant>
        <vt:i4>0</vt:i4>
      </vt:variant>
      <vt:variant>
        <vt:i4>5</vt:i4>
      </vt:variant>
      <vt:variant>
        <vt:lpwstr/>
      </vt:variant>
      <vt:variant>
        <vt:lpwstr>_Toc82760056</vt:lpwstr>
      </vt:variant>
      <vt:variant>
        <vt:i4>1441850</vt:i4>
      </vt:variant>
      <vt:variant>
        <vt:i4>308</vt:i4>
      </vt:variant>
      <vt:variant>
        <vt:i4>0</vt:i4>
      </vt:variant>
      <vt:variant>
        <vt:i4>5</vt:i4>
      </vt:variant>
      <vt:variant>
        <vt:lpwstr/>
      </vt:variant>
      <vt:variant>
        <vt:lpwstr>_Toc82760055</vt:lpwstr>
      </vt:variant>
      <vt:variant>
        <vt:i4>1507386</vt:i4>
      </vt:variant>
      <vt:variant>
        <vt:i4>302</vt:i4>
      </vt:variant>
      <vt:variant>
        <vt:i4>0</vt:i4>
      </vt:variant>
      <vt:variant>
        <vt:i4>5</vt:i4>
      </vt:variant>
      <vt:variant>
        <vt:lpwstr/>
      </vt:variant>
      <vt:variant>
        <vt:lpwstr>_Toc82760054</vt:lpwstr>
      </vt:variant>
      <vt:variant>
        <vt:i4>1048634</vt:i4>
      </vt:variant>
      <vt:variant>
        <vt:i4>296</vt:i4>
      </vt:variant>
      <vt:variant>
        <vt:i4>0</vt:i4>
      </vt:variant>
      <vt:variant>
        <vt:i4>5</vt:i4>
      </vt:variant>
      <vt:variant>
        <vt:lpwstr/>
      </vt:variant>
      <vt:variant>
        <vt:lpwstr>_Toc82760053</vt:lpwstr>
      </vt:variant>
      <vt:variant>
        <vt:i4>1114170</vt:i4>
      </vt:variant>
      <vt:variant>
        <vt:i4>290</vt:i4>
      </vt:variant>
      <vt:variant>
        <vt:i4>0</vt:i4>
      </vt:variant>
      <vt:variant>
        <vt:i4>5</vt:i4>
      </vt:variant>
      <vt:variant>
        <vt:lpwstr/>
      </vt:variant>
      <vt:variant>
        <vt:lpwstr>_Toc82760052</vt:lpwstr>
      </vt:variant>
      <vt:variant>
        <vt:i4>1179706</vt:i4>
      </vt:variant>
      <vt:variant>
        <vt:i4>284</vt:i4>
      </vt:variant>
      <vt:variant>
        <vt:i4>0</vt:i4>
      </vt:variant>
      <vt:variant>
        <vt:i4>5</vt:i4>
      </vt:variant>
      <vt:variant>
        <vt:lpwstr/>
      </vt:variant>
      <vt:variant>
        <vt:lpwstr>_Toc82760051</vt:lpwstr>
      </vt:variant>
      <vt:variant>
        <vt:i4>1245242</vt:i4>
      </vt:variant>
      <vt:variant>
        <vt:i4>278</vt:i4>
      </vt:variant>
      <vt:variant>
        <vt:i4>0</vt:i4>
      </vt:variant>
      <vt:variant>
        <vt:i4>5</vt:i4>
      </vt:variant>
      <vt:variant>
        <vt:lpwstr/>
      </vt:variant>
      <vt:variant>
        <vt:lpwstr>_Toc82760050</vt:lpwstr>
      </vt:variant>
      <vt:variant>
        <vt:i4>1703995</vt:i4>
      </vt:variant>
      <vt:variant>
        <vt:i4>272</vt:i4>
      </vt:variant>
      <vt:variant>
        <vt:i4>0</vt:i4>
      </vt:variant>
      <vt:variant>
        <vt:i4>5</vt:i4>
      </vt:variant>
      <vt:variant>
        <vt:lpwstr/>
      </vt:variant>
      <vt:variant>
        <vt:lpwstr>_Toc82760049</vt:lpwstr>
      </vt:variant>
      <vt:variant>
        <vt:i4>1769531</vt:i4>
      </vt:variant>
      <vt:variant>
        <vt:i4>266</vt:i4>
      </vt:variant>
      <vt:variant>
        <vt:i4>0</vt:i4>
      </vt:variant>
      <vt:variant>
        <vt:i4>5</vt:i4>
      </vt:variant>
      <vt:variant>
        <vt:lpwstr/>
      </vt:variant>
      <vt:variant>
        <vt:lpwstr>_Toc82760048</vt:lpwstr>
      </vt:variant>
      <vt:variant>
        <vt:i4>1310779</vt:i4>
      </vt:variant>
      <vt:variant>
        <vt:i4>260</vt:i4>
      </vt:variant>
      <vt:variant>
        <vt:i4>0</vt:i4>
      </vt:variant>
      <vt:variant>
        <vt:i4>5</vt:i4>
      </vt:variant>
      <vt:variant>
        <vt:lpwstr/>
      </vt:variant>
      <vt:variant>
        <vt:lpwstr>_Toc82760047</vt:lpwstr>
      </vt:variant>
      <vt:variant>
        <vt:i4>1376315</vt:i4>
      </vt:variant>
      <vt:variant>
        <vt:i4>254</vt:i4>
      </vt:variant>
      <vt:variant>
        <vt:i4>0</vt:i4>
      </vt:variant>
      <vt:variant>
        <vt:i4>5</vt:i4>
      </vt:variant>
      <vt:variant>
        <vt:lpwstr/>
      </vt:variant>
      <vt:variant>
        <vt:lpwstr>_Toc82760046</vt:lpwstr>
      </vt:variant>
      <vt:variant>
        <vt:i4>1441851</vt:i4>
      </vt:variant>
      <vt:variant>
        <vt:i4>248</vt:i4>
      </vt:variant>
      <vt:variant>
        <vt:i4>0</vt:i4>
      </vt:variant>
      <vt:variant>
        <vt:i4>5</vt:i4>
      </vt:variant>
      <vt:variant>
        <vt:lpwstr/>
      </vt:variant>
      <vt:variant>
        <vt:lpwstr>_Toc82760045</vt:lpwstr>
      </vt:variant>
      <vt:variant>
        <vt:i4>1507387</vt:i4>
      </vt:variant>
      <vt:variant>
        <vt:i4>242</vt:i4>
      </vt:variant>
      <vt:variant>
        <vt:i4>0</vt:i4>
      </vt:variant>
      <vt:variant>
        <vt:i4>5</vt:i4>
      </vt:variant>
      <vt:variant>
        <vt:lpwstr/>
      </vt:variant>
      <vt:variant>
        <vt:lpwstr>_Toc82760044</vt:lpwstr>
      </vt:variant>
      <vt:variant>
        <vt:i4>1048635</vt:i4>
      </vt:variant>
      <vt:variant>
        <vt:i4>236</vt:i4>
      </vt:variant>
      <vt:variant>
        <vt:i4>0</vt:i4>
      </vt:variant>
      <vt:variant>
        <vt:i4>5</vt:i4>
      </vt:variant>
      <vt:variant>
        <vt:lpwstr/>
      </vt:variant>
      <vt:variant>
        <vt:lpwstr>_Toc82760043</vt:lpwstr>
      </vt:variant>
      <vt:variant>
        <vt:i4>1114171</vt:i4>
      </vt:variant>
      <vt:variant>
        <vt:i4>230</vt:i4>
      </vt:variant>
      <vt:variant>
        <vt:i4>0</vt:i4>
      </vt:variant>
      <vt:variant>
        <vt:i4>5</vt:i4>
      </vt:variant>
      <vt:variant>
        <vt:lpwstr/>
      </vt:variant>
      <vt:variant>
        <vt:lpwstr>_Toc82760042</vt:lpwstr>
      </vt:variant>
      <vt:variant>
        <vt:i4>1179707</vt:i4>
      </vt:variant>
      <vt:variant>
        <vt:i4>224</vt:i4>
      </vt:variant>
      <vt:variant>
        <vt:i4>0</vt:i4>
      </vt:variant>
      <vt:variant>
        <vt:i4>5</vt:i4>
      </vt:variant>
      <vt:variant>
        <vt:lpwstr/>
      </vt:variant>
      <vt:variant>
        <vt:lpwstr>_Toc82760041</vt:lpwstr>
      </vt:variant>
      <vt:variant>
        <vt:i4>1245243</vt:i4>
      </vt:variant>
      <vt:variant>
        <vt:i4>218</vt:i4>
      </vt:variant>
      <vt:variant>
        <vt:i4>0</vt:i4>
      </vt:variant>
      <vt:variant>
        <vt:i4>5</vt:i4>
      </vt:variant>
      <vt:variant>
        <vt:lpwstr/>
      </vt:variant>
      <vt:variant>
        <vt:lpwstr>_Toc82760040</vt:lpwstr>
      </vt:variant>
      <vt:variant>
        <vt:i4>1703996</vt:i4>
      </vt:variant>
      <vt:variant>
        <vt:i4>212</vt:i4>
      </vt:variant>
      <vt:variant>
        <vt:i4>0</vt:i4>
      </vt:variant>
      <vt:variant>
        <vt:i4>5</vt:i4>
      </vt:variant>
      <vt:variant>
        <vt:lpwstr/>
      </vt:variant>
      <vt:variant>
        <vt:lpwstr>_Toc82760039</vt:lpwstr>
      </vt:variant>
      <vt:variant>
        <vt:i4>1769532</vt:i4>
      </vt:variant>
      <vt:variant>
        <vt:i4>206</vt:i4>
      </vt:variant>
      <vt:variant>
        <vt:i4>0</vt:i4>
      </vt:variant>
      <vt:variant>
        <vt:i4>5</vt:i4>
      </vt:variant>
      <vt:variant>
        <vt:lpwstr/>
      </vt:variant>
      <vt:variant>
        <vt:lpwstr>_Toc82760038</vt:lpwstr>
      </vt:variant>
      <vt:variant>
        <vt:i4>1310780</vt:i4>
      </vt:variant>
      <vt:variant>
        <vt:i4>200</vt:i4>
      </vt:variant>
      <vt:variant>
        <vt:i4>0</vt:i4>
      </vt:variant>
      <vt:variant>
        <vt:i4>5</vt:i4>
      </vt:variant>
      <vt:variant>
        <vt:lpwstr/>
      </vt:variant>
      <vt:variant>
        <vt:lpwstr>_Toc82760037</vt:lpwstr>
      </vt:variant>
      <vt:variant>
        <vt:i4>1376316</vt:i4>
      </vt:variant>
      <vt:variant>
        <vt:i4>194</vt:i4>
      </vt:variant>
      <vt:variant>
        <vt:i4>0</vt:i4>
      </vt:variant>
      <vt:variant>
        <vt:i4>5</vt:i4>
      </vt:variant>
      <vt:variant>
        <vt:lpwstr/>
      </vt:variant>
      <vt:variant>
        <vt:lpwstr>_Toc82760036</vt:lpwstr>
      </vt:variant>
      <vt:variant>
        <vt:i4>1441852</vt:i4>
      </vt:variant>
      <vt:variant>
        <vt:i4>188</vt:i4>
      </vt:variant>
      <vt:variant>
        <vt:i4>0</vt:i4>
      </vt:variant>
      <vt:variant>
        <vt:i4>5</vt:i4>
      </vt:variant>
      <vt:variant>
        <vt:lpwstr/>
      </vt:variant>
      <vt:variant>
        <vt:lpwstr>_Toc82760035</vt:lpwstr>
      </vt:variant>
      <vt:variant>
        <vt:i4>1507388</vt:i4>
      </vt:variant>
      <vt:variant>
        <vt:i4>182</vt:i4>
      </vt:variant>
      <vt:variant>
        <vt:i4>0</vt:i4>
      </vt:variant>
      <vt:variant>
        <vt:i4>5</vt:i4>
      </vt:variant>
      <vt:variant>
        <vt:lpwstr/>
      </vt:variant>
      <vt:variant>
        <vt:lpwstr>_Toc82760034</vt:lpwstr>
      </vt:variant>
      <vt:variant>
        <vt:i4>1048636</vt:i4>
      </vt:variant>
      <vt:variant>
        <vt:i4>176</vt:i4>
      </vt:variant>
      <vt:variant>
        <vt:i4>0</vt:i4>
      </vt:variant>
      <vt:variant>
        <vt:i4>5</vt:i4>
      </vt:variant>
      <vt:variant>
        <vt:lpwstr/>
      </vt:variant>
      <vt:variant>
        <vt:lpwstr>_Toc82760033</vt:lpwstr>
      </vt:variant>
      <vt:variant>
        <vt:i4>1114172</vt:i4>
      </vt:variant>
      <vt:variant>
        <vt:i4>170</vt:i4>
      </vt:variant>
      <vt:variant>
        <vt:i4>0</vt:i4>
      </vt:variant>
      <vt:variant>
        <vt:i4>5</vt:i4>
      </vt:variant>
      <vt:variant>
        <vt:lpwstr/>
      </vt:variant>
      <vt:variant>
        <vt:lpwstr>_Toc82760032</vt:lpwstr>
      </vt:variant>
      <vt:variant>
        <vt:i4>1179708</vt:i4>
      </vt:variant>
      <vt:variant>
        <vt:i4>164</vt:i4>
      </vt:variant>
      <vt:variant>
        <vt:i4>0</vt:i4>
      </vt:variant>
      <vt:variant>
        <vt:i4>5</vt:i4>
      </vt:variant>
      <vt:variant>
        <vt:lpwstr/>
      </vt:variant>
      <vt:variant>
        <vt:lpwstr>_Toc82760031</vt:lpwstr>
      </vt:variant>
      <vt:variant>
        <vt:i4>1245244</vt:i4>
      </vt:variant>
      <vt:variant>
        <vt:i4>158</vt:i4>
      </vt:variant>
      <vt:variant>
        <vt:i4>0</vt:i4>
      </vt:variant>
      <vt:variant>
        <vt:i4>5</vt:i4>
      </vt:variant>
      <vt:variant>
        <vt:lpwstr/>
      </vt:variant>
      <vt:variant>
        <vt:lpwstr>_Toc82760030</vt:lpwstr>
      </vt:variant>
      <vt:variant>
        <vt:i4>1703997</vt:i4>
      </vt:variant>
      <vt:variant>
        <vt:i4>152</vt:i4>
      </vt:variant>
      <vt:variant>
        <vt:i4>0</vt:i4>
      </vt:variant>
      <vt:variant>
        <vt:i4>5</vt:i4>
      </vt:variant>
      <vt:variant>
        <vt:lpwstr/>
      </vt:variant>
      <vt:variant>
        <vt:lpwstr>_Toc82760029</vt:lpwstr>
      </vt:variant>
      <vt:variant>
        <vt:i4>1769533</vt:i4>
      </vt:variant>
      <vt:variant>
        <vt:i4>146</vt:i4>
      </vt:variant>
      <vt:variant>
        <vt:i4>0</vt:i4>
      </vt:variant>
      <vt:variant>
        <vt:i4>5</vt:i4>
      </vt:variant>
      <vt:variant>
        <vt:lpwstr/>
      </vt:variant>
      <vt:variant>
        <vt:lpwstr>_Toc82760028</vt:lpwstr>
      </vt:variant>
      <vt:variant>
        <vt:i4>1310781</vt:i4>
      </vt:variant>
      <vt:variant>
        <vt:i4>140</vt:i4>
      </vt:variant>
      <vt:variant>
        <vt:i4>0</vt:i4>
      </vt:variant>
      <vt:variant>
        <vt:i4>5</vt:i4>
      </vt:variant>
      <vt:variant>
        <vt:lpwstr/>
      </vt:variant>
      <vt:variant>
        <vt:lpwstr>_Toc82760027</vt:lpwstr>
      </vt:variant>
      <vt:variant>
        <vt:i4>1376317</vt:i4>
      </vt:variant>
      <vt:variant>
        <vt:i4>134</vt:i4>
      </vt:variant>
      <vt:variant>
        <vt:i4>0</vt:i4>
      </vt:variant>
      <vt:variant>
        <vt:i4>5</vt:i4>
      </vt:variant>
      <vt:variant>
        <vt:lpwstr/>
      </vt:variant>
      <vt:variant>
        <vt:lpwstr>_Toc82760026</vt:lpwstr>
      </vt:variant>
      <vt:variant>
        <vt:i4>1441853</vt:i4>
      </vt:variant>
      <vt:variant>
        <vt:i4>128</vt:i4>
      </vt:variant>
      <vt:variant>
        <vt:i4>0</vt:i4>
      </vt:variant>
      <vt:variant>
        <vt:i4>5</vt:i4>
      </vt:variant>
      <vt:variant>
        <vt:lpwstr/>
      </vt:variant>
      <vt:variant>
        <vt:lpwstr>_Toc82760025</vt:lpwstr>
      </vt:variant>
      <vt:variant>
        <vt:i4>1507389</vt:i4>
      </vt:variant>
      <vt:variant>
        <vt:i4>122</vt:i4>
      </vt:variant>
      <vt:variant>
        <vt:i4>0</vt:i4>
      </vt:variant>
      <vt:variant>
        <vt:i4>5</vt:i4>
      </vt:variant>
      <vt:variant>
        <vt:lpwstr/>
      </vt:variant>
      <vt:variant>
        <vt:lpwstr>_Toc82760024</vt:lpwstr>
      </vt:variant>
      <vt:variant>
        <vt:i4>1048637</vt:i4>
      </vt:variant>
      <vt:variant>
        <vt:i4>116</vt:i4>
      </vt:variant>
      <vt:variant>
        <vt:i4>0</vt:i4>
      </vt:variant>
      <vt:variant>
        <vt:i4>5</vt:i4>
      </vt:variant>
      <vt:variant>
        <vt:lpwstr/>
      </vt:variant>
      <vt:variant>
        <vt:lpwstr>_Toc82760023</vt:lpwstr>
      </vt:variant>
      <vt:variant>
        <vt:i4>1114173</vt:i4>
      </vt:variant>
      <vt:variant>
        <vt:i4>110</vt:i4>
      </vt:variant>
      <vt:variant>
        <vt:i4>0</vt:i4>
      </vt:variant>
      <vt:variant>
        <vt:i4>5</vt:i4>
      </vt:variant>
      <vt:variant>
        <vt:lpwstr/>
      </vt:variant>
      <vt:variant>
        <vt:lpwstr>_Toc82760022</vt:lpwstr>
      </vt:variant>
      <vt:variant>
        <vt:i4>1179709</vt:i4>
      </vt:variant>
      <vt:variant>
        <vt:i4>104</vt:i4>
      </vt:variant>
      <vt:variant>
        <vt:i4>0</vt:i4>
      </vt:variant>
      <vt:variant>
        <vt:i4>5</vt:i4>
      </vt:variant>
      <vt:variant>
        <vt:lpwstr/>
      </vt:variant>
      <vt:variant>
        <vt:lpwstr>_Toc82760021</vt:lpwstr>
      </vt:variant>
      <vt:variant>
        <vt:i4>1245245</vt:i4>
      </vt:variant>
      <vt:variant>
        <vt:i4>98</vt:i4>
      </vt:variant>
      <vt:variant>
        <vt:i4>0</vt:i4>
      </vt:variant>
      <vt:variant>
        <vt:i4>5</vt:i4>
      </vt:variant>
      <vt:variant>
        <vt:lpwstr/>
      </vt:variant>
      <vt:variant>
        <vt:lpwstr>_Toc82760020</vt:lpwstr>
      </vt:variant>
      <vt:variant>
        <vt:i4>1703998</vt:i4>
      </vt:variant>
      <vt:variant>
        <vt:i4>92</vt:i4>
      </vt:variant>
      <vt:variant>
        <vt:i4>0</vt:i4>
      </vt:variant>
      <vt:variant>
        <vt:i4>5</vt:i4>
      </vt:variant>
      <vt:variant>
        <vt:lpwstr/>
      </vt:variant>
      <vt:variant>
        <vt:lpwstr>_Toc82760019</vt:lpwstr>
      </vt:variant>
      <vt:variant>
        <vt:i4>1769534</vt:i4>
      </vt:variant>
      <vt:variant>
        <vt:i4>86</vt:i4>
      </vt:variant>
      <vt:variant>
        <vt:i4>0</vt:i4>
      </vt:variant>
      <vt:variant>
        <vt:i4>5</vt:i4>
      </vt:variant>
      <vt:variant>
        <vt:lpwstr/>
      </vt:variant>
      <vt:variant>
        <vt:lpwstr>_Toc82760018</vt:lpwstr>
      </vt:variant>
      <vt:variant>
        <vt:i4>1310782</vt:i4>
      </vt:variant>
      <vt:variant>
        <vt:i4>80</vt:i4>
      </vt:variant>
      <vt:variant>
        <vt:i4>0</vt:i4>
      </vt:variant>
      <vt:variant>
        <vt:i4>5</vt:i4>
      </vt:variant>
      <vt:variant>
        <vt:lpwstr/>
      </vt:variant>
      <vt:variant>
        <vt:lpwstr>_Toc82760017</vt:lpwstr>
      </vt:variant>
      <vt:variant>
        <vt:i4>1376318</vt:i4>
      </vt:variant>
      <vt:variant>
        <vt:i4>74</vt:i4>
      </vt:variant>
      <vt:variant>
        <vt:i4>0</vt:i4>
      </vt:variant>
      <vt:variant>
        <vt:i4>5</vt:i4>
      </vt:variant>
      <vt:variant>
        <vt:lpwstr/>
      </vt:variant>
      <vt:variant>
        <vt:lpwstr>_Toc82760016</vt:lpwstr>
      </vt:variant>
      <vt:variant>
        <vt:i4>1441854</vt:i4>
      </vt:variant>
      <vt:variant>
        <vt:i4>68</vt:i4>
      </vt:variant>
      <vt:variant>
        <vt:i4>0</vt:i4>
      </vt:variant>
      <vt:variant>
        <vt:i4>5</vt:i4>
      </vt:variant>
      <vt:variant>
        <vt:lpwstr/>
      </vt:variant>
      <vt:variant>
        <vt:lpwstr>_Toc82760015</vt:lpwstr>
      </vt:variant>
      <vt:variant>
        <vt:i4>1507390</vt:i4>
      </vt:variant>
      <vt:variant>
        <vt:i4>62</vt:i4>
      </vt:variant>
      <vt:variant>
        <vt:i4>0</vt:i4>
      </vt:variant>
      <vt:variant>
        <vt:i4>5</vt:i4>
      </vt:variant>
      <vt:variant>
        <vt:lpwstr/>
      </vt:variant>
      <vt:variant>
        <vt:lpwstr>_Toc82760014</vt:lpwstr>
      </vt:variant>
      <vt:variant>
        <vt:i4>1048638</vt:i4>
      </vt:variant>
      <vt:variant>
        <vt:i4>56</vt:i4>
      </vt:variant>
      <vt:variant>
        <vt:i4>0</vt:i4>
      </vt:variant>
      <vt:variant>
        <vt:i4>5</vt:i4>
      </vt:variant>
      <vt:variant>
        <vt:lpwstr/>
      </vt:variant>
      <vt:variant>
        <vt:lpwstr>_Toc82760013</vt:lpwstr>
      </vt:variant>
      <vt:variant>
        <vt:i4>1114174</vt:i4>
      </vt:variant>
      <vt:variant>
        <vt:i4>50</vt:i4>
      </vt:variant>
      <vt:variant>
        <vt:i4>0</vt:i4>
      </vt:variant>
      <vt:variant>
        <vt:i4>5</vt:i4>
      </vt:variant>
      <vt:variant>
        <vt:lpwstr/>
      </vt:variant>
      <vt:variant>
        <vt:lpwstr>_Toc82760012</vt:lpwstr>
      </vt:variant>
      <vt:variant>
        <vt:i4>1179710</vt:i4>
      </vt:variant>
      <vt:variant>
        <vt:i4>44</vt:i4>
      </vt:variant>
      <vt:variant>
        <vt:i4>0</vt:i4>
      </vt:variant>
      <vt:variant>
        <vt:i4>5</vt:i4>
      </vt:variant>
      <vt:variant>
        <vt:lpwstr/>
      </vt:variant>
      <vt:variant>
        <vt:lpwstr>_Toc82760011</vt:lpwstr>
      </vt:variant>
      <vt:variant>
        <vt:i4>1245246</vt:i4>
      </vt:variant>
      <vt:variant>
        <vt:i4>38</vt:i4>
      </vt:variant>
      <vt:variant>
        <vt:i4>0</vt:i4>
      </vt:variant>
      <vt:variant>
        <vt:i4>5</vt:i4>
      </vt:variant>
      <vt:variant>
        <vt:lpwstr/>
      </vt:variant>
      <vt:variant>
        <vt:lpwstr>_Toc82760010</vt:lpwstr>
      </vt:variant>
      <vt:variant>
        <vt:i4>1703999</vt:i4>
      </vt:variant>
      <vt:variant>
        <vt:i4>32</vt:i4>
      </vt:variant>
      <vt:variant>
        <vt:i4>0</vt:i4>
      </vt:variant>
      <vt:variant>
        <vt:i4>5</vt:i4>
      </vt:variant>
      <vt:variant>
        <vt:lpwstr/>
      </vt:variant>
      <vt:variant>
        <vt:lpwstr>_Toc82760009</vt:lpwstr>
      </vt:variant>
      <vt:variant>
        <vt:i4>1769535</vt:i4>
      </vt:variant>
      <vt:variant>
        <vt:i4>26</vt:i4>
      </vt:variant>
      <vt:variant>
        <vt:i4>0</vt:i4>
      </vt:variant>
      <vt:variant>
        <vt:i4>5</vt:i4>
      </vt:variant>
      <vt:variant>
        <vt:lpwstr/>
      </vt:variant>
      <vt:variant>
        <vt:lpwstr>_Toc82760008</vt:lpwstr>
      </vt:variant>
      <vt:variant>
        <vt:i4>1310783</vt:i4>
      </vt:variant>
      <vt:variant>
        <vt:i4>20</vt:i4>
      </vt:variant>
      <vt:variant>
        <vt:i4>0</vt:i4>
      </vt:variant>
      <vt:variant>
        <vt:i4>5</vt:i4>
      </vt:variant>
      <vt:variant>
        <vt:lpwstr/>
      </vt:variant>
      <vt:variant>
        <vt:lpwstr>_Toc82760007</vt:lpwstr>
      </vt:variant>
      <vt:variant>
        <vt:i4>1376319</vt:i4>
      </vt:variant>
      <vt:variant>
        <vt:i4>14</vt:i4>
      </vt:variant>
      <vt:variant>
        <vt:i4>0</vt:i4>
      </vt:variant>
      <vt:variant>
        <vt:i4>5</vt:i4>
      </vt:variant>
      <vt:variant>
        <vt:lpwstr/>
      </vt:variant>
      <vt:variant>
        <vt:lpwstr>_Toc82760006</vt:lpwstr>
      </vt:variant>
      <vt:variant>
        <vt:i4>1441855</vt:i4>
      </vt:variant>
      <vt:variant>
        <vt:i4>8</vt:i4>
      </vt:variant>
      <vt:variant>
        <vt:i4>0</vt:i4>
      </vt:variant>
      <vt:variant>
        <vt:i4>5</vt:i4>
      </vt:variant>
      <vt:variant>
        <vt:lpwstr/>
      </vt:variant>
      <vt:variant>
        <vt:lpwstr>_Toc82760005</vt:lpwstr>
      </vt:variant>
      <vt:variant>
        <vt:i4>1507391</vt:i4>
      </vt:variant>
      <vt:variant>
        <vt:i4>2</vt:i4>
      </vt:variant>
      <vt:variant>
        <vt:i4>0</vt:i4>
      </vt:variant>
      <vt:variant>
        <vt:i4>5</vt:i4>
      </vt:variant>
      <vt:variant>
        <vt:lpwstr/>
      </vt:variant>
      <vt:variant>
        <vt:lpwstr>_Toc82760004</vt:lpwstr>
      </vt:variant>
      <vt:variant>
        <vt:i4>3538977</vt:i4>
      </vt:variant>
      <vt:variant>
        <vt:i4>66</vt:i4>
      </vt:variant>
      <vt:variant>
        <vt:i4>0</vt:i4>
      </vt:variant>
      <vt:variant>
        <vt:i4>5</vt:i4>
      </vt:variant>
      <vt:variant>
        <vt:lpwstr>https://www.cpuc.ca.gov/news-and-updates/newsroom/environmental-and-social-justice-action-plan</vt:lpwstr>
      </vt:variant>
      <vt:variant>
        <vt:lpwstr/>
      </vt:variant>
      <vt:variant>
        <vt:i4>5046351</vt:i4>
      </vt:variant>
      <vt:variant>
        <vt:i4>63</vt:i4>
      </vt:variant>
      <vt:variant>
        <vt:i4>0</vt:i4>
      </vt:variant>
      <vt:variant>
        <vt:i4>5</vt:i4>
      </vt:variant>
      <vt:variant>
        <vt:lpwstr>https://oehha.ca.gov/calenviroscreen</vt:lpwstr>
      </vt:variant>
      <vt:variant>
        <vt:lpwstr/>
      </vt:variant>
      <vt:variant>
        <vt:i4>6357089</vt:i4>
      </vt:variant>
      <vt:variant>
        <vt:i4>60</vt:i4>
      </vt:variant>
      <vt:variant>
        <vt:i4>0</vt:i4>
      </vt:variant>
      <vt:variant>
        <vt:i4>5</vt:i4>
      </vt:variant>
      <vt:variant>
        <vt:lpwstr>https://www.cpuc.ca.gov/ESJactionplan/</vt:lpwstr>
      </vt:variant>
      <vt:variant>
        <vt:lpwstr/>
      </vt:variant>
      <vt:variant>
        <vt:i4>6946850</vt:i4>
      </vt:variant>
      <vt:variant>
        <vt:i4>57</vt:i4>
      </vt:variant>
      <vt:variant>
        <vt:i4>0</vt:i4>
      </vt:variant>
      <vt:variant>
        <vt:i4>5</vt:i4>
      </vt:variant>
      <vt:variant>
        <vt:lpwstr>https://energysafety.ca.gov/wp-content/uploads/docs/wmp-2021/attachment-2.2-to-wsd-011-2021-wmp-guidelines-template.pdf</vt:lpwstr>
      </vt:variant>
      <vt:variant>
        <vt:lpwstr/>
      </vt:variant>
      <vt:variant>
        <vt:i4>3735648</vt:i4>
      </vt:variant>
      <vt:variant>
        <vt:i4>54</vt:i4>
      </vt:variant>
      <vt:variant>
        <vt:i4>0</vt:i4>
      </vt:variant>
      <vt:variant>
        <vt:i4>5</vt:i4>
      </vt:variant>
      <vt:variant>
        <vt:lpwstr>https://w1.weather.gov/glossary/index.php?word=red+flag+warning</vt:lpwstr>
      </vt:variant>
      <vt:variant>
        <vt:lpwstr/>
      </vt:variant>
      <vt:variant>
        <vt:i4>2031710</vt:i4>
      </vt:variant>
      <vt:variant>
        <vt:i4>51</vt:i4>
      </vt:variant>
      <vt:variant>
        <vt:i4>0</vt:i4>
      </vt:variant>
      <vt:variant>
        <vt:i4>5</vt:i4>
      </vt:variant>
      <vt:variant>
        <vt:lpwstr>https://www.cpuc.ca.gov/consumer-support/psps/technosylva-2019-psps-event-wildfire-risk-analysis-reports</vt:lpwstr>
      </vt:variant>
      <vt:variant>
        <vt:lpwstr/>
      </vt:variant>
      <vt:variant>
        <vt:i4>7733358</vt:i4>
      </vt:variant>
      <vt:variant>
        <vt:i4>48</vt:i4>
      </vt:variant>
      <vt:variant>
        <vt:i4>0</vt:i4>
      </vt:variant>
      <vt:variant>
        <vt:i4>5</vt:i4>
      </vt:variant>
      <vt:variant>
        <vt:lpwstr>https://www.cpuc.ca.gov/-/media/cpuc-website/divisions/safety-policy-division/documents/20210712-cpucoeis-mousigned.pdf</vt:lpwstr>
      </vt:variant>
      <vt:variant>
        <vt:lpwstr/>
      </vt:variant>
      <vt:variant>
        <vt:i4>4194332</vt:i4>
      </vt:variant>
      <vt:variant>
        <vt:i4>45</vt:i4>
      </vt:variant>
      <vt:variant>
        <vt:i4>0</vt:i4>
      </vt:variant>
      <vt:variant>
        <vt:i4>5</vt:i4>
      </vt:variant>
      <vt:variant>
        <vt:lpwstr>https://energysafety.ca.gov/what-we-do/wildfire-mitigation-and-safety/wildfire-mitigation-plans/2021-wmp/</vt:lpwstr>
      </vt:variant>
      <vt:variant>
        <vt:lpwstr/>
      </vt:variant>
      <vt:variant>
        <vt:i4>6946850</vt:i4>
      </vt:variant>
      <vt:variant>
        <vt:i4>42</vt:i4>
      </vt:variant>
      <vt:variant>
        <vt:i4>0</vt:i4>
      </vt:variant>
      <vt:variant>
        <vt:i4>5</vt:i4>
      </vt:variant>
      <vt:variant>
        <vt:lpwstr>https://energysafety.ca.gov/wp-content/uploads/docs/wmp-2021/attachment-2.2-to-wsd-011-2021-wmp-guidelines-template.pdf</vt:lpwstr>
      </vt:variant>
      <vt:variant>
        <vt:lpwstr/>
      </vt:variant>
      <vt:variant>
        <vt:i4>1704015</vt:i4>
      </vt:variant>
      <vt:variant>
        <vt:i4>39</vt:i4>
      </vt:variant>
      <vt:variant>
        <vt:i4>0</vt:i4>
      </vt:variant>
      <vt:variant>
        <vt:i4>5</vt:i4>
      </vt:variant>
      <vt:variant>
        <vt:lpwstr>https://docs.cpuc.ca.gov/PublishedDocs/Published/G000/M387/K099/387099293.PDF</vt:lpwstr>
      </vt:variant>
      <vt:variant>
        <vt:lpwstr/>
      </vt:variant>
      <vt:variant>
        <vt:i4>6946850</vt:i4>
      </vt:variant>
      <vt:variant>
        <vt:i4>36</vt:i4>
      </vt:variant>
      <vt:variant>
        <vt:i4>0</vt:i4>
      </vt:variant>
      <vt:variant>
        <vt:i4>5</vt:i4>
      </vt:variant>
      <vt:variant>
        <vt:lpwstr>https://energysafety.ca.gov/wp-content/uploads/docs/wmp-2021/attachment-2.2-to-wsd-011-2021-wmp-guidelines-template.pdf</vt:lpwstr>
      </vt:variant>
      <vt:variant>
        <vt:lpwstr/>
      </vt:variant>
      <vt:variant>
        <vt:i4>3342458</vt:i4>
      </vt:variant>
      <vt:variant>
        <vt:i4>30</vt:i4>
      </vt:variant>
      <vt:variant>
        <vt:i4>0</vt:i4>
      </vt:variant>
      <vt:variant>
        <vt:i4>5</vt:i4>
      </vt:variant>
      <vt:variant>
        <vt:lpwstr>https://standards.ieee.org/standard/1366-2012.html</vt:lpwstr>
      </vt:variant>
      <vt:variant>
        <vt:lpwstr/>
      </vt:variant>
      <vt:variant>
        <vt:i4>655379</vt:i4>
      </vt:variant>
      <vt:variant>
        <vt:i4>27</vt:i4>
      </vt:variant>
      <vt:variant>
        <vt:i4>0</vt:i4>
      </vt:variant>
      <vt:variant>
        <vt:i4>5</vt:i4>
      </vt:variant>
      <vt:variant>
        <vt:lpwstr>https://cmte.ieee.org/pes-drwg/wp-content/uploads/sites/61/2003-01-Major-Events-Classification-v3.pdf</vt:lpwstr>
      </vt:variant>
      <vt:variant>
        <vt:lpwstr/>
      </vt:variant>
      <vt:variant>
        <vt:i4>1638466</vt:i4>
      </vt:variant>
      <vt:variant>
        <vt:i4>24</vt:i4>
      </vt:variant>
      <vt:variant>
        <vt:i4>0</vt:i4>
      </vt:variant>
      <vt:variant>
        <vt:i4>5</vt:i4>
      </vt:variant>
      <vt:variant>
        <vt:lpwstr>https://docs.cpuc.ca.gov/PublishedDocs/Published/G000/M350/K405/350405017.PDF</vt:lpwstr>
      </vt:variant>
      <vt:variant>
        <vt:lpwstr/>
      </vt:variant>
      <vt:variant>
        <vt:i4>1900609</vt:i4>
      </vt:variant>
      <vt:variant>
        <vt:i4>21</vt:i4>
      </vt:variant>
      <vt:variant>
        <vt:i4>0</vt:i4>
      </vt:variant>
      <vt:variant>
        <vt:i4>5</vt:i4>
      </vt:variant>
      <vt:variant>
        <vt:lpwstr>https://docs.cpuc.ca.gov/PublishedDocs/Published/G000/M398/K031/398031023.PDF</vt:lpwstr>
      </vt:variant>
      <vt:variant>
        <vt:lpwstr/>
      </vt:variant>
      <vt:variant>
        <vt:i4>1638466</vt:i4>
      </vt:variant>
      <vt:variant>
        <vt:i4>18</vt:i4>
      </vt:variant>
      <vt:variant>
        <vt:i4>0</vt:i4>
      </vt:variant>
      <vt:variant>
        <vt:i4>5</vt:i4>
      </vt:variant>
      <vt:variant>
        <vt:lpwstr>https://docs.cpuc.ca.gov/PublishedDocs/Published/G000/M350/K405/350405017.PDF</vt:lpwstr>
      </vt:variant>
      <vt:variant>
        <vt:lpwstr/>
      </vt:variant>
      <vt:variant>
        <vt:i4>4522001</vt:i4>
      </vt:variant>
      <vt:variant>
        <vt:i4>15</vt:i4>
      </vt:variant>
      <vt:variant>
        <vt:i4>0</vt:i4>
      </vt:variant>
      <vt:variant>
        <vt:i4>5</vt:i4>
      </vt:variant>
      <vt:variant>
        <vt:lpwstr>https://energysafety.ca.gov/wp-content/uploads/docs/misc/wsd/wsd-executive-compensation-guidance-20201222.pdf</vt:lpwstr>
      </vt:variant>
      <vt:variant>
        <vt:lpwstr/>
      </vt:variant>
      <vt:variant>
        <vt:i4>1114189</vt:i4>
      </vt:variant>
      <vt:variant>
        <vt:i4>12</vt:i4>
      </vt:variant>
      <vt:variant>
        <vt:i4>0</vt:i4>
      </vt:variant>
      <vt:variant>
        <vt:i4>5</vt:i4>
      </vt:variant>
      <vt:variant>
        <vt:lpwstr>https://docs.cpuc.ca.gov/PublishedDocs/Published/G000/M367/K731/367731890.PDF</vt:lpwstr>
      </vt:variant>
      <vt:variant>
        <vt:lpwstr/>
      </vt:variant>
      <vt:variant>
        <vt:i4>786505</vt:i4>
      </vt:variant>
      <vt:variant>
        <vt:i4>9</vt:i4>
      </vt:variant>
      <vt:variant>
        <vt:i4>0</vt:i4>
      </vt:variant>
      <vt:variant>
        <vt:i4>5</vt:i4>
      </vt:variant>
      <vt:variant>
        <vt:lpwstr>https://docs.cpuc.ca.gov/PublishedDocs/Efile/G000/M368/K055/368055506.PDF</vt:lpwstr>
      </vt:variant>
      <vt:variant>
        <vt:lpwstr/>
      </vt:variant>
      <vt:variant>
        <vt:i4>8061041</vt:i4>
      </vt:variant>
      <vt:variant>
        <vt:i4>6</vt:i4>
      </vt:variant>
      <vt:variant>
        <vt:i4>0</vt:i4>
      </vt:variant>
      <vt:variant>
        <vt:i4>5</vt:i4>
      </vt:variant>
      <vt:variant>
        <vt:lpwstr>https://www.sce.com/sites/default/files/AEM/SCE 2020-2022 Wildfire Mitigation Plan.pdf</vt:lpwstr>
      </vt:variant>
      <vt:variant>
        <vt:lpwstr/>
      </vt:variant>
      <vt:variant>
        <vt:i4>2359350</vt:i4>
      </vt:variant>
      <vt:variant>
        <vt:i4>3</vt:i4>
      </vt:variant>
      <vt:variant>
        <vt:i4>0</vt:i4>
      </vt:variant>
      <vt:variant>
        <vt:i4>5</vt:i4>
      </vt:variant>
      <vt:variant>
        <vt:lpwstr>https://www.sdge.com/proceedings/2021-sdge-ramp-report</vt:lpwstr>
      </vt:variant>
      <vt:variant>
        <vt:lpwstr/>
      </vt:variant>
      <vt:variant>
        <vt:i4>79</vt:i4>
      </vt:variant>
      <vt:variant>
        <vt:i4>0</vt:i4>
      </vt:variant>
      <vt:variant>
        <vt:i4>0</vt:i4>
      </vt:variant>
      <vt:variant>
        <vt:i4>5</vt:i4>
      </vt:variant>
      <vt:variant>
        <vt:lpwstr>https://www.cpuc.ca.gov/about-cpuc/divisions/safety-policy-division/risk-assessment-and-safety-analytics</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2021-09-17T15:34:00Z</cp:lastPrinted>
  <dcterms:created xsi:type="dcterms:W3CDTF">2021-11-09T15:19:20Z</dcterms:created>
  <dcterms:modified xsi:type="dcterms:W3CDTF">2021-11-09T15:19:20Z</dcterms:modified>
</cp:coreProperties>
</file>