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P="0DEDA953" w:rsidRDefault="00CF17DE" w14:paraId="70BEAF91" w14:textId="288BB750">
      <w:pPr>
        <w:pStyle w:val="titlebar"/>
        <w:ind w:firstLine="720"/>
        <w:rPr>
          <w:sz w:val="24"/>
          <w:szCs w:val="24"/>
        </w:rPr>
      </w:pPr>
      <w:r w:rsidRPr="0DEDA953">
        <w:rPr>
          <w:sz w:val="24"/>
          <w:szCs w:val="24"/>
        </w:rPr>
        <w:t>PUBLIC UTILITIES COMMISSION OF THE STATE OF CALIFORNIA</w:t>
      </w:r>
    </w:p>
    <w:p w:rsidR="00630522" w:rsidP="0DEDA953" w:rsidRDefault="00630522" w14:paraId="1304502E" w14:textId="77777777">
      <w:pPr>
        <w:pStyle w:val="titlebar"/>
        <w:ind w:firstLine="720"/>
        <w:rPr>
          <w:sz w:val="24"/>
          <w:szCs w:val="24"/>
        </w:rPr>
      </w:pPr>
    </w:p>
    <w:p w:rsidRPr="00630522" w:rsidR="00CF17DE" w:rsidP="00630522" w:rsidRDefault="00630522" w14:paraId="5E624470" w14:textId="256055B3">
      <w:pPr>
        <w:tabs>
          <w:tab w:val="right" w:pos="8910"/>
        </w:tabs>
        <w:rPr>
          <w:b/>
          <w:sz w:val="24"/>
          <w:szCs w:val="24"/>
        </w:rPr>
      </w:pPr>
      <w:r>
        <w:rPr>
          <w:b/>
          <w:sz w:val="24"/>
          <w:szCs w:val="24"/>
        </w:rPr>
        <w:t xml:space="preserve">                                                                                                                  </w:t>
      </w:r>
      <w:r w:rsidRPr="00630522">
        <w:rPr>
          <w:b/>
          <w:sz w:val="24"/>
          <w:szCs w:val="24"/>
        </w:rPr>
        <w:t>Agenda ID:</w:t>
      </w:r>
      <w:r w:rsidR="00CF337B">
        <w:rPr>
          <w:b/>
          <w:sz w:val="24"/>
          <w:szCs w:val="24"/>
        </w:rPr>
        <w:t xml:space="preserve"> 20087</w:t>
      </w:r>
    </w:p>
    <w:p w:rsidR="00CF17DE" w:rsidRDefault="00593807" w14:paraId="7AE852C7" w14:textId="229FC7A5">
      <w:pPr>
        <w:rPr>
          <w:b/>
          <w:sz w:val="24"/>
        </w:rPr>
      </w:pPr>
      <w:r>
        <w:rPr>
          <w:b/>
          <w:sz w:val="24"/>
        </w:rPr>
        <w:t>ENERGY DIVISION</w:t>
      </w:r>
      <w:r>
        <w:rPr>
          <w:b/>
          <w:sz w:val="24"/>
        </w:rPr>
        <w:tab/>
      </w:r>
      <w:r>
        <w:rPr>
          <w:b/>
          <w:sz w:val="24"/>
        </w:rPr>
        <w:tab/>
      </w:r>
      <w:r>
        <w:rPr>
          <w:b/>
          <w:sz w:val="24"/>
        </w:rPr>
        <w:tab/>
      </w:r>
      <w:r>
        <w:rPr>
          <w:b/>
          <w:sz w:val="24"/>
        </w:rPr>
        <w:tab/>
      </w:r>
      <w:r>
        <w:rPr>
          <w:b/>
          <w:sz w:val="24"/>
        </w:rPr>
        <w:tab/>
      </w:r>
      <w:r w:rsidR="00630522">
        <w:rPr>
          <w:b/>
          <w:sz w:val="24"/>
        </w:rPr>
        <w:t xml:space="preserve">          </w:t>
      </w:r>
      <w:r w:rsidR="00CF17DE">
        <w:rPr>
          <w:b/>
          <w:sz w:val="24"/>
        </w:rPr>
        <w:t>RESOLUTION E-</w:t>
      </w:r>
      <w:r w:rsidR="00C94CBB">
        <w:rPr>
          <w:b/>
          <w:sz w:val="24"/>
        </w:rPr>
        <w:t>5183</w:t>
      </w:r>
    </w:p>
    <w:p w:rsidR="00CF17DE" w:rsidP="00630522" w:rsidRDefault="00630522" w14:paraId="3DBC912E" w14:textId="71FF6ECD">
      <w:pPr>
        <w:tabs>
          <w:tab w:val="right" w:pos="8910"/>
        </w:tabs>
        <w:rPr>
          <w:b/>
          <w:sz w:val="24"/>
          <w:szCs w:val="24"/>
        </w:rPr>
      </w:pPr>
      <w:r>
        <w:rPr>
          <w:b/>
          <w:sz w:val="24"/>
          <w:szCs w:val="24"/>
        </w:rPr>
        <w:t xml:space="preserve">                                                                                                                 </w:t>
      </w:r>
      <w:r w:rsidRPr="50BA7727" w:rsidR="00517D18">
        <w:rPr>
          <w:b/>
          <w:sz w:val="24"/>
          <w:szCs w:val="24"/>
        </w:rPr>
        <w:t>December 16, 2021</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7D413D" w:rsidRDefault="00B927B5" w14:paraId="38C822AA" w14:textId="3536B33C">
      <w:pPr>
        <w:pStyle w:val="Res-Caption"/>
      </w:pPr>
      <w:r>
        <w:t>Resolution E</w:t>
      </w:r>
      <w:r w:rsidR="007D413D">
        <w:t>-</w:t>
      </w:r>
      <w:r w:rsidR="00C94CBB">
        <w:t>5183</w:t>
      </w:r>
      <w:r>
        <w:t xml:space="preserve">. </w:t>
      </w:r>
      <w:r w:rsidR="007D413D">
        <w:t>Southern California Edison request for approval of Emergency Reliability Engineering, Procurement, Construction, and Maintenance Contract for Utility-Owned Storage</w:t>
      </w:r>
      <w:r w:rsidR="002E28E4">
        <w:t xml:space="preserve"> </w:t>
      </w:r>
      <w:r w:rsidR="007D413D">
        <w:t>Resources</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142FB8" w:rsidP="00DF35CC" w:rsidRDefault="007D413D" w14:paraId="6EF53595" w14:textId="61D25167">
      <w:pPr>
        <w:pStyle w:val="Res-Caption"/>
        <w:numPr>
          <w:ilvl w:val="0"/>
          <w:numId w:val="7"/>
        </w:numPr>
        <w:rPr>
          <w:rFonts w:eastAsia="Palatino" w:cs="Palatino"/>
        </w:rPr>
      </w:pPr>
      <w:r w:rsidRPr="007A3DA3">
        <w:rPr>
          <w:rFonts w:eastAsia="Palatino" w:cs="Palatino"/>
        </w:rPr>
        <w:t xml:space="preserve">This Resolution </w:t>
      </w:r>
      <w:r w:rsidRPr="007A3DA3" w:rsidR="00C94CBB">
        <w:rPr>
          <w:rFonts w:eastAsia="Palatino" w:cs="Palatino"/>
        </w:rPr>
        <w:t>A</w:t>
      </w:r>
      <w:r w:rsidRPr="007A3DA3">
        <w:rPr>
          <w:rFonts w:eastAsia="Palatino" w:cs="Palatino"/>
        </w:rPr>
        <w:t xml:space="preserve">pproves Southern California Edison’s Emergency Reliability Engineering, Procurement, Construction, and Maintenance Contract for </w:t>
      </w:r>
      <w:r w:rsidRPr="007A3DA3" w:rsidR="00806781">
        <w:rPr>
          <w:rFonts w:eastAsia="Palatino" w:cs="Palatino"/>
        </w:rPr>
        <w:t xml:space="preserve">535.7 </w:t>
      </w:r>
      <w:r w:rsidRPr="007A3DA3" w:rsidR="00C94CBB">
        <w:rPr>
          <w:rFonts w:eastAsia="Palatino" w:cs="Palatino"/>
        </w:rPr>
        <w:t>M</w:t>
      </w:r>
      <w:r w:rsidRPr="007A3DA3" w:rsidR="00806781">
        <w:rPr>
          <w:rFonts w:eastAsia="Palatino" w:cs="Palatino"/>
        </w:rPr>
        <w:t>egawatts of Utility-Owned Storage.</w:t>
      </w:r>
    </w:p>
    <w:p w:rsidR="007D413D" w:rsidP="007D413D" w:rsidRDefault="007D413D" w14:paraId="0FA66AB7" w14:textId="61D25167">
      <w:pPr>
        <w:pStyle w:val="Res-Caption"/>
        <w:numPr>
          <w:ilvl w:val="0"/>
          <w:numId w:val="7"/>
        </w:numPr>
        <w:rPr>
          <w:rFonts w:eastAsia="Palatino" w:cs="Palatino"/>
        </w:rPr>
      </w:pPr>
      <w:r w:rsidRPr="007A3DA3">
        <w:rPr>
          <w:rFonts w:eastAsia="Palatino" w:cs="Palatino"/>
        </w:rPr>
        <w:t xml:space="preserve">This Resolution finds that the projects do not require a </w:t>
      </w:r>
      <w:r w:rsidRPr="007A3DA3" w:rsidR="009A5394">
        <w:rPr>
          <w:rFonts w:eastAsia="Palatino" w:cs="Palatino"/>
        </w:rPr>
        <w:t>Certificate of Public Convenience and Necessity</w:t>
      </w:r>
      <w:r w:rsidRPr="007A3DA3">
        <w:rPr>
          <w:rFonts w:eastAsia="Palatino" w:cs="Palatino"/>
        </w:rPr>
        <w:t xml:space="preserve"> or </w:t>
      </w:r>
      <w:r w:rsidRPr="007A3DA3" w:rsidR="00943BC8">
        <w:rPr>
          <w:rFonts w:eastAsia="Palatino" w:cs="Palatino"/>
        </w:rPr>
        <w:t xml:space="preserve">Permit to Construct </w:t>
      </w:r>
      <w:r w:rsidRPr="007A3DA3">
        <w:rPr>
          <w:rFonts w:eastAsia="Palatino" w:cs="Palatino"/>
        </w:rPr>
        <w:t>to be issued from the Commission.</w:t>
      </w:r>
    </w:p>
    <w:p w:rsidRPr="007A3DA3" w:rsidR="00F51F8B" w:rsidRDefault="00F51F8B" w14:paraId="65BE5ED4" w14:textId="77777777">
      <w:pPr>
        <w:pStyle w:val="Res-Caption"/>
        <w:rPr>
          <w:rFonts w:eastAsia="Palatino" w:cs="Palatino"/>
        </w:rPr>
      </w:pPr>
    </w:p>
    <w:p w:rsidR="00F51F8B" w:rsidRDefault="00F51F8B" w14:paraId="5348E825" w14:textId="77777777">
      <w:pPr>
        <w:pStyle w:val="Res-Caption"/>
      </w:pPr>
      <w:r w:rsidRPr="00F51F8B">
        <w:t>SAFETY CONSIDERATIONS:</w:t>
      </w:r>
    </w:p>
    <w:p w:rsidRPr="003B28DC" w:rsidR="003B28DC" w:rsidP="0ECC0153" w:rsidRDefault="006146A8" w14:paraId="65346F09" w14:textId="519C587F">
      <w:pPr>
        <w:pStyle w:val="xres-caption"/>
        <w:numPr>
          <w:ilvl w:val="0"/>
          <w:numId w:val="6"/>
        </w:numPr>
        <w:shd w:val="clear" w:color="auto" w:fill="FFFFFF" w:themeFill="background1"/>
        <w:spacing w:before="0" w:beforeAutospacing="0" w:after="0" w:afterAutospacing="0"/>
        <w:ind w:right="720"/>
        <w:rPr>
          <w:rFonts w:ascii="Palatino" w:hAnsi="Palatino" w:cs="Segoe UI"/>
          <w:color w:val="201F1E"/>
          <w:sz w:val="26"/>
          <w:szCs w:val="26"/>
        </w:rPr>
      </w:pPr>
      <w:r>
        <w:rPr>
          <w:rFonts w:ascii="Palatino" w:hAnsi="Palatino" w:cs="Segoe UI"/>
          <w:color w:val="201F1E"/>
          <w:sz w:val="26"/>
          <w:szCs w:val="26"/>
        </w:rPr>
        <w:t xml:space="preserve">The </w:t>
      </w:r>
      <w:r w:rsidRPr="00680B42" w:rsidR="00680B42">
        <w:rPr>
          <w:rFonts w:ascii="Palatino" w:hAnsi="Palatino" w:cs="Segoe UI"/>
          <w:color w:val="201F1E"/>
          <w:sz w:val="26"/>
          <w:szCs w:val="26"/>
        </w:rPr>
        <w:t>Emergency Reliability Engineering, Procurement, Construction, and Maintenance</w:t>
      </w:r>
      <w:r>
        <w:rPr>
          <w:rFonts w:ascii="Palatino" w:hAnsi="Palatino" w:cs="Segoe UI"/>
          <w:color w:val="201F1E"/>
          <w:sz w:val="26"/>
          <w:szCs w:val="26"/>
        </w:rPr>
        <w:t xml:space="preserve"> agreement contains detailed safety provisions.</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003F6E5A" w:rsidP="003F6E5A" w:rsidRDefault="00806781" w14:paraId="044D008F" w14:textId="6A4CF2EE">
      <w:pPr>
        <w:pStyle w:val="Res-Caption"/>
        <w:numPr>
          <w:ilvl w:val="0"/>
          <w:numId w:val="6"/>
        </w:numPr>
      </w:pPr>
      <w:r>
        <w:t>The estimated total cost of this contract is $1.226 billion.</w:t>
      </w:r>
    </w:p>
    <w:p w:rsidR="00CF17DE" w:rsidRDefault="00CF17DE" w14:paraId="414B5F5B" w14:textId="77777777">
      <w:pPr>
        <w:pStyle w:val="Res-Caption"/>
      </w:pPr>
    </w:p>
    <w:p w:rsidR="00CF17DE" w:rsidRDefault="00CF17DE" w14:paraId="0395FC4E" w14:textId="50A4D533">
      <w:pPr>
        <w:pStyle w:val="Res-Caption"/>
      </w:pPr>
      <w:r>
        <w:t xml:space="preserve">By Advice Letter </w:t>
      </w:r>
      <w:r w:rsidR="001407DA">
        <w:t>4617</w:t>
      </w:r>
      <w:r>
        <w:t>-E</w:t>
      </w:r>
      <w:r w:rsidR="003F6E5A">
        <w:t>,</w:t>
      </w:r>
      <w:r>
        <w:t xml:space="preserve"> Filed on </w:t>
      </w:r>
      <w:r w:rsidR="001407DA">
        <w:t>October 21, 2021</w:t>
      </w:r>
      <w:r>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Pr="00A70571" w:rsidR="00CF17DE" w:rsidRDefault="00CF17DE" w14:paraId="2C49E15C" w14:textId="77777777">
      <w:pPr>
        <w:pStyle w:val="Heading1"/>
        <w:rPr>
          <w:rFonts w:ascii="Palatino" w:hAnsi="Palatino"/>
          <w:b w:val="0"/>
          <w:caps w:val="0"/>
          <w:kern w:val="0"/>
          <w:u w:val="none"/>
        </w:rPr>
      </w:pPr>
      <w:r>
        <w:t>Summary</w:t>
      </w:r>
      <w:bookmarkEnd w:id="0"/>
    </w:p>
    <w:p w:rsidR="00CF17DE" w:rsidP="0041215C" w:rsidRDefault="2EBAAE30" w14:paraId="184E396E" w14:textId="5BC3F954">
      <w:pPr>
        <w:rPr>
          <w:rFonts w:eastAsia="Palatino" w:cs="Palatino"/>
        </w:rPr>
      </w:pPr>
      <w:r w:rsidRPr="002D6758">
        <w:rPr>
          <w:rFonts w:eastAsia="Palatino" w:cs="Palatino"/>
          <w:szCs w:val="26"/>
        </w:rPr>
        <w:t xml:space="preserve">The </w:t>
      </w:r>
      <w:r w:rsidRPr="002D6758" w:rsidR="0037786B">
        <w:rPr>
          <w:rFonts w:eastAsia="Palatino" w:cs="Palatino"/>
          <w:szCs w:val="26"/>
        </w:rPr>
        <w:t>Southern California Edison</w:t>
      </w:r>
      <w:r w:rsidRPr="002D6758" w:rsidR="008C5FAC">
        <w:rPr>
          <w:rFonts w:eastAsia="Palatino" w:cs="Palatino"/>
          <w:szCs w:val="26"/>
        </w:rPr>
        <w:t xml:space="preserve"> </w:t>
      </w:r>
      <w:r w:rsidRPr="002D6758" w:rsidR="0037786B">
        <w:rPr>
          <w:rFonts w:eastAsia="Palatino" w:cs="Palatino"/>
          <w:szCs w:val="26"/>
        </w:rPr>
        <w:t>(</w:t>
      </w:r>
      <w:r w:rsidRPr="002D6758" w:rsidR="00EF1D2F">
        <w:rPr>
          <w:rFonts w:eastAsia="Palatino" w:cs="Palatino"/>
          <w:szCs w:val="26"/>
        </w:rPr>
        <w:t>"</w:t>
      </w:r>
      <w:r w:rsidRPr="002D6758" w:rsidR="008C5FAC">
        <w:rPr>
          <w:rFonts w:eastAsia="Palatino" w:cs="Palatino"/>
          <w:szCs w:val="26"/>
        </w:rPr>
        <w:t>SCE</w:t>
      </w:r>
      <w:r w:rsidRPr="002D6758" w:rsidR="00EF1D2F">
        <w:rPr>
          <w:rFonts w:eastAsia="Palatino" w:cs="Palatino"/>
          <w:szCs w:val="26"/>
        </w:rPr>
        <w:t>"</w:t>
      </w:r>
      <w:r w:rsidRPr="002D6758" w:rsidR="0037786B">
        <w:rPr>
          <w:rFonts w:eastAsia="Palatino" w:cs="Palatino"/>
          <w:szCs w:val="26"/>
        </w:rPr>
        <w:t>)</w:t>
      </w:r>
      <w:r w:rsidRPr="002D6758" w:rsidR="008C5FAC">
        <w:rPr>
          <w:rFonts w:eastAsia="Palatino" w:cs="Palatino"/>
          <w:szCs w:val="26"/>
        </w:rPr>
        <w:t xml:space="preserve"> </w:t>
      </w:r>
      <w:r w:rsidRPr="002D6758" w:rsidR="00216E2F">
        <w:rPr>
          <w:rFonts w:eastAsia="Palatino" w:cs="Palatino"/>
          <w:szCs w:val="26"/>
        </w:rPr>
        <w:t xml:space="preserve">Engineering, Procurement, Construction, and Maintenance </w:t>
      </w:r>
      <w:r w:rsidRPr="002D6758" w:rsidR="0037786B">
        <w:rPr>
          <w:rFonts w:eastAsia="Palatino" w:cs="Palatino"/>
          <w:szCs w:val="26"/>
        </w:rPr>
        <w:t>(</w:t>
      </w:r>
      <w:r w:rsidRPr="002D6758" w:rsidR="00EF1D2F">
        <w:rPr>
          <w:rFonts w:eastAsia="Palatino" w:cs="Palatino"/>
          <w:szCs w:val="26"/>
        </w:rPr>
        <w:t>"</w:t>
      </w:r>
      <w:r w:rsidRPr="002D6758" w:rsidR="008C5FAC">
        <w:rPr>
          <w:rFonts w:eastAsia="Palatino" w:cs="Palatino"/>
          <w:szCs w:val="26"/>
        </w:rPr>
        <w:t>EPCM</w:t>
      </w:r>
      <w:r w:rsidRPr="002D6758" w:rsidR="00EF1D2F">
        <w:rPr>
          <w:rFonts w:eastAsia="Palatino" w:cs="Palatino"/>
          <w:szCs w:val="26"/>
        </w:rPr>
        <w:t>"</w:t>
      </w:r>
      <w:r w:rsidRPr="002D6758" w:rsidR="0037786B">
        <w:rPr>
          <w:rFonts w:eastAsia="Palatino" w:cs="Palatino"/>
          <w:szCs w:val="26"/>
        </w:rPr>
        <w:t xml:space="preserve">) </w:t>
      </w:r>
      <w:r w:rsidRPr="002D6758" w:rsidR="008C5FAC">
        <w:rPr>
          <w:rFonts w:eastAsia="Palatino" w:cs="Palatino"/>
          <w:szCs w:val="26"/>
        </w:rPr>
        <w:t>contract with Ameresco, Inc. (</w:t>
      </w:r>
      <w:r w:rsidRPr="002D6758" w:rsidR="00443383">
        <w:rPr>
          <w:rFonts w:eastAsia="Palatino" w:cs="Palatino"/>
          <w:szCs w:val="26"/>
        </w:rPr>
        <w:t>"</w:t>
      </w:r>
      <w:r w:rsidRPr="002D6758" w:rsidR="008C5FAC">
        <w:rPr>
          <w:rFonts w:eastAsia="Palatino" w:cs="Palatino"/>
          <w:szCs w:val="26"/>
        </w:rPr>
        <w:t>AME</w:t>
      </w:r>
      <w:r w:rsidRPr="002D6758" w:rsidR="00443383">
        <w:rPr>
          <w:rFonts w:eastAsia="Palatino" w:cs="Palatino"/>
          <w:szCs w:val="26"/>
        </w:rPr>
        <w:t>"</w:t>
      </w:r>
      <w:r w:rsidRPr="002D6758" w:rsidR="008C5FAC">
        <w:rPr>
          <w:rFonts w:eastAsia="Palatino" w:cs="Palatino"/>
          <w:szCs w:val="26"/>
        </w:rPr>
        <w:t xml:space="preserve">) for the engineering, procurement, construction and maintenance of </w:t>
      </w:r>
      <w:r w:rsidRPr="002D6758" w:rsidR="13AC8AC3">
        <w:rPr>
          <w:rFonts w:eastAsia="Palatino" w:cs="Palatino"/>
          <w:szCs w:val="26"/>
        </w:rPr>
        <w:t>535.7 megawatts (</w:t>
      </w:r>
      <w:r w:rsidRPr="002D6758" w:rsidR="00B35BF3">
        <w:rPr>
          <w:rFonts w:eastAsia="Palatino" w:cs="Palatino"/>
          <w:szCs w:val="26"/>
        </w:rPr>
        <w:t>“</w:t>
      </w:r>
      <w:r w:rsidRPr="002D6758" w:rsidR="13AC8AC3">
        <w:rPr>
          <w:rFonts w:eastAsia="Palatino" w:cs="Palatino"/>
          <w:szCs w:val="26"/>
        </w:rPr>
        <w:t>MW</w:t>
      </w:r>
      <w:r w:rsidRPr="002D6758" w:rsidR="00B35BF3">
        <w:rPr>
          <w:rFonts w:eastAsia="Palatino" w:cs="Palatino"/>
          <w:szCs w:val="26"/>
        </w:rPr>
        <w:t>”</w:t>
      </w:r>
      <w:r w:rsidRPr="002D6758" w:rsidR="13AC8AC3">
        <w:rPr>
          <w:rFonts w:eastAsia="Palatino" w:cs="Palatino"/>
          <w:szCs w:val="26"/>
        </w:rPr>
        <w:t xml:space="preserve">) of </w:t>
      </w:r>
      <w:r w:rsidRPr="002D6758" w:rsidR="07E462C7">
        <w:rPr>
          <w:rFonts w:eastAsia="Palatino" w:cs="Palatino"/>
          <w:szCs w:val="26"/>
        </w:rPr>
        <w:t>energy</w:t>
      </w:r>
      <w:r w:rsidRPr="002D6758" w:rsidR="008C5FAC">
        <w:rPr>
          <w:rFonts w:eastAsia="Palatino" w:cs="Palatino"/>
          <w:szCs w:val="26"/>
        </w:rPr>
        <w:t xml:space="preserve"> storage </w:t>
      </w:r>
      <w:r w:rsidRPr="002D6758" w:rsidR="01D4C5D1">
        <w:rPr>
          <w:rFonts w:eastAsia="Palatino" w:cs="Palatino"/>
          <w:szCs w:val="26"/>
        </w:rPr>
        <w:t xml:space="preserve">to </w:t>
      </w:r>
      <w:r w:rsidRPr="002D6758" w:rsidR="008C5FAC">
        <w:rPr>
          <w:rFonts w:eastAsia="Palatino" w:cs="Palatino"/>
          <w:szCs w:val="26"/>
        </w:rPr>
        <w:t>ad</w:t>
      </w:r>
      <w:r w:rsidR="008C5FAC">
        <w:t xml:space="preserve">dress </w:t>
      </w:r>
      <w:r w:rsidR="00EC5414">
        <w:t xml:space="preserve">summer </w:t>
      </w:r>
      <w:r w:rsidR="008C5FAC">
        <w:t>reliability</w:t>
      </w:r>
      <w:r w:rsidRPr="4D4CA6A1" w:rsidR="008C5FAC">
        <w:rPr>
          <w:rFonts w:eastAsia="Palatino" w:cs="Palatino"/>
        </w:rPr>
        <w:t xml:space="preserve"> </w:t>
      </w:r>
      <w:r w:rsidRPr="4D4CA6A1" w:rsidR="7629F940">
        <w:rPr>
          <w:rFonts w:eastAsia="Palatino" w:cs="Palatino"/>
        </w:rPr>
        <w:t>is approved. This Resolution approves the requested relief in Advice Letter (</w:t>
      </w:r>
      <w:r w:rsidR="00443383">
        <w:rPr>
          <w:rFonts w:eastAsia="Palatino" w:cs="Palatino"/>
        </w:rPr>
        <w:t>"</w:t>
      </w:r>
      <w:r w:rsidRPr="4D4CA6A1" w:rsidR="7629F940">
        <w:rPr>
          <w:rFonts w:eastAsia="Palatino" w:cs="Palatino"/>
        </w:rPr>
        <w:t>AL</w:t>
      </w:r>
      <w:r w:rsidR="00443383">
        <w:rPr>
          <w:rFonts w:eastAsia="Palatino" w:cs="Palatino"/>
        </w:rPr>
        <w:t>"</w:t>
      </w:r>
      <w:r w:rsidRPr="4D4CA6A1" w:rsidR="7629F940">
        <w:rPr>
          <w:rFonts w:eastAsia="Palatino" w:cs="Palatino"/>
        </w:rPr>
        <w:t xml:space="preserve">) 4617-E, with </w:t>
      </w:r>
      <w:r w:rsidR="00CD0B3E">
        <w:rPr>
          <w:rFonts w:eastAsia="Palatino" w:cs="Palatino"/>
        </w:rPr>
        <w:t xml:space="preserve">the </w:t>
      </w:r>
      <w:r w:rsidR="00CD0B3E">
        <w:rPr>
          <w:rFonts w:eastAsia="Palatino" w:cs="Palatino"/>
        </w:rPr>
        <w:lastRenderedPageBreak/>
        <w:t xml:space="preserve">exception that the contract </w:t>
      </w:r>
      <w:r w:rsidR="007B1497">
        <w:rPr>
          <w:rFonts w:eastAsia="Palatino" w:cs="Palatino"/>
        </w:rPr>
        <w:t>capacity</w:t>
      </w:r>
      <w:r w:rsidR="00CD0B3E">
        <w:rPr>
          <w:rFonts w:eastAsia="Palatino" w:cs="Palatino"/>
        </w:rPr>
        <w:t xml:space="preserve"> will not </w:t>
      </w:r>
      <w:r w:rsidR="0002516C">
        <w:rPr>
          <w:rFonts w:eastAsia="Palatino" w:cs="Palatino"/>
        </w:rPr>
        <w:t xml:space="preserve">be </w:t>
      </w:r>
      <w:r w:rsidR="00BB6A21">
        <w:rPr>
          <w:rFonts w:eastAsia="Palatino" w:cs="Palatino"/>
        </w:rPr>
        <w:t xml:space="preserve">applied </w:t>
      </w:r>
      <w:r w:rsidR="0002516C">
        <w:rPr>
          <w:rFonts w:eastAsia="Palatino" w:cs="Palatino"/>
        </w:rPr>
        <w:t>towards load serving entities' Mid-Term Reliability procurement obligations</w:t>
      </w:r>
      <w:r w:rsidR="00BB6A21">
        <w:rPr>
          <w:rFonts w:eastAsia="Palatino" w:cs="Palatino"/>
        </w:rPr>
        <w:t xml:space="preserve"> at this time</w:t>
      </w:r>
      <w:r w:rsidRPr="4D4CA6A1" w:rsidR="7629F940">
        <w:rPr>
          <w:rFonts w:eastAsia="Palatino" w:cs="Palatino"/>
        </w:rPr>
        <w:t>.</w:t>
      </w:r>
    </w:p>
    <w:p w:rsidR="00CF17DE" w:rsidRDefault="00CF17DE" w14:paraId="0BFDDE4C" w14:textId="77777777">
      <w:pPr>
        <w:pStyle w:val="Heading1"/>
      </w:pPr>
      <w:r>
        <w:t>Background</w:t>
      </w:r>
    </w:p>
    <w:p w:rsidR="00DF35CC" w:rsidP="00C760E5" w:rsidRDefault="00C760E5" w14:paraId="7ED5ADC6" w14:textId="3684A9D1">
      <w:r>
        <w:t xml:space="preserve">In </w:t>
      </w:r>
      <w:r w:rsidR="14F55E17">
        <w:t>Decision (</w:t>
      </w:r>
      <w:r w:rsidR="008225B4">
        <w:t>"</w:t>
      </w:r>
      <w:r w:rsidR="5FB0A687">
        <w:t>D.</w:t>
      </w:r>
      <w:r w:rsidR="008225B4">
        <w:t>"</w:t>
      </w:r>
      <w:r w:rsidR="6D3DF593">
        <w:t xml:space="preserve">) </w:t>
      </w:r>
      <w:r>
        <w:t xml:space="preserve">21-02-028, the Commission authorized the </w:t>
      </w:r>
      <w:r w:rsidR="65D9C22C">
        <w:t>i</w:t>
      </w:r>
      <w:r w:rsidR="51D067EA">
        <w:t xml:space="preserve">nvestor </w:t>
      </w:r>
      <w:r w:rsidR="625DC1F3">
        <w:t>o</w:t>
      </w:r>
      <w:r w:rsidR="51D067EA">
        <w:t xml:space="preserve">wned </w:t>
      </w:r>
      <w:r w:rsidR="4C98FAF8">
        <w:t>u</w:t>
      </w:r>
      <w:r w:rsidR="007A3DA3">
        <w:t xml:space="preserve">tilities </w:t>
      </w:r>
      <w:r w:rsidR="51D067EA">
        <w:t>(</w:t>
      </w:r>
      <w:r w:rsidR="00556CC0">
        <w:t>"</w:t>
      </w:r>
      <w:r>
        <w:t>IOUs</w:t>
      </w:r>
      <w:r w:rsidR="00556CC0">
        <w:t>"</w:t>
      </w:r>
      <w:r w:rsidR="1944988E">
        <w:t>)</w:t>
      </w:r>
      <w:r>
        <w:t xml:space="preserve"> to contract for capacity available to serve peak and net peak demand in the summer of 2021 on behalf of all benefitting customers, including incremental energy storage capacity.</w:t>
      </w:r>
      <w:r w:rsidRPr="0EA3B267">
        <w:rPr>
          <w:rStyle w:val="FootnoteReference"/>
        </w:rPr>
        <w:footnoteReference w:id="2"/>
      </w:r>
      <w:r>
        <w:t xml:space="preserve"> The Commission also determined that potential resources may include utility-owned generation, and authorized the IOUs to submit utility-owned generation for summer 2021 through a Tier 2 </w:t>
      </w:r>
      <w:r w:rsidR="308D80CC">
        <w:t>AL</w:t>
      </w:r>
      <w:r>
        <w:t>.</w:t>
      </w:r>
      <w:r w:rsidRPr="0EA3B267">
        <w:rPr>
          <w:rStyle w:val="FootnoteReference"/>
        </w:rPr>
        <w:footnoteReference w:id="3"/>
      </w:r>
    </w:p>
    <w:p w:rsidR="00C760E5" w:rsidP="00C760E5" w:rsidRDefault="00C760E5" w14:paraId="7340A9A5" w14:textId="716D43C5"/>
    <w:p w:rsidR="00C33E24" w:rsidP="0082087B" w:rsidRDefault="00C760E5" w14:paraId="760E4AC8" w14:textId="2E9C26C3">
      <w:r w:rsidRPr="574B20CB">
        <w:t>In March 2021, the Commission issued D.21-03-056 which authorized the IOUs to continue their procurement efforts on behalf of all</w:t>
      </w:r>
      <w:r>
        <w:rPr>
          <w:bCs/>
        </w:rPr>
        <w:t xml:space="preserve"> </w:t>
      </w:r>
      <w:r w:rsidRPr="574B20CB">
        <w:t>benefitting customers by targeting an effective increase in the planning reserve</w:t>
      </w:r>
      <w:r>
        <w:rPr>
          <w:bCs/>
        </w:rPr>
        <w:t xml:space="preserve"> </w:t>
      </w:r>
      <w:r w:rsidRPr="574B20CB">
        <w:t xml:space="preserve">margin </w:t>
      </w:r>
      <w:r w:rsidRPr="00C760E5">
        <w:rPr>
          <w:bCs/>
        </w:rPr>
        <w:t>(</w:t>
      </w:r>
      <w:r w:rsidR="00B43D90">
        <w:rPr>
          <w:bCs/>
        </w:rPr>
        <w:t>"</w:t>
      </w:r>
      <w:r w:rsidRPr="574B20CB">
        <w:t>PRM</w:t>
      </w:r>
      <w:r w:rsidR="00B43D90">
        <w:t>"</w:t>
      </w:r>
      <w:r w:rsidRPr="00C760E5">
        <w:rPr>
          <w:bCs/>
        </w:rPr>
        <w:t>)</w:t>
      </w:r>
      <w:r w:rsidRPr="574B20CB">
        <w:t xml:space="preserve"> from 15 to 17.5</w:t>
      </w:r>
      <w:r w:rsidR="00FE6A98">
        <w:rPr>
          <w:bCs/>
        </w:rPr>
        <w:t>-19</w:t>
      </w:r>
      <w:r w:rsidRPr="574B20CB">
        <w:t xml:space="preserve"> percent for the summers of 2021 and 2022 and</w:t>
      </w:r>
      <w:r>
        <w:rPr>
          <w:bCs/>
        </w:rPr>
        <w:t xml:space="preserve"> </w:t>
      </w:r>
      <w:r w:rsidRPr="574B20CB">
        <w:t>to exceed their respective targets by as much as an additional 50 percent for</w:t>
      </w:r>
      <w:r>
        <w:rPr>
          <w:bCs/>
        </w:rPr>
        <w:t xml:space="preserve"> </w:t>
      </w:r>
      <w:r w:rsidRPr="574B20CB">
        <w:t>incremental supply-side generation and in-front-of-the-meter storage resources.</w:t>
      </w:r>
      <w:r w:rsidRPr="574B20CB" w:rsidR="00FC2965">
        <w:rPr>
          <w:rStyle w:val="FootnoteReference"/>
        </w:rPr>
        <w:footnoteReference w:id="4"/>
      </w:r>
      <w:r w:rsidRPr="574B20CB">
        <w:t xml:space="preserve"> </w:t>
      </w:r>
      <w:r w:rsidRPr="574B20CB" w:rsidR="00C33E24">
        <w:t>The Commission expressed a continuing preference for storage contracts.</w:t>
      </w:r>
      <w:r w:rsidRPr="574B20CB" w:rsidR="00C33E24">
        <w:rPr>
          <w:rStyle w:val="FootnoteReference"/>
        </w:rPr>
        <w:footnoteReference w:id="5"/>
      </w:r>
    </w:p>
    <w:p w:rsidR="00C33E24" w:rsidP="0082087B" w:rsidRDefault="00C33E24" w14:paraId="4AAB4753" w14:textId="77777777"/>
    <w:p w:rsidR="0041215C" w:rsidP="0082087B" w:rsidRDefault="0082087B" w14:paraId="140127E0" w14:textId="66D5965B">
      <w:pPr>
        <w:rPr>
          <w:bCs/>
        </w:rPr>
      </w:pPr>
      <w:r w:rsidRPr="0082087B">
        <w:rPr>
          <w:bCs/>
        </w:rPr>
        <w:t xml:space="preserve">On July 30, 2021, Governor Newsom </w:t>
      </w:r>
      <w:r w:rsidR="61F3D24D">
        <w:t>issued a</w:t>
      </w:r>
      <w:r w:rsidR="36454DBB">
        <w:t xml:space="preserve"> Proclamation of State of Emergency</w:t>
      </w:r>
      <w:r w:rsidR="61F3D24D">
        <w:t xml:space="preserve"> </w:t>
      </w:r>
      <w:r w:rsidR="717083B8">
        <w:t>(</w:t>
      </w:r>
      <w:r w:rsidR="00556CC0">
        <w:t>"</w:t>
      </w:r>
      <w:r w:rsidR="61F3D24D">
        <w:t>Emergency Proclamation</w:t>
      </w:r>
      <w:r w:rsidR="00556CC0">
        <w:t>"</w:t>
      </w:r>
      <w:r w:rsidR="664D335A">
        <w:t>)</w:t>
      </w:r>
      <w:r w:rsidRPr="0082087B">
        <w:rPr>
          <w:bCs/>
        </w:rPr>
        <w:t xml:space="preserve"> due to the increasing effects of climate change and their impact on the</w:t>
      </w:r>
      <w:r w:rsidR="00D50BCD">
        <w:rPr>
          <w:bCs/>
        </w:rPr>
        <w:t xml:space="preserve"> </w:t>
      </w:r>
      <w:r w:rsidRPr="0082087B">
        <w:rPr>
          <w:bCs/>
        </w:rPr>
        <w:t>state’s electric system.</w:t>
      </w:r>
      <w:r w:rsidRPr="0082087B">
        <w:t xml:space="preserve"> </w:t>
      </w:r>
      <w:r>
        <w:t xml:space="preserve">The </w:t>
      </w:r>
      <w:r w:rsidRPr="0082087B">
        <w:rPr>
          <w:bCs/>
        </w:rPr>
        <w:t xml:space="preserve">Emergency Proclamation requests that the </w:t>
      </w:r>
      <w:r w:rsidR="005D1B3C">
        <w:rPr>
          <w:bCs/>
        </w:rPr>
        <w:t>C</w:t>
      </w:r>
      <w:r w:rsidRPr="0082087B">
        <w:rPr>
          <w:bCs/>
        </w:rPr>
        <w:t>ommission “work</w:t>
      </w:r>
      <w:r>
        <w:rPr>
          <w:bCs/>
        </w:rPr>
        <w:t xml:space="preserve"> </w:t>
      </w:r>
      <w:r w:rsidRPr="0082087B">
        <w:rPr>
          <w:bCs/>
        </w:rPr>
        <w:t>with the State's load serving entities on accelerating plans for the construction,</w:t>
      </w:r>
      <w:r>
        <w:rPr>
          <w:bCs/>
        </w:rPr>
        <w:t xml:space="preserve"> </w:t>
      </w:r>
      <w:r w:rsidRPr="0082087B">
        <w:rPr>
          <w:bCs/>
        </w:rPr>
        <w:t>procurement, and rapid deployment of new clean energy and storage projects to</w:t>
      </w:r>
      <w:r>
        <w:rPr>
          <w:bCs/>
        </w:rPr>
        <w:t xml:space="preserve"> </w:t>
      </w:r>
      <w:r w:rsidRPr="0082087B">
        <w:rPr>
          <w:bCs/>
        </w:rPr>
        <w:t>mitigate the risk of capacity shortages and increase the availability of carbon-free</w:t>
      </w:r>
      <w:r>
        <w:rPr>
          <w:bCs/>
        </w:rPr>
        <w:t xml:space="preserve"> </w:t>
      </w:r>
      <w:r w:rsidRPr="0082087B">
        <w:rPr>
          <w:bCs/>
        </w:rPr>
        <w:t>energy at all times of day.</w:t>
      </w:r>
      <w:r>
        <w:rPr>
          <w:bCs/>
        </w:rPr>
        <w:t>"</w:t>
      </w:r>
      <w:r w:rsidRPr="52AB01C1">
        <w:rPr>
          <w:rStyle w:val="FootnoteReference"/>
        </w:rPr>
        <w:footnoteReference w:id="6"/>
      </w:r>
      <w:r>
        <w:rPr>
          <w:bCs/>
        </w:rPr>
        <w:t xml:space="preserve"> It also </w:t>
      </w:r>
      <w:r w:rsidRPr="0082087B">
        <w:rPr>
          <w:bCs/>
        </w:rPr>
        <w:t>requests that the Commission</w:t>
      </w:r>
      <w:r>
        <w:rPr>
          <w:bCs/>
        </w:rPr>
        <w:t xml:space="preserve"> </w:t>
      </w:r>
      <w:r w:rsidRPr="0082087B">
        <w:rPr>
          <w:bCs/>
        </w:rPr>
        <w:t>expedite its actions, “to the maximum extent necessary to meet the purposes and</w:t>
      </w:r>
      <w:r>
        <w:rPr>
          <w:bCs/>
        </w:rPr>
        <w:t xml:space="preserve"> </w:t>
      </w:r>
      <w:r w:rsidRPr="0082087B">
        <w:rPr>
          <w:bCs/>
        </w:rPr>
        <w:t>directives of this proclamation, including by expanding and expediting approval of</w:t>
      </w:r>
      <w:r>
        <w:rPr>
          <w:bCs/>
        </w:rPr>
        <w:t xml:space="preserve"> </w:t>
      </w:r>
      <w:r w:rsidRPr="0082087B">
        <w:rPr>
          <w:bCs/>
        </w:rPr>
        <w:t>demand response programs and storage and clean energy projects, to ensure</w:t>
      </w:r>
      <w:r>
        <w:rPr>
          <w:bCs/>
        </w:rPr>
        <w:t xml:space="preserve"> </w:t>
      </w:r>
      <w:r w:rsidRPr="0082087B">
        <w:rPr>
          <w:bCs/>
        </w:rPr>
        <w:t>that California has a safe and reliable electricity supply through October 31,2021, to reduce strain on the energy infrastructure, and to ensure increased</w:t>
      </w:r>
      <w:r>
        <w:rPr>
          <w:bCs/>
        </w:rPr>
        <w:t xml:space="preserve"> </w:t>
      </w:r>
      <w:r w:rsidRPr="0082087B">
        <w:rPr>
          <w:bCs/>
        </w:rPr>
        <w:t>clean energy capacity by October 31, 2022.”</w:t>
      </w:r>
      <w:r w:rsidRPr="2A4AE3DF">
        <w:rPr>
          <w:rStyle w:val="FootnoteReference"/>
        </w:rPr>
        <w:footnoteReference w:id="7"/>
      </w:r>
    </w:p>
    <w:p w:rsidR="0041215C" w:rsidP="0082087B" w:rsidRDefault="0041215C" w14:paraId="04983AE7" w14:textId="57904C8B">
      <w:pPr>
        <w:rPr>
          <w:rStyle w:val="FootnoteReference"/>
        </w:rPr>
      </w:pPr>
      <w:r>
        <w:rPr>
          <w:bCs/>
        </w:rPr>
        <w:lastRenderedPageBreak/>
        <w:t xml:space="preserve">On September 17, 2021, </w:t>
      </w:r>
      <w:r w:rsidRPr="2A4AE3DF" w:rsidR="64C10033">
        <w:t xml:space="preserve">the Assigned Commissioner in R.20-11-003 issued an </w:t>
      </w:r>
      <w:r w:rsidRPr="2A4AE3DF" w:rsidR="5E05C5CF">
        <w:t>Assigned</w:t>
      </w:r>
      <w:r>
        <w:rPr>
          <w:bCs/>
        </w:rPr>
        <w:t xml:space="preserve"> Commissioner's Ruling</w:t>
      </w:r>
      <w:r w:rsidR="00C2357E">
        <w:rPr>
          <w:bCs/>
        </w:rPr>
        <w:t xml:space="preserve"> (</w:t>
      </w:r>
      <w:r w:rsidR="00197939">
        <w:rPr>
          <w:bCs/>
        </w:rPr>
        <w:t>"</w:t>
      </w:r>
      <w:r w:rsidR="00C2357E">
        <w:rPr>
          <w:bCs/>
        </w:rPr>
        <w:t>ACR</w:t>
      </w:r>
      <w:r w:rsidR="00197939">
        <w:rPr>
          <w:bCs/>
        </w:rPr>
        <w:t>"</w:t>
      </w:r>
      <w:r w:rsidR="00C2357E">
        <w:rPr>
          <w:bCs/>
        </w:rPr>
        <w:t>)</w:t>
      </w:r>
      <w:r>
        <w:rPr>
          <w:bCs/>
        </w:rPr>
        <w:t xml:space="preserve"> to clarify issues regarding utility-owned generation and storage procurement </w:t>
      </w:r>
      <w:r w:rsidR="002C2783">
        <w:rPr>
          <w:bCs/>
        </w:rPr>
        <w:t>in</w:t>
      </w:r>
      <w:r>
        <w:rPr>
          <w:bCs/>
        </w:rPr>
        <w:t xml:space="preserve"> 2022.</w:t>
      </w:r>
      <w:r w:rsidR="002C2783">
        <w:rPr>
          <w:bCs/>
        </w:rPr>
        <w:t xml:space="preserve"> The ruling </w:t>
      </w:r>
      <w:r w:rsidR="007D0B74">
        <w:rPr>
          <w:bCs/>
        </w:rPr>
        <w:t xml:space="preserve">clarified that </w:t>
      </w:r>
      <w:r w:rsidRPr="2A4AE3DF" w:rsidR="6B99933E">
        <w:t>“</w:t>
      </w:r>
      <w:r w:rsidRPr="32053FB0" w:rsidR="6B99933E">
        <w:rPr>
          <w:rFonts w:eastAsia="Palatino" w:cs="Palatino"/>
        </w:rPr>
        <w:t>Decision (D.) 21-02-028 and D.21-03-056, read together, allow utility-owned generation (UOG) and storage procurement for summer 2022, submitted for California Public Utilities Commission approval by a Tier 2 Advice Letter, as long as the investor-owned utilities (IOUs) remain within the parameters set forth in those decisions.”</w:t>
      </w:r>
      <w:r w:rsidR="007D0B74">
        <w:rPr>
          <w:rStyle w:val="FootnoteReference"/>
          <w:bCs/>
        </w:rPr>
        <w:footnoteReference w:id="8"/>
      </w:r>
    </w:p>
    <w:p w:rsidR="00F85A61" w:rsidP="0082087B" w:rsidRDefault="00F85A61" w14:paraId="3E7AFBD5" w14:textId="0D50832A">
      <w:pPr>
        <w:rPr>
          <w:bCs/>
        </w:rPr>
      </w:pPr>
    </w:p>
    <w:p w:rsidR="00F85A61" w:rsidP="00F85A61" w:rsidRDefault="00F85A61" w14:paraId="64C4A05F" w14:textId="2AF61799">
      <w:pPr>
        <w:rPr>
          <w:bCs/>
        </w:rPr>
      </w:pPr>
      <w:r>
        <w:rPr>
          <w:bCs/>
        </w:rPr>
        <w:t xml:space="preserve">On October 21, 2021, SCE submitted </w:t>
      </w:r>
      <w:r w:rsidR="6BB8B6C9">
        <w:t xml:space="preserve">AL </w:t>
      </w:r>
      <w:r w:rsidR="0633B00C">
        <w:t>4617</w:t>
      </w:r>
      <w:r>
        <w:rPr>
          <w:bCs/>
        </w:rPr>
        <w:t xml:space="preserve">-E requesting approval of an </w:t>
      </w:r>
      <w:r w:rsidRPr="00F85A61">
        <w:rPr>
          <w:bCs/>
        </w:rPr>
        <w:t xml:space="preserve">EPCM contract </w:t>
      </w:r>
      <w:r>
        <w:rPr>
          <w:bCs/>
        </w:rPr>
        <w:t xml:space="preserve">with AME for 537.5 MW of </w:t>
      </w:r>
      <w:r w:rsidRPr="00F85A61">
        <w:rPr>
          <w:bCs/>
        </w:rPr>
        <w:t>utility-owned energy storage projects on SCE-owned and operated sites</w:t>
      </w:r>
      <w:r>
        <w:rPr>
          <w:bCs/>
        </w:rPr>
        <w:t xml:space="preserve"> </w:t>
      </w:r>
      <w:r w:rsidRPr="00F85A61">
        <w:rPr>
          <w:bCs/>
        </w:rPr>
        <w:t>to provide incremental capacity available to</w:t>
      </w:r>
      <w:r>
        <w:rPr>
          <w:bCs/>
        </w:rPr>
        <w:t xml:space="preserve"> serve peak or net peak demand to meet summer 2022 reliability needs. The Commercial Operation </w:t>
      </w:r>
      <w:r>
        <w:t xml:space="preserve">Date </w:t>
      </w:r>
      <w:r w:rsidR="4FA9D05B">
        <w:t xml:space="preserve">of the proposed projects </w:t>
      </w:r>
      <w:r w:rsidR="5AF75B22">
        <w:t xml:space="preserve">is </w:t>
      </w:r>
      <w:r w:rsidR="0633B00C">
        <w:t>August</w:t>
      </w:r>
      <w:r>
        <w:rPr>
          <w:bCs/>
        </w:rPr>
        <w:t xml:space="preserve"> 1, 2022. </w:t>
      </w:r>
      <w:r w:rsidR="497FAF91">
        <w:t xml:space="preserve">The </w:t>
      </w:r>
      <w:r w:rsidR="58C7CC98">
        <w:t>p</w:t>
      </w:r>
      <w:r w:rsidR="0633B00C">
        <w:t>rojects</w:t>
      </w:r>
      <w:r>
        <w:rPr>
          <w:bCs/>
        </w:rPr>
        <w:t xml:space="preserve"> are to be sited at three </w:t>
      </w:r>
      <w:r w:rsidR="00C85DD8">
        <w:rPr>
          <w:bCs/>
        </w:rPr>
        <w:t xml:space="preserve">SCE </w:t>
      </w:r>
      <w:r>
        <w:rPr>
          <w:bCs/>
        </w:rPr>
        <w:t>substations</w:t>
      </w:r>
      <w:r w:rsidR="00AF5BEF">
        <w:rPr>
          <w:bCs/>
        </w:rPr>
        <w:t>:</w:t>
      </w:r>
      <w:r>
        <w:rPr>
          <w:bCs/>
        </w:rPr>
        <w:t xml:space="preserve"> 225 MW at Springvale Substation in t</w:t>
      </w:r>
      <w:r w:rsidR="005B4A73">
        <w:rPr>
          <w:bCs/>
        </w:rPr>
        <w:t xml:space="preserve">he </w:t>
      </w:r>
      <w:r>
        <w:rPr>
          <w:bCs/>
        </w:rPr>
        <w:t>Big Creek-Ventura local area, 200 MW at Hinson Substation in the LA Basin</w:t>
      </w:r>
      <w:r w:rsidR="005B4A73">
        <w:rPr>
          <w:bCs/>
        </w:rPr>
        <w:t xml:space="preserve"> local area (Western), and 112.5 MW at Etiwanda Substation in the LA Basin local area (Eastern). The estimated total cost of the </w:t>
      </w:r>
      <w:r w:rsidR="005B4A73">
        <w:t>project</w:t>
      </w:r>
      <w:r w:rsidR="66C004EE">
        <w:t>s</w:t>
      </w:r>
      <w:r w:rsidR="005B4A73">
        <w:rPr>
          <w:bCs/>
        </w:rPr>
        <w:t xml:space="preserve"> is </w:t>
      </w:r>
      <w:r w:rsidR="00630522">
        <w:rPr>
          <w:bCs/>
        </w:rPr>
        <w:br/>
      </w:r>
      <w:r w:rsidR="005B4A73">
        <w:rPr>
          <w:bCs/>
        </w:rPr>
        <w:t>$1.226 billion.</w:t>
      </w:r>
    </w:p>
    <w:p w:rsidR="005B4A73" w:rsidP="00F85A61" w:rsidRDefault="005B4A73" w14:paraId="4C12C2ED" w14:textId="72B36682">
      <w:pPr>
        <w:rPr>
          <w:bCs/>
        </w:rPr>
      </w:pPr>
    </w:p>
    <w:p w:rsidR="003D60FF" w:rsidP="00F85A61" w:rsidRDefault="003D60FF" w14:paraId="67708E86" w14:textId="3DF409B2">
      <w:pPr>
        <w:rPr>
          <w:bCs/>
        </w:rPr>
      </w:pPr>
      <w:r>
        <w:rPr>
          <w:bCs/>
        </w:rPr>
        <w:t>The EPCM contract was selected through a compet</w:t>
      </w:r>
      <w:r w:rsidR="00E03B8A">
        <w:rPr>
          <w:bCs/>
        </w:rPr>
        <w:t>it</w:t>
      </w:r>
      <w:r>
        <w:rPr>
          <w:bCs/>
        </w:rPr>
        <w:t>ive</w:t>
      </w:r>
      <w:r w:rsidR="00E03B8A">
        <w:rPr>
          <w:bCs/>
        </w:rPr>
        <w:t xml:space="preserve"> procurement process</w:t>
      </w:r>
      <w:r w:rsidR="00887304">
        <w:rPr>
          <w:bCs/>
        </w:rPr>
        <w:t xml:space="preserve"> </w:t>
      </w:r>
      <w:r w:rsidR="0018621E">
        <w:rPr>
          <w:bCs/>
        </w:rPr>
        <w:t xml:space="preserve">conducted between August 25 and </w:t>
      </w:r>
      <w:r w:rsidR="006210D4">
        <w:rPr>
          <w:bCs/>
        </w:rPr>
        <w:t>October 20, 2021 and</w:t>
      </w:r>
      <w:r w:rsidR="0018621E">
        <w:rPr>
          <w:bCs/>
        </w:rPr>
        <w:t xml:space="preserve"> </w:t>
      </w:r>
      <w:r w:rsidR="00887304">
        <w:rPr>
          <w:bCs/>
        </w:rPr>
        <w:t>overseen by an independent evaluator</w:t>
      </w:r>
      <w:r w:rsidR="407B74FA">
        <w:t xml:space="preserve"> (</w:t>
      </w:r>
      <w:r w:rsidR="00CF3F52">
        <w:t>"</w:t>
      </w:r>
      <w:r w:rsidR="407B74FA">
        <w:t>IE</w:t>
      </w:r>
      <w:r w:rsidR="00CF3F52">
        <w:t>"</w:t>
      </w:r>
      <w:r w:rsidR="407B74FA">
        <w:t>)</w:t>
      </w:r>
      <w:r w:rsidR="00887304">
        <w:t>.</w:t>
      </w:r>
      <w:r w:rsidR="00887304">
        <w:rPr>
          <w:bCs/>
        </w:rPr>
        <w:t xml:space="preserve"> </w:t>
      </w:r>
      <w:r w:rsidR="00AA08D0">
        <w:rPr>
          <w:bCs/>
        </w:rPr>
        <w:t xml:space="preserve">SCE states that it </w:t>
      </w:r>
      <w:r w:rsidR="000460C8">
        <w:rPr>
          <w:bCs/>
        </w:rPr>
        <w:t>considered project conformity and viability and used least-cost, best-fit principles in the evaluation process.</w:t>
      </w:r>
      <w:r w:rsidR="006F1651">
        <w:rPr>
          <w:bCs/>
        </w:rPr>
        <w:t xml:space="preserve"> </w:t>
      </w:r>
      <w:r w:rsidR="00630522">
        <w:rPr>
          <w:bCs/>
        </w:rPr>
        <w:br/>
      </w:r>
      <w:r w:rsidR="006F1651">
        <w:rPr>
          <w:bCs/>
        </w:rPr>
        <w:t>In addition to</w:t>
      </w:r>
      <w:r w:rsidR="00F65DFE">
        <w:rPr>
          <w:bCs/>
        </w:rPr>
        <w:t xml:space="preserve"> </w:t>
      </w:r>
      <w:r w:rsidR="00100EB7">
        <w:rPr>
          <w:bCs/>
        </w:rPr>
        <w:t xml:space="preserve">the </w:t>
      </w:r>
      <w:r w:rsidR="006F1651">
        <w:rPr>
          <w:bCs/>
        </w:rPr>
        <w:t>costs</w:t>
      </w:r>
      <w:r w:rsidR="00F65DFE">
        <w:rPr>
          <w:bCs/>
        </w:rPr>
        <w:t xml:space="preserve"> of development, maintenance, </w:t>
      </w:r>
      <w:r w:rsidR="00100EB7">
        <w:rPr>
          <w:bCs/>
        </w:rPr>
        <w:t>interconnection, station power, demand charge and project development</w:t>
      </w:r>
      <w:r w:rsidR="006F1651">
        <w:rPr>
          <w:bCs/>
        </w:rPr>
        <w:t xml:space="preserve">, SCE considered capacity benefits, </w:t>
      </w:r>
      <w:r w:rsidR="00856096">
        <w:rPr>
          <w:bCs/>
        </w:rPr>
        <w:t>energy benefits, ancillary service value benefits, residual value</w:t>
      </w:r>
      <w:r w:rsidR="008357C0">
        <w:rPr>
          <w:bCs/>
        </w:rPr>
        <w:t xml:space="preserve"> when evaluating proposals.</w:t>
      </w:r>
    </w:p>
    <w:p w:rsidR="003D60FF" w:rsidP="00F85A61" w:rsidRDefault="003D60FF" w14:paraId="1C6FAAAE" w14:textId="77777777">
      <w:pPr>
        <w:rPr>
          <w:bCs/>
        </w:rPr>
      </w:pPr>
    </w:p>
    <w:p w:rsidR="005B4A73" w:rsidP="00F85A61" w:rsidRDefault="00F65515" w14:paraId="73D4DE14" w14:textId="3D4489E8">
      <w:r>
        <w:t xml:space="preserve">SCE </w:t>
      </w:r>
      <w:r w:rsidR="000D507D">
        <w:t>plans to initially operate the storage resources as distribution assets interconnected to non-</w:t>
      </w:r>
      <w:r w:rsidR="00524967">
        <w:t xml:space="preserve">California Independent System Operator </w:t>
      </w:r>
      <w:r w:rsidR="00527F16">
        <w:t>("</w:t>
      </w:r>
      <w:r w:rsidR="000D507D">
        <w:t>CAISO</w:t>
      </w:r>
      <w:r w:rsidR="00527F16">
        <w:t>")</w:t>
      </w:r>
      <w:r w:rsidR="000D507D">
        <w:t>-controlled facilities.</w:t>
      </w:r>
      <w:r w:rsidR="415ED128">
        <w:t xml:space="preserve"> </w:t>
      </w:r>
      <w:r w:rsidR="6C74D860">
        <w:t xml:space="preserve">SCE notes that it will connect the projects at </w:t>
      </w:r>
      <w:r w:rsidR="0D4E629F">
        <w:t>existing</w:t>
      </w:r>
      <w:r w:rsidR="6BFBB111">
        <w:t xml:space="preserve"> substations to 66 kV sub-transmission systems considered local distribution by </w:t>
      </w:r>
      <w:r w:rsidR="009A5F9F">
        <w:t xml:space="preserve">the Federal Energy </w:t>
      </w:r>
      <w:r w:rsidR="004B601F">
        <w:t>Regulatory Commission (</w:t>
      </w:r>
      <w:r w:rsidR="00205E9D">
        <w:t>"</w:t>
      </w:r>
      <w:r w:rsidR="6BFBB111">
        <w:t>FERC</w:t>
      </w:r>
      <w:r w:rsidR="00205E9D">
        <w:t>"</w:t>
      </w:r>
      <w:r w:rsidR="004B601F">
        <w:t>)</w:t>
      </w:r>
      <w:r w:rsidR="6BFBB111">
        <w:t xml:space="preserve"> and CAISO. For the first five years of</w:t>
      </w:r>
      <w:r w:rsidR="4F9D87A6">
        <w:t xml:space="preserve"> </w:t>
      </w:r>
      <w:r w:rsidR="6BFBB111">
        <w:t xml:space="preserve">operations, the </w:t>
      </w:r>
      <w:r w:rsidR="00B60962">
        <w:t>Utility-Owned Storage (</w:t>
      </w:r>
      <w:r w:rsidR="00205E9D">
        <w:t>"</w:t>
      </w:r>
      <w:r w:rsidR="6BFBB111">
        <w:t>UOS</w:t>
      </w:r>
      <w:r w:rsidR="00205E9D">
        <w:t>"</w:t>
      </w:r>
      <w:r w:rsidR="00B60962">
        <w:t>)</w:t>
      </w:r>
      <w:r w:rsidR="6BFBB111">
        <w:t xml:space="preserve"> </w:t>
      </w:r>
      <w:r w:rsidR="007A4B35">
        <w:t xml:space="preserve">projects </w:t>
      </w:r>
      <w:r w:rsidR="6BFBB111">
        <w:t xml:space="preserve">will not </w:t>
      </w:r>
      <w:r w:rsidR="6764ECB0">
        <w:lastRenderedPageBreak/>
        <w:t>participat</w:t>
      </w:r>
      <w:r w:rsidR="1A10DAAB">
        <w:t xml:space="preserve">e </w:t>
      </w:r>
      <w:r w:rsidR="6764ECB0">
        <w:t>in</w:t>
      </w:r>
      <w:r w:rsidR="6BFBB111">
        <w:t xml:space="preserve"> the CAISO market</w:t>
      </w:r>
      <w:r w:rsidR="6764ECB0">
        <w:t>.</w:t>
      </w:r>
      <w:r w:rsidR="6BFBB111">
        <w:t xml:space="preserve"> </w:t>
      </w:r>
      <w:r w:rsidR="3B407B5A">
        <w:t>“</w:t>
      </w:r>
      <w:r w:rsidR="6BFBB111">
        <w:t>Instead, the UOS Projects will operate as a load modifying resource that will be responsive to system-wide grid conditions helping to address the emergency, while also functioning similarly to other SCE distribution assets to manage local distribution system conditions and will operate in accordance with grid conditions and reliability needs.</w:t>
      </w:r>
      <w:r w:rsidR="6D3B1CFF">
        <w:t>”</w:t>
      </w:r>
      <w:r w:rsidR="6BFBB111">
        <w:t xml:space="preserve"> </w:t>
      </w:r>
      <w:r w:rsidR="37EB4288">
        <w:t>SCE further explains that</w:t>
      </w:r>
      <w:r w:rsidR="4E812C96">
        <w:t>,</w:t>
      </w:r>
      <w:r w:rsidR="37EB4288">
        <w:t xml:space="preserve"> after this initial operation period</w:t>
      </w:r>
      <w:r w:rsidR="26508619">
        <w:t xml:space="preserve"> </w:t>
      </w:r>
      <w:r w:rsidR="37EB4288">
        <w:t>(expected to be five years from the start of operations)</w:t>
      </w:r>
      <w:r w:rsidR="2C81F810">
        <w:t>,</w:t>
      </w:r>
      <w:r w:rsidR="1D0CB860">
        <w:t xml:space="preserve"> SCE</w:t>
      </w:r>
      <w:r w:rsidR="26508619">
        <w:t xml:space="preserve"> </w:t>
      </w:r>
      <w:r w:rsidR="4D41C0A8">
        <w:t xml:space="preserve">will </w:t>
      </w:r>
      <w:r w:rsidR="5CA39F55">
        <w:t>transition</w:t>
      </w:r>
      <w:r w:rsidR="4D41C0A8">
        <w:t xml:space="preserve"> the UOS </w:t>
      </w:r>
      <w:r w:rsidR="1F48DACE">
        <w:t>p</w:t>
      </w:r>
      <w:r w:rsidR="1D0CB860">
        <w:t>rojects</w:t>
      </w:r>
      <w:r w:rsidR="26508619">
        <w:t xml:space="preserve"> from distribution </w:t>
      </w:r>
      <w:r w:rsidR="1D0CB860">
        <w:t>asset</w:t>
      </w:r>
      <w:r w:rsidR="60C86BFE">
        <w:t>s</w:t>
      </w:r>
      <w:r w:rsidR="598D1B48">
        <w:t xml:space="preserve"> to resources</w:t>
      </w:r>
      <w:r w:rsidR="26508619">
        <w:t xml:space="preserve"> that </w:t>
      </w:r>
      <w:r w:rsidR="1D0CB860">
        <w:t>participate</w:t>
      </w:r>
      <w:r w:rsidR="26508619">
        <w:t xml:space="preserve"> in the wholesale market</w:t>
      </w:r>
      <w:r w:rsidR="0D1B5D0C">
        <w:t xml:space="preserve">. To </w:t>
      </w:r>
      <w:r w:rsidR="6746A52E">
        <w:t>transition</w:t>
      </w:r>
      <w:r w:rsidR="0D1B5D0C">
        <w:t xml:space="preserve"> the UOS projects</w:t>
      </w:r>
      <w:r w:rsidR="00963CCF">
        <w:t>,</w:t>
      </w:r>
      <w:r w:rsidR="0D1B5D0C">
        <w:t xml:space="preserve"> SCE </w:t>
      </w:r>
      <w:r w:rsidR="26508619">
        <w:t>will submit an interconnection request to do so pursuant to the</w:t>
      </w:r>
      <w:r w:rsidR="1F72B8CB">
        <w:t xml:space="preserve"> Wholesale Distribution Access Tariff (</w:t>
      </w:r>
      <w:r w:rsidR="00205E9D">
        <w:t>"</w:t>
      </w:r>
      <w:r w:rsidR="1F72B8CB">
        <w:t>WDAT</w:t>
      </w:r>
      <w:r w:rsidR="00205E9D">
        <w:t>"</w:t>
      </w:r>
      <w:r w:rsidR="08066DC7">
        <w:t>)</w:t>
      </w:r>
      <w:r w:rsidR="212FEE10">
        <w:t xml:space="preserve"> and </w:t>
      </w:r>
      <w:r w:rsidR="26508619">
        <w:t>thereafter proceed through the interconnection process like any other</w:t>
      </w:r>
      <w:r w:rsidR="4331A3C4">
        <w:t xml:space="preserve"> </w:t>
      </w:r>
      <w:r w:rsidR="26508619">
        <w:t>Customer.</w:t>
      </w:r>
    </w:p>
    <w:p w:rsidR="005B4A73" w:rsidP="73C1BDFC" w:rsidRDefault="005B4A73" w14:paraId="23AE40C9" w14:textId="380ED7CE">
      <w:pPr>
        <w:rPr>
          <w:szCs w:val="26"/>
        </w:rPr>
      </w:pPr>
    </w:p>
    <w:p w:rsidR="005B4A73" w:rsidP="00F85A61" w:rsidRDefault="000D507D" w14:paraId="7BC700E2" w14:textId="245DAFE9">
      <w:pPr>
        <w:rPr>
          <w:bCs/>
        </w:rPr>
      </w:pPr>
      <w:r w:rsidRPr="006309CF">
        <w:rPr>
          <w:bCs/>
        </w:rPr>
        <w:t xml:space="preserve">During </w:t>
      </w:r>
      <w:r w:rsidR="0E4433CE">
        <w:t>th</w:t>
      </w:r>
      <w:r w:rsidR="40ABFEC9">
        <w:t>e initial</w:t>
      </w:r>
      <w:r w:rsidRPr="006309CF">
        <w:rPr>
          <w:bCs/>
        </w:rPr>
        <w:t xml:space="preserve"> period,</w:t>
      </w:r>
      <w:r w:rsidR="2BDF1A66">
        <w:t xml:space="preserve"> in which the UOS projects will be operated as distribution assets,</w:t>
      </w:r>
      <w:r w:rsidRPr="006309CF">
        <w:rPr>
          <w:bCs/>
        </w:rPr>
        <w:t xml:space="preserve"> SCE proposes to recover the revenue requirement associated with the utility-owned storage and independent evaluator from all benefitting customers in its service area on a non-</w:t>
      </w:r>
      <w:r w:rsidRPr="006309CF" w:rsidR="001A5115">
        <w:rPr>
          <w:bCs/>
        </w:rPr>
        <w:t>bypassable</w:t>
      </w:r>
      <w:r w:rsidRPr="006309CF">
        <w:rPr>
          <w:bCs/>
        </w:rPr>
        <w:t xml:space="preserve"> basis through distribution charges.</w:t>
      </w:r>
      <w:r w:rsidRPr="006309CF" w:rsidR="006309CF">
        <w:rPr>
          <w:bCs/>
        </w:rPr>
        <w:t xml:space="preserve"> During this period, SCE states that the energy benefits of the storage will be recorded to the Energy Resource Recovery Account (</w:t>
      </w:r>
      <w:r w:rsidR="00205E9D">
        <w:rPr>
          <w:bCs/>
        </w:rPr>
        <w:t>"</w:t>
      </w:r>
      <w:r w:rsidRPr="006309CF" w:rsidR="006309CF">
        <w:rPr>
          <w:bCs/>
        </w:rPr>
        <w:t>ERRA</w:t>
      </w:r>
      <w:r w:rsidR="00205E9D">
        <w:rPr>
          <w:bCs/>
        </w:rPr>
        <w:t>"</w:t>
      </w:r>
      <w:r w:rsidRPr="006309CF" w:rsidR="006309CF">
        <w:rPr>
          <w:bCs/>
        </w:rPr>
        <w:t>) balancing account. To ensure that these benefits are allocated to all benefitting customers, SCE intends to debit the ERRA balancing account and credit the distribution subaccount of the Base Revenue Requirement Balancing Account (</w:t>
      </w:r>
      <w:r w:rsidR="00205E9D">
        <w:rPr>
          <w:bCs/>
        </w:rPr>
        <w:t>"</w:t>
      </w:r>
      <w:r w:rsidRPr="006309CF" w:rsidR="006309CF">
        <w:rPr>
          <w:bCs/>
        </w:rPr>
        <w:t>BRRBA-D</w:t>
      </w:r>
      <w:r w:rsidR="00205E9D">
        <w:rPr>
          <w:bCs/>
        </w:rPr>
        <w:t>"</w:t>
      </w:r>
      <w:r w:rsidRPr="006309CF" w:rsidR="006309CF">
        <w:rPr>
          <w:bCs/>
        </w:rPr>
        <w:t>).</w:t>
      </w:r>
      <w:r w:rsidRPr="0FE35CB5" w:rsidR="00F65515">
        <w:rPr>
          <w:rStyle w:val="FootnoteReference"/>
        </w:rPr>
        <w:footnoteReference w:id="9"/>
      </w:r>
      <w:r w:rsidR="00F10ED1">
        <w:rPr>
          <w:bCs/>
        </w:rPr>
        <w:t xml:space="preserve"> </w:t>
      </w:r>
    </w:p>
    <w:p w:rsidR="006309CF" w:rsidP="00F85A61" w:rsidRDefault="006309CF" w14:paraId="1A7892C3" w14:textId="1EA2F352">
      <w:pPr>
        <w:rPr>
          <w:bCs/>
        </w:rPr>
      </w:pPr>
    </w:p>
    <w:p w:rsidR="006309CF" w:rsidP="00F85A61" w:rsidRDefault="18DB3BAE" w14:paraId="6C5D5845" w14:textId="7CE462EC">
      <w:pPr>
        <w:rPr>
          <w:bCs/>
        </w:rPr>
      </w:pPr>
      <w:r>
        <w:t>Once the</w:t>
      </w:r>
      <w:r w:rsidR="3F0609FC">
        <w:t xml:space="preserve"> UOS projects </w:t>
      </w:r>
      <w:r w:rsidR="001A5115">
        <w:t>can</w:t>
      </w:r>
      <w:r w:rsidR="3F0609FC">
        <w:t xml:space="preserve"> </w:t>
      </w:r>
      <w:r w:rsidR="006309CF">
        <w:rPr>
          <w:bCs/>
        </w:rPr>
        <w:t xml:space="preserve">participate in the wholesale market and receive </w:t>
      </w:r>
      <w:r w:rsidR="48C95FA7">
        <w:t>supply side</w:t>
      </w:r>
      <w:r w:rsidR="2DA7654A">
        <w:t xml:space="preserve"> </w:t>
      </w:r>
      <w:r w:rsidR="006309CF">
        <w:rPr>
          <w:bCs/>
        </w:rPr>
        <w:t>resource adequacy credit</w:t>
      </w:r>
      <w:r w:rsidR="78D14546">
        <w:t xml:space="preserve">, </w:t>
      </w:r>
      <w:r w:rsidR="005F0148">
        <w:rPr>
          <w:bCs/>
        </w:rPr>
        <w:t xml:space="preserve">SCE proposes to allocate the costs and benefits using the </w:t>
      </w:r>
      <w:r w:rsidR="00F36630">
        <w:rPr>
          <w:bCs/>
        </w:rPr>
        <w:t>C</w:t>
      </w:r>
      <w:r w:rsidR="005F0148">
        <w:rPr>
          <w:bCs/>
        </w:rPr>
        <w:t xml:space="preserve">ost </w:t>
      </w:r>
      <w:r w:rsidR="00F36630">
        <w:rPr>
          <w:bCs/>
        </w:rPr>
        <w:t>A</w:t>
      </w:r>
      <w:r w:rsidR="005F0148">
        <w:rPr>
          <w:bCs/>
        </w:rPr>
        <w:t xml:space="preserve">llocation </w:t>
      </w:r>
      <w:r w:rsidR="00F36630">
        <w:rPr>
          <w:bCs/>
        </w:rPr>
        <w:t>M</w:t>
      </w:r>
      <w:r w:rsidR="005F0148">
        <w:rPr>
          <w:bCs/>
        </w:rPr>
        <w:t>echanism (</w:t>
      </w:r>
      <w:r w:rsidR="009E65E2">
        <w:rPr>
          <w:bCs/>
        </w:rPr>
        <w:t>"</w:t>
      </w:r>
      <w:r w:rsidR="005F0148">
        <w:rPr>
          <w:bCs/>
        </w:rPr>
        <w:t>CAM</w:t>
      </w:r>
      <w:r w:rsidR="009E65E2">
        <w:rPr>
          <w:bCs/>
        </w:rPr>
        <w:t>"</w:t>
      </w:r>
      <w:r w:rsidR="005F0148">
        <w:rPr>
          <w:bCs/>
        </w:rPr>
        <w:t xml:space="preserve">) which is recovered through </w:t>
      </w:r>
      <w:r w:rsidR="003F186F">
        <w:rPr>
          <w:bCs/>
        </w:rPr>
        <w:t>the</w:t>
      </w:r>
      <w:r w:rsidR="005F0148">
        <w:rPr>
          <w:bCs/>
        </w:rPr>
        <w:t xml:space="preserve"> New System Generation </w:t>
      </w:r>
      <w:r w:rsidR="5DC9C756">
        <w:t>Balancing Account</w:t>
      </w:r>
      <w:r w:rsidR="06E3E565">
        <w:t xml:space="preserve"> </w:t>
      </w:r>
      <w:r w:rsidR="00595456">
        <w:t>(</w:t>
      </w:r>
      <w:r w:rsidR="00205E9D">
        <w:t>"</w:t>
      </w:r>
      <w:r w:rsidR="00595456">
        <w:t>NSGBA</w:t>
      </w:r>
      <w:r w:rsidR="00205E9D">
        <w:t>"</w:t>
      </w:r>
      <w:r w:rsidR="00595456">
        <w:t>).</w:t>
      </w:r>
      <w:r w:rsidRPr="2DFCB573" w:rsidR="006309CF">
        <w:rPr>
          <w:rStyle w:val="FootnoteReference"/>
        </w:rPr>
        <w:footnoteReference w:id="10"/>
      </w:r>
    </w:p>
    <w:p w:rsidR="005F0148" w:rsidP="00F85A61" w:rsidRDefault="005F0148" w14:paraId="4230C827" w14:textId="647B4E8B">
      <w:pPr>
        <w:rPr>
          <w:bCs/>
        </w:rPr>
      </w:pPr>
    </w:p>
    <w:p w:rsidR="005F0148" w:rsidP="00F85A61" w:rsidRDefault="005F0148" w14:paraId="6981042F" w14:textId="08B2BA04">
      <w:pPr>
        <w:rPr>
          <w:bCs/>
        </w:rPr>
      </w:pPr>
      <w:r>
        <w:rPr>
          <w:bCs/>
        </w:rPr>
        <w:t>SCE proposes to establish the Emergency Reliability Energy Storage Balancing Account (</w:t>
      </w:r>
      <w:r w:rsidR="009E65E2">
        <w:rPr>
          <w:bCs/>
        </w:rPr>
        <w:t>"</w:t>
      </w:r>
      <w:r>
        <w:rPr>
          <w:bCs/>
        </w:rPr>
        <w:t>ERESBA</w:t>
      </w:r>
      <w:r w:rsidR="009E65E2">
        <w:rPr>
          <w:bCs/>
        </w:rPr>
        <w:t>"</w:t>
      </w:r>
      <w:r>
        <w:rPr>
          <w:bCs/>
        </w:rPr>
        <w:t xml:space="preserve">) to record the actual revenue requirements associated with the utility-owned storage costs. The balance in the ERESBA will transfer on a </w:t>
      </w:r>
      <w:r>
        <w:rPr>
          <w:bCs/>
        </w:rPr>
        <w:lastRenderedPageBreak/>
        <w:t>monthly basis to the BRRBA-D during the period when the resources are interconnected to no</w:t>
      </w:r>
      <w:r w:rsidR="001D6AC0">
        <w:rPr>
          <w:bCs/>
        </w:rPr>
        <w:t>n</w:t>
      </w:r>
      <w:r>
        <w:rPr>
          <w:bCs/>
        </w:rPr>
        <w:t>-CAISO-controlled facilities and operating as distribution assets. Once the projects become RA-eligible, the balance in the ERESBA will transfer monthly to the NSGBA via the CAM.</w:t>
      </w:r>
    </w:p>
    <w:p w:rsidR="006163B5" w:rsidP="00F85A61" w:rsidRDefault="006163B5" w14:paraId="6A394CF5" w14:textId="334A450C">
      <w:pPr>
        <w:rPr>
          <w:bCs/>
        </w:rPr>
      </w:pPr>
    </w:p>
    <w:p w:rsidR="006163B5" w:rsidP="000D024C" w:rsidRDefault="004D756A" w14:paraId="4347A25E" w14:textId="648D8A22">
      <w:pPr>
        <w:rPr>
          <w:bCs/>
        </w:rPr>
      </w:pPr>
      <w:r>
        <w:rPr>
          <w:bCs/>
        </w:rPr>
        <w:t xml:space="preserve">SCE </w:t>
      </w:r>
      <w:r w:rsidR="00AF5E36">
        <w:rPr>
          <w:bCs/>
        </w:rPr>
        <w:t xml:space="preserve">states that </w:t>
      </w:r>
      <w:r w:rsidR="00AF5BEF">
        <w:rPr>
          <w:bCs/>
        </w:rPr>
        <w:t xml:space="preserve">the </w:t>
      </w:r>
      <w:r w:rsidR="004975B6">
        <w:rPr>
          <w:bCs/>
        </w:rPr>
        <w:t>Commission</w:t>
      </w:r>
      <w:r w:rsidR="00AF5BEF">
        <w:rPr>
          <w:bCs/>
        </w:rPr>
        <w:t xml:space="preserve">'s </w:t>
      </w:r>
      <w:r w:rsidR="004975B6">
        <w:rPr>
          <w:bCs/>
        </w:rPr>
        <w:t>General Order</w:t>
      </w:r>
      <w:r w:rsidR="000F6227">
        <w:rPr>
          <w:bCs/>
        </w:rPr>
        <w:t xml:space="preserve"> (</w:t>
      </w:r>
      <w:r w:rsidR="00205E9D">
        <w:rPr>
          <w:bCs/>
        </w:rPr>
        <w:t>"</w:t>
      </w:r>
      <w:r w:rsidR="000F6227">
        <w:rPr>
          <w:bCs/>
        </w:rPr>
        <w:t>GO</w:t>
      </w:r>
      <w:r w:rsidR="00205E9D">
        <w:rPr>
          <w:bCs/>
        </w:rPr>
        <w:t>"</w:t>
      </w:r>
      <w:r w:rsidR="000F6227">
        <w:rPr>
          <w:bCs/>
        </w:rPr>
        <w:t>)</w:t>
      </w:r>
      <w:r w:rsidR="004975B6">
        <w:rPr>
          <w:bCs/>
        </w:rPr>
        <w:t xml:space="preserve"> 131-D governs the permitting of certain electrical facilities but is silent regarding utility-owned storage projects. </w:t>
      </w:r>
      <w:r w:rsidR="000F6227">
        <w:rPr>
          <w:bCs/>
        </w:rPr>
        <w:t>Given the lack of guidance from GO 131-D and t</w:t>
      </w:r>
      <w:r w:rsidR="00AE34A4">
        <w:rPr>
          <w:bCs/>
        </w:rPr>
        <w:t xml:space="preserve">he fact that the </w:t>
      </w:r>
      <w:r w:rsidR="00C67BCD">
        <w:rPr>
          <w:bCs/>
        </w:rPr>
        <w:t xml:space="preserve">UOS projects are being built in response to the Commission's Summer Reliability decisions, </w:t>
      </w:r>
      <w:r w:rsidR="00D76E46">
        <w:rPr>
          <w:bCs/>
        </w:rPr>
        <w:t>the ACR</w:t>
      </w:r>
      <w:r w:rsidR="54C5E258">
        <w:t>,</w:t>
      </w:r>
      <w:r w:rsidR="00D76E46">
        <w:rPr>
          <w:bCs/>
        </w:rPr>
        <w:t xml:space="preserve"> and the Governor's Emergency Proclamation, SCE asserts that the projects are statutorily exempt from </w:t>
      </w:r>
      <w:r w:rsidRPr="00035F48" w:rsidR="00035F48">
        <w:rPr>
          <w:bCs/>
        </w:rPr>
        <w:t>GO 131-D compliance pursuant to GO 131-D, Section III.B.1.h,</w:t>
      </w:r>
      <w:r w:rsidR="00035F48">
        <w:rPr>
          <w:bCs/>
        </w:rPr>
        <w:t xml:space="preserve"> </w:t>
      </w:r>
      <w:r w:rsidRPr="00035F48" w:rsidR="00035F48">
        <w:rPr>
          <w:bCs/>
        </w:rPr>
        <w:t>which governs the construction of projects that are statutorily or categorically</w:t>
      </w:r>
      <w:r w:rsidR="00035F48">
        <w:rPr>
          <w:bCs/>
        </w:rPr>
        <w:t xml:space="preserve"> </w:t>
      </w:r>
      <w:r w:rsidRPr="00035F48" w:rsidR="00035F48">
        <w:rPr>
          <w:bCs/>
        </w:rPr>
        <w:t>exempt pursuant to Section 15260 et seq. of the Guidelines adopted to</w:t>
      </w:r>
      <w:r w:rsidR="00035F48">
        <w:rPr>
          <w:bCs/>
        </w:rPr>
        <w:t xml:space="preserve"> </w:t>
      </w:r>
      <w:r w:rsidRPr="00035F48" w:rsidR="00035F48">
        <w:rPr>
          <w:bCs/>
        </w:rPr>
        <w:t>implement the California Environmental Quality Act (CEQA), 14 Code of</w:t>
      </w:r>
      <w:r w:rsidR="00035F48">
        <w:rPr>
          <w:bCs/>
        </w:rPr>
        <w:t xml:space="preserve"> </w:t>
      </w:r>
      <w:r w:rsidRPr="00035F48" w:rsidR="00035F48">
        <w:rPr>
          <w:bCs/>
        </w:rPr>
        <w:t>California Regulations Section 15000 et seq.</w:t>
      </w:r>
      <w:r w:rsidR="00FB48EF">
        <w:rPr>
          <w:bCs/>
        </w:rPr>
        <w:t xml:space="preserve"> SCE also notes that</w:t>
      </w:r>
      <w:r w:rsidR="00A766ED">
        <w:rPr>
          <w:bCs/>
        </w:rPr>
        <w:t xml:space="preserve"> the </w:t>
      </w:r>
      <w:r w:rsidR="00086053">
        <w:rPr>
          <w:bCs/>
        </w:rPr>
        <w:t>Pacific Gas and Electric (</w:t>
      </w:r>
      <w:r w:rsidR="007A3DA3">
        <w:rPr>
          <w:bCs/>
        </w:rPr>
        <w:t>"</w:t>
      </w:r>
      <w:r w:rsidR="00A766ED">
        <w:rPr>
          <w:bCs/>
        </w:rPr>
        <w:t>PG&amp;E</w:t>
      </w:r>
      <w:r w:rsidR="007A3DA3">
        <w:rPr>
          <w:bCs/>
        </w:rPr>
        <w:t>"</w:t>
      </w:r>
      <w:r w:rsidR="00086053">
        <w:rPr>
          <w:bCs/>
        </w:rPr>
        <w:t>)</w:t>
      </w:r>
      <w:r w:rsidR="00A766ED">
        <w:rPr>
          <w:bCs/>
        </w:rPr>
        <w:t xml:space="preserve"> UOS project at Moss Landing was allowed to </w:t>
      </w:r>
      <w:r w:rsidR="000D024C">
        <w:rPr>
          <w:bCs/>
        </w:rPr>
        <w:t>go forward without a</w:t>
      </w:r>
      <w:r w:rsidR="00792038">
        <w:rPr>
          <w:bCs/>
        </w:rPr>
        <w:t xml:space="preserve"> </w:t>
      </w:r>
      <w:r w:rsidRPr="00062157" w:rsidR="00062157">
        <w:rPr>
          <w:bCs/>
        </w:rPr>
        <w:t>Certificate of Public Convenience and Necessity</w:t>
      </w:r>
      <w:r w:rsidR="008E63D3">
        <w:rPr>
          <w:bCs/>
        </w:rPr>
        <w:t xml:space="preserve"> ("</w:t>
      </w:r>
      <w:r w:rsidRPr="000D024C" w:rsidR="000D024C">
        <w:rPr>
          <w:bCs/>
        </w:rPr>
        <w:t>CPCN</w:t>
      </w:r>
      <w:r w:rsidR="008E63D3">
        <w:rPr>
          <w:bCs/>
        </w:rPr>
        <w:t>")</w:t>
      </w:r>
      <w:r w:rsidRPr="000D024C" w:rsidR="000D024C">
        <w:rPr>
          <w:bCs/>
        </w:rPr>
        <w:t xml:space="preserve"> or </w:t>
      </w:r>
      <w:r w:rsidRPr="00062157" w:rsidR="00062157">
        <w:rPr>
          <w:bCs/>
        </w:rPr>
        <w:t>Permit to Construct</w:t>
      </w:r>
      <w:r w:rsidRPr="000D024C" w:rsidR="00062157">
        <w:rPr>
          <w:bCs/>
        </w:rPr>
        <w:t xml:space="preserve"> </w:t>
      </w:r>
      <w:r w:rsidR="00062157">
        <w:rPr>
          <w:bCs/>
        </w:rPr>
        <w:t>("</w:t>
      </w:r>
      <w:r w:rsidRPr="000D024C" w:rsidR="000D024C">
        <w:rPr>
          <w:bCs/>
        </w:rPr>
        <w:t>PTC</w:t>
      </w:r>
      <w:r w:rsidR="00B76B14">
        <w:rPr>
          <w:bCs/>
        </w:rPr>
        <w:t>")</w:t>
      </w:r>
      <w:r w:rsidR="000D024C">
        <w:rPr>
          <w:bCs/>
        </w:rPr>
        <w:t xml:space="preserve"> and requests similar treatment of the EPCM contract</w:t>
      </w:r>
      <w:r w:rsidRPr="000D024C" w:rsidR="000D024C">
        <w:rPr>
          <w:bCs/>
        </w:rPr>
        <w:t>.</w:t>
      </w:r>
    </w:p>
    <w:p w:rsidR="007E777F" w:rsidP="00F85A61" w:rsidRDefault="007E777F" w14:paraId="338F2586" w14:textId="159F5CC0">
      <w:pPr>
        <w:rPr>
          <w:bCs/>
        </w:rPr>
      </w:pPr>
    </w:p>
    <w:p w:rsidR="007E777F" w:rsidP="00F85A61" w:rsidRDefault="007E777F" w14:paraId="1DB5E7C7" w14:textId="7DD63906">
      <w:pPr>
        <w:rPr>
          <w:bCs/>
        </w:rPr>
      </w:pPr>
      <w:r>
        <w:rPr>
          <w:bCs/>
        </w:rPr>
        <w:t>SCE states that the contract meets the requirements for the 2023 Integrated R</w:t>
      </w:r>
      <w:r w:rsidR="008741AE">
        <w:rPr>
          <w:bCs/>
        </w:rPr>
        <w:t>e</w:t>
      </w:r>
      <w:r>
        <w:rPr>
          <w:bCs/>
        </w:rPr>
        <w:t>source Planning</w:t>
      </w:r>
      <w:r w:rsidR="009F1D5C">
        <w:rPr>
          <w:bCs/>
        </w:rPr>
        <w:t xml:space="preserve"> (</w:t>
      </w:r>
      <w:r w:rsidR="002575C9">
        <w:rPr>
          <w:bCs/>
        </w:rPr>
        <w:t>"</w:t>
      </w:r>
      <w:r w:rsidR="009F1D5C">
        <w:rPr>
          <w:bCs/>
        </w:rPr>
        <w:t>IRP</w:t>
      </w:r>
      <w:r w:rsidR="002575C9">
        <w:rPr>
          <w:bCs/>
        </w:rPr>
        <w:t>"</w:t>
      </w:r>
      <w:r w:rsidR="009F1D5C">
        <w:rPr>
          <w:bCs/>
        </w:rPr>
        <w:t>)</w:t>
      </w:r>
      <w:r>
        <w:rPr>
          <w:bCs/>
        </w:rPr>
        <w:t xml:space="preserve"> Mid-Term Reliability </w:t>
      </w:r>
      <w:r w:rsidR="007D3698">
        <w:rPr>
          <w:bCs/>
        </w:rPr>
        <w:t>(</w:t>
      </w:r>
      <w:r w:rsidR="002575C9">
        <w:rPr>
          <w:bCs/>
        </w:rPr>
        <w:t>"</w:t>
      </w:r>
      <w:r w:rsidR="007D3698">
        <w:rPr>
          <w:bCs/>
        </w:rPr>
        <w:t>MTR</w:t>
      </w:r>
      <w:r w:rsidR="002575C9">
        <w:rPr>
          <w:bCs/>
        </w:rPr>
        <w:t>"</w:t>
      </w:r>
      <w:r w:rsidR="007D3698">
        <w:rPr>
          <w:bCs/>
        </w:rPr>
        <w:t xml:space="preserve">) </w:t>
      </w:r>
      <w:r>
        <w:rPr>
          <w:bCs/>
        </w:rPr>
        <w:t xml:space="preserve">procurement ordered in D.21-06-035 and requests that the Commission allow SCE and the other </w:t>
      </w:r>
      <w:r w:rsidR="00160101">
        <w:rPr>
          <w:bCs/>
        </w:rPr>
        <w:t>load serving entities ("</w:t>
      </w:r>
      <w:r>
        <w:rPr>
          <w:bCs/>
        </w:rPr>
        <w:t>LSEs</w:t>
      </w:r>
      <w:r w:rsidR="00160101">
        <w:rPr>
          <w:bCs/>
        </w:rPr>
        <w:t>"</w:t>
      </w:r>
      <w:r w:rsidR="00812080">
        <w:rPr>
          <w:bCs/>
        </w:rPr>
        <w:t>)</w:t>
      </w:r>
      <w:r>
        <w:rPr>
          <w:bCs/>
        </w:rPr>
        <w:t xml:space="preserve"> in its service territory count the procurement towards</w:t>
      </w:r>
      <w:r w:rsidR="008741AE">
        <w:rPr>
          <w:bCs/>
        </w:rPr>
        <w:t xml:space="preserve"> their procurement requirements.</w:t>
      </w:r>
    </w:p>
    <w:p w:rsidR="008532B8" w:rsidP="00F85A61" w:rsidRDefault="008532B8" w14:paraId="1A32826B" w14:textId="1EC1FB4B">
      <w:pPr>
        <w:rPr>
          <w:bCs/>
        </w:rPr>
      </w:pPr>
    </w:p>
    <w:p w:rsidR="008532B8" w:rsidP="00F85A61" w:rsidRDefault="008532B8" w14:paraId="12D23D79" w14:textId="3158614A">
      <w:pPr>
        <w:rPr>
          <w:bCs/>
        </w:rPr>
      </w:pPr>
      <w:r>
        <w:rPr>
          <w:bCs/>
        </w:rPr>
        <w:t>SCE requests that the following relief be approved</w:t>
      </w:r>
      <w:r w:rsidR="00C2357E">
        <w:rPr>
          <w:bCs/>
        </w:rPr>
        <w:t xml:space="preserve"> by the Commission</w:t>
      </w:r>
      <w:r>
        <w:rPr>
          <w:bCs/>
        </w:rPr>
        <w:t>:</w:t>
      </w:r>
    </w:p>
    <w:p w:rsidR="008532B8" w:rsidP="00F85A61" w:rsidRDefault="008532B8" w14:paraId="0EDE8F24" w14:textId="0B26190B">
      <w:pPr>
        <w:rPr>
          <w:bCs/>
        </w:rPr>
      </w:pPr>
    </w:p>
    <w:p w:rsidR="008532B8" w:rsidP="00C210D8" w:rsidRDefault="008532B8" w14:paraId="4EF6CF50" w14:textId="77777777">
      <w:pPr>
        <w:pStyle w:val="ListParagraph"/>
        <w:numPr>
          <w:ilvl w:val="0"/>
          <w:numId w:val="14"/>
        </w:numPr>
        <w:rPr>
          <w:bCs/>
        </w:rPr>
      </w:pPr>
      <w:r w:rsidRPr="008532B8">
        <w:rPr>
          <w:bCs/>
        </w:rPr>
        <w:t>Approval of the Emergency Reliability Contract in its entirety;</w:t>
      </w:r>
    </w:p>
    <w:p w:rsidR="008532B8" w:rsidP="00C210D8" w:rsidRDefault="007D3698" w14:paraId="56594854" w14:textId="7C4BA9B1">
      <w:pPr>
        <w:pStyle w:val="ListParagraph"/>
        <w:numPr>
          <w:ilvl w:val="0"/>
          <w:numId w:val="14"/>
        </w:numPr>
        <w:rPr>
          <w:bCs/>
        </w:rPr>
      </w:pPr>
      <w:r>
        <w:rPr>
          <w:bCs/>
        </w:rPr>
        <w:t>A finding</w:t>
      </w:r>
      <w:r w:rsidRPr="008532B8" w:rsidR="008532B8">
        <w:rPr>
          <w:bCs/>
        </w:rPr>
        <w:t xml:space="preserve"> that the Emergency Reliability Contract is consistent with the </w:t>
      </w:r>
      <w:r>
        <w:rPr>
          <w:bCs/>
        </w:rPr>
        <w:t xml:space="preserve">Summer Reliability </w:t>
      </w:r>
      <w:r w:rsidRPr="008532B8" w:rsidR="008532B8">
        <w:rPr>
          <w:bCs/>
        </w:rPr>
        <w:t>Decisions and the ACR;</w:t>
      </w:r>
    </w:p>
    <w:p w:rsidR="008532B8" w:rsidP="00C210D8" w:rsidRDefault="008532B8" w14:paraId="6CA9731B" w14:textId="37E9BC8F">
      <w:pPr>
        <w:pStyle w:val="ListParagraph"/>
        <w:numPr>
          <w:ilvl w:val="0"/>
          <w:numId w:val="14"/>
        </w:numPr>
        <w:rPr>
          <w:bCs/>
        </w:rPr>
      </w:pPr>
      <w:r w:rsidRPr="008532B8">
        <w:rPr>
          <w:bCs/>
        </w:rPr>
        <w:t xml:space="preserve">A finding that total cost (capital and </w:t>
      </w:r>
      <w:r w:rsidR="4D00C7A3">
        <w:t>operations &amp; maintenance</w:t>
      </w:r>
      <w:r>
        <w:t xml:space="preserve"> </w:t>
      </w:r>
      <w:r w:rsidR="00872563">
        <w:t>("</w:t>
      </w:r>
      <w:r w:rsidRPr="008532B8">
        <w:rPr>
          <w:bCs/>
        </w:rPr>
        <w:t>O&amp;M</w:t>
      </w:r>
      <w:r w:rsidR="00872563">
        <w:rPr>
          <w:bCs/>
        </w:rPr>
        <w:t>")</w:t>
      </w:r>
      <w:r w:rsidRPr="008532B8">
        <w:rPr>
          <w:bCs/>
        </w:rPr>
        <w:t>) of the Utility-Owned Storage Costs of $1.226 billion (nominal) is reasonable;</w:t>
      </w:r>
    </w:p>
    <w:p w:rsidR="008532B8" w:rsidP="00C210D8" w:rsidRDefault="008532B8" w14:paraId="12A77E42" w14:textId="7DB9E49B">
      <w:pPr>
        <w:pStyle w:val="ListParagraph"/>
        <w:numPr>
          <w:ilvl w:val="0"/>
          <w:numId w:val="14"/>
        </w:numPr>
        <w:rPr>
          <w:bCs/>
        </w:rPr>
      </w:pPr>
      <w:r w:rsidRPr="008532B8">
        <w:rPr>
          <w:bCs/>
        </w:rPr>
        <w:t xml:space="preserve">Authorization to recover the Utility-Owned Storage Costs in the manner proposed. SCE will not recover amounts in excess of $1.226 billion (nominal) in Utility-Owned Storage Cost unless it obtains Commission approval of any excess amounts through a separate reasonableness review in an appropriate venue; </w:t>
      </w:r>
    </w:p>
    <w:p w:rsidR="008532B8" w:rsidP="00C210D8" w:rsidRDefault="008532B8" w14:paraId="70FE909A" w14:textId="68A08429">
      <w:pPr>
        <w:pStyle w:val="ListParagraph"/>
        <w:numPr>
          <w:ilvl w:val="0"/>
          <w:numId w:val="14"/>
        </w:numPr>
        <w:rPr>
          <w:bCs/>
        </w:rPr>
      </w:pPr>
      <w:r w:rsidRPr="008532B8">
        <w:rPr>
          <w:bCs/>
        </w:rPr>
        <w:lastRenderedPageBreak/>
        <w:t>Authorization for SCE to allocate Utility-Owned Storage Costs and benefits to all benefitting customers through the distribution charge and when interconnected through the applicable jurisdictional process, participating in the wholesale market, and RA eligible, in accordance with the CAM;</w:t>
      </w:r>
    </w:p>
    <w:p w:rsidR="008532B8" w:rsidP="00C210D8" w:rsidRDefault="008532B8" w14:paraId="3A35B7DB" w14:textId="5624C595">
      <w:pPr>
        <w:pStyle w:val="ListParagraph"/>
        <w:numPr>
          <w:ilvl w:val="0"/>
          <w:numId w:val="14"/>
        </w:numPr>
        <w:rPr>
          <w:bCs/>
        </w:rPr>
      </w:pPr>
      <w:r w:rsidRPr="008532B8">
        <w:rPr>
          <w:bCs/>
        </w:rPr>
        <w:t xml:space="preserve">Authorization for SCE to establish the ERESBA, effective as of </w:t>
      </w:r>
      <w:r w:rsidR="00630522">
        <w:rPr>
          <w:bCs/>
        </w:rPr>
        <w:br/>
      </w:r>
      <w:r w:rsidRPr="008532B8">
        <w:rPr>
          <w:bCs/>
        </w:rPr>
        <w:t>March 25, 2021, and to make monthly transfers to either BRRBA-D or NSGBA;</w:t>
      </w:r>
    </w:p>
    <w:p w:rsidR="008532B8" w:rsidP="00C210D8" w:rsidRDefault="008532B8" w14:paraId="1C1B9625" w14:textId="77777777">
      <w:pPr>
        <w:pStyle w:val="ListParagraph"/>
        <w:numPr>
          <w:ilvl w:val="0"/>
          <w:numId w:val="14"/>
        </w:numPr>
        <w:rPr>
          <w:bCs/>
        </w:rPr>
      </w:pPr>
      <w:r w:rsidRPr="008532B8">
        <w:rPr>
          <w:bCs/>
        </w:rPr>
        <w:t>Authorization for SCE to include a forecast ERES revenue requirement in rate levels as part of SCE’s annual consolidated revenue requirement and rate change process;</w:t>
      </w:r>
    </w:p>
    <w:p w:rsidR="008532B8" w:rsidP="00C210D8" w:rsidRDefault="008532B8" w14:paraId="38A042C5" w14:textId="77777777">
      <w:pPr>
        <w:pStyle w:val="ListParagraph"/>
        <w:numPr>
          <w:ilvl w:val="0"/>
          <w:numId w:val="14"/>
        </w:numPr>
        <w:rPr>
          <w:bCs/>
        </w:rPr>
      </w:pPr>
      <w:r w:rsidRPr="008532B8">
        <w:rPr>
          <w:bCs/>
        </w:rPr>
        <w:t>Authorization to recover the IE costs and allow SCE to allocate the IE costs of SCE’s emergency reliability procurement efforts to all benefitting customers through the distribution charge. SCE will not recover amounts more than $15,000 in IE costs unless it obtains Commission approval of any excess amounts through a separate reasonableness review in an appropriate venue;</w:t>
      </w:r>
    </w:p>
    <w:p w:rsidR="008532B8" w:rsidP="00C210D8" w:rsidRDefault="008532B8" w14:paraId="2582196B" w14:textId="77777777">
      <w:pPr>
        <w:pStyle w:val="ListParagraph"/>
        <w:numPr>
          <w:ilvl w:val="0"/>
          <w:numId w:val="14"/>
        </w:numPr>
        <w:rPr>
          <w:bCs/>
        </w:rPr>
      </w:pPr>
      <w:r w:rsidRPr="008532B8">
        <w:rPr>
          <w:bCs/>
        </w:rPr>
        <w:t xml:space="preserve">Authorization for SCE and other LSEs in its service territory to count the Emergency Reliability Contract toward their D.21-06-035 MTR procurement requirements for 2023 based on their cost allocation for the utility-owned storage projects and using the nameplate capacity of the projects; and </w:t>
      </w:r>
    </w:p>
    <w:p w:rsidR="006309CF" w:rsidP="00C210D8" w:rsidRDefault="008532B8" w14:paraId="4A3C1E79" w14:textId="6A138471">
      <w:pPr>
        <w:pStyle w:val="ListParagraph"/>
        <w:numPr>
          <w:ilvl w:val="0"/>
          <w:numId w:val="14"/>
        </w:numPr>
        <w:rPr>
          <w:bCs/>
        </w:rPr>
      </w:pPr>
      <w:r w:rsidRPr="008532B8">
        <w:rPr>
          <w:bCs/>
        </w:rPr>
        <w:t xml:space="preserve">Authorization to proceed without an application for a CPCN, PTC, or notice of exempt construction or associated </w:t>
      </w:r>
      <w:r w:rsidR="004D7DD1">
        <w:rPr>
          <w:bCs/>
        </w:rPr>
        <w:t xml:space="preserve">California </w:t>
      </w:r>
      <w:r w:rsidR="008E6BA7">
        <w:rPr>
          <w:bCs/>
        </w:rPr>
        <w:t>Environmental Quality Act ("</w:t>
      </w:r>
      <w:r w:rsidRPr="008532B8">
        <w:rPr>
          <w:bCs/>
        </w:rPr>
        <w:t>CEQA</w:t>
      </w:r>
      <w:r w:rsidR="008E6BA7">
        <w:rPr>
          <w:bCs/>
        </w:rPr>
        <w:t>")</w:t>
      </w:r>
      <w:r w:rsidRPr="008532B8">
        <w:rPr>
          <w:bCs/>
        </w:rPr>
        <w:t xml:space="preserve"> analysis by the Commission pursuant to GO 131-D.</w:t>
      </w:r>
    </w:p>
    <w:p w:rsidRPr="008532B8" w:rsidR="008532B8" w:rsidP="008532B8" w:rsidRDefault="008532B8" w14:paraId="2F2B072D" w14:textId="77777777">
      <w:pPr>
        <w:pStyle w:val="ListParagraph"/>
        <w:rPr>
          <w:bCs/>
        </w:rPr>
      </w:pPr>
    </w:p>
    <w:p w:rsidR="00CF17DE" w:rsidRDefault="00394B3A" w14:paraId="66788129" w14:textId="77777777">
      <w:pPr>
        <w:pStyle w:val="Heading1"/>
      </w:pPr>
      <w:r>
        <w:t>Notice</w:t>
      </w:r>
    </w:p>
    <w:p w:rsidR="00CF17DE" w:rsidRDefault="00CF17DE" w14:paraId="37FFE207" w14:textId="7AD631BD">
      <w:r>
        <w:t xml:space="preserve">Notice of AL </w:t>
      </w:r>
      <w:r w:rsidR="00D84FB3">
        <w:t>4617</w:t>
      </w:r>
      <w:r>
        <w:t xml:space="preserve">-E was made by publication in the Commission’s Daily Calendar.  </w:t>
      </w:r>
      <w:r w:rsidR="00D84FB3">
        <w:t>SCE</w:t>
      </w:r>
      <w:r>
        <w:t xml:space="preserve"> states that a copy of the Advice Letter was mailed and distributed in accordance with Sec</w:t>
      </w:r>
      <w:r w:rsidR="00A1526C">
        <w:t xml:space="preserve">tion </w:t>
      </w:r>
      <w:r w:rsidR="0069631C">
        <w:t>4</w:t>
      </w:r>
      <w:r w:rsidR="00E928CF">
        <w:t xml:space="preserve"> of General Order 96-B</w:t>
      </w:r>
      <w:r>
        <w:t xml:space="preserve">. </w:t>
      </w:r>
    </w:p>
    <w:p w:rsidR="00CF17DE" w:rsidRDefault="00CF17DE" w14:paraId="6E8F021A" w14:textId="77777777"/>
    <w:p w:rsidR="00CF17DE" w:rsidRDefault="00CF17DE" w14:paraId="7F509E4C" w14:textId="77777777">
      <w:pPr>
        <w:pStyle w:val="Heading1"/>
      </w:pPr>
      <w:r>
        <w:t>Protests</w:t>
      </w:r>
    </w:p>
    <w:p w:rsidR="00CF17DE" w:rsidRDefault="000F778A" w14:paraId="6037AFF4" w14:textId="5D7D39C0">
      <w:r>
        <w:t>SCE</w:t>
      </w:r>
      <w:r w:rsidR="00CF17DE">
        <w:t xml:space="preserve">’s Advice Letter </w:t>
      </w:r>
      <w:r w:rsidR="00104065">
        <w:t>4617</w:t>
      </w:r>
      <w:r w:rsidR="00CF17DE">
        <w:t xml:space="preserve">-E was timely protested by </w:t>
      </w:r>
      <w:r w:rsidR="00104065">
        <w:t>8minute Solar Energy</w:t>
      </w:r>
      <w:r w:rsidR="009C651A">
        <w:t xml:space="preserve"> (</w:t>
      </w:r>
      <w:r w:rsidR="009414DD">
        <w:t>"</w:t>
      </w:r>
      <w:r w:rsidR="009C651A">
        <w:t>8minute</w:t>
      </w:r>
      <w:r w:rsidR="009414DD">
        <w:t>"</w:t>
      </w:r>
      <w:r w:rsidR="009C651A">
        <w:t>)</w:t>
      </w:r>
      <w:r w:rsidR="00104065">
        <w:t>, American Clean Power-California (</w:t>
      </w:r>
      <w:r w:rsidR="009414DD">
        <w:t>"</w:t>
      </w:r>
      <w:r w:rsidR="00104065">
        <w:t>ACP-CA</w:t>
      </w:r>
      <w:r w:rsidR="009414DD">
        <w:t>"</w:t>
      </w:r>
      <w:r w:rsidR="00104065">
        <w:t xml:space="preserve">), </w:t>
      </w:r>
      <w:r>
        <w:t>the Alliance for Retail Energy Markets and Direct Access Customer Coalition (</w:t>
      </w:r>
      <w:r w:rsidR="009414DD">
        <w:t>"</w:t>
      </w:r>
      <w:r>
        <w:t>AReM-DACC</w:t>
      </w:r>
      <w:r w:rsidR="009414DD">
        <w:t>"</w:t>
      </w:r>
      <w:r>
        <w:t xml:space="preserve">), </w:t>
      </w:r>
      <w:r w:rsidR="00104065">
        <w:t>Aypa Power</w:t>
      </w:r>
      <w:r w:rsidR="00F065E2">
        <w:t xml:space="preserve"> (</w:t>
      </w:r>
      <w:r w:rsidR="009414DD">
        <w:t>"</w:t>
      </w:r>
      <w:r w:rsidR="00F065E2">
        <w:t>Aypa</w:t>
      </w:r>
      <w:r w:rsidR="009414DD">
        <w:t>"</w:t>
      </w:r>
      <w:r w:rsidR="00F065E2">
        <w:t>)</w:t>
      </w:r>
      <w:r w:rsidR="00104065">
        <w:t>, Broad Reach Power</w:t>
      </w:r>
      <w:r w:rsidR="00F065E2">
        <w:t xml:space="preserve"> (Broad Reach)</w:t>
      </w:r>
      <w:r w:rsidR="00104065">
        <w:t>, Clearway Energy Group</w:t>
      </w:r>
      <w:r w:rsidR="00F065E2">
        <w:t xml:space="preserve"> (Clearway)</w:t>
      </w:r>
      <w:r w:rsidR="00104065">
        <w:t xml:space="preserve">, the Independent Energy Producers Association and the </w:t>
      </w:r>
      <w:r w:rsidR="00104065">
        <w:lastRenderedPageBreak/>
        <w:t>Large-Scale Solar Association (</w:t>
      </w:r>
      <w:r w:rsidR="009414DD">
        <w:t>"</w:t>
      </w:r>
      <w:r w:rsidR="00104065">
        <w:t>IEP-LSA</w:t>
      </w:r>
      <w:r w:rsidR="009414DD">
        <w:t>"</w:t>
      </w:r>
      <w:r w:rsidR="00104065">
        <w:t>), the Public Advocates Office (</w:t>
      </w:r>
      <w:r w:rsidR="009414DD">
        <w:t>"</w:t>
      </w:r>
      <w:r w:rsidR="00104065">
        <w:t>Cal Advocates</w:t>
      </w:r>
      <w:r w:rsidR="009414DD">
        <w:t>"</w:t>
      </w:r>
      <w:r w:rsidR="00104065">
        <w:t>), Shell Energy Solutions</w:t>
      </w:r>
      <w:r w:rsidR="00F065E2">
        <w:t xml:space="preserve"> (</w:t>
      </w:r>
      <w:r w:rsidR="009414DD">
        <w:t>"</w:t>
      </w:r>
      <w:r w:rsidR="00F065E2">
        <w:t>Shell</w:t>
      </w:r>
      <w:r w:rsidR="009414DD">
        <w:t>"</w:t>
      </w:r>
      <w:r w:rsidR="00F065E2">
        <w:t>)</w:t>
      </w:r>
      <w:r w:rsidR="00104065">
        <w:t>, the</w:t>
      </w:r>
      <w:r>
        <w:t xml:space="preserve"> Solar Energy Industries Association (</w:t>
      </w:r>
      <w:r w:rsidR="009414DD">
        <w:t>"</w:t>
      </w:r>
      <w:r>
        <w:t>SEIA</w:t>
      </w:r>
      <w:r w:rsidR="009414DD">
        <w:t>"</w:t>
      </w:r>
      <w:r>
        <w:t xml:space="preserve">), </w:t>
      </w:r>
      <w:r w:rsidR="00104065">
        <w:t>Strata Clean Energy</w:t>
      </w:r>
      <w:r w:rsidR="00F065E2">
        <w:t xml:space="preserve"> (</w:t>
      </w:r>
      <w:r w:rsidR="009414DD">
        <w:t>"</w:t>
      </w:r>
      <w:r w:rsidR="00F065E2">
        <w:t>Strata</w:t>
      </w:r>
      <w:r w:rsidR="009414DD">
        <w:t>"</w:t>
      </w:r>
      <w:r w:rsidR="00F065E2">
        <w:t>)</w:t>
      </w:r>
      <w:r w:rsidR="00104065">
        <w:t xml:space="preserve">, </w:t>
      </w:r>
      <w:r>
        <w:t>Upstream Energy Services (</w:t>
      </w:r>
      <w:r w:rsidR="009414DD">
        <w:t>"</w:t>
      </w:r>
      <w:r>
        <w:t>UES</w:t>
      </w:r>
      <w:r w:rsidR="009414DD">
        <w:t>"</w:t>
      </w:r>
      <w:r>
        <w:t>), and the Western Power Trading Forum (</w:t>
      </w:r>
      <w:r w:rsidR="009414DD">
        <w:t>"</w:t>
      </w:r>
      <w:r>
        <w:t>WPTF</w:t>
      </w:r>
      <w:r w:rsidR="009414DD">
        <w:t>"</w:t>
      </w:r>
      <w:r>
        <w:t>) on November 1, 2021</w:t>
      </w:r>
      <w:r w:rsidR="00CF17DE">
        <w:t>.</w:t>
      </w:r>
      <w:r w:rsidR="00104065">
        <w:t xml:space="preserve">  Responses to the Advice Letter were timely received from the California Energy Storage Alliance (</w:t>
      </w:r>
      <w:r w:rsidR="009414DD">
        <w:t>"</w:t>
      </w:r>
      <w:r w:rsidR="00104065">
        <w:t>CESA</w:t>
      </w:r>
      <w:r w:rsidR="009414DD">
        <w:t>"</w:t>
      </w:r>
      <w:r w:rsidR="00104065">
        <w:t>)</w:t>
      </w:r>
      <w:r w:rsidR="00ED1C0B">
        <w:t>,</w:t>
      </w:r>
      <w:r w:rsidR="00104065">
        <w:t xml:space="preserve"> Hecate Grid LLC</w:t>
      </w:r>
      <w:r w:rsidR="00ED1C0B">
        <w:t xml:space="preserve"> (</w:t>
      </w:r>
      <w:r w:rsidRPr="00E37870" w:rsidR="009414DD">
        <w:rPr>
          <w:szCs w:val="26"/>
        </w:rPr>
        <w:t>"</w:t>
      </w:r>
      <w:r w:rsidRPr="00E37870" w:rsidR="00ED1C0B">
        <w:rPr>
          <w:szCs w:val="26"/>
        </w:rPr>
        <w:t>Hecate</w:t>
      </w:r>
      <w:r w:rsidRPr="00E37870" w:rsidR="009414DD">
        <w:rPr>
          <w:szCs w:val="26"/>
        </w:rPr>
        <w:t>"</w:t>
      </w:r>
      <w:r w:rsidRPr="00E37870" w:rsidR="00ED1C0B">
        <w:rPr>
          <w:szCs w:val="26"/>
        </w:rPr>
        <w:t>), and Vote Solar</w:t>
      </w:r>
      <w:r w:rsidRPr="00E37870" w:rsidR="007D3698">
        <w:rPr>
          <w:szCs w:val="26"/>
        </w:rPr>
        <w:t>.</w:t>
      </w:r>
      <w:r w:rsidRPr="007A3DA3" w:rsidR="00594100">
        <w:rPr>
          <w:szCs w:val="26"/>
        </w:rPr>
        <w:t xml:space="preserve"> We organize the discussion by topic, below.</w:t>
      </w:r>
    </w:p>
    <w:p w:rsidR="00CF17DE" w:rsidRDefault="00CF17DE" w14:paraId="536604AC" w14:textId="77777777"/>
    <w:p w:rsidR="00594100" w:rsidRDefault="00594100" w14:paraId="55DDBF1D" w14:textId="35BAF20A">
      <w:pPr>
        <w:rPr>
          <w:b/>
          <w:bCs/>
        </w:rPr>
      </w:pPr>
      <w:r>
        <w:rPr>
          <w:b/>
          <w:bCs/>
        </w:rPr>
        <w:t>Interconnection</w:t>
      </w:r>
    </w:p>
    <w:p w:rsidR="00594100" w:rsidRDefault="00594100" w14:paraId="5FE43515" w14:textId="50D56375">
      <w:pPr>
        <w:rPr>
          <w:b/>
          <w:bCs/>
        </w:rPr>
      </w:pPr>
    </w:p>
    <w:p w:rsidR="00594100" w:rsidRDefault="00594100" w14:paraId="7D551C15" w14:textId="78DDE868">
      <w:r w:rsidRPr="00594100">
        <w:t>CESA, Broad Reach, Hecate, Strata, WPTF, IEP-LSA, 8 minute, ACP-CA, Aypa, Clearway, SEIA,</w:t>
      </w:r>
      <w:r>
        <w:t xml:space="preserve"> </w:t>
      </w:r>
      <w:r w:rsidR="0047791D">
        <w:t>Vote Solar</w:t>
      </w:r>
      <w:r w:rsidR="00FA4D55">
        <w:t>,</w:t>
      </w:r>
      <w:r w:rsidR="0047791D">
        <w:t xml:space="preserve"> </w:t>
      </w:r>
      <w:r>
        <w:t>and</w:t>
      </w:r>
      <w:r w:rsidRPr="00594100">
        <w:t xml:space="preserve"> </w:t>
      </w:r>
      <w:r w:rsidR="00B82A1E">
        <w:t>UES</w:t>
      </w:r>
      <w:r>
        <w:t xml:space="preserve"> raise questions </w:t>
      </w:r>
      <w:r w:rsidR="000B335D">
        <w:t xml:space="preserve">regarding the impact of </w:t>
      </w:r>
      <w:r w:rsidR="06150E79">
        <w:t>th</w:t>
      </w:r>
      <w:r w:rsidR="228E9CA4">
        <w:t>ese</w:t>
      </w:r>
      <w:r w:rsidR="000B335D">
        <w:t xml:space="preserve"> </w:t>
      </w:r>
      <w:r w:rsidR="06150E79">
        <w:t>project</w:t>
      </w:r>
      <w:r w:rsidR="5DB9D2A1">
        <w:t>s</w:t>
      </w:r>
      <w:r w:rsidR="000B335D">
        <w:t xml:space="preserve"> on the WDAT and CAISO interconnection queues</w:t>
      </w:r>
      <w:r w:rsidR="008E3634">
        <w:t xml:space="preserve"> and seek additional information on the timing of the </w:t>
      </w:r>
      <w:r w:rsidR="59DDA1CD">
        <w:t>interconnection</w:t>
      </w:r>
      <w:r w:rsidR="008E3634">
        <w:t xml:space="preserve"> process</w:t>
      </w:r>
      <w:r w:rsidR="780B7E60">
        <w:t xml:space="preserve"> for the proposed UOS projects</w:t>
      </w:r>
      <w:r w:rsidR="000B335D">
        <w:t xml:space="preserve">. </w:t>
      </w:r>
    </w:p>
    <w:p w:rsidR="000B335D" w:rsidRDefault="000B335D" w14:paraId="22595C9E" w14:textId="5942DA5C"/>
    <w:p w:rsidR="00E827E5" w:rsidRDefault="000B335D" w14:paraId="53A73DC7" w14:textId="22FF7C79">
      <w:r>
        <w:t>Broad Reach states that additional information is needed to allow the Commission to determine how the proposed projects will displace transmission power flows so that the Commission can consider their impacts on deliverability of other existing or queued projects.</w:t>
      </w:r>
      <w:r w:rsidR="009B55BA">
        <w:t xml:space="preserve"> Broad Reach suggests that in order to limit controversy over SCE's proposal, the Commission </w:t>
      </w:r>
      <w:r w:rsidR="7286B704">
        <w:t xml:space="preserve">should </w:t>
      </w:r>
      <w:r w:rsidR="009B55BA">
        <w:t>encourage the IOUs to continue to pursue development of third-party storage resources.</w:t>
      </w:r>
      <w:r>
        <w:rPr>
          <w:rStyle w:val="FootnoteReference"/>
        </w:rPr>
        <w:footnoteReference w:id="11"/>
      </w:r>
      <w:r w:rsidR="004966F5">
        <w:t xml:space="preserve"> </w:t>
      </w:r>
    </w:p>
    <w:p w:rsidR="00E827E5" w:rsidRDefault="00E827E5" w14:paraId="7C96FB4C" w14:textId="77777777"/>
    <w:p w:rsidR="00C667D8" w:rsidRDefault="004966F5" w14:paraId="495974D8" w14:textId="79D65C5F">
      <w:r>
        <w:t>8minute</w:t>
      </w:r>
      <w:r w:rsidR="00267687">
        <w:t>,</w:t>
      </w:r>
      <w:r w:rsidR="00325A60">
        <w:t xml:space="preserve"> Clear</w:t>
      </w:r>
      <w:r w:rsidR="00267687">
        <w:t>wa</w:t>
      </w:r>
      <w:r w:rsidR="00325A60">
        <w:t>y</w:t>
      </w:r>
      <w:r w:rsidR="0079056A">
        <w:t>, IEP-LSA,</w:t>
      </w:r>
      <w:r w:rsidR="009C4576">
        <w:t xml:space="preserve"> WPTF,</w:t>
      </w:r>
      <w:r w:rsidR="00267687">
        <w:t xml:space="preserve"> </w:t>
      </w:r>
      <w:r w:rsidR="007E071C">
        <w:t xml:space="preserve">Strata, </w:t>
      </w:r>
      <w:r w:rsidR="008763F7">
        <w:t xml:space="preserve">CESA, </w:t>
      </w:r>
      <w:r w:rsidR="00061A7A">
        <w:t xml:space="preserve">Hecate, </w:t>
      </w:r>
      <w:r w:rsidR="00267687">
        <w:t>and Aypa</w:t>
      </w:r>
      <w:r w:rsidR="00325A60">
        <w:t xml:space="preserve"> express concern regarding the pro</w:t>
      </w:r>
      <w:r>
        <w:t>posed interconnection process and</w:t>
      </w:r>
      <w:r w:rsidR="00325A60">
        <w:t xml:space="preserve"> potential negative</w:t>
      </w:r>
      <w:r>
        <w:t xml:space="preserve"> impact</w:t>
      </w:r>
      <w:r w:rsidR="00325A60">
        <w:t>s</w:t>
      </w:r>
      <w:r>
        <w:t xml:space="preserve"> on market participants and projects participating in the CAISO and SCE WDAT study process</w:t>
      </w:r>
      <w:r w:rsidR="00325A60">
        <w:t>.</w:t>
      </w:r>
      <w:r w:rsidR="00325A60">
        <w:rPr>
          <w:rStyle w:val="FootnoteReference"/>
        </w:rPr>
        <w:footnoteReference w:id="12"/>
      </w:r>
      <w:r w:rsidR="00325A60">
        <w:t xml:space="preserve"> </w:t>
      </w:r>
    </w:p>
    <w:p w:rsidR="008E1623" w:rsidRDefault="008E1623" w14:paraId="5F60F56A" w14:textId="25B3BF72"/>
    <w:p w:rsidR="008E1623" w:rsidRDefault="008E1623" w14:paraId="7BC44D61" w14:textId="60776DF1">
      <w:r>
        <w:t xml:space="preserve">CESA expresses a preference that the storage projects remain distribution assets indefinitely and </w:t>
      </w:r>
      <w:r w:rsidR="4D11BAE7">
        <w:t>only</w:t>
      </w:r>
      <w:r w:rsidR="0E8A5ED5">
        <w:t xml:space="preserve"> </w:t>
      </w:r>
      <w:r w:rsidR="00DC0931">
        <w:t xml:space="preserve">be allowed to operate during emergency conditions. </w:t>
      </w:r>
      <w:r w:rsidR="00D0467B">
        <w:t xml:space="preserve">If </w:t>
      </w:r>
      <w:r w:rsidR="00B34599">
        <w:t>the UOS projects</w:t>
      </w:r>
      <w:r w:rsidR="00517106">
        <w:t xml:space="preserve"> are allowed to operate in non-emergency periods, CESA recommends that they should be interconnected into the CAISO market as soon as possible but should not be given advantages in the queue process or </w:t>
      </w:r>
      <w:r w:rsidR="1A24748D">
        <w:t xml:space="preserve">for </w:t>
      </w:r>
      <w:r w:rsidR="003E6353">
        <w:t>resource adequacy ("</w:t>
      </w:r>
      <w:r w:rsidR="43FD64CB">
        <w:t>RA</w:t>
      </w:r>
      <w:r w:rsidR="003E6353">
        <w:t>")</w:t>
      </w:r>
      <w:r w:rsidR="43FD64CB">
        <w:t xml:space="preserve"> </w:t>
      </w:r>
      <w:r w:rsidR="00517106">
        <w:t>counting</w:t>
      </w:r>
      <w:r w:rsidR="61F860F0">
        <w:t>.</w:t>
      </w:r>
      <w:r w:rsidR="00517106">
        <w:t xml:space="preserve"> </w:t>
      </w:r>
      <w:r w:rsidR="61F860F0">
        <w:t xml:space="preserve">Further, CESA states that the </w:t>
      </w:r>
      <w:r w:rsidR="2241D56B">
        <w:t xml:space="preserve">full </w:t>
      </w:r>
      <w:r w:rsidR="2241D56B">
        <w:lastRenderedPageBreak/>
        <w:t xml:space="preserve">deliverability status of the UOS projects, should be required </w:t>
      </w:r>
      <w:r w:rsidR="00517106">
        <w:t xml:space="preserve">to </w:t>
      </w:r>
      <w:r w:rsidR="00E227ED">
        <w:t xml:space="preserve">receive </w:t>
      </w:r>
      <w:r w:rsidR="0B74A631">
        <w:t>RA</w:t>
      </w:r>
      <w:r w:rsidR="00E227ED">
        <w:t xml:space="preserve"> credit or supply-side benefits.</w:t>
      </w:r>
      <w:r w:rsidR="00E227ED">
        <w:rPr>
          <w:rStyle w:val="FootnoteReference"/>
        </w:rPr>
        <w:footnoteReference w:id="13"/>
      </w:r>
    </w:p>
    <w:p w:rsidR="00C667D8" w:rsidRDefault="00C667D8" w14:paraId="619E92E0" w14:textId="77777777"/>
    <w:p w:rsidR="000B335D" w:rsidRDefault="00325A60" w14:paraId="74BFE7C4" w14:textId="77054327">
      <w:r>
        <w:t>8minute</w:t>
      </w:r>
      <w:r w:rsidR="004F5987">
        <w:t>, ACP-CA</w:t>
      </w:r>
      <w:r w:rsidR="00423412">
        <w:t xml:space="preserve"> and Aypa</w:t>
      </w:r>
      <w:r>
        <w:t xml:space="preserve"> also </w:t>
      </w:r>
      <w:r w:rsidR="006818A8">
        <w:t>question how</w:t>
      </w:r>
      <w:r w:rsidR="004966F5">
        <w:t xml:space="preserve"> proposed interconnection process squares with federal open access requirements.</w:t>
      </w:r>
      <w:r w:rsidR="004966F5">
        <w:rPr>
          <w:rStyle w:val="FootnoteReference"/>
        </w:rPr>
        <w:footnoteReference w:id="14"/>
      </w:r>
    </w:p>
    <w:p w:rsidR="00E467D4" w:rsidRDefault="00E467D4" w14:paraId="67A579CF" w14:textId="6573AD79"/>
    <w:p w:rsidR="00A844E1" w:rsidRDefault="00A844E1" w14:paraId="7E22C299" w14:textId="6974520D">
      <w:r>
        <w:t>WPTF</w:t>
      </w:r>
      <w:r w:rsidR="00720EB4">
        <w:t xml:space="preserve"> questions </w:t>
      </w:r>
      <w:r w:rsidR="00AF427D">
        <w:t xml:space="preserve">SCE's claim that the </w:t>
      </w:r>
      <w:r w:rsidR="00F61E83">
        <w:t>storage will be used to manage peak and net peak loads</w:t>
      </w:r>
      <w:r w:rsidR="000104D9">
        <w:t xml:space="preserve">. WPTF is unclear on </w:t>
      </w:r>
      <w:r w:rsidR="00720EB4">
        <w:t>how the resource will be treated as a resource</w:t>
      </w:r>
      <w:r w:rsidR="00F83224">
        <w:t xml:space="preserve"> that will reduce the load curve</w:t>
      </w:r>
      <w:r w:rsidR="00382252">
        <w:t xml:space="preserve">, given that load modifiers are limited to registered </w:t>
      </w:r>
      <w:r w:rsidR="007A4A0D">
        <w:t>d</w:t>
      </w:r>
      <w:r w:rsidR="00382252">
        <w:t xml:space="preserve">emand </w:t>
      </w:r>
      <w:r w:rsidR="007A4A0D">
        <w:t>r</w:t>
      </w:r>
      <w:r w:rsidR="00382252">
        <w:t>esponse program participants</w:t>
      </w:r>
      <w:r w:rsidR="61B210BF">
        <w:t xml:space="preserve">. </w:t>
      </w:r>
      <w:r w:rsidR="00191662">
        <w:t>WTPF</w:t>
      </w:r>
      <w:r>
        <w:t xml:space="preserve"> expresses concern that</w:t>
      </w:r>
      <w:r w:rsidR="00D11ED2">
        <w:t xml:space="preserve"> in spite of SCE's assertion,</w:t>
      </w:r>
      <w:r>
        <w:t xml:space="preserve"> </w:t>
      </w:r>
      <w:r w:rsidR="00720EB4">
        <w:t>the storage will</w:t>
      </w:r>
      <w:r w:rsidR="00213C91">
        <w:t xml:space="preserve"> in fact</w:t>
      </w:r>
      <w:r w:rsidR="00720EB4">
        <w:t xml:space="preserve"> be </w:t>
      </w:r>
      <w:r w:rsidR="6239B96B">
        <w:t>interconnect</w:t>
      </w:r>
      <w:r>
        <w:t>ed</w:t>
      </w:r>
      <w:r w:rsidR="00720EB4">
        <w:t xml:space="preserve"> to </w:t>
      </w:r>
      <w:r w:rsidR="00261573">
        <w:t xml:space="preserve">the </w:t>
      </w:r>
      <w:r w:rsidR="00720EB4">
        <w:t>Bulk Electric System element</w:t>
      </w:r>
      <w:r w:rsidR="00261573">
        <w:t xml:space="preserve">. In such a case, the resource </w:t>
      </w:r>
      <w:r w:rsidR="00D44A2A">
        <w:t xml:space="preserve">would more properly be </w:t>
      </w:r>
      <w:r w:rsidR="007F0B6A">
        <w:t xml:space="preserve">categorized as </w:t>
      </w:r>
      <w:r w:rsidR="00870C76">
        <w:t>"energy storage as transmission</w:t>
      </w:r>
      <w:r w:rsidR="00A7478B">
        <w:t>" asset, subject to CAISO and FERC jurisdiction</w:t>
      </w:r>
      <w:r w:rsidR="00720EB4">
        <w:t>.</w:t>
      </w:r>
      <w:r w:rsidR="0056239F">
        <w:t xml:space="preserve"> WPTF requests additional information </w:t>
      </w:r>
      <w:r w:rsidR="00DE0AC6">
        <w:t>regarding the planned mechanism of interconnection</w:t>
      </w:r>
      <w:r w:rsidRPr="00E03A2F" w:rsidR="00E03A2F">
        <w:t xml:space="preserve"> </w:t>
      </w:r>
      <w:r w:rsidR="00E03A2F">
        <w:t xml:space="preserve">and </w:t>
      </w:r>
      <w:r w:rsidRPr="00E03A2F" w:rsidR="00E03A2F">
        <w:t xml:space="preserve">potential </w:t>
      </w:r>
      <w:r w:rsidRPr="00E03A2F" w:rsidR="60599DF5">
        <w:t>impact</w:t>
      </w:r>
      <w:r w:rsidRPr="00E03A2F" w:rsidR="7A778957">
        <w:t>s</w:t>
      </w:r>
      <w:r w:rsidRPr="00E03A2F" w:rsidR="00E03A2F">
        <w:t xml:space="preserve"> on the wholesale energy market, the RA market, and the interconnection requests of other developers</w:t>
      </w:r>
      <w:r w:rsidR="00E03A2F">
        <w:t>.</w:t>
      </w:r>
      <w:r w:rsidR="00E03A2F">
        <w:rPr>
          <w:rStyle w:val="FootnoteReference"/>
        </w:rPr>
        <w:footnoteReference w:id="15"/>
      </w:r>
    </w:p>
    <w:p w:rsidR="00A844E1" w:rsidRDefault="00A844E1" w14:paraId="3CE49C07" w14:textId="77777777"/>
    <w:p w:rsidR="00AE25E8" w:rsidRDefault="00AE25E8" w14:paraId="21D2F671" w14:textId="5FD05BB8">
      <w:r>
        <w:t>SEIA</w:t>
      </w:r>
      <w:r w:rsidR="00106FBB">
        <w:t>, IEP-LSA,</w:t>
      </w:r>
      <w:r w:rsidR="00641A58">
        <w:t xml:space="preserve"> </w:t>
      </w:r>
      <w:r w:rsidR="00CC0DD5">
        <w:t xml:space="preserve">WPTF, </w:t>
      </w:r>
      <w:r w:rsidR="00641A58">
        <w:t>and Aypa</w:t>
      </w:r>
      <w:r w:rsidR="00170104">
        <w:t xml:space="preserve"> question the fairness</w:t>
      </w:r>
      <w:r w:rsidR="00CC5DBF">
        <w:t xml:space="preserve"> of allowing </w:t>
      </w:r>
      <w:r w:rsidR="00945BDF">
        <w:t xml:space="preserve">SCE to bring the storage projects online </w:t>
      </w:r>
      <w:r w:rsidR="00641A58">
        <w:t>prior to</w:t>
      </w:r>
      <w:r w:rsidR="00945BDF">
        <w:t xml:space="preserve"> WDAT </w:t>
      </w:r>
      <w:r w:rsidR="00641A58">
        <w:t>interconnection</w:t>
      </w:r>
      <w:r w:rsidR="00945BDF">
        <w:t>.</w:t>
      </w:r>
      <w:r w:rsidR="00A958AC">
        <w:rPr>
          <w:rStyle w:val="FootnoteReference"/>
        </w:rPr>
        <w:footnoteReference w:id="16"/>
      </w:r>
    </w:p>
    <w:p w:rsidR="00AE25E8" w:rsidRDefault="00AE25E8" w14:paraId="352BF5F4" w14:textId="77777777"/>
    <w:p w:rsidR="00E467D4" w:rsidRDefault="002F6613" w14:paraId="50E043B7" w14:textId="5801A13E">
      <w:r>
        <w:t>UES</w:t>
      </w:r>
      <w:r w:rsidR="00AE03CE">
        <w:t>, Aypa</w:t>
      </w:r>
      <w:r w:rsidR="00CB29BE">
        <w:t>,</w:t>
      </w:r>
      <w:r w:rsidR="00E467D4">
        <w:t xml:space="preserve"> </w:t>
      </w:r>
      <w:r w:rsidR="00E60E5D">
        <w:t>Hecate</w:t>
      </w:r>
      <w:r w:rsidR="009411D0">
        <w:t>,</w:t>
      </w:r>
      <w:r w:rsidR="00E60E5D">
        <w:t xml:space="preserve"> </w:t>
      </w:r>
      <w:r w:rsidR="007010E5">
        <w:t xml:space="preserve">and Clearway </w:t>
      </w:r>
      <w:r w:rsidR="00E467D4">
        <w:t>suggest that the Commission</w:t>
      </w:r>
      <w:r w:rsidR="00951C0B">
        <w:t xml:space="preserve"> </w:t>
      </w:r>
      <w:r w:rsidR="00AE03CE">
        <w:t>prioritize</w:t>
      </w:r>
      <w:r w:rsidR="00951C0B">
        <w:t xml:space="preserve"> accelerat</w:t>
      </w:r>
      <w:r w:rsidR="00AE03CE">
        <w:t>ion of the WDAT</w:t>
      </w:r>
      <w:r w:rsidR="00951C0B">
        <w:t xml:space="preserve"> interconnection</w:t>
      </w:r>
      <w:r w:rsidR="00AE03CE">
        <w:t xml:space="preserve"> process</w:t>
      </w:r>
      <w:r w:rsidR="00951C0B">
        <w:t xml:space="preserve"> for third party storage projects so that they could be </w:t>
      </w:r>
      <w:r w:rsidR="00617729">
        <w:t>online for summer 2022 or 2023</w:t>
      </w:r>
      <w:r w:rsidR="00E42090">
        <w:t>;</w:t>
      </w:r>
      <w:r w:rsidR="000918AA">
        <w:t xml:space="preserve"> </w:t>
      </w:r>
      <w:r w:rsidR="00E42090">
        <w:t>this would</w:t>
      </w:r>
      <w:r w:rsidR="000918AA">
        <w:t xml:space="preserve"> </w:t>
      </w:r>
      <w:r w:rsidR="00E42090">
        <w:t xml:space="preserve">avoid </w:t>
      </w:r>
      <w:r w:rsidR="000918AA">
        <w:t xml:space="preserve">the need for </w:t>
      </w:r>
      <w:r w:rsidR="000A6FF9">
        <w:t>expedited procurements.</w:t>
      </w:r>
      <w:r w:rsidR="00617729">
        <w:rPr>
          <w:rStyle w:val="FootnoteReference"/>
        </w:rPr>
        <w:footnoteReference w:id="17"/>
      </w:r>
    </w:p>
    <w:p w:rsidR="00594100" w:rsidRDefault="00594100" w14:paraId="780155E0" w14:textId="77777777"/>
    <w:p w:rsidRPr="00BC7600" w:rsidR="00CF17DE" w:rsidRDefault="00BC7600" w14:paraId="7D3916F3" w14:textId="6D766676">
      <w:pPr>
        <w:rPr>
          <w:b/>
          <w:bCs/>
        </w:rPr>
      </w:pPr>
      <w:r w:rsidRPr="00BC7600">
        <w:rPr>
          <w:b/>
          <w:bCs/>
        </w:rPr>
        <w:t>Permitting</w:t>
      </w:r>
    </w:p>
    <w:p w:rsidR="00BC7600" w:rsidRDefault="00BC7600" w14:paraId="72459FFF" w14:textId="7417DF76"/>
    <w:p w:rsidR="00BC7600" w:rsidP="0026592D" w:rsidRDefault="0026592D" w14:paraId="52E4AC60" w14:textId="7E0B4036">
      <w:r>
        <w:t>Broad Reach</w:t>
      </w:r>
      <w:r w:rsidR="00FC0F4B">
        <w:t>, Hecate,</w:t>
      </w:r>
      <w:r>
        <w:t xml:space="preserve"> </w:t>
      </w:r>
      <w:r w:rsidR="000E7E4B">
        <w:t xml:space="preserve">and Aypa </w:t>
      </w:r>
      <w:r>
        <w:t xml:space="preserve">state that SCE's arguments that the project qualifies for exemptions to CEQA are without merit since Resolution E-4949 which granted exemptions for </w:t>
      </w:r>
      <w:r w:rsidR="00795165">
        <w:t>PG&amp;E</w:t>
      </w:r>
      <w:r>
        <w:t>'s Moss Landing storage project was a "test case" that does not serve as a precedent</w:t>
      </w:r>
      <w:r w:rsidR="779B77D4">
        <w:t>. Further, they argue that</w:t>
      </w:r>
      <w:r>
        <w:t xml:space="preserve"> the exemption for emergency projects under</w:t>
      </w:r>
      <w:r w:rsidR="000E2065">
        <w:t xml:space="preserve"> </w:t>
      </w:r>
      <w:r>
        <w:t xml:space="preserve">GO 131-D does not apply since this is not a "sudden, unexpected occurrence, involving a clear and imminent danger, </w:t>
      </w:r>
      <w:r>
        <w:lastRenderedPageBreak/>
        <w:t>demanding immediate action to prevent or mitigate loss of, or damage to life, health, property, or essential public services."</w:t>
      </w:r>
      <w:r>
        <w:rPr>
          <w:rStyle w:val="FootnoteReference"/>
        </w:rPr>
        <w:footnoteReference w:id="18"/>
      </w:r>
    </w:p>
    <w:p w:rsidR="00BC7600" w:rsidRDefault="00BC7600" w14:paraId="5713C0E1" w14:textId="2BDB6609"/>
    <w:p w:rsidR="00BC7600" w:rsidRDefault="00BC7600" w14:paraId="1AE62922" w14:textId="0D59AB75">
      <w:pPr>
        <w:rPr>
          <w:b/>
          <w:bCs/>
        </w:rPr>
      </w:pPr>
      <w:r>
        <w:rPr>
          <w:b/>
          <w:bCs/>
        </w:rPr>
        <w:t>Cost</w:t>
      </w:r>
    </w:p>
    <w:p w:rsidR="008564C3" w:rsidRDefault="008564C3" w14:paraId="44136638" w14:textId="37454D75">
      <w:pPr>
        <w:rPr>
          <w:b/>
          <w:bCs/>
        </w:rPr>
      </w:pPr>
    </w:p>
    <w:p w:rsidRPr="00981B7B" w:rsidR="00DB073F" w:rsidP="00DB073F" w:rsidRDefault="00DB073F" w14:paraId="51806472" w14:textId="62222555">
      <w:pPr>
        <w:rPr>
          <w:rFonts w:eastAsia="Palatino" w:cs="Palatino"/>
        </w:rPr>
      </w:pPr>
      <w:r w:rsidRPr="00981B7B">
        <w:rPr>
          <w:rFonts w:eastAsia="Palatino" w:cs="Palatino"/>
        </w:rPr>
        <w:t>8</w:t>
      </w:r>
      <w:r w:rsidR="00D64FF2">
        <w:rPr>
          <w:rFonts w:eastAsia="Palatino" w:cs="Palatino"/>
        </w:rPr>
        <w:t>m</w:t>
      </w:r>
      <w:r w:rsidRPr="00981B7B">
        <w:rPr>
          <w:rFonts w:eastAsia="Palatino" w:cs="Palatino"/>
        </w:rPr>
        <w:t>inute, ACP-CA, AReM-DACC, Cal Advocates, and WPTF cite that the cost of SCE’s procurement not only violates “just and reasonable” cost principles under California Public Utilities Code §451, but is also well above the levelized cost of similar resources that are available in the market,</w:t>
      </w:r>
      <w:r w:rsidRPr="32053FB0">
        <w:rPr>
          <w:rStyle w:val="FootnoteReference"/>
          <w:rFonts w:ascii="Palatino Linotype" w:hAnsi="Palatino Linotype"/>
        </w:rPr>
        <w:footnoteReference w:id="19"/>
      </w:r>
      <w:r w:rsidRPr="00981B7B">
        <w:rPr>
          <w:rFonts w:eastAsia="Palatino" w:cs="Palatino"/>
        </w:rPr>
        <w:t xml:space="preserve"> despite being sited on SCE’s own property.”</w:t>
      </w:r>
      <w:r w:rsidRPr="32053FB0">
        <w:rPr>
          <w:rStyle w:val="FootnoteReference"/>
          <w:rFonts w:ascii="Palatino Linotype" w:hAnsi="Palatino Linotype"/>
        </w:rPr>
        <w:footnoteReference w:id="20"/>
      </w:r>
      <w:r w:rsidRPr="00981B7B">
        <w:rPr>
          <w:rFonts w:eastAsia="Palatino" w:cs="Palatino"/>
        </w:rPr>
        <w:t xml:space="preserve"> AReM-DACC further cites that SCE’s proposed revenue requirements is eight times the average local resource adequacy price ($3.58) as reported in the Commission’s 20</w:t>
      </w:r>
      <w:r w:rsidR="007A4A0D">
        <w:rPr>
          <w:rFonts w:eastAsia="Palatino" w:cs="Palatino"/>
        </w:rPr>
        <w:t>19</w:t>
      </w:r>
      <w:r w:rsidRPr="00981B7B">
        <w:rPr>
          <w:rFonts w:eastAsia="Palatino" w:cs="Palatino"/>
        </w:rPr>
        <w:t xml:space="preserve"> Resource Adequacy report and six times the local resource adequacy waiver threshold price.</w:t>
      </w:r>
      <w:r w:rsidRPr="32053FB0">
        <w:rPr>
          <w:rStyle w:val="FootnoteReference"/>
          <w:rFonts w:ascii="Palatino Linotype" w:hAnsi="Palatino Linotype"/>
        </w:rPr>
        <w:footnoteReference w:id="21"/>
      </w:r>
      <w:r w:rsidRPr="00981B7B">
        <w:rPr>
          <w:rFonts w:eastAsia="Palatino" w:cs="Palatino"/>
        </w:rPr>
        <w:t xml:space="preserve"> Broad </w:t>
      </w:r>
      <w:r w:rsidR="001642CC">
        <w:rPr>
          <w:rFonts w:eastAsia="Palatino" w:cs="Palatino"/>
        </w:rPr>
        <w:t>Reach</w:t>
      </w:r>
      <w:r w:rsidRPr="00981B7B" w:rsidR="001642CC">
        <w:rPr>
          <w:rFonts w:eastAsia="Palatino" w:cs="Palatino"/>
        </w:rPr>
        <w:t xml:space="preserve"> </w:t>
      </w:r>
      <w:r w:rsidRPr="00981B7B">
        <w:rPr>
          <w:rFonts w:eastAsia="Palatino" w:cs="Palatino"/>
        </w:rPr>
        <w:t xml:space="preserve">and IEP-LSA protest that SCE’s cost premiums due to the expedited timeline translate to </w:t>
      </w:r>
      <w:r w:rsidR="00C31489">
        <w:rPr>
          <w:rFonts w:eastAsia="Palatino" w:cs="Palatino"/>
        </w:rPr>
        <w:t xml:space="preserve">a </w:t>
      </w:r>
      <w:r w:rsidRPr="00981B7B">
        <w:rPr>
          <w:rFonts w:eastAsia="Palatino" w:cs="Palatino"/>
        </w:rPr>
        <w:t>project cost that is 65-75% above market prices.</w:t>
      </w:r>
      <w:r w:rsidRPr="32053FB0">
        <w:rPr>
          <w:rStyle w:val="FootnoteReference"/>
          <w:rFonts w:ascii="Palatino Linotype" w:hAnsi="Palatino Linotype"/>
        </w:rPr>
        <w:footnoteReference w:id="22"/>
      </w:r>
      <w:r w:rsidRPr="00981B7B">
        <w:rPr>
          <w:rFonts w:eastAsia="Palatino" w:cs="Palatino"/>
        </w:rPr>
        <w:t xml:space="preserve"> Strata contends that SCE’s installed costs ($570/kWh) are substantially higher than the reference prices developed by independent parties such as the Pacific Northwest National Laboratory ($385/kWh) and the National Renewable Energy Laboratory ($340/kWh).</w:t>
      </w:r>
      <w:r w:rsidRPr="32053FB0">
        <w:rPr>
          <w:rStyle w:val="FootnoteReference"/>
          <w:rFonts w:ascii="Palatino Linotype" w:hAnsi="Palatino Linotype"/>
        </w:rPr>
        <w:footnoteReference w:id="23"/>
      </w:r>
    </w:p>
    <w:p w:rsidRPr="00981B7B" w:rsidR="00B744AF" w:rsidP="00DB073F" w:rsidRDefault="00B744AF" w14:paraId="23703A62" w14:textId="77777777">
      <w:pPr>
        <w:rPr>
          <w:rFonts w:eastAsia="Palatino" w:cs="Palatino"/>
        </w:rPr>
      </w:pPr>
    </w:p>
    <w:p w:rsidRPr="00937086" w:rsidR="00DB073F" w:rsidP="00DB073F" w:rsidRDefault="00DB073F" w14:paraId="459A4367" w14:textId="5BBCCFC0">
      <w:pPr>
        <w:rPr>
          <w:rFonts w:eastAsia="Palatino" w:cs="Palatino"/>
        </w:rPr>
      </w:pPr>
      <w:r w:rsidRPr="00981B7B">
        <w:rPr>
          <w:rFonts w:eastAsia="Palatino" w:cs="Palatino"/>
        </w:rPr>
        <w:t>Cal Advocates protests that SCE’s cost comparisons do not meet the requirement</w:t>
      </w:r>
      <w:r w:rsidR="00BB01BD">
        <w:rPr>
          <w:rFonts w:eastAsia="Palatino" w:cs="Palatino"/>
        </w:rPr>
        <w:t>s</w:t>
      </w:r>
      <w:r w:rsidRPr="00981B7B">
        <w:rPr>
          <w:rFonts w:eastAsia="Palatino" w:cs="Palatino"/>
        </w:rPr>
        <w:t xml:space="preserve"> of D. 21-03-056 because </w:t>
      </w:r>
      <w:r w:rsidR="00BB01BD">
        <w:rPr>
          <w:rFonts w:eastAsia="Palatino" w:cs="Palatino"/>
        </w:rPr>
        <w:t>SCE</w:t>
      </w:r>
      <w:r w:rsidRPr="00981B7B" w:rsidR="00BB01BD">
        <w:rPr>
          <w:rFonts w:eastAsia="Palatino" w:cs="Palatino"/>
        </w:rPr>
        <w:t xml:space="preserve"> </w:t>
      </w:r>
      <w:r w:rsidRPr="00981B7B">
        <w:rPr>
          <w:rFonts w:eastAsia="Palatino" w:cs="Palatino"/>
        </w:rPr>
        <w:t>failed to provide examples of recent and approved storage projects. For example, SCE claims that the project’s</w:t>
      </w:r>
      <w:r w:rsidR="00630522">
        <w:rPr>
          <w:rFonts w:eastAsia="Palatino" w:cs="Palatino"/>
        </w:rPr>
        <w:br/>
      </w:r>
      <w:r w:rsidRPr="00981B7B">
        <w:rPr>
          <w:rFonts w:eastAsia="Palatino" w:cs="Palatino"/>
        </w:rPr>
        <w:t xml:space="preserve"> $/kW-mo. Net Present Value (</w:t>
      </w:r>
      <w:r w:rsidR="001B5617">
        <w:rPr>
          <w:rFonts w:eastAsia="Palatino" w:cs="Palatino"/>
        </w:rPr>
        <w:t>"</w:t>
      </w:r>
      <w:r w:rsidRPr="00981B7B">
        <w:rPr>
          <w:rFonts w:eastAsia="Palatino" w:cs="Palatino"/>
        </w:rPr>
        <w:t>NPV</w:t>
      </w:r>
      <w:r w:rsidR="001B5617">
        <w:rPr>
          <w:rFonts w:eastAsia="Palatino" w:cs="Palatino"/>
        </w:rPr>
        <w:t>"</w:t>
      </w:r>
      <w:r w:rsidRPr="00981B7B">
        <w:rPr>
          <w:rFonts w:eastAsia="Palatino" w:cs="Palatino"/>
        </w:rPr>
        <w:t xml:space="preserve">) value is higher than offers that responded to SCE’s Market Notice </w:t>
      </w:r>
      <w:r w:rsidRPr="00981B7B" w:rsidR="007B03D0">
        <w:rPr>
          <w:rFonts w:eastAsia="Palatino" w:cs="Palatino"/>
        </w:rPr>
        <w:t>but were not selected</w:t>
      </w:r>
      <w:r w:rsidRPr="00981B7B">
        <w:rPr>
          <w:rFonts w:eastAsia="Palatino" w:cs="Palatino"/>
        </w:rPr>
        <w:t>. IEP-LSA cites that SCE’s efforts did not include bids for third-party projects that have similar limitations as SCE’s (e.g., no Full Capacity Deliverability Status, no RA capacity, and no defined duration) but offered at lower cost.</w:t>
      </w:r>
      <w:r w:rsidRPr="32053FB0">
        <w:rPr>
          <w:rStyle w:val="FootnoteReference"/>
          <w:rFonts w:ascii="Palatino Linotype" w:hAnsi="Palatino Linotype"/>
        </w:rPr>
        <w:footnoteReference w:id="24"/>
      </w:r>
      <w:r w:rsidRPr="00937086">
        <w:rPr>
          <w:rFonts w:eastAsia="Palatino" w:cs="Palatino"/>
        </w:rPr>
        <w:t xml:space="preserve"> Moreover, Cal Advocates argues that despite SCE’s assertion that there is limited available comparison data, SCE could have instead compared its procurement against the 770 MW storage </w:t>
      </w:r>
      <w:r w:rsidRPr="00937086">
        <w:rPr>
          <w:rFonts w:eastAsia="Palatino" w:cs="Palatino"/>
        </w:rPr>
        <w:lastRenderedPageBreak/>
        <w:t>contract approved by Resolution E-5101 or the utility-owned Mira Loma facility approved by Resolution E-4769.</w:t>
      </w:r>
    </w:p>
    <w:p w:rsidRPr="00937086" w:rsidR="001B7837" w:rsidP="00DB073F" w:rsidRDefault="001B7837" w14:paraId="413DCCBF" w14:textId="77777777">
      <w:pPr>
        <w:rPr>
          <w:rFonts w:eastAsia="Palatino" w:cs="Palatino"/>
        </w:rPr>
      </w:pPr>
    </w:p>
    <w:p w:rsidRPr="00937086" w:rsidR="001B7837" w:rsidP="001B7837" w:rsidRDefault="001B7837" w14:paraId="7F4F4262" w14:textId="77777777">
      <w:pPr>
        <w:rPr>
          <w:rFonts w:eastAsia="Palatino" w:cs="Palatino"/>
        </w:rPr>
      </w:pPr>
      <w:r w:rsidRPr="00937086">
        <w:rPr>
          <w:rFonts w:eastAsia="Palatino" w:cs="Palatino"/>
        </w:rPr>
        <w:t>8minute, ACP-CA, AReM-DACC, Aypa, Broad Reach, CESA, and IEP-LSA argue that SCE’s request should be rejected because the utility is using the emergency reliability procurement framework to bring their own substantial and costly resources online. The Commission should reject SCE’s attempt to obtain approval for a “just-in-time procurement” at any price.</w:t>
      </w:r>
      <w:r w:rsidRPr="0030EB18">
        <w:rPr>
          <w:rStyle w:val="FootnoteReference"/>
          <w:rFonts w:ascii="Palatino Linotype" w:hAnsi="Palatino Linotype"/>
        </w:rPr>
        <w:footnoteReference w:id="25"/>
      </w:r>
      <w:r w:rsidRPr="00937086">
        <w:rPr>
          <w:rFonts w:eastAsia="Palatino" w:cs="Palatino"/>
        </w:rPr>
        <w:t xml:space="preserve"> Instead, the Commission should get ahead of emergency procurements by providing signals for longer-term projects that not only will avoid expensive cost premiums but also address the systems’ continued capacity shortfalls.</w:t>
      </w:r>
      <w:r w:rsidRPr="0030EB18">
        <w:rPr>
          <w:rStyle w:val="FootnoteReference"/>
          <w:rFonts w:ascii="Palatino Linotype" w:hAnsi="Palatino Linotype"/>
        </w:rPr>
        <w:footnoteReference w:id="26"/>
      </w:r>
      <w:r w:rsidRPr="00937086">
        <w:rPr>
          <w:rFonts w:eastAsia="Palatino" w:cs="Palatino"/>
        </w:rPr>
        <w:t xml:space="preserve"> Alternatively, should the Commission approve SCE’s request, ACP-CA, Aypa, and Broad Reach asks that the project should be treated only as an exception and not as a precedent for procurements beyond 2022.</w:t>
      </w:r>
      <w:r w:rsidRPr="0030EB18">
        <w:rPr>
          <w:rStyle w:val="FootnoteReference"/>
          <w:rFonts w:ascii="Palatino Linotype" w:hAnsi="Palatino Linotype"/>
        </w:rPr>
        <w:footnoteReference w:id="27"/>
      </w:r>
    </w:p>
    <w:p w:rsidR="00BC7600" w:rsidRDefault="00BC7600" w14:paraId="326617BB" w14:textId="11A92738">
      <w:pPr>
        <w:rPr>
          <w:b/>
          <w:bCs/>
        </w:rPr>
      </w:pPr>
    </w:p>
    <w:p w:rsidRPr="00937086" w:rsidR="00BC7600" w:rsidRDefault="00BC7600" w14:paraId="2152515C" w14:textId="317EA3D0">
      <w:pPr>
        <w:rPr>
          <w:rFonts w:eastAsia="Palatino" w:cs="Palatino"/>
          <w:b/>
        </w:rPr>
      </w:pPr>
      <w:r w:rsidRPr="00937086">
        <w:rPr>
          <w:rFonts w:eastAsia="Palatino" w:cs="Palatino"/>
          <w:b/>
        </w:rPr>
        <w:t>Cost Recovery</w:t>
      </w:r>
    </w:p>
    <w:p w:rsidRPr="00937086" w:rsidR="00CD50C4" w:rsidRDefault="00CD50C4" w14:paraId="625F22B3" w14:textId="76C31972">
      <w:pPr>
        <w:rPr>
          <w:rFonts w:eastAsia="Palatino" w:cs="Palatino"/>
          <w:b/>
        </w:rPr>
      </w:pPr>
    </w:p>
    <w:p w:rsidRPr="00937086" w:rsidR="00C1733A" w:rsidP="00C1733A" w:rsidRDefault="00C1733A" w14:paraId="2CB725B5" w14:textId="63376800">
      <w:pPr>
        <w:rPr>
          <w:rFonts w:eastAsia="Palatino" w:cs="Palatino"/>
        </w:rPr>
      </w:pPr>
      <w:r w:rsidRPr="00937086">
        <w:rPr>
          <w:rFonts w:eastAsia="Palatino" w:cs="Palatino"/>
        </w:rPr>
        <w:t xml:space="preserve">Broad </w:t>
      </w:r>
      <w:r w:rsidRPr="00937086" w:rsidR="33D21E3E">
        <w:rPr>
          <w:rFonts w:eastAsia="Palatino" w:cs="Palatino"/>
        </w:rPr>
        <w:t xml:space="preserve">Reach </w:t>
      </w:r>
      <w:r w:rsidRPr="00937086">
        <w:rPr>
          <w:rFonts w:eastAsia="Palatino" w:cs="Palatino"/>
        </w:rPr>
        <w:t>states that because SCE’s projects will be grid connected upon operation, the storage discharge cannot be limited to deliver power only to the distribution system and would effectively provide reliability during net peak and other times of need. Accordingly, SCE’s resource</w:t>
      </w:r>
      <w:r w:rsidRPr="00937086" w:rsidR="0EDDE77E">
        <w:rPr>
          <w:rFonts w:eastAsia="Palatino" w:cs="Palatino"/>
        </w:rPr>
        <w:t>s</w:t>
      </w:r>
      <w:r w:rsidRPr="00937086">
        <w:rPr>
          <w:rFonts w:eastAsia="Palatino" w:cs="Palatino"/>
        </w:rPr>
        <w:t xml:space="preserve"> should be recovered under the CAM mechanism</w:t>
      </w:r>
      <w:r w:rsidR="002B6698">
        <w:rPr>
          <w:rFonts w:eastAsia="Palatino" w:cs="Palatino"/>
        </w:rPr>
        <w:t xml:space="preserve"> for the life of the project</w:t>
      </w:r>
      <w:r w:rsidRPr="00937086">
        <w:rPr>
          <w:rFonts w:eastAsia="Palatino" w:cs="Palatino"/>
        </w:rPr>
        <w:t>.</w:t>
      </w:r>
      <w:r w:rsidRPr="7DA3EAB9">
        <w:rPr>
          <w:rStyle w:val="FootnoteReference"/>
          <w:rFonts w:ascii="Palatino Linotype" w:hAnsi="Palatino Linotype"/>
        </w:rPr>
        <w:footnoteReference w:id="28"/>
      </w:r>
    </w:p>
    <w:p w:rsidRPr="00937086" w:rsidR="00D31059" w:rsidP="00C1733A" w:rsidRDefault="00D31059" w14:paraId="0677CEE9" w14:textId="77777777">
      <w:pPr>
        <w:rPr>
          <w:rFonts w:eastAsia="Palatino" w:cs="Palatino"/>
        </w:rPr>
      </w:pPr>
    </w:p>
    <w:p w:rsidRPr="00937086" w:rsidR="00C1733A" w:rsidP="00C1733A" w:rsidRDefault="00C1733A" w14:paraId="092E60EE" w14:textId="1499DF9F">
      <w:pPr>
        <w:rPr>
          <w:rFonts w:eastAsia="Palatino" w:cs="Palatino"/>
        </w:rPr>
      </w:pPr>
      <w:r w:rsidRPr="7DA3EAB9">
        <w:rPr>
          <w:rFonts w:eastAsia="Palatino" w:cs="Palatino"/>
        </w:rPr>
        <w:t>CESA requests that if SCE’s project is treated only as a distribution asset, cost recovery should occur under distribution rates. However, and less desirably, should the Commission treat the project as a</w:t>
      </w:r>
      <w:r w:rsidR="007A3DA3">
        <w:rPr>
          <w:rFonts w:eastAsia="Palatino" w:cs="Palatino"/>
        </w:rPr>
        <w:t xml:space="preserve"> </w:t>
      </w:r>
      <w:r w:rsidRPr="7DA3EAB9">
        <w:rPr>
          <w:rFonts w:eastAsia="Palatino" w:cs="Palatino"/>
        </w:rPr>
        <w:t>market asset,</w:t>
      </w:r>
      <w:r w:rsidRPr="7DA3EAB9" w:rsidR="51BEC14C">
        <w:rPr>
          <w:rFonts w:eastAsia="Palatino" w:cs="Palatino"/>
        </w:rPr>
        <w:t xml:space="preserve"> once interconnected,</w:t>
      </w:r>
      <w:r w:rsidRPr="7DA3EAB9">
        <w:rPr>
          <w:rFonts w:eastAsia="Palatino" w:cs="Palatino"/>
        </w:rPr>
        <w:t xml:space="preserve"> the project costs should be recovered under CAM.</w:t>
      </w:r>
    </w:p>
    <w:p w:rsidRPr="00937086" w:rsidR="00E43ADB" w:rsidRDefault="00E43ADB" w14:paraId="40943972" w14:textId="77777777">
      <w:pPr>
        <w:rPr>
          <w:rFonts w:eastAsia="Palatino" w:cs="Palatino"/>
        </w:rPr>
      </w:pPr>
    </w:p>
    <w:p w:rsidRPr="00937086" w:rsidR="00E43ADB" w:rsidP="00E43ADB" w:rsidRDefault="00E43ADB" w14:paraId="7EACC02A" w14:textId="757AE4CB">
      <w:pPr>
        <w:rPr>
          <w:rFonts w:eastAsia="Palatino" w:cs="Palatino"/>
        </w:rPr>
      </w:pPr>
      <w:r w:rsidRPr="00937086">
        <w:rPr>
          <w:rFonts w:eastAsia="Palatino" w:cs="Palatino"/>
        </w:rPr>
        <w:t xml:space="preserve">Shell Energy requests </w:t>
      </w:r>
      <w:r w:rsidRPr="00937086" w:rsidR="4BDC5D0A">
        <w:rPr>
          <w:rFonts w:eastAsia="Palatino" w:cs="Palatino"/>
        </w:rPr>
        <w:t>that</w:t>
      </w:r>
      <w:r w:rsidRPr="00937086">
        <w:rPr>
          <w:rFonts w:eastAsia="Palatino" w:cs="Palatino"/>
        </w:rPr>
        <w:t xml:space="preserve"> the Commission confirm that only the cost of storage resources incremental to SCE’s 15% PRM will be allocated to departing load customers, consistent with D. 21-03-056.</w:t>
      </w:r>
      <w:r w:rsidRPr="7DA3EAB9">
        <w:rPr>
          <w:rStyle w:val="FootnoteReference"/>
          <w:rFonts w:ascii="Palatino Linotype" w:hAnsi="Palatino Linotype"/>
        </w:rPr>
        <w:footnoteReference w:id="29"/>
      </w:r>
    </w:p>
    <w:p w:rsidR="00E73AF7" w:rsidP="00E73AF7" w:rsidRDefault="00E73AF7" w14:paraId="01BBD5B3" w14:textId="4FAA58D2">
      <w:pPr>
        <w:rPr>
          <w:rFonts w:eastAsia="Palatino" w:cs="Palatino"/>
        </w:rPr>
      </w:pPr>
      <w:r w:rsidRPr="00FE5C7D">
        <w:rPr>
          <w:rFonts w:eastAsia="Palatino" w:cs="Palatino"/>
        </w:rPr>
        <w:lastRenderedPageBreak/>
        <w:t xml:space="preserve">AReM-DACC argues that </w:t>
      </w:r>
      <w:r w:rsidR="00653C33">
        <w:rPr>
          <w:rFonts w:eastAsia="Palatino" w:cs="Palatino"/>
        </w:rPr>
        <w:t>since the</w:t>
      </w:r>
      <w:r w:rsidR="00DB6671">
        <w:rPr>
          <w:rFonts w:eastAsia="Palatino" w:cs="Palatino"/>
        </w:rPr>
        <w:t xml:space="preserve"> MTR decisio</w:t>
      </w:r>
      <w:r w:rsidR="00AC5A27">
        <w:rPr>
          <w:rFonts w:eastAsia="Palatino" w:cs="Palatino"/>
        </w:rPr>
        <w:t xml:space="preserve">n did not authorize utility procurement on behalf of non-utility </w:t>
      </w:r>
      <w:r w:rsidR="00044698">
        <w:rPr>
          <w:rFonts w:eastAsia="Palatino" w:cs="Palatino"/>
        </w:rPr>
        <w:t>LSEs</w:t>
      </w:r>
      <w:r w:rsidR="00B03F9A">
        <w:rPr>
          <w:rFonts w:eastAsia="Palatino" w:cs="Palatino"/>
        </w:rPr>
        <w:t xml:space="preserve">, </w:t>
      </w:r>
      <w:r w:rsidRPr="00FE5C7D">
        <w:rPr>
          <w:rFonts w:eastAsia="Palatino" w:cs="Palatino"/>
        </w:rPr>
        <w:t xml:space="preserve">SCE cannot recover costs simultaneously through distribution rates (or CAM) and </w:t>
      </w:r>
      <w:r w:rsidR="00B03F9A">
        <w:rPr>
          <w:rFonts w:eastAsia="Palatino" w:cs="Palatino"/>
        </w:rPr>
        <w:t>allocat</w:t>
      </w:r>
      <w:r w:rsidR="00703710">
        <w:rPr>
          <w:rFonts w:eastAsia="Palatino" w:cs="Palatino"/>
        </w:rPr>
        <w:t>e</w:t>
      </w:r>
      <w:r w:rsidRPr="00FE5C7D" w:rsidR="274601AE">
        <w:rPr>
          <w:rFonts w:eastAsia="Palatino" w:cs="Palatino"/>
        </w:rPr>
        <w:t xml:space="preserve"> </w:t>
      </w:r>
      <w:r w:rsidR="00044698">
        <w:rPr>
          <w:rFonts w:eastAsia="Palatino" w:cs="Palatino"/>
        </w:rPr>
        <w:t xml:space="preserve">capacity to the </w:t>
      </w:r>
      <w:r w:rsidRPr="00FE5C7D">
        <w:rPr>
          <w:rFonts w:eastAsia="Palatino" w:cs="Palatino"/>
        </w:rPr>
        <w:t>MTR</w:t>
      </w:r>
      <w:r w:rsidR="00044698">
        <w:rPr>
          <w:rFonts w:eastAsia="Palatino" w:cs="Palatino"/>
        </w:rPr>
        <w:t xml:space="preserve"> requirement</w:t>
      </w:r>
      <w:r w:rsidR="00E50322">
        <w:rPr>
          <w:rFonts w:eastAsia="Palatino" w:cs="Palatino"/>
        </w:rPr>
        <w:t>s of</w:t>
      </w:r>
      <w:r w:rsidRPr="00FE5C7D">
        <w:rPr>
          <w:rFonts w:eastAsia="Palatino" w:cs="Palatino"/>
        </w:rPr>
        <w:t xml:space="preserve"> non-utility LSEs.</w:t>
      </w:r>
      <w:r w:rsidRPr="7DA3EAB9">
        <w:rPr>
          <w:rStyle w:val="FootnoteReference"/>
          <w:rFonts w:ascii="Palatino Linotype" w:hAnsi="Palatino Linotype"/>
        </w:rPr>
        <w:footnoteReference w:id="30"/>
      </w:r>
      <w:r w:rsidRPr="00FE5C7D">
        <w:rPr>
          <w:rFonts w:eastAsia="Palatino" w:cs="Palatino"/>
        </w:rPr>
        <w:t xml:space="preserve"> AReM cites that, consistent with PG&amp;E’s CAM treatment of its </w:t>
      </w:r>
      <w:r w:rsidR="00B922FA">
        <w:rPr>
          <w:rFonts w:eastAsia="Palatino" w:cs="Palatino"/>
        </w:rPr>
        <w:t xml:space="preserve">emergency storage </w:t>
      </w:r>
      <w:r w:rsidRPr="00FE5C7D">
        <w:rPr>
          <w:rFonts w:eastAsia="Palatino" w:cs="Palatino"/>
        </w:rPr>
        <w:t>procurement through 2023, D. 21-06-035 only permitted LSEs to procure towards their own MTR obligations.</w:t>
      </w:r>
      <w:r w:rsidRPr="7DA3EAB9">
        <w:rPr>
          <w:rStyle w:val="FootnoteReference"/>
          <w:rFonts w:ascii="Palatino Linotype" w:hAnsi="Palatino Linotype"/>
        </w:rPr>
        <w:footnoteReference w:id="31"/>
      </w:r>
      <w:r w:rsidRPr="00FE5C7D">
        <w:rPr>
          <w:rFonts w:eastAsia="Palatino" w:cs="Palatino"/>
        </w:rPr>
        <w:t xml:space="preserve"> This means that costs after the two-year emergency period should only be borne by bundled utility customers and count towards SCE’s MTR obligations.</w:t>
      </w:r>
      <w:r w:rsidRPr="7DA3EAB9">
        <w:rPr>
          <w:rStyle w:val="FootnoteReference"/>
          <w:rFonts w:ascii="Palatino Linotype" w:hAnsi="Palatino Linotype"/>
        </w:rPr>
        <w:footnoteReference w:id="32"/>
      </w:r>
      <w:r w:rsidRPr="00FE5C7D">
        <w:rPr>
          <w:rFonts w:eastAsia="Palatino" w:cs="Palatino"/>
        </w:rPr>
        <w:t xml:space="preserve"> </w:t>
      </w:r>
    </w:p>
    <w:p w:rsidRPr="00FE5C7D" w:rsidR="00C934ED" w:rsidP="00E73AF7" w:rsidRDefault="00C934ED" w14:paraId="5C198D9E" w14:textId="77777777">
      <w:pPr>
        <w:rPr>
          <w:rFonts w:eastAsia="Palatino" w:cs="Palatino"/>
        </w:rPr>
      </w:pPr>
    </w:p>
    <w:p w:rsidRPr="00937086" w:rsidR="00E43ADB" w:rsidRDefault="00E43ADB" w14:paraId="74F3D451" w14:textId="205CF391">
      <w:pPr>
        <w:rPr>
          <w:rFonts w:eastAsia="Palatino" w:cs="Palatino"/>
        </w:rPr>
      </w:pPr>
      <w:r w:rsidRPr="00937086">
        <w:rPr>
          <w:rFonts w:eastAsia="Palatino" w:cs="Palatino"/>
        </w:rPr>
        <w:t>SEIA states that SCE should be allowed to rate base</w:t>
      </w:r>
      <w:r w:rsidR="00FF77E7">
        <w:rPr>
          <w:rFonts w:eastAsia="Palatino" w:cs="Palatino"/>
        </w:rPr>
        <w:t xml:space="preserve"> the UOS projects</w:t>
      </w:r>
      <w:r w:rsidRPr="00937086">
        <w:rPr>
          <w:rFonts w:eastAsia="Palatino" w:cs="Palatino"/>
        </w:rPr>
        <w:t xml:space="preserve"> and recover O&amp;M costs through the emergency period but</w:t>
      </w:r>
      <w:r w:rsidR="00894391">
        <w:rPr>
          <w:rFonts w:eastAsia="Palatino" w:cs="Palatino"/>
        </w:rPr>
        <w:t xml:space="preserve"> that</w:t>
      </w:r>
      <w:r w:rsidR="00D808C6">
        <w:rPr>
          <w:rFonts w:eastAsia="Palatino" w:cs="Palatino"/>
        </w:rPr>
        <w:t>,</w:t>
      </w:r>
      <w:r w:rsidRPr="00937086">
        <w:rPr>
          <w:rFonts w:eastAsia="Palatino" w:cs="Palatino"/>
        </w:rPr>
        <w:t xml:space="preserve"> </w:t>
      </w:r>
      <w:r w:rsidR="003F0E84">
        <w:rPr>
          <w:rFonts w:eastAsia="Palatino" w:cs="Palatino"/>
        </w:rPr>
        <w:t>once the emergency period has ende</w:t>
      </w:r>
      <w:r w:rsidR="00C4619A">
        <w:rPr>
          <w:rFonts w:eastAsia="Palatino" w:cs="Palatino"/>
        </w:rPr>
        <w:t>d</w:t>
      </w:r>
      <w:r w:rsidR="00D808C6">
        <w:rPr>
          <w:rFonts w:eastAsia="Palatino" w:cs="Palatino"/>
        </w:rPr>
        <w:t xml:space="preserve">, the </w:t>
      </w:r>
      <w:r w:rsidR="00763F22">
        <w:rPr>
          <w:rFonts w:eastAsia="Palatino" w:cs="Palatino"/>
        </w:rPr>
        <w:t>costs</w:t>
      </w:r>
      <w:r w:rsidR="00B56881">
        <w:rPr>
          <w:rFonts w:eastAsia="Palatino" w:cs="Palatino"/>
        </w:rPr>
        <w:t xml:space="preserve"> </w:t>
      </w:r>
      <w:r w:rsidRPr="00937086">
        <w:rPr>
          <w:rFonts w:eastAsia="Palatino" w:cs="Palatino"/>
        </w:rPr>
        <w:t>should be removed from the rate base until SCE has completed the interconnection process</w:t>
      </w:r>
      <w:r w:rsidR="00797497">
        <w:rPr>
          <w:rFonts w:eastAsia="Palatino" w:cs="Palatino"/>
        </w:rPr>
        <w:t xml:space="preserve"> since under normal circumstances SCE would not have been able to rate base the UOS prior to bringing it online</w:t>
      </w:r>
      <w:r w:rsidRPr="00937086">
        <w:rPr>
          <w:rFonts w:eastAsia="Palatino" w:cs="Palatino"/>
        </w:rPr>
        <w:t>.</w:t>
      </w:r>
      <w:r w:rsidRPr="2A48A97F">
        <w:rPr>
          <w:rStyle w:val="FootnoteReference"/>
          <w:rFonts w:ascii="Palatino Linotype" w:hAnsi="Palatino Linotype"/>
        </w:rPr>
        <w:footnoteReference w:id="33"/>
      </w:r>
      <w:r w:rsidRPr="00937086">
        <w:rPr>
          <w:rFonts w:eastAsia="Palatino" w:cs="Palatino"/>
        </w:rPr>
        <w:t xml:space="preserve"> </w:t>
      </w:r>
    </w:p>
    <w:p w:rsidR="00BC7600" w:rsidRDefault="00BC7600" w14:paraId="57B293A6" w14:textId="78D7299C">
      <w:pPr>
        <w:rPr>
          <w:b/>
          <w:bCs/>
        </w:rPr>
      </w:pPr>
    </w:p>
    <w:p w:rsidR="00BC7600" w:rsidP="00BC7600" w:rsidRDefault="00BC7600" w14:paraId="6A9DC7CE" w14:textId="111D2649">
      <w:pPr>
        <w:rPr>
          <w:b/>
          <w:bCs/>
        </w:rPr>
      </w:pPr>
      <w:r>
        <w:rPr>
          <w:b/>
          <w:bCs/>
        </w:rPr>
        <w:t>Utility Ownership</w:t>
      </w:r>
    </w:p>
    <w:p w:rsidR="00BC7600" w:rsidRDefault="00BC7600" w14:paraId="25BF8C02" w14:textId="048E3258">
      <w:pPr>
        <w:rPr>
          <w:b/>
          <w:bCs/>
        </w:rPr>
      </w:pPr>
    </w:p>
    <w:p w:rsidRPr="009B55BA" w:rsidR="009B55BA" w:rsidRDefault="009B55BA" w14:paraId="5E2E007B" w14:textId="4BCF90E1">
      <w:r>
        <w:t>Several Parties question SCE's procurement process</w:t>
      </w:r>
      <w:r w:rsidR="00731AD3">
        <w:t xml:space="preserve"> and</w:t>
      </w:r>
      <w:r>
        <w:t xml:space="preserve"> suggest that the </w:t>
      </w:r>
      <w:r w:rsidR="002A0F0E">
        <w:t>UOS</w:t>
      </w:r>
      <w:r>
        <w:t xml:space="preserve"> was pursued at the expense of </w:t>
      </w:r>
      <w:r w:rsidR="008564C3">
        <w:t>third-party</w:t>
      </w:r>
      <w:r>
        <w:t xml:space="preserve"> options. Broad Reach questions whether SCE provided all participants in its Request for Information the opportunity to develop storage resources on SCE-owned or</w:t>
      </w:r>
      <w:r w:rsidR="67BD49E6">
        <w:t xml:space="preserve"> –</w:t>
      </w:r>
      <w:r>
        <w:t>controlled</w:t>
      </w:r>
      <w:r w:rsidR="74162968">
        <w:t xml:space="preserve"> </w:t>
      </w:r>
      <w:r w:rsidR="771F2893">
        <w:t>sites</w:t>
      </w:r>
      <w:r w:rsidR="67BD49E6">
        <w:t xml:space="preserve"> </w:t>
      </w:r>
      <w:r w:rsidR="48E0489F">
        <w:t xml:space="preserve">with the </w:t>
      </w:r>
      <w:r w:rsidR="47F6F322">
        <w:t xml:space="preserve">opportunity to </w:t>
      </w:r>
      <w:r w:rsidR="7673AB91">
        <w:t>expedite</w:t>
      </w:r>
      <w:r w:rsidR="008564C3">
        <w:t xml:space="preserve"> </w:t>
      </w:r>
      <w:r>
        <w:t>connection to SCE's distribution system</w:t>
      </w:r>
      <w:r w:rsidR="3FD2C525">
        <w:t xml:space="preserve">. </w:t>
      </w:r>
      <w:r w:rsidR="0098613D">
        <w:t xml:space="preserve">Clearway </w:t>
      </w:r>
      <w:r w:rsidR="00B30FC1">
        <w:t>asserts</w:t>
      </w:r>
      <w:r w:rsidR="0098613D">
        <w:t xml:space="preserve"> that SCE's proposal amounts to a reallocation of capacity from other contracts.</w:t>
      </w:r>
      <w:r w:rsidR="00670D0D">
        <w:rPr>
          <w:rStyle w:val="FootnoteReference"/>
        </w:rPr>
        <w:footnoteReference w:id="34"/>
      </w:r>
      <w:r w:rsidR="0098613D">
        <w:t xml:space="preserve"> </w:t>
      </w:r>
      <w:r w:rsidR="00FE6CC4">
        <w:t xml:space="preserve">Parties also </w:t>
      </w:r>
      <w:r w:rsidR="00A97DB0">
        <w:t>questioned</w:t>
      </w:r>
      <w:r w:rsidR="00FE6CC4">
        <w:t xml:space="preserve"> </w:t>
      </w:r>
      <w:r w:rsidR="008564C3">
        <w:t xml:space="preserve">whether projects currently in the interconnection queue were offered </w:t>
      </w:r>
      <w:r w:rsidR="610265D4">
        <w:t xml:space="preserve">the opportunity for </w:t>
      </w:r>
      <w:r w:rsidR="7673AB91">
        <w:t>streamlined</w:t>
      </w:r>
      <w:r w:rsidR="008564C3">
        <w:t xml:space="preserve"> interconnection in order to become operational in 2023.</w:t>
      </w:r>
      <w:r w:rsidR="008564C3">
        <w:rPr>
          <w:rStyle w:val="FootnoteReference"/>
        </w:rPr>
        <w:footnoteReference w:id="35"/>
      </w:r>
      <w:r w:rsidR="003627C0">
        <w:t xml:space="preserve"> </w:t>
      </w:r>
    </w:p>
    <w:p w:rsidR="009B55BA" w:rsidRDefault="009B55BA" w14:paraId="0462B64D" w14:textId="77777777">
      <w:pPr>
        <w:rPr>
          <w:b/>
          <w:bCs/>
        </w:rPr>
      </w:pPr>
    </w:p>
    <w:p w:rsidR="00BC7600" w:rsidRDefault="00BC7600" w14:paraId="71642B7F" w14:textId="42071BBA">
      <w:pPr>
        <w:rPr>
          <w:b/>
          <w:bCs/>
        </w:rPr>
      </w:pPr>
      <w:r>
        <w:rPr>
          <w:b/>
          <w:bCs/>
        </w:rPr>
        <w:t>Viability</w:t>
      </w:r>
    </w:p>
    <w:p w:rsidR="00BC7600" w:rsidRDefault="00BC7600" w14:paraId="29199493" w14:textId="556585B2">
      <w:pPr>
        <w:rPr>
          <w:b/>
          <w:bCs/>
        </w:rPr>
      </w:pPr>
    </w:p>
    <w:p w:rsidRPr="00D867E8" w:rsidR="00752D52" w:rsidRDefault="00752D52" w14:paraId="4AA64CAB" w14:textId="471F011B">
      <w:pPr>
        <w:rPr>
          <w:rFonts w:eastAsia="Palatino" w:cs="Palatino"/>
        </w:rPr>
      </w:pPr>
      <w:r w:rsidRPr="00D867E8">
        <w:rPr>
          <w:rFonts w:eastAsia="Palatino" w:cs="Palatino"/>
        </w:rPr>
        <w:t>Several parties protested SCE’s advice letter on the grounds of viability. Cal Advocates cites the significant ratepayer risk associated with SCE’s reliance on a single contractor (</w:t>
      </w:r>
      <w:r w:rsidR="005B0565">
        <w:rPr>
          <w:rFonts w:eastAsia="Palatino" w:cs="Palatino"/>
        </w:rPr>
        <w:t>AME</w:t>
      </w:r>
      <w:r w:rsidRPr="00D867E8">
        <w:rPr>
          <w:rFonts w:eastAsia="Palatino" w:cs="Palatino"/>
        </w:rPr>
        <w:t xml:space="preserve">) with limited experience not only with large operations, </w:t>
      </w:r>
      <w:r w:rsidRPr="00D867E8">
        <w:rPr>
          <w:rFonts w:eastAsia="Palatino" w:cs="Palatino"/>
        </w:rPr>
        <w:lastRenderedPageBreak/>
        <w:t>but with energy storage projects.</w:t>
      </w:r>
      <w:r w:rsidRPr="32053FB0">
        <w:rPr>
          <w:rStyle w:val="FootnoteReference"/>
          <w:rFonts w:ascii="Palatino Linotype" w:hAnsi="Palatino Linotype"/>
        </w:rPr>
        <w:footnoteReference w:id="36"/>
      </w:r>
      <w:r w:rsidRPr="00D867E8">
        <w:rPr>
          <w:rFonts w:eastAsia="Palatino" w:cs="Palatino"/>
        </w:rPr>
        <w:t xml:space="preserve"> Cal Advocates asserts that SCE’s $1.2</w:t>
      </w:r>
      <w:r w:rsidR="007A4A0D">
        <w:rPr>
          <w:rFonts w:eastAsia="Palatino" w:cs="Palatino"/>
        </w:rPr>
        <w:t>2</w:t>
      </w:r>
      <w:r w:rsidRPr="00D867E8">
        <w:rPr>
          <w:rFonts w:eastAsia="Palatino" w:cs="Palatino"/>
        </w:rPr>
        <w:t xml:space="preserve">6 billion, three-location project represents five times the size of </w:t>
      </w:r>
      <w:r w:rsidR="005B0565">
        <w:rPr>
          <w:rFonts w:eastAsia="Palatino" w:cs="Palatino"/>
        </w:rPr>
        <w:t>AME</w:t>
      </w:r>
      <w:r w:rsidRPr="00D867E8" w:rsidR="005B0565">
        <w:rPr>
          <w:rFonts w:eastAsia="Palatino" w:cs="Palatino"/>
        </w:rPr>
        <w:t xml:space="preserve">’s </w:t>
      </w:r>
      <w:r w:rsidRPr="00D867E8">
        <w:rPr>
          <w:rFonts w:eastAsia="Palatino" w:cs="Palatino"/>
        </w:rPr>
        <w:t>previous projects.</w:t>
      </w:r>
      <w:r w:rsidRPr="32053FB0">
        <w:rPr>
          <w:rStyle w:val="FootnoteReference"/>
          <w:rFonts w:ascii="Palatino Linotype" w:hAnsi="Palatino Linotype"/>
        </w:rPr>
        <w:footnoteReference w:id="37"/>
      </w:r>
    </w:p>
    <w:p w:rsidRPr="00D867E8" w:rsidR="002120C5" w:rsidRDefault="002120C5" w14:paraId="7F0AF2E3" w14:textId="77777777">
      <w:pPr>
        <w:rPr>
          <w:rFonts w:eastAsia="Palatino" w:cs="Palatino"/>
        </w:rPr>
      </w:pPr>
    </w:p>
    <w:p w:rsidRPr="00D867E8" w:rsidR="002120C5" w:rsidRDefault="002120C5" w14:paraId="367ED075" w14:textId="340C33B9">
      <w:pPr>
        <w:rPr>
          <w:rFonts w:eastAsia="Palatino" w:cs="Palatino"/>
        </w:rPr>
      </w:pPr>
      <w:r w:rsidRPr="00D867E8">
        <w:rPr>
          <w:rFonts w:eastAsia="Palatino" w:cs="Palatino"/>
        </w:rPr>
        <w:t>Cal Advocates argues that the Commission could protect ratepayers from potential project failure and achieve risk mitigation by removing the smallest project (Etiwanda).</w:t>
      </w:r>
      <w:r w:rsidRPr="32053FB0">
        <w:rPr>
          <w:rStyle w:val="FootnoteReference"/>
          <w:rFonts w:ascii="Palatino Linotype" w:hAnsi="Palatino Linotype"/>
        </w:rPr>
        <w:footnoteReference w:id="38"/>
      </w:r>
    </w:p>
    <w:p w:rsidRPr="00D867E8" w:rsidR="005C1559" w:rsidRDefault="005C1559" w14:paraId="35C98209" w14:textId="77777777">
      <w:pPr>
        <w:rPr>
          <w:rFonts w:eastAsia="Palatino" w:cs="Palatino"/>
        </w:rPr>
      </w:pPr>
    </w:p>
    <w:p w:rsidRPr="00D867E8" w:rsidR="005C1559" w:rsidRDefault="00070EE6" w14:paraId="455A6369" w14:textId="428695CB">
      <w:pPr>
        <w:rPr>
          <w:rFonts w:eastAsia="Palatino" w:cs="Palatino"/>
          <w:b/>
        </w:rPr>
      </w:pPr>
      <w:r w:rsidRPr="00D867E8">
        <w:rPr>
          <w:rFonts w:eastAsia="Palatino" w:cs="Palatino"/>
        </w:rPr>
        <w:t xml:space="preserve">Broad </w:t>
      </w:r>
      <w:r w:rsidR="00F21C03">
        <w:rPr>
          <w:rFonts w:eastAsia="Palatino" w:cs="Palatino"/>
        </w:rPr>
        <w:t>Reach</w:t>
      </w:r>
      <w:r w:rsidRPr="00D867E8" w:rsidR="00F21C03">
        <w:rPr>
          <w:rFonts w:eastAsia="Palatino" w:cs="Palatino"/>
        </w:rPr>
        <w:t xml:space="preserve"> </w:t>
      </w:r>
      <w:r w:rsidRPr="00D867E8">
        <w:rPr>
          <w:rFonts w:eastAsia="Palatino" w:cs="Palatino"/>
        </w:rPr>
        <w:t>notes that by its own admission, SCE acknowledges that the required substation for interconnection is out of service and that its associated 66 kV line would be removed.</w:t>
      </w:r>
      <w:r w:rsidRPr="32053FB0">
        <w:rPr>
          <w:rStyle w:val="FootnoteReference"/>
          <w:rFonts w:ascii="Palatino Linotype" w:hAnsi="Palatino Linotype"/>
        </w:rPr>
        <w:footnoteReference w:id="39"/>
      </w:r>
      <w:r w:rsidRPr="00D867E8">
        <w:rPr>
          <w:rFonts w:eastAsia="Palatino" w:cs="Palatino"/>
        </w:rPr>
        <w:t xml:space="preserve"> Assuming this status is remains accurate, the lack of substation accessibility threatens the project’s viability.</w:t>
      </w:r>
    </w:p>
    <w:p w:rsidRPr="00D867E8" w:rsidR="00BC7600" w:rsidRDefault="00BC7600" w14:paraId="6E384C6B" w14:textId="00D88D1A">
      <w:pPr>
        <w:rPr>
          <w:rFonts w:eastAsia="Palatino" w:cs="Palatino"/>
          <w:b/>
        </w:rPr>
      </w:pPr>
    </w:p>
    <w:p w:rsidRPr="00D867E8" w:rsidR="00BC7600" w:rsidRDefault="00BC7600" w14:paraId="0EA9C509" w14:textId="09046CBF">
      <w:pPr>
        <w:rPr>
          <w:rFonts w:eastAsia="Palatino" w:cs="Palatino"/>
          <w:b/>
        </w:rPr>
      </w:pPr>
      <w:r w:rsidRPr="00D867E8">
        <w:rPr>
          <w:rFonts w:eastAsia="Palatino" w:cs="Palatino"/>
          <w:b/>
        </w:rPr>
        <w:t>MTR Allocation</w:t>
      </w:r>
    </w:p>
    <w:p w:rsidR="00BE7C57" w:rsidP="00BE7C57" w:rsidRDefault="00BE7C57" w14:paraId="1D3AEA31" w14:textId="77777777">
      <w:pPr>
        <w:rPr>
          <w:rFonts w:eastAsia="Palatino" w:cs="Palatino"/>
        </w:rPr>
      </w:pPr>
    </w:p>
    <w:p w:rsidR="00BE7C57" w:rsidP="00BE7C57" w:rsidRDefault="00BE7C57" w14:paraId="7494AC7E" w14:textId="47081C85">
      <w:pPr>
        <w:rPr>
          <w:rFonts w:eastAsia="Palatino" w:cs="Palatino"/>
        </w:rPr>
      </w:pPr>
      <w:r w:rsidRPr="29F62D9F">
        <w:rPr>
          <w:rFonts w:eastAsia="Palatino" w:cs="Palatino"/>
        </w:rPr>
        <w:t>CESA and Strata argue that SCE’s project should not be MTR-eligible unless SCE can demonstrate interconnection. However, CESA states that, in the event the Commission treats the resource as an immediate market asset, the resource can receive eligibility through a full application process.</w:t>
      </w:r>
    </w:p>
    <w:p w:rsidRPr="00D867E8" w:rsidR="00EF2734" w:rsidRDefault="00EF2734" w14:paraId="6A5B5CA7" w14:textId="7818BBC2">
      <w:pPr>
        <w:rPr>
          <w:rFonts w:eastAsia="Palatino" w:cs="Palatino"/>
          <w:b/>
        </w:rPr>
      </w:pPr>
    </w:p>
    <w:p w:rsidRPr="00653218" w:rsidR="008D2AA0" w:rsidP="008D2AA0" w:rsidRDefault="008D2AA0" w14:paraId="0EAA5E66" w14:textId="781FBEE1">
      <w:pPr>
        <w:rPr>
          <w:rFonts w:eastAsia="Palatino" w:cs="Palatino"/>
        </w:rPr>
      </w:pPr>
      <w:r w:rsidRPr="00653218">
        <w:rPr>
          <w:rFonts w:eastAsia="Palatino" w:cs="Palatino"/>
        </w:rPr>
        <w:t xml:space="preserve">Should the Commission approve SCE’s resources for CAM treatment beyond 2023, AReM-DACC and Shell request that the Commission allow non-utility LSEs </w:t>
      </w:r>
      <w:r w:rsidRPr="00653218" w:rsidR="4A9958B3">
        <w:rPr>
          <w:rFonts w:eastAsia="Palatino" w:cs="Palatino"/>
        </w:rPr>
        <w:t xml:space="preserve">to </w:t>
      </w:r>
      <w:r w:rsidRPr="00653218">
        <w:rPr>
          <w:rFonts w:eastAsia="Palatino" w:cs="Palatino"/>
        </w:rPr>
        <w:t>count SCE’s procurement toward non-utility LSEs’ MTR obligations. Such provision would include details on notifying non-utility LSEs whose customers will be paying for SCE’s procurement.</w:t>
      </w:r>
      <w:r w:rsidRPr="12BD28A4">
        <w:rPr>
          <w:rStyle w:val="FootnoteReference"/>
          <w:rFonts w:ascii="Palatino Linotype" w:hAnsi="Palatino Linotype"/>
        </w:rPr>
        <w:footnoteReference w:id="40"/>
      </w:r>
      <w:r w:rsidRPr="00653218">
        <w:rPr>
          <w:rFonts w:eastAsia="Palatino" w:cs="Palatino"/>
        </w:rPr>
        <w:t xml:space="preserve"> In the event incremental resources are not CAISO-interconnected in time to meet the MTR requirements, penalties should only be borne by SCE.</w:t>
      </w:r>
      <w:r w:rsidRPr="12BD28A4">
        <w:rPr>
          <w:rStyle w:val="FootnoteReference"/>
          <w:rFonts w:ascii="Palatino Linotype" w:hAnsi="Palatino Linotype"/>
        </w:rPr>
        <w:footnoteReference w:id="41"/>
      </w:r>
      <w:r w:rsidRPr="00653218">
        <w:rPr>
          <w:rFonts w:eastAsia="Palatino" w:cs="Palatino"/>
        </w:rPr>
        <w:t xml:space="preserve"> Moreover, MTR tranches and details should be established so that LSEs can allocate the procurement to the appropriate obligation. (</w:t>
      </w:r>
      <w:r w:rsidRPr="00653218">
        <w:rPr>
          <w:rFonts w:eastAsia="Palatino" w:cs="Palatino"/>
          <w:i/>
        </w:rPr>
        <w:t>i.e.</w:t>
      </w:r>
      <w:r w:rsidRPr="00653218">
        <w:rPr>
          <w:rFonts w:eastAsia="Palatino" w:cs="Palatino"/>
        </w:rPr>
        <w:t>, treatment of SCE’s storage resource charged from the grid versus from a renewable resource).</w:t>
      </w:r>
      <w:r w:rsidRPr="12BD28A4">
        <w:rPr>
          <w:rStyle w:val="FootnoteReference"/>
          <w:rFonts w:ascii="Palatino Linotype" w:hAnsi="Palatino Linotype"/>
        </w:rPr>
        <w:footnoteReference w:id="42"/>
      </w:r>
    </w:p>
    <w:p w:rsidR="00BC7600" w:rsidRDefault="00BC7600" w14:paraId="02081063" w14:textId="77777777"/>
    <w:p w:rsidR="00AA332F" w:rsidP="00594100" w:rsidRDefault="00AA332F" w14:paraId="1799EB69" w14:textId="162F7B0C">
      <w:r w:rsidRPr="00DF57F9">
        <w:rPr>
          <w:b/>
          <w:bCs/>
          <w:u w:val="single"/>
        </w:rPr>
        <w:lastRenderedPageBreak/>
        <w:t>SCE R</w:t>
      </w:r>
      <w:r w:rsidR="004C54D1">
        <w:rPr>
          <w:b/>
          <w:bCs/>
          <w:u w:val="single"/>
        </w:rPr>
        <w:t>EPLY TO PROTESTS</w:t>
      </w:r>
    </w:p>
    <w:p w:rsidR="00AA332F" w:rsidP="00594100" w:rsidRDefault="00AA332F" w14:paraId="00124B6A" w14:textId="77777777"/>
    <w:p w:rsidR="006313F3" w:rsidP="00594100" w:rsidRDefault="00ED68D8" w14:paraId="22E3F43A" w14:textId="11E0D0FA">
      <w:r>
        <w:t>On November 5, 2021</w:t>
      </w:r>
      <w:r w:rsidR="006313F3">
        <w:t>,</w:t>
      </w:r>
      <w:r>
        <w:t xml:space="preserve"> </w:t>
      </w:r>
      <w:r w:rsidR="00594100">
        <w:t xml:space="preserve">SCE </w:t>
      </w:r>
      <w:r w:rsidR="003E6162">
        <w:t>timely</w:t>
      </w:r>
      <w:r w:rsidR="00594100">
        <w:t xml:space="preserve"> responded to the protests </w:t>
      </w:r>
      <w:r w:rsidR="002D3D8A">
        <w:t xml:space="preserve">and responses </w:t>
      </w:r>
      <w:r w:rsidR="00594100">
        <w:t xml:space="preserve">of </w:t>
      </w:r>
      <w:r w:rsidR="002D3D8A">
        <w:t>Cal Advocates</w:t>
      </w:r>
      <w:r w:rsidR="00F05C5A">
        <w:t>,</w:t>
      </w:r>
      <w:r w:rsidR="00CB1514">
        <w:t xml:space="preserve"> </w:t>
      </w:r>
      <w:r w:rsidR="00950B89">
        <w:t xml:space="preserve">8minute, </w:t>
      </w:r>
      <w:r w:rsidR="002D3D8A">
        <w:t xml:space="preserve">ACP-CA, </w:t>
      </w:r>
      <w:r w:rsidR="00BF751E">
        <w:t xml:space="preserve">AReM-DACC, </w:t>
      </w:r>
      <w:r w:rsidR="002D3D8A">
        <w:t xml:space="preserve">Aypa, Broach Reach, </w:t>
      </w:r>
      <w:r w:rsidR="00950B89">
        <w:t xml:space="preserve">CESA, </w:t>
      </w:r>
      <w:r w:rsidR="002D3D8A">
        <w:t xml:space="preserve">Clearway, </w:t>
      </w:r>
      <w:r w:rsidR="00950B89">
        <w:t xml:space="preserve">Hecate, </w:t>
      </w:r>
      <w:r w:rsidR="002D3D8A">
        <w:t xml:space="preserve">IEP-LSA, </w:t>
      </w:r>
      <w:r w:rsidR="00C47306">
        <w:t xml:space="preserve">SEIA, </w:t>
      </w:r>
      <w:r w:rsidR="002D3D8A">
        <w:t xml:space="preserve">Shell, Strata, UES, </w:t>
      </w:r>
      <w:r w:rsidR="007568EA">
        <w:t xml:space="preserve">Vote Solar, </w:t>
      </w:r>
      <w:r w:rsidR="00C47306">
        <w:t xml:space="preserve">and </w:t>
      </w:r>
      <w:r w:rsidR="002D3D8A">
        <w:t>WPTF</w:t>
      </w:r>
      <w:r w:rsidR="00C47306">
        <w:t>.</w:t>
      </w:r>
    </w:p>
    <w:p w:rsidR="00C964FE" w:rsidP="00594100" w:rsidRDefault="002D3D8A" w14:paraId="087BD438" w14:textId="71B75FD2">
      <w:r>
        <w:t xml:space="preserve"> </w:t>
      </w:r>
    </w:p>
    <w:p w:rsidR="002D3D8A" w:rsidP="00594100" w:rsidRDefault="00442EA4" w14:paraId="0BCD9E6B" w14:textId="56791652">
      <w:r>
        <w:t xml:space="preserve">SCE explains how it has leveraged its unique position as an IOU and distribution system operator to respond to emergency procurement needs. </w:t>
      </w:r>
      <w:r w:rsidR="001B2241">
        <w:t>SCE states that only SCE can own and operate distribution assets on its existing substation parcels and connect to non-CAISO-controlled portions of the grid outside of the traditional interconnection process. Furthermore, it has the benefit that permitting of assets sited at utility-owned substations and connected to the distribution system is exclusively within the jurisdiction of the Commission. Additionally, SCE states that its unique position as a load serving entity and distribution owner and operator allows it to directly control the storage devices outside of the CAISO market and adjust its load bids to reflect the capacity of the resource.</w:t>
      </w:r>
      <w:r w:rsidR="001B2241">
        <w:rPr>
          <w:rStyle w:val="FootnoteReference"/>
        </w:rPr>
        <w:footnoteReference w:id="43"/>
      </w:r>
    </w:p>
    <w:p w:rsidR="002C03DB" w:rsidP="00594100" w:rsidRDefault="002C03DB" w14:paraId="539330AD" w14:textId="77777777"/>
    <w:p w:rsidR="003A5FA6" w:rsidP="003A5FA6" w:rsidRDefault="00A15F30" w14:paraId="394277CF" w14:textId="56131D22">
      <w:r>
        <w:t xml:space="preserve">In response to questions about the </w:t>
      </w:r>
      <w:r w:rsidR="00B92EF8">
        <w:t>operation and capacity value of the UOS while the projects are operating as distribution assets</w:t>
      </w:r>
      <w:r w:rsidR="00F85632">
        <w:t xml:space="preserve">, SCE states that </w:t>
      </w:r>
      <w:r w:rsidR="003A5FA6">
        <w:t>it</w:t>
      </w:r>
      <w:r w:rsidR="00F85632">
        <w:t xml:space="preserve"> </w:t>
      </w:r>
      <w:r w:rsidR="003A5FA6">
        <w:t xml:space="preserve">intends to reflect the charge and discharge of the UOS </w:t>
      </w:r>
      <w:r w:rsidR="006D0D4B">
        <w:t>projects</w:t>
      </w:r>
      <w:r w:rsidR="003A5FA6">
        <w:t xml:space="preserve"> in its daily day-ahead</w:t>
      </w:r>
      <w:r w:rsidR="00146179">
        <w:t xml:space="preserve"> </w:t>
      </w:r>
      <w:r w:rsidR="003A5FA6">
        <w:t xml:space="preserve">load bid to the CAISO. Based on SCE’s forecast of expected periods of </w:t>
      </w:r>
      <w:r w:rsidR="614398C8">
        <w:t>abundant</w:t>
      </w:r>
      <w:r w:rsidR="31E017F3">
        <w:t xml:space="preserve"> </w:t>
      </w:r>
      <w:r w:rsidR="614398C8">
        <w:t>energy</w:t>
      </w:r>
      <w:r w:rsidR="003A5FA6">
        <w:t xml:space="preserve">, SCE will plan to charge the UOS Projects during those periods and reflect that increased load in its load bid for those hours. Conversely, based on SCE’s forecast of the periods of most need, SCE will plan to discharge the UOS </w:t>
      </w:r>
      <w:r w:rsidR="0052299E">
        <w:t xml:space="preserve">projects </w:t>
      </w:r>
      <w:r w:rsidR="003A5FA6">
        <w:t>during those periods and make a corresponding decrease to its load bid for those hours.</w:t>
      </w:r>
    </w:p>
    <w:p w:rsidR="003A5FA6" w:rsidP="003A5FA6" w:rsidRDefault="003A5FA6" w14:paraId="38FFE4B6" w14:textId="77777777"/>
    <w:p w:rsidR="002C03DB" w:rsidP="00594100" w:rsidRDefault="003A5FA6" w14:paraId="77466B3C" w14:textId="148193B3">
      <w:r>
        <w:t>During the summer, this charge and discharge cycle typically occurs during periods of abundant solar generation in the middle of the day, and during the net peak for the times of most need. The difference in value of these periods reflect the energy value of</w:t>
      </w:r>
      <w:r w:rsidRPr="00872448" w:rsidR="00872448">
        <w:t xml:space="preserve"> </w:t>
      </w:r>
      <w:r w:rsidR="00872448">
        <w:t xml:space="preserve">the resource. In real-time, SCE will operate the individual UOS </w:t>
      </w:r>
      <w:r w:rsidR="002F09CD">
        <w:t>projects</w:t>
      </w:r>
      <w:r w:rsidR="00872448">
        <w:t xml:space="preserve"> consistent with its load adjustment unless other reliability needs, including local distribution system needs, arise that would require a change in operation to meet that emergent need.</w:t>
      </w:r>
    </w:p>
    <w:p w:rsidR="003F4B6D" w:rsidP="00872448" w:rsidRDefault="003F4B6D" w14:paraId="7BAD1B7E" w14:textId="77777777"/>
    <w:p w:rsidR="003F4B6D" w:rsidP="003F4B6D" w:rsidRDefault="003F4B6D" w14:paraId="00195E1C" w14:textId="24EDA0C1">
      <w:r>
        <w:lastRenderedPageBreak/>
        <w:t xml:space="preserve">Additionally, SCE states that the UOS projects' load reduction will be reflected in future California Energy Commission </w:t>
      </w:r>
      <w:r w:rsidR="006F2F7E">
        <w:t>(</w:t>
      </w:r>
      <w:r>
        <w:t>"CEC"</w:t>
      </w:r>
      <w:r w:rsidR="006F2F7E">
        <w:t>)</w:t>
      </w:r>
      <w:r>
        <w:t xml:space="preserve"> load forecasts for RA compliance. SCE plans to work directly with the CEC to ensure the proper application of this</w:t>
      </w:r>
    </w:p>
    <w:p w:rsidR="003F4B6D" w:rsidP="003F4B6D" w:rsidRDefault="003F4B6D" w14:paraId="29223EF7" w14:textId="4DCBDB4A">
      <w:r>
        <w:t>load reduction and that all benefitting customers receive their equal share of this load reduction or work with the Commission’s Energy Division to allocate the load reduction so that it is reflected</w:t>
      </w:r>
      <w:r w:rsidR="00D94939">
        <w:t xml:space="preserve"> </w:t>
      </w:r>
      <w:r>
        <w:t>in the RA compliance filings of LSEs in SCE’s service territory.</w:t>
      </w:r>
    </w:p>
    <w:p w:rsidR="00CF17DE" w:rsidRDefault="00CF17DE" w14:paraId="30C5808A" w14:textId="4F6738A4"/>
    <w:p w:rsidR="00766FA1" w:rsidRDefault="004F11A0" w14:paraId="45F4D441" w14:textId="42A90207">
      <w:pPr>
        <w:rPr>
          <w:b/>
          <w:bCs/>
        </w:rPr>
      </w:pPr>
      <w:r>
        <w:rPr>
          <w:b/>
          <w:bCs/>
        </w:rPr>
        <w:t>Interconnection</w:t>
      </w:r>
    </w:p>
    <w:p w:rsidR="00BD494B" w:rsidRDefault="00BD494B" w14:paraId="4A387654" w14:textId="73205685">
      <w:pPr>
        <w:rPr>
          <w:b/>
          <w:bCs/>
        </w:rPr>
      </w:pPr>
    </w:p>
    <w:p w:rsidR="00BD494B" w:rsidP="00465EBA" w:rsidRDefault="004F11A0" w14:paraId="3AA41CA2" w14:textId="40D54334">
      <w:r>
        <w:t>SCE states that it "</w:t>
      </w:r>
      <w:r w:rsidR="00465EBA">
        <w:t>strove to minimize impacts on its distribution customers and has preserved open and non-discriminatory access to its distribution system while responding to the Emergency Proclamation."</w:t>
      </w:r>
      <w:r w:rsidR="00465EBA">
        <w:rPr>
          <w:rStyle w:val="FootnoteReference"/>
        </w:rPr>
        <w:footnoteReference w:id="44"/>
      </w:r>
      <w:r w:rsidR="00B437AD">
        <w:t xml:space="preserve"> I</w:t>
      </w:r>
      <w:r w:rsidR="61278CA9">
        <w:t>n</w:t>
      </w:r>
      <w:r w:rsidR="00B437AD">
        <w:t xml:space="preserve"> order to do this, SCE states that it will be </w:t>
      </w:r>
      <w:r w:rsidR="00361DCF">
        <w:t xml:space="preserve">adding a 220/66 kV transformer at both the Springvale and Etiwanda substations in order to increase capacity to accommodate load growth or additional </w:t>
      </w:r>
      <w:r w:rsidR="00E0521A">
        <w:t>distributed energy resources at those sites. S</w:t>
      </w:r>
      <w:r w:rsidR="003C398A">
        <w:t xml:space="preserve">imilar upgrades are taking place at the Hinson substation. </w:t>
      </w:r>
      <w:r w:rsidR="006223DD">
        <w:t xml:space="preserve">Overall, SCE states that the upgrades will result in over 300 MW of additional </w:t>
      </w:r>
      <w:r w:rsidR="4B6DABDE">
        <w:t>capacity</w:t>
      </w:r>
      <w:r w:rsidR="00DA52A0">
        <w:t xml:space="preserve"> that customers already in the interconnection queue may be able to leverage</w:t>
      </w:r>
      <w:r w:rsidR="2ADC807E">
        <w:t>, as they would when SCE installs distribution upgrades to accommodate overall system growth and evolving customer needs</w:t>
      </w:r>
      <w:r w:rsidR="1FDFB5EB">
        <w:t>.</w:t>
      </w:r>
      <w:r w:rsidR="00DA52A0">
        <w:rPr>
          <w:rStyle w:val="FootnoteReference"/>
        </w:rPr>
        <w:footnoteReference w:id="45"/>
      </w:r>
    </w:p>
    <w:p w:rsidR="009D2EC3" w:rsidP="00465EBA" w:rsidRDefault="009D2EC3" w14:paraId="3F6E8201" w14:textId="0D7E3CFA"/>
    <w:p w:rsidR="0A8C8FFD" w:rsidP="7C15153C" w:rsidRDefault="0A8C8FFD" w14:paraId="6E609354" w14:textId="639C8727">
      <w:pPr>
        <w:rPr>
          <w:szCs w:val="26"/>
        </w:rPr>
      </w:pPr>
      <w:r w:rsidRPr="13F8AA0B">
        <w:rPr>
          <w:szCs w:val="26"/>
        </w:rPr>
        <w:t>SCE provides the following table which details these</w:t>
      </w:r>
      <w:r w:rsidRPr="5A9CD619">
        <w:rPr>
          <w:szCs w:val="26"/>
        </w:rPr>
        <w:t xml:space="preserve"> expected </w:t>
      </w:r>
      <w:r w:rsidRPr="30BCF95C" w:rsidR="31645EFD">
        <w:rPr>
          <w:szCs w:val="26"/>
        </w:rPr>
        <w:t xml:space="preserve">system </w:t>
      </w:r>
      <w:r w:rsidRPr="30BCF95C">
        <w:rPr>
          <w:szCs w:val="26"/>
        </w:rPr>
        <w:t>benefits</w:t>
      </w:r>
      <w:r w:rsidRPr="7DEEEC20">
        <w:rPr>
          <w:szCs w:val="26"/>
        </w:rPr>
        <w:t>:</w:t>
      </w:r>
    </w:p>
    <w:p w:rsidR="7DEEEC20" w:rsidP="7DEEEC20" w:rsidRDefault="2BC5D5FB" w14:paraId="04E022C3" w14:textId="515CC663">
      <w:pPr>
        <w:rPr>
          <w:szCs w:val="26"/>
        </w:rPr>
      </w:pPr>
      <w:r>
        <w:rPr>
          <w:noProof/>
          <w:color w:val="2B579A"/>
          <w:shd w:val="clear" w:color="auto" w:fill="E6E6E6"/>
        </w:rPr>
        <w:drawing>
          <wp:inline distT="0" distB="0" distL="0" distR="0" wp14:anchorId="02911E52" wp14:editId="31948283">
            <wp:extent cx="6057900" cy="1060132"/>
            <wp:effectExtent l="0" t="0" r="0" b="0"/>
            <wp:docPr id="467407530" name="Picture 46740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57900" cy="1060132"/>
                    </a:xfrm>
                    <a:prstGeom prst="rect">
                      <a:avLst/>
                    </a:prstGeom>
                  </pic:spPr>
                </pic:pic>
              </a:graphicData>
            </a:graphic>
          </wp:inline>
        </w:drawing>
      </w:r>
    </w:p>
    <w:p w:rsidR="4A626BA1" w:rsidP="4A626BA1" w:rsidRDefault="4A626BA1" w14:paraId="45BF31D8" w14:textId="686E1244"/>
    <w:p w:rsidR="009D2EC3" w:rsidP="776EFBAA" w:rsidRDefault="39E80065" w14:paraId="47B7029F" w14:textId="402610FD">
      <w:pPr>
        <w:rPr>
          <w:rStyle w:val="FootnoteReference"/>
        </w:rPr>
      </w:pPr>
      <w:r>
        <w:t xml:space="preserve">Additionally, SCE states that it is not </w:t>
      </w:r>
      <w:r w:rsidR="31075156">
        <w:t>violating federal open access requirements since the projects will operate as</w:t>
      </w:r>
      <w:r w:rsidDel="31075156" w:rsidR="009D2EC3">
        <w:t xml:space="preserve"> </w:t>
      </w:r>
      <w:r w:rsidR="28CF42A9">
        <w:t>distribution</w:t>
      </w:r>
      <w:r w:rsidR="16CE7B14">
        <w:t>-level</w:t>
      </w:r>
      <w:r w:rsidR="28CF42A9">
        <w:t xml:space="preserve"> assets</w:t>
      </w:r>
      <w:r w:rsidR="649706EA">
        <w:t xml:space="preserve"> </w:t>
      </w:r>
      <w:r w:rsidR="2A4B811B">
        <w:t>that do not participate in the CAISO market</w:t>
      </w:r>
      <w:r w:rsidRPr="00940C28" w:rsidR="00940C28">
        <w:t xml:space="preserve"> </w:t>
      </w:r>
      <w:r w:rsidR="00940C28">
        <w:t>for the first five years of operation</w:t>
      </w:r>
      <w:r w:rsidR="4BAEA516">
        <w:t xml:space="preserve">. SCE asserts that </w:t>
      </w:r>
      <w:r w:rsidR="7103126E">
        <w:t xml:space="preserve">the initial operation of these projects </w:t>
      </w:r>
      <w:r w:rsidR="2A4B811B">
        <w:t xml:space="preserve">is outside the jurisdiction of FERC and within the </w:t>
      </w:r>
      <w:r w:rsidR="159B64B1">
        <w:t>Commission</w:t>
      </w:r>
      <w:r w:rsidR="00271730">
        <w:t>'</w:t>
      </w:r>
      <w:r w:rsidR="159B64B1">
        <w:t>s</w:t>
      </w:r>
      <w:r w:rsidR="2A4B811B">
        <w:t xml:space="preserve"> exclusive jurisdiction.</w:t>
      </w:r>
    </w:p>
    <w:p w:rsidR="08F0CB26" w:rsidP="08F0CB26" w:rsidRDefault="08F0CB26" w14:paraId="0D8B1466" w14:textId="5E0959F9"/>
    <w:p w:rsidR="0EE46546" w:rsidP="0EE46546" w:rsidRDefault="2D976AB5" w14:paraId="686C9319" w14:textId="6A7FCE0B">
      <w:r>
        <w:lastRenderedPageBreak/>
        <w:t>Specifically, SCE argues that “[b]ecause SCE will connect the UOS Projects at its existing substations to 66 kV sub transmission systems considered local distribution by FERC and CAISO and will not initially participate in the CAISO market, the WDAT does not apply here as a matter of law. SCE is thus not required to submit an interconnection request under it to connect UOS as a distribution asset. When, in the future...SCE transitions the use of the UOS Projects from a distribution asset to a storage resource that participates in the wholesale market, it will submit an interconnection request to do so pursuant to the WDAT. SCE will thereafter proceed through the interconnection process like any other customer.”</w:t>
      </w:r>
      <w:r w:rsidRPr="0ACAA20A">
        <w:rPr>
          <w:rStyle w:val="FootnoteReference"/>
        </w:rPr>
        <w:footnoteReference w:id="46"/>
      </w:r>
    </w:p>
    <w:p w:rsidR="145F4C5F" w:rsidP="145F4C5F" w:rsidRDefault="145F4C5F" w14:paraId="4965A875" w14:textId="2C8BF613">
      <w:pPr>
        <w:rPr>
          <w:szCs w:val="26"/>
        </w:rPr>
      </w:pPr>
    </w:p>
    <w:p w:rsidR="001468ED" w:rsidP="00465EBA" w:rsidRDefault="001468ED" w14:paraId="321192B1" w14:textId="60DFA49B">
      <w:pPr>
        <w:rPr>
          <w:b/>
          <w:bCs/>
        </w:rPr>
      </w:pPr>
      <w:r>
        <w:rPr>
          <w:b/>
          <w:bCs/>
        </w:rPr>
        <w:t>Permitting</w:t>
      </w:r>
    </w:p>
    <w:p w:rsidR="001468ED" w:rsidP="00465EBA" w:rsidRDefault="001468ED" w14:paraId="7EBAB6C1" w14:textId="5C021242">
      <w:pPr>
        <w:rPr>
          <w:b/>
          <w:bCs/>
        </w:rPr>
      </w:pPr>
    </w:p>
    <w:p w:rsidRPr="00F6252E" w:rsidR="001468ED" w:rsidP="218FD348" w:rsidRDefault="00EE3D76" w14:paraId="7EAE7A4F" w14:textId="721AF16E">
      <w:r>
        <w:t>SCE responds that the Commission should reject Aypa and Broad Reach's contentions that the UOS projects</w:t>
      </w:r>
      <w:r w:rsidR="00AF7020">
        <w:t xml:space="preserve"> are not subject to emergency exemption </w:t>
      </w:r>
      <w:r w:rsidR="7E5C8148">
        <w:t>from</w:t>
      </w:r>
      <w:r w:rsidR="00AF7020">
        <w:t xml:space="preserve"> </w:t>
      </w:r>
      <w:r w:rsidR="00FE7085">
        <w:t>permitting requirements</w:t>
      </w:r>
      <w:r w:rsidR="02A7F1E6">
        <w:t>,</w:t>
      </w:r>
      <w:r w:rsidR="00FE7085">
        <w:t xml:space="preserve"> </w:t>
      </w:r>
      <w:r w:rsidR="02A7F1E6">
        <w:t xml:space="preserve">provided in the Governor’s Emergency Proclamation. </w:t>
      </w:r>
      <w:r w:rsidR="7B3A13D2">
        <w:t>Specifically</w:t>
      </w:r>
      <w:r w:rsidR="48BCA58F">
        <w:t>,</w:t>
      </w:r>
      <w:r w:rsidR="7B3A13D2">
        <w:t xml:space="preserve"> SCE notes that proclamation states that, both utilities and the CPUC are mandated to “act immediately to achieve energy stability during this emergency” and to accelerate plans for the “construction, procurement, and rapid deployment of new clean energy and storage projects to mitigate the risk of capacity shortages and increase the availability of carbon-free energy at all times of day.”</w:t>
      </w:r>
      <w:r w:rsidRPr="6E5D1AFB">
        <w:rPr>
          <w:rStyle w:val="FootnoteReference"/>
        </w:rPr>
        <w:footnoteReference w:id="47"/>
      </w:r>
    </w:p>
    <w:p w:rsidRPr="00F6252E" w:rsidR="001468ED" w:rsidP="24C6DC92" w:rsidRDefault="001468ED" w14:paraId="194B0EED" w14:textId="393A1165"/>
    <w:p w:rsidRPr="00F6252E" w:rsidR="001468ED" w:rsidP="00E24D77" w:rsidRDefault="02A7F1E6" w14:paraId="56834977" w14:textId="0ADB7CAB">
      <w:r>
        <w:t>SCE explains that</w:t>
      </w:r>
      <w:r w:rsidR="00FE7085">
        <w:t xml:space="preserve"> the UOS projects and associate</w:t>
      </w:r>
      <w:r w:rsidR="001F3D5E">
        <w:t>d</w:t>
      </w:r>
      <w:r w:rsidR="00FE7085">
        <w:t xml:space="preserve"> upgrades, facilities or modifications are being constructed in response to Commission decisions, the ACR and the Governor's Emergency Proclamation</w:t>
      </w:r>
      <w:r w:rsidR="0FEA5E60">
        <w:t>. Therefore, the projects</w:t>
      </w:r>
      <w:r w:rsidR="00FE7085">
        <w:t xml:space="preserve"> are statutorily exempt from GO 131-D compliance pursuant to </w:t>
      </w:r>
      <w:r w:rsidR="00E24D77">
        <w:t>GO 131-D, Section III.B.1.h, which governs the construction of projects by investor-owned utilities that are statutorily or categorically exempt pursuant to Section 15260 et seq. of the Guidelines adopted to implement the CEQA, 14 Code of California Regulations Section 15000 et seq.</w:t>
      </w:r>
      <w:r w:rsidR="00E24D77">
        <w:rPr>
          <w:rStyle w:val="FootnoteReference"/>
        </w:rPr>
        <w:footnoteReference w:id="48"/>
      </w:r>
    </w:p>
    <w:p w:rsidR="001468ED" w:rsidP="00465EBA" w:rsidRDefault="001468ED" w14:paraId="062D44A7" w14:textId="77777777">
      <w:pPr>
        <w:rPr>
          <w:b/>
          <w:bCs/>
        </w:rPr>
      </w:pPr>
    </w:p>
    <w:p w:rsidR="412BB69E" w:rsidP="70A8B37F" w:rsidRDefault="412BB69E" w14:paraId="087B218D" w14:textId="58B0AFFA">
      <w:pPr>
        <w:rPr>
          <w:szCs w:val="26"/>
        </w:rPr>
      </w:pPr>
      <w:r>
        <w:rPr>
          <w:szCs w:val="26"/>
        </w:rPr>
        <w:t>In response to</w:t>
      </w:r>
      <w:r w:rsidRPr="5FAFD5C3">
        <w:rPr>
          <w:szCs w:val="26"/>
        </w:rPr>
        <w:t xml:space="preserve"> </w:t>
      </w:r>
      <w:r w:rsidRPr="51641373" w:rsidR="60458A69">
        <w:rPr>
          <w:szCs w:val="26"/>
        </w:rPr>
        <w:t>Aypa and Broad Reach’s</w:t>
      </w:r>
      <w:r w:rsidRPr="51641373">
        <w:rPr>
          <w:szCs w:val="26"/>
        </w:rPr>
        <w:t xml:space="preserve"> </w:t>
      </w:r>
      <w:r w:rsidRPr="5809D396" w:rsidR="0FF75998">
        <w:rPr>
          <w:szCs w:val="26"/>
        </w:rPr>
        <w:t xml:space="preserve">argument </w:t>
      </w:r>
      <w:r w:rsidRPr="4D6E96E5" w:rsidR="0FF75998">
        <w:rPr>
          <w:szCs w:val="26"/>
        </w:rPr>
        <w:t xml:space="preserve">that </w:t>
      </w:r>
      <w:r w:rsidRPr="5AB6EF02" w:rsidR="0FF75998">
        <w:rPr>
          <w:szCs w:val="26"/>
        </w:rPr>
        <w:t xml:space="preserve">a </w:t>
      </w:r>
      <w:r w:rsidRPr="619E7DEB" w:rsidR="51CD0139">
        <w:rPr>
          <w:szCs w:val="26"/>
        </w:rPr>
        <w:t xml:space="preserve">PTC or a </w:t>
      </w:r>
      <w:r w:rsidRPr="70A8B37F">
        <w:rPr>
          <w:szCs w:val="26"/>
        </w:rPr>
        <w:t>CPCN</w:t>
      </w:r>
      <w:r w:rsidRPr="2842A9FA" w:rsidR="51CD0139">
        <w:rPr>
          <w:szCs w:val="26"/>
        </w:rPr>
        <w:t xml:space="preserve"> </w:t>
      </w:r>
      <w:r w:rsidRPr="44AD3118" w:rsidR="36B566F2">
        <w:rPr>
          <w:szCs w:val="26"/>
        </w:rPr>
        <w:t xml:space="preserve">is </w:t>
      </w:r>
      <w:r w:rsidRPr="3A11F467" w:rsidR="36B566F2">
        <w:rPr>
          <w:szCs w:val="26"/>
        </w:rPr>
        <w:t xml:space="preserve">necessary </w:t>
      </w:r>
      <w:r w:rsidRPr="70A8B37F">
        <w:rPr>
          <w:szCs w:val="26"/>
        </w:rPr>
        <w:t>because Resolution E-4949</w:t>
      </w:r>
      <w:r w:rsidRPr="468707FC" w:rsidR="541FF6B8">
        <w:rPr>
          <w:szCs w:val="26"/>
        </w:rPr>
        <w:t xml:space="preserve"> </w:t>
      </w:r>
      <w:r w:rsidRPr="622FF3AD" w:rsidR="541FF6B8">
        <w:rPr>
          <w:szCs w:val="26"/>
        </w:rPr>
        <w:t xml:space="preserve">noted that </w:t>
      </w:r>
      <w:r w:rsidRPr="70A8B37F">
        <w:rPr>
          <w:szCs w:val="26"/>
        </w:rPr>
        <w:t>PG&amp;E’s utility-owned</w:t>
      </w:r>
    </w:p>
    <w:p w:rsidR="412BB69E" w:rsidP="48D2A080" w:rsidRDefault="412BB69E" w14:paraId="295B47BA" w14:textId="0CDE2FAB">
      <w:pPr>
        <w:rPr>
          <w:szCs w:val="26"/>
        </w:rPr>
      </w:pPr>
      <w:r>
        <w:lastRenderedPageBreak/>
        <w:t xml:space="preserve">storage </w:t>
      </w:r>
      <w:r w:rsidR="4677015F">
        <w:t>was</w:t>
      </w:r>
      <w:r>
        <w:t xml:space="preserve"> subject to CEQA</w:t>
      </w:r>
      <w:r w:rsidR="001F3D5E">
        <w:t>.</w:t>
      </w:r>
      <w:r w:rsidR="4022A62C">
        <w:t xml:space="preserve"> SCE states </w:t>
      </w:r>
      <w:r w:rsidR="0E64AF69">
        <w:t>“</w:t>
      </w:r>
      <w:r w:rsidR="4022A62C">
        <w:t xml:space="preserve">that </w:t>
      </w:r>
      <w:r>
        <w:t xml:space="preserve">the storage project in that </w:t>
      </w:r>
      <w:r w:rsidR="4F14ACC2">
        <w:t xml:space="preserve">case </w:t>
      </w:r>
      <w:r>
        <w:t>was subject to</w:t>
      </w:r>
      <w:r w:rsidR="1FDC5AFA">
        <w:t xml:space="preserve"> </w:t>
      </w:r>
      <w:r>
        <w:t xml:space="preserve">CEQA review because it was in the coastal zone and required a coastal development </w:t>
      </w:r>
      <w:r w:rsidRPr="00BE3983">
        <w:t>permit from Monterey County through its state-delegated powers under the California</w:t>
      </w:r>
      <w:r w:rsidR="2EC4BC41">
        <w:t xml:space="preserve"> </w:t>
      </w:r>
      <w:r w:rsidRPr="00BE3983">
        <w:t>Coastal Act.</w:t>
      </w:r>
      <w:r w:rsidR="4F8484D9">
        <w:t>”</w:t>
      </w:r>
      <w:r w:rsidRPr="0E4791AC">
        <w:rPr>
          <w:rStyle w:val="FootnoteReference"/>
        </w:rPr>
        <w:footnoteReference w:id="49"/>
      </w:r>
      <w:r>
        <w:t xml:space="preserve"> </w:t>
      </w:r>
      <w:r w:rsidRPr="00BE3983">
        <w:t xml:space="preserve"> </w:t>
      </w:r>
      <w:r w:rsidR="0BEF26C5">
        <w:t xml:space="preserve">Further SCE notes that </w:t>
      </w:r>
      <w:r w:rsidR="0684210F">
        <w:t>in</w:t>
      </w:r>
      <w:r w:rsidR="0BEF26C5">
        <w:t xml:space="preserve"> E-4949 </w:t>
      </w:r>
      <w:r w:rsidR="1AFAEF01">
        <w:t xml:space="preserve">the </w:t>
      </w:r>
      <w:r w:rsidR="0BEF26C5">
        <w:t xml:space="preserve">Commission determined </w:t>
      </w:r>
      <w:r w:rsidR="68C37AD7">
        <w:t xml:space="preserve">no CPCN or PTC was required, </w:t>
      </w:r>
      <w:r w:rsidR="7E79B4B7">
        <w:t>therefore</w:t>
      </w:r>
      <w:r w:rsidR="68C37AD7">
        <w:t xml:space="preserve"> no CEQA review </w:t>
      </w:r>
      <w:r w:rsidR="3CFA2387">
        <w:t xml:space="preserve">by the Commission </w:t>
      </w:r>
      <w:r w:rsidR="68C37AD7">
        <w:t xml:space="preserve">was </w:t>
      </w:r>
      <w:r w:rsidR="4E71CF18">
        <w:t xml:space="preserve">triggered. </w:t>
      </w:r>
    </w:p>
    <w:p w:rsidR="57333414" w:rsidP="57333414" w:rsidRDefault="57333414" w14:paraId="4D098FA0" w14:textId="521CF6BC">
      <w:pPr>
        <w:rPr>
          <w:szCs w:val="26"/>
        </w:rPr>
      </w:pPr>
    </w:p>
    <w:p w:rsidRPr="00C259C2" w:rsidR="55794423" w:rsidP="55794423" w:rsidRDefault="1ED9C190" w14:paraId="6F38618B" w14:textId="328329ED">
      <w:pPr>
        <w:rPr>
          <w:szCs w:val="26"/>
        </w:rPr>
      </w:pPr>
      <w:r>
        <w:t xml:space="preserve">Finally, SCE asserts that its UOS </w:t>
      </w:r>
      <w:r w:rsidR="6FAB1516">
        <w:t>projects</w:t>
      </w:r>
      <w:r>
        <w:t>, l</w:t>
      </w:r>
      <w:r w:rsidRPr="00BE3983" w:rsidR="412BB69E">
        <w:t>ike the PG&amp;E storage project</w:t>
      </w:r>
      <w:r w:rsidR="52408550">
        <w:t xml:space="preserve"> approved in E-4949</w:t>
      </w:r>
      <w:r w:rsidRPr="00BE3983" w:rsidR="412BB69E">
        <w:t xml:space="preserve">, </w:t>
      </w:r>
      <w:r w:rsidR="0D15A4DD">
        <w:t>“</w:t>
      </w:r>
      <w:r w:rsidRPr="00BE3983" w:rsidR="412BB69E">
        <w:t>are located within substation property on</w:t>
      </w:r>
      <w:r w:rsidR="646B2AE2">
        <w:t xml:space="preserve"> </w:t>
      </w:r>
      <w:r w:rsidRPr="00BE3983" w:rsidR="412BB69E">
        <w:t>flat parcels that require minimal grading and are not located in High-Risk Fire Areas</w:t>
      </w:r>
      <w:r w:rsidR="136A0010">
        <w:t>”</w:t>
      </w:r>
      <w:r w:rsidRPr="0E4791AC">
        <w:rPr>
          <w:rStyle w:val="FootnoteReference"/>
        </w:rPr>
        <w:footnoteReference w:id="50"/>
      </w:r>
    </w:p>
    <w:p w:rsidR="55794423" w:rsidP="55794423" w:rsidRDefault="55794423" w14:paraId="3FC1FD5B" w14:textId="2587CE29">
      <w:pPr>
        <w:rPr>
          <w:b/>
          <w:bCs/>
          <w:szCs w:val="26"/>
        </w:rPr>
      </w:pPr>
    </w:p>
    <w:p w:rsidR="00465EBA" w:rsidP="00465EBA" w:rsidRDefault="0089752C" w14:paraId="3A8EB1AA" w14:textId="6735633F">
      <w:pPr>
        <w:rPr>
          <w:b/>
          <w:bCs/>
        </w:rPr>
      </w:pPr>
      <w:r>
        <w:rPr>
          <w:b/>
          <w:bCs/>
        </w:rPr>
        <w:t>Viability</w:t>
      </w:r>
    </w:p>
    <w:p w:rsidR="0089752C" w:rsidP="00465EBA" w:rsidRDefault="0089752C" w14:paraId="02432785" w14:textId="5ABE52E4">
      <w:pPr>
        <w:rPr>
          <w:b/>
          <w:bCs/>
        </w:rPr>
      </w:pPr>
    </w:p>
    <w:p w:rsidR="0089752C" w:rsidP="00465EBA" w:rsidRDefault="631EF886" w14:paraId="527EE0F3" w14:textId="7689388C">
      <w:r>
        <w:t xml:space="preserve">In response to </w:t>
      </w:r>
      <w:r w:rsidR="516AF82A">
        <w:t>Cal</w:t>
      </w:r>
      <w:r w:rsidR="00E911CD">
        <w:t xml:space="preserve"> Advocate</w:t>
      </w:r>
      <w:r w:rsidR="516AF82A">
        <w:t>’s</w:t>
      </w:r>
      <w:r>
        <w:t xml:space="preserve"> </w:t>
      </w:r>
      <w:r w:rsidR="141033A3">
        <w:t>viability concerns</w:t>
      </w:r>
      <w:r>
        <w:t xml:space="preserve">, </w:t>
      </w:r>
      <w:r w:rsidR="77956837">
        <w:t>SCE</w:t>
      </w:r>
      <w:r w:rsidR="0021515D">
        <w:t xml:space="preserve"> reiterates its arguments </w:t>
      </w:r>
      <w:r w:rsidR="77956837">
        <w:t>from</w:t>
      </w:r>
      <w:r w:rsidR="0021515D">
        <w:t xml:space="preserve"> the AL filing, that </w:t>
      </w:r>
      <w:r w:rsidR="001752E1">
        <w:t xml:space="preserve">it believes the August 1, </w:t>
      </w:r>
      <w:r w:rsidR="00A929D5">
        <w:t>2022,</w:t>
      </w:r>
      <w:r w:rsidR="001752E1">
        <w:t xml:space="preserve"> online date is reasonable as it selected sites </w:t>
      </w:r>
      <w:r w:rsidR="007351F9">
        <w:t>that facilitate e</w:t>
      </w:r>
      <w:r w:rsidR="00362AC1">
        <w:t xml:space="preserve">xpedited </w:t>
      </w:r>
      <w:r w:rsidR="00774933">
        <w:t xml:space="preserve">construction timelines. Additionally, </w:t>
      </w:r>
      <w:r w:rsidR="00781F5A">
        <w:t xml:space="preserve">SCE </w:t>
      </w:r>
      <w:r w:rsidR="004D54E4">
        <w:t xml:space="preserve">cites </w:t>
      </w:r>
      <w:r w:rsidR="00032603">
        <w:t>the track record of AME and its suppliers Contemporary Amperex Technology Co. Ltd. and Fle</w:t>
      </w:r>
      <w:r w:rsidR="0067682C">
        <w:t>xGen Power Systems, Inc. as well as contract provisions</w:t>
      </w:r>
      <w:r w:rsidR="003D16F5">
        <w:t xml:space="preserve"> such as termination rights and liquidated damages for unexcused delays </w:t>
      </w:r>
      <w:r w:rsidR="007C5A98">
        <w:t>that incent AME to deliver the project on time.</w:t>
      </w:r>
      <w:r w:rsidR="007C5A98">
        <w:rPr>
          <w:rStyle w:val="FootnoteReference"/>
        </w:rPr>
        <w:footnoteReference w:id="51"/>
      </w:r>
    </w:p>
    <w:p w:rsidR="00E50725" w:rsidP="00465EBA" w:rsidRDefault="00E50725" w14:paraId="3D3FED69" w14:textId="588C9955"/>
    <w:p w:rsidR="00E50725" w:rsidP="00465EBA" w:rsidRDefault="00E50725" w14:paraId="24E339CE" w14:textId="6DDD9F3A">
      <w:pPr>
        <w:rPr>
          <w:b/>
          <w:bCs/>
        </w:rPr>
      </w:pPr>
      <w:r>
        <w:rPr>
          <w:b/>
          <w:bCs/>
        </w:rPr>
        <w:t>Cost</w:t>
      </w:r>
      <w:r w:rsidR="00096D48">
        <w:rPr>
          <w:b/>
          <w:bCs/>
        </w:rPr>
        <w:t xml:space="preserve"> Reasonableness</w:t>
      </w:r>
    </w:p>
    <w:p w:rsidR="00E50725" w:rsidP="00465EBA" w:rsidRDefault="00E50725" w14:paraId="6E93891E" w14:textId="2D002502">
      <w:pPr>
        <w:rPr>
          <w:b/>
          <w:bCs/>
        </w:rPr>
      </w:pPr>
    </w:p>
    <w:p w:rsidR="00E50725" w:rsidP="00465EBA" w:rsidRDefault="00CA60EB" w14:paraId="799880C9" w14:textId="5B792426">
      <w:r>
        <w:t xml:space="preserve">SCE responds that the </w:t>
      </w:r>
      <w:r w:rsidR="1DA1F9A2">
        <w:t>cost</w:t>
      </w:r>
      <w:r w:rsidR="0551B059">
        <w:t>s</w:t>
      </w:r>
      <w:r>
        <w:t xml:space="preserve"> of the contract are reasonable given the </w:t>
      </w:r>
      <w:r w:rsidR="000F783C">
        <w:t xml:space="preserve">limited pool of storage resources that were </w:t>
      </w:r>
      <w:r w:rsidR="00F67CCC">
        <w:t>able to come online by summer 2022.</w:t>
      </w:r>
      <w:r w:rsidR="00CA4A7B">
        <w:t xml:space="preserve"> SCE argues that the comparisons made by ACP-CA, 8minute</w:t>
      </w:r>
      <w:r w:rsidR="00647B12">
        <w:t xml:space="preserve">, </w:t>
      </w:r>
      <w:r w:rsidR="006A7259">
        <w:t xml:space="preserve">and </w:t>
      </w:r>
      <w:r w:rsidR="00647B12">
        <w:t>Broad Reach that costs are excessive are flawed as they compare</w:t>
      </w:r>
      <w:r w:rsidR="00534D95">
        <w:t xml:space="preserve"> pricing for resources that come online at a later date</w:t>
      </w:r>
      <w:r w:rsidR="006A7259">
        <w:t xml:space="preserve"> and</w:t>
      </w:r>
      <w:r w:rsidR="00894BC2">
        <w:t xml:space="preserve"> that are not </w:t>
      </w:r>
      <w:r w:rsidR="005E39BA">
        <w:t>procured on an emergency basis.</w:t>
      </w:r>
      <w:r w:rsidR="005E39BA">
        <w:rPr>
          <w:rStyle w:val="FootnoteReference"/>
        </w:rPr>
        <w:footnoteReference w:id="52"/>
      </w:r>
      <w:r w:rsidR="005E39BA">
        <w:t xml:space="preserve"> Similarly</w:t>
      </w:r>
      <w:r w:rsidR="00823A56">
        <w:t>, SCE explains that Cal Advocates</w:t>
      </w:r>
      <w:r w:rsidR="00F5256B">
        <w:t xml:space="preserve"> comparisons to Aliso Canyon and System Reliability procurements</w:t>
      </w:r>
      <w:r w:rsidR="00E1617A">
        <w:t xml:space="preserve"> are not directly comparable to the UOS projects given differences in development timelines</w:t>
      </w:r>
      <w:r w:rsidR="000E0577">
        <w:t xml:space="preserve"> and forecasted price curves.</w:t>
      </w:r>
      <w:r w:rsidR="000E0577">
        <w:rPr>
          <w:rStyle w:val="FootnoteReference"/>
        </w:rPr>
        <w:footnoteReference w:id="53"/>
      </w:r>
      <w:r w:rsidRPr="005E39BA" w:rsidR="005E39BA">
        <w:rPr>
          <w:i/>
          <w:iCs/>
        </w:rPr>
        <w:t xml:space="preserve"> </w:t>
      </w:r>
      <w:r w:rsidR="001D08C3">
        <w:t xml:space="preserve">SCE also claims that </w:t>
      </w:r>
      <w:r w:rsidR="005E39BA">
        <w:t xml:space="preserve">AReM-DACC's comparison to the local RA price and local waiver threshold </w:t>
      </w:r>
      <w:r w:rsidR="002619F0">
        <w:t xml:space="preserve">are </w:t>
      </w:r>
      <w:r w:rsidR="002619F0">
        <w:lastRenderedPageBreak/>
        <w:t xml:space="preserve">not valid since </w:t>
      </w:r>
      <w:r w:rsidR="00943518">
        <w:t xml:space="preserve">short-term </w:t>
      </w:r>
      <w:r w:rsidR="00FF00EE">
        <w:t>capacity</w:t>
      </w:r>
      <w:r w:rsidR="00943518">
        <w:t xml:space="preserve"> prices paid to existing </w:t>
      </w:r>
      <w:r w:rsidR="00FF00EE">
        <w:t xml:space="preserve">resources </w:t>
      </w:r>
      <w:r w:rsidR="002619F0">
        <w:t xml:space="preserve">are </w:t>
      </w:r>
      <w:r w:rsidR="00167EF2">
        <w:t>not representative of</w:t>
      </w:r>
      <w:r w:rsidR="00FF00EE">
        <w:t xml:space="preserve"> the cost of new storage resources.</w:t>
      </w:r>
      <w:r w:rsidR="00FF00EE">
        <w:rPr>
          <w:rStyle w:val="FootnoteReference"/>
        </w:rPr>
        <w:footnoteReference w:id="54"/>
      </w:r>
      <w:r w:rsidR="00943518">
        <w:t xml:space="preserve"> </w:t>
      </w:r>
    </w:p>
    <w:p w:rsidR="0077770B" w:rsidP="00465EBA" w:rsidRDefault="0077770B" w14:paraId="6FF5A7E6" w14:textId="3E372215"/>
    <w:p w:rsidR="0077770B" w:rsidP="00465EBA" w:rsidRDefault="0077770B" w14:paraId="64235F76" w14:textId="22D9BBA6">
      <w:r>
        <w:t xml:space="preserve">SCE states that </w:t>
      </w:r>
      <w:r w:rsidR="008D6E78">
        <w:t>the storage costs are reasonable as it resulted from a competitive solicitation process overseen by an independent evaluat</w:t>
      </w:r>
      <w:r w:rsidR="00F87760">
        <w:t>or</w:t>
      </w:r>
      <w:r w:rsidR="00CA3AC8">
        <w:t xml:space="preserve">. Additionally, SCE </w:t>
      </w:r>
      <w:r w:rsidR="00995446">
        <w:t xml:space="preserve">asserts that </w:t>
      </w:r>
      <w:r w:rsidR="002B3034">
        <w:t>costs are competi</w:t>
      </w:r>
      <w:r w:rsidR="00CC01CD">
        <w:t xml:space="preserve">tive with those of </w:t>
      </w:r>
      <w:r w:rsidR="00F44681">
        <w:t xml:space="preserve">the limited number of similar projects </w:t>
      </w:r>
      <w:r w:rsidR="00D342BC">
        <w:t>with expedited construction timelines</w:t>
      </w:r>
      <w:r w:rsidR="00CC01CD">
        <w:t>.</w:t>
      </w:r>
      <w:r w:rsidR="00CC01CD">
        <w:rPr>
          <w:rStyle w:val="FootnoteReference"/>
        </w:rPr>
        <w:footnoteReference w:id="55"/>
      </w:r>
    </w:p>
    <w:p w:rsidR="00F576DF" w:rsidP="00465EBA" w:rsidRDefault="00F576DF" w14:paraId="16008CF9" w14:textId="661046F8"/>
    <w:p w:rsidR="00F576DF" w:rsidP="00465EBA" w:rsidRDefault="00F576DF" w14:paraId="197F8365" w14:textId="6A239C10">
      <w:pPr>
        <w:rPr>
          <w:b/>
          <w:bCs/>
        </w:rPr>
      </w:pPr>
      <w:r>
        <w:rPr>
          <w:b/>
          <w:bCs/>
        </w:rPr>
        <w:t>Cost Recovery</w:t>
      </w:r>
    </w:p>
    <w:p w:rsidR="00F576DF" w:rsidP="00465EBA" w:rsidRDefault="00F576DF" w14:paraId="7326F145" w14:textId="3802CDA4">
      <w:pPr>
        <w:rPr>
          <w:b/>
          <w:bCs/>
        </w:rPr>
      </w:pPr>
    </w:p>
    <w:p w:rsidR="00F576DF" w:rsidP="00465EBA" w:rsidRDefault="77D0240B" w14:paraId="5E97E3DE" w14:textId="4070BDB3">
      <w:r>
        <w:t>In response</w:t>
      </w:r>
      <w:r w:rsidR="009541FD">
        <w:t xml:space="preserve"> to AReM-DAC's </w:t>
      </w:r>
      <w:r w:rsidR="003325C2">
        <w:t xml:space="preserve">argument </w:t>
      </w:r>
      <w:r w:rsidR="36000262">
        <w:t xml:space="preserve">that </w:t>
      </w:r>
      <w:r w:rsidR="00C62AD0">
        <w:t>SCE should recover costs from all customers only during the emergency period through July 2023 and then recover costs from SCE bundled customers</w:t>
      </w:r>
      <w:r w:rsidR="00794CD5">
        <w:t xml:space="preserve"> </w:t>
      </w:r>
      <w:r w:rsidR="52CF258E">
        <w:t>because the Commission authorized</w:t>
      </w:r>
      <w:r w:rsidR="0A7F97D6">
        <w:t xml:space="preserve"> this cost recovery treatment </w:t>
      </w:r>
      <w:r w:rsidR="52CF258E">
        <w:t xml:space="preserve">for </w:t>
      </w:r>
      <w:r w:rsidR="0A7F97D6">
        <w:t xml:space="preserve">PG&amp;E’s </w:t>
      </w:r>
      <w:r w:rsidR="52CF258E">
        <w:t>four power purchase agreements</w:t>
      </w:r>
      <w:r w:rsidR="06151A8F">
        <w:t>,</w:t>
      </w:r>
      <w:r w:rsidR="52CF258E">
        <w:t xml:space="preserve"> SCE </w:t>
      </w:r>
      <w:r w:rsidR="2475F722">
        <w:t>stat</w:t>
      </w:r>
      <w:r w:rsidR="65405746">
        <w:t>es</w:t>
      </w:r>
      <w:r w:rsidR="00BC58FF">
        <w:t xml:space="preserve"> that there is no basis to require </w:t>
      </w:r>
      <w:r w:rsidR="00635039">
        <w:t xml:space="preserve">identical </w:t>
      </w:r>
      <w:r w:rsidR="60EF194C">
        <w:t xml:space="preserve">cost recovery </w:t>
      </w:r>
      <w:r w:rsidR="00635039">
        <w:t xml:space="preserve">treatment between SCE's UOS projects and </w:t>
      </w:r>
      <w:r w:rsidR="005212CE">
        <w:t>the four PG&amp;E power purchase agreements</w:t>
      </w:r>
      <w:r w:rsidR="00672907">
        <w:t>.</w:t>
      </w:r>
      <w:r w:rsidR="00185AED">
        <w:rPr>
          <w:rStyle w:val="FootnoteReference"/>
        </w:rPr>
        <w:footnoteReference w:id="56"/>
      </w:r>
    </w:p>
    <w:p w:rsidR="00D2440B" w:rsidP="00465EBA" w:rsidRDefault="00D2440B" w14:paraId="0B6ABDD8" w14:textId="1901B733"/>
    <w:p w:rsidRPr="00F576DF" w:rsidR="00D2440B" w:rsidP="00465EBA" w:rsidRDefault="00D2440B" w14:paraId="71DDEE0D" w14:textId="76C76B59">
      <w:r>
        <w:t xml:space="preserve">Additionally, SCE states that </w:t>
      </w:r>
      <w:r w:rsidR="00754AF3">
        <w:t xml:space="preserve">contrary to SEIA's request to only allow SCE cost recovery during the emergency period and thereafter only once they are interconnected to CAISO facilities, the UOS projects will provide reliability benefits during emergency and non-emergency conditions, and since </w:t>
      </w:r>
      <w:r w:rsidR="000A1408">
        <w:t>it is not possible to purchase equipment for only the emergency period, cost recovery from all benefitting customers should be for the life of the asset</w:t>
      </w:r>
      <w:r w:rsidR="00185AED">
        <w:t>.</w:t>
      </w:r>
      <w:r w:rsidRPr="009D3A3F" w:rsidR="009D3A3F">
        <w:rPr>
          <w:rStyle w:val="FootnoteReference"/>
        </w:rPr>
        <w:t xml:space="preserve"> </w:t>
      </w:r>
      <w:r w:rsidR="009D3A3F">
        <w:rPr>
          <w:rStyle w:val="FootnoteReference"/>
        </w:rPr>
        <w:footnoteReference w:id="57"/>
      </w:r>
    </w:p>
    <w:p w:rsidRPr="00E50725" w:rsidR="00D25C3E" w:rsidP="00465EBA" w:rsidRDefault="00D25C3E" w14:paraId="02C49FCE" w14:textId="3A353790"/>
    <w:p w:rsidR="002A42DD" w:rsidP="00465EBA" w:rsidRDefault="002A42DD" w14:paraId="071AD21C" w14:textId="1E7F4C0E">
      <w:pPr>
        <w:rPr>
          <w:b/>
          <w:bCs/>
        </w:rPr>
      </w:pPr>
      <w:r w:rsidRPr="69EBE7CE">
        <w:rPr>
          <w:b/>
          <w:bCs/>
        </w:rPr>
        <w:t>MTR Eligibility</w:t>
      </w:r>
    </w:p>
    <w:p w:rsidR="002A42DD" w:rsidP="00465EBA" w:rsidRDefault="002A42DD" w14:paraId="659417B4" w14:textId="77777777">
      <w:pPr>
        <w:rPr>
          <w:b/>
          <w:bCs/>
        </w:rPr>
      </w:pPr>
    </w:p>
    <w:p w:rsidR="002A42DD" w:rsidP="00465EBA" w:rsidRDefault="00B96768" w14:paraId="68AB7B23" w14:textId="06A83D1B">
      <w:r>
        <w:t xml:space="preserve">In response to </w:t>
      </w:r>
      <w:r w:rsidR="004E041A">
        <w:t>AReM-DACC and Shell, SCE</w:t>
      </w:r>
      <w:r w:rsidR="00704927">
        <w:t xml:space="preserve"> explains that it has </w:t>
      </w:r>
      <w:r w:rsidR="00735257">
        <w:t>requested authority to allow</w:t>
      </w:r>
      <w:r w:rsidR="003D47F1">
        <w:t xml:space="preserve"> SCE and </w:t>
      </w:r>
      <w:r w:rsidR="00277CAA">
        <w:t>all</w:t>
      </w:r>
      <w:r w:rsidR="003D47F1">
        <w:t xml:space="preserve"> LSEs in its service territory </w:t>
      </w:r>
      <w:r w:rsidR="002706B9">
        <w:t>to count the UOS projects towards their</w:t>
      </w:r>
      <w:r w:rsidR="00CF3B7D">
        <w:t xml:space="preserve"> </w:t>
      </w:r>
      <w:r w:rsidR="6055D11C">
        <w:t>IRP</w:t>
      </w:r>
      <w:r w:rsidR="00000349">
        <w:t xml:space="preserve"> </w:t>
      </w:r>
      <w:r w:rsidR="00CF3B7D">
        <w:t>MTR procurement requirement</w:t>
      </w:r>
      <w:r w:rsidR="009B12C0">
        <w:t xml:space="preserve">s </w:t>
      </w:r>
      <w:r w:rsidR="56927B71">
        <w:t xml:space="preserve">established in </w:t>
      </w:r>
      <w:r w:rsidR="00630522">
        <w:br/>
      </w:r>
      <w:r w:rsidR="56927B71">
        <w:t>D.21-06-035</w:t>
      </w:r>
      <w:r w:rsidR="009B12C0">
        <w:t xml:space="preserve"> based on the cost allocation of the UOS projects and their nameplate capacity</w:t>
      </w:r>
      <w:r w:rsidR="001C358F">
        <w:t>.</w:t>
      </w:r>
      <w:r w:rsidR="00C16A23">
        <w:t xml:space="preserve"> SCE note</w:t>
      </w:r>
      <w:r w:rsidR="00CE4004">
        <w:t>s</w:t>
      </w:r>
      <w:r w:rsidR="002E1E3C">
        <w:t xml:space="preserve"> that </w:t>
      </w:r>
      <w:r w:rsidR="007B7D53">
        <w:t xml:space="preserve">assuming the </w:t>
      </w:r>
      <w:r w:rsidR="00807811">
        <w:t>emergency period is extended through summer 2023</w:t>
      </w:r>
      <w:r w:rsidR="00EF2F26">
        <w:t xml:space="preserve">, as proposed in the recent Emergency Reliability proposed </w:t>
      </w:r>
      <w:r w:rsidR="00EF2F26">
        <w:lastRenderedPageBreak/>
        <w:t>decision</w:t>
      </w:r>
      <w:r w:rsidR="00CE30DB">
        <w:rPr>
          <w:rStyle w:val="FootnoteReference"/>
        </w:rPr>
        <w:footnoteReference w:id="58"/>
      </w:r>
      <w:r w:rsidR="006D1937">
        <w:t xml:space="preserve">, then </w:t>
      </w:r>
      <w:r w:rsidR="0020749C">
        <w:t>the projects should be counted towards</w:t>
      </w:r>
      <w:r w:rsidR="003C5E1F">
        <w:t xml:space="preserve"> 2024 MTR procurement requirements, rather than 2023</w:t>
      </w:r>
      <w:r w:rsidR="004714B9">
        <w:t xml:space="preserve"> MTR procurement requirements as proposed in </w:t>
      </w:r>
      <w:r w:rsidR="000A35DA">
        <w:t>AL 4617-E.</w:t>
      </w:r>
      <w:r w:rsidR="006C447A">
        <w:t xml:space="preserve"> </w:t>
      </w:r>
      <w:r w:rsidR="000A47FE">
        <w:t xml:space="preserve">SCE asserts that Shell's suggestion of a workshop </w:t>
      </w:r>
      <w:r w:rsidR="005E7C93">
        <w:t xml:space="preserve">on the </w:t>
      </w:r>
      <w:r w:rsidR="00490B72">
        <w:t>details of the MTR allocation would not be necessary</w:t>
      </w:r>
      <w:r w:rsidR="00962F5E">
        <w:t xml:space="preserve"> because the allocatio</w:t>
      </w:r>
      <w:r w:rsidR="001E1A32">
        <w:t xml:space="preserve">n would be based on a </w:t>
      </w:r>
      <w:r w:rsidR="006F2FF4">
        <w:t>simple LSE load share basis consistent with all other costs and benefits of the UOS projects.</w:t>
      </w:r>
      <w:r w:rsidR="0073520E">
        <w:rPr>
          <w:rStyle w:val="FootnoteReference"/>
        </w:rPr>
        <w:footnoteReference w:id="59"/>
      </w:r>
    </w:p>
    <w:p w:rsidRPr="00B96768" w:rsidR="00277CAA" w:rsidP="00465EBA" w:rsidRDefault="00277CAA" w14:paraId="4900F03E" w14:textId="77777777"/>
    <w:p w:rsidR="00CF17DE" w:rsidRDefault="00CF17DE" w14:paraId="23E10AE5" w14:textId="77777777">
      <w:pPr>
        <w:pStyle w:val="Heading1"/>
      </w:pPr>
      <w:r>
        <w:t>Discussion</w:t>
      </w:r>
    </w:p>
    <w:p w:rsidR="00CA25DC" w:rsidRDefault="00A32525" w14:paraId="624009C3" w14:textId="0EC577AD">
      <w:r>
        <w:t>The Commission</w:t>
      </w:r>
      <w:r w:rsidR="00CF17DE">
        <w:t xml:space="preserve"> has reviewed</w:t>
      </w:r>
      <w:r>
        <w:t xml:space="preserve"> the Advice Letter, the protest</w:t>
      </w:r>
      <w:r w:rsidR="00DA204C">
        <w:t>s</w:t>
      </w:r>
      <w:r>
        <w:t>,</w:t>
      </w:r>
      <w:r w:rsidR="00DA204C">
        <w:t xml:space="preserve"> and the reply of SCE</w:t>
      </w:r>
      <w:r w:rsidR="6F311D86">
        <w:t>.</w:t>
      </w:r>
      <w:r w:rsidR="00612677">
        <w:t xml:space="preserve"> </w:t>
      </w:r>
      <w:r w:rsidR="2689451E">
        <w:t xml:space="preserve"> We</w:t>
      </w:r>
      <w:r w:rsidRPr="00066874" w:rsidR="3343768C">
        <w:rPr>
          <w:rFonts w:eastAsia="Palatino Linotype"/>
        </w:rPr>
        <w:t xml:space="preserve"> consider issues raised </w:t>
      </w:r>
      <w:r w:rsidRPr="00066874" w:rsidR="72FC7FB1">
        <w:rPr>
          <w:rFonts w:eastAsia="Palatino Linotype"/>
        </w:rPr>
        <w:t>by</w:t>
      </w:r>
      <w:r w:rsidRPr="00066874" w:rsidR="3343768C">
        <w:rPr>
          <w:rFonts w:eastAsia="Palatino Linotype"/>
        </w:rPr>
        <w:t xml:space="preserve"> protestants and respondents</w:t>
      </w:r>
      <w:r w:rsidRPr="00066874" w:rsidR="2689451E">
        <w:rPr>
          <w:rFonts w:eastAsia="Palatino Linotype"/>
        </w:rPr>
        <w:t xml:space="preserve"> </w:t>
      </w:r>
      <w:r w:rsidRPr="00066874" w:rsidR="4CAA217B">
        <w:rPr>
          <w:rFonts w:eastAsia="Palatino Linotype"/>
        </w:rPr>
        <w:t>to AL</w:t>
      </w:r>
      <w:r w:rsidRPr="00066874" w:rsidR="2569EE1C">
        <w:rPr>
          <w:rFonts w:eastAsia="Palatino Linotype"/>
        </w:rPr>
        <w:t xml:space="preserve"> </w:t>
      </w:r>
      <w:r w:rsidRPr="00066874" w:rsidR="4CAA217B">
        <w:rPr>
          <w:rFonts w:eastAsia="Palatino Linotype"/>
        </w:rPr>
        <w:t>4617-E</w:t>
      </w:r>
      <w:r w:rsidRPr="00066874" w:rsidR="2569EE1C">
        <w:rPr>
          <w:rFonts w:eastAsia="Palatino Linotype"/>
        </w:rPr>
        <w:t xml:space="preserve"> </w:t>
      </w:r>
      <w:r w:rsidRPr="00066874" w:rsidR="2689451E">
        <w:rPr>
          <w:rFonts w:eastAsia="Palatino Linotype"/>
        </w:rPr>
        <w:t>in</w:t>
      </w:r>
      <w:r w:rsidR="2689451E">
        <w:t xml:space="preserve"> the following discussion</w:t>
      </w:r>
      <w:r w:rsidR="60E4F61F">
        <w:t>.</w:t>
      </w:r>
      <w:r w:rsidR="3D7E0ED4">
        <w:t xml:space="preserve"> However, </w:t>
      </w:r>
      <w:r w:rsidR="2689451E">
        <w:t>we find that SCE’s request in AL 4617-E</w:t>
      </w:r>
      <w:r w:rsidR="1FC29CE3">
        <w:t>,</w:t>
      </w:r>
      <w:r w:rsidR="2689451E">
        <w:t xml:space="preserve"> with one modification, is reasonable overall.</w:t>
      </w:r>
      <w:r w:rsidR="00612677">
        <w:t xml:space="preserve"> </w:t>
      </w:r>
    </w:p>
    <w:p w:rsidR="00612677" w:rsidRDefault="00612677" w14:paraId="6CCFA273" w14:textId="74980D49">
      <w:pPr>
        <w:rPr>
          <w:b/>
        </w:rPr>
      </w:pPr>
    </w:p>
    <w:p w:rsidR="00333DD7" w:rsidRDefault="00D70879" w14:paraId="7D63B0E0" w14:textId="5783F8E1">
      <w:pPr>
        <w:rPr>
          <w:b/>
          <w:bCs/>
        </w:rPr>
      </w:pPr>
      <w:r w:rsidRPr="00333DD7">
        <w:rPr>
          <w:b/>
        </w:rPr>
        <w:t xml:space="preserve">Consistency with </w:t>
      </w:r>
      <w:r w:rsidRPr="00333DD7" w:rsidR="00D05383">
        <w:rPr>
          <w:b/>
        </w:rPr>
        <w:t xml:space="preserve">Commission decisions, </w:t>
      </w:r>
      <w:r w:rsidRPr="00333DD7" w:rsidR="00B063FE">
        <w:rPr>
          <w:b/>
        </w:rPr>
        <w:t>D</w:t>
      </w:r>
      <w:r w:rsidRPr="00333DD7" w:rsidDel="1F2644E0">
        <w:rPr>
          <w:b/>
        </w:rPr>
        <w:t>.</w:t>
      </w:r>
      <w:r w:rsidRPr="00333DD7" w:rsidR="00B063FE">
        <w:rPr>
          <w:b/>
        </w:rPr>
        <w:t>21-02-028</w:t>
      </w:r>
      <w:r w:rsidRPr="00333DD7" w:rsidR="00D05383">
        <w:rPr>
          <w:b/>
        </w:rPr>
        <w:t xml:space="preserve"> and</w:t>
      </w:r>
      <w:r w:rsidRPr="00333DD7" w:rsidR="00B063FE">
        <w:rPr>
          <w:b/>
        </w:rPr>
        <w:t xml:space="preserve"> D</w:t>
      </w:r>
      <w:r w:rsidRPr="00333DD7" w:rsidDel="1F2644E0">
        <w:rPr>
          <w:b/>
        </w:rPr>
        <w:t>.</w:t>
      </w:r>
      <w:r w:rsidRPr="00333DD7" w:rsidR="00B063FE">
        <w:rPr>
          <w:b/>
        </w:rPr>
        <w:t>21-03-056</w:t>
      </w:r>
      <w:r w:rsidRPr="00333DD7" w:rsidR="00D05383">
        <w:rPr>
          <w:b/>
        </w:rPr>
        <w:t>, and the September</w:t>
      </w:r>
      <w:r w:rsidRPr="00333DD7" w:rsidR="001202C6">
        <w:rPr>
          <w:b/>
        </w:rPr>
        <w:t xml:space="preserve"> 17, </w:t>
      </w:r>
      <w:r w:rsidRPr="00333DD7" w:rsidR="00A929D5">
        <w:rPr>
          <w:b/>
        </w:rPr>
        <w:t>2021,</w:t>
      </w:r>
      <w:r w:rsidRPr="00333DD7" w:rsidR="001202C6">
        <w:rPr>
          <w:b/>
        </w:rPr>
        <w:t xml:space="preserve"> ACR</w:t>
      </w:r>
    </w:p>
    <w:p w:rsidR="00333DD7" w:rsidRDefault="00333DD7" w14:paraId="3F926A7B" w14:textId="1941BFE3">
      <w:pPr>
        <w:rPr>
          <w:b/>
          <w:bCs/>
        </w:rPr>
      </w:pPr>
    </w:p>
    <w:p w:rsidR="002D6C31" w:rsidRDefault="003512F1" w14:paraId="7A31E97B" w14:textId="65B46B05">
      <w:r>
        <w:t xml:space="preserve">We find that </w:t>
      </w:r>
      <w:r w:rsidR="005464D6">
        <w:t>SCE's AL</w:t>
      </w:r>
      <w:r w:rsidR="00A07E1B">
        <w:t xml:space="preserve"> 4617-E </w:t>
      </w:r>
      <w:r w:rsidR="00F64A35">
        <w:t xml:space="preserve">filing </w:t>
      </w:r>
      <w:r w:rsidR="005C20B7">
        <w:t xml:space="preserve">is consistent with Commission decisions, </w:t>
      </w:r>
      <w:r w:rsidRPr="005C20B7" w:rsidR="005C20B7">
        <w:t xml:space="preserve">D.21-02-028 and D.21-03-056, and the September 17, </w:t>
      </w:r>
      <w:r w:rsidRPr="005C20B7" w:rsidR="00277CAA">
        <w:t>2021,</w:t>
      </w:r>
      <w:r w:rsidRPr="005C20B7" w:rsidR="005C20B7">
        <w:t xml:space="preserve"> ACR</w:t>
      </w:r>
      <w:r w:rsidR="005C20B7">
        <w:t>. As directed in the decisions, SCE has filed a Tier 2 AL seeking approval of its EPCM contract with AME.</w:t>
      </w:r>
      <w:r w:rsidR="00C8330F">
        <w:t xml:space="preserve"> </w:t>
      </w:r>
      <w:r w:rsidR="002D6C31">
        <w:t xml:space="preserve">The </w:t>
      </w:r>
      <w:r w:rsidR="00786478">
        <w:t>EPCM contract is for 537.5 MW of incremental storage capacity expected to be online by</w:t>
      </w:r>
      <w:r w:rsidR="001E118D">
        <w:t xml:space="preserve"> August 1, </w:t>
      </w:r>
      <w:r w:rsidR="00277CAA">
        <w:t>2022,</w:t>
      </w:r>
      <w:r w:rsidR="00235AEA">
        <w:t xml:space="preserve"> that </w:t>
      </w:r>
      <w:r w:rsidR="00A929D5">
        <w:t>can</w:t>
      </w:r>
      <w:r w:rsidR="00235AEA">
        <w:t xml:space="preserve"> dispatch to meet peak and net peak demand</w:t>
      </w:r>
      <w:r w:rsidR="007C48E6">
        <w:t>.</w:t>
      </w:r>
    </w:p>
    <w:p w:rsidR="00C8330F" w:rsidRDefault="00C8330F" w14:paraId="0D6A0ADD" w14:textId="77777777"/>
    <w:p w:rsidR="00C8330F" w:rsidRDefault="00C8330F" w14:paraId="58FF6BE6" w14:textId="2CE1F0B0">
      <w:r>
        <w:t xml:space="preserve">Further, </w:t>
      </w:r>
      <w:r w:rsidR="00FD1788">
        <w:t xml:space="preserve">the </w:t>
      </w:r>
      <w:r w:rsidR="00A2207B">
        <w:t>showing includes the</w:t>
      </w:r>
      <w:r w:rsidR="00235AEA">
        <w:t xml:space="preserve"> following elements as</w:t>
      </w:r>
      <w:r w:rsidR="00FD1788">
        <w:t xml:space="preserve"> outlined in the decisions:</w:t>
      </w:r>
    </w:p>
    <w:p w:rsidR="00FD1788" w:rsidP="00A929D5" w:rsidRDefault="000F578B" w14:paraId="6D3364DB" w14:textId="63E5E49C">
      <w:pPr>
        <w:pStyle w:val="ListParagraph"/>
        <w:numPr>
          <w:ilvl w:val="0"/>
          <w:numId w:val="6"/>
        </w:numPr>
        <w:ind w:left="1080"/>
      </w:pPr>
      <w:r>
        <w:t>Discussion of the procurement process and resources selected;</w:t>
      </w:r>
    </w:p>
    <w:p w:rsidR="000F578B" w:rsidP="00A929D5" w:rsidRDefault="000F578B" w14:paraId="529C25C6" w14:textId="5EFE95D5">
      <w:pPr>
        <w:pStyle w:val="ListParagraph"/>
        <w:numPr>
          <w:ilvl w:val="0"/>
          <w:numId w:val="6"/>
        </w:numPr>
        <w:ind w:left="1080"/>
      </w:pPr>
      <w:r>
        <w:t>Operational information on the resources selected;</w:t>
      </w:r>
    </w:p>
    <w:p w:rsidR="00067357" w:rsidP="00A929D5" w:rsidRDefault="000F578B" w14:paraId="306E425E" w14:textId="2AB742F0">
      <w:pPr>
        <w:pStyle w:val="ListParagraph"/>
        <w:numPr>
          <w:ilvl w:val="0"/>
          <w:numId w:val="6"/>
        </w:numPr>
        <w:ind w:left="1080"/>
      </w:pPr>
      <w:r>
        <w:t>Pricing and net market value analysis and summary of key contract terms;</w:t>
      </w:r>
    </w:p>
    <w:p w:rsidR="0052351D" w:rsidP="00A929D5" w:rsidRDefault="000F578B" w14:paraId="09811DD5" w14:textId="7EE3602F">
      <w:pPr>
        <w:pStyle w:val="ListParagraph"/>
        <w:numPr>
          <w:ilvl w:val="0"/>
          <w:numId w:val="6"/>
        </w:numPr>
        <w:ind w:left="1080"/>
      </w:pPr>
      <w:r>
        <w:t>Independent evaluator report;</w:t>
      </w:r>
    </w:p>
    <w:p w:rsidR="009623BC" w:rsidP="00A929D5" w:rsidRDefault="00F879A5" w14:paraId="70E4EEEB" w14:textId="0CDBA70A">
      <w:pPr>
        <w:pStyle w:val="ListParagraph"/>
        <w:numPr>
          <w:ilvl w:val="0"/>
          <w:numId w:val="6"/>
        </w:numPr>
        <w:ind w:left="1080"/>
      </w:pPr>
      <w:r>
        <w:t>Showing of cost competitiveness to extent comparable data exist</w:t>
      </w:r>
      <w:r w:rsidR="000F578B">
        <w:t>;</w:t>
      </w:r>
      <w:r w:rsidR="00DD3FF1">
        <w:t xml:space="preserve"> and</w:t>
      </w:r>
    </w:p>
    <w:p w:rsidRPr="00CE43DC" w:rsidR="000F578B" w:rsidP="00A929D5" w:rsidRDefault="000F578B" w14:paraId="3F6E13B7" w14:textId="516CD623">
      <w:pPr>
        <w:pStyle w:val="ListParagraph"/>
        <w:numPr>
          <w:ilvl w:val="0"/>
          <w:numId w:val="6"/>
        </w:numPr>
        <w:ind w:left="1080"/>
      </w:pPr>
      <w:r>
        <w:t>A demonstration that the resource has a path to deliver its online date</w:t>
      </w:r>
      <w:r w:rsidR="00D07D11">
        <w:t>.</w:t>
      </w:r>
    </w:p>
    <w:p w:rsidR="00CE43DC" w:rsidRDefault="00CE43DC" w14:paraId="5F112928" w14:textId="77777777">
      <w:pPr>
        <w:rPr>
          <w:b/>
          <w:bCs/>
        </w:rPr>
      </w:pPr>
    </w:p>
    <w:p w:rsidR="00A95FCD" w:rsidRDefault="00AA0FC3" w14:paraId="0D1A11DF" w14:textId="28607D64">
      <w:pPr>
        <w:rPr>
          <w:b/>
          <w:bCs/>
        </w:rPr>
      </w:pPr>
      <w:r>
        <w:rPr>
          <w:b/>
          <w:bCs/>
        </w:rPr>
        <w:lastRenderedPageBreak/>
        <w:t>Procurement Methodology</w:t>
      </w:r>
      <w:r w:rsidRPr="3FD73CAF" w:rsidR="5B1BD270">
        <w:rPr>
          <w:b/>
          <w:bCs/>
        </w:rPr>
        <w:t>,</w:t>
      </w:r>
      <w:r w:rsidR="00AB048A">
        <w:rPr>
          <w:b/>
          <w:bCs/>
        </w:rPr>
        <w:t xml:space="preserve"> </w:t>
      </w:r>
      <w:r w:rsidRPr="781AD529" w:rsidR="5B1BD270">
        <w:rPr>
          <w:b/>
          <w:bCs/>
        </w:rPr>
        <w:t>Evaluation</w:t>
      </w:r>
      <w:r w:rsidR="00B57285">
        <w:rPr>
          <w:b/>
          <w:bCs/>
        </w:rPr>
        <w:t>,</w:t>
      </w:r>
      <w:r w:rsidR="00AB048A">
        <w:rPr>
          <w:b/>
          <w:bCs/>
        </w:rPr>
        <w:t xml:space="preserve"> and Cost Reasonableness</w:t>
      </w:r>
    </w:p>
    <w:p w:rsidR="00593101" w:rsidRDefault="00593101" w14:paraId="0327AE9C" w14:textId="24623BFD">
      <w:pPr>
        <w:rPr>
          <w:b/>
          <w:bCs/>
        </w:rPr>
      </w:pPr>
    </w:p>
    <w:p w:rsidR="53ADBEB1" w:rsidP="53ADBEB1" w:rsidRDefault="137AEBA0" w14:paraId="65714CBA" w14:textId="6771CD7E">
      <w:r>
        <w:t xml:space="preserve">SCE </w:t>
      </w:r>
      <w:r w:rsidR="42C631EF">
        <w:t>initiated</w:t>
      </w:r>
      <w:r>
        <w:t xml:space="preserve"> a </w:t>
      </w:r>
      <w:r w:rsidR="4F42AFE1">
        <w:t>solicitation</w:t>
      </w:r>
      <w:r>
        <w:t xml:space="preserve"> on August 25, </w:t>
      </w:r>
      <w:r w:rsidR="00A929D5">
        <w:t>2021,</w:t>
      </w:r>
      <w:r w:rsidR="7414509B">
        <w:t xml:space="preserve"> </w:t>
      </w:r>
      <w:r w:rsidR="7D67CE2F">
        <w:t xml:space="preserve">with a </w:t>
      </w:r>
      <w:r>
        <w:t xml:space="preserve">Request for Information (“RFI”) </w:t>
      </w:r>
      <w:r w:rsidR="03065732">
        <w:t xml:space="preserve">seeking </w:t>
      </w:r>
      <w:r>
        <w:t xml:space="preserve">feedback from suppliers if they could meet the aggressive August 1, </w:t>
      </w:r>
      <w:r w:rsidR="00284755">
        <w:t>2022,</w:t>
      </w:r>
      <w:r w:rsidR="7BFEABE6">
        <w:t xml:space="preserve"> </w:t>
      </w:r>
      <w:r>
        <w:t>online date for utility-owned storage projects on SCE substation parcels with a</w:t>
      </w:r>
      <w:r w:rsidR="7A627D37">
        <w:t xml:space="preserve"> </w:t>
      </w:r>
      <w:r>
        <w:t>minimum capacity of 50 MW with 4 hours of dispatch capability. SCE notified</w:t>
      </w:r>
      <w:r w:rsidR="358DB335">
        <w:t xml:space="preserve"> </w:t>
      </w:r>
      <w:r>
        <w:t>suppliers that the procurement was driven by the Governor’s Emergency</w:t>
      </w:r>
      <w:r w:rsidR="00DA4AA7">
        <w:t xml:space="preserve"> Proclamation and that the schedule would be expedited. SCE utilized the following procurement schedule.</w:t>
      </w:r>
    </w:p>
    <w:p w:rsidR="00DA4AA7" w:rsidP="53ADBEB1" w:rsidRDefault="00DA4AA7" w14:paraId="704D15E3" w14:textId="77777777">
      <w:pPr>
        <w:rPr>
          <w:szCs w:val="26"/>
        </w:rPr>
      </w:pPr>
    </w:p>
    <w:p w:rsidR="6874DB14" w:rsidP="53ADBEB1" w:rsidRDefault="6874DB14" w14:paraId="7D766762" w14:textId="7F6A0D2E">
      <w:pPr>
        <w:rPr>
          <w:szCs w:val="26"/>
        </w:rPr>
      </w:pPr>
      <w:r>
        <w:rPr>
          <w:noProof/>
        </w:rPr>
        <w:drawing>
          <wp:inline distT="0" distB="0" distL="0" distR="0" wp14:anchorId="2623C81D" wp14:editId="6CAB825D">
            <wp:extent cx="4572000" cy="3105150"/>
            <wp:effectExtent l="0" t="0" r="0" b="0"/>
            <wp:docPr id="1063417510" name="Picture 106341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105150"/>
                    </a:xfrm>
                    <a:prstGeom prst="rect">
                      <a:avLst/>
                    </a:prstGeom>
                  </pic:spPr>
                </pic:pic>
              </a:graphicData>
            </a:graphic>
          </wp:inline>
        </w:drawing>
      </w:r>
    </w:p>
    <w:p w:rsidR="61051D76" w:rsidRDefault="61051D76" w14:paraId="12192A83" w14:textId="54F23EC2"/>
    <w:p w:rsidR="00630522" w:rsidP="00115785" w:rsidRDefault="4FBA22B3" w14:paraId="5E0151B1" w14:textId="77777777">
      <w:r>
        <w:t>SCE</w:t>
      </w:r>
      <w:r w:rsidRPr="00C16B84" w:rsidR="00593101">
        <w:t xml:space="preserve"> retained Merrimack Energy Group, Inc., as the IE for </w:t>
      </w:r>
      <w:r w:rsidR="14E3B7D2">
        <w:t>its</w:t>
      </w:r>
      <w:r w:rsidR="427CD5ED">
        <w:t xml:space="preserve"> emergency </w:t>
      </w:r>
      <w:r w:rsidR="3DC7AE67">
        <w:t>reliability</w:t>
      </w:r>
      <w:r w:rsidR="427CD5ED">
        <w:t xml:space="preserve"> ownership efforts</w:t>
      </w:r>
      <w:r w:rsidR="00C16B84">
        <w:t xml:space="preserve">. </w:t>
      </w:r>
      <w:r w:rsidRPr="00C16B84" w:rsidR="07093C66">
        <w:t>Merrimack</w:t>
      </w:r>
      <w:r w:rsidRPr="000666D1" w:rsidR="7910A7A3">
        <w:t xml:space="preserve"> </w:t>
      </w:r>
      <w:r w:rsidR="7910A7A3">
        <w:t xml:space="preserve">reviewed SCE’s selection methodology and criteria for the proposals and conducted its own independent evaluation, joined, and contributed to numerous conference calls and negotiation sessions, and reviewed email traffic and other documents exchanged by the parties. </w:t>
      </w:r>
    </w:p>
    <w:p w:rsidRPr="005E3815" w:rsidR="00593101" w:rsidP="00115785" w:rsidRDefault="7910A7A3" w14:paraId="55250788" w14:textId="7F3CE3EF">
      <w:r>
        <w:t xml:space="preserve">The IE also participated in the CAM </w:t>
      </w:r>
      <w:r w:rsidR="004B2CCD">
        <w:t xml:space="preserve">procurement review group </w:t>
      </w:r>
      <w:r>
        <w:t>meeting. The IE analysis is included in SCE’s AL 4617-E Confidential Attachment D.</w:t>
      </w:r>
      <w:r w:rsidR="00C16B84">
        <w:t xml:space="preserve"> </w:t>
      </w:r>
      <w:r w:rsidRPr="00C16B84" w:rsidR="00593101">
        <w:t xml:space="preserve">The IE found that the evaluation methodology was </w:t>
      </w:r>
      <w:r w:rsidRPr="00C16B84" w:rsidR="00C16B84">
        <w:t>reasonable and</w:t>
      </w:r>
      <w:r w:rsidRPr="00C16B84" w:rsidR="00593101">
        <w:t xml:space="preserve"> was applied fairly to all bidders. </w:t>
      </w:r>
      <w:r w:rsidRPr="00C16B84" w:rsidR="00115785">
        <w:t>The IE finds that</w:t>
      </w:r>
      <w:r w:rsidRPr="00C16B84" w:rsidR="00593101">
        <w:t xml:space="preserve"> </w:t>
      </w:r>
      <w:r w:rsidRPr="00C16B84" w:rsidR="00115785">
        <w:t xml:space="preserve">the EPCM contract with Ameresco was </w:t>
      </w:r>
      <w:r w:rsidR="00B533DF">
        <w:t>"</w:t>
      </w:r>
      <w:r w:rsidRPr="00BB21CB" w:rsidR="00115785">
        <w:t>reasonably negotiated, was generally competitive</w:t>
      </w:r>
      <w:r w:rsidRPr="001B7A50" w:rsidR="00115785">
        <w:t xml:space="preserve"> with other storage contracts from the third-party bilateral negotiations and other solicitations based on the information </w:t>
      </w:r>
      <w:r w:rsidRPr="001B7A50" w:rsidR="00115785">
        <w:lastRenderedPageBreak/>
        <w:t>presented to the IE at the time of offer selection and was generally in the best interests of customers and ensuring system reliability</w:t>
      </w:r>
      <w:r w:rsidRPr="001B7A50" w:rsidR="00194B59">
        <w:t>.</w:t>
      </w:r>
      <w:r w:rsidR="00067C85">
        <w:t>"</w:t>
      </w:r>
      <w:r w:rsidR="00B57285">
        <w:rPr>
          <w:rStyle w:val="FootnoteReference"/>
        </w:rPr>
        <w:footnoteReference w:id="60"/>
      </w:r>
      <w:r w:rsidRPr="001B7A50" w:rsidR="00194B59">
        <w:t xml:space="preserve"> </w:t>
      </w:r>
    </w:p>
    <w:p w:rsidR="6839536B" w:rsidP="6839536B" w:rsidRDefault="6839536B" w14:paraId="0AF49DDB" w14:textId="6952F8C5">
      <w:pPr>
        <w:rPr>
          <w:szCs w:val="26"/>
        </w:rPr>
      </w:pPr>
    </w:p>
    <w:p w:rsidR="004C5464" w:rsidRDefault="4FC6272C" w14:paraId="2C67CCDE" w14:textId="30D1CAF7">
      <w:r w:rsidRPr="6839536B">
        <w:rPr>
          <w:szCs w:val="26"/>
        </w:rPr>
        <w:t>SCE</w:t>
      </w:r>
      <w:r w:rsidR="5B0121BE">
        <w:t xml:space="preserve"> states that the storage costs are reasonable as it resulted from a competitive solicitation process overseen by an independent evaluator. Additionally, SCE asserts that costs are competitive with those of the limited number of similar projects with expedited construction timelines</w:t>
      </w:r>
      <w:r w:rsidR="00C4269F">
        <w:t>.</w:t>
      </w:r>
    </w:p>
    <w:p w:rsidRPr="00405F9C" w:rsidR="00405F9C" w:rsidP="00405F9C" w:rsidRDefault="00405F9C" w14:paraId="0CDDE4CC" w14:textId="77777777"/>
    <w:p w:rsidRPr="00AB048A" w:rsidR="004C5464" w:rsidP="4EE18EE9" w:rsidRDefault="00B01068" w14:paraId="2EBC6F7E" w14:textId="73A7D587">
      <w:r>
        <w:t xml:space="preserve">We have reviewed </w:t>
      </w:r>
      <w:r w:rsidR="000822B5">
        <w:t>C</w:t>
      </w:r>
      <w:r>
        <w:t xml:space="preserve">onfidential </w:t>
      </w:r>
      <w:r w:rsidR="000822B5">
        <w:t xml:space="preserve">Attachment C and the IE report which contain price comparisons to </w:t>
      </w:r>
      <w:r w:rsidR="005F79B5">
        <w:t xml:space="preserve">the other UOS offers received as well as third party </w:t>
      </w:r>
      <w:r w:rsidR="00630522">
        <w:br/>
      </w:r>
      <w:r w:rsidR="005F79B5">
        <w:t xml:space="preserve">RA-only contracts under consideration by SCE. </w:t>
      </w:r>
      <w:r w:rsidR="005F590D">
        <w:t xml:space="preserve">On balance, we concur with the IE that </w:t>
      </w:r>
      <w:r w:rsidR="00235D2D">
        <w:t xml:space="preserve">the costs of the EPCM contract with AME are generally reasonable given the </w:t>
      </w:r>
      <w:r w:rsidR="003E0371">
        <w:t>unique, expedited nature of this procurement.</w:t>
      </w:r>
      <w:r w:rsidR="2E838C26">
        <w:t xml:space="preserve"> We agree with SCE that there are very few comparable projects with which to compare costs given the extremely expedited development timeline. The contracts Parties point to </w:t>
      </w:r>
      <w:r w:rsidR="5BFC61FD">
        <w:t xml:space="preserve">for comparison purposes </w:t>
      </w:r>
      <w:r w:rsidR="09DDC0E3">
        <w:t>cannot</w:t>
      </w:r>
      <w:r w:rsidR="2E838C26">
        <w:t xml:space="preserve"> be compared directly as they have key differences in development timeline, product procured, and/or contract execution date.</w:t>
      </w:r>
    </w:p>
    <w:p w:rsidR="00AA0FC3" w:rsidRDefault="00AA0FC3" w14:paraId="745A04AB" w14:textId="77777777">
      <w:pPr>
        <w:rPr>
          <w:b/>
          <w:bCs/>
        </w:rPr>
      </w:pPr>
    </w:p>
    <w:p w:rsidR="00A95FCD" w:rsidRDefault="00A95FCD" w14:paraId="099DF47E" w14:textId="40020282">
      <w:pPr>
        <w:rPr>
          <w:b/>
          <w:bCs/>
        </w:rPr>
      </w:pPr>
      <w:r>
        <w:rPr>
          <w:b/>
          <w:bCs/>
        </w:rPr>
        <w:t>Cost Recovery</w:t>
      </w:r>
    </w:p>
    <w:p w:rsidR="00C511C1" w:rsidRDefault="00C511C1" w14:paraId="282700D5" w14:textId="7B57A96B">
      <w:pPr>
        <w:rPr>
          <w:b/>
          <w:bCs/>
        </w:rPr>
      </w:pPr>
    </w:p>
    <w:p w:rsidRPr="00516C4E" w:rsidR="000430BD" w:rsidRDefault="0089725B" w14:paraId="3A13C99B" w14:textId="01B2EF4C">
      <w:r>
        <w:t>In D.21-02-028 and D.21-03-056, the Commission directed the IOUs to continue procurement efforts to meet or exceed the effective 17.5</w:t>
      </w:r>
      <w:r w:rsidR="3183E6A0">
        <w:t xml:space="preserve"> percent</w:t>
      </w:r>
      <w:r>
        <w:t xml:space="preserve"> planning reserve margin with a preference for new storage contracts</w:t>
      </w:r>
      <w:r w:rsidR="008C4C67">
        <w:t>, including UOS,</w:t>
      </w:r>
      <w:r>
        <w:t xml:space="preserve"> with costs to be recovered through CAM. While there was a preference for shorter duration contracts, </w:t>
      </w:r>
      <w:r w:rsidR="008C4C67">
        <w:t>the Commission did not prohibit or limit longer duration contracts</w:t>
      </w:r>
      <w:r w:rsidR="00042CC7">
        <w:t xml:space="preserve">. </w:t>
      </w:r>
    </w:p>
    <w:p w:rsidRPr="00516C4E" w:rsidR="00042CC7" w:rsidRDefault="00042CC7" w14:paraId="4AE05AAE" w14:textId="1C03AB0A">
      <w:pPr>
        <w:rPr>
          <w:szCs w:val="26"/>
        </w:rPr>
      </w:pPr>
    </w:p>
    <w:p w:rsidRPr="00516C4E" w:rsidR="00E96CA5" w:rsidRDefault="00E82AFB" w14:paraId="706F83A2" w14:textId="3B08C399">
      <w:r>
        <w:t>As longer duration contracts are allowed</w:t>
      </w:r>
      <w:r w:rsidR="00403267">
        <w:t xml:space="preserve">, cost recovery from all benefitting customers is appropriate for the duration of the contract. </w:t>
      </w:r>
      <w:r w:rsidR="00650549">
        <w:t xml:space="preserve">We agree with SCE, that </w:t>
      </w:r>
      <w:r w:rsidR="00734E38">
        <w:t xml:space="preserve">it is </w:t>
      </w:r>
      <w:r w:rsidR="068B8581">
        <w:t>there is no basis to require identical cost recovery treatment between SCE's UOS projects and the four PG&amp;E power purchase agreements</w:t>
      </w:r>
      <w:r w:rsidR="20D7126F">
        <w:t>, as proposed by AReM-DAC</w:t>
      </w:r>
      <w:r w:rsidR="00BF5814">
        <w:t>C</w:t>
      </w:r>
      <w:r w:rsidR="59134262">
        <w:t>. PG&amp;E could have</w:t>
      </w:r>
      <w:r w:rsidR="00F15587">
        <w:t xml:space="preserve"> chosen to recover costs from all customers for the duration of the </w:t>
      </w:r>
      <w:r w:rsidR="00F00140">
        <w:t>contract but</w:t>
      </w:r>
      <w:r w:rsidR="5AA8C4C1">
        <w:t xml:space="preserve"> did not do so.</w:t>
      </w:r>
      <w:r w:rsidR="009852C5">
        <w:t xml:space="preserve"> We thus reject AReM-DACC</w:t>
      </w:r>
      <w:r w:rsidR="00E96CA5">
        <w:t xml:space="preserve"> and SEIA</w:t>
      </w:r>
      <w:r w:rsidR="009852C5">
        <w:t>'s protest</w:t>
      </w:r>
      <w:r w:rsidR="00E96CA5">
        <w:t>s</w:t>
      </w:r>
      <w:r w:rsidR="009852C5">
        <w:t xml:space="preserve">. </w:t>
      </w:r>
    </w:p>
    <w:p w:rsidRPr="00516C4E" w:rsidR="008C4C67" w:rsidRDefault="008C4C67" w14:paraId="5C335B2D" w14:textId="393DBAAB">
      <w:pPr>
        <w:rPr>
          <w:szCs w:val="26"/>
        </w:rPr>
      </w:pPr>
    </w:p>
    <w:p w:rsidR="008C4C67" w:rsidRDefault="001F5E17" w14:paraId="102F0C7D" w14:textId="2F9F8A12">
      <w:r>
        <w:rPr>
          <w:szCs w:val="26"/>
        </w:rPr>
        <w:t>In addition</w:t>
      </w:r>
      <w:r w:rsidRPr="00516C4E" w:rsidR="007556A2">
        <w:rPr>
          <w:szCs w:val="26"/>
        </w:rPr>
        <w:t>, we</w:t>
      </w:r>
      <w:r w:rsidR="007556A2">
        <w:t xml:space="preserve"> find that it is appropriate for SCE to recover costs from all benefitting customers through a distribution charge during the period when the </w:t>
      </w:r>
      <w:r w:rsidR="0009396C">
        <w:lastRenderedPageBreak/>
        <w:t xml:space="preserve">UOS is </w:t>
      </w:r>
      <w:r w:rsidR="0033592F">
        <w:t>interconnected to non-CAISO-controlled facilities and not participating in the wholesale market</w:t>
      </w:r>
      <w:r w:rsidR="00D84094">
        <w:t>.</w:t>
      </w:r>
      <w:r w:rsidR="00E15208">
        <w:t xml:space="preserve"> This cost recovery mechanism is consistent with the approach used in CAM, but more appro</w:t>
      </w:r>
      <w:r w:rsidR="007A20E7">
        <w:t>priate for a distribution asset.</w:t>
      </w:r>
    </w:p>
    <w:p w:rsidR="007A20E7" w:rsidRDefault="007A20E7" w14:paraId="5177C494" w14:textId="7ABD3528"/>
    <w:p w:rsidR="007A20E7" w:rsidRDefault="00246935" w14:paraId="47AD461A" w14:textId="6681C819">
      <w:pPr>
        <w:rPr>
          <w:szCs w:val="26"/>
        </w:rPr>
      </w:pPr>
      <w:r>
        <w:t>Once the storage resources</w:t>
      </w:r>
      <w:r w:rsidR="00902D71">
        <w:t xml:space="preserve"> achieve full deliverability status and are participating</w:t>
      </w:r>
      <w:r w:rsidR="00516C4E">
        <w:t xml:space="preserve"> in the wholesale market, costs and benefits shall be allocated through CAM as directed by </w:t>
      </w:r>
      <w:r w:rsidRPr="00516C4E" w:rsidR="00516C4E">
        <w:rPr>
          <w:szCs w:val="26"/>
        </w:rPr>
        <w:t>D.21-02-028 and D.21-03-056</w:t>
      </w:r>
      <w:r w:rsidR="00516C4E">
        <w:rPr>
          <w:szCs w:val="26"/>
        </w:rPr>
        <w:t>.</w:t>
      </w:r>
    </w:p>
    <w:p w:rsidR="0074704B" w:rsidRDefault="0074704B" w14:paraId="5A09B4B7" w14:textId="77777777">
      <w:pPr>
        <w:rPr>
          <w:szCs w:val="26"/>
        </w:rPr>
      </w:pPr>
    </w:p>
    <w:p w:rsidR="0074704B" w:rsidRDefault="00B97013" w14:paraId="124BA265" w14:textId="65848F7C">
      <w:r>
        <w:t>During the period covered by the summer reliability proceeding's targeted emergency procurement</w:t>
      </w:r>
      <w:r w:rsidR="00A64891">
        <w:t xml:space="preserve">, RA benefits, </w:t>
      </w:r>
      <w:r w:rsidR="494FA1A9">
        <w:t>(</w:t>
      </w:r>
      <w:r w:rsidR="00A64891">
        <w:t xml:space="preserve">whether in the form of load reduction or RA capacity) will </w:t>
      </w:r>
      <w:r w:rsidR="006C6EEE">
        <w:t xml:space="preserve">not be allocated to LSEs since they will apply towards the </w:t>
      </w:r>
      <w:r w:rsidR="002E02A2">
        <w:t xml:space="preserve">additional procurement to meet </w:t>
      </w:r>
      <w:r w:rsidR="006C6EEE">
        <w:t>effecti</w:t>
      </w:r>
      <w:r w:rsidR="002E02A2">
        <w:t xml:space="preserve">ve PRM. </w:t>
      </w:r>
    </w:p>
    <w:p w:rsidR="005E78F0" w:rsidRDefault="005E78F0" w14:paraId="1BE65BBF" w14:textId="6F5A811B">
      <w:pPr>
        <w:rPr>
          <w:szCs w:val="26"/>
        </w:rPr>
      </w:pPr>
    </w:p>
    <w:p w:rsidRPr="00C511C1" w:rsidR="005E78F0" w:rsidP="0050782B" w:rsidRDefault="005E78F0" w14:paraId="7E17D706" w14:textId="7FD7BCE0">
      <w:r>
        <w:t xml:space="preserve">SCE is authorized to establish the ERESBA to record the actual revenue requirements associated with the UOS </w:t>
      </w:r>
      <w:r w:rsidR="7B84DFBA">
        <w:t xml:space="preserve">project </w:t>
      </w:r>
      <w:r w:rsidR="20EF7059">
        <w:t>costs</w:t>
      </w:r>
      <w:r w:rsidR="5078CB0A">
        <w:t>.</w:t>
      </w:r>
      <w:r w:rsidR="0045429D">
        <w:t xml:space="preserve"> </w:t>
      </w:r>
      <w:r w:rsidR="0050782B">
        <w:t xml:space="preserve">During the period when these resources are interconnected to non-CAISO-controlled facilities and operating as distribution assets, the balance in the ERESBA will transfer on a monthly basis to </w:t>
      </w:r>
      <w:r w:rsidR="005F2C1C">
        <w:t xml:space="preserve">the </w:t>
      </w:r>
      <w:r w:rsidR="0050782B">
        <w:t xml:space="preserve">BRRBA-D. Balances recorded in </w:t>
      </w:r>
      <w:r w:rsidR="00C27EFE">
        <w:t xml:space="preserve">the </w:t>
      </w:r>
      <w:r w:rsidR="0050782B">
        <w:t>BRRBA-D are recovered from all benefitting customers via distribution rate levels. Once the projects have completed the applicable interconnection process and are participating in wholesale markets and become RA-eligible, the balance i</w:t>
      </w:r>
      <w:r w:rsidR="761C09F4">
        <w:t>n</w:t>
      </w:r>
      <w:r w:rsidR="0050782B">
        <w:t xml:space="preserve"> the ERESBA will transfer monthly to the NSGBA.</w:t>
      </w:r>
    </w:p>
    <w:p w:rsidR="007B3F66" w:rsidRDefault="007B3F66" w14:paraId="28ADF41D" w14:textId="347AD660">
      <w:pPr>
        <w:rPr>
          <w:b/>
          <w:bCs/>
        </w:rPr>
      </w:pPr>
    </w:p>
    <w:p w:rsidR="007B3F66" w:rsidRDefault="007B3F66" w14:paraId="677EF28B" w14:textId="185FCCE1">
      <w:pPr>
        <w:rPr>
          <w:b/>
          <w:bCs/>
        </w:rPr>
      </w:pPr>
      <w:r>
        <w:rPr>
          <w:b/>
          <w:bCs/>
        </w:rPr>
        <w:t>Interconnection</w:t>
      </w:r>
    </w:p>
    <w:p w:rsidR="007B3F66" w:rsidRDefault="007B3F66" w14:paraId="2E43A14A" w14:textId="738F6DA5">
      <w:pPr>
        <w:rPr>
          <w:b/>
          <w:bCs/>
        </w:rPr>
      </w:pPr>
    </w:p>
    <w:p w:rsidR="007B3F66" w:rsidRDefault="007C692E" w14:paraId="606E4402" w14:textId="0FC749C7">
      <w:r>
        <w:t xml:space="preserve">SCE has proposed to leverage its position as a distribution utility in order to bring the UOS projects online before they have formal interconnection to the CAISO grid. </w:t>
      </w:r>
      <w:r w:rsidR="00A11DD0">
        <w:t xml:space="preserve">According to SCE, the </w:t>
      </w:r>
      <w:r w:rsidR="00AB2698">
        <w:t xml:space="preserve">UOS will </w:t>
      </w:r>
      <w:r w:rsidR="005225C5">
        <w:t xml:space="preserve">initially be interconnected to non-CAISO-controlled facilities as distribution assets and their operation will be reflected in load bids to the CAISO. </w:t>
      </w:r>
      <w:r w:rsidR="2CD549E7">
        <w:t>SCE</w:t>
      </w:r>
      <w:r w:rsidR="00611D5E">
        <w:t xml:space="preserve"> will then </w:t>
      </w:r>
      <w:r w:rsidR="003C66CA">
        <w:t>seek WDAT interconnection as any other project would.</w:t>
      </w:r>
    </w:p>
    <w:p w:rsidR="00B41DDC" w:rsidRDefault="00B41DDC" w14:paraId="254A7A26" w14:textId="353CD182"/>
    <w:p w:rsidR="00B41DDC" w:rsidRDefault="00B41DDC" w14:paraId="793E2990" w14:textId="7EC32A6D">
      <w:r>
        <w:t>Many Parties question the fairness of such a plan on the grounds that</w:t>
      </w:r>
      <w:r w:rsidR="00F9411C">
        <w:t xml:space="preserve"> it appears that SCE is circumventing the interconnecti</w:t>
      </w:r>
      <w:r w:rsidR="004A7127">
        <w:t>on process</w:t>
      </w:r>
      <w:r w:rsidR="00447BA6">
        <w:t xml:space="preserve"> or that the UOS projects may have negativ</w:t>
      </w:r>
      <w:r w:rsidR="000A240B">
        <w:t>e impacts on third party projects already online or in the WDAT queue.</w:t>
      </w:r>
    </w:p>
    <w:p w:rsidR="000A240B" w:rsidRDefault="000A240B" w14:paraId="203F82D3" w14:textId="3F8A896E"/>
    <w:p w:rsidR="000A240B" w:rsidRDefault="00357616" w14:paraId="40C72451" w14:textId="0AEF133B">
      <w:r>
        <w:t xml:space="preserve">While it is impossible to fully </w:t>
      </w:r>
      <w:r w:rsidR="001D7029">
        <w:t xml:space="preserve">ensure that </w:t>
      </w:r>
      <w:r w:rsidR="001B31B8">
        <w:t xml:space="preserve">the UOS will have no negative impacts on other projects, we </w:t>
      </w:r>
      <w:r w:rsidR="00197989">
        <w:t xml:space="preserve">find that SCE has taken reasonable actions to minimize </w:t>
      </w:r>
      <w:r w:rsidR="00197989">
        <w:lastRenderedPageBreak/>
        <w:t>those impacts by selecting sites</w:t>
      </w:r>
      <w:r w:rsidR="005166EE">
        <w:t xml:space="preserve"> that </w:t>
      </w:r>
      <w:r w:rsidR="00C01F94">
        <w:t>can accommodate the storage resources</w:t>
      </w:r>
      <w:r w:rsidR="00A30D0C">
        <w:t xml:space="preserve"> in addition to projects already in the interconnection queue</w:t>
      </w:r>
      <w:r w:rsidR="00C01F94">
        <w:t xml:space="preserve"> and undertaking upgrades to substations as needed</w:t>
      </w:r>
      <w:r w:rsidR="008D759F">
        <w:t xml:space="preserve"> that result in </w:t>
      </w:r>
      <w:r w:rsidR="00E623A8">
        <w:t>net increases in interconnection capacity</w:t>
      </w:r>
      <w:r w:rsidR="00C01F94">
        <w:t>.</w:t>
      </w:r>
    </w:p>
    <w:p w:rsidR="00A30D0C" w:rsidRDefault="00A30D0C" w14:paraId="4B31FA4F" w14:textId="575C7473"/>
    <w:p w:rsidR="00217D2B" w:rsidRDefault="000B0346" w14:paraId="6EE075B1" w14:textId="4BF10E42">
      <w:r>
        <w:t xml:space="preserve">While SCE has utilized its unique position to bring the UOS projects online rapidly, </w:t>
      </w:r>
      <w:r w:rsidR="008B2C33">
        <w:t>SCE</w:t>
      </w:r>
      <w:r w:rsidR="001F026D">
        <w:t xml:space="preserve"> will receive no preference in the </w:t>
      </w:r>
      <w:r w:rsidR="006D1727">
        <w:t>WDAT</w:t>
      </w:r>
      <w:r w:rsidR="001F026D">
        <w:t xml:space="preserve"> interconnection process. During the period when the UOS is operating as a distribution </w:t>
      </w:r>
      <w:r w:rsidR="004E37CA">
        <w:t xml:space="preserve">asset, it will not be eligible for </w:t>
      </w:r>
      <w:r w:rsidR="2FCE427D">
        <w:t xml:space="preserve">supply side </w:t>
      </w:r>
      <w:r w:rsidR="004E37CA">
        <w:t>RA</w:t>
      </w:r>
      <w:r w:rsidR="0F6E3ED1">
        <w:t xml:space="preserve"> value</w:t>
      </w:r>
      <w:r w:rsidR="001730C0">
        <w:t xml:space="preserve"> and will not participate in the CAISO market. </w:t>
      </w:r>
    </w:p>
    <w:p w:rsidR="00217D2B" w:rsidRDefault="00217D2B" w14:paraId="633C715E" w14:textId="77777777"/>
    <w:p w:rsidR="00C33E24" w:rsidRDefault="00217D2B" w14:paraId="507222CF" w14:textId="77777777">
      <w:r>
        <w:t>We</w:t>
      </w:r>
      <w:r w:rsidR="00B34667">
        <w:t xml:space="preserve"> also</w:t>
      </w:r>
      <w:r>
        <w:t xml:space="preserve"> note that SCE </w:t>
      </w:r>
      <w:r w:rsidR="14B661CD">
        <w:t xml:space="preserve">did seek summer of 2022 projects </w:t>
      </w:r>
      <w:r w:rsidR="00C259C2">
        <w:t>from</w:t>
      </w:r>
      <w:r>
        <w:t xml:space="preserve"> third party storage resources in addition to the UOS.</w:t>
      </w:r>
      <w:r w:rsidR="65AC8830">
        <w:t xml:space="preserve"> </w:t>
      </w:r>
      <w:r w:rsidR="0764C083">
        <w:t>It did so</w:t>
      </w:r>
      <w:r w:rsidR="68275345">
        <w:t xml:space="preserve"> by re-engaging parties from previous</w:t>
      </w:r>
      <w:r w:rsidR="0764C083">
        <w:t xml:space="preserve"> </w:t>
      </w:r>
      <w:r w:rsidR="68275345">
        <w:t>market outreach</w:t>
      </w:r>
      <w:r w:rsidR="0764C083">
        <w:t xml:space="preserve"> and</w:t>
      </w:r>
      <w:r w:rsidR="68275345">
        <w:t xml:space="preserve"> engaging in discussions with existing counterparties and canvassing all </w:t>
      </w:r>
      <w:r w:rsidR="5B76877B">
        <w:t xml:space="preserve">MTR RFO </w:t>
      </w:r>
      <w:r w:rsidR="68275345">
        <w:t>bidders</w:t>
      </w:r>
      <w:r w:rsidR="5B76877B">
        <w:t xml:space="preserve">. </w:t>
      </w:r>
      <w:r w:rsidR="2A02E487">
        <w:t>T</w:t>
      </w:r>
      <w:r w:rsidR="007963F1">
        <w:t>o date, t</w:t>
      </w:r>
      <w:r w:rsidR="2A02E487">
        <w:t>h</w:t>
      </w:r>
      <w:r w:rsidR="007963F1">
        <w:t>ese efforts have</w:t>
      </w:r>
      <w:r w:rsidR="2A02E487">
        <w:t xml:space="preserve"> resulted in </w:t>
      </w:r>
      <w:r w:rsidR="47B36E67">
        <w:t>one executed third-party contract for a large project</w:t>
      </w:r>
      <w:r w:rsidR="5B76877B">
        <w:t xml:space="preserve"> that </w:t>
      </w:r>
      <w:r w:rsidR="47B36E67">
        <w:t>can meet the expedited</w:t>
      </w:r>
      <w:r w:rsidR="68275345">
        <w:t xml:space="preserve"> 2022 </w:t>
      </w:r>
      <w:r w:rsidR="47B36E67">
        <w:t>deadline</w:t>
      </w:r>
      <w:r w:rsidR="4593FC34">
        <w:t>.</w:t>
      </w:r>
      <w:r w:rsidR="68275345">
        <w:t xml:space="preserve"> </w:t>
      </w:r>
      <w:r w:rsidR="00280FCC">
        <w:t xml:space="preserve">Given the urgency of the need for </w:t>
      </w:r>
      <w:r w:rsidR="002078F5">
        <w:t xml:space="preserve">additional resources in summer 2022, </w:t>
      </w:r>
      <w:r w:rsidR="00B377FC">
        <w:t>we encourage SCE to continue to pursue all viable opportunities</w:t>
      </w:r>
      <w:r w:rsidR="5A31A9A1">
        <w:t>.</w:t>
      </w:r>
      <w:r w:rsidR="007D67E8">
        <w:t xml:space="preserve"> While we have expressed a strong preference for RA eligible resources such as those that might have been bidders into the MTR RFO, SCE is also encouraged to consider contracts for non-RA eligible resources (or not yet RA eligible resources) to the extent that they can supply energy at net peak. </w:t>
      </w:r>
      <w:r w:rsidR="5A31A9A1">
        <w:t xml:space="preserve"> </w:t>
      </w:r>
    </w:p>
    <w:p w:rsidR="00C33E24" w:rsidRDefault="00C33E24" w14:paraId="02978A25" w14:textId="77777777"/>
    <w:p w:rsidR="00A95FCD" w:rsidRDefault="00F14640" w14:paraId="75CA3C32" w14:textId="6530220F">
      <w:pPr>
        <w:rPr>
          <w:b/>
          <w:bCs/>
        </w:rPr>
      </w:pPr>
      <w:r>
        <w:rPr>
          <w:b/>
          <w:bCs/>
        </w:rPr>
        <w:t>CEQA Exemption</w:t>
      </w:r>
    </w:p>
    <w:p w:rsidR="008D04F7" w:rsidRDefault="008D04F7" w14:paraId="47004815" w14:textId="70DA1F00">
      <w:pPr>
        <w:rPr>
          <w:b/>
          <w:bCs/>
        </w:rPr>
      </w:pPr>
    </w:p>
    <w:p w:rsidR="00B0106E" w:rsidP="00D17F19" w:rsidRDefault="00B0106E" w14:paraId="74223BA7" w14:textId="0E4B58CD">
      <w:r>
        <w:t xml:space="preserve">The Governor's </w:t>
      </w:r>
      <w:r w:rsidR="5099A9BD">
        <w:t xml:space="preserve">July 30, </w:t>
      </w:r>
      <w:r w:rsidR="00A929D5">
        <w:t>2021,</w:t>
      </w:r>
      <w:r w:rsidR="2A65F2E4">
        <w:t xml:space="preserve"> </w:t>
      </w:r>
      <w:r w:rsidR="7898F104">
        <w:t xml:space="preserve">Emergency </w:t>
      </w:r>
      <w:r w:rsidR="3CF93F40">
        <w:t xml:space="preserve">Proclamation </w:t>
      </w:r>
      <w:r w:rsidR="00AA668B">
        <w:t>declare</w:t>
      </w:r>
      <w:r w:rsidR="5488CD57">
        <w:t>d</w:t>
      </w:r>
      <w:r w:rsidR="00AA668B">
        <w:t xml:space="preserve"> a </w:t>
      </w:r>
      <w:r w:rsidR="008964F4">
        <w:t>State of Emergency</w:t>
      </w:r>
      <w:r w:rsidR="007A00C6">
        <w:t xml:space="preserve"> </w:t>
      </w:r>
      <w:r w:rsidR="34D109EA">
        <w:t xml:space="preserve">due </w:t>
      </w:r>
      <w:r w:rsidR="3A7167B6">
        <w:t xml:space="preserve">to </w:t>
      </w:r>
      <w:r w:rsidR="20BED732">
        <w:t>risks</w:t>
      </w:r>
      <w:r w:rsidR="558AD5C9">
        <w:t xml:space="preserve"> </w:t>
      </w:r>
      <w:r w:rsidR="34D109EA">
        <w:t xml:space="preserve">to </w:t>
      </w:r>
      <w:r w:rsidR="0D448066">
        <w:t>electricity reliability</w:t>
      </w:r>
      <w:r w:rsidR="007A00C6">
        <w:t xml:space="preserve"> </w:t>
      </w:r>
      <w:r w:rsidR="2C9991FB">
        <w:t xml:space="preserve">posed </w:t>
      </w:r>
      <w:r w:rsidR="7DB4DB8D">
        <w:t>by</w:t>
      </w:r>
      <w:r w:rsidR="007A00C6">
        <w:t xml:space="preserve"> </w:t>
      </w:r>
      <w:r w:rsidR="00B3196D">
        <w:t>extreme heat, drought, and fire</w:t>
      </w:r>
      <w:r w:rsidR="00A14928">
        <w:t xml:space="preserve">. </w:t>
      </w:r>
      <w:r w:rsidR="00C3694D">
        <w:t xml:space="preserve">In the </w:t>
      </w:r>
      <w:r w:rsidR="33FD05F4">
        <w:t>Proclamation</w:t>
      </w:r>
      <w:r w:rsidR="00C3694D">
        <w:t xml:space="preserve">, </w:t>
      </w:r>
      <w:r w:rsidR="51AD25F3">
        <w:t>the Governor</w:t>
      </w:r>
      <w:r w:rsidR="00C3694D">
        <w:t xml:space="preserve"> </w:t>
      </w:r>
      <w:r w:rsidR="60BD9496">
        <w:t>request</w:t>
      </w:r>
      <w:r w:rsidR="6CCEEC07">
        <w:t>ed that</w:t>
      </w:r>
      <w:r w:rsidR="60BD9496">
        <w:t xml:space="preserve"> </w:t>
      </w:r>
      <w:r w:rsidR="00C3694D">
        <w:t xml:space="preserve">the Commission work with </w:t>
      </w:r>
      <w:r w:rsidR="00F60521">
        <w:t>load serving entities to rapidly deploy new clean energy and storage projects</w:t>
      </w:r>
      <w:r w:rsidR="00027737">
        <w:t xml:space="preserve"> that can be online by October 31, 2022</w:t>
      </w:r>
      <w:r w:rsidR="00F60521">
        <w:t>.</w:t>
      </w:r>
      <w:r w:rsidR="00C30802">
        <w:t xml:space="preserve"> Additionally, the Order </w:t>
      </w:r>
      <w:r w:rsidR="00324EBC">
        <w:t xml:space="preserve">addresses expedited permitting of projects and </w:t>
      </w:r>
      <w:r w:rsidR="00C30802">
        <w:t xml:space="preserve">states that </w:t>
      </w:r>
      <w:r w:rsidR="002921F5">
        <w:t>"</w:t>
      </w:r>
      <w:r w:rsidRPr="002921F5" w:rsidR="002921F5">
        <w:t>these emergency circumstances may be deemed an unforeseen emergency situation</w:t>
      </w:r>
      <w:r w:rsidR="00027737">
        <w:t>."</w:t>
      </w:r>
      <w:r w:rsidR="004C4BBD">
        <w:rPr>
          <w:rStyle w:val="FootnoteReference"/>
        </w:rPr>
        <w:footnoteReference w:id="61"/>
      </w:r>
    </w:p>
    <w:p w:rsidR="00B0106E" w:rsidP="00D17F19" w:rsidRDefault="00B0106E" w14:paraId="1582C713" w14:textId="77777777"/>
    <w:p w:rsidRPr="009C21C5" w:rsidR="00AF065E" w:rsidP="00D17F19" w:rsidRDefault="006E0458" w14:paraId="7579DA1B" w14:textId="52E50C0A">
      <w:r>
        <w:t>While we agree with Parties that PG&amp;E's Moss Landing project should not serve as a precedent in this decision, we disagree with their assertion that this is not an emergency situation</w:t>
      </w:r>
      <w:r w:rsidRPr="00FE2858" w:rsidR="00FE2858">
        <w:t xml:space="preserve"> </w:t>
      </w:r>
      <w:r w:rsidR="003E1697">
        <w:t xml:space="preserve">and that </w:t>
      </w:r>
      <w:r w:rsidR="00FE2858">
        <w:t>the exemption for emergency projects under</w:t>
      </w:r>
      <w:r w:rsidR="00EC0601">
        <w:t xml:space="preserve"> </w:t>
      </w:r>
      <w:r w:rsidR="00FE2858">
        <w:t xml:space="preserve">GO </w:t>
      </w:r>
      <w:r w:rsidR="00FE2858">
        <w:lastRenderedPageBreak/>
        <w:t>131-D does not apply</w:t>
      </w:r>
      <w:r>
        <w:t xml:space="preserve">. </w:t>
      </w:r>
      <w:r w:rsidR="00421869">
        <w:t xml:space="preserve">The Governor </w:t>
      </w:r>
      <w:r w:rsidR="00C13C3E">
        <w:t>has declared a state of emergency and requested that the Commission act</w:t>
      </w:r>
      <w:r w:rsidR="005A064C">
        <w:t xml:space="preserve"> rapidly to ameliorate the situation. </w:t>
      </w:r>
      <w:r w:rsidR="00815A75">
        <w:t xml:space="preserve">As </w:t>
      </w:r>
      <w:r w:rsidR="00AF065E">
        <w:t xml:space="preserve">SCE signed the </w:t>
      </w:r>
      <w:r w:rsidR="00D07803">
        <w:t xml:space="preserve">EPCM </w:t>
      </w:r>
      <w:r w:rsidR="00AF065E">
        <w:t xml:space="preserve">contract in direct response to Commission decisions </w:t>
      </w:r>
      <w:r w:rsidR="258BC32B">
        <w:t>to expedite</w:t>
      </w:r>
      <w:r w:rsidR="6F421D37">
        <w:t xml:space="preserve"> </w:t>
      </w:r>
      <w:r w:rsidR="258BC32B">
        <w:t xml:space="preserve">procurement </w:t>
      </w:r>
      <w:r w:rsidR="00AF065E">
        <w:t>and the Governor's Emergency Proclamation</w:t>
      </w:r>
      <w:r w:rsidR="00A70223">
        <w:t>, we find that the emergency provision</w:t>
      </w:r>
      <w:r w:rsidR="00DC6F77">
        <w:t xml:space="preserve">s in CEQA do apply. </w:t>
      </w:r>
    </w:p>
    <w:p w:rsidR="00770E4C" w:rsidRDefault="00770E4C" w14:paraId="2E3D606A" w14:textId="297CC2EB">
      <w:pPr>
        <w:rPr>
          <w:b/>
          <w:bCs/>
        </w:rPr>
      </w:pPr>
    </w:p>
    <w:p w:rsidR="00770E4C" w:rsidP="00F75DE8" w:rsidRDefault="00770E4C" w14:paraId="324E85D1" w14:textId="678A264C">
      <w:pPr>
        <w:spacing w:line="259" w:lineRule="auto"/>
      </w:pPr>
      <w:r>
        <w:t>We agree with SCE that the UOS projects are</w:t>
      </w:r>
      <w:r w:rsidRPr="00770E4C">
        <w:t xml:space="preserve"> exempt from GO 131-D compliance pursuant to GO 131-D, Section III.B.1.h,</w:t>
      </w:r>
      <w:r>
        <w:t xml:space="preserve"> </w:t>
      </w:r>
      <w:r w:rsidRPr="00770E4C">
        <w:t>which governs the construction of projects by investor-owned utilities that are statutorily</w:t>
      </w:r>
      <w:r>
        <w:t xml:space="preserve"> </w:t>
      </w:r>
      <w:r w:rsidRPr="00770E4C">
        <w:t>or categorically exempt pursuant to Section 15260 et seq</w:t>
      </w:r>
      <w:r w:rsidDel="158284D3">
        <w:t>.</w:t>
      </w:r>
      <w:r w:rsidRPr="00770E4C">
        <w:t xml:space="preserve"> of the Guidelines adopted to</w:t>
      </w:r>
      <w:r>
        <w:t xml:space="preserve"> </w:t>
      </w:r>
      <w:r w:rsidRPr="00770E4C">
        <w:t xml:space="preserve">implement CEQA, </w:t>
      </w:r>
      <w:r w:rsidR="5566C097">
        <w:t xml:space="preserve">Title </w:t>
      </w:r>
      <w:r w:rsidRPr="00770E4C">
        <w:t xml:space="preserve">14 </w:t>
      </w:r>
      <w:r w:rsidR="52DFE56C">
        <w:t xml:space="preserve">of the California </w:t>
      </w:r>
      <w:r w:rsidRPr="00770E4C">
        <w:t>Code of Regulations Section 15000 et seq.</w:t>
      </w:r>
      <w:r w:rsidR="3A73CC09">
        <w:t xml:space="preserve">  </w:t>
      </w:r>
      <w:r w:rsidR="2915E21E">
        <w:t xml:space="preserve">Specifically, </w:t>
      </w:r>
      <w:r w:rsidR="54F22DF5">
        <w:t>we find that the UOS</w:t>
      </w:r>
      <w:r w:rsidR="2915E21E">
        <w:t xml:space="preserve"> </w:t>
      </w:r>
      <w:r w:rsidR="54F22DF5">
        <w:t xml:space="preserve">projects are subject to </w:t>
      </w:r>
      <w:r w:rsidR="2915E21E">
        <w:t>Section 15269(c) of the Guidelines</w:t>
      </w:r>
      <w:r w:rsidR="3A30AA1F">
        <w:t>, which</w:t>
      </w:r>
      <w:r w:rsidR="2915E21E">
        <w:t xml:space="preserve"> exempts </w:t>
      </w:r>
      <w:r w:rsidR="516971D7">
        <w:t>“actions necessary to prevent or mitigate an emergency.”</w:t>
      </w:r>
    </w:p>
    <w:p w:rsidR="00770E4C" w:rsidRDefault="00770E4C" w14:paraId="7238C567" w14:textId="77777777">
      <w:pPr>
        <w:rPr>
          <w:b/>
          <w:bCs/>
        </w:rPr>
      </w:pPr>
    </w:p>
    <w:p w:rsidRPr="0083309D" w:rsidR="00F14640" w:rsidRDefault="00F14640" w14:paraId="7BF089F6" w14:textId="027A6A6D">
      <w:pPr>
        <w:rPr>
          <w:b/>
          <w:bCs/>
        </w:rPr>
      </w:pPr>
      <w:r>
        <w:rPr>
          <w:b/>
          <w:bCs/>
        </w:rPr>
        <w:t>MTR Eligibility</w:t>
      </w:r>
    </w:p>
    <w:p w:rsidR="00CA25DC" w:rsidRDefault="00CA25DC" w14:paraId="5B2F9290" w14:textId="43A48EED"/>
    <w:p w:rsidR="00CA25DC" w:rsidP="2C0B4784" w:rsidRDefault="153EFEA8" w14:paraId="63522182" w14:textId="5D502AE3">
      <w:r>
        <w:t xml:space="preserve">SCE requests that </w:t>
      </w:r>
      <w:r w:rsidR="696EEF4F">
        <w:t>the Commission a</w:t>
      </w:r>
      <w:r w:rsidR="0074B175">
        <w:t>llow</w:t>
      </w:r>
      <w:r w:rsidR="696EEF4F">
        <w:t xml:space="preserve"> SCE and other LSEs in its service territory </w:t>
      </w:r>
      <w:bookmarkStart w:name="_Hlk87298026" w:id="1"/>
      <w:r w:rsidR="696EEF4F">
        <w:t xml:space="preserve">to count the </w:t>
      </w:r>
      <w:r w:rsidR="36713687">
        <w:t xml:space="preserve">UOS </w:t>
      </w:r>
      <w:r w:rsidR="008B2C33">
        <w:t>p</w:t>
      </w:r>
      <w:r w:rsidR="36713687">
        <w:t xml:space="preserve">rojects </w:t>
      </w:r>
      <w:r w:rsidR="696EEF4F">
        <w:t>toward their D.21-06-035 MTR procurement requirements</w:t>
      </w:r>
      <w:r w:rsidR="00285C7B">
        <w:t xml:space="preserve"> after</w:t>
      </w:r>
      <w:r w:rsidR="696EEF4F">
        <w:t xml:space="preserve"> </w:t>
      </w:r>
      <w:r w:rsidR="00667FD6">
        <w:rPr>
          <w:szCs w:val="26"/>
        </w:rPr>
        <w:t>the period covered by the summer reliability proceeding's targeted emergency procurement</w:t>
      </w:r>
      <w:r w:rsidR="00667FD6">
        <w:t xml:space="preserve"> </w:t>
      </w:r>
      <w:r w:rsidR="696EEF4F">
        <w:t>based on their cost allocation</w:t>
      </w:r>
      <w:r w:rsidR="0E7EC58C">
        <w:t>. SCE also proposes that</w:t>
      </w:r>
      <w:r w:rsidR="696EEF4F">
        <w:t xml:space="preserve"> </w:t>
      </w:r>
      <w:r w:rsidR="0E7EC58C">
        <w:t>the MTR value be</w:t>
      </w:r>
      <w:r w:rsidR="696EEF4F">
        <w:t xml:space="preserve"> </w:t>
      </w:r>
      <w:r w:rsidR="0E7EC58C">
        <w:t xml:space="preserve">based on the </w:t>
      </w:r>
      <w:r w:rsidR="696EEF4F">
        <w:t xml:space="preserve">  nameplate capacity of the projects</w:t>
      </w:r>
      <w:r w:rsidR="7260BD40">
        <w:t xml:space="preserve"> rather than the effective load carrying capability (“ELCC”) methodology adopted in D.21-06-035</w:t>
      </w:r>
      <w:r w:rsidR="696EEF4F">
        <w:t>.</w:t>
      </w:r>
      <w:r w:rsidR="00D07803">
        <w:t xml:space="preserve"> </w:t>
      </w:r>
    </w:p>
    <w:bookmarkEnd w:id="1"/>
    <w:p w:rsidR="00CA25DC" w:rsidP="2C0B4784" w:rsidRDefault="00CA25DC" w14:paraId="4AA160BB" w14:textId="64D50905">
      <w:pPr>
        <w:rPr>
          <w:rFonts w:eastAsia="Palatino" w:cs="Palatino"/>
        </w:rPr>
      </w:pPr>
    </w:p>
    <w:p w:rsidR="00CA25DC" w:rsidP="2C0B4784" w:rsidRDefault="00930C87" w14:paraId="31A44758" w14:textId="3D5276F2">
      <w:r>
        <w:t xml:space="preserve">We recognize that the benefits of resources that are paid for by all customers in SCE's service territory should be shared by all benefiting customers. During the period covered by the summer reliability proceeding's targeted emergency procurement, these benefits take the form of increased reliability.  We agree that for </w:t>
      </w:r>
      <w:r w:rsidR="00602D08">
        <w:t xml:space="preserve">the </w:t>
      </w:r>
      <w:r>
        <w:t>years that these resources remain operational beyond the summer reliability proceeding's targeted emergency procurement period, there</w:t>
      </w:r>
      <w:r w:rsidR="00602D08">
        <w:t xml:space="preserve"> is</w:t>
      </w:r>
      <w:r w:rsidR="30F90724">
        <w:t xml:space="preserve"> a strong argument to allocate these benefits </w:t>
      </w:r>
      <w:r>
        <w:t>to all customers in the form of reduced IRP requirements</w:t>
      </w:r>
      <w:r w:rsidR="0B3C9112">
        <w:t>, or some other accounting that would have the same effect</w:t>
      </w:r>
      <w:r w:rsidR="1E9CE420">
        <w:t xml:space="preserve"> such as reducing future </w:t>
      </w:r>
      <w:r w:rsidR="75FBA22B">
        <w:t>additional</w:t>
      </w:r>
      <w:r w:rsidR="1E9CE420">
        <w:t xml:space="preserve"> IRP requirements</w:t>
      </w:r>
      <w:r w:rsidR="3B59EC4A">
        <w:t>.</w:t>
      </w:r>
      <w:r>
        <w:t xml:space="preserve">  However, this consideration was not contempl</w:t>
      </w:r>
      <w:r w:rsidR="008D759F">
        <w:t>ated in the decision authorizing this procurement and is</w:t>
      </w:r>
      <w:r>
        <w:t xml:space="preserve"> </w:t>
      </w:r>
      <w:r w:rsidR="008D759F">
        <w:t xml:space="preserve">therefore </w:t>
      </w:r>
      <w:r>
        <w:t>beyond the scope of th</w:t>
      </w:r>
      <w:r w:rsidR="008D759F">
        <w:t>is resolution</w:t>
      </w:r>
      <w:r w:rsidR="28E4F57E">
        <w:t xml:space="preserve">. Therefore, we decline to adopt SCE’s request and encourage Parties to raise this issue in </w:t>
      </w:r>
      <w:r w:rsidR="008A07BD">
        <w:t>current IRP</w:t>
      </w:r>
      <w:r w:rsidR="28E4F57E">
        <w:t xml:space="preserve"> </w:t>
      </w:r>
      <w:r w:rsidR="6538E48F">
        <w:t>proceeding</w:t>
      </w:r>
      <w:r w:rsidR="71E0E81A">
        <w:t>s</w:t>
      </w:r>
      <w:r w:rsidR="6538E48F">
        <w:t>.</w:t>
      </w:r>
      <w:r w:rsidR="3130EAC1">
        <w:t xml:space="preserve"> A further benefit to declining SCE’s request </w:t>
      </w:r>
      <w:r w:rsidR="33838A29">
        <w:t xml:space="preserve">at this time </w:t>
      </w:r>
      <w:r w:rsidR="3130EAC1">
        <w:t xml:space="preserve">is that we </w:t>
      </w:r>
      <w:r w:rsidR="791E98CA">
        <w:t>do not</w:t>
      </w:r>
      <w:r w:rsidR="3130EAC1">
        <w:t xml:space="preserve"> </w:t>
      </w:r>
      <w:r w:rsidR="791E98CA">
        <w:t xml:space="preserve">introduce unwarranted uncertainty around LSE’s </w:t>
      </w:r>
      <w:r w:rsidR="65912055">
        <w:t xml:space="preserve">recently established </w:t>
      </w:r>
      <w:r w:rsidR="791E98CA">
        <w:t xml:space="preserve">IRP MTR </w:t>
      </w:r>
      <w:r w:rsidR="791E98CA">
        <w:lastRenderedPageBreak/>
        <w:t>procurement obligations</w:t>
      </w:r>
      <w:r w:rsidR="4770BE5E">
        <w:t>; these obligations were</w:t>
      </w:r>
      <w:r w:rsidR="791E98CA">
        <w:t xml:space="preserve"> only recently established in D.21-06-035</w:t>
      </w:r>
      <w:r w:rsidR="08F04F8F">
        <w:t xml:space="preserve"> and </w:t>
      </w:r>
      <w:r w:rsidR="42CBA730">
        <w:t xml:space="preserve">full </w:t>
      </w:r>
      <w:r w:rsidR="08F04F8F">
        <w:t>compliance with these obligations is critical to system reliability</w:t>
      </w:r>
      <w:r w:rsidR="10943307">
        <w:t>, as early as summer 2023.</w:t>
      </w:r>
    </w:p>
    <w:p w:rsidR="00CF17DE" w:rsidRDefault="00CF17DE" w14:paraId="40E7C61D" w14:textId="77777777"/>
    <w:p w:rsidR="00CF17DE" w:rsidRDefault="00CF17DE" w14:paraId="16A82360" w14:textId="77777777">
      <w:pPr>
        <w:pStyle w:val="Heading1"/>
      </w:pPr>
      <w:r>
        <w:t>Comments</w:t>
      </w:r>
    </w:p>
    <w:p w:rsidR="00090457" w:rsidP="00090457" w:rsidRDefault="00090457" w14:paraId="029F8842" w14:textId="78C73956">
      <w: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0024459D" w:rsidP="0024459D" w:rsidRDefault="0024459D" w14:paraId="1030F211" w14:textId="77777777"/>
    <w:p w:rsidR="0024459D" w:rsidP="0024459D" w:rsidRDefault="0024459D" w14:paraId="40C33EDB" w14:textId="60B59318">
      <w:r>
        <w:t xml:space="preserve">The 30-day review and 20-day comment period for the draft of this resolution </w:t>
      </w:r>
      <w:r w:rsidR="00E623A8">
        <w:t xml:space="preserve">is </w:t>
      </w:r>
      <w:r>
        <w:t xml:space="preserve">neither waived nor </w:t>
      </w:r>
      <w:r w:rsidR="00EC0601">
        <w:t>reduced. Accordingly</w:t>
      </w:r>
      <w:r>
        <w:t>, this draft resolution was mailed to parties for comments, and will be placed on the Commission's agenda no earlier than 30 days from today.</w:t>
      </w:r>
    </w:p>
    <w:p w:rsidR="0024459D" w:rsidP="0024459D" w:rsidRDefault="0024459D" w14:paraId="2A500E66" w14:textId="77777777"/>
    <w:p w:rsidR="00CF17DE" w:rsidRDefault="00CF17DE" w14:paraId="07618DBE" w14:textId="77777777">
      <w:pPr>
        <w:pStyle w:val="Heading1"/>
      </w:pPr>
      <w:r>
        <w:t>Findings</w:t>
      </w:r>
    </w:p>
    <w:p w:rsidR="005D1B3C" w:rsidP="005D1B3C" w:rsidRDefault="00815389" w14:paraId="5C6E4CBF" w14:textId="26C51C4C">
      <w:pPr>
        <w:numPr>
          <w:ilvl w:val="0"/>
          <w:numId w:val="4"/>
        </w:numPr>
      </w:pPr>
      <w:r>
        <w:t>Commission Decisions D.21</w:t>
      </w:r>
      <w:r w:rsidR="00E43FED">
        <w:t xml:space="preserve">-02-028 </w:t>
      </w:r>
      <w:r w:rsidR="00576D3A">
        <w:t xml:space="preserve">and D.21-03-056 directed the IOUs </w:t>
      </w:r>
      <w:r w:rsidR="00330DD0">
        <w:t xml:space="preserve">to contract for </w:t>
      </w:r>
      <w:r w:rsidR="4293E56D">
        <w:t xml:space="preserve">incremental </w:t>
      </w:r>
      <w:r w:rsidR="00330DD0">
        <w:t>capacity</w:t>
      </w:r>
      <w:r w:rsidR="000F0ACB">
        <w:t xml:space="preserve"> available to </w:t>
      </w:r>
      <w:r w:rsidR="00F10F59">
        <w:t xml:space="preserve">serve peak and net peak demand </w:t>
      </w:r>
      <w:r w:rsidR="00B348B5">
        <w:t xml:space="preserve">during the summers of 2021 and 2021 </w:t>
      </w:r>
      <w:r w:rsidR="00F10F59">
        <w:t>on behalf of all benefitting customers and expressed a preference for storage resources. The Commission determined that potential resources may include utility-owned generation and authorized the IOUs to submit utility-owned generation</w:t>
      </w:r>
      <w:r w:rsidR="000F590C">
        <w:t xml:space="preserve"> projects</w:t>
      </w:r>
      <w:r w:rsidR="00F10F59">
        <w:t xml:space="preserve"> through a Tier 2 Advice Letter.</w:t>
      </w:r>
    </w:p>
    <w:p w:rsidR="004809F4" w:rsidP="00C210D8" w:rsidRDefault="005D1B3C" w14:paraId="49467754" w14:textId="77777777">
      <w:pPr>
        <w:numPr>
          <w:ilvl w:val="0"/>
          <w:numId w:val="4"/>
        </w:numPr>
      </w:pPr>
      <w:r w:rsidRPr="005D1B3C">
        <w:rPr>
          <w:bCs/>
        </w:rPr>
        <w:t>On July 30, 2021, Governor Newsom proclaimed a state of emergency in California due to the increasing effects of climate change and their impact on the state’s electric system.</w:t>
      </w:r>
      <w:r w:rsidRPr="004809F4" w:rsidR="004809F4">
        <w:t xml:space="preserve"> </w:t>
      </w:r>
    </w:p>
    <w:p w:rsidR="004961F8" w:rsidP="004961F8" w:rsidRDefault="004809F4" w14:paraId="3E26D701" w14:textId="376BE2BB">
      <w:pPr>
        <w:numPr>
          <w:ilvl w:val="0"/>
          <w:numId w:val="4"/>
        </w:numPr>
        <w:rPr>
          <w:rFonts w:ascii="Palatino Linotype" w:hAnsi="Palatino Linotype"/>
        </w:rPr>
      </w:pPr>
      <w:r>
        <w:t xml:space="preserve">The </w:t>
      </w:r>
      <w:r w:rsidRPr="0082087B">
        <w:rPr>
          <w:bCs/>
        </w:rPr>
        <w:t xml:space="preserve">Emergency Proclamation requests that the </w:t>
      </w:r>
      <w:r>
        <w:rPr>
          <w:bCs/>
        </w:rPr>
        <w:t>C</w:t>
      </w:r>
      <w:r w:rsidRPr="0082087B">
        <w:rPr>
          <w:bCs/>
        </w:rPr>
        <w:t>ommission “work</w:t>
      </w:r>
      <w:r>
        <w:rPr>
          <w:bCs/>
        </w:rPr>
        <w:t xml:space="preserve"> </w:t>
      </w:r>
      <w:r w:rsidRPr="0082087B">
        <w:rPr>
          <w:bCs/>
        </w:rPr>
        <w:t>with the State's load serving entities on accelerating plans for the construction,</w:t>
      </w:r>
      <w:r>
        <w:rPr>
          <w:bCs/>
        </w:rPr>
        <w:t xml:space="preserve"> </w:t>
      </w:r>
      <w:r w:rsidRPr="0082087B">
        <w:rPr>
          <w:bCs/>
        </w:rPr>
        <w:t>procurement, and rapid deployment of new clean energy and storage projects to</w:t>
      </w:r>
      <w:r>
        <w:rPr>
          <w:bCs/>
        </w:rPr>
        <w:t xml:space="preserve"> </w:t>
      </w:r>
      <w:r w:rsidRPr="0082087B">
        <w:rPr>
          <w:bCs/>
        </w:rPr>
        <w:t>mitigate the risk of capacity shortages and increase the availability of carbon-free</w:t>
      </w:r>
      <w:r>
        <w:rPr>
          <w:bCs/>
        </w:rPr>
        <w:t xml:space="preserve"> </w:t>
      </w:r>
      <w:r w:rsidRPr="0082087B">
        <w:rPr>
          <w:bCs/>
        </w:rPr>
        <w:t>energy at all times of day</w:t>
      </w:r>
      <w:r>
        <w:t>.</w:t>
      </w:r>
      <w:r w:rsidR="66373DA1">
        <w:t>”</w:t>
      </w:r>
      <w:r w:rsidRPr="004961F8" w:rsidR="004961F8">
        <w:rPr>
          <w:rFonts w:ascii="Palatino Linotype" w:hAnsi="Palatino Linotype"/>
        </w:rPr>
        <w:t xml:space="preserve"> </w:t>
      </w:r>
    </w:p>
    <w:p w:rsidRPr="001C171D" w:rsidR="004961F8" w:rsidP="004961F8" w:rsidRDefault="004961F8" w14:paraId="7B44FCBB" w14:textId="33585BB9">
      <w:pPr>
        <w:numPr>
          <w:ilvl w:val="0"/>
          <w:numId w:val="4"/>
        </w:numPr>
        <w:rPr>
          <w:rFonts w:ascii="Palatino Linotype" w:hAnsi="Palatino Linotype" w:eastAsia="Palatino Linotype" w:cs="Palatino Linotype"/>
        </w:rPr>
      </w:pPr>
      <w:r>
        <w:rPr>
          <w:rFonts w:ascii="Palatino Linotype" w:hAnsi="Palatino Linotype"/>
        </w:rPr>
        <w:t>S</w:t>
      </w:r>
      <w:r>
        <w:t>CE’s</w:t>
      </w:r>
      <w:r w:rsidDel="000D3B70">
        <w:t xml:space="preserve"> </w:t>
      </w:r>
      <w:r>
        <w:t xml:space="preserve">methodology </w:t>
      </w:r>
      <w:r w:rsidR="000D3B70">
        <w:t xml:space="preserve">to evaluate energy storage procurement solicitations </w:t>
      </w:r>
      <w:r>
        <w:t>is reasonable and consistent with prior energy storage solicitations.</w:t>
      </w:r>
    </w:p>
    <w:p w:rsidRPr="00393FBD" w:rsidR="0013646B" w:rsidP="00393FBD" w:rsidRDefault="0013646B" w14:paraId="4E931E28" w14:textId="0C2C4AF6">
      <w:pPr>
        <w:numPr>
          <w:ilvl w:val="0"/>
          <w:numId w:val="4"/>
        </w:numPr>
        <w:rPr>
          <w:rFonts w:eastAsia="Palatino" w:cs="Palatino"/>
          <w:szCs w:val="26"/>
        </w:rPr>
      </w:pPr>
      <w:r>
        <w:lastRenderedPageBreak/>
        <w:t>It is reasonable for SCE to initially interconnect the storage projects to non-CAISO-controlled facilities as distribution assets then seek formal interconnection according to the requirements of the Wholesale Distribution Access Tariff.</w:t>
      </w:r>
    </w:p>
    <w:p w:rsidRPr="001C171D" w:rsidR="008B56B2" w:rsidP="008B56B2" w:rsidRDefault="008B56B2" w14:paraId="1A15D34A" w14:textId="6796A480">
      <w:pPr>
        <w:numPr>
          <w:ilvl w:val="0"/>
          <w:numId w:val="4"/>
        </w:numPr>
        <w:rPr>
          <w:rFonts w:eastAsia="Palatino" w:cs="Palatino"/>
          <w:szCs w:val="26"/>
        </w:rPr>
      </w:pPr>
      <w:r w:rsidRPr="00F72290">
        <w:rPr>
          <w:szCs w:val="26"/>
        </w:rPr>
        <w:t xml:space="preserve">The cost of the </w:t>
      </w:r>
      <w:r w:rsidR="00A16732">
        <w:t>Emergency Reliability Engineering, Procurement, Construction, and Maintenance</w:t>
      </w:r>
      <w:r w:rsidR="00370937">
        <w:rPr>
          <w:szCs w:val="26"/>
        </w:rPr>
        <w:t xml:space="preserve"> contract with A</w:t>
      </w:r>
      <w:r w:rsidR="00C925AF">
        <w:rPr>
          <w:szCs w:val="26"/>
        </w:rPr>
        <w:t>meresco</w:t>
      </w:r>
      <w:r w:rsidR="004B518F">
        <w:rPr>
          <w:szCs w:val="26"/>
        </w:rPr>
        <w:t>, Inc.</w:t>
      </w:r>
      <w:r w:rsidRPr="0044432A">
        <w:rPr>
          <w:szCs w:val="26"/>
        </w:rPr>
        <w:t xml:space="preserve"> is reasonable given the expedited nature of the procurement.</w:t>
      </w:r>
    </w:p>
    <w:p w:rsidRPr="00533673" w:rsidR="005D1B3C" w:rsidP="00260BC0" w:rsidRDefault="00934D3F" w14:paraId="18176C40" w14:textId="10077BBE">
      <w:pPr>
        <w:numPr>
          <w:ilvl w:val="0"/>
          <w:numId w:val="4"/>
        </w:numPr>
        <w:rPr>
          <w:rFonts w:eastAsia="Palatino" w:cs="Palatino"/>
        </w:rPr>
      </w:pPr>
      <w:r>
        <w:t>SCE’s requests for cost recovery are reasonable.</w:t>
      </w:r>
    </w:p>
    <w:p w:rsidR="00C23EBB" w:rsidRDefault="7B73FA1B" w14:paraId="4CBF255B" w14:textId="71923685">
      <w:pPr>
        <w:numPr>
          <w:ilvl w:val="0"/>
          <w:numId w:val="4"/>
        </w:numPr>
        <w:rPr>
          <w:rFonts w:eastAsia="Palatino" w:cs="Palatino"/>
        </w:rPr>
      </w:pPr>
      <w:r>
        <w:t xml:space="preserve">SCE’s </w:t>
      </w:r>
      <w:r w:rsidR="0044432A">
        <w:t>request to</w:t>
      </w:r>
      <w:r w:rsidR="00C23EBB">
        <w:t xml:space="preserve"> </w:t>
      </w:r>
      <w:r w:rsidR="00164CDF">
        <w:t xml:space="preserve">recover costs of the utility-owned storage </w:t>
      </w:r>
      <w:r w:rsidR="3E431391">
        <w:t>projects</w:t>
      </w:r>
      <w:r w:rsidR="00164CDF">
        <w:t xml:space="preserve"> through a non-</w:t>
      </w:r>
      <w:r w:rsidR="003125BA">
        <w:t>bypassable</w:t>
      </w:r>
      <w:r w:rsidR="00164CDF">
        <w:t xml:space="preserve"> distribution charge during the period when the utility-owned storage resources are interconnected to non-CAISO-controlled facilities and not participating in the wholesale market</w:t>
      </w:r>
      <w:r w:rsidR="23BDE486">
        <w:t>, is consistent with the cost allocation principles of D.21-02-028 and D.21-03-056</w:t>
      </w:r>
      <w:r w:rsidR="00335B4B">
        <w:t>.</w:t>
      </w:r>
    </w:p>
    <w:p w:rsidR="00335B4B" w:rsidP="00335B4B" w:rsidRDefault="2CB1A65A" w14:paraId="61F05EB0" w14:textId="559C5069">
      <w:pPr>
        <w:numPr>
          <w:ilvl w:val="0"/>
          <w:numId w:val="4"/>
        </w:numPr>
        <w:rPr>
          <w:rFonts w:eastAsia="Palatino" w:cs="Palatino"/>
        </w:rPr>
      </w:pPr>
      <w:r>
        <w:t xml:space="preserve">SCE’s request to recover the costs of the utility owned storage projects </w:t>
      </w:r>
      <w:r w:rsidR="0FD0B051">
        <w:t xml:space="preserve">through the Cost Allocation Mechanism </w:t>
      </w:r>
      <w:r w:rsidR="354F51BD">
        <w:t>o</w:t>
      </w:r>
      <w:r w:rsidRPr="01785FCF" w:rsidR="00335B4B">
        <w:t xml:space="preserve">nce the facilities have received a formal interconnection </w:t>
      </w:r>
      <w:r w:rsidRPr="01785FCF" w:rsidR="1BF16D0C">
        <w:t xml:space="preserve">and </w:t>
      </w:r>
      <w:r w:rsidRPr="01785FCF" w:rsidR="00335B4B">
        <w:t>can participate in the wholesale energy market, is reasonable.</w:t>
      </w:r>
    </w:p>
    <w:p w:rsidR="00335B4B" w:rsidRDefault="00FB1A6F" w14:paraId="650B7C6B" w14:textId="5307E348">
      <w:pPr>
        <w:numPr>
          <w:ilvl w:val="0"/>
          <w:numId w:val="4"/>
        </w:numPr>
      </w:pPr>
      <w:r>
        <w:t>It is reasonable to allow SCE to recover costs of the independent evaluator up to $15,000</w:t>
      </w:r>
      <w:r w:rsidR="00D17CC2">
        <w:t xml:space="preserve"> through the non-</w:t>
      </w:r>
      <w:r w:rsidR="00AE3552">
        <w:t>by passable</w:t>
      </w:r>
      <w:r w:rsidR="00D17CC2">
        <w:t xml:space="preserve"> distribution charge.</w:t>
      </w:r>
    </w:p>
    <w:p w:rsidRPr="00E241FE" w:rsidR="00151AAD" w:rsidP="00151AAD" w:rsidRDefault="00151AAD" w14:paraId="5C55FA8E" w14:textId="6DB17C4C">
      <w:pPr>
        <w:numPr>
          <w:ilvl w:val="0"/>
          <w:numId w:val="4"/>
        </w:numPr>
        <w:rPr>
          <w:rFonts w:ascii="Palatino Linotype" w:hAnsi="Palatino Linotype" w:eastAsia="Palatino Linotype" w:cs="Palatino Linotype"/>
        </w:rPr>
      </w:pPr>
      <w:r w:rsidRPr="00E241FE">
        <w:rPr>
          <w:rFonts w:ascii="Palatino Linotype" w:hAnsi="Palatino Linotype"/>
        </w:rPr>
        <w:t>It</w:t>
      </w:r>
      <w:r>
        <w:t xml:space="preserve"> is reasonable to require SCE to file an application for reasonableness review of the utility-owned storage projects within 90 days after its operational start date, if the actual costs of the project exceed the cost estimate contained within AL 4617-E.</w:t>
      </w:r>
    </w:p>
    <w:p w:rsidRPr="00150DCA" w:rsidR="000B31CE" w:rsidP="000B31CE" w:rsidRDefault="00E52C90" w14:paraId="3130B540" w14:textId="62058893">
      <w:pPr>
        <w:numPr>
          <w:ilvl w:val="0"/>
          <w:numId w:val="4"/>
        </w:numPr>
        <w:rPr>
          <w:rFonts w:eastAsia="Palatino" w:cs="Palatino"/>
        </w:rPr>
      </w:pPr>
      <w:r>
        <w:t>T</w:t>
      </w:r>
      <w:r w:rsidR="000B31CE">
        <w:t>he utility owned storage projects are governed by Commission General Order 131-D as it relates to permitting electric facilities in California.</w:t>
      </w:r>
    </w:p>
    <w:p w:rsidRPr="00C33E24" w:rsidR="00C33E24" w:rsidP="00C33E24" w:rsidRDefault="3DDF90DD" w14:paraId="5213A21F" w14:textId="77777777">
      <w:pPr>
        <w:numPr>
          <w:ilvl w:val="0"/>
          <w:numId w:val="4"/>
        </w:numPr>
        <w:rPr>
          <w:rFonts w:eastAsia="Palatino" w:cs="Palatino"/>
          <w:color w:val="000000" w:themeColor="text1"/>
        </w:rPr>
      </w:pPr>
      <w:r w:rsidRPr="611B73DF">
        <w:rPr>
          <w:rFonts w:eastAsia="Arial"/>
        </w:rPr>
        <w:t xml:space="preserve"> The development of the utility owned storage projects constitutes a CEQA exempt emergency action under 14 CCR section 15269(c).</w:t>
      </w:r>
      <w:r w:rsidRPr="611B73DF" w:rsidR="0DFBEA8E">
        <w:rPr>
          <w:rFonts w:eastAsia="Arial"/>
        </w:rPr>
        <w:t xml:space="preserve"> </w:t>
      </w:r>
      <w:r w:rsidRPr="611B73DF" w:rsidR="4CC61EA2">
        <w:rPr>
          <w:rFonts w:eastAsia="Arial"/>
        </w:rPr>
        <w:t xml:space="preserve">As such, </w:t>
      </w:r>
      <w:r w:rsidRPr="611B73DF" w:rsidR="0EB5D35F">
        <w:rPr>
          <w:rFonts w:eastAsia="Arial"/>
        </w:rPr>
        <w:t>s</w:t>
      </w:r>
      <w:r w:rsidRPr="611B73DF" w:rsidR="4CC61EA2">
        <w:rPr>
          <w:rFonts w:eastAsia="Arial"/>
        </w:rPr>
        <w:t xml:space="preserve">ection III.B.1.h of GO 131-D exempts the projects from the requirement to file an application </w:t>
      </w:r>
      <w:r w:rsidRPr="611B73DF" w:rsidR="0BB101AC">
        <w:rPr>
          <w:rFonts w:eastAsia="Arial"/>
        </w:rPr>
        <w:t xml:space="preserve">with the Commission </w:t>
      </w:r>
      <w:r w:rsidRPr="611B73DF" w:rsidR="4CC61EA2">
        <w:rPr>
          <w:rFonts w:eastAsia="Arial"/>
        </w:rPr>
        <w:t>requesting authority to construct</w:t>
      </w:r>
      <w:r w:rsidRPr="611B73DF" w:rsidR="0F6AF72A">
        <w:rPr>
          <w:rFonts w:eastAsia="Arial"/>
        </w:rPr>
        <w:t>.</w:t>
      </w:r>
      <w:r w:rsidRPr="611B73DF" w:rsidR="42763873">
        <w:rPr>
          <w:rFonts w:eastAsia="Arial"/>
        </w:rPr>
        <w:t xml:space="preserve"> </w:t>
      </w:r>
    </w:p>
    <w:p w:rsidRPr="00C33E24" w:rsidR="007E60EA" w:rsidP="00C33E24" w:rsidRDefault="007E60EA" w14:paraId="20FF83BA" w14:textId="56BE0005">
      <w:pPr>
        <w:numPr>
          <w:ilvl w:val="0"/>
          <w:numId w:val="4"/>
        </w:numPr>
        <w:rPr>
          <w:rFonts w:eastAsia="Palatino" w:cs="Palatino"/>
          <w:color w:val="000000" w:themeColor="text1"/>
        </w:rPr>
      </w:pPr>
      <w:r>
        <w:t xml:space="preserve">A </w:t>
      </w:r>
      <w:r w:rsidRPr="009265C4">
        <w:t>Certificate of Public Convenience and Necessity</w:t>
      </w:r>
      <w:r>
        <w:t>,</w:t>
      </w:r>
      <w:r w:rsidRPr="009265C4">
        <w:t xml:space="preserve"> Permit to Construct</w:t>
      </w:r>
      <w:r>
        <w:t>, or notice of exempt construction from the Commission is not required for the Utility-Owned Storage Projects identified in SCE AL 4617-E.</w:t>
      </w:r>
    </w:p>
    <w:p w:rsidR="00C33E24" w:rsidP="00C33E24" w:rsidRDefault="003D38B2" w14:paraId="10B16C5D" w14:textId="77777777">
      <w:pPr>
        <w:numPr>
          <w:ilvl w:val="0"/>
          <w:numId w:val="4"/>
        </w:numPr>
        <w:rPr>
          <w:rFonts w:eastAsia="Palatino" w:cs="Palatino"/>
          <w:color w:val="000000" w:themeColor="text1"/>
        </w:rPr>
      </w:pPr>
      <w:r>
        <w:t>F</w:t>
      </w:r>
      <w:r w:rsidR="000654E4">
        <w:t>or the years that the</w:t>
      </w:r>
      <w:r>
        <w:t xml:space="preserve"> storage</w:t>
      </w:r>
      <w:r w:rsidR="000654E4">
        <w:t xml:space="preserve"> resources remain operational beyond the summer reliability proceeding's targeted emergency procurement period, there is a strong argument to allocate these benefits to all customers in the form of reduced IRP requirements</w:t>
      </w:r>
      <w:r w:rsidR="4E820EF8">
        <w:t xml:space="preserve"> or some other resource accounting that would have a similar effect</w:t>
      </w:r>
      <w:r w:rsidR="015C3257">
        <w:t xml:space="preserve"> such as reducing future IRP procurement requirements</w:t>
      </w:r>
      <w:r w:rsidR="5E32B77F">
        <w:t>.</w:t>
      </w:r>
      <w:r w:rsidR="000654E4">
        <w:t xml:space="preserve">  However, this consideration was not contemplated in the </w:t>
      </w:r>
      <w:r w:rsidR="000654E4">
        <w:lastRenderedPageBreak/>
        <w:t>decision authorizing this procurement and is therefore beyond the scope of this resolution</w:t>
      </w:r>
      <w:r w:rsidR="00191823">
        <w:t>.</w:t>
      </w:r>
    </w:p>
    <w:p w:rsidRPr="00C33E24" w:rsidR="00CF17DE" w:rsidP="00C33E24" w:rsidRDefault="00191823" w14:paraId="18C97720" w14:textId="54EFDB00">
      <w:pPr>
        <w:numPr>
          <w:ilvl w:val="0"/>
          <w:numId w:val="4"/>
        </w:numPr>
        <w:rPr>
          <w:rFonts w:eastAsia="Palatino" w:cs="Palatino"/>
          <w:color w:val="000000" w:themeColor="text1"/>
        </w:rPr>
      </w:pPr>
      <w:r>
        <w:t>It is reasonable for Parties to raise</w:t>
      </w:r>
      <w:r w:rsidR="00733F5F">
        <w:t xml:space="preserve"> allocation of</w:t>
      </w:r>
      <w:r w:rsidR="007F77A9">
        <w:t xml:space="preserve"> resources procured on behalf of all customers in the</w:t>
      </w:r>
      <w:r w:rsidR="00733F5F">
        <w:t xml:space="preserve"> Integrated Resource Planning </w:t>
      </w:r>
      <w:r w:rsidR="007F77A9">
        <w:t>proceeding.</w:t>
      </w:r>
      <w:r>
        <w:t xml:space="preserve"> </w:t>
      </w:r>
    </w:p>
    <w:p w:rsidR="00C33E24" w:rsidRDefault="00C33E24" w14:paraId="15DD098C" w14:textId="77777777">
      <w:pPr>
        <w:pStyle w:val="Heading1"/>
      </w:pPr>
    </w:p>
    <w:p w:rsidR="00CF17DE" w:rsidRDefault="00CF17DE" w14:paraId="03EBB768" w14:textId="0196EBB4">
      <w:pPr>
        <w:pStyle w:val="Heading1"/>
      </w:pPr>
      <w:r>
        <w:t>Therefore it is ordered that:</w:t>
      </w:r>
    </w:p>
    <w:p w:rsidR="00996791" w:rsidRDefault="00CF17DE" w14:paraId="24858110" w14:textId="2A1C9985">
      <w:pPr>
        <w:numPr>
          <w:ilvl w:val="0"/>
          <w:numId w:val="5"/>
        </w:numPr>
        <w:rPr>
          <w:snapToGrid w:val="0"/>
        </w:rPr>
      </w:pPr>
      <w:r>
        <w:rPr>
          <w:snapToGrid w:val="0"/>
        </w:rPr>
        <w:t xml:space="preserve">The request of </w:t>
      </w:r>
      <w:r w:rsidR="00EE27AF">
        <w:rPr>
          <w:snapToGrid w:val="0"/>
        </w:rPr>
        <w:t>SCE</w:t>
      </w:r>
      <w:r>
        <w:rPr>
          <w:snapToGrid w:val="0"/>
        </w:rPr>
        <w:t xml:space="preserve"> to </w:t>
      </w:r>
      <w:r w:rsidR="00810D8C">
        <w:rPr>
          <w:snapToGrid w:val="0"/>
        </w:rPr>
        <w:t xml:space="preserve">approve the </w:t>
      </w:r>
      <w:r w:rsidR="00BA72EC">
        <w:rPr>
          <w:snapToGrid w:val="0"/>
        </w:rPr>
        <w:t>Emergency Reliability Engineering, Procurement, Construction, and Maintenance Contract for Utility-Owned Storage</w:t>
      </w:r>
      <w:r>
        <w:rPr>
          <w:snapToGrid w:val="0"/>
        </w:rPr>
        <w:t xml:space="preserve"> as requested in Advice Letter </w:t>
      </w:r>
      <w:r w:rsidR="00BA72EC">
        <w:t>4617</w:t>
      </w:r>
      <w:r>
        <w:t xml:space="preserve">-E </w:t>
      </w:r>
      <w:r>
        <w:rPr>
          <w:snapToGrid w:val="0"/>
        </w:rPr>
        <w:t>is approve</w:t>
      </w:r>
      <w:r w:rsidR="00BA72EC">
        <w:rPr>
          <w:snapToGrid w:val="0"/>
        </w:rPr>
        <w:t>d.</w:t>
      </w:r>
    </w:p>
    <w:p w:rsidRPr="00781AD2" w:rsidR="00781AD2" w:rsidP="00781AD2" w:rsidRDefault="00CF17DE" w14:paraId="771CA183" w14:textId="31720E16">
      <w:pPr>
        <w:pStyle w:val="ColorfulList-Accent11"/>
        <w:numPr>
          <w:ilvl w:val="0"/>
          <w:numId w:val="5"/>
        </w:numPr>
        <w:rPr>
          <w:rFonts w:ascii="Palatino Linotype" w:hAnsi="Palatino Linotype"/>
        </w:rPr>
      </w:pPr>
      <w:r>
        <w:rPr>
          <w:snapToGrid w:val="0"/>
        </w:rPr>
        <w:t xml:space="preserve"> </w:t>
      </w:r>
      <w:r w:rsidR="004E4300">
        <w:rPr>
          <w:snapToGrid w:val="0"/>
        </w:rPr>
        <w:t xml:space="preserve">The total cost (capital, </w:t>
      </w:r>
      <w:r w:rsidR="00284755">
        <w:rPr>
          <w:snapToGrid w:val="0"/>
        </w:rPr>
        <w:t>operations,</w:t>
      </w:r>
      <w:r w:rsidR="004E4300">
        <w:rPr>
          <w:snapToGrid w:val="0"/>
        </w:rPr>
        <w:t xml:space="preserve"> and maintenance) of $1.226 billion is reasonable given the expedited nature of the procurement.</w:t>
      </w:r>
    </w:p>
    <w:p w:rsidR="00781AD2" w:rsidP="00781AD2" w:rsidRDefault="00781AD2" w14:paraId="361CA555" w14:textId="3A1C9F6B">
      <w:pPr>
        <w:pStyle w:val="ColorfulList-Accent11"/>
        <w:numPr>
          <w:ilvl w:val="0"/>
          <w:numId w:val="5"/>
        </w:numPr>
        <w:rPr>
          <w:rFonts w:eastAsia="Palatino" w:cs="Palatino"/>
          <w:szCs w:val="26"/>
        </w:rPr>
      </w:pPr>
      <w:r w:rsidRPr="0068418E">
        <w:rPr>
          <w:szCs w:val="26"/>
        </w:rPr>
        <w:t xml:space="preserve"> SCE is required to file an application for reasonableness review of the utility-owned storage projects within 90 days after their operational start date, if the actual costs of the project exceed the costs projected in AL 4617-E.</w:t>
      </w:r>
    </w:p>
    <w:p w:rsidR="00CF17DE" w:rsidP="00781AD2" w:rsidRDefault="00EE27AF" w14:paraId="04E7CDC7" w14:textId="65BEA1D6">
      <w:pPr>
        <w:numPr>
          <w:ilvl w:val="0"/>
          <w:numId w:val="5"/>
        </w:numPr>
        <w:rPr>
          <w:snapToGrid w:val="0"/>
        </w:rPr>
      </w:pPr>
      <w:r w:rsidRPr="00781AD2">
        <w:rPr>
          <w:snapToGrid w:val="0"/>
        </w:rPr>
        <w:t>SCE</w:t>
      </w:r>
      <w:r w:rsidRPr="00781AD2" w:rsidR="002044E1">
        <w:rPr>
          <w:snapToGrid w:val="0"/>
        </w:rPr>
        <w:t xml:space="preserve"> is authorized to </w:t>
      </w:r>
      <w:r w:rsidRPr="00781AD2" w:rsidR="002D32C5">
        <w:rPr>
          <w:snapToGrid w:val="0"/>
        </w:rPr>
        <w:t>recover</w:t>
      </w:r>
      <w:r w:rsidRPr="00781AD2" w:rsidR="00391262">
        <w:rPr>
          <w:snapToGrid w:val="0"/>
        </w:rPr>
        <w:t xml:space="preserve"> costs of the utility-owned storage</w:t>
      </w:r>
      <w:r w:rsidRPr="00781AD2" w:rsidR="0013055C">
        <w:rPr>
          <w:snapToGrid w:val="0"/>
        </w:rPr>
        <w:t xml:space="preserve"> from all customers</w:t>
      </w:r>
      <w:r w:rsidRPr="00781AD2" w:rsidR="00E32FC2">
        <w:rPr>
          <w:snapToGrid w:val="0"/>
        </w:rPr>
        <w:t xml:space="preserve"> through a non-</w:t>
      </w:r>
      <w:r w:rsidRPr="00781AD2" w:rsidR="00AE3552">
        <w:rPr>
          <w:snapToGrid w:val="0"/>
        </w:rPr>
        <w:t>by passable</w:t>
      </w:r>
      <w:r w:rsidRPr="00781AD2" w:rsidR="00E32FC2">
        <w:rPr>
          <w:snapToGrid w:val="0"/>
        </w:rPr>
        <w:t xml:space="preserve"> distribution charge</w:t>
      </w:r>
      <w:r w:rsidRPr="00781AD2" w:rsidR="00C23EBB">
        <w:rPr>
          <w:snapToGrid w:val="0"/>
        </w:rPr>
        <w:t xml:space="preserve"> during the period when the utility-owned storage resources are interconnected to non-CAISO-controlled facilities and not participating in the wholesale market.</w:t>
      </w:r>
    </w:p>
    <w:p w:rsidR="00781AD2" w:rsidP="00781AD2" w:rsidRDefault="00781AD2" w14:paraId="028DB09D" w14:textId="6BFEE920">
      <w:pPr>
        <w:numPr>
          <w:ilvl w:val="0"/>
          <w:numId w:val="5"/>
        </w:numPr>
        <w:rPr>
          <w:snapToGrid w:val="0"/>
        </w:rPr>
      </w:pPr>
      <w:r>
        <w:rPr>
          <w:snapToGrid w:val="0"/>
        </w:rPr>
        <w:t xml:space="preserve">Once the facilities </w:t>
      </w:r>
      <w:r w:rsidR="009415BF">
        <w:rPr>
          <w:snapToGrid w:val="0"/>
        </w:rPr>
        <w:t>have received a formal interconnection so that they can participate in the wholesale energy market</w:t>
      </w:r>
      <w:r w:rsidR="000E0D9B">
        <w:rPr>
          <w:snapToGrid w:val="0"/>
        </w:rPr>
        <w:t xml:space="preserve"> and are eligible for resource adequacy</w:t>
      </w:r>
      <w:r w:rsidR="009415BF">
        <w:rPr>
          <w:snapToGrid w:val="0"/>
        </w:rPr>
        <w:t>, net costs and benefits will be allocated via the Cost Allocation Mechanism which is recovered via New System Generation charges.</w:t>
      </w:r>
    </w:p>
    <w:p w:rsidR="00E3613B" w:rsidP="00781AD2" w:rsidRDefault="00E3613B" w14:paraId="2D425FAC" w14:textId="2851303B">
      <w:pPr>
        <w:numPr>
          <w:ilvl w:val="0"/>
          <w:numId w:val="5"/>
        </w:numPr>
        <w:rPr>
          <w:snapToGrid w:val="0"/>
        </w:rPr>
      </w:pPr>
      <w:r>
        <w:rPr>
          <w:snapToGrid w:val="0"/>
        </w:rPr>
        <w:t>SCE is authorized to establish the ERESBA, effective as of March 25, 2021, and to make monthly transfers to either the BRRBA-D or NSGBA.</w:t>
      </w:r>
    </w:p>
    <w:p w:rsidR="00F77300" w:rsidP="00C210D8" w:rsidRDefault="00F77300" w14:paraId="4DB41595" w14:textId="7113E470">
      <w:pPr>
        <w:numPr>
          <w:ilvl w:val="0"/>
          <w:numId w:val="5"/>
        </w:numPr>
        <w:rPr>
          <w:snapToGrid w:val="0"/>
        </w:rPr>
      </w:pPr>
      <w:r w:rsidRPr="00B8573A">
        <w:rPr>
          <w:snapToGrid w:val="0"/>
        </w:rPr>
        <w:t xml:space="preserve">SCE is authorized to include a forecast of the ERES revenue requirement in </w:t>
      </w:r>
      <w:r w:rsidRPr="00B8573A" w:rsidR="00B8573A">
        <w:rPr>
          <w:snapToGrid w:val="0"/>
        </w:rPr>
        <w:t>rate levels as part of SCE’s annual consolidated revenue requirement and</w:t>
      </w:r>
      <w:r w:rsidR="00B8573A">
        <w:rPr>
          <w:snapToGrid w:val="0"/>
        </w:rPr>
        <w:t xml:space="preserve"> </w:t>
      </w:r>
      <w:r w:rsidRPr="00B8573A" w:rsidR="00B8573A">
        <w:rPr>
          <w:snapToGrid w:val="0"/>
        </w:rPr>
        <w:t>rate change process</w:t>
      </w:r>
      <w:r w:rsidR="00D3541C">
        <w:rPr>
          <w:snapToGrid w:val="0"/>
        </w:rPr>
        <w:t>.</w:t>
      </w:r>
    </w:p>
    <w:p w:rsidRPr="00B8573A" w:rsidR="00D3541C" w:rsidP="00C210D8" w:rsidRDefault="00D3541C" w14:paraId="232F8703" w14:textId="10D1A53F">
      <w:pPr>
        <w:numPr>
          <w:ilvl w:val="0"/>
          <w:numId w:val="5"/>
        </w:numPr>
        <w:rPr>
          <w:snapToGrid w:val="0"/>
        </w:rPr>
      </w:pPr>
      <w:r>
        <w:rPr>
          <w:snapToGrid w:val="0"/>
        </w:rPr>
        <w:t>SCE is authorized to recover the independent evaluator costs</w:t>
      </w:r>
      <w:r w:rsidR="00CD3138">
        <w:rPr>
          <w:snapToGrid w:val="0"/>
        </w:rPr>
        <w:t xml:space="preserve"> </w:t>
      </w:r>
      <w:r w:rsidR="00FD64F3">
        <w:rPr>
          <w:snapToGrid w:val="0"/>
        </w:rPr>
        <w:t>up to $15,000 and</w:t>
      </w:r>
      <w:r w:rsidR="00CD3138">
        <w:rPr>
          <w:snapToGrid w:val="0"/>
        </w:rPr>
        <w:t xml:space="preserve"> allocate costs to all benefitting customers through the distribution charge</w:t>
      </w:r>
      <w:r w:rsidR="00FD64F3">
        <w:rPr>
          <w:snapToGrid w:val="0"/>
        </w:rPr>
        <w:t xml:space="preserve">. </w:t>
      </w:r>
      <w:r w:rsidR="008557DA">
        <w:rPr>
          <w:snapToGrid w:val="0"/>
        </w:rPr>
        <w:t xml:space="preserve">Any costs above $15,000 </w:t>
      </w:r>
      <w:r w:rsidR="00D628AB">
        <w:rPr>
          <w:snapToGrid w:val="0"/>
        </w:rPr>
        <w:t>may not be recovered unless SCE obtains Commission approval through a separate reasonableness review.</w:t>
      </w:r>
    </w:p>
    <w:p w:rsidR="00CF17DE" w:rsidRDefault="00CF17DE" w14:paraId="4BCDF939" w14:textId="08B7A145">
      <w:pPr>
        <w:tabs>
          <w:tab w:val="left" w:pos="720"/>
          <w:tab w:val="left" w:pos="1296"/>
          <w:tab w:val="left" w:pos="2016"/>
          <w:tab w:val="left" w:pos="2736"/>
          <w:tab w:val="left" w:pos="3456"/>
          <w:tab w:val="left" w:pos="4176"/>
          <w:tab w:val="left" w:pos="5760"/>
        </w:tabs>
        <w:rPr>
          <w:rFonts w:eastAsia="Palatino,Times New Roman"/>
        </w:rPr>
      </w:pPr>
    </w:p>
    <w:p w:rsidR="00630522" w:rsidRDefault="00630522" w14:paraId="07B2860C" w14:textId="66CD33C1">
      <w:pPr>
        <w:tabs>
          <w:tab w:val="left" w:pos="720"/>
          <w:tab w:val="left" w:pos="1296"/>
          <w:tab w:val="left" w:pos="2016"/>
          <w:tab w:val="left" w:pos="2736"/>
          <w:tab w:val="left" w:pos="3456"/>
          <w:tab w:val="left" w:pos="4176"/>
          <w:tab w:val="left" w:pos="5760"/>
        </w:tabs>
        <w:rPr>
          <w:rFonts w:eastAsia="Palatino,Times New Roman"/>
        </w:rPr>
      </w:pPr>
    </w:p>
    <w:p w:rsidR="00630522" w:rsidRDefault="00630522" w14:paraId="69475232" w14:textId="70293542">
      <w:pPr>
        <w:tabs>
          <w:tab w:val="left" w:pos="720"/>
          <w:tab w:val="left" w:pos="1296"/>
          <w:tab w:val="left" w:pos="2016"/>
          <w:tab w:val="left" w:pos="2736"/>
          <w:tab w:val="left" w:pos="3456"/>
          <w:tab w:val="left" w:pos="4176"/>
          <w:tab w:val="left" w:pos="5760"/>
        </w:tabs>
        <w:rPr>
          <w:rFonts w:eastAsia="Palatino,Times New Roman"/>
        </w:rPr>
      </w:pPr>
    </w:p>
    <w:p w:rsidR="00630522" w:rsidRDefault="00630522" w14:paraId="77ED10CC" w14:textId="5CAA4AA2">
      <w:pPr>
        <w:tabs>
          <w:tab w:val="left" w:pos="720"/>
          <w:tab w:val="left" w:pos="1296"/>
          <w:tab w:val="left" w:pos="2016"/>
          <w:tab w:val="left" w:pos="2736"/>
          <w:tab w:val="left" w:pos="3456"/>
          <w:tab w:val="left" w:pos="4176"/>
          <w:tab w:val="left" w:pos="5760"/>
        </w:tabs>
        <w:rPr>
          <w:rFonts w:eastAsia="Palatino,Times New Roman"/>
        </w:rPr>
      </w:pPr>
    </w:p>
    <w:p w:rsidR="00630522" w:rsidRDefault="00630522" w14:paraId="0BFE11AE" w14:textId="2CF8F81C">
      <w:pPr>
        <w:tabs>
          <w:tab w:val="left" w:pos="720"/>
          <w:tab w:val="left" w:pos="1296"/>
          <w:tab w:val="left" w:pos="2016"/>
          <w:tab w:val="left" w:pos="2736"/>
          <w:tab w:val="left" w:pos="3456"/>
          <w:tab w:val="left" w:pos="4176"/>
          <w:tab w:val="left" w:pos="5760"/>
        </w:tabs>
        <w:rPr>
          <w:rFonts w:eastAsia="Palatino,Times New Roman"/>
        </w:rPr>
      </w:pPr>
    </w:p>
    <w:p w:rsidR="00630522" w:rsidRDefault="00630522" w14:paraId="665310FA" w14:textId="77777777">
      <w:pPr>
        <w:tabs>
          <w:tab w:val="left" w:pos="720"/>
          <w:tab w:val="left" w:pos="1296"/>
          <w:tab w:val="left" w:pos="2016"/>
          <w:tab w:val="left" w:pos="2736"/>
          <w:tab w:val="left" w:pos="3456"/>
          <w:tab w:val="left" w:pos="4176"/>
          <w:tab w:val="left" w:pos="5760"/>
        </w:tabs>
        <w:rPr>
          <w:rFonts w:eastAsia="Palatino,Times New Roman"/>
        </w:rPr>
      </w:pPr>
    </w:p>
    <w:p w:rsidR="00CF17DE" w:rsidRDefault="00CF17DE" w14:paraId="37DEE6CF" w14:textId="77777777">
      <w:pPr>
        <w:tabs>
          <w:tab w:val="left" w:pos="720"/>
          <w:tab w:val="left" w:pos="1296"/>
          <w:tab w:val="left" w:pos="2016"/>
          <w:tab w:val="left" w:pos="2736"/>
          <w:tab w:val="left" w:pos="3456"/>
          <w:tab w:val="left" w:pos="4176"/>
          <w:tab w:val="left" w:pos="5760"/>
        </w:tabs>
        <w:rPr>
          <w:rFonts w:eastAsia="Palatino,Times New Roman"/>
        </w:rPr>
      </w:pPr>
      <w:r w:rsidRPr="005751D5">
        <w:rPr>
          <w:szCs w:val="26"/>
        </w:rPr>
        <w:lastRenderedPageBreak/>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rPr>
          <w:rFonts w:eastAsia="Palatino,Times New Roman"/>
        </w:rPr>
      </w:pPr>
    </w:p>
    <w:p w:rsidR="00CF17DE" w:rsidRDefault="00CF17DE" w14:paraId="048CEE72" w14:textId="56000CDD">
      <w:pPr>
        <w:rPr>
          <w:rFonts w:eastAsia="Palatino,Times New Roman"/>
          <w:snapToGrid w:val="0"/>
        </w:rPr>
      </w:pPr>
      <w:r w:rsidRPr="005751D5">
        <w:rPr>
          <w:szCs w:val="26"/>
        </w:rPr>
        <w:t xml:space="preserve">I certify that the foregoing resolution was duly introduced, passed and adopted at a conference of the Public Utilities Commission of the State of California held on </w:t>
      </w:r>
      <w:r w:rsidRPr="005751D5" w:rsidR="0037026B">
        <w:rPr>
          <w:szCs w:val="26"/>
        </w:rPr>
        <w:t>December 16, 2021</w:t>
      </w:r>
      <w:r w:rsidRPr="005751D5">
        <w:rPr>
          <w:szCs w:val="26"/>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rPr>
          <w:rFonts w:eastAsia="Palatino,Times New Roman"/>
        </w:rPr>
      </w:pP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66308528">
      <w:r>
        <w:tab/>
      </w:r>
      <w:r>
        <w:tab/>
      </w:r>
      <w:r>
        <w:tab/>
      </w:r>
      <w:r>
        <w:tab/>
      </w:r>
      <w:r>
        <w:tab/>
      </w:r>
      <w:r>
        <w:tab/>
      </w:r>
      <w:r>
        <w:tab/>
      </w:r>
      <w:r>
        <w:tab/>
      </w:r>
      <w:r w:rsidR="00FC2DE4">
        <w:t>Rachel Peterson</w:t>
      </w:r>
    </w:p>
    <w:p w:rsidR="00CF17DE" w:rsidRDefault="00CF17DE" w14:paraId="363F8E7E" w14:textId="77777777">
      <w:r>
        <w:tab/>
      </w:r>
      <w:r>
        <w:tab/>
      </w:r>
      <w:r>
        <w:tab/>
      </w:r>
      <w:r>
        <w:tab/>
      </w:r>
      <w:r>
        <w:tab/>
      </w:r>
      <w:r>
        <w:tab/>
      </w:r>
      <w:r>
        <w:tab/>
      </w:r>
      <w:r>
        <w:tab/>
        <w:t>Executive Director</w:t>
      </w:r>
    </w:p>
    <w:sectPr w:rsidR="00CF17D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2E02D" w14:textId="77777777" w:rsidR="008E2ADB" w:rsidRDefault="008E2ADB">
      <w:r>
        <w:separator/>
      </w:r>
    </w:p>
  </w:endnote>
  <w:endnote w:type="continuationSeparator" w:id="0">
    <w:p w14:paraId="10C0BA9D" w14:textId="77777777" w:rsidR="008E2ADB" w:rsidRDefault="008E2ADB">
      <w:r>
        <w:continuationSeparator/>
      </w:r>
    </w:p>
  </w:endnote>
  <w:endnote w:type="continuationNotice" w:id="1">
    <w:p w14:paraId="0CFFD7FC" w14:textId="77777777" w:rsidR="008E2ADB" w:rsidRDefault="008E2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Times New Roman">
    <w:altName w:val="Palatino Linotyp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2E2A" w14:textId="77777777" w:rsidR="00963A12" w:rsidRDefault="0096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138126"/>
      <w:docPartObj>
        <w:docPartGallery w:val="Page Numbers (Bottom of Page)"/>
        <w:docPartUnique/>
      </w:docPartObj>
    </w:sdtPr>
    <w:sdtEndPr>
      <w:rPr>
        <w:noProof/>
      </w:rPr>
    </w:sdtEndPr>
    <w:sdtContent>
      <w:p w14:paraId="4D37E04C" w14:textId="0B16EF06" w:rsidR="00630522" w:rsidRDefault="00630522">
        <w:pPr>
          <w:pStyle w:val="Footer"/>
        </w:pPr>
        <w:r>
          <w:fldChar w:fldCharType="begin"/>
        </w:r>
        <w:r>
          <w:instrText xml:space="preserve"> PAGE   \* MERGEFORMAT </w:instrText>
        </w:r>
        <w:r>
          <w:fldChar w:fldCharType="separate"/>
        </w:r>
        <w:r>
          <w:rPr>
            <w:noProof/>
          </w:rPr>
          <w:t>2</w:t>
        </w:r>
        <w:r>
          <w:rPr>
            <w:noProof/>
          </w:rPr>
          <w:fldChar w:fldCharType="end"/>
        </w:r>
      </w:p>
    </w:sdtContent>
  </w:sdt>
  <w:p w14:paraId="72C5A970" w14:textId="3DBDC81E" w:rsidR="00630522" w:rsidRDefault="0063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39F51FBA" w:rsidR="00CF17DE" w:rsidRDefault="00963A12" w:rsidP="00963A12">
    <w:pPr>
      <w:pStyle w:val="Footer"/>
      <w:tabs>
        <w:tab w:val="clear" w:pos="4320"/>
        <w:tab w:val="center" w:pos="4680"/>
      </w:tabs>
      <w:jc w:val="left"/>
    </w:pPr>
    <w:r>
      <w:t xml:space="preserve">422779044 </w:t>
    </w:r>
    <w: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6ACBB" w14:textId="77777777" w:rsidR="008E2ADB" w:rsidRDefault="008E2ADB">
      <w:r>
        <w:separator/>
      </w:r>
    </w:p>
  </w:footnote>
  <w:footnote w:type="continuationSeparator" w:id="0">
    <w:p w14:paraId="38913ED6" w14:textId="77777777" w:rsidR="008E2ADB" w:rsidRDefault="008E2ADB">
      <w:r>
        <w:continuationSeparator/>
      </w:r>
    </w:p>
  </w:footnote>
  <w:footnote w:type="continuationNotice" w:id="1">
    <w:p w14:paraId="0CEF69C0" w14:textId="77777777" w:rsidR="008E2ADB" w:rsidRDefault="008E2ADB">
      <w:pPr>
        <w:rPr>
          <w:sz w:val="22"/>
        </w:rPr>
      </w:pPr>
    </w:p>
    <w:p w14:paraId="57B8B035" w14:textId="77777777" w:rsidR="008E2ADB" w:rsidRDefault="008E2ADB">
      <w:pPr>
        <w:jc w:val="right"/>
        <w:rPr>
          <w:sz w:val="22"/>
        </w:rPr>
      </w:pPr>
      <w:r>
        <w:rPr>
          <w:i/>
          <w:sz w:val="22"/>
        </w:rPr>
        <w:t>Footnote continued on next page</w:t>
      </w:r>
    </w:p>
  </w:footnote>
  <w:footnote w:id="2">
    <w:p w14:paraId="00BD5782" w14:textId="1A62EEE1" w:rsidR="00C760E5" w:rsidRPr="00AF5BEF" w:rsidRDefault="00C760E5" w:rsidP="00940453">
      <w:pPr>
        <w:pStyle w:val="FootnoteText"/>
        <w:numPr>
          <w:ilvl w:val="0"/>
          <w:numId w:val="0"/>
        </w:numPr>
        <w:spacing w:after="0"/>
        <w:ind w:left="360" w:hanging="360"/>
        <w:rPr>
          <w:sz w:val="22"/>
          <w:szCs w:val="22"/>
        </w:rPr>
      </w:pPr>
      <w:r w:rsidRPr="00AF5BEF">
        <w:rPr>
          <w:rStyle w:val="FootnoteReference"/>
          <w:sz w:val="22"/>
          <w:szCs w:val="22"/>
        </w:rPr>
        <w:footnoteRef/>
      </w:r>
      <w:r w:rsidR="574B20CB" w:rsidRPr="00AF5BEF">
        <w:rPr>
          <w:sz w:val="22"/>
          <w:szCs w:val="22"/>
        </w:rPr>
        <w:t xml:space="preserve"> D.</w:t>
      </w:r>
      <w:r w:rsidR="00940453">
        <w:rPr>
          <w:sz w:val="22"/>
          <w:szCs w:val="22"/>
        </w:rPr>
        <w:t xml:space="preserve"> </w:t>
      </w:r>
      <w:r w:rsidR="574B20CB" w:rsidRPr="00AF5BEF">
        <w:rPr>
          <w:sz w:val="22"/>
          <w:szCs w:val="22"/>
        </w:rPr>
        <w:t>21-02-028 at 11, 14, OP 1.</w:t>
      </w:r>
    </w:p>
  </w:footnote>
  <w:footnote w:id="3">
    <w:p w14:paraId="68016B9B" w14:textId="139A5CFC" w:rsidR="00C760E5" w:rsidRPr="00AF5BEF" w:rsidRDefault="00C760E5" w:rsidP="00940453">
      <w:pPr>
        <w:pStyle w:val="FootnoteText"/>
        <w:numPr>
          <w:ilvl w:val="0"/>
          <w:numId w:val="0"/>
        </w:numPr>
        <w:spacing w:after="0"/>
        <w:ind w:left="360" w:hanging="360"/>
        <w:rPr>
          <w:sz w:val="22"/>
          <w:szCs w:val="22"/>
        </w:rPr>
      </w:pPr>
      <w:r w:rsidRPr="00AF5BEF">
        <w:rPr>
          <w:rStyle w:val="FootnoteReference"/>
          <w:sz w:val="22"/>
          <w:szCs w:val="22"/>
        </w:rPr>
        <w:footnoteRef/>
      </w:r>
      <w:r w:rsidRPr="00AF5BEF">
        <w:rPr>
          <w:i/>
          <w:sz w:val="22"/>
          <w:szCs w:val="22"/>
        </w:rPr>
        <w:t xml:space="preserve"> Id</w:t>
      </w:r>
      <w:r w:rsidR="007031DA">
        <w:rPr>
          <w:i/>
          <w:sz w:val="22"/>
          <w:szCs w:val="22"/>
        </w:rPr>
        <w:t>.</w:t>
      </w:r>
      <w:r w:rsidRPr="00AF5BEF">
        <w:rPr>
          <w:sz w:val="22"/>
          <w:szCs w:val="22"/>
        </w:rPr>
        <w:t xml:space="preserve"> at 11.</w:t>
      </w:r>
    </w:p>
  </w:footnote>
  <w:footnote w:id="4">
    <w:p w14:paraId="2737F3CF" w14:textId="2A7E801A" w:rsidR="00FC2965" w:rsidRPr="00AF5BEF" w:rsidRDefault="00FC2965" w:rsidP="001A5115">
      <w:pPr>
        <w:pStyle w:val="FootnoteText"/>
        <w:numPr>
          <w:ilvl w:val="0"/>
          <w:numId w:val="0"/>
        </w:numPr>
        <w:spacing w:after="0"/>
        <w:ind w:left="360" w:hanging="360"/>
        <w:rPr>
          <w:sz w:val="22"/>
          <w:szCs w:val="22"/>
        </w:rPr>
      </w:pPr>
      <w:r w:rsidRPr="00AF5BEF">
        <w:rPr>
          <w:rStyle w:val="FootnoteReference"/>
          <w:sz w:val="22"/>
          <w:szCs w:val="22"/>
        </w:rPr>
        <w:footnoteRef/>
      </w:r>
      <w:r w:rsidR="574B20CB" w:rsidRPr="00AF5BEF">
        <w:rPr>
          <w:sz w:val="22"/>
          <w:szCs w:val="22"/>
        </w:rPr>
        <w:t xml:space="preserve"> D.21-03-056 at OP1, 13-14 Attachment 1 at 20-22.</w:t>
      </w:r>
    </w:p>
  </w:footnote>
  <w:footnote w:id="5">
    <w:p w14:paraId="3787E04E" w14:textId="77777777" w:rsidR="00C33E24" w:rsidRPr="00AF5BEF" w:rsidRDefault="00C33E24" w:rsidP="00C33E24">
      <w:pPr>
        <w:pStyle w:val="FootnoteText"/>
        <w:numPr>
          <w:ilvl w:val="0"/>
          <w:numId w:val="0"/>
        </w:numPr>
        <w:spacing w:after="0"/>
        <w:ind w:left="360" w:hanging="360"/>
        <w:rPr>
          <w:sz w:val="22"/>
          <w:szCs w:val="22"/>
        </w:rPr>
      </w:pPr>
      <w:r w:rsidRPr="00AF5BEF">
        <w:rPr>
          <w:rStyle w:val="FootnoteReference"/>
          <w:sz w:val="22"/>
          <w:szCs w:val="22"/>
        </w:rPr>
        <w:footnoteRef/>
      </w:r>
      <w:r w:rsidRPr="00AF5BEF">
        <w:rPr>
          <w:sz w:val="22"/>
          <w:szCs w:val="22"/>
        </w:rPr>
        <w:t xml:space="preserve"> </w:t>
      </w:r>
      <w:r w:rsidRPr="00AF5BEF">
        <w:rPr>
          <w:i/>
          <w:sz w:val="22"/>
          <w:szCs w:val="22"/>
        </w:rPr>
        <w:t>Id</w:t>
      </w:r>
      <w:r>
        <w:rPr>
          <w:i/>
          <w:sz w:val="22"/>
          <w:szCs w:val="22"/>
        </w:rPr>
        <w:t>.</w:t>
      </w:r>
      <w:r w:rsidRPr="00AF5BEF">
        <w:rPr>
          <w:sz w:val="22"/>
          <w:szCs w:val="22"/>
        </w:rPr>
        <w:t xml:space="preserve"> at OP1, Attachment 1 at 22.</w:t>
      </w:r>
    </w:p>
  </w:footnote>
  <w:footnote w:id="6">
    <w:p w14:paraId="7ED0F9C6" w14:textId="01453ABE" w:rsidR="52AB01C1" w:rsidRPr="00AF5BEF" w:rsidRDefault="52AB01C1" w:rsidP="001A5115">
      <w:pPr>
        <w:pStyle w:val="FootnoteText"/>
        <w:numPr>
          <w:ilvl w:val="0"/>
          <w:numId w:val="0"/>
        </w:numPr>
        <w:spacing w:after="0"/>
        <w:rPr>
          <w:sz w:val="22"/>
          <w:szCs w:val="22"/>
        </w:rPr>
      </w:pPr>
      <w:r w:rsidRPr="00AF5BEF">
        <w:rPr>
          <w:rStyle w:val="FootnoteReference"/>
          <w:sz w:val="22"/>
          <w:szCs w:val="22"/>
        </w:rPr>
        <w:footnoteRef/>
      </w:r>
      <w:r w:rsidR="781BE59B" w:rsidRPr="00AF5BEF">
        <w:rPr>
          <w:sz w:val="22"/>
          <w:szCs w:val="22"/>
        </w:rPr>
        <w:t xml:space="preserve"> Emergency Proclamation</w:t>
      </w:r>
      <w:r w:rsidR="067C7930" w:rsidRPr="00AF5BEF">
        <w:rPr>
          <w:sz w:val="22"/>
          <w:szCs w:val="22"/>
        </w:rPr>
        <w:t xml:space="preserve">, </w:t>
      </w:r>
      <w:r w:rsidR="2E6C9663" w:rsidRPr="00AF5BEF">
        <w:rPr>
          <w:sz w:val="22"/>
          <w:szCs w:val="22"/>
        </w:rPr>
        <w:t>P</w:t>
      </w:r>
      <w:r w:rsidR="1DA19ABA" w:rsidRPr="00AF5BEF">
        <w:rPr>
          <w:sz w:val="22"/>
          <w:szCs w:val="22"/>
        </w:rPr>
        <w:t>aragraph 2.</w:t>
      </w:r>
      <w:r w:rsidR="00E47ADD">
        <w:rPr>
          <w:sz w:val="22"/>
          <w:szCs w:val="22"/>
        </w:rPr>
        <w:t xml:space="preserve"> </w:t>
      </w:r>
      <w:hyperlink r:id="rId1">
        <w:r w:rsidR="00E47ADD" w:rsidRPr="00E47ADD">
          <w:rPr>
            <w:rStyle w:val="Hyperlink"/>
            <w:sz w:val="22"/>
            <w:szCs w:val="22"/>
          </w:rPr>
          <w:t>CAP14-20210730130249</w:t>
        </w:r>
      </w:hyperlink>
      <w:r w:rsidR="00E47ADD">
        <w:rPr>
          <w:rStyle w:val="Hyperlink"/>
          <w:sz w:val="22"/>
          <w:szCs w:val="22"/>
        </w:rPr>
        <w:t>.</w:t>
      </w:r>
    </w:p>
  </w:footnote>
  <w:footnote w:id="7">
    <w:p w14:paraId="594EA826" w14:textId="7F7EE759" w:rsidR="2A4AE3DF" w:rsidRPr="00AF5BEF" w:rsidRDefault="2A4AE3DF" w:rsidP="001A5115">
      <w:pPr>
        <w:pStyle w:val="FootnoteText"/>
        <w:numPr>
          <w:ilvl w:val="0"/>
          <w:numId w:val="0"/>
        </w:numPr>
        <w:spacing w:after="0"/>
        <w:rPr>
          <w:rStyle w:val="Hyperlink"/>
          <w:rFonts w:eastAsia="Palatino" w:cs="Palatino"/>
          <w:sz w:val="22"/>
          <w:szCs w:val="22"/>
        </w:rPr>
      </w:pPr>
      <w:r w:rsidRPr="00AF5BEF">
        <w:rPr>
          <w:rStyle w:val="FootnoteReference"/>
          <w:sz w:val="22"/>
          <w:szCs w:val="22"/>
        </w:rPr>
        <w:footnoteRef/>
      </w:r>
      <w:r w:rsidRPr="00AF5BEF">
        <w:rPr>
          <w:sz w:val="22"/>
          <w:szCs w:val="22"/>
        </w:rPr>
        <w:t xml:space="preserve"> </w:t>
      </w:r>
      <w:r w:rsidR="6EF5D4BD" w:rsidRPr="00AF5BEF">
        <w:rPr>
          <w:i/>
          <w:iCs/>
          <w:sz w:val="22"/>
          <w:szCs w:val="22"/>
        </w:rPr>
        <w:t>Id.</w:t>
      </w:r>
      <w:r w:rsidR="2851A8AF" w:rsidRPr="00AF5BEF">
        <w:rPr>
          <w:sz w:val="22"/>
          <w:szCs w:val="22"/>
        </w:rPr>
        <w:t xml:space="preserve"> </w:t>
      </w:r>
      <w:r w:rsidRPr="00AF5BEF">
        <w:rPr>
          <w:sz w:val="22"/>
          <w:szCs w:val="22"/>
        </w:rPr>
        <w:t xml:space="preserve">at </w:t>
      </w:r>
      <w:r w:rsidR="1247EAC5" w:rsidRPr="00AF5BEF">
        <w:rPr>
          <w:sz w:val="22"/>
          <w:szCs w:val="22"/>
        </w:rPr>
        <w:t>paragraph 13</w:t>
      </w:r>
      <w:r w:rsidR="359A00CC" w:rsidRPr="00AF5BEF">
        <w:rPr>
          <w:sz w:val="22"/>
          <w:szCs w:val="22"/>
        </w:rPr>
        <w:t>.</w:t>
      </w:r>
      <w:r w:rsidRPr="00AF5BEF">
        <w:rPr>
          <w:sz w:val="22"/>
          <w:szCs w:val="22"/>
        </w:rPr>
        <w:t xml:space="preserve"> </w:t>
      </w:r>
    </w:p>
  </w:footnote>
  <w:footnote w:id="8">
    <w:p w14:paraId="7B7CEB01" w14:textId="30CF33C5" w:rsidR="007D0B74" w:rsidRPr="00AF5BEF" w:rsidRDefault="007D0B74" w:rsidP="007D0B74">
      <w:pPr>
        <w:pStyle w:val="FootnoteText"/>
        <w:numPr>
          <w:ilvl w:val="0"/>
          <w:numId w:val="0"/>
        </w:numPr>
        <w:ind w:left="360" w:hanging="360"/>
        <w:rPr>
          <w:sz w:val="22"/>
          <w:szCs w:val="22"/>
        </w:rPr>
      </w:pPr>
      <w:r w:rsidRPr="00AF5BEF">
        <w:rPr>
          <w:rStyle w:val="FootnoteReference"/>
          <w:sz w:val="22"/>
          <w:szCs w:val="22"/>
        </w:rPr>
        <w:footnoteRef/>
      </w:r>
      <w:r w:rsidRPr="00AF5BEF">
        <w:rPr>
          <w:sz w:val="22"/>
          <w:szCs w:val="22"/>
        </w:rPr>
        <w:t xml:space="preserve"> Assigned </w:t>
      </w:r>
      <w:r w:rsidR="0FE35CB5" w:rsidRPr="00AF5BEF">
        <w:rPr>
          <w:sz w:val="22"/>
          <w:szCs w:val="22"/>
        </w:rPr>
        <w:t>Commissioner's</w:t>
      </w:r>
      <w:r w:rsidRPr="00AF5BEF">
        <w:rPr>
          <w:sz w:val="22"/>
          <w:szCs w:val="22"/>
        </w:rPr>
        <w:t xml:space="preserve"> Ruling Clarifying Issues Regarding Utility-Owned Generation and Storage Procurement in 2022 at </w:t>
      </w:r>
      <w:r w:rsidR="0FE35CB5" w:rsidRPr="00AF5BEF">
        <w:rPr>
          <w:sz w:val="22"/>
          <w:szCs w:val="22"/>
        </w:rPr>
        <w:t>5</w:t>
      </w:r>
      <w:r w:rsidRPr="00AF5BEF">
        <w:rPr>
          <w:sz w:val="22"/>
          <w:szCs w:val="22"/>
        </w:rPr>
        <w:t>.</w:t>
      </w:r>
    </w:p>
  </w:footnote>
  <w:footnote w:id="9">
    <w:p w14:paraId="62B29B0E" w14:textId="33C879AD" w:rsidR="0FE35CB5" w:rsidRPr="00AF5BEF" w:rsidRDefault="0FE35CB5" w:rsidP="0092102B">
      <w:pPr>
        <w:pStyle w:val="FootnoteText"/>
        <w:numPr>
          <w:ilvl w:val="0"/>
          <w:numId w:val="0"/>
        </w:numPr>
        <w:spacing w:after="0"/>
        <w:ind w:left="180" w:hanging="180"/>
        <w:rPr>
          <w:rFonts w:eastAsia="Palatino" w:cs="Palatino"/>
          <w:sz w:val="22"/>
          <w:szCs w:val="22"/>
        </w:rPr>
      </w:pPr>
      <w:r w:rsidRPr="00AF5BEF">
        <w:rPr>
          <w:rStyle w:val="FootnoteReference"/>
          <w:sz w:val="22"/>
          <w:szCs w:val="22"/>
        </w:rPr>
        <w:footnoteRef/>
      </w:r>
      <w:r w:rsidRPr="00AF5BEF">
        <w:rPr>
          <w:sz w:val="22"/>
          <w:szCs w:val="22"/>
        </w:rPr>
        <w:t xml:space="preserve"> SCE Preliminary Statement YY (BRRBA) - The purpose of the Base Revenue Requirement Balancing Account (BRRBA) is to record: 1) the difference between SCE’s authorized distribution and non-Portfolio Allocation Balancing Account (PABA) generation base revenue requirements and recorded revenues from authorized distribution rates and an allocated portion from generation rates; and 2) record other authorized and recorded costs authorized by the Commission. </w:t>
      </w:r>
      <w:r w:rsidR="000E0CE0">
        <w:rPr>
          <w:sz w:val="22"/>
          <w:szCs w:val="22"/>
        </w:rPr>
        <w:t xml:space="preserve">see </w:t>
      </w:r>
      <w:hyperlink r:id="rId2">
        <w:r w:rsidR="000E0CE0" w:rsidRPr="0FE35CB5">
          <w:rPr>
            <w:rStyle w:val="Hyperlink"/>
          </w:rPr>
          <w:t>Microsoft Word - Document1353 (sce.com)</w:t>
        </w:r>
      </w:hyperlink>
      <w:r w:rsidR="000E0CE0">
        <w:rPr>
          <w:rStyle w:val="Hyperlink"/>
        </w:rPr>
        <w:t>.</w:t>
      </w:r>
    </w:p>
  </w:footnote>
  <w:footnote w:id="10">
    <w:p w14:paraId="613BF13E" w14:textId="6E74B14D" w:rsidR="2DFCB573" w:rsidRPr="00AF5BEF" w:rsidRDefault="2DFCB573" w:rsidP="0092102B">
      <w:pPr>
        <w:pStyle w:val="FootnoteText"/>
        <w:numPr>
          <w:ilvl w:val="0"/>
          <w:numId w:val="0"/>
        </w:numPr>
        <w:ind w:left="180" w:hanging="180"/>
        <w:rPr>
          <w:rFonts w:eastAsia="Palatino" w:cs="Palatino"/>
          <w:sz w:val="22"/>
          <w:szCs w:val="22"/>
        </w:rPr>
      </w:pPr>
      <w:r w:rsidRPr="00AF5BEF">
        <w:rPr>
          <w:rStyle w:val="FootnoteReference"/>
          <w:sz w:val="22"/>
          <w:szCs w:val="22"/>
        </w:rPr>
        <w:footnoteRef/>
      </w:r>
      <w:r w:rsidR="13B8840C" w:rsidRPr="00AF5BEF">
        <w:rPr>
          <w:sz w:val="22"/>
          <w:szCs w:val="22"/>
        </w:rPr>
        <w:t xml:space="preserve"> Preliminary Statement RR: </w:t>
      </w:r>
      <w:r w:rsidR="5A5CB01A" w:rsidRPr="00AF5BEF">
        <w:rPr>
          <w:sz w:val="22"/>
          <w:szCs w:val="22"/>
        </w:rPr>
        <w:t>NEW</w:t>
      </w:r>
      <w:r w:rsidR="13B8840C" w:rsidRPr="00AF5BEF">
        <w:rPr>
          <w:sz w:val="22"/>
          <w:szCs w:val="22"/>
        </w:rPr>
        <w:t xml:space="preserve"> SYSTEM GENERATION BALANCING ACCOUNT (NSGBA)</w:t>
      </w:r>
    </w:p>
  </w:footnote>
  <w:footnote w:id="11">
    <w:p w14:paraId="7807C083" w14:textId="2033F6C2" w:rsidR="000B335D" w:rsidRPr="00DF1B9E" w:rsidRDefault="000B335D" w:rsidP="004966F5">
      <w:pPr>
        <w:pStyle w:val="FootnoteText"/>
        <w:numPr>
          <w:ilvl w:val="0"/>
          <w:numId w:val="0"/>
        </w:numPr>
        <w:spacing w:after="0"/>
        <w:ind w:left="360" w:hanging="360"/>
        <w:rPr>
          <w:sz w:val="22"/>
          <w:szCs w:val="22"/>
        </w:rPr>
      </w:pPr>
      <w:r w:rsidRPr="00DF1B9E">
        <w:rPr>
          <w:rStyle w:val="FootnoteReference"/>
          <w:sz w:val="22"/>
          <w:szCs w:val="22"/>
        </w:rPr>
        <w:footnoteRef/>
      </w:r>
      <w:r w:rsidRPr="00DF1B9E">
        <w:rPr>
          <w:sz w:val="22"/>
          <w:szCs w:val="22"/>
        </w:rPr>
        <w:t xml:space="preserve"> Broad Reach Protest at 2-</w:t>
      </w:r>
      <w:r w:rsidR="009B55BA" w:rsidRPr="00DF1B9E">
        <w:rPr>
          <w:sz w:val="22"/>
          <w:szCs w:val="22"/>
        </w:rPr>
        <w:t>5</w:t>
      </w:r>
      <w:r w:rsidRPr="00DF1B9E">
        <w:rPr>
          <w:sz w:val="22"/>
          <w:szCs w:val="22"/>
        </w:rPr>
        <w:t>.</w:t>
      </w:r>
    </w:p>
  </w:footnote>
  <w:footnote w:id="12">
    <w:p w14:paraId="302190AF" w14:textId="3B13D5E0" w:rsidR="00325A60" w:rsidRPr="00DF1B9E" w:rsidRDefault="00325A60" w:rsidP="001F6879">
      <w:pPr>
        <w:pStyle w:val="FootnoteText"/>
        <w:numPr>
          <w:ilvl w:val="0"/>
          <w:numId w:val="0"/>
        </w:numPr>
        <w:spacing w:after="0"/>
        <w:ind w:left="360" w:hanging="360"/>
        <w:rPr>
          <w:sz w:val="22"/>
          <w:szCs w:val="22"/>
        </w:rPr>
      </w:pPr>
      <w:r w:rsidRPr="00DF1B9E">
        <w:rPr>
          <w:rStyle w:val="FootnoteReference"/>
          <w:sz w:val="22"/>
          <w:szCs w:val="22"/>
        </w:rPr>
        <w:footnoteRef/>
      </w:r>
      <w:r w:rsidRPr="00DF1B9E">
        <w:rPr>
          <w:sz w:val="22"/>
          <w:szCs w:val="22"/>
        </w:rPr>
        <w:t xml:space="preserve"> 8minute Solar Energy Protest at 2-4, </w:t>
      </w:r>
      <w:r w:rsidR="003545D5" w:rsidRPr="00DF1B9E">
        <w:rPr>
          <w:sz w:val="22"/>
          <w:szCs w:val="22"/>
        </w:rPr>
        <w:t xml:space="preserve">IEP-LSA Protest at 3, </w:t>
      </w:r>
      <w:r w:rsidR="00333E95" w:rsidRPr="00DF1B9E">
        <w:rPr>
          <w:sz w:val="22"/>
          <w:szCs w:val="22"/>
        </w:rPr>
        <w:t xml:space="preserve">WPTF Protest at 6-7, </w:t>
      </w:r>
      <w:r w:rsidR="00FE3183" w:rsidRPr="00DF1B9E">
        <w:rPr>
          <w:sz w:val="22"/>
          <w:szCs w:val="22"/>
        </w:rPr>
        <w:t xml:space="preserve">Strata Protest at </w:t>
      </w:r>
      <w:r w:rsidR="00240FFD" w:rsidRPr="00DF1B9E">
        <w:rPr>
          <w:sz w:val="22"/>
          <w:szCs w:val="22"/>
        </w:rPr>
        <w:t xml:space="preserve">5, </w:t>
      </w:r>
      <w:r w:rsidR="00CF03D4" w:rsidRPr="00DF1B9E">
        <w:rPr>
          <w:sz w:val="22"/>
          <w:szCs w:val="22"/>
        </w:rPr>
        <w:t xml:space="preserve">CESA </w:t>
      </w:r>
      <w:r w:rsidR="00126FFA" w:rsidRPr="00DF1B9E">
        <w:rPr>
          <w:sz w:val="22"/>
          <w:szCs w:val="22"/>
        </w:rPr>
        <w:t>Response</w:t>
      </w:r>
      <w:r w:rsidR="00CF03D4" w:rsidRPr="00DF1B9E">
        <w:rPr>
          <w:sz w:val="22"/>
          <w:szCs w:val="22"/>
        </w:rPr>
        <w:t xml:space="preserve"> at 4, </w:t>
      </w:r>
      <w:r w:rsidR="00126FFA" w:rsidRPr="00DF1B9E">
        <w:rPr>
          <w:sz w:val="22"/>
          <w:szCs w:val="22"/>
        </w:rPr>
        <w:t xml:space="preserve">Hecate Response at 3-4, </w:t>
      </w:r>
      <w:r w:rsidRPr="00DF1B9E">
        <w:rPr>
          <w:sz w:val="22"/>
          <w:szCs w:val="22"/>
        </w:rPr>
        <w:t>Clearway Protest at</w:t>
      </w:r>
      <w:r w:rsidR="00933688" w:rsidRPr="00DF1B9E">
        <w:rPr>
          <w:sz w:val="22"/>
          <w:szCs w:val="22"/>
        </w:rPr>
        <w:t xml:space="preserve"> 2-3.</w:t>
      </w:r>
    </w:p>
  </w:footnote>
  <w:footnote w:id="13">
    <w:p w14:paraId="7F9FD699" w14:textId="715E7D9D" w:rsidR="00E227ED" w:rsidRDefault="00E227ED" w:rsidP="00896A4A">
      <w:pPr>
        <w:pStyle w:val="FootnoteText"/>
        <w:numPr>
          <w:ilvl w:val="0"/>
          <w:numId w:val="0"/>
        </w:numPr>
        <w:spacing w:after="0"/>
        <w:ind w:left="360" w:hanging="360"/>
      </w:pPr>
      <w:r w:rsidRPr="00DF1B9E">
        <w:rPr>
          <w:rStyle w:val="FootnoteReference"/>
          <w:sz w:val="22"/>
          <w:szCs w:val="22"/>
        </w:rPr>
        <w:footnoteRef/>
      </w:r>
      <w:r w:rsidRPr="00DF1B9E">
        <w:rPr>
          <w:sz w:val="22"/>
          <w:szCs w:val="22"/>
        </w:rPr>
        <w:t xml:space="preserve"> CESA </w:t>
      </w:r>
      <w:r w:rsidR="002B69E5" w:rsidRPr="00DF1B9E">
        <w:rPr>
          <w:sz w:val="22"/>
          <w:szCs w:val="22"/>
        </w:rPr>
        <w:t>Response</w:t>
      </w:r>
      <w:r w:rsidRPr="00DF1B9E">
        <w:rPr>
          <w:sz w:val="22"/>
          <w:szCs w:val="22"/>
        </w:rPr>
        <w:t xml:space="preserve"> at </w:t>
      </w:r>
      <w:r w:rsidR="000C7CC0" w:rsidRPr="00DF1B9E">
        <w:rPr>
          <w:sz w:val="22"/>
          <w:szCs w:val="22"/>
        </w:rPr>
        <w:t>4-5.</w:t>
      </w:r>
    </w:p>
  </w:footnote>
  <w:footnote w:id="14">
    <w:p w14:paraId="26859448" w14:textId="6DCC2CB2" w:rsidR="004966F5" w:rsidRPr="00DF1B9E" w:rsidRDefault="004966F5" w:rsidP="00896A4A">
      <w:pPr>
        <w:pStyle w:val="FootnoteText"/>
        <w:numPr>
          <w:ilvl w:val="0"/>
          <w:numId w:val="0"/>
        </w:numPr>
        <w:spacing w:after="0"/>
        <w:ind w:left="360" w:hanging="360"/>
        <w:rPr>
          <w:sz w:val="22"/>
          <w:szCs w:val="22"/>
        </w:rPr>
      </w:pPr>
      <w:r w:rsidRPr="00DF1B9E">
        <w:rPr>
          <w:rStyle w:val="FootnoteReference"/>
          <w:sz w:val="22"/>
          <w:szCs w:val="22"/>
        </w:rPr>
        <w:footnoteRef/>
      </w:r>
      <w:r w:rsidRPr="00DF1B9E">
        <w:rPr>
          <w:sz w:val="22"/>
          <w:szCs w:val="22"/>
        </w:rPr>
        <w:t xml:space="preserve"> 8minute Protest at 2-4</w:t>
      </w:r>
      <w:r w:rsidR="001F6879" w:rsidRPr="00DF1B9E">
        <w:rPr>
          <w:sz w:val="22"/>
          <w:szCs w:val="22"/>
        </w:rPr>
        <w:t>,</w:t>
      </w:r>
      <w:r w:rsidR="006C420F" w:rsidRPr="00DF1B9E">
        <w:rPr>
          <w:sz w:val="22"/>
          <w:szCs w:val="22"/>
        </w:rPr>
        <w:t xml:space="preserve"> ACP-CA Protest at 2,</w:t>
      </w:r>
      <w:r w:rsidR="001F6879" w:rsidRPr="00DF1B9E">
        <w:rPr>
          <w:sz w:val="22"/>
          <w:szCs w:val="22"/>
        </w:rPr>
        <w:t xml:space="preserve"> </w:t>
      </w:r>
      <w:r w:rsidR="003545D5" w:rsidRPr="00DF1B9E">
        <w:rPr>
          <w:sz w:val="22"/>
          <w:szCs w:val="22"/>
        </w:rPr>
        <w:t xml:space="preserve">IEP-LSA Protest at 3, </w:t>
      </w:r>
      <w:r w:rsidR="001F6879" w:rsidRPr="00DF1B9E">
        <w:rPr>
          <w:sz w:val="22"/>
          <w:szCs w:val="22"/>
        </w:rPr>
        <w:t>Aypa Protest at 3</w:t>
      </w:r>
      <w:r w:rsidRPr="00DF1B9E">
        <w:rPr>
          <w:sz w:val="22"/>
          <w:szCs w:val="22"/>
        </w:rPr>
        <w:t>.</w:t>
      </w:r>
    </w:p>
  </w:footnote>
  <w:footnote w:id="15">
    <w:p w14:paraId="24E44BC9" w14:textId="2260627B" w:rsidR="00E03A2F" w:rsidRPr="00DF1B9E" w:rsidRDefault="00E03A2F" w:rsidP="00896A4A">
      <w:pPr>
        <w:pStyle w:val="FootnoteText"/>
        <w:numPr>
          <w:ilvl w:val="0"/>
          <w:numId w:val="0"/>
        </w:numPr>
        <w:spacing w:after="0"/>
        <w:ind w:left="360" w:hanging="360"/>
        <w:rPr>
          <w:sz w:val="22"/>
          <w:szCs w:val="22"/>
        </w:rPr>
      </w:pPr>
      <w:r w:rsidRPr="00DF1B9E">
        <w:rPr>
          <w:rStyle w:val="FootnoteReference"/>
          <w:sz w:val="22"/>
          <w:szCs w:val="22"/>
        </w:rPr>
        <w:footnoteRef/>
      </w:r>
      <w:r w:rsidRPr="00DF1B9E">
        <w:rPr>
          <w:sz w:val="22"/>
          <w:szCs w:val="22"/>
        </w:rPr>
        <w:t xml:space="preserve"> WPTF Protest at 4-5.</w:t>
      </w:r>
    </w:p>
  </w:footnote>
  <w:footnote w:id="16">
    <w:p w14:paraId="054D1969" w14:textId="62C274AC" w:rsidR="00A958AC" w:rsidRPr="00DF1B9E" w:rsidRDefault="00A958AC" w:rsidP="00896A4A">
      <w:pPr>
        <w:pStyle w:val="FootnoteText"/>
        <w:numPr>
          <w:ilvl w:val="0"/>
          <w:numId w:val="0"/>
        </w:numPr>
        <w:spacing w:after="0"/>
        <w:ind w:left="360" w:hanging="360"/>
        <w:rPr>
          <w:sz w:val="22"/>
          <w:szCs w:val="22"/>
        </w:rPr>
      </w:pPr>
      <w:r w:rsidRPr="00DF1B9E">
        <w:rPr>
          <w:rStyle w:val="FootnoteReference"/>
          <w:sz w:val="22"/>
          <w:szCs w:val="22"/>
        </w:rPr>
        <w:footnoteRef/>
      </w:r>
      <w:r w:rsidRPr="00DF1B9E">
        <w:rPr>
          <w:sz w:val="22"/>
          <w:szCs w:val="22"/>
        </w:rPr>
        <w:t xml:space="preserve"> SEIA Protest at 2-3</w:t>
      </w:r>
      <w:r w:rsidR="00DC0969" w:rsidRPr="00DF1B9E">
        <w:rPr>
          <w:sz w:val="22"/>
          <w:szCs w:val="22"/>
        </w:rPr>
        <w:t xml:space="preserve">, </w:t>
      </w:r>
      <w:r w:rsidR="009A1B04" w:rsidRPr="00DF1B9E">
        <w:rPr>
          <w:sz w:val="22"/>
          <w:szCs w:val="22"/>
        </w:rPr>
        <w:t xml:space="preserve">WPTF Protest at 7, </w:t>
      </w:r>
      <w:r w:rsidR="00DC0969" w:rsidRPr="00DF1B9E">
        <w:rPr>
          <w:sz w:val="22"/>
          <w:szCs w:val="22"/>
        </w:rPr>
        <w:t>Aypa Protest at 3</w:t>
      </w:r>
      <w:r w:rsidRPr="00DF1B9E">
        <w:rPr>
          <w:sz w:val="22"/>
          <w:szCs w:val="22"/>
        </w:rPr>
        <w:t>.</w:t>
      </w:r>
    </w:p>
  </w:footnote>
  <w:footnote w:id="17">
    <w:p w14:paraId="52EE29EC" w14:textId="463827A9" w:rsidR="00617729" w:rsidRDefault="00617729" w:rsidP="00896A4A">
      <w:pPr>
        <w:pStyle w:val="FootnoteText"/>
        <w:numPr>
          <w:ilvl w:val="0"/>
          <w:numId w:val="0"/>
        </w:numPr>
        <w:spacing w:after="0"/>
        <w:ind w:left="360" w:hanging="360"/>
      </w:pPr>
      <w:r w:rsidRPr="00DF1B9E">
        <w:rPr>
          <w:rStyle w:val="FootnoteReference"/>
          <w:sz w:val="22"/>
          <w:szCs w:val="22"/>
        </w:rPr>
        <w:footnoteRef/>
      </w:r>
      <w:r w:rsidRPr="00DF1B9E">
        <w:rPr>
          <w:sz w:val="22"/>
          <w:szCs w:val="22"/>
        </w:rPr>
        <w:t xml:space="preserve"> UES Protest at </w:t>
      </w:r>
      <w:r w:rsidR="002F6613" w:rsidRPr="00DF1B9E">
        <w:rPr>
          <w:sz w:val="22"/>
          <w:szCs w:val="22"/>
        </w:rPr>
        <w:t>1-2</w:t>
      </w:r>
      <w:r w:rsidR="003D1A60" w:rsidRPr="00DF1B9E">
        <w:rPr>
          <w:sz w:val="22"/>
          <w:szCs w:val="22"/>
        </w:rPr>
        <w:t>, Clearway Protest at 5-6</w:t>
      </w:r>
      <w:r w:rsidR="00094602" w:rsidRPr="00DF1B9E">
        <w:rPr>
          <w:sz w:val="22"/>
          <w:szCs w:val="22"/>
        </w:rPr>
        <w:t xml:space="preserve">, </w:t>
      </w:r>
      <w:r w:rsidR="007C697A" w:rsidRPr="00DF1B9E">
        <w:rPr>
          <w:sz w:val="22"/>
          <w:szCs w:val="22"/>
        </w:rPr>
        <w:t xml:space="preserve">Hecate </w:t>
      </w:r>
      <w:r w:rsidR="00E42090" w:rsidRPr="00DF1B9E">
        <w:rPr>
          <w:sz w:val="22"/>
          <w:szCs w:val="22"/>
        </w:rPr>
        <w:t>Protest</w:t>
      </w:r>
      <w:r w:rsidR="007C697A" w:rsidRPr="00DF1B9E">
        <w:rPr>
          <w:sz w:val="22"/>
          <w:szCs w:val="22"/>
        </w:rPr>
        <w:t xml:space="preserve"> at 4-5, </w:t>
      </w:r>
      <w:r w:rsidR="00094602" w:rsidRPr="00DF1B9E">
        <w:rPr>
          <w:sz w:val="22"/>
          <w:szCs w:val="22"/>
        </w:rPr>
        <w:t>Aypa Protest at 2</w:t>
      </w:r>
      <w:r w:rsidR="003D1A60" w:rsidRPr="00DF1B9E">
        <w:rPr>
          <w:sz w:val="22"/>
          <w:szCs w:val="22"/>
        </w:rPr>
        <w:t>.</w:t>
      </w:r>
    </w:p>
  </w:footnote>
  <w:footnote w:id="18">
    <w:p w14:paraId="5C83CCE7" w14:textId="6F04D6B0" w:rsidR="0026592D" w:rsidRDefault="0026592D" w:rsidP="001F6879">
      <w:pPr>
        <w:pStyle w:val="FootnoteText"/>
        <w:numPr>
          <w:ilvl w:val="0"/>
          <w:numId w:val="0"/>
        </w:numPr>
        <w:spacing w:after="0"/>
        <w:ind w:left="360" w:hanging="360"/>
      </w:pPr>
      <w:r>
        <w:rPr>
          <w:rStyle w:val="FootnoteReference"/>
        </w:rPr>
        <w:footnoteRef/>
      </w:r>
      <w:r>
        <w:t xml:space="preserve"> </w:t>
      </w:r>
      <w:r w:rsidR="00037FCA">
        <w:t>Broad Reach Protest at 7-8</w:t>
      </w:r>
      <w:r w:rsidR="00F745B1">
        <w:t xml:space="preserve">, </w:t>
      </w:r>
      <w:r w:rsidR="00F842FD">
        <w:t xml:space="preserve">Hecate Response at 5-6, </w:t>
      </w:r>
      <w:r w:rsidR="00F745B1">
        <w:t>Aypa Protest at 1-2</w:t>
      </w:r>
      <w:r w:rsidR="00037FCA">
        <w:t>.</w:t>
      </w:r>
    </w:p>
  </w:footnote>
  <w:footnote w:id="19">
    <w:p w14:paraId="4A18A607" w14:textId="12451D76" w:rsidR="00DB073F" w:rsidRPr="00460FF4" w:rsidRDefault="00DB073F" w:rsidP="000E2065">
      <w:pPr>
        <w:pStyle w:val="FootnoteText"/>
        <w:numPr>
          <w:ilvl w:val="0"/>
          <w:numId w:val="0"/>
        </w:numPr>
        <w:spacing w:after="0"/>
        <w:rPr>
          <w:rFonts w:ascii="Palatino Linotype" w:hAnsi="Palatino Linotype"/>
          <w:sz w:val="22"/>
          <w:szCs w:val="22"/>
        </w:rPr>
      </w:pPr>
      <w:r w:rsidRPr="00460FF4">
        <w:rPr>
          <w:rStyle w:val="FootnoteReference"/>
          <w:rFonts w:ascii="Palatino Linotype" w:hAnsi="Palatino Linotype"/>
          <w:sz w:val="22"/>
          <w:szCs w:val="22"/>
        </w:rPr>
        <w:footnoteRef/>
      </w:r>
      <w:r w:rsidRPr="00460FF4">
        <w:rPr>
          <w:rFonts w:ascii="Palatino Linotype" w:hAnsi="Palatino Linotype"/>
          <w:sz w:val="22"/>
          <w:szCs w:val="22"/>
        </w:rPr>
        <w:t xml:space="preserve"> </w:t>
      </w:r>
      <w:r w:rsidRPr="00BD652D">
        <w:rPr>
          <w:sz w:val="22"/>
          <w:szCs w:val="22"/>
        </w:rPr>
        <w:t xml:space="preserve">8minute </w:t>
      </w:r>
      <w:r w:rsidR="00E42090" w:rsidRPr="00BD652D">
        <w:rPr>
          <w:sz w:val="22"/>
          <w:szCs w:val="22"/>
        </w:rPr>
        <w:t xml:space="preserve">Protest </w:t>
      </w:r>
      <w:r w:rsidRPr="00BD652D">
        <w:rPr>
          <w:sz w:val="22"/>
          <w:szCs w:val="22"/>
        </w:rPr>
        <w:t xml:space="preserve">at 1 and 2, ACP-CA </w:t>
      </w:r>
      <w:r w:rsidR="00E42090" w:rsidRPr="00BD652D">
        <w:rPr>
          <w:sz w:val="22"/>
          <w:szCs w:val="22"/>
        </w:rPr>
        <w:t xml:space="preserve">Protest </w:t>
      </w:r>
      <w:r w:rsidRPr="00BD652D">
        <w:rPr>
          <w:sz w:val="22"/>
          <w:szCs w:val="22"/>
        </w:rPr>
        <w:t xml:space="preserve">at 1-2, AReM-DACC </w:t>
      </w:r>
      <w:r w:rsidR="00E42090" w:rsidRPr="00BD652D">
        <w:rPr>
          <w:sz w:val="22"/>
          <w:szCs w:val="22"/>
        </w:rPr>
        <w:t xml:space="preserve">Protest </w:t>
      </w:r>
      <w:r w:rsidRPr="00BD652D">
        <w:rPr>
          <w:sz w:val="22"/>
          <w:szCs w:val="22"/>
        </w:rPr>
        <w:t xml:space="preserve">at 2-3, Cal Advocates </w:t>
      </w:r>
      <w:r w:rsidR="00E42090" w:rsidRPr="00BD652D">
        <w:rPr>
          <w:sz w:val="22"/>
          <w:szCs w:val="22"/>
        </w:rPr>
        <w:t xml:space="preserve">Protest </w:t>
      </w:r>
      <w:r w:rsidRPr="00BD652D">
        <w:rPr>
          <w:sz w:val="22"/>
          <w:szCs w:val="22"/>
        </w:rPr>
        <w:t xml:space="preserve">at 4, WPTF </w:t>
      </w:r>
      <w:r w:rsidR="00E42090" w:rsidRPr="00BD652D">
        <w:rPr>
          <w:sz w:val="22"/>
          <w:szCs w:val="22"/>
        </w:rPr>
        <w:t xml:space="preserve">Protest </w:t>
      </w:r>
      <w:r w:rsidRPr="00BD652D">
        <w:rPr>
          <w:sz w:val="22"/>
          <w:szCs w:val="22"/>
        </w:rPr>
        <w:t>at</w:t>
      </w:r>
      <w:r w:rsidR="004B594D" w:rsidRPr="00BD652D">
        <w:rPr>
          <w:sz w:val="22"/>
          <w:szCs w:val="22"/>
        </w:rPr>
        <w:t xml:space="preserve"> </w:t>
      </w:r>
      <w:r w:rsidRPr="00BD652D">
        <w:rPr>
          <w:sz w:val="22"/>
          <w:szCs w:val="22"/>
        </w:rPr>
        <w:t>2</w:t>
      </w:r>
      <w:r w:rsidR="00DD521F" w:rsidRPr="00BD652D">
        <w:rPr>
          <w:sz w:val="22"/>
          <w:szCs w:val="22"/>
        </w:rPr>
        <w:t>.</w:t>
      </w:r>
    </w:p>
  </w:footnote>
  <w:footnote w:id="20">
    <w:p w14:paraId="2EA62BB1" w14:textId="1460DBE3" w:rsidR="00DB073F" w:rsidRPr="00460FF4" w:rsidRDefault="00DB073F" w:rsidP="000E2065">
      <w:pPr>
        <w:pStyle w:val="FootnoteText"/>
        <w:numPr>
          <w:ilvl w:val="0"/>
          <w:numId w:val="0"/>
        </w:numPr>
        <w:spacing w:after="0"/>
        <w:rPr>
          <w:rFonts w:ascii="Palatino Linotype" w:hAnsi="Palatino Linotype"/>
          <w:sz w:val="22"/>
          <w:szCs w:val="22"/>
        </w:rPr>
      </w:pPr>
      <w:r w:rsidRPr="00460FF4">
        <w:rPr>
          <w:rStyle w:val="FootnoteReference"/>
          <w:rFonts w:ascii="Palatino Linotype" w:hAnsi="Palatino Linotype"/>
          <w:sz w:val="22"/>
          <w:szCs w:val="22"/>
        </w:rPr>
        <w:footnoteRef/>
      </w:r>
      <w:r w:rsidRPr="00460FF4">
        <w:rPr>
          <w:rFonts w:ascii="Palatino Linotype" w:hAnsi="Palatino Linotype"/>
          <w:sz w:val="22"/>
          <w:szCs w:val="22"/>
        </w:rPr>
        <w:t xml:space="preserve"> </w:t>
      </w:r>
      <w:r w:rsidRPr="00460FF4">
        <w:rPr>
          <w:rFonts w:ascii="Palatino Linotype" w:hAnsi="Palatino Linotype"/>
          <w:i/>
          <w:iCs/>
          <w:sz w:val="22"/>
          <w:szCs w:val="22"/>
        </w:rPr>
        <w:t>Id</w:t>
      </w:r>
      <w:r w:rsidRPr="00460FF4">
        <w:rPr>
          <w:rFonts w:ascii="Palatino Linotype" w:hAnsi="Palatino Linotype"/>
          <w:sz w:val="22"/>
          <w:szCs w:val="22"/>
        </w:rPr>
        <w:t>., at 4-5</w:t>
      </w:r>
      <w:r w:rsidR="00DD521F" w:rsidRPr="00460FF4">
        <w:rPr>
          <w:rFonts w:ascii="Palatino Linotype" w:hAnsi="Palatino Linotype"/>
          <w:sz w:val="22"/>
          <w:szCs w:val="22"/>
        </w:rPr>
        <w:t>.</w:t>
      </w:r>
    </w:p>
  </w:footnote>
  <w:footnote w:id="21">
    <w:p w14:paraId="37E6F447" w14:textId="24330372" w:rsidR="00DB073F" w:rsidRPr="00460FF4" w:rsidRDefault="00DB073F" w:rsidP="000E2065">
      <w:pPr>
        <w:pStyle w:val="FootnoteText"/>
        <w:numPr>
          <w:ilvl w:val="0"/>
          <w:numId w:val="0"/>
        </w:numPr>
        <w:spacing w:after="0"/>
        <w:rPr>
          <w:rFonts w:ascii="Palatino Linotype" w:hAnsi="Palatino Linotype"/>
          <w:sz w:val="22"/>
          <w:szCs w:val="22"/>
        </w:rPr>
      </w:pPr>
      <w:r w:rsidRPr="00460FF4">
        <w:rPr>
          <w:rStyle w:val="FootnoteReference"/>
          <w:rFonts w:ascii="Palatino Linotype" w:hAnsi="Palatino Linotype"/>
          <w:sz w:val="22"/>
          <w:szCs w:val="22"/>
        </w:rPr>
        <w:footnoteRef/>
      </w:r>
      <w:r w:rsidRPr="00460FF4">
        <w:rPr>
          <w:rFonts w:ascii="Palatino Linotype" w:hAnsi="Palatino Linotype"/>
          <w:sz w:val="22"/>
          <w:szCs w:val="22"/>
        </w:rPr>
        <w:t xml:space="preserve"> AReM-DAC</w:t>
      </w:r>
      <w:r w:rsidR="00E42090" w:rsidRPr="00460FF4">
        <w:rPr>
          <w:rFonts w:ascii="Palatino Linotype" w:hAnsi="Palatino Linotype"/>
          <w:sz w:val="22"/>
          <w:szCs w:val="22"/>
        </w:rPr>
        <w:t>C Protest</w:t>
      </w:r>
      <w:r w:rsidRPr="00460FF4">
        <w:rPr>
          <w:rFonts w:ascii="Palatino Linotype" w:hAnsi="Palatino Linotype"/>
          <w:sz w:val="22"/>
          <w:szCs w:val="22"/>
        </w:rPr>
        <w:t xml:space="preserve"> at 2</w:t>
      </w:r>
      <w:r w:rsidR="00DD521F" w:rsidRPr="00460FF4">
        <w:rPr>
          <w:rFonts w:ascii="Palatino Linotype" w:hAnsi="Palatino Linotype"/>
          <w:sz w:val="22"/>
          <w:szCs w:val="22"/>
        </w:rPr>
        <w:t>.</w:t>
      </w:r>
    </w:p>
  </w:footnote>
  <w:footnote w:id="22">
    <w:p w14:paraId="32360C81" w14:textId="4D1716DA" w:rsidR="00DB073F" w:rsidRPr="00460FF4" w:rsidRDefault="00DB073F" w:rsidP="000E2065">
      <w:pPr>
        <w:pStyle w:val="FootnoteText"/>
        <w:numPr>
          <w:ilvl w:val="0"/>
          <w:numId w:val="0"/>
        </w:numPr>
        <w:spacing w:after="0"/>
        <w:rPr>
          <w:rFonts w:ascii="Palatino Linotype" w:hAnsi="Palatino Linotype"/>
          <w:sz w:val="22"/>
          <w:szCs w:val="22"/>
        </w:rPr>
      </w:pPr>
      <w:r w:rsidRPr="00460FF4">
        <w:rPr>
          <w:rStyle w:val="FootnoteReference"/>
          <w:rFonts w:ascii="Palatino Linotype" w:hAnsi="Palatino Linotype"/>
          <w:sz w:val="22"/>
          <w:szCs w:val="22"/>
        </w:rPr>
        <w:footnoteRef/>
      </w:r>
      <w:r w:rsidRPr="00460FF4">
        <w:rPr>
          <w:rFonts w:ascii="Palatino Linotype" w:hAnsi="Palatino Linotype"/>
          <w:sz w:val="22"/>
          <w:szCs w:val="22"/>
        </w:rPr>
        <w:t xml:space="preserve"> Broad Power</w:t>
      </w:r>
      <w:r w:rsidR="00E42090" w:rsidRPr="00460FF4">
        <w:rPr>
          <w:rFonts w:ascii="Palatino Linotype" w:hAnsi="Palatino Linotype"/>
          <w:sz w:val="22"/>
          <w:szCs w:val="22"/>
        </w:rPr>
        <w:t xml:space="preserve"> Protest</w:t>
      </w:r>
      <w:r w:rsidRPr="00460FF4">
        <w:rPr>
          <w:rFonts w:ascii="Palatino Linotype" w:hAnsi="Palatino Linotype"/>
          <w:sz w:val="22"/>
          <w:szCs w:val="22"/>
        </w:rPr>
        <w:t xml:space="preserve"> at 6, IEP-LS</w:t>
      </w:r>
      <w:r w:rsidR="00E42090" w:rsidRPr="00460FF4">
        <w:rPr>
          <w:rFonts w:ascii="Palatino Linotype" w:hAnsi="Palatino Linotype"/>
          <w:sz w:val="22"/>
          <w:szCs w:val="22"/>
        </w:rPr>
        <w:t>A Protest</w:t>
      </w:r>
      <w:r w:rsidRPr="00460FF4">
        <w:rPr>
          <w:rFonts w:ascii="Palatino Linotype" w:hAnsi="Palatino Linotype"/>
          <w:sz w:val="22"/>
          <w:szCs w:val="22"/>
        </w:rPr>
        <w:t xml:space="preserve"> at 2</w:t>
      </w:r>
      <w:r w:rsidR="00DD521F" w:rsidRPr="00460FF4">
        <w:rPr>
          <w:rFonts w:ascii="Palatino Linotype" w:hAnsi="Palatino Linotype"/>
          <w:sz w:val="22"/>
          <w:szCs w:val="22"/>
        </w:rPr>
        <w:t>.</w:t>
      </w:r>
    </w:p>
  </w:footnote>
  <w:footnote w:id="23">
    <w:p w14:paraId="5E8A79FE" w14:textId="333EE5CE" w:rsidR="00DB073F" w:rsidRPr="00460FF4" w:rsidRDefault="00DB073F" w:rsidP="000E2065">
      <w:pPr>
        <w:pStyle w:val="FootnoteText"/>
        <w:numPr>
          <w:ilvl w:val="0"/>
          <w:numId w:val="0"/>
        </w:numPr>
        <w:spacing w:after="0"/>
        <w:rPr>
          <w:rFonts w:ascii="Palatino Linotype" w:hAnsi="Palatino Linotype"/>
          <w:sz w:val="22"/>
          <w:szCs w:val="22"/>
        </w:rPr>
      </w:pPr>
      <w:r w:rsidRPr="00460FF4">
        <w:rPr>
          <w:rStyle w:val="FootnoteReference"/>
          <w:rFonts w:ascii="Palatino Linotype" w:hAnsi="Palatino Linotype"/>
          <w:sz w:val="22"/>
          <w:szCs w:val="22"/>
        </w:rPr>
        <w:footnoteRef/>
      </w:r>
      <w:r w:rsidRPr="00460FF4">
        <w:rPr>
          <w:rFonts w:ascii="Palatino Linotype" w:hAnsi="Palatino Linotype"/>
          <w:sz w:val="22"/>
          <w:szCs w:val="22"/>
        </w:rPr>
        <w:t xml:space="preserve"> Strata </w:t>
      </w:r>
      <w:r w:rsidR="00E42090" w:rsidRPr="00460FF4">
        <w:rPr>
          <w:rFonts w:ascii="Palatino Linotype" w:hAnsi="Palatino Linotype"/>
          <w:sz w:val="22"/>
          <w:szCs w:val="22"/>
        </w:rPr>
        <w:t xml:space="preserve">Protest </w:t>
      </w:r>
      <w:r w:rsidRPr="00460FF4">
        <w:rPr>
          <w:rFonts w:ascii="Palatino Linotype" w:hAnsi="Palatino Linotype"/>
          <w:sz w:val="22"/>
          <w:szCs w:val="22"/>
        </w:rPr>
        <w:t>at 5</w:t>
      </w:r>
      <w:r w:rsidR="00DD521F" w:rsidRPr="00460FF4">
        <w:rPr>
          <w:rFonts w:ascii="Palatino Linotype" w:hAnsi="Palatino Linotype"/>
          <w:sz w:val="22"/>
          <w:szCs w:val="22"/>
        </w:rPr>
        <w:t>.</w:t>
      </w:r>
    </w:p>
  </w:footnote>
  <w:footnote w:id="24">
    <w:p w14:paraId="0176E9E8" w14:textId="07DAD594" w:rsidR="00DB073F" w:rsidRPr="00C51A9F" w:rsidRDefault="00DB073F" w:rsidP="000E2065">
      <w:pPr>
        <w:pStyle w:val="FootnoteText"/>
        <w:numPr>
          <w:ilvl w:val="0"/>
          <w:numId w:val="0"/>
        </w:numPr>
        <w:spacing w:after="0"/>
        <w:rPr>
          <w:rFonts w:ascii="Palatino Linotype" w:hAnsi="Palatino Linotype"/>
        </w:rPr>
      </w:pPr>
      <w:r w:rsidRPr="00460FF4">
        <w:rPr>
          <w:rStyle w:val="FootnoteReference"/>
          <w:rFonts w:ascii="Palatino Linotype" w:hAnsi="Palatino Linotype"/>
          <w:sz w:val="22"/>
          <w:szCs w:val="22"/>
        </w:rPr>
        <w:footnoteRef/>
      </w:r>
      <w:r w:rsidRPr="00460FF4">
        <w:rPr>
          <w:rFonts w:ascii="Palatino Linotype" w:hAnsi="Palatino Linotype"/>
          <w:sz w:val="22"/>
          <w:szCs w:val="22"/>
        </w:rPr>
        <w:t xml:space="preserve"> IEP-LSA</w:t>
      </w:r>
      <w:r w:rsidR="00E42090" w:rsidRPr="00460FF4">
        <w:rPr>
          <w:rFonts w:ascii="Palatino Linotype" w:hAnsi="Palatino Linotype"/>
          <w:sz w:val="22"/>
          <w:szCs w:val="22"/>
        </w:rPr>
        <w:t xml:space="preserve"> Protest</w:t>
      </w:r>
      <w:r w:rsidRPr="00460FF4">
        <w:rPr>
          <w:rFonts w:ascii="Palatino Linotype" w:hAnsi="Palatino Linotype"/>
          <w:sz w:val="22"/>
          <w:szCs w:val="22"/>
        </w:rPr>
        <w:t xml:space="preserve"> at 3</w:t>
      </w:r>
      <w:r w:rsidR="00DD521F" w:rsidRPr="00460FF4">
        <w:rPr>
          <w:rFonts w:ascii="Palatino Linotype" w:hAnsi="Palatino Linotype"/>
          <w:sz w:val="22"/>
          <w:szCs w:val="22"/>
        </w:rPr>
        <w:t>.</w:t>
      </w:r>
    </w:p>
  </w:footnote>
  <w:footnote w:id="25">
    <w:p w14:paraId="1EB29354" w14:textId="3D2A4C96" w:rsidR="001B7837" w:rsidRPr="00216EC9" w:rsidRDefault="001B7837" w:rsidP="004B4ABA">
      <w:pPr>
        <w:pStyle w:val="FootnoteText"/>
        <w:numPr>
          <w:ilvl w:val="0"/>
          <w:numId w:val="0"/>
        </w:numPr>
        <w:spacing w:after="0"/>
        <w:ind w:left="187" w:hanging="187"/>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8Minute</w:t>
      </w:r>
      <w:r>
        <w:rPr>
          <w:rFonts w:ascii="Palatino Linotype" w:hAnsi="Palatino Linotype"/>
          <w:sz w:val="22"/>
          <w:szCs w:val="22"/>
        </w:rPr>
        <w:t xml:space="preserve"> </w:t>
      </w:r>
      <w:r w:rsidR="004B4ABA">
        <w:rPr>
          <w:rFonts w:ascii="Palatino Linotype" w:hAnsi="Palatino Linotype"/>
        </w:rPr>
        <w:t xml:space="preserve">Protest </w:t>
      </w:r>
      <w:r w:rsidRPr="00216EC9">
        <w:rPr>
          <w:rFonts w:ascii="Palatino Linotype" w:hAnsi="Palatino Linotype"/>
          <w:sz w:val="22"/>
          <w:szCs w:val="22"/>
        </w:rPr>
        <w:t>at 1-2, ACP-CA</w:t>
      </w:r>
      <w:r w:rsidR="004B4ABA" w:rsidRPr="00216EC9">
        <w:rPr>
          <w:rFonts w:ascii="Palatino Linotype" w:hAnsi="Palatino Linotype"/>
          <w:sz w:val="22"/>
          <w:szCs w:val="22"/>
        </w:rPr>
        <w:t xml:space="preserve"> </w:t>
      </w:r>
      <w:r w:rsidR="004B4ABA">
        <w:rPr>
          <w:rFonts w:ascii="Palatino Linotype" w:hAnsi="Palatino Linotype"/>
        </w:rPr>
        <w:t>Protest</w:t>
      </w:r>
      <w:r w:rsidRPr="00C51A9F">
        <w:rPr>
          <w:rFonts w:ascii="Palatino Linotype" w:hAnsi="Palatino Linotype"/>
        </w:rPr>
        <w:t xml:space="preserve"> </w:t>
      </w:r>
      <w:r w:rsidRPr="00216EC9">
        <w:rPr>
          <w:rFonts w:ascii="Palatino Linotype" w:hAnsi="Palatino Linotype"/>
          <w:sz w:val="22"/>
          <w:szCs w:val="22"/>
        </w:rPr>
        <w:t>at 2, AReM</w:t>
      </w:r>
      <w:r w:rsidR="004B4ABA" w:rsidRPr="00216EC9">
        <w:rPr>
          <w:rFonts w:ascii="Palatino Linotype" w:hAnsi="Palatino Linotype"/>
          <w:sz w:val="22"/>
          <w:szCs w:val="22"/>
        </w:rPr>
        <w:t xml:space="preserve"> </w:t>
      </w:r>
      <w:r w:rsidR="004B4ABA">
        <w:rPr>
          <w:rFonts w:ascii="Palatino Linotype" w:hAnsi="Palatino Linotype"/>
        </w:rPr>
        <w:t>Protest</w:t>
      </w:r>
      <w:r w:rsidRPr="00C51A9F">
        <w:rPr>
          <w:rFonts w:ascii="Palatino Linotype" w:hAnsi="Palatino Linotype"/>
        </w:rPr>
        <w:t xml:space="preserve"> </w:t>
      </w:r>
      <w:r w:rsidRPr="00216EC9">
        <w:rPr>
          <w:rFonts w:ascii="Palatino Linotype" w:hAnsi="Palatino Linotype"/>
          <w:sz w:val="22"/>
          <w:szCs w:val="22"/>
        </w:rPr>
        <w:t>at 2-3, CESA</w:t>
      </w:r>
      <w:r>
        <w:rPr>
          <w:rFonts w:ascii="Palatino Linotype" w:hAnsi="Palatino Linotype"/>
          <w:sz w:val="22"/>
          <w:szCs w:val="22"/>
        </w:rPr>
        <w:t xml:space="preserve"> </w:t>
      </w:r>
      <w:r w:rsidR="00216EC9">
        <w:rPr>
          <w:rFonts w:ascii="Palatino Linotype" w:hAnsi="Palatino Linotype"/>
          <w:sz w:val="22"/>
          <w:szCs w:val="22"/>
        </w:rPr>
        <w:t>Response</w:t>
      </w:r>
      <w:r w:rsidRPr="00216EC9">
        <w:rPr>
          <w:rFonts w:ascii="Palatino Linotype" w:hAnsi="Palatino Linotype"/>
          <w:sz w:val="22"/>
          <w:szCs w:val="22"/>
        </w:rPr>
        <w:t xml:space="preserve"> </w:t>
      </w:r>
      <w:r w:rsidR="004B4ABA">
        <w:rPr>
          <w:rFonts w:ascii="Palatino Linotype" w:hAnsi="Palatino Linotype"/>
        </w:rPr>
        <w:t xml:space="preserve">Protest </w:t>
      </w:r>
      <w:r w:rsidRPr="00216EC9">
        <w:rPr>
          <w:rFonts w:ascii="Palatino Linotype" w:hAnsi="Palatino Linotype"/>
          <w:sz w:val="22"/>
          <w:szCs w:val="22"/>
        </w:rPr>
        <w:t xml:space="preserve">at 5, IEP-LSA </w:t>
      </w:r>
      <w:r w:rsidR="004B4ABA">
        <w:rPr>
          <w:rFonts w:ascii="Palatino Linotype" w:hAnsi="Palatino Linotype"/>
        </w:rPr>
        <w:t xml:space="preserve">Protest </w:t>
      </w:r>
      <w:r w:rsidRPr="00216EC9">
        <w:rPr>
          <w:rFonts w:ascii="Palatino Linotype" w:hAnsi="Palatino Linotype"/>
          <w:sz w:val="22"/>
          <w:szCs w:val="22"/>
        </w:rPr>
        <w:t>at 3</w:t>
      </w:r>
      <w:r w:rsidR="00216EC9">
        <w:rPr>
          <w:rFonts w:ascii="Palatino Linotype" w:hAnsi="Palatino Linotype"/>
          <w:sz w:val="22"/>
          <w:szCs w:val="22"/>
        </w:rPr>
        <w:t>.</w:t>
      </w:r>
    </w:p>
  </w:footnote>
  <w:footnote w:id="26">
    <w:p w14:paraId="43CABC61" w14:textId="0CDD3B97" w:rsidR="001B7837" w:rsidRPr="00216EC9" w:rsidRDefault="001B7837" w:rsidP="004B4ABA">
      <w:pPr>
        <w:pStyle w:val="FootnoteText"/>
        <w:numPr>
          <w:ilvl w:val="0"/>
          <w:numId w:val="0"/>
        </w:numPr>
        <w:spacing w:after="0"/>
        <w:ind w:left="187" w:hanging="187"/>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ACP-CA </w:t>
      </w:r>
      <w:r w:rsidR="004B4ABA">
        <w:rPr>
          <w:rFonts w:ascii="Palatino Linotype" w:hAnsi="Palatino Linotype"/>
        </w:rPr>
        <w:t xml:space="preserve">Protest </w:t>
      </w:r>
      <w:r w:rsidRPr="00216EC9">
        <w:rPr>
          <w:rFonts w:ascii="Palatino Linotype" w:hAnsi="Palatino Linotype"/>
          <w:sz w:val="22"/>
          <w:szCs w:val="22"/>
        </w:rPr>
        <w:t>at 2, Aypa</w:t>
      </w:r>
      <w:r w:rsidR="004B4ABA" w:rsidRPr="00216EC9">
        <w:rPr>
          <w:rFonts w:ascii="Palatino Linotype" w:hAnsi="Palatino Linotype"/>
          <w:sz w:val="22"/>
          <w:szCs w:val="22"/>
        </w:rPr>
        <w:t xml:space="preserve"> </w:t>
      </w:r>
      <w:r w:rsidR="004B4ABA">
        <w:rPr>
          <w:rFonts w:ascii="Palatino Linotype" w:hAnsi="Palatino Linotype"/>
        </w:rPr>
        <w:t>Protest</w:t>
      </w:r>
      <w:r w:rsidRPr="00C51A9F">
        <w:rPr>
          <w:rFonts w:ascii="Palatino Linotype" w:hAnsi="Palatino Linotype"/>
        </w:rPr>
        <w:t xml:space="preserve"> </w:t>
      </w:r>
      <w:r w:rsidRPr="00216EC9">
        <w:rPr>
          <w:rFonts w:ascii="Palatino Linotype" w:hAnsi="Palatino Linotype"/>
          <w:sz w:val="22"/>
          <w:szCs w:val="22"/>
        </w:rPr>
        <w:t>at 5, Broad Reach</w:t>
      </w:r>
      <w:r w:rsidR="004B4ABA" w:rsidRPr="00216EC9">
        <w:rPr>
          <w:rFonts w:ascii="Palatino Linotype" w:hAnsi="Palatino Linotype"/>
          <w:sz w:val="22"/>
          <w:szCs w:val="22"/>
        </w:rPr>
        <w:t xml:space="preserve"> </w:t>
      </w:r>
      <w:r w:rsidR="004B4ABA">
        <w:rPr>
          <w:rFonts w:ascii="Palatino Linotype" w:hAnsi="Palatino Linotype"/>
        </w:rPr>
        <w:t>Protest</w:t>
      </w:r>
      <w:r w:rsidRPr="00C51A9F">
        <w:rPr>
          <w:rFonts w:ascii="Palatino Linotype" w:hAnsi="Palatino Linotype"/>
        </w:rPr>
        <w:t xml:space="preserve"> </w:t>
      </w:r>
      <w:r w:rsidRPr="00216EC9">
        <w:rPr>
          <w:rFonts w:ascii="Palatino Linotype" w:hAnsi="Palatino Linotype"/>
          <w:sz w:val="22"/>
          <w:szCs w:val="22"/>
        </w:rPr>
        <w:t>at 5, CESA</w:t>
      </w:r>
      <w:r>
        <w:rPr>
          <w:rFonts w:ascii="Palatino Linotype" w:hAnsi="Palatino Linotype"/>
          <w:sz w:val="22"/>
          <w:szCs w:val="22"/>
        </w:rPr>
        <w:t xml:space="preserve"> </w:t>
      </w:r>
      <w:r w:rsidR="00216EC9">
        <w:rPr>
          <w:rFonts w:ascii="Palatino Linotype" w:hAnsi="Palatino Linotype"/>
          <w:sz w:val="22"/>
          <w:szCs w:val="22"/>
        </w:rPr>
        <w:t>Response</w:t>
      </w:r>
      <w:r w:rsidRPr="00216EC9">
        <w:rPr>
          <w:rFonts w:ascii="Palatino Linotype" w:hAnsi="Palatino Linotype"/>
          <w:sz w:val="22"/>
          <w:szCs w:val="22"/>
        </w:rPr>
        <w:t xml:space="preserve"> </w:t>
      </w:r>
      <w:r w:rsidR="004B4ABA">
        <w:rPr>
          <w:rFonts w:ascii="Palatino Linotype" w:hAnsi="Palatino Linotype"/>
        </w:rPr>
        <w:t xml:space="preserve">Protest </w:t>
      </w:r>
      <w:r w:rsidRPr="00216EC9">
        <w:rPr>
          <w:rFonts w:ascii="Palatino Linotype" w:hAnsi="Palatino Linotype"/>
          <w:sz w:val="22"/>
          <w:szCs w:val="22"/>
        </w:rPr>
        <w:t>at 5</w:t>
      </w:r>
      <w:r w:rsidR="00216EC9">
        <w:rPr>
          <w:rFonts w:ascii="Palatino Linotype" w:hAnsi="Palatino Linotype"/>
          <w:sz w:val="22"/>
          <w:szCs w:val="22"/>
        </w:rPr>
        <w:t>.</w:t>
      </w:r>
    </w:p>
  </w:footnote>
  <w:footnote w:id="27">
    <w:p w14:paraId="53A9BE49" w14:textId="77777777" w:rsidR="001B7837" w:rsidRPr="00216EC9" w:rsidRDefault="001B7837" w:rsidP="004B4ABA">
      <w:pPr>
        <w:pStyle w:val="FootnoteText"/>
        <w:numPr>
          <w:ilvl w:val="0"/>
          <w:numId w:val="0"/>
        </w:numPr>
        <w:spacing w:after="0"/>
        <w:ind w:left="187" w:hanging="187"/>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w:t>
      </w:r>
      <w:r w:rsidRPr="00216EC9">
        <w:rPr>
          <w:rFonts w:ascii="Palatino Linotype" w:hAnsi="Palatino Linotype"/>
          <w:i/>
          <w:sz w:val="22"/>
          <w:szCs w:val="22"/>
        </w:rPr>
        <w:t>Id</w:t>
      </w:r>
      <w:r w:rsidRPr="00216EC9">
        <w:rPr>
          <w:rFonts w:ascii="Palatino Linotype" w:hAnsi="Palatino Linotype"/>
          <w:sz w:val="22"/>
          <w:szCs w:val="22"/>
        </w:rPr>
        <w:t>.</w:t>
      </w:r>
    </w:p>
  </w:footnote>
  <w:footnote w:id="28">
    <w:p w14:paraId="53494B93" w14:textId="19F452BF" w:rsidR="00C1733A" w:rsidRPr="00216EC9" w:rsidRDefault="00C1733A" w:rsidP="004B4ABA">
      <w:pPr>
        <w:pStyle w:val="FootnoteText"/>
        <w:numPr>
          <w:ilvl w:val="0"/>
          <w:numId w:val="0"/>
        </w:numPr>
        <w:spacing w:after="0"/>
        <w:ind w:left="187" w:hanging="187"/>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Broad Power </w:t>
      </w:r>
      <w:r w:rsidR="004B4ABA">
        <w:rPr>
          <w:rFonts w:ascii="Palatino Linotype" w:hAnsi="Palatino Linotype"/>
        </w:rPr>
        <w:t xml:space="preserve">Protest </w:t>
      </w:r>
      <w:r w:rsidRPr="00216EC9">
        <w:rPr>
          <w:rFonts w:ascii="Palatino Linotype" w:hAnsi="Palatino Linotype"/>
          <w:sz w:val="22"/>
          <w:szCs w:val="22"/>
        </w:rPr>
        <w:t>at 7</w:t>
      </w:r>
      <w:r w:rsidR="00216EC9">
        <w:rPr>
          <w:rFonts w:ascii="Palatino Linotype" w:hAnsi="Palatino Linotype"/>
          <w:sz w:val="22"/>
          <w:szCs w:val="22"/>
        </w:rPr>
        <w:t>.</w:t>
      </w:r>
    </w:p>
  </w:footnote>
  <w:footnote w:id="29">
    <w:p w14:paraId="29C5407E" w14:textId="1CEB0246" w:rsidR="00E43ADB" w:rsidRPr="00216EC9" w:rsidRDefault="00E43ADB" w:rsidP="000E2065">
      <w:pPr>
        <w:pStyle w:val="FootnoteText"/>
        <w:numPr>
          <w:ilvl w:val="0"/>
          <w:numId w:val="0"/>
        </w:numPr>
        <w:spacing w:after="0"/>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Shell </w:t>
      </w:r>
      <w:r w:rsidR="00216EC9">
        <w:rPr>
          <w:rFonts w:ascii="Palatino Linotype" w:hAnsi="Palatino Linotype"/>
          <w:sz w:val="22"/>
          <w:szCs w:val="22"/>
        </w:rPr>
        <w:t>Protest</w:t>
      </w:r>
      <w:r w:rsidRPr="00216EC9">
        <w:rPr>
          <w:rFonts w:ascii="Palatino Linotype" w:hAnsi="Palatino Linotype"/>
          <w:sz w:val="22"/>
          <w:szCs w:val="22"/>
        </w:rPr>
        <w:t xml:space="preserve"> at 3</w:t>
      </w:r>
      <w:r w:rsidR="00216EC9">
        <w:rPr>
          <w:rFonts w:ascii="Palatino Linotype" w:hAnsi="Palatino Linotype"/>
          <w:sz w:val="22"/>
          <w:szCs w:val="22"/>
        </w:rPr>
        <w:t>.</w:t>
      </w:r>
    </w:p>
  </w:footnote>
  <w:footnote w:id="30">
    <w:p w14:paraId="508BA817" w14:textId="5296E6FC" w:rsidR="00E73AF7" w:rsidRPr="00216EC9" w:rsidRDefault="00E73AF7" w:rsidP="000E2065">
      <w:pPr>
        <w:pStyle w:val="FootnoteText"/>
        <w:numPr>
          <w:ilvl w:val="0"/>
          <w:numId w:val="0"/>
        </w:numPr>
        <w:spacing w:after="0"/>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AReM-DACC </w:t>
      </w:r>
      <w:r w:rsidR="00AA2543" w:rsidRPr="00216EC9">
        <w:rPr>
          <w:rFonts w:ascii="Palatino Linotype" w:hAnsi="Palatino Linotype"/>
          <w:sz w:val="22"/>
          <w:szCs w:val="22"/>
        </w:rPr>
        <w:t xml:space="preserve">Protest </w:t>
      </w:r>
      <w:r w:rsidRPr="00216EC9">
        <w:rPr>
          <w:rFonts w:ascii="Palatino Linotype" w:hAnsi="Palatino Linotype"/>
          <w:sz w:val="22"/>
          <w:szCs w:val="22"/>
        </w:rPr>
        <w:t>at 3-4</w:t>
      </w:r>
    </w:p>
  </w:footnote>
  <w:footnote w:id="31">
    <w:p w14:paraId="18BC4AAE" w14:textId="77777777" w:rsidR="00E73AF7" w:rsidRPr="00216EC9" w:rsidRDefault="00E73AF7" w:rsidP="000E2065">
      <w:pPr>
        <w:pStyle w:val="FootnoteText"/>
        <w:numPr>
          <w:ilvl w:val="0"/>
          <w:numId w:val="0"/>
        </w:numPr>
        <w:spacing w:after="0"/>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w:t>
      </w:r>
      <w:r w:rsidRPr="00216EC9">
        <w:rPr>
          <w:rFonts w:ascii="Palatino Linotype" w:hAnsi="Palatino Linotype"/>
          <w:i/>
          <w:sz w:val="22"/>
          <w:szCs w:val="22"/>
        </w:rPr>
        <w:t>Id</w:t>
      </w:r>
      <w:r w:rsidRPr="00216EC9">
        <w:rPr>
          <w:rFonts w:ascii="Palatino Linotype" w:hAnsi="Palatino Linotype"/>
          <w:sz w:val="22"/>
          <w:szCs w:val="22"/>
        </w:rPr>
        <w:t>.</w:t>
      </w:r>
    </w:p>
  </w:footnote>
  <w:footnote w:id="32">
    <w:p w14:paraId="0A89C444" w14:textId="77777777" w:rsidR="00E73AF7" w:rsidRPr="00216EC9" w:rsidRDefault="00E73AF7" w:rsidP="000E2065">
      <w:pPr>
        <w:pStyle w:val="FootnoteText"/>
        <w:numPr>
          <w:ilvl w:val="0"/>
          <w:numId w:val="0"/>
        </w:numPr>
        <w:spacing w:after="0"/>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w:t>
      </w:r>
      <w:r w:rsidRPr="00216EC9">
        <w:rPr>
          <w:rFonts w:ascii="Palatino Linotype" w:hAnsi="Palatino Linotype"/>
          <w:i/>
          <w:sz w:val="22"/>
          <w:szCs w:val="22"/>
        </w:rPr>
        <w:t>Id</w:t>
      </w:r>
      <w:r w:rsidRPr="00216EC9">
        <w:rPr>
          <w:rFonts w:ascii="Palatino Linotype" w:hAnsi="Palatino Linotype"/>
          <w:sz w:val="22"/>
          <w:szCs w:val="22"/>
        </w:rPr>
        <w:t>.</w:t>
      </w:r>
    </w:p>
  </w:footnote>
  <w:footnote w:id="33">
    <w:p w14:paraId="0F47EA28" w14:textId="489317FC" w:rsidR="00E43ADB" w:rsidRPr="00216EC9" w:rsidRDefault="00E43ADB" w:rsidP="000E2065">
      <w:pPr>
        <w:pStyle w:val="FootnoteText"/>
        <w:numPr>
          <w:ilvl w:val="0"/>
          <w:numId w:val="0"/>
        </w:numPr>
        <w:spacing w:after="0"/>
        <w:rPr>
          <w:rFonts w:ascii="Palatino Linotype" w:hAnsi="Palatino Linotype"/>
          <w:sz w:val="22"/>
          <w:szCs w:val="22"/>
        </w:rPr>
      </w:pPr>
      <w:r w:rsidRPr="00216EC9">
        <w:rPr>
          <w:rStyle w:val="FootnoteReference"/>
          <w:rFonts w:ascii="Palatino Linotype" w:hAnsi="Palatino Linotype"/>
          <w:sz w:val="22"/>
          <w:szCs w:val="22"/>
        </w:rPr>
        <w:footnoteRef/>
      </w:r>
      <w:r w:rsidRPr="00216EC9">
        <w:rPr>
          <w:rFonts w:ascii="Palatino Linotype" w:hAnsi="Palatino Linotype"/>
          <w:sz w:val="22"/>
          <w:szCs w:val="22"/>
        </w:rPr>
        <w:t xml:space="preserve"> SEIA </w:t>
      </w:r>
      <w:r w:rsidR="0092102B">
        <w:rPr>
          <w:rFonts w:ascii="Palatino Linotype" w:hAnsi="Palatino Linotype"/>
          <w:sz w:val="20"/>
        </w:rPr>
        <w:t xml:space="preserve">Protest </w:t>
      </w:r>
      <w:r w:rsidRPr="00216EC9">
        <w:rPr>
          <w:rFonts w:ascii="Palatino Linotype" w:hAnsi="Palatino Linotype"/>
          <w:sz w:val="22"/>
          <w:szCs w:val="22"/>
        </w:rPr>
        <w:t>at 4</w:t>
      </w:r>
      <w:r w:rsidR="00000DEF" w:rsidRPr="00216EC9">
        <w:rPr>
          <w:rFonts w:ascii="Palatino Linotype" w:hAnsi="Palatino Linotype"/>
          <w:sz w:val="22"/>
          <w:szCs w:val="22"/>
        </w:rPr>
        <w:t>.</w:t>
      </w:r>
    </w:p>
  </w:footnote>
  <w:footnote w:id="34">
    <w:p w14:paraId="3D440B54" w14:textId="42C105C6" w:rsidR="00670D0D" w:rsidRPr="00216EC9" w:rsidRDefault="003F17B8" w:rsidP="0092102B">
      <w:pPr>
        <w:pStyle w:val="FootnoteText"/>
        <w:numPr>
          <w:ilvl w:val="0"/>
          <w:numId w:val="0"/>
        </w:numPr>
        <w:spacing w:after="0"/>
        <w:rPr>
          <w:rFonts w:ascii="Palatino Linotype" w:hAnsi="Palatino Linotype"/>
          <w:sz w:val="22"/>
          <w:szCs w:val="22"/>
        </w:rPr>
      </w:pPr>
      <w:r w:rsidRPr="00C33E24">
        <w:rPr>
          <w:rStyle w:val="FootnoteReference"/>
        </w:rPr>
        <w:t>35</w:t>
      </w:r>
      <w:r w:rsidR="00797497" w:rsidRPr="00216EC9">
        <w:rPr>
          <w:rFonts w:ascii="Palatino Linotype" w:hAnsi="Palatino Linotype"/>
          <w:sz w:val="22"/>
          <w:szCs w:val="22"/>
        </w:rPr>
        <w:t xml:space="preserve"> SEIA </w:t>
      </w:r>
      <w:r w:rsidR="00797497">
        <w:rPr>
          <w:rFonts w:ascii="Palatino Linotype" w:hAnsi="Palatino Linotype"/>
          <w:sz w:val="20"/>
        </w:rPr>
        <w:t xml:space="preserve">Protest </w:t>
      </w:r>
      <w:r w:rsidR="00797497" w:rsidRPr="00216EC9">
        <w:rPr>
          <w:rFonts w:ascii="Palatino Linotype" w:hAnsi="Palatino Linotype"/>
          <w:sz w:val="22"/>
          <w:szCs w:val="22"/>
        </w:rPr>
        <w:t>at 4.</w:t>
      </w:r>
    </w:p>
  </w:footnote>
  <w:footnote w:id="35">
    <w:p w14:paraId="5E6A0A3A" w14:textId="38422FF6" w:rsidR="008564C3" w:rsidRPr="004B4ABA" w:rsidRDefault="008564C3" w:rsidP="000E2065">
      <w:pPr>
        <w:pStyle w:val="FootnoteText"/>
        <w:numPr>
          <w:ilvl w:val="0"/>
          <w:numId w:val="0"/>
        </w:numPr>
        <w:spacing w:after="0"/>
        <w:ind w:left="360" w:hanging="360"/>
        <w:rPr>
          <w:rFonts w:ascii="Palatino Linotype" w:hAnsi="Palatino Linotype"/>
          <w:sz w:val="22"/>
          <w:szCs w:val="22"/>
        </w:rPr>
      </w:pPr>
      <w:r w:rsidRPr="004B4ABA">
        <w:rPr>
          <w:rStyle w:val="FootnoteReference"/>
          <w:rFonts w:ascii="Palatino Linotype" w:hAnsi="Palatino Linotype"/>
          <w:sz w:val="22"/>
          <w:szCs w:val="22"/>
        </w:rPr>
        <w:footnoteRef/>
      </w:r>
      <w:r w:rsidR="574B20CB" w:rsidRPr="004B4ABA">
        <w:rPr>
          <w:rFonts w:ascii="Palatino Linotype" w:hAnsi="Palatino Linotype"/>
          <w:sz w:val="22"/>
          <w:szCs w:val="22"/>
        </w:rPr>
        <w:t xml:space="preserve"> Broad Reach Protest at 5</w:t>
      </w:r>
      <w:r w:rsidR="00B73F3F" w:rsidRPr="004B4ABA">
        <w:rPr>
          <w:rFonts w:ascii="Palatino Linotype" w:hAnsi="Palatino Linotype"/>
          <w:sz w:val="22"/>
          <w:szCs w:val="22"/>
        </w:rPr>
        <w:t xml:space="preserve">, Clearway </w:t>
      </w:r>
      <w:r w:rsidR="0092102B" w:rsidRPr="004B4ABA">
        <w:rPr>
          <w:rFonts w:ascii="Palatino Linotype" w:hAnsi="Palatino Linotype"/>
          <w:sz w:val="22"/>
          <w:szCs w:val="22"/>
        </w:rPr>
        <w:t xml:space="preserve">Protest </w:t>
      </w:r>
      <w:r w:rsidR="00B73F3F" w:rsidRPr="004B4ABA">
        <w:rPr>
          <w:rFonts w:ascii="Palatino Linotype" w:hAnsi="Palatino Linotype"/>
          <w:sz w:val="22"/>
          <w:szCs w:val="22"/>
        </w:rPr>
        <w:t>at 5</w:t>
      </w:r>
      <w:r w:rsidR="00000DEF" w:rsidRPr="00216EC9">
        <w:rPr>
          <w:rFonts w:ascii="Palatino Linotype" w:hAnsi="Palatino Linotype"/>
          <w:sz w:val="22"/>
          <w:szCs w:val="22"/>
        </w:rPr>
        <w:t>.</w:t>
      </w:r>
    </w:p>
  </w:footnote>
  <w:footnote w:id="36">
    <w:p w14:paraId="002B19D2" w14:textId="5EEEEE0A" w:rsidR="00752D52" w:rsidRPr="004B4ABA" w:rsidRDefault="00752D52" w:rsidP="00C259C2">
      <w:pPr>
        <w:pStyle w:val="FootnoteText"/>
        <w:numPr>
          <w:ilvl w:val="0"/>
          <w:numId w:val="0"/>
        </w:numPr>
        <w:spacing w:after="0"/>
        <w:rPr>
          <w:rFonts w:ascii="Palatino Linotype" w:hAnsi="Palatino Linotype"/>
          <w:sz w:val="22"/>
          <w:szCs w:val="22"/>
        </w:rPr>
      </w:pPr>
      <w:r w:rsidRPr="004B4ABA">
        <w:rPr>
          <w:rStyle w:val="FootnoteReference"/>
          <w:rFonts w:ascii="Palatino Linotype" w:hAnsi="Palatino Linotype"/>
          <w:sz w:val="22"/>
          <w:szCs w:val="22"/>
        </w:rPr>
        <w:footnoteRef/>
      </w:r>
      <w:r w:rsidRPr="004B4ABA">
        <w:rPr>
          <w:rFonts w:ascii="Palatino Linotype" w:hAnsi="Palatino Linotype"/>
          <w:sz w:val="22"/>
          <w:szCs w:val="22"/>
        </w:rPr>
        <w:t xml:space="preserve"> Cal Advocates</w:t>
      </w:r>
      <w:r w:rsidR="00CD2C49">
        <w:rPr>
          <w:rFonts w:ascii="Palatino Linotype" w:hAnsi="Palatino Linotype"/>
          <w:sz w:val="22"/>
          <w:szCs w:val="22"/>
        </w:rPr>
        <w:t xml:space="preserve"> Protest</w:t>
      </w:r>
      <w:r w:rsidRPr="004B4ABA">
        <w:rPr>
          <w:rFonts w:ascii="Palatino Linotype" w:hAnsi="Palatino Linotype"/>
          <w:sz w:val="22"/>
          <w:szCs w:val="22"/>
        </w:rPr>
        <w:t xml:space="preserve"> at 4-5</w:t>
      </w:r>
      <w:r w:rsidR="004146B5">
        <w:rPr>
          <w:rFonts w:ascii="Palatino Linotype" w:hAnsi="Palatino Linotype"/>
          <w:sz w:val="22"/>
          <w:szCs w:val="22"/>
        </w:rPr>
        <w:t>.</w:t>
      </w:r>
    </w:p>
  </w:footnote>
  <w:footnote w:id="37">
    <w:p w14:paraId="108A444A" w14:textId="77777777" w:rsidR="00752D52" w:rsidRPr="004B4ABA" w:rsidRDefault="00752D52" w:rsidP="00C259C2">
      <w:pPr>
        <w:pStyle w:val="FootnoteText"/>
        <w:numPr>
          <w:ilvl w:val="0"/>
          <w:numId w:val="0"/>
        </w:numPr>
        <w:spacing w:after="0"/>
        <w:rPr>
          <w:rFonts w:ascii="Palatino Linotype" w:hAnsi="Palatino Linotype"/>
          <w:sz w:val="22"/>
          <w:szCs w:val="22"/>
        </w:rPr>
      </w:pPr>
      <w:r w:rsidRPr="004B4ABA">
        <w:rPr>
          <w:rStyle w:val="FootnoteReference"/>
          <w:rFonts w:ascii="Palatino Linotype" w:hAnsi="Palatino Linotype"/>
          <w:sz w:val="22"/>
          <w:szCs w:val="22"/>
        </w:rPr>
        <w:footnoteRef/>
      </w:r>
      <w:r w:rsidRPr="004B4ABA">
        <w:rPr>
          <w:rFonts w:ascii="Palatino Linotype" w:hAnsi="Palatino Linotype"/>
          <w:sz w:val="22"/>
          <w:szCs w:val="22"/>
        </w:rPr>
        <w:t xml:space="preserve"> </w:t>
      </w:r>
      <w:r w:rsidRPr="004B4ABA">
        <w:rPr>
          <w:rFonts w:ascii="Palatino Linotype" w:hAnsi="Palatino Linotype"/>
          <w:i/>
          <w:iCs/>
          <w:sz w:val="22"/>
          <w:szCs w:val="22"/>
        </w:rPr>
        <w:t>Id</w:t>
      </w:r>
      <w:r w:rsidRPr="004B4ABA">
        <w:rPr>
          <w:rFonts w:ascii="Palatino Linotype" w:hAnsi="Palatino Linotype"/>
          <w:sz w:val="22"/>
          <w:szCs w:val="22"/>
        </w:rPr>
        <w:t>.</w:t>
      </w:r>
    </w:p>
  </w:footnote>
  <w:footnote w:id="38">
    <w:p w14:paraId="5328FD7F" w14:textId="6BEEE48C" w:rsidR="002120C5" w:rsidRPr="004B4ABA" w:rsidRDefault="002120C5" w:rsidP="00C259C2">
      <w:pPr>
        <w:pStyle w:val="FootnoteText"/>
        <w:numPr>
          <w:ilvl w:val="0"/>
          <w:numId w:val="0"/>
        </w:numPr>
        <w:spacing w:after="0"/>
        <w:rPr>
          <w:rFonts w:ascii="Palatino Linotype" w:hAnsi="Palatino Linotype"/>
          <w:sz w:val="22"/>
          <w:szCs w:val="22"/>
        </w:rPr>
      </w:pPr>
      <w:r w:rsidRPr="004B4ABA">
        <w:rPr>
          <w:rStyle w:val="FootnoteReference"/>
          <w:rFonts w:ascii="Palatino Linotype" w:hAnsi="Palatino Linotype"/>
          <w:sz w:val="22"/>
          <w:szCs w:val="22"/>
        </w:rPr>
        <w:footnoteRef/>
      </w:r>
      <w:r w:rsidRPr="004B4ABA">
        <w:rPr>
          <w:rFonts w:ascii="Palatino Linotype" w:hAnsi="Palatino Linotype"/>
          <w:sz w:val="22"/>
          <w:szCs w:val="22"/>
        </w:rPr>
        <w:t xml:space="preserve">Cal Advocates </w:t>
      </w:r>
      <w:r w:rsidR="004B4ABA">
        <w:rPr>
          <w:rFonts w:ascii="Palatino Linotype" w:hAnsi="Palatino Linotype"/>
          <w:sz w:val="22"/>
          <w:szCs w:val="22"/>
        </w:rPr>
        <w:t xml:space="preserve">Protest </w:t>
      </w:r>
      <w:r w:rsidRPr="004B4ABA">
        <w:rPr>
          <w:rFonts w:ascii="Palatino Linotype" w:hAnsi="Palatino Linotype"/>
          <w:sz w:val="22"/>
          <w:szCs w:val="22"/>
        </w:rPr>
        <w:t>at 6</w:t>
      </w:r>
      <w:r w:rsidR="004146B5">
        <w:rPr>
          <w:rFonts w:ascii="Palatino Linotype" w:hAnsi="Palatino Linotype"/>
          <w:sz w:val="22"/>
          <w:szCs w:val="22"/>
        </w:rPr>
        <w:t>.</w:t>
      </w:r>
    </w:p>
  </w:footnote>
  <w:footnote w:id="39">
    <w:p w14:paraId="0DA3D954" w14:textId="5B593066" w:rsidR="00070EE6" w:rsidRPr="004B4ABA" w:rsidRDefault="00070EE6" w:rsidP="00C259C2">
      <w:pPr>
        <w:pStyle w:val="FootnoteText"/>
        <w:numPr>
          <w:ilvl w:val="0"/>
          <w:numId w:val="0"/>
        </w:numPr>
        <w:spacing w:after="0"/>
        <w:rPr>
          <w:rFonts w:ascii="Palatino Linotype" w:hAnsi="Palatino Linotype"/>
          <w:sz w:val="22"/>
          <w:szCs w:val="22"/>
        </w:rPr>
      </w:pPr>
      <w:r w:rsidRPr="004B4ABA">
        <w:rPr>
          <w:rStyle w:val="FootnoteReference"/>
          <w:rFonts w:ascii="Palatino Linotype" w:hAnsi="Palatino Linotype"/>
          <w:sz w:val="22"/>
          <w:szCs w:val="22"/>
        </w:rPr>
        <w:footnoteRef/>
      </w:r>
      <w:r w:rsidRPr="004B4ABA">
        <w:rPr>
          <w:rFonts w:ascii="Palatino Linotype" w:hAnsi="Palatino Linotype"/>
          <w:sz w:val="22"/>
          <w:szCs w:val="22"/>
        </w:rPr>
        <w:t xml:space="preserve"> Broad Power</w:t>
      </w:r>
      <w:r w:rsidR="00CD2C49">
        <w:rPr>
          <w:rFonts w:ascii="Palatino Linotype" w:hAnsi="Palatino Linotype"/>
          <w:sz w:val="22"/>
          <w:szCs w:val="22"/>
        </w:rPr>
        <w:t xml:space="preserve"> Protest</w:t>
      </w:r>
      <w:r w:rsidRPr="004B4ABA">
        <w:rPr>
          <w:rFonts w:ascii="Palatino Linotype" w:hAnsi="Palatino Linotype"/>
          <w:sz w:val="22"/>
          <w:szCs w:val="22"/>
        </w:rPr>
        <w:t xml:space="preserve"> at 6</w:t>
      </w:r>
      <w:r w:rsidR="004146B5">
        <w:rPr>
          <w:rFonts w:ascii="Palatino Linotype" w:hAnsi="Palatino Linotype"/>
          <w:sz w:val="22"/>
          <w:szCs w:val="22"/>
        </w:rPr>
        <w:t>.</w:t>
      </w:r>
    </w:p>
  </w:footnote>
  <w:footnote w:id="40">
    <w:p w14:paraId="38F41FD5" w14:textId="2C23E627" w:rsidR="008D2AA0" w:rsidRPr="004146B5" w:rsidRDefault="008D2AA0" w:rsidP="00C259C2">
      <w:pPr>
        <w:pStyle w:val="FootnoteText"/>
        <w:numPr>
          <w:ilvl w:val="0"/>
          <w:numId w:val="0"/>
        </w:numPr>
        <w:spacing w:after="0"/>
        <w:rPr>
          <w:rFonts w:ascii="Palatino Linotype" w:hAnsi="Palatino Linotype"/>
          <w:sz w:val="22"/>
          <w:szCs w:val="22"/>
        </w:rPr>
      </w:pPr>
      <w:r w:rsidRPr="004146B5">
        <w:rPr>
          <w:rStyle w:val="FootnoteReference"/>
          <w:rFonts w:ascii="Palatino Linotype" w:hAnsi="Palatino Linotype"/>
          <w:sz w:val="22"/>
          <w:szCs w:val="22"/>
        </w:rPr>
        <w:footnoteRef/>
      </w:r>
      <w:r w:rsidRPr="004146B5">
        <w:rPr>
          <w:rFonts w:ascii="Palatino Linotype" w:hAnsi="Palatino Linotype"/>
          <w:sz w:val="22"/>
          <w:szCs w:val="22"/>
        </w:rPr>
        <w:t xml:space="preserve"> AReM-DACC </w:t>
      </w:r>
      <w:r w:rsidR="00CD2C49">
        <w:rPr>
          <w:rFonts w:ascii="Palatino Linotype" w:hAnsi="Palatino Linotype"/>
        </w:rPr>
        <w:t xml:space="preserve">Protest </w:t>
      </w:r>
      <w:r w:rsidRPr="004146B5">
        <w:rPr>
          <w:rFonts w:ascii="Palatino Linotype" w:hAnsi="Palatino Linotype"/>
          <w:sz w:val="22"/>
          <w:szCs w:val="22"/>
        </w:rPr>
        <w:t xml:space="preserve">at 5 and Shell </w:t>
      </w:r>
      <w:r w:rsidR="004146B5">
        <w:rPr>
          <w:rFonts w:ascii="Palatino Linotype" w:hAnsi="Palatino Linotype"/>
          <w:sz w:val="22"/>
          <w:szCs w:val="22"/>
        </w:rPr>
        <w:t>Protest</w:t>
      </w:r>
      <w:r w:rsidR="00CD2C49">
        <w:rPr>
          <w:rFonts w:ascii="Palatino Linotype" w:hAnsi="Palatino Linotype"/>
        </w:rPr>
        <w:t xml:space="preserve"> </w:t>
      </w:r>
      <w:r w:rsidRPr="004146B5">
        <w:rPr>
          <w:rFonts w:ascii="Palatino Linotype" w:hAnsi="Palatino Linotype"/>
          <w:sz w:val="22"/>
          <w:szCs w:val="22"/>
        </w:rPr>
        <w:t>at 4</w:t>
      </w:r>
      <w:r w:rsidR="004146B5">
        <w:rPr>
          <w:rFonts w:ascii="Palatino Linotype" w:hAnsi="Palatino Linotype"/>
          <w:sz w:val="22"/>
          <w:szCs w:val="22"/>
        </w:rPr>
        <w:t>.</w:t>
      </w:r>
    </w:p>
  </w:footnote>
  <w:footnote w:id="41">
    <w:p w14:paraId="087611BD" w14:textId="77777777" w:rsidR="008D2AA0" w:rsidRPr="00C51A9F" w:rsidRDefault="008D2AA0" w:rsidP="00C259C2">
      <w:pPr>
        <w:pStyle w:val="FootnoteText"/>
        <w:numPr>
          <w:ilvl w:val="0"/>
          <w:numId w:val="0"/>
        </w:numPr>
        <w:spacing w:after="0"/>
        <w:rPr>
          <w:rFonts w:ascii="Palatino Linotype" w:hAnsi="Palatino Linotype"/>
        </w:rPr>
      </w:pPr>
      <w:r w:rsidRPr="004146B5">
        <w:rPr>
          <w:rStyle w:val="FootnoteReference"/>
          <w:rFonts w:ascii="Palatino Linotype" w:hAnsi="Palatino Linotype"/>
          <w:sz w:val="22"/>
          <w:szCs w:val="22"/>
        </w:rPr>
        <w:footnoteRef/>
      </w:r>
      <w:r w:rsidRPr="004146B5">
        <w:rPr>
          <w:rFonts w:ascii="Palatino Linotype" w:hAnsi="Palatino Linotype"/>
          <w:sz w:val="22"/>
          <w:szCs w:val="22"/>
        </w:rPr>
        <w:t xml:space="preserve"> </w:t>
      </w:r>
      <w:r w:rsidRPr="004146B5">
        <w:rPr>
          <w:rFonts w:ascii="Palatino Linotype" w:hAnsi="Palatino Linotype"/>
          <w:i/>
          <w:sz w:val="22"/>
          <w:szCs w:val="22"/>
        </w:rPr>
        <w:t>Id</w:t>
      </w:r>
      <w:r w:rsidRPr="004146B5">
        <w:rPr>
          <w:rFonts w:ascii="Palatino Linotype" w:hAnsi="Palatino Linotype"/>
          <w:sz w:val="22"/>
          <w:szCs w:val="22"/>
        </w:rPr>
        <w:t>.</w:t>
      </w:r>
    </w:p>
  </w:footnote>
  <w:footnote w:id="42">
    <w:p w14:paraId="34932D98" w14:textId="77777777" w:rsidR="008D2AA0" w:rsidRPr="00143558" w:rsidRDefault="008D2AA0" w:rsidP="00C259C2">
      <w:pPr>
        <w:pStyle w:val="FootnoteText"/>
        <w:numPr>
          <w:ilvl w:val="0"/>
          <w:numId w:val="0"/>
        </w:numPr>
        <w:spacing w:after="0"/>
        <w:rPr>
          <w:rFonts w:ascii="Palatino Linotype" w:hAnsi="Palatino Linotype"/>
          <w:sz w:val="22"/>
          <w:szCs w:val="22"/>
        </w:rPr>
      </w:pPr>
      <w:r w:rsidRPr="00143558">
        <w:rPr>
          <w:rStyle w:val="FootnoteReference"/>
          <w:rFonts w:ascii="Palatino Linotype" w:hAnsi="Palatino Linotype"/>
          <w:sz w:val="22"/>
          <w:szCs w:val="22"/>
        </w:rPr>
        <w:footnoteRef/>
      </w:r>
      <w:r w:rsidRPr="00143558">
        <w:rPr>
          <w:rFonts w:ascii="Palatino Linotype" w:hAnsi="Palatino Linotype"/>
          <w:sz w:val="22"/>
          <w:szCs w:val="22"/>
        </w:rPr>
        <w:t xml:space="preserve"> </w:t>
      </w:r>
      <w:r w:rsidRPr="00143558">
        <w:rPr>
          <w:rFonts w:ascii="Palatino Linotype" w:hAnsi="Palatino Linotype"/>
          <w:i/>
          <w:sz w:val="22"/>
          <w:szCs w:val="22"/>
        </w:rPr>
        <w:t>Id</w:t>
      </w:r>
      <w:r w:rsidRPr="00143558">
        <w:rPr>
          <w:rFonts w:ascii="Palatino Linotype" w:hAnsi="Palatino Linotype"/>
          <w:sz w:val="22"/>
          <w:szCs w:val="22"/>
        </w:rPr>
        <w:t>.</w:t>
      </w:r>
    </w:p>
  </w:footnote>
  <w:footnote w:id="43">
    <w:p w14:paraId="7E5A1DBA" w14:textId="71F1898F" w:rsidR="001B2241" w:rsidRDefault="001B2241" w:rsidP="00896A4A">
      <w:pPr>
        <w:pStyle w:val="FootnoteText"/>
        <w:numPr>
          <w:ilvl w:val="0"/>
          <w:numId w:val="0"/>
        </w:numPr>
        <w:spacing w:after="0"/>
        <w:ind w:left="360" w:hanging="360"/>
      </w:pPr>
      <w:r w:rsidRPr="00143558">
        <w:rPr>
          <w:rStyle w:val="FootnoteReference"/>
          <w:rFonts w:ascii="Palatino Linotype" w:hAnsi="Palatino Linotype"/>
          <w:sz w:val="22"/>
          <w:szCs w:val="22"/>
        </w:rPr>
        <w:footnoteRef/>
      </w:r>
      <w:r w:rsidRPr="00143558">
        <w:rPr>
          <w:rFonts w:ascii="Palatino Linotype" w:hAnsi="Palatino Linotype"/>
          <w:sz w:val="22"/>
          <w:szCs w:val="22"/>
        </w:rPr>
        <w:t xml:space="preserve"> SCE Reply to Protests at 4-5.</w:t>
      </w:r>
    </w:p>
  </w:footnote>
  <w:footnote w:id="44">
    <w:p w14:paraId="099964F3" w14:textId="5AE45071" w:rsidR="00465EBA" w:rsidRPr="00143558" w:rsidRDefault="00465EBA" w:rsidP="00896A4A">
      <w:pPr>
        <w:pStyle w:val="FootnoteText"/>
        <w:numPr>
          <w:ilvl w:val="0"/>
          <w:numId w:val="0"/>
        </w:numPr>
        <w:spacing w:after="0"/>
        <w:ind w:left="360" w:hanging="360"/>
        <w:rPr>
          <w:sz w:val="22"/>
          <w:szCs w:val="22"/>
        </w:rPr>
      </w:pPr>
      <w:r w:rsidRPr="00143558">
        <w:rPr>
          <w:rStyle w:val="FootnoteReference"/>
          <w:sz w:val="22"/>
          <w:szCs w:val="22"/>
        </w:rPr>
        <w:footnoteRef/>
      </w:r>
      <w:r w:rsidRPr="00143558">
        <w:rPr>
          <w:sz w:val="22"/>
          <w:szCs w:val="22"/>
        </w:rPr>
        <w:t xml:space="preserve"> SCE Reply to Protests at </w:t>
      </w:r>
      <w:r w:rsidR="00F77858" w:rsidRPr="00143558">
        <w:rPr>
          <w:sz w:val="22"/>
          <w:szCs w:val="22"/>
        </w:rPr>
        <w:t>8.</w:t>
      </w:r>
    </w:p>
  </w:footnote>
  <w:footnote w:id="45">
    <w:p w14:paraId="2E25A853" w14:textId="07236ABA" w:rsidR="00DA52A0" w:rsidRDefault="00DA52A0" w:rsidP="00896A4A">
      <w:pPr>
        <w:pStyle w:val="FootnoteText"/>
        <w:numPr>
          <w:ilvl w:val="0"/>
          <w:numId w:val="0"/>
        </w:numPr>
        <w:spacing w:after="0"/>
        <w:ind w:left="360" w:hanging="360"/>
      </w:pPr>
      <w:r w:rsidRPr="00143558">
        <w:rPr>
          <w:rStyle w:val="FootnoteReference"/>
          <w:sz w:val="22"/>
          <w:szCs w:val="22"/>
        </w:rPr>
        <w:footnoteRef/>
      </w:r>
      <w:r w:rsidRPr="00143558">
        <w:rPr>
          <w:sz w:val="22"/>
          <w:szCs w:val="22"/>
        </w:rPr>
        <w:t xml:space="preserve"> </w:t>
      </w:r>
      <w:r w:rsidRPr="00143558">
        <w:rPr>
          <w:i/>
          <w:sz w:val="22"/>
          <w:szCs w:val="22"/>
        </w:rPr>
        <w:t>Ibid</w:t>
      </w:r>
      <w:r w:rsidRPr="00143558">
        <w:rPr>
          <w:sz w:val="22"/>
          <w:szCs w:val="22"/>
        </w:rPr>
        <w:t xml:space="preserve"> at 8-9.</w:t>
      </w:r>
    </w:p>
  </w:footnote>
  <w:footnote w:id="46">
    <w:p w14:paraId="7766D643" w14:textId="342FE018" w:rsidR="0ACAA20A" w:rsidRPr="00AD526C" w:rsidRDefault="0ACAA20A" w:rsidP="00C259C2">
      <w:pPr>
        <w:pStyle w:val="FootnoteText"/>
        <w:numPr>
          <w:ilvl w:val="0"/>
          <w:numId w:val="0"/>
        </w:numPr>
        <w:spacing w:after="0"/>
        <w:rPr>
          <w:sz w:val="22"/>
          <w:szCs w:val="22"/>
        </w:rPr>
      </w:pPr>
      <w:r w:rsidRPr="00AD526C">
        <w:rPr>
          <w:rStyle w:val="FootnoteReference"/>
          <w:sz w:val="22"/>
          <w:szCs w:val="22"/>
        </w:rPr>
        <w:footnoteRef/>
      </w:r>
      <w:r w:rsidR="2E1CB811" w:rsidRPr="00AD526C">
        <w:rPr>
          <w:sz w:val="22"/>
          <w:szCs w:val="22"/>
        </w:rPr>
        <w:t xml:space="preserve"> SCE </w:t>
      </w:r>
      <w:r w:rsidR="6A6A9E5D" w:rsidRPr="00AD526C">
        <w:rPr>
          <w:sz w:val="22"/>
          <w:szCs w:val="22"/>
        </w:rPr>
        <w:t xml:space="preserve">Reply </w:t>
      </w:r>
      <w:r w:rsidR="00CD2C49">
        <w:t xml:space="preserve">to Protests </w:t>
      </w:r>
      <w:r w:rsidR="6A6A9E5D" w:rsidRPr="00AD526C">
        <w:rPr>
          <w:sz w:val="22"/>
          <w:szCs w:val="22"/>
        </w:rPr>
        <w:t xml:space="preserve">at </w:t>
      </w:r>
      <w:r w:rsidR="6B8601FD" w:rsidRPr="00AD526C">
        <w:rPr>
          <w:sz w:val="22"/>
          <w:szCs w:val="22"/>
        </w:rPr>
        <w:t>20</w:t>
      </w:r>
      <w:r w:rsidR="00AD526C">
        <w:rPr>
          <w:sz w:val="22"/>
          <w:szCs w:val="22"/>
        </w:rPr>
        <w:t>.</w:t>
      </w:r>
    </w:p>
  </w:footnote>
  <w:footnote w:id="47">
    <w:p w14:paraId="373EB0C6" w14:textId="292060A8" w:rsidR="6E5D1AFB" w:rsidRPr="00AD526C" w:rsidRDefault="6E5D1AFB" w:rsidP="00C259C2">
      <w:pPr>
        <w:pStyle w:val="FootnoteText"/>
        <w:numPr>
          <w:ilvl w:val="0"/>
          <w:numId w:val="0"/>
        </w:numPr>
        <w:spacing w:after="0"/>
        <w:rPr>
          <w:sz w:val="22"/>
          <w:szCs w:val="22"/>
        </w:rPr>
      </w:pPr>
      <w:r w:rsidRPr="00AD526C">
        <w:rPr>
          <w:rStyle w:val="FootnoteReference"/>
          <w:sz w:val="22"/>
          <w:szCs w:val="22"/>
        </w:rPr>
        <w:footnoteRef/>
      </w:r>
      <w:r w:rsidRPr="00AD526C">
        <w:rPr>
          <w:sz w:val="22"/>
          <w:szCs w:val="22"/>
        </w:rPr>
        <w:t xml:space="preserve"> SCE </w:t>
      </w:r>
      <w:r w:rsidR="26A0B376" w:rsidRPr="00AD526C">
        <w:rPr>
          <w:sz w:val="22"/>
          <w:szCs w:val="22"/>
        </w:rPr>
        <w:t xml:space="preserve">Reply </w:t>
      </w:r>
      <w:r w:rsidR="00CD2C49">
        <w:t xml:space="preserve">to Protests </w:t>
      </w:r>
      <w:r w:rsidR="26A0B376" w:rsidRPr="00AD526C">
        <w:rPr>
          <w:sz w:val="22"/>
          <w:szCs w:val="22"/>
        </w:rPr>
        <w:t>at</w:t>
      </w:r>
      <w:r w:rsidR="20D16004" w:rsidRPr="00AD526C">
        <w:rPr>
          <w:sz w:val="22"/>
          <w:szCs w:val="22"/>
        </w:rPr>
        <w:t xml:space="preserve"> </w:t>
      </w:r>
      <w:r w:rsidR="4423760B" w:rsidRPr="00AD526C">
        <w:rPr>
          <w:sz w:val="22"/>
          <w:szCs w:val="22"/>
        </w:rPr>
        <w:t>18</w:t>
      </w:r>
      <w:r w:rsidR="00AD526C">
        <w:rPr>
          <w:sz w:val="22"/>
          <w:szCs w:val="22"/>
        </w:rPr>
        <w:t>.</w:t>
      </w:r>
    </w:p>
  </w:footnote>
  <w:footnote w:id="48">
    <w:p w14:paraId="3BF3D13C" w14:textId="346A654F" w:rsidR="00E24D77" w:rsidRDefault="00E24D77" w:rsidP="00896A4A">
      <w:pPr>
        <w:pStyle w:val="FootnoteText"/>
        <w:numPr>
          <w:ilvl w:val="0"/>
          <w:numId w:val="0"/>
        </w:numPr>
        <w:spacing w:after="0"/>
        <w:ind w:left="360" w:hanging="360"/>
      </w:pPr>
      <w:r w:rsidRPr="00AD526C">
        <w:rPr>
          <w:rStyle w:val="FootnoteReference"/>
          <w:sz w:val="22"/>
          <w:szCs w:val="22"/>
        </w:rPr>
        <w:footnoteRef/>
      </w:r>
      <w:r w:rsidRPr="00AD526C">
        <w:rPr>
          <w:sz w:val="22"/>
          <w:szCs w:val="22"/>
        </w:rPr>
        <w:t xml:space="preserve"> </w:t>
      </w:r>
      <w:r w:rsidRPr="00AD526C">
        <w:rPr>
          <w:i/>
          <w:iCs/>
          <w:sz w:val="22"/>
          <w:szCs w:val="22"/>
        </w:rPr>
        <w:t>Id</w:t>
      </w:r>
      <w:r w:rsidR="00AD526C">
        <w:rPr>
          <w:i/>
          <w:iCs/>
          <w:sz w:val="22"/>
          <w:szCs w:val="22"/>
        </w:rPr>
        <w:t>.</w:t>
      </w:r>
      <w:r w:rsidRPr="00AD526C">
        <w:rPr>
          <w:sz w:val="22"/>
          <w:szCs w:val="22"/>
        </w:rPr>
        <w:t xml:space="preserve"> at 18.</w:t>
      </w:r>
    </w:p>
  </w:footnote>
  <w:footnote w:id="49">
    <w:p w14:paraId="03211D3F" w14:textId="36454B70" w:rsidR="30608B48" w:rsidRPr="00AD526C" w:rsidRDefault="30608B48" w:rsidP="00C259C2">
      <w:pPr>
        <w:pStyle w:val="FootnoteText"/>
        <w:numPr>
          <w:ilvl w:val="0"/>
          <w:numId w:val="0"/>
        </w:numPr>
        <w:spacing w:after="0"/>
        <w:rPr>
          <w:sz w:val="22"/>
          <w:szCs w:val="22"/>
        </w:rPr>
      </w:pPr>
      <w:r w:rsidRPr="00AD526C">
        <w:rPr>
          <w:rStyle w:val="FootnoteReference"/>
          <w:sz w:val="22"/>
          <w:szCs w:val="22"/>
        </w:rPr>
        <w:footnoteRef/>
      </w:r>
      <w:r w:rsidR="3EC11EDC" w:rsidRPr="00AD526C">
        <w:rPr>
          <w:sz w:val="22"/>
          <w:szCs w:val="22"/>
        </w:rPr>
        <w:t xml:space="preserve"> SCE </w:t>
      </w:r>
      <w:r w:rsidR="621334E3" w:rsidRPr="00AD526C">
        <w:rPr>
          <w:sz w:val="22"/>
          <w:szCs w:val="22"/>
        </w:rPr>
        <w:t xml:space="preserve">Reply </w:t>
      </w:r>
      <w:r w:rsidR="00CD2C49">
        <w:t xml:space="preserve">to Protests </w:t>
      </w:r>
      <w:r w:rsidR="621334E3" w:rsidRPr="00AD526C">
        <w:rPr>
          <w:sz w:val="22"/>
          <w:szCs w:val="22"/>
        </w:rPr>
        <w:t>at</w:t>
      </w:r>
      <w:r w:rsidR="467F1A76" w:rsidRPr="00AD526C">
        <w:rPr>
          <w:sz w:val="22"/>
          <w:szCs w:val="22"/>
        </w:rPr>
        <w:t xml:space="preserve"> </w:t>
      </w:r>
      <w:r w:rsidR="2590C931" w:rsidRPr="00AD526C">
        <w:rPr>
          <w:sz w:val="22"/>
          <w:szCs w:val="22"/>
        </w:rPr>
        <w:t>18-</w:t>
      </w:r>
      <w:r w:rsidR="331E183D" w:rsidRPr="00AD526C">
        <w:rPr>
          <w:sz w:val="22"/>
          <w:szCs w:val="22"/>
        </w:rPr>
        <w:t>19</w:t>
      </w:r>
    </w:p>
  </w:footnote>
  <w:footnote w:id="50">
    <w:p w14:paraId="7CAEDC45" w14:textId="222D4330" w:rsidR="331E183D" w:rsidRPr="00AD526C" w:rsidRDefault="331E183D" w:rsidP="00C259C2">
      <w:pPr>
        <w:pStyle w:val="FootnoteText"/>
        <w:numPr>
          <w:ilvl w:val="0"/>
          <w:numId w:val="0"/>
        </w:numPr>
        <w:spacing w:after="0"/>
        <w:rPr>
          <w:sz w:val="22"/>
          <w:szCs w:val="22"/>
        </w:rPr>
      </w:pPr>
      <w:r w:rsidRPr="00AD526C">
        <w:rPr>
          <w:rStyle w:val="FootnoteReference"/>
          <w:sz w:val="22"/>
          <w:szCs w:val="22"/>
        </w:rPr>
        <w:footnoteRef/>
      </w:r>
      <w:r w:rsidR="52F42E0B" w:rsidRPr="00AD526C">
        <w:rPr>
          <w:sz w:val="22"/>
          <w:szCs w:val="22"/>
        </w:rPr>
        <w:t xml:space="preserve"> SCE Reply </w:t>
      </w:r>
      <w:r w:rsidR="00CD2C49">
        <w:t xml:space="preserve">to Protests </w:t>
      </w:r>
      <w:r w:rsidR="52F42E0B" w:rsidRPr="00AD526C">
        <w:rPr>
          <w:sz w:val="22"/>
          <w:szCs w:val="22"/>
        </w:rPr>
        <w:t xml:space="preserve">at </w:t>
      </w:r>
      <w:r w:rsidR="6154C19F" w:rsidRPr="00AD526C">
        <w:rPr>
          <w:sz w:val="22"/>
          <w:szCs w:val="22"/>
        </w:rPr>
        <w:t>19</w:t>
      </w:r>
    </w:p>
  </w:footnote>
  <w:footnote w:id="51">
    <w:p w14:paraId="6168B7BB" w14:textId="0D1C97DD" w:rsidR="007C5A98" w:rsidRPr="00AD526C" w:rsidRDefault="007C5A98" w:rsidP="00896A4A">
      <w:pPr>
        <w:pStyle w:val="FootnoteText"/>
        <w:numPr>
          <w:ilvl w:val="0"/>
          <w:numId w:val="0"/>
        </w:numPr>
        <w:spacing w:after="0"/>
        <w:ind w:left="360" w:hanging="360"/>
        <w:rPr>
          <w:sz w:val="22"/>
          <w:szCs w:val="22"/>
        </w:rPr>
      </w:pPr>
      <w:r w:rsidRPr="00AD526C">
        <w:rPr>
          <w:rStyle w:val="FootnoteReference"/>
          <w:sz w:val="22"/>
          <w:szCs w:val="22"/>
        </w:rPr>
        <w:footnoteRef/>
      </w:r>
      <w:r w:rsidRPr="00AD526C">
        <w:rPr>
          <w:sz w:val="22"/>
          <w:szCs w:val="22"/>
        </w:rPr>
        <w:t xml:space="preserve"> </w:t>
      </w:r>
      <w:r w:rsidRPr="00AD526C">
        <w:rPr>
          <w:i/>
          <w:iCs/>
          <w:sz w:val="22"/>
          <w:szCs w:val="22"/>
        </w:rPr>
        <w:t>Id</w:t>
      </w:r>
      <w:r w:rsidR="00AD526C" w:rsidRPr="00AD526C">
        <w:rPr>
          <w:i/>
          <w:iCs/>
          <w:sz w:val="22"/>
          <w:szCs w:val="22"/>
        </w:rPr>
        <w:t>.</w:t>
      </w:r>
      <w:r w:rsidRPr="00AD526C">
        <w:rPr>
          <w:sz w:val="22"/>
          <w:szCs w:val="22"/>
        </w:rPr>
        <w:t xml:space="preserve"> at </w:t>
      </w:r>
      <w:r w:rsidR="00E50725" w:rsidRPr="00AD526C">
        <w:rPr>
          <w:sz w:val="22"/>
          <w:szCs w:val="22"/>
        </w:rPr>
        <w:t>10-11</w:t>
      </w:r>
      <w:r w:rsidRPr="00AD526C">
        <w:rPr>
          <w:sz w:val="22"/>
          <w:szCs w:val="22"/>
        </w:rPr>
        <w:t>.</w:t>
      </w:r>
    </w:p>
  </w:footnote>
  <w:footnote w:id="52">
    <w:p w14:paraId="7D2C8B1E" w14:textId="1602D47E" w:rsidR="005E39BA" w:rsidRDefault="005E39BA" w:rsidP="000E0577">
      <w:pPr>
        <w:pStyle w:val="FootnoteText"/>
        <w:numPr>
          <w:ilvl w:val="0"/>
          <w:numId w:val="0"/>
        </w:numPr>
        <w:spacing w:after="0"/>
        <w:ind w:left="360" w:hanging="360"/>
      </w:pPr>
      <w:r w:rsidRPr="00AD526C">
        <w:rPr>
          <w:rStyle w:val="FootnoteReference"/>
          <w:sz w:val="22"/>
          <w:szCs w:val="22"/>
        </w:rPr>
        <w:footnoteRef/>
      </w:r>
      <w:r w:rsidRPr="00AD526C">
        <w:rPr>
          <w:sz w:val="22"/>
          <w:szCs w:val="22"/>
        </w:rPr>
        <w:t xml:space="preserve"> </w:t>
      </w:r>
      <w:r w:rsidRPr="00AD526C">
        <w:rPr>
          <w:i/>
          <w:iCs/>
          <w:sz w:val="22"/>
          <w:szCs w:val="22"/>
        </w:rPr>
        <w:t>Id</w:t>
      </w:r>
      <w:r w:rsidR="00AD526C" w:rsidRPr="00AD526C">
        <w:rPr>
          <w:i/>
          <w:iCs/>
          <w:sz w:val="22"/>
          <w:szCs w:val="22"/>
        </w:rPr>
        <w:t>.</w:t>
      </w:r>
      <w:r w:rsidRPr="00AD526C">
        <w:rPr>
          <w:sz w:val="22"/>
          <w:szCs w:val="22"/>
        </w:rPr>
        <w:t xml:space="preserve"> at 12-13.</w:t>
      </w:r>
    </w:p>
  </w:footnote>
  <w:footnote w:id="53">
    <w:p w14:paraId="06853020" w14:textId="39D59DE2" w:rsidR="000E0577" w:rsidRDefault="000E0577" w:rsidP="000E0577">
      <w:pPr>
        <w:pStyle w:val="FootnoteText"/>
        <w:numPr>
          <w:ilvl w:val="0"/>
          <w:numId w:val="0"/>
        </w:numPr>
        <w:spacing w:after="0"/>
        <w:ind w:left="360" w:hanging="360"/>
      </w:pPr>
      <w:r w:rsidRPr="00AD526C">
        <w:rPr>
          <w:rStyle w:val="FootnoteReference"/>
          <w:sz w:val="22"/>
          <w:szCs w:val="18"/>
        </w:rPr>
        <w:footnoteRef/>
      </w:r>
      <w:r w:rsidRPr="00AD526C">
        <w:rPr>
          <w:sz w:val="22"/>
          <w:szCs w:val="18"/>
        </w:rPr>
        <w:t xml:space="preserve"> </w:t>
      </w:r>
      <w:r w:rsidR="00AD526C" w:rsidRPr="00AD526C">
        <w:rPr>
          <w:i/>
          <w:iCs/>
          <w:sz w:val="22"/>
          <w:szCs w:val="22"/>
        </w:rPr>
        <w:t>Id.</w:t>
      </w:r>
      <w:r w:rsidRPr="00AD526C">
        <w:rPr>
          <w:sz w:val="22"/>
          <w:szCs w:val="18"/>
        </w:rPr>
        <w:t xml:space="preserve"> at 14.</w:t>
      </w:r>
    </w:p>
  </w:footnote>
  <w:footnote w:id="54">
    <w:p w14:paraId="5EDB3372" w14:textId="484C32E7" w:rsidR="00FF00EE" w:rsidRDefault="00FF00EE" w:rsidP="003B13A2">
      <w:pPr>
        <w:pStyle w:val="FootnoteText"/>
        <w:numPr>
          <w:ilvl w:val="0"/>
          <w:numId w:val="0"/>
        </w:numPr>
        <w:spacing w:after="0"/>
      </w:pPr>
      <w:r>
        <w:rPr>
          <w:rStyle w:val="FootnoteReference"/>
        </w:rPr>
        <w:footnoteRef/>
      </w:r>
      <w:r>
        <w:t xml:space="preserve"> </w:t>
      </w:r>
      <w:r w:rsidR="00AD526C" w:rsidRPr="00AD526C">
        <w:rPr>
          <w:i/>
          <w:iCs/>
          <w:sz w:val="22"/>
          <w:szCs w:val="22"/>
        </w:rPr>
        <w:t>Id.</w:t>
      </w:r>
      <w:r>
        <w:rPr>
          <w:i/>
          <w:sz w:val="22"/>
          <w:szCs w:val="22"/>
        </w:rPr>
        <w:t xml:space="preserve"> </w:t>
      </w:r>
      <w:r>
        <w:t>at 13.</w:t>
      </w:r>
    </w:p>
  </w:footnote>
  <w:footnote w:id="55">
    <w:p w14:paraId="73EFAE76" w14:textId="0CBD1215" w:rsidR="00CC01CD" w:rsidRDefault="00CC01CD" w:rsidP="003B13A2">
      <w:pPr>
        <w:pStyle w:val="FootnoteText"/>
        <w:numPr>
          <w:ilvl w:val="0"/>
          <w:numId w:val="0"/>
        </w:numPr>
        <w:spacing w:after="0"/>
        <w:ind w:left="360" w:hanging="360"/>
      </w:pPr>
      <w:r>
        <w:rPr>
          <w:rStyle w:val="FootnoteReference"/>
        </w:rPr>
        <w:footnoteRef/>
      </w:r>
      <w:r>
        <w:t xml:space="preserve"> </w:t>
      </w:r>
      <w:r w:rsidR="00AD526C" w:rsidRPr="00AD526C">
        <w:rPr>
          <w:i/>
          <w:iCs/>
          <w:sz w:val="22"/>
          <w:szCs w:val="22"/>
        </w:rPr>
        <w:t>Id.</w:t>
      </w:r>
      <w:r>
        <w:t xml:space="preserve"> at 13-14.</w:t>
      </w:r>
    </w:p>
  </w:footnote>
  <w:footnote w:id="56">
    <w:p w14:paraId="2582B8DA" w14:textId="42FD999C" w:rsidR="00185AED" w:rsidRDefault="00185AED" w:rsidP="003B13A2">
      <w:pPr>
        <w:pStyle w:val="FootnoteText"/>
        <w:numPr>
          <w:ilvl w:val="0"/>
          <w:numId w:val="0"/>
        </w:numPr>
        <w:spacing w:after="0"/>
        <w:ind w:left="360" w:hanging="360"/>
      </w:pPr>
      <w:r>
        <w:rPr>
          <w:rStyle w:val="FootnoteReference"/>
        </w:rPr>
        <w:footnoteRef/>
      </w:r>
      <w:r>
        <w:t xml:space="preserve"> </w:t>
      </w:r>
      <w:r w:rsidR="00AD526C" w:rsidRPr="00AD526C">
        <w:rPr>
          <w:i/>
          <w:iCs/>
          <w:sz w:val="22"/>
          <w:szCs w:val="22"/>
        </w:rPr>
        <w:t>Id.</w:t>
      </w:r>
      <w:r w:rsidR="003B13A2">
        <w:t xml:space="preserve"> at 16.</w:t>
      </w:r>
    </w:p>
  </w:footnote>
  <w:footnote w:id="57">
    <w:p w14:paraId="40AF9433" w14:textId="2CC92645" w:rsidR="009D3A3F" w:rsidRDefault="009D3A3F" w:rsidP="009D3A3F">
      <w:pPr>
        <w:pStyle w:val="FootnoteText"/>
        <w:numPr>
          <w:ilvl w:val="0"/>
          <w:numId w:val="0"/>
        </w:numPr>
        <w:spacing w:after="0"/>
        <w:ind w:left="360" w:hanging="360"/>
      </w:pPr>
      <w:r>
        <w:rPr>
          <w:rStyle w:val="FootnoteReference"/>
        </w:rPr>
        <w:footnoteRef/>
      </w:r>
      <w:r>
        <w:t xml:space="preserve"> </w:t>
      </w:r>
      <w:r w:rsidR="00AD526C" w:rsidRPr="00AD526C">
        <w:rPr>
          <w:i/>
          <w:iCs/>
          <w:sz w:val="22"/>
          <w:szCs w:val="22"/>
        </w:rPr>
        <w:t>Id.</w:t>
      </w:r>
      <w:r>
        <w:t xml:space="preserve"> at 1</w:t>
      </w:r>
      <w:r w:rsidR="000A1408">
        <w:t>7</w:t>
      </w:r>
      <w:r>
        <w:t>.</w:t>
      </w:r>
    </w:p>
  </w:footnote>
  <w:footnote w:id="58">
    <w:p w14:paraId="1E3FB495" w14:textId="6D724F6C" w:rsidR="00CE30DB" w:rsidRPr="004A73E5" w:rsidRDefault="00CE30DB" w:rsidP="00393FBD">
      <w:pPr>
        <w:pStyle w:val="FootnoteText"/>
        <w:numPr>
          <w:ilvl w:val="0"/>
          <w:numId w:val="0"/>
        </w:numPr>
        <w:spacing w:after="0"/>
        <w:ind w:left="180" w:hanging="180"/>
        <w:rPr>
          <w:sz w:val="22"/>
          <w:szCs w:val="22"/>
        </w:rPr>
      </w:pPr>
      <w:r w:rsidRPr="004A73E5">
        <w:rPr>
          <w:rStyle w:val="FootnoteReference"/>
          <w:sz w:val="22"/>
          <w:szCs w:val="22"/>
        </w:rPr>
        <w:footnoteRef/>
      </w:r>
      <w:r w:rsidRPr="004A73E5">
        <w:rPr>
          <w:sz w:val="22"/>
          <w:szCs w:val="22"/>
        </w:rPr>
        <w:t xml:space="preserve"> See PD of Administration Law Judge Thomas, issued </w:t>
      </w:r>
      <w:r w:rsidR="00277CAA" w:rsidRPr="004A73E5">
        <w:rPr>
          <w:sz w:val="22"/>
          <w:szCs w:val="22"/>
        </w:rPr>
        <w:t xml:space="preserve">on </w:t>
      </w:r>
      <w:r w:rsidRPr="004A73E5">
        <w:rPr>
          <w:sz w:val="22"/>
          <w:szCs w:val="22"/>
        </w:rPr>
        <w:t xml:space="preserve">October 29, </w:t>
      </w:r>
      <w:r w:rsidR="00393FBD" w:rsidRPr="004A73E5">
        <w:rPr>
          <w:sz w:val="22"/>
          <w:szCs w:val="22"/>
        </w:rPr>
        <w:t>2021</w:t>
      </w:r>
      <w:r w:rsidR="00393FBD">
        <w:t>,</w:t>
      </w:r>
      <w:r w:rsidRPr="004A73E5">
        <w:rPr>
          <w:sz w:val="22"/>
          <w:szCs w:val="22"/>
        </w:rPr>
        <w:t xml:space="preserve"> in R.20-11-003, addressing the need for additional resources in the summers of 2022 and 2023 to help maintain reliability in the most extreme weather events.</w:t>
      </w:r>
    </w:p>
  </w:footnote>
  <w:footnote w:id="59">
    <w:p w14:paraId="6545F27B" w14:textId="25A799AA" w:rsidR="0073520E" w:rsidRDefault="0073520E" w:rsidP="00393FBD">
      <w:pPr>
        <w:pStyle w:val="FootnoteText"/>
        <w:numPr>
          <w:ilvl w:val="0"/>
          <w:numId w:val="0"/>
        </w:numPr>
        <w:spacing w:after="0"/>
        <w:ind w:left="180" w:hanging="180"/>
      </w:pPr>
      <w:r w:rsidRPr="004A73E5">
        <w:rPr>
          <w:rStyle w:val="FootnoteReference"/>
          <w:sz w:val="22"/>
          <w:szCs w:val="22"/>
        </w:rPr>
        <w:footnoteRef/>
      </w:r>
      <w:r w:rsidRPr="004A73E5">
        <w:rPr>
          <w:sz w:val="22"/>
          <w:szCs w:val="22"/>
        </w:rPr>
        <w:t xml:space="preserve"> </w:t>
      </w:r>
      <w:r w:rsidR="00837C32" w:rsidRPr="004A73E5">
        <w:rPr>
          <w:sz w:val="22"/>
          <w:szCs w:val="22"/>
        </w:rPr>
        <w:t xml:space="preserve">SCE </w:t>
      </w:r>
      <w:r w:rsidR="00393FBD">
        <w:t>Reply</w:t>
      </w:r>
      <w:r w:rsidR="00837C32" w:rsidRPr="004A73E5">
        <w:rPr>
          <w:sz w:val="22"/>
          <w:szCs w:val="22"/>
        </w:rPr>
        <w:t xml:space="preserve"> to Protests at 16-17</w:t>
      </w:r>
    </w:p>
  </w:footnote>
  <w:footnote w:id="60">
    <w:p w14:paraId="4E86F4C4" w14:textId="53B06C4D" w:rsidR="00B57285" w:rsidRDefault="00B57285" w:rsidP="001B7A50">
      <w:pPr>
        <w:pStyle w:val="FootnoteText"/>
        <w:numPr>
          <w:ilvl w:val="0"/>
          <w:numId w:val="0"/>
        </w:numPr>
      </w:pPr>
      <w:r w:rsidRPr="003034DC">
        <w:rPr>
          <w:rStyle w:val="FootnoteReference"/>
          <w:sz w:val="22"/>
          <w:szCs w:val="18"/>
        </w:rPr>
        <w:footnoteRef/>
      </w:r>
      <w:r w:rsidRPr="003034DC">
        <w:rPr>
          <w:sz w:val="22"/>
          <w:szCs w:val="18"/>
        </w:rPr>
        <w:t xml:space="preserve"> </w:t>
      </w:r>
      <w:r w:rsidR="0007456D" w:rsidRPr="003034DC">
        <w:rPr>
          <w:sz w:val="22"/>
          <w:szCs w:val="18"/>
        </w:rPr>
        <w:t xml:space="preserve">SCE AL 4617-E, Public Attachment D at </w:t>
      </w:r>
      <w:r w:rsidR="00776318" w:rsidRPr="003034DC">
        <w:rPr>
          <w:sz w:val="22"/>
          <w:szCs w:val="18"/>
        </w:rPr>
        <w:t>46</w:t>
      </w:r>
      <w:r w:rsidR="000317DB" w:rsidRPr="003034DC">
        <w:rPr>
          <w:sz w:val="22"/>
          <w:szCs w:val="18"/>
        </w:rPr>
        <w:t>.</w:t>
      </w:r>
    </w:p>
  </w:footnote>
  <w:footnote w:id="61">
    <w:p w14:paraId="6F41C01D" w14:textId="1BC79994" w:rsidR="004C4BBD" w:rsidRDefault="004C4BBD" w:rsidP="004C4BBD">
      <w:pPr>
        <w:pStyle w:val="FootnoteText"/>
        <w:numPr>
          <w:ilvl w:val="0"/>
          <w:numId w:val="0"/>
        </w:numPr>
        <w:ind w:left="360" w:hanging="360"/>
      </w:pPr>
      <w:r w:rsidRPr="003034DC">
        <w:rPr>
          <w:rStyle w:val="FootnoteReference"/>
          <w:sz w:val="22"/>
          <w:szCs w:val="18"/>
        </w:rPr>
        <w:footnoteRef/>
      </w:r>
      <w:r w:rsidRPr="003034DC">
        <w:rPr>
          <w:sz w:val="22"/>
          <w:szCs w:val="18"/>
        </w:rPr>
        <w:t xml:space="preserve"> Governor's Emergency Proclamation, July 30, 2021</w:t>
      </w:r>
      <w:r w:rsidR="00324EBC" w:rsidRPr="003034DC">
        <w:rPr>
          <w:sz w:val="22"/>
          <w:szCs w:val="18"/>
        </w:rPr>
        <w:t>, Order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E5B8" w14:textId="77777777" w:rsidR="00963A12" w:rsidRDefault="00963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349" w14:textId="79E32DFC" w:rsidR="00CF17DE" w:rsidRDefault="00CF17DE">
    <w:pPr>
      <w:pStyle w:val="Header"/>
      <w:tabs>
        <w:tab w:val="clear" w:pos="4320"/>
        <w:tab w:val="clear" w:pos="8640"/>
        <w:tab w:val="center" w:pos="4680"/>
        <w:tab w:val="right" w:pos="9180"/>
      </w:tabs>
    </w:pPr>
    <w:r>
      <w:t>Resolution E-</w:t>
    </w:r>
    <w:r w:rsidR="0037026B">
      <w:t>5183</w:t>
    </w:r>
    <w:r w:rsidR="003F6E5A">
      <w:tab/>
    </w:r>
    <w:r>
      <w:t>DRAFT</w:t>
    </w:r>
    <w:r>
      <w:tab/>
    </w:r>
    <w:r w:rsidR="001407DA">
      <w:t xml:space="preserve">December </w:t>
    </w:r>
    <w:r w:rsidR="00517D18">
      <w:t>16, 2021</w:t>
    </w:r>
  </w:p>
  <w:p w14:paraId="279E5C15" w14:textId="35A696BC" w:rsidR="00CF17DE" w:rsidRDefault="001407DA">
    <w:pPr>
      <w:pStyle w:val="Header"/>
      <w:tabs>
        <w:tab w:val="clear" w:pos="4320"/>
        <w:tab w:val="clear" w:pos="8640"/>
        <w:tab w:val="center" w:pos="4680"/>
        <w:tab w:val="right" w:pos="9180"/>
      </w:tabs>
    </w:pPr>
    <w:r>
      <w:t xml:space="preserve">SCE </w:t>
    </w:r>
    <w:r w:rsidR="00CF17DE">
      <w:t xml:space="preserve">AL </w:t>
    </w:r>
    <w:r>
      <w:t>4617</w:t>
    </w:r>
    <w:r w:rsidR="00CF17DE">
      <w:t>-E/</w:t>
    </w:r>
    <w:r>
      <w:t>SB6</w:t>
    </w:r>
  </w:p>
  <w:p w14:paraId="013F4CD4" w14:textId="77777777" w:rsidR="00CF17DE" w:rsidRDefault="00CF1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hybridMultilevel"/>
    <w:tmpl w:val="0409000F"/>
    <w:lvl w:ilvl="0" w:tplc="28A22846">
      <w:start w:val="1"/>
      <w:numFmt w:val="decimal"/>
      <w:lvlText w:val="%1."/>
      <w:lvlJc w:val="left"/>
      <w:pPr>
        <w:tabs>
          <w:tab w:val="num" w:pos="360"/>
        </w:tabs>
        <w:ind w:left="360" w:hanging="360"/>
      </w:pPr>
    </w:lvl>
    <w:lvl w:ilvl="1" w:tplc="4F083E7A">
      <w:numFmt w:val="decimal"/>
      <w:lvlText w:val=""/>
      <w:lvlJc w:val="left"/>
    </w:lvl>
    <w:lvl w:ilvl="2" w:tplc="47C85A20">
      <w:numFmt w:val="decimal"/>
      <w:lvlText w:val=""/>
      <w:lvlJc w:val="left"/>
    </w:lvl>
    <w:lvl w:ilvl="3" w:tplc="F0348562">
      <w:numFmt w:val="decimal"/>
      <w:lvlText w:val=""/>
      <w:lvlJc w:val="left"/>
    </w:lvl>
    <w:lvl w:ilvl="4" w:tplc="A2D8A67E">
      <w:numFmt w:val="decimal"/>
      <w:lvlText w:val=""/>
      <w:lvlJc w:val="left"/>
    </w:lvl>
    <w:lvl w:ilvl="5" w:tplc="CF8E1EDA">
      <w:numFmt w:val="decimal"/>
      <w:lvlText w:val=""/>
      <w:lvlJc w:val="left"/>
    </w:lvl>
    <w:lvl w:ilvl="6" w:tplc="F5021964">
      <w:numFmt w:val="decimal"/>
      <w:lvlText w:val=""/>
      <w:lvlJc w:val="left"/>
    </w:lvl>
    <w:lvl w:ilvl="7" w:tplc="56C0950C">
      <w:numFmt w:val="decimal"/>
      <w:lvlText w:val=""/>
      <w:lvlJc w:val="left"/>
    </w:lvl>
    <w:lvl w:ilvl="8" w:tplc="8DAC735C">
      <w:numFmt w:val="decimal"/>
      <w:lvlText w:val=""/>
      <w:lvlJc w:val="left"/>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FDAE7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3E2084"/>
    <w:multiLevelType w:val="hybridMultilevel"/>
    <w:tmpl w:val="4F3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40A5DC6"/>
    <w:multiLevelType w:val="hybridMultilevel"/>
    <w:tmpl w:val="971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565C7"/>
    <w:multiLevelType w:val="hybridMultilevel"/>
    <w:tmpl w:val="B4D29030"/>
    <w:lvl w:ilvl="0" w:tplc="B0BA4286">
      <w:start w:val="1"/>
      <w:numFmt w:val="decimal"/>
      <w:lvlText w:val="%1."/>
      <w:lvlJc w:val="left"/>
      <w:pPr>
        <w:tabs>
          <w:tab w:val="num" w:pos="420"/>
        </w:tabs>
        <w:ind w:left="420" w:hanging="420"/>
      </w:pPr>
      <w:rPr>
        <w:rFonts w:hint="default"/>
      </w:rPr>
    </w:lvl>
    <w:lvl w:ilvl="1" w:tplc="980EE42A">
      <w:numFmt w:val="decimal"/>
      <w:lvlText w:val=""/>
      <w:lvlJc w:val="left"/>
    </w:lvl>
    <w:lvl w:ilvl="2" w:tplc="A302F6E0">
      <w:numFmt w:val="decimal"/>
      <w:lvlText w:val=""/>
      <w:lvlJc w:val="left"/>
    </w:lvl>
    <w:lvl w:ilvl="3" w:tplc="815AE59C">
      <w:numFmt w:val="decimal"/>
      <w:lvlText w:val=""/>
      <w:lvlJc w:val="left"/>
    </w:lvl>
    <w:lvl w:ilvl="4" w:tplc="1C66C80A">
      <w:numFmt w:val="decimal"/>
      <w:lvlText w:val=""/>
      <w:lvlJc w:val="left"/>
    </w:lvl>
    <w:lvl w:ilvl="5" w:tplc="D90AF118">
      <w:numFmt w:val="decimal"/>
      <w:lvlText w:val=""/>
      <w:lvlJc w:val="left"/>
    </w:lvl>
    <w:lvl w:ilvl="6" w:tplc="AC746574">
      <w:numFmt w:val="decimal"/>
      <w:lvlText w:val=""/>
      <w:lvlJc w:val="left"/>
    </w:lvl>
    <w:lvl w:ilvl="7" w:tplc="728E44AE">
      <w:numFmt w:val="decimal"/>
      <w:lvlText w:val=""/>
      <w:lvlJc w:val="left"/>
    </w:lvl>
    <w:lvl w:ilvl="8" w:tplc="16D66D76">
      <w:numFmt w:val="decimal"/>
      <w:lvlText w:val=""/>
      <w:lvlJc w:val="left"/>
    </w:lvl>
  </w:abstractNum>
  <w:abstractNum w:abstractNumId="10"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2982"/>
    <w:multiLevelType w:val="hybridMultilevel"/>
    <w:tmpl w:val="17265A8C"/>
    <w:lvl w:ilvl="0" w:tplc="EF52CF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FF50AE"/>
    <w:multiLevelType w:val="hybridMultilevel"/>
    <w:tmpl w:val="FBB01244"/>
    <w:lvl w:ilvl="0" w:tplc="EF52CF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7C4C1F"/>
    <w:multiLevelType w:val="hybridMultilevel"/>
    <w:tmpl w:val="0A0830A0"/>
    <w:lvl w:ilvl="0" w:tplc="90AEE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2"/>
  </w:num>
  <w:num w:numId="6">
    <w:abstractNumId w:val="5"/>
  </w:num>
  <w:num w:numId="7">
    <w:abstractNumId w:val="14"/>
  </w:num>
  <w:num w:numId="8">
    <w:abstractNumId w:val="16"/>
  </w:num>
  <w:num w:numId="9">
    <w:abstractNumId w:val="3"/>
  </w:num>
  <w:num w:numId="10">
    <w:abstractNumId w:val="10"/>
  </w:num>
  <w:num w:numId="11">
    <w:abstractNumId w:val="0"/>
  </w:num>
  <w:num w:numId="12">
    <w:abstractNumId w:val="13"/>
  </w:num>
  <w:num w:numId="13">
    <w:abstractNumId w:val="11"/>
  </w:num>
  <w:num w:numId="14">
    <w:abstractNumId w:val="8"/>
  </w:num>
  <w:num w:numId="15">
    <w:abstractNumId w:val="15"/>
  </w:num>
  <w:num w:numId="16">
    <w:abstractNumId w:val="12"/>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12D"/>
    <w:rsid w:val="00000349"/>
    <w:rsid w:val="000004E5"/>
    <w:rsid w:val="000006B2"/>
    <w:rsid w:val="00000DEF"/>
    <w:rsid w:val="00000FF8"/>
    <w:rsid w:val="00001409"/>
    <w:rsid w:val="00001B36"/>
    <w:rsid w:val="00001DEB"/>
    <w:rsid w:val="0000490A"/>
    <w:rsid w:val="00004E57"/>
    <w:rsid w:val="00005374"/>
    <w:rsid w:val="000055F5"/>
    <w:rsid w:val="00005793"/>
    <w:rsid w:val="00006E5E"/>
    <w:rsid w:val="00007026"/>
    <w:rsid w:val="00007061"/>
    <w:rsid w:val="000076C7"/>
    <w:rsid w:val="000104D9"/>
    <w:rsid w:val="00012352"/>
    <w:rsid w:val="00012D45"/>
    <w:rsid w:val="00013CAE"/>
    <w:rsid w:val="00014215"/>
    <w:rsid w:val="00014E6B"/>
    <w:rsid w:val="00015EA0"/>
    <w:rsid w:val="00015FD4"/>
    <w:rsid w:val="00016800"/>
    <w:rsid w:val="00016C41"/>
    <w:rsid w:val="00020AD2"/>
    <w:rsid w:val="00020CA7"/>
    <w:rsid w:val="00021047"/>
    <w:rsid w:val="00021231"/>
    <w:rsid w:val="000222C5"/>
    <w:rsid w:val="000238F0"/>
    <w:rsid w:val="0002426C"/>
    <w:rsid w:val="00024C89"/>
    <w:rsid w:val="0002516C"/>
    <w:rsid w:val="00025211"/>
    <w:rsid w:val="0002552D"/>
    <w:rsid w:val="000256D5"/>
    <w:rsid w:val="00025975"/>
    <w:rsid w:val="00025B76"/>
    <w:rsid w:val="00027438"/>
    <w:rsid w:val="00027737"/>
    <w:rsid w:val="00027AB8"/>
    <w:rsid w:val="00027FBB"/>
    <w:rsid w:val="00031460"/>
    <w:rsid w:val="00031468"/>
    <w:rsid w:val="000317DB"/>
    <w:rsid w:val="00032603"/>
    <w:rsid w:val="000331A5"/>
    <w:rsid w:val="00035403"/>
    <w:rsid w:val="00035F48"/>
    <w:rsid w:val="00037A12"/>
    <w:rsid w:val="00037FCA"/>
    <w:rsid w:val="00040C15"/>
    <w:rsid w:val="00041934"/>
    <w:rsid w:val="00041D84"/>
    <w:rsid w:val="00042201"/>
    <w:rsid w:val="000422EA"/>
    <w:rsid w:val="00042CC7"/>
    <w:rsid w:val="00042D90"/>
    <w:rsid w:val="00042EF8"/>
    <w:rsid w:val="000430BD"/>
    <w:rsid w:val="00043B56"/>
    <w:rsid w:val="00044698"/>
    <w:rsid w:val="00044F2B"/>
    <w:rsid w:val="00045518"/>
    <w:rsid w:val="00045F70"/>
    <w:rsid w:val="000460C8"/>
    <w:rsid w:val="00047DCA"/>
    <w:rsid w:val="000505CC"/>
    <w:rsid w:val="00050706"/>
    <w:rsid w:val="00050735"/>
    <w:rsid w:val="00050F79"/>
    <w:rsid w:val="00053289"/>
    <w:rsid w:val="000536D5"/>
    <w:rsid w:val="00054AAB"/>
    <w:rsid w:val="00054BB1"/>
    <w:rsid w:val="00055022"/>
    <w:rsid w:val="00055467"/>
    <w:rsid w:val="00055525"/>
    <w:rsid w:val="00055531"/>
    <w:rsid w:val="00056937"/>
    <w:rsid w:val="00057AFC"/>
    <w:rsid w:val="00057B26"/>
    <w:rsid w:val="00060735"/>
    <w:rsid w:val="00061A7A"/>
    <w:rsid w:val="00062157"/>
    <w:rsid w:val="00063225"/>
    <w:rsid w:val="000650B3"/>
    <w:rsid w:val="000654E4"/>
    <w:rsid w:val="000660DF"/>
    <w:rsid w:val="000666D1"/>
    <w:rsid w:val="00066874"/>
    <w:rsid w:val="000668EC"/>
    <w:rsid w:val="00067357"/>
    <w:rsid w:val="00067C85"/>
    <w:rsid w:val="000701D1"/>
    <w:rsid w:val="00070659"/>
    <w:rsid w:val="00070EE6"/>
    <w:rsid w:val="000722C8"/>
    <w:rsid w:val="00072BDF"/>
    <w:rsid w:val="00073313"/>
    <w:rsid w:val="00073B9B"/>
    <w:rsid w:val="0007456D"/>
    <w:rsid w:val="00075759"/>
    <w:rsid w:val="00075A65"/>
    <w:rsid w:val="000763BD"/>
    <w:rsid w:val="00076A28"/>
    <w:rsid w:val="00077396"/>
    <w:rsid w:val="00080706"/>
    <w:rsid w:val="00081112"/>
    <w:rsid w:val="00082142"/>
    <w:rsid w:val="000822B5"/>
    <w:rsid w:val="000827AF"/>
    <w:rsid w:val="00083D88"/>
    <w:rsid w:val="00084E71"/>
    <w:rsid w:val="00084FDB"/>
    <w:rsid w:val="0008567A"/>
    <w:rsid w:val="000857EF"/>
    <w:rsid w:val="00086053"/>
    <w:rsid w:val="000870B1"/>
    <w:rsid w:val="00087AED"/>
    <w:rsid w:val="00087EB0"/>
    <w:rsid w:val="00090168"/>
    <w:rsid w:val="00090457"/>
    <w:rsid w:val="00090C51"/>
    <w:rsid w:val="00091535"/>
    <w:rsid w:val="00091623"/>
    <w:rsid w:val="000918AA"/>
    <w:rsid w:val="000922F9"/>
    <w:rsid w:val="00093514"/>
    <w:rsid w:val="0009396C"/>
    <w:rsid w:val="00093E22"/>
    <w:rsid w:val="00094056"/>
    <w:rsid w:val="00094602"/>
    <w:rsid w:val="00094951"/>
    <w:rsid w:val="00094F74"/>
    <w:rsid w:val="00096D48"/>
    <w:rsid w:val="000A1408"/>
    <w:rsid w:val="000A240B"/>
    <w:rsid w:val="000A35DA"/>
    <w:rsid w:val="000A3DF8"/>
    <w:rsid w:val="000A4322"/>
    <w:rsid w:val="000A47FE"/>
    <w:rsid w:val="000A592B"/>
    <w:rsid w:val="000A5FA3"/>
    <w:rsid w:val="000A68E7"/>
    <w:rsid w:val="000A6FF9"/>
    <w:rsid w:val="000B0346"/>
    <w:rsid w:val="000B039D"/>
    <w:rsid w:val="000B1792"/>
    <w:rsid w:val="000B1A90"/>
    <w:rsid w:val="000B24BD"/>
    <w:rsid w:val="000B2607"/>
    <w:rsid w:val="000B31CE"/>
    <w:rsid w:val="000B335D"/>
    <w:rsid w:val="000B5D11"/>
    <w:rsid w:val="000B6AEF"/>
    <w:rsid w:val="000B6C9F"/>
    <w:rsid w:val="000B6FC6"/>
    <w:rsid w:val="000C1054"/>
    <w:rsid w:val="000C293F"/>
    <w:rsid w:val="000C305E"/>
    <w:rsid w:val="000C3688"/>
    <w:rsid w:val="000C4581"/>
    <w:rsid w:val="000C4DC7"/>
    <w:rsid w:val="000C4E41"/>
    <w:rsid w:val="000C572E"/>
    <w:rsid w:val="000C5D9F"/>
    <w:rsid w:val="000C7367"/>
    <w:rsid w:val="000C7CC0"/>
    <w:rsid w:val="000D024C"/>
    <w:rsid w:val="000D1C55"/>
    <w:rsid w:val="000D28AD"/>
    <w:rsid w:val="000D3A75"/>
    <w:rsid w:val="000D3B70"/>
    <w:rsid w:val="000D3DD9"/>
    <w:rsid w:val="000D3FEC"/>
    <w:rsid w:val="000D507D"/>
    <w:rsid w:val="000E0577"/>
    <w:rsid w:val="000E0CE0"/>
    <w:rsid w:val="000E0D9B"/>
    <w:rsid w:val="000E10B9"/>
    <w:rsid w:val="000E1C4C"/>
    <w:rsid w:val="000E2065"/>
    <w:rsid w:val="000E2175"/>
    <w:rsid w:val="000E219C"/>
    <w:rsid w:val="000E2830"/>
    <w:rsid w:val="000E48F6"/>
    <w:rsid w:val="000E616C"/>
    <w:rsid w:val="000E7624"/>
    <w:rsid w:val="000E7E4B"/>
    <w:rsid w:val="000F07ED"/>
    <w:rsid w:val="000F0ACB"/>
    <w:rsid w:val="000F122D"/>
    <w:rsid w:val="000F2519"/>
    <w:rsid w:val="000F3807"/>
    <w:rsid w:val="000F4407"/>
    <w:rsid w:val="000F578B"/>
    <w:rsid w:val="000F590C"/>
    <w:rsid w:val="000F6227"/>
    <w:rsid w:val="000F65AB"/>
    <w:rsid w:val="000F778A"/>
    <w:rsid w:val="000F783C"/>
    <w:rsid w:val="000F7982"/>
    <w:rsid w:val="000F7A04"/>
    <w:rsid w:val="00100EB7"/>
    <w:rsid w:val="00101439"/>
    <w:rsid w:val="0010295C"/>
    <w:rsid w:val="0010309D"/>
    <w:rsid w:val="00103460"/>
    <w:rsid w:val="001039B5"/>
    <w:rsid w:val="00104065"/>
    <w:rsid w:val="00104F07"/>
    <w:rsid w:val="0010534E"/>
    <w:rsid w:val="00105392"/>
    <w:rsid w:val="001053C3"/>
    <w:rsid w:val="00106FBB"/>
    <w:rsid w:val="00110815"/>
    <w:rsid w:val="001111CC"/>
    <w:rsid w:val="00113123"/>
    <w:rsid w:val="00113599"/>
    <w:rsid w:val="00114390"/>
    <w:rsid w:val="00114DB7"/>
    <w:rsid w:val="00115147"/>
    <w:rsid w:val="0011537A"/>
    <w:rsid w:val="001156CE"/>
    <w:rsid w:val="00115785"/>
    <w:rsid w:val="00116346"/>
    <w:rsid w:val="00116824"/>
    <w:rsid w:val="00116B4B"/>
    <w:rsid w:val="00116C86"/>
    <w:rsid w:val="00116D5B"/>
    <w:rsid w:val="00117D3F"/>
    <w:rsid w:val="001202C6"/>
    <w:rsid w:val="00120442"/>
    <w:rsid w:val="00120E96"/>
    <w:rsid w:val="0012270B"/>
    <w:rsid w:val="0012293F"/>
    <w:rsid w:val="001234F5"/>
    <w:rsid w:val="00123BA7"/>
    <w:rsid w:val="00124572"/>
    <w:rsid w:val="00124C83"/>
    <w:rsid w:val="001253BB"/>
    <w:rsid w:val="001267E4"/>
    <w:rsid w:val="0012692C"/>
    <w:rsid w:val="00126FFA"/>
    <w:rsid w:val="00127495"/>
    <w:rsid w:val="001275C3"/>
    <w:rsid w:val="0013055C"/>
    <w:rsid w:val="00130CC4"/>
    <w:rsid w:val="001317D4"/>
    <w:rsid w:val="00132DA3"/>
    <w:rsid w:val="00133619"/>
    <w:rsid w:val="00134037"/>
    <w:rsid w:val="00135116"/>
    <w:rsid w:val="001352C6"/>
    <w:rsid w:val="00135382"/>
    <w:rsid w:val="0013597D"/>
    <w:rsid w:val="00135C48"/>
    <w:rsid w:val="00135E40"/>
    <w:rsid w:val="0013646B"/>
    <w:rsid w:val="001366EF"/>
    <w:rsid w:val="00137659"/>
    <w:rsid w:val="001404D5"/>
    <w:rsid w:val="001407DA"/>
    <w:rsid w:val="001429EF"/>
    <w:rsid w:val="00142CCE"/>
    <w:rsid w:val="00142FB8"/>
    <w:rsid w:val="00142FBB"/>
    <w:rsid w:val="00143558"/>
    <w:rsid w:val="00144AB5"/>
    <w:rsid w:val="00144FDA"/>
    <w:rsid w:val="0014500B"/>
    <w:rsid w:val="00145774"/>
    <w:rsid w:val="00145EE8"/>
    <w:rsid w:val="00146179"/>
    <w:rsid w:val="001467B3"/>
    <w:rsid w:val="001468B3"/>
    <w:rsid w:val="001468ED"/>
    <w:rsid w:val="00147DB5"/>
    <w:rsid w:val="0015072E"/>
    <w:rsid w:val="00151513"/>
    <w:rsid w:val="00151AAD"/>
    <w:rsid w:val="00151BFE"/>
    <w:rsid w:val="0015271E"/>
    <w:rsid w:val="00152A3F"/>
    <w:rsid w:val="00152E7F"/>
    <w:rsid w:val="00152FFB"/>
    <w:rsid w:val="00153D72"/>
    <w:rsid w:val="001540E8"/>
    <w:rsid w:val="00160101"/>
    <w:rsid w:val="00162015"/>
    <w:rsid w:val="00162058"/>
    <w:rsid w:val="00162703"/>
    <w:rsid w:val="00163557"/>
    <w:rsid w:val="001642CC"/>
    <w:rsid w:val="00164CDF"/>
    <w:rsid w:val="00165227"/>
    <w:rsid w:val="00165280"/>
    <w:rsid w:val="00167113"/>
    <w:rsid w:val="00167474"/>
    <w:rsid w:val="00167E57"/>
    <w:rsid w:val="00167EF2"/>
    <w:rsid w:val="00170104"/>
    <w:rsid w:val="001718C6"/>
    <w:rsid w:val="0017203B"/>
    <w:rsid w:val="00172808"/>
    <w:rsid w:val="001730C0"/>
    <w:rsid w:val="00173CCF"/>
    <w:rsid w:val="00174AC1"/>
    <w:rsid w:val="001752E1"/>
    <w:rsid w:val="00175A59"/>
    <w:rsid w:val="00175E94"/>
    <w:rsid w:val="001760C2"/>
    <w:rsid w:val="00176AD9"/>
    <w:rsid w:val="0017768B"/>
    <w:rsid w:val="0017769A"/>
    <w:rsid w:val="00177C82"/>
    <w:rsid w:val="0017E6BE"/>
    <w:rsid w:val="00180F13"/>
    <w:rsid w:val="00181012"/>
    <w:rsid w:val="00181D4A"/>
    <w:rsid w:val="00183226"/>
    <w:rsid w:val="001840F2"/>
    <w:rsid w:val="00184455"/>
    <w:rsid w:val="00184491"/>
    <w:rsid w:val="001851C1"/>
    <w:rsid w:val="00185AED"/>
    <w:rsid w:val="0018621E"/>
    <w:rsid w:val="00186C6B"/>
    <w:rsid w:val="00187209"/>
    <w:rsid w:val="00187B1C"/>
    <w:rsid w:val="00190090"/>
    <w:rsid w:val="0019026B"/>
    <w:rsid w:val="001903FF"/>
    <w:rsid w:val="00191139"/>
    <w:rsid w:val="0019125A"/>
    <w:rsid w:val="001915E9"/>
    <w:rsid w:val="00191662"/>
    <w:rsid w:val="00191823"/>
    <w:rsid w:val="00192865"/>
    <w:rsid w:val="00193FAD"/>
    <w:rsid w:val="00194B59"/>
    <w:rsid w:val="00194D0F"/>
    <w:rsid w:val="00195E20"/>
    <w:rsid w:val="00197939"/>
    <w:rsid w:val="00197989"/>
    <w:rsid w:val="0019C011"/>
    <w:rsid w:val="001A19FD"/>
    <w:rsid w:val="001A1A8F"/>
    <w:rsid w:val="001A451E"/>
    <w:rsid w:val="001A5115"/>
    <w:rsid w:val="001A54C7"/>
    <w:rsid w:val="001A5BFD"/>
    <w:rsid w:val="001A6CA8"/>
    <w:rsid w:val="001A76AB"/>
    <w:rsid w:val="001A7BF9"/>
    <w:rsid w:val="001ADF51"/>
    <w:rsid w:val="001B0376"/>
    <w:rsid w:val="001B0592"/>
    <w:rsid w:val="001B0DCE"/>
    <w:rsid w:val="001B1C40"/>
    <w:rsid w:val="001B2241"/>
    <w:rsid w:val="001B2716"/>
    <w:rsid w:val="001B3018"/>
    <w:rsid w:val="001B3059"/>
    <w:rsid w:val="001B31B8"/>
    <w:rsid w:val="001B3A1F"/>
    <w:rsid w:val="001B4E95"/>
    <w:rsid w:val="001B5617"/>
    <w:rsid w:val="001B56EE"/>
    <w:rsid w:val="001B7837"/>
    <w:rsid w:val="001B7A50"/>
    <w:rsid w:val="001C08FF"/>
    <w:rsid w:val="001C171D"/>
    <w:rsid w:val="001C19B6"/>
    <w:rsid w:val="001C1E40"/>
    <w:rsid w:val="001C358F"/>
    <w:rsid w:val="001C43E8"/>
    <w:rsid w:val="001C55C5"/>
    <w:rsid w:val="001C6B38"/>
    <w:rsid w:val="001D08C3"/>
    <w:rsid w:val="001D29B6"/>
    <w:rsid w:val="001D40AC"/>
    <w:rsid w:val="001D5190"/>
    <w:rsid w:val="001D585C"/>
    <w:rsid w:val="001D6AC0"/>
    <w:rsid w:val="001D6EAB"/>
    <w:rsid w:val="001D6F60"/>
    <w:rsid w:val="001D7029"/>
    <w:rsid w:val="001D72EE"/>
    <w:rsid w:val="001D77B2"/>
    <w:rsid w:val="001E09CC"/>
    <w:rsid w:val="001E118D"/>
    <w:rsid w:val="001E181A"/>
    <w:rsid w:val="001E1A32"/>
    <w:rsid w:val="001E2702"/>
    <w:rsid w:val="001E3843"/>
    <w:rsid w:val="001E3FE9"/>
    <w:rsid w:val="001E4545"/>
    <w:rsid w:val="001E6816"/>
    <w:rsid w:val="001F026D"/>
    <w:rsid w:val="001F20CC"/>
    <w:rsid w:val="001F3D5E"/>
    <w:rsid w:val="001F4739"/>
    <w:rsid w:val="001F47DC"/>
    <w:rsid w:val="001F5325"/>
    <w:rsid w:val="001F558F"/>
    <w:rsid w:val="001F5A12"/>
    <w:rsid w:val="001F5E17"/>
    <w:rsid w:val="001F6116"/>
    <w:rsid w:val="001F646E"/>
    <w:rsid w:val="001F682C"/>
    <w:rsid w:val="001F6879"/>
    <w:rsid w:val="001F6AC9"/>
    <w:rsid w:val="001F710E"/>
    <w:rsid w:val="00202DC5"/>
    <w:rsid w:val="002031CB"/>
    <w:rsid w:val="002044E1"/>
    <w:rsid w:val="00204AC6"/>
    <w:rsid w:val="00204CD4"/>
    <w:rsid w:val="002050E3"/>
    <w:rsid w:val="00205E9D"/>
    <w:rsid w:val="0020623E"/>
    <w:rsid w:val="00206A26"/>
    <w:rsid w:val="00206AF9"/>
    <w:rsid w:val="0020749C"/>
    <w:rsid w:val="00207879"/>
    <w:rsid w:val="002078F5"/>
    <w:rsid w:val="00211727"/>
    <w:rsid w:val="00211D10"/>
    <w:rsid w:val="002120A7"/>
    <w:rsid w:val="002120C5"/>
    <w:rsid w:val="00213791"/>
    <w:rsid w:val="00213C91"/>
    <w:rsid w:val="002141BE"/>
    <w:rsid w:val="00214920"/>
    <w:rsid w:val="00215110"/>
    <w:rsid w:val="0021515D"/>
    <w:rsid w:val="0021681B"/>
    <w:rsid w:val="0021688F"/>
    <w:rsid w:val="00216E2F"/>
    <w:rsid w:val="00216EC9"/>
    <w:rsid w:val="00217D2B"/>
    <w:rsid w:val="00220CAE"/>
    <w:rsid w:val="002210E5"/>
    <w:rsid w:val="00221768"/>
    <w:rsid w:val="00225681"/>
    <w:rsid w:val="00225882"/>
    <w:rsid w:val="0022680A"/>
    <w:rsid w:val="002306CA"/>
    <w:rsid w:val="002307F5"/>
    <w:rsid w:val="00230E93"/>
    <w:rsid w:val="002310A9"/>
    <w:rsid w:val="00235AEA"/>
    <w:rsid w:val="00235D2D"/>
    <w:rsid w:val="00236DEB"/>
    <w:rsid w:val="00240FFD"/>
    <w:rsid w:val="00241190"/>
    <w:rsid w:val="0024315B"/>
    <w:rsid w:val="002431F1"/>
    <w:rsid w:val="00243557"/>
    <w:rsid w:val="00243656"/>
    <w:rsid w:val="00243AEC"/>
    <w:rsid w:val="002442AC"/>
    <w:rsid w:val="0024459D"/>
    <w:rsid w:val="00244832"/>
    <w:rsid w:val="00244A55"/>
    <w:rsid w:val="00245FC4"/>
    <w:rsid w:val="0024645E"/>
    <w:rsid w:val="00246935"/>
    <w:rsid w:val="00246F3C"/>
    <w:rsid w:val="00247D2A"/>
    <w:rsid w:val="0025096A"/>
    <w:rsid w:val="002511D4"/>
    <w:rsid w:val="00251634"/>
    <w:rsid w:val="00251894"/>
    <w:rsid w:val="00251E32"/>
    <w:rsid w:val="0025260A"/>
    <w:rsid w:val="00252ADE"/>
    <w:rsid w:val="00252BC4"/>
    <w:rsid w:val="0025517C"/>
    <w:rsid w:val="002575C9"/>
    <w:rsid w:val="00257751"/>
    <w:rsid w:val="002607DB"/>
    <w:rsid w:val="00260BC0"/>
    <w:rsid w:val="00261573"/>
    <w:rsid w:val="002619F0"/>
    <w:rsid w:val="002622B9"/>
    <w:rsid w:val="002637C2"/>
    <w:rsid w:val="002642E9"/>
    <w:rsid w:val="00265732"/>
    <w:rsid w:val="0026592D"/>
    <w:rsid w:val="00265A77"/>
    <w:rsid w:val="0026605F"/>
    <w:rsid w:val="002667C2"/>
    <w:rsid w:val="00267687"/>
    <w:rsid w:val="002706B9"/>
    <w:rsid w:val="00271730"/>
    <w:rsid w:val="002723F7"/>
    <w:rsid w:val="002727F3"/>
    <w:rsid w:val="00272BC5"/>
    <w:rsid w:val="00272E7B"/>
    <w:rsid w:val="00273C31"/>
    <w:rsid w:val="00273D3D"/>
    <w:rsid w:val="002742B9"/>
    <w:rsid w:val="00274910"/>
    <w:rsid w:val="002753D3"/>
    <w:rsid w:val="00276ADA"/>
    <w:rsid w:val="00277791"/>
    <w:rsid w:val="00277CAA"/>
    <w:rsid w:val="0027D731"/>
    <w:rsid w:val="00280FCC"/>
    <w:rsid w:val="00282D87"/>
    <w:rsid w:val="00282F64"/>
    <w:rsid w:val="00283701"/>
    <w:rsid w:val="002845FA"/>
    <w:rsid w:val="00284755"/>
    <w:rsid w:val="00285271"/>
    <w:rsid w:val="00285C7B"/>
    <w:rsid w:val="0028622B"/>
    <w:rsid w:val="002864B9"/>
    <w:rsid w:val="00290379"/>
    <w:rsid w:val="00291013"/>
    <w:rsid w:val="00291F34"/>
    <w:rsid w:val="002921F5"/>
    <w:rsid w:val="00294052"/>
    <w:rsid w:val="00294A64"/>
    <w:rsid w:val="00295DFC"/>
    <w:rsid w:val="002979EC"/>
    <w:rsid w:val="002A0804"/>
    <w:rsid w:val="002A0F0E"/>
    <w:rsid w:val="002A1843"/>
    <w:rsid w:val="002A3430"/>
    <w:rsid w:val="002A349B"/>
    <w:rsid w:val="002A4187"/>
    <w:rsid w:val="002A42DD"/>
    <w:rsid w:val="002A5C55"/>
    <w:rsid w:val="002A66EC"/>
    <w:rsid w:val="002A75BB"/>
    <w:rsid w:val="002A7809"/>
    <w:rsid w:val="002B036A"/>
    <w:rsid w:val="002B03C4"/>
    <w:rsid w:val="002B0C01"/>
    <w:rsid w:val="002B18A6"/>
    <w:rsid w:val="002B19B1"/>
    <w:rsid w:val="002B1A27"/>
    <w:rsid w:val="002B1A6D"/>
    <w:rsid w:val="002B2445"/>
    <w:rsid w:val="002B2616"/>
    <w:rsid w:val="002B3034"/>
    <w:rsid w:val="002B5291"/>
    <w:rsid w:val="002B6698"/>
    <w:rsid w:val="002B69E5"/>
    <w:rsid w:val="002B6B5F"/>
    <w:rsid w:val="002C0252"/>
    <w:rsid w:val="002C03DB"/>
    <w:rsid w:val="002C2783"/>
    <w:rsid w:val="002C2796"/>
    <w:rsid w:val="002C2A21"/>
    <w:rsid w:val="002C42E0"/>
    <w:rsid w:val="002C464E"/>
    <w:rsid w:val="002C50E7"/>
    <w:rsid w:val="002C56DA"/>
    <w:rsid w:val="002C7E8F"/>
    <w:rsid w:val="002D1DEA"/>
    <w:rsid w:val="002D2362"/>
    <w:rsid w:val="002D28EB"/>
    <w:rsid w:val="002D2E37"/>
    <w:rsid w:val="002D32C5"/>
    <w:rsid w:val="002D3D8A"/>
    <w:rsid w:val="002D6758"/>
    <w:rsid w:val="002D6C31"/>
    <w:rsid w:val="002D739A"/>
    <w:rsid w:val="002E02A2"/>
    <w:rsid w:val="002E1BE4"/>
    <w:rsid w:val="002E1E3C"/>
    <w:rsid w:val="002E25F1"/>
    <w:rsid w:val="002E262A"/>
    <w:rsid w:val="002E28E4"/>
    <w:rsid w:val="002E2B1B"/>
    <w:rsid w:val="002E39F9"/>
    <w:rsid w:val="002E3F01"/>
    <w:rsid w:val="002E42B6"/>
    <w:rsid w:val="002E4415"/>
    <w:rsid w:val="002E49D6"/>
    <w:rsid w:val="002E500A"/>
    <w:rsid w:val="002E6BC2"/>
    <w:rsid w:val="002E736C"/>
    <w:rsid w:val="002F09CD"/>
    <w:rsid w:val="002F0BCA"/>
    <w:rsid w:val="002F1312"/>
    <w:rsid w:val="002F1426"/>
    <w:rsid w:val="002F2067"/>
    <w:rsid w:val="002F33E2"/>
    <w:rsid w:val="002F40C1"/>
    <w:rsid w:val="002F43F0"/>
    <w:rsid w:val="002F5DCD"/>
    <w:rsid w:val="002F6522"/>
    <w:rsid w:val="002F6613"/>
    <w:rsid w:val="002F6E97"/>
    <w:rsid w:val="002F730F"/>
    <w:rsid w:val="003005EC"/>
    <w:rsid w:val="00300BD3"/>
    <w:rsid w:val="003021C7"/>
    <w:rsid w:val="00303190"/>
    <w:rsid w:val="003034DC"/>
    <w:rsid w:val="00303863"/>
    <w:rsid w:val="00304844"/>
    <w:rsid w:val="003059B2"/>
    <w:rsid w:val="00307752"/>
    <w:rsid w:val="00307B26"/>
    <w:rsid w:val="0030EB18"/>
    <w:rsid w:val="00310185"/>
    <w:rsid w:val="00310771"/>
    <w:rsid w:val="00310B83"/>
    <w:rsid w:val="00311692"/>
    <w:rsid w:val="003117FC"/>
    <w:rsid w:val="003121AE"/>
    <w:rsid w:val="003125BA"/>
    <w:rsid w:val="003130C2"/>
    <w:rsid w:val="00313B49"/>
    <w:rsid w:val="00314421"/>
    <w:rsid w:val="00314967"/>
    <w:rsid w:val="00314B76"/>
    <w:rsid w:val="0031515C"/>
    <w:rsid w:val="00315BCB"/>
    <w:rsid w:val="00321570"/>
    <w:rsid w:val="00321911"/>
    <w:rsid w:val="00322DC2"/>
    <w:rsid w:val="00323F64"/>
    <w:rsid w:val="00324C36"/>
    <w:rsid w:val="00324E8C"/>
    <w:rsid w:val="00324EBC"/>
    <w:rsid w:val="00325A60"/>
    <w:rsid w:val="00325C09"/>
    <w:rsid w:val="00326046"/>
    <w:rsid w:val="003260C7"/>
    <w:rsid w:val="0032672A"/>
    <w:rsid w:val="00327414"/>
    <w:rsid w:val="00330164"/>
    <w:rsid w:val="00330DD0"/>
    <w:rsid w:val="00330F0A"/>
    <w:rsid w:val="00330FB6"/>
    <w:rsid w:val="003325C2"/>
    <w:rsid w:val="00333DD7"/>
    <w:rsid w:val="00333E95"/>
    <w:rsid w:val="0033592F"/>
    <w:rsid w:val="00335A7C"/>
    <w:rsid w:val="00335B27"/>
    <w:rsid w:val="00335B4B"/>
    <w:rsid w:val="00340CD2"/>
    <w:rsid w:val="003425F4"/>
    <w:rsid w:val="00344D46"/>
    <w:rsid w:val="003453C8"/>
    <w:rsid w:val="00345CD6"/>
    <w:rsid w:val="003468F5"/>
    <w:rsid w:val="00347C99"/>
    <w:rsid w:val="00350B31"/>
    <w:rsid w:val="003512F1"/>
    <w:rsid w:val="0035203C"/>
    <w:rsid w:val="00352075"/>
    <w:rsid w:val="003545D5"/>
    <w:rsid w:val="00354916"/>
    <w:rsid w:val="00354DB5"/>
    <w:rsid w:val="003569FB"/>
    <w:rsid w:val="00357616"/>
    <w:rsid w:val="00357BC8"/>
    <w:rsid w:val="0036071E"/>
    <w:rsid w:val="00361008"/>
    <w:rsid w:val="00361B82"/>
    <w:rsid w:val="00361DCF"/>
    <w:rsid w:val="003627C0"/>
    <w:rsid w:val="00362AC1"/>
    <w:rsid w:val="00363587"/>
    <w:rsid w:val="0036394A"/>
    <w:rsid w:val="00364674"/>
    <w:rsid w:val="00364952"/>
    <w:rsid w:val="003677EC"/>
    <w:rsid w:val="0037026B"/>
    <w:rsid w:val="003706EF"/>
    <w:rsid w:val="00370937"/>
    <w:rsid w:val="003711E0"/>
    <w:rsid w:val="0037149A"/>
    <w:rsid w:val="0037243E"/>
    <w:rsid w:val="00373307"/>
    <w:rsid w:val="00373E35"/>
    <w:rsid w:val="0037463F"/>
    <w:rsid w:val="003759AA"/>
    <w:rsid w:val="00376234"/>
    <w:rsid w:val="003763C4"/>
    <w:rsid w:val="00376D1E"/>
    <w:rsid w:val="003774F8"/>
    <w:rsid w:val="00377855"/>
    <w:rsid w:val="0037786B"/>
    <w:rsid w:val="00380004"/>
    <w:rsid w:val="00380D48"/>
    <w:rsid w:val="00380F2B"/>
    <w:rsid w:val="00382252"/>
    <w:rsid w:val="00382F7E"/>
    <w:rsid w:val="00385521"/>
    <w:rsid w:val="003862D9"/>
    <w:rsid w:val="0038666A"/>
    <w:rsid w:val="00391262"/>
    <w:rsid w:val="0039144A"/>
    <w:rsid w:val="00391A60"/>
    <w:rsid w:val="00391D2B"/>
    <w:rsid w:val="00391F34"/>
    <w:rsid w:val="00392BCD"/>
    <w:rsid w:val="003931FA"/>
    <w:rsid w:val="0039362D"/>
    <w:rsid w:val="00393FBD"/>
    <w:rsid w:val="0039404C"/>
    <w:rsid w:val="00394B3A"/>
    <w:rsid w:val="00397FB6"/>
    <w:rsid w:val="003A2385"/>
    <w:rsid w:val="003A2FF5"/>
    <w:rsid w:val="003A42CB"/>
    <w:rsid w:val="003A48B7"/>
    <w:rsid w:val="003A5FA6"/>
    <w:rsid w:val="003A63FE"/>
    <w:rsid w:val="003A6C2D"/>
    <w:rsid w:val="003A738C"/>
    <w:rsid w:val="003A79CB"/>
    <w:rsid w:val="003A7BEE"/>
    <w:rsid w:val="003B01FB"/>
    <w:rsid w:val="003B0810"/>
    <w:rsid w:val="003B13A2"/>
    <w:rsid w:val="003B1839"/>
    <w:rsid w:val="003B1E80"/>
    <w:rsid w:val="003B1ED4"/>
    <w:rsid w:val="003B28DC"/>
    <w:rsid w:val="003B2DC1"/>
    <w:rsid w:val="003B3B17"/>
    <w:rsid w:val="003B48F0"/>
    <w:rsid w:val="003B5300"/>
    <w:rsid w:val="003B5A68"/>
    <w:rsid w:val="003B673B"/>
    <w:rsid w:val="003C04C9"/>
    <w:rsid w:val="003C07A6"/>
    <w:rsid w:val="003C136B"/>
    <w:rsid w:val="003C1638"/>
    <w:rsid w:val="003C17E4"/>
    <w:rsid w:val="003C1C89"/>
    <w:rsid w:val="003C25A2"/>
    <w:rsid w:val="003C25E2"/>
    <w:rsid w:val="003C398A"/>
    <w:rsid w:val="003C5E1F"/>
    <w:rsid w:val="003C66CA"/>
    <w:rsid w:val="003C6C23"/>
    <w:rsid w:val="003C6C6C"/>
    <w:rsid w:val="003C6DCB"/>
    <w:rsid w:val="003C76EC"/>
    <w:rsid w:val="003C776E"/>
    <w:rsid w:val="003D070A"/>
    <w:rsid w:val="003D0F00"/>
    <w:rsid w:val="003D14C0"/>
    <w:rsid w:val="003D16F5"/>
    <w:rsid w:val="003D1A60"/>
    <w:rsid w:val="003D1C30"/>
    <w:rsid w:val="003D20C3"/>
    <w:rsid w:val="003D2E87"/>
    <w:rsid w:val="003D38B2"/>
    <w:rsid w:val="003D3D90"/>
    <w:rsid w:val="003D47F1"/>
    <w:rsid w:val="003D60FF"/>
    <w:rsid w:val="003D691B"/>
    <w:rsid w:val="003D6F99"/>
    <w:rsid w:val="003D6FBE"/>
    <w:rsid w:val="003D78A8"/>
    <w:rsid w:val="003D7994"/>
    <w:rsid w:val="003D7B71"/>
    <w:rsid w:val="003E011E"/>
    <w:rsid w:val="003E0371"/>
    <w:rsid w:val="003E1576"/>
    <w:rsid w:val="003E1697"/>
    <w:rsid w:val="003E2AA5"/>
    <w:rsid w:val="003E4BBD"/>
    <w:rsid w:val="003E6162"/>
    <w:rsid w:val="003E6353"/>
    <w:rsid w:val="003F03CF"/>
    <w:rsid w:val="003F0E84"/>
    <w:rsid w:val="003F17B8"/>
    <w:rsid w:val="003F186F"/>
    <w:rsid w:val="003F1976"/>
    <w:rsid w:val="003F1AAD"/>
    <w:rsid w:val="003F298A"/>
    <w:rsid w:val="003F39EC"/>
    <w:rsid w:val="003F4314"/>
    <w:rsid w:val="003F441D"/>
    <w:rsid w:val="003F4B6D"/>
    <w:rsid w:val="003F5054"/>
    <w:rsid w:val="003F5782"/>
    <w:rsid w:val="003F5A56"/>
    <w:rsid w:val="003F5AE8"/>
    <w:rsid w:val="003F6E5A"/>
    <w:rsid w:val="003F757D"/>
    <w:rsid w:val="003F7ED4"/>
    <w:rsid w:val="00400F6B"/>
    <w:rsid w:val="004014A3"/>
    <w:rsid w:val="00401731"/>
    <w:rsid w:val="00402087"/>
    <w:rsid w:val="00402929"/>
    <w:rsid w:val="00403267"/>
    <w:rsid w:val="00403357"/>
    <w:rsid w:val="00404C3E"/>
    <w:rsid w:val="00404CFB"/>
    <w:rsid w:val="004058DC"/>
    <w:rsid w:val="00405F9C"/>
    <w:rsid w:val="00407AFD"/>
    <w:rsid w:val="0041090F"/>
    <w:rsid w:val="00410E0C"/>
    <w:rsid w:val="00411B28"/>
    <w:rsid w:val="00411C50"/>
    <w:rsid w:val="00411D6C"/>
    <w:rsid w:val="0041215C"/>
    <w:rsid w:val="00412A90"/>
    <w:rsid w:val="00413D5D"/>
    <w:rsid w:val="0041415F"/>
    <w:rsid w:val="004146B5"/>
    <w:rsid w:val="00416352"/>
    <w:rsid w:val="004168F7"/>
    <w:rsid w:val="00416B71"/>
    <w:rsid w:val="0042012F"/>
    <w:rsid w:val="004209A4"/>
    <w:rsid w:val="00420A2E"/>
    <w:rsid w:val="00420B1C"/>
    <w:rsid w:val="00420C0B"/>
    <w:rsid w:val="00421869"/>
    <w:rsid w:val="00422613"/>
    <w:rsid w:val="00423412"/>
    <w:rsid w:val="004246AE"/>
    <w:rsid w:val="0043043E"/>
    <w:rsid w:val="00431BF6"/>
    <w:rsid w:val="00431ED3"/>
    <w:rsid w:val="00432444"/>
    <w:rsid w:val="00433796"/>
    <w:rsid w:val="00435AED"/>
    <w:rsid w:val="004369CF"/>
    <w:rsid w:val="00440AB7"/>
    <w:rsid w:val="00440BEC"/>
    <w:rsid w:val="00442EA4"/>
    <w:rsid w:val="00443383"/>
    <w:rsid w:val="00443473"/>
    <w:rsid w:val="0044432A"/>
    <w:rsid w:val="0044648F"/>
    <w:rsid w:val="00447BA6"/>
    <w:rsid w:val="00447E8D"/>
    <w:rsid w:val="004503F6"/>
    <w:rsid w:val="0045180C"/>
    <w:rsid w:val="004520AA"/>
    <w:rsid w:val="00453AB6"/>
    <w:rsid w:val="0045429D"/>
    <w:rsid w:val="00455DAB"/>
    <w:rsid w:val="00456355"/>
    <w:rsid w:val="00460FF4"/>
    <w:rsid w:val="00461E9C"/>
    <w:rsid w:val="004622D5"/>
    <w:rsid w:val="00463675"/>
    <w:rsid w:val="00465EBA"/>
    <w:rsid w:val="0046635F"/>
    <w:rsid w:val="00467956"/>
    <w:rsid w:val="00467EC8"/>
    <w:rsid w:val="00467FDE"/>
    <w:rsid w:val="00470B9B"/>
    <w:rsid w:val="004714B9"/>
    <w:rsid w:val="00472084"/>
    <w:rsid w:val="004721D3"/>
    <w:rsid w:val="004731CC"/>
    <w:rsid w:val="00473A7E"/>
    <w:rsid w:val="0047500D"/>
    <w:rsid w:val="004764E9"/>
    <w:rsid w:val="0047672C"/>
    <w:rsid w:val="00476BEA"/>
    <w:rsid w:val="004773DE"/>
    <w:rsid w:val="0047791D"/>
    <w:rsid w:val="00477965"/>
    <w:rsid w:val="004809F4"/>
    <w:rsid w:val="00482540"/>
    <w:rsid w:val="0048318D"/>
    <w:rsid w:val="00484D1F"/>
    <w:rsid w:val="00486586"/>
    <w:rsid w:val="00487CD4"/>
    <w:rsid w:val="004905D3"/>
    <w:rsid w:val="00490B72"/>
    <w:rsid w:val="004910A6"/>
    <w:rsid w:val="00491556"/>
    <w:rsid w:val="004917A3"/>
    <w:rsid w:val="00492E69"/>
    <w:rsid w:val="0049453E"/>
    <w:rsid w:val="004961F8"/>
    <w:rsid w:val="004966F5"/>
    <w:rsid w:val="00496836"/>
    <w:rsid w:val="00496D57"/>
    <w:rsid w:val="004975B6"/>
    <w:rsid w:val="00497EDE"/>
    <w:rsid w:val="00497F56"/>
    <w:rsid w:val="004A214F"/>
    <w:rsid w:val="004A32DA"/>
    <w:rsid w:val="004A4288"/>
    <w:rsid w:val="004A4D72"/>
    <w:rsid w:val="004A59E0"/>
    <w:rsid w:val="004A5D98"/>
    <w:rsid w:val="004A62FD"/>
    <w:rsid w:val="004A7127"/>
    <w:rsid w:val="004A73E5"/>
    <w:rsid w:val="004A7A77"/>
    <w:rsid w:val="004A7AED"/>
    <w:rsid w:val="004B11CB"/>
    <w:rsid w:val="004B129E"/>
    <w:rsid w:val="004B16F0"/>
    <w:rsid w:val="004B25FC"/>
    <w:rsid w:val="004B2A2F"/>
    <w:rsid w:val="004B2CCD"/>
    <w:rsid w:val="004B30DB"/>
    <w:rsid w:val="004B4175"/>
    <w:rsid w:val="004B4ABA"/>
    <w:rsid w:val="004B518F"/>
    <w:rsid w:val="004B594D"/>
    <w:rsid w:val="004B5EF2"/>
    <w:rsid w:val="004B601F"/>
    <w:rsid w:val="004B6D89"/>
    <w:rsid w:val="004B7CE1"/>
    <w:rsid w:val="004C011E"/>
    <w:rsid w:val="004C181D"/>
    <w:rsid w:val="004C3281"/>
    <w:rsid w:val="004C3FCA"/>
    <w:rsid w:val="004C431E"/>
    <w:rsid w:val="004C4BBD"/>
    <w:rsid w:val="004C509C"/>
    <w:rsid w:val="004C5464"/>
    <w:rsid w:val="004C54D1"/>
    <w:rsid w:val="004C5616"/>
    <w:rsid w:val="004C59EA"/>
    <w:rsid w:val="004C5FC5"/>
    <w:rsid w:val="004C6331"/>
    <w:rsid w:val="004D0124"/>
    <w:rsid w:val="004D0211"/>
    <w:rsid w:val="004D2EFA"/>
    <w:rsid w:val="004D3212"/>
    <w:rsid w:val="004D43D7"/>
    <w:rsid w:val="004D4D0E"/>
    <w:rsid w:val="004D4FD8"/>
    <w:rsid w:val="004D54E4"/>
    <w:rsid w:val="004D60D8"/>
    <w:rsid w:val="004D64C3"/>
    <w:rsid w:val="004D756A"/>
    <w:rsid w:val="004D76DF"/>
    <w:rsid w:val="004D7DD1"/>
    <w:rsid w:val="004E041A"/>
    <w:rsid w:val="004E181C"/>
    <w:rsid w:val="004E24CA"/>
    <w:rsid w:val="004E2C09"/>
    <w:rsid w:val="004E30E3"/>
    <w:rsid w:val="004E353C"/>
    <w:rsid w:val="004E3751"/>
    <w:rsid w:val="004E37CA"/>
    <w:rsid w:val="004E3C2C"/>
    <w:rsid w:val="004E4300"/>
    <w:rsid w:val="004E505C"/>
    <w:rsid w:val="004E5D2C"/>
    <w:rsid w:val="004E61A0"/>
    <w:rsid w:val="004E6A7F"/>
    <w:rsid w:val="004E7855"/>
    <w:rsid w:val="004E7CE5"/>
    <w:rsid w:val="004F11A0"/>
    <w:rsid w:val="004F1F2B"/>
    <w:rsid w:val="004F34CB"/>
    <w:rsid w:val="004F575D"/>
    <w:rsid w:val="004F58CA"/>
    <w:rsid w:val="004F5987"/>
    <w:rsid w:val="004FD831"/>
    <w:rsid w:val="00501154"/>
    <w:rsid w:val="005011AC"/>
    <w:rsid w:val="00501C44"/>
    <w:rsid w:val="00501E9F"/>
    <w:rsid w:val="00502502"/>
    <w:rsid w:val="0050266E"/>
    <w:rsid w:val="005037D2"/>
    <w:rsid w:val="005044BF"/>
    <w:rsid w:val="005045D5"/>
    <w:rsid w:val="005058FC"/>
    <w:rsid w:val="005060C7"/>
    <w:rsid w:val="005070E8"/>
    <w:rsid w:val="0050782B"/>
    <w:rsid w:val="00510C43"/>
    <w:rsid w:val="00511CB1"/>
    <w:rsid w:val="0051309A"/>
    <w:rsid w:val="00513E01"/>
    <w:rsid w:val="0051405E"/>
    <w:rsid w:val="005149C4"/>
    <w:rsid w:val="005149E8"/>
    <w:rsid w:val="0051652E"/>
    <w:rsid w:val="005166EE"/>
    <w:rsid w:val="00516C4E"/>
    <w:rsid w:val="0051704A"/>
    <w:rsid w:val="00517106"/>
    <w:rsid w:val="00517422"/>
    <w:rsid w:val="00517A59"/>
    <w:rsid w:val="00517D18"/>
    <w:rsid w:val="00520BD9"/>
    <w:rsid w:val="00521245"/>
    <w:rsid w:val="005212CE"/>
    <w:rsid w:val="005225C5"/>
    <w:rsid w:val="005226C5"/>
    <w:rsid w:val="0052299E"/>
    <w:rsid w:val="00522B6B"/>
    <w:rsid w:val="005234B4"/>
    <w:rsid w:val="0052351D"/>
    <w:rsid w:val="00524678"/>
    <w:rsid w:val="005247DF"/>
    <w:rsid w:val="00524967"/>
    <w:rsid w:val="005249DF"/>
    <w:rsid w:val="00524F95"/>
    <w:rsid w:val="0052571B"/>
    <w:rsid w:val="00526067"/>
    <w:rsid w:val="00526AAE"/>
    <w:rsid w:val="0052728D"/>
    <w:rsid w:val="0052787C"/>
    <w:rsid w:val="00527F16"/>
    <w:rsid w:val="0053078C"/>
    <w:rsid w:val="00530BB9"/>
    <w:rsid w:val="00531752"/>
    <w:rsid w:val="00532CC0"/>
    <w:rsid w:val="00533673"/>
    <w:rsid w:val="00534343"/>
    <w:rsid w:val="005346C2"/>
    <w:rsid w:val="00534D72"/>
    <w:rsid w:val="00534D95"/>
    <w:rsid w:val="00535F67"/>
    <w:rsid w:val="00536374"/>
    <w:rsid w:val="00537B32"/>
    <w:rsid w:val="00537F54"/>
    <w:rsid w:val="00540631"/>
    <w:rsid w:val="00540BD3"/>
    <w:rsid w:val="00541CB8"/>
    <w:rsid w:val="00541EBE"/>
    <w:rsid w:val="00544100"/>
    <w:rsid w:val="00545632"/>
    <w:rsid w:val="0054625C"/>
    <w:rsid w:val="005464D6"/>
    <w:rsid w:val="00550350"/>
    <w:rsid w:val="00550A17"/>
    <w:rsid w:val="00552E7D"/>
    <w:rsid w:val="00552F14"/>
    <w:rsid w:val="00554192"/>
    <w:rsid w:val="005544C8"/>
    <w:rsid w:val="005549EB"/>
    <w:rsid w:val="00554B62"/>
    <w:rsid w:val="00554C28"/>
    <w:rsid w:val="00556CC0"/>
    <w:rsid w:val="00557D16"/>
    <w:rsid w:val="00560C51"/>
    <w:rsid w:val="00560C6F"/>
    <w:rsid w:val="0056221A"/>
    <w:rsid w:val="0056239F"/>
    <w:rsid w:val="00562545"/>
    <w:rsid w:val="005625D8"/>
    <w:rsid w:val="00562A77"/>
    <w:rsid w:val="00562D48"/>
    <w:rsid w:val="00562ED4"/>
    <w:rsid w:val="00563250"/>
    <w:rsid w:val="00564814"/>
    <w:rsid w:val="005651C9"/>
    <w:rsid w:val="0056649B"/>
    <w:rsid w:val="00567B0C"/>
    <w:rsid w:val="00570B8C"/>
    <w:rsid w:val="00570CD3"/>
    <w:rsid w:val="005720A9"/>
    <w:rsid w:val="00572D18"/>
    <w:rsid w:val="0057331F"/>
    <w:rsid w:val="00573459"/>
    <w:rsid w:val="005736BD"/>
    <w:rsid w:val="0057398B"/>
    <w:rsid w:val="00574032"/>
    <w:rsid w:val="00574C00"/>
    <w:rsid w:val="005751D5"/>
    <w:rsid w:val="005753BD"/>
    <w:rsid w:val="005758B2"/>
    <w:rsid w:val="00575915"/>
    <w:rsid w:val="00575DB2"/>
    <w:rsid w:val="005760E3"/>
    <w:rsid w:val="00576B7F"/>
    <w:rsid w:val="00576D3A"/>
    <w:rsid w:val="005800D0"/>
    <w:rsid w:val="005805BF"/>
    <w:rsid w:val="00580A2B"/>
    <w:rsid w:val="005812D2"/>
    <w:rsid w:val="00582F89"/>
    <w:rsid w:val="0058396C"/>
    <w:rsid w:val="00583D5B"/>
    <w:rsid w:val="00584785"/>
    <w:rsid w:val="0058483F"/>
    <w:rsid w:val="0058569C"/>
    <w:rsid w:val="00585A1E"/>
    <w:rsid w:val="00586261"/>
    <w:rsid w:val="00586523"/>
    <w:rsid w:val="0058709F"/>
    <w:rsid w:val="00587D9A"/>
    <w:rsid w:val="0059064D"/>
    <w:rsid w:val="00591515"/>
    <w:rsid w:val="00593101"/>
    <w:rsid w:val="005932E3"/>
    <w:rsid w:val="00593807"/>
    <w:rsid w:val="00594100"/>
    <w:rsid w:val="00594589"/>
    <w:rsid w:val="00594881"/>
    <w:rsid w:val="00595456"/>
    <w:rsid w:val="005965DB"/>
    <w:rsid w:val="005A02E6"/>
    <w:rsid w:val="005A0460"/>
    <w:rsid w:val="005A064C"/>
    <w:rsid w:val="005A2338"/>
    <w:rsid w:val="005A303F"/>
    <w:rsid w:val="005A3291"/>
    <w:rsid w:val="005A4773"/>
    <w:rsid w:val="005A590E"/>
    <w:rsid w:val="005A73B0"/>
    <w:rsid w:val="005B0038"/>
    <w:rsid w:val="005B0565"/>
    <w:rsid w:val="005B19BF"/>
    <w:rsid w:val="005B1F71"/>
    <w:rsid w:val="005B45B4"/>
    <w:rsid w:val="005B4A73"/>
    <w:rsid w:val="005B60BD"/>
    <w:rsid w:val="005B64F7"/>
    <w:rsid w:val="005B696D"/>
    <w:rsid w:val="005B720C"/>
    <w:rsid w:val="005B7837"/>
    <w:rsid w:val="005C0D14"/>
    <w:rsid w:val="005C1559"/>
    <w:rsid w:val="005C20B7"/>
    <w:rsid w:val="005C2252"/>
    <w:rsid w:val="005C5587"/>
    <w:rsid w:val="005C6433"/>
    <w:rsid w:val="005C6E0B"/>
    <w:rsid w:val="005C6EE4"/>
    <w:rsid w:val="005C7330"/>
    <w:rsid w:val="005D0202"/>
    <w:rsid w:val="005D0318"/>
    <w:rsid w:val="005D0B2B"/>
    <w:rsid w:val="005D1172"/>
    <w:rsid w:val="005D1B3C"/>
    <w:rsid w:val="005D333A"/>
    <w:rsid w:val="005D4AD6"/>
    <w:rsid w:val="005D63D9"/>
    <w:rsid w:val="005D7D1D"/>
    <w:rsid w:val="005E02C1"/>
    <w:rsid w:val="005E0753"/>
    <w:rsid w:val="005E1626"/>
    <w:rsid w:val="005E264F"/>
    <w:rsid w:val="005E2870"/>
    <w:rsid w:val="005E39BA"/>
    <w:rsid w:val="005E4A04"/>
    <w:rsid w:val="005E6FD6"/>
    <w:rsid w:val="005E7774"/>
    <w:rsid w:val="005E78F0"/>
    <w:rsid w:val="005E7C93"/>
    <w:rsid w:val="005E7C9F"/>
    <w:rsid w:val="005F0148"/>
    <w:rsid w:val="005F02DB"/>
    <w:rsid w:val="005F1942"/>
    <w:rsid w:val="005F2518"/>
    <w:rsid w:val="005F2C1C"/>
    <w:rsid w:val="005F2F9A"/>
    <w:rsid w:val="005F322D"/>
    <w:rsid w:val="005F36AF"/>
    <w:rsid w:val="005F4865"/>
    <w:rsid w:val="005F4E97"/>
    <w:rsid w:val="005F57A1"/>
    <w:rsid w:val="005F590D"/>
    <w:rsid w:val="005F614B"/>
    <w:rsid w:val="005F75B6"/>
    <w:rsid w:val="005F79B5"/>
    <w:rsid w:val="00600127"/>
    <w:rsid w:val="006028BF"/>
    <w:rsid w:val="00602D08"/>
    <w:rsid w:val="006051F4"/>
    <w:rsid w:val="00605C6C"/>
    <w:rsid w:val="00606CA1"/>
    <w:rsid w:val="00606CA8"/>
    <w:rsid w:val="006077D2"/>
    <w:rsid w:val="00610990"/>
    <w:rsid w:val="00611309"/>
    <w:rsid w:val="00611D5E"/>
    <w:rsid w:val="00612677"/>
    <w:rsid w:val="00613A7D"/>
    <w:rsid w:val="00613C9A"/>
    <w:rsid w:val="00613E27"/>
    <w:rsid w:val="006146A8"/>
    <w:rsid w:val="006163B5"/>
    <w:rsid w:val="006163F6"/>
    <w:rsid w:val="00617729"/>
    <w:rsid w:val="00620319"/>
    <w:rsid w:val="006210D4"/>
    <w:rsid w:val="00621B0D"/>
    <w:rsid w:val="006223DD"/>
    <w:rsid w:val="0062278D"/>
    <w:rsid w:val="00622CB1"/>
    <w:rsid w:val="006237CF"/>
    <w:rsid w:val="006242DD"/>
    <w:rsid w:val="00624ADD"/>
    <w:rsid w:val="0062585B"/>
    <w:rsid w:val="006261BD"/>
    <w:rsid w:val="00626533"/>
    <w:rsid w:val="00626C04"/>
    <w:rsid w:val="00627202"/>
    <w:rsid w:val="00627E9F"/>
    <w:rsid w:val="00630522"/>
    <w:rsid w:val="006309CF"/>
    <w:rsid w:val="006313F3"/>
    <w:rsid w:val="00632075"/>
    <w:rsid w:val="00632B32"/>
    <w:rsid w:val="006347CB"/>
    <w:rsid w:val="00634883"/>
    <w:rsid w:val="00635039"/>
    <w:rsid w:val="00636D35"/>
    <w:rsid w:val="0063703D"/>
    <w:rsid w:val="00637177"/>
    <w:rsid w:val="00637219"/>
    <w:rsid w:val="00640667"/>
    <w:rsid w:val="00640C31"/>
    <w:rsid w:val="00641A58"/>
    <w:rsid w:val="00642560"/>
    <w:rsid w:val="00643E1E"/>
    <w:rsid w:val="006441BB"/>
    <w:rsid w:val="006444A9"/>
    <w:rsid w:val="00645377"/>
    <w:rsid w:val="006462B7"/>
    <w:rsid w:val="00646378"/>
    <w:rsid w:val="006470CE"/>
    <w:rsid w:val="006478AE"/>
    <w:rsid w:val="00647B12"/>
    <w:rsid w:val="00647B7E"/>
    <w:rsid w:val="0064E6DE"/>
    <w:rsid w:val="00650549"/>
    <w:rsid w:val="006505FA"/>
    <w:rsid w:val="00651284"/>
    <w:rsid w:val="00652656"/>
    <w:rsid w:val="00652CA1"/>
    <w:rsid w:val="00653218"/>
    <w:rsid w:val="00653C33"/>
    <w:rsid w:val="00656F6A"/>
    <w:rsid w:val="0066008D"/>
    <w:rsid w:val="00661E56"/>
    <w:rsid w:val="0066257F"/>
    <w:rsid w:val="00662F1C"/>
    <w:rsid w:val="006648DF"/>
    <w:rsid w:val="00664B25"/>
    <w:rsid w:val="00664C7B"/>
    <w:rsid w:val="00665173"/>
    <w:rsid w:val="00667316"/>
    <w:rsid w:val="006678FD"/>
    <w:rsid w:val="00667FD6"/>
    <w:rsid w:val="00670397"/>
    <w:rsid w:val="00670D0D"/>
    <w:rsid w:val="00671383"/>
    <w:rsid w:val="00672907"/>
    <w:rsid w:val="00672E63"/>
    <w:rsid w:val="00674265"/>
    <w:rsid w:val="0067475C"/>
    <w:rsid w:val="00675206"/>
    <w:rsid w:val="006757BD"/>
    <w:rsid w:val="006757FE"/>
    <w:rsid w:val="0067682C"/>
    <w:rsid w:val="00676C8A"/>
    <w:rsid w:val="00677CB9"/>
    <w:rsid w:val="00680B42"/>
    <w:rsid w:val="006818A8"/>
    <w:rsid w:val="00681D92"/>
    <w:rsid w:val="006835F5"/>
    <w:rsid w:val="00683CE6"/>
    <w:rsid w:val="0068418E"/>
    <w:rsid w:val="00684B2E"/>
    <w:rsid w:val="00686715"/>
    <w:rsid w:val="006910D3"/>
    <w:rsid w:val="00691C7E"/>
    <w:rsid w:val="006920B2"/>
    <w:rsid w:val="0069326E"/>
    <w:rsid w:val="0069424C"/>
    <w:rsid w:val="00694398"/>
    <w:rsid w:val="006944FA"/>
    <w:rsid w:val="00694B81"/>
    <w:rsid w:val="00695055"/>
    <w:rsid w:val="00695295"/>
    <w:rsid w:val="0069584C"/>
    <w:rsid w:val="0069631C"/>
    <w:rsid w:val="00696411"/>
    <w:rsid w:val="00696EF0"/>
    <w:rsid w:val="00697E97"/>
    <w:rsid w:val="006A00B8"/>
    <w:rsid w:val="006A19E1"/>
    <w:rsid w:val="006A42B7"/>
    <w:rsid w:val="006A45FF"/>
    <w:rsid w:val="006A4CDA"/>
    <w:rsid w:val="006A62E3"/>
    <w:rsid w:val="006A7259"/>
    <w:rsid w:val="006A7753"/>
    <w:rsid w:val="006B04D1"/>
    <w:rsid w:val="006B05EE"/>
    <w:rsid w:val="006B0E79"/>
    <w:rsid w:val="006B1608"/>
    <w:rsid w:val="006B165C"/>
    <w:rsid w:val="006B2D4F"/>
    <w:rsid w:val="006B4269"/>
    <w:rsid w:val="006B6139"/>
    <w:rsid w:val="006C3675"/>
    <w:rsid w:val="006C420F"/>
    <w:rsid w:val="006C447A"/>
    <w:rsid w:val="006C53CC"/>
    <w:rsid w:val="006C634F"/>
    <w:rsid w:val="006C64EE"/>
    <w:rsid w:val="006C6EEE"/>
    <w:rsid w:val="006C7416"/>
    <w:rsid w:val="006C7C15"/>
    <w:rsid w:val="006C7C71"/>
    <w:rsid w:val="006D0218"/>
    <w:rsid w:val="006D0CCE"/>
    <w:rsid w:val="006D0D4B"/>
    <w:rsid w:val="006D1727"/>
    <w:rsid w:val="006D1937"/>
    <w:rsid w:val="006D1E0E"/>
    <w:rsid w:val="006D370E"/>
    <w:rsid w:val="006D3F7D"/>
    <w:rsid w:val="006D4230"/>
    <w:rsid w:val="006D44B1"/>
    <w:rsid w:val="006D4C7E"/>
    <w:rsid w:val="006D65B2"/>
    <w:rsid w:val="006D71E1"/>
    <w:rsid w:val="006D7EBD"/>
    <w:rsid w:val="006E0458"/>
    <w:rsid w:val="006E1ED7"/>
    <w:rsid w:val="006E2988"/>
    <w:rsid w:val="006E40F1"/>
    <w:rsid w:val="006E5033"/>
    <w:rsid w:val="006E5217"/>
    <w:rsid w:val="006E59D4"/>
    <w:rsid w:val="006F0998"/>
    <w:rsid w:val="006F1651"/>
    <w:rsid w:val="006F2E7F"/>
    <w:rsid w:val="006F2F7E"/>
    <w:rsid w:val="006F2FF4"/>
    <w:rsid w:val="006F42B1"/>
    <w:rsid w:val="006F4A9D"/>
    <w:rsid w:val="006F6493"/>
    <w:rsid w:val="006F6B95"/>
    <w:rsid w:val="006F6BDA"/>
    <w:rsid w:val="006F7B4D"/>
    <w:rsid w:val="006F7E13"/>
    <w:rsid w:val="00700446"/>
    <w:rsid w:val="007005C1"/>
    <w:rsid w:val="007010E5"/>
    <w:rsid w:val="007031DA"/>
    <w:rsid w:val="00703710"/>
    <w:rsid w:val="00704927"/>
    <w:rsid w:val="00704CED"/>
    <w:rsid w:val="0070631C"/>
    <w:rsid w:val="00706B9C"/>
    <w:rsid w:val="00706CFC"/>
    <w:rsid w:val="00707A86"/>
    <w:rsid w:val="00710655"/>
    <w:rsid w:val="0071094F"/>
    <w:rsid w:val="00710BF3"/>
    <w:rsid w:val="00710E47"/>
    <w:rsid w:val="00711D06"/>
    <w:rsid w:val="00712279"/>
    <w:rsid w:val="00712755"/>
    <w:rsid w:val="00714D2A"/>
    <w:rsid w:val="00715578"/>
    <w:rsid w:val="00716C30"/>
    <w:rsid w:val="0071724B"/>
    <w:rsid w:val="007172F9"/>
    <w:rsid w:val="00717305"/>
    <w:rsid w:val="00717AB5"/>
    <w:rsid w:val="007203B6"/>
    <w:rsid w:val="00720589"/>
    <w:rsid w:val="00720A17"/>
    <w:rsid w:val="00720D38"/>
    <w:rsid w:val="00720EB4"/>
    <w:rsid w:val="00721FBB"/>
    <w:rsid w:val="00722772"/>
    <w:rsid w:val="00722FE6"/>
    <w:rsid w:val="007243AB"/>
    <w:rsid w:val="0072470D"/>
    <w:rsid w:val="007250A7"/>
    <w:rsid w:val="00725B68"/>
    <w:rsid w:val="007262B4"/>
    <w:rsid w:val="00726B79"/>
    <w:rsid w:val="00730038"/>
    <w:rsid w:val="00730F0B"/>
    <w:rsid w:val="007318D4"/>
    <w:rsid w:val="00731AD3"/>
    <w:rsid w:val="00731BBA"/>
    <w:rsid w:val="007322CC"/>
    <w:rsid w:val="0073233B"/>
    <w:rsid w:val="0073253E"/>
    <w:rsid w:val="00733000"/>
    <w:rsid w:val="0073335E"/>
    <w:rsid w:val="00733F5F"/>
    <w:rsid w:val="00734E38"/>
    <w:rsid w:val="007351F9"/>
    <w:rsid w:val="0073520E"/>
    <w:rsid w:val="00735252"/>
    <w:rsid w:val="00735257"/>
    <w:rsid w:val="00735D48"/>
    <w:rsid w:val="00736017"/>
    <w:rsid w:val="00737BAD"/>
    <w:rsid w:val="00740949"/>
    <w:rsid w:val="007411FD"/>
    <w:rsid w:val="0074176F"/>
    <w:rsid w:val="00742AEC"/>
    <w:rsid w:val="007439EA"/>
    <w:rsid w:val="00745623"/>
    <w:rsid w:val="00745846"/>
    <w:rsid w:val="0074704B"/>
    <w:rsid w:val="007471A8"/>
    <w:rsid w:val="0074B175"/>
    <w:rsid w:val="007506ED"/>
    <w:rsid w:val="00752052"/>
    <w:rsid w:val="00752344"/>
    <w:rsid w:val="00752C7A"/>
    <w:rsid w:val="00752D52"/>
    <w:rsid w:val="00752E35"/>
    <w:rsid w:val="00752F2C"/>
    <w:rsid w:val="0075331E"/>
    <w:rsid w:val="0075419E"/>
    <w:rsid w:val="00754AF3"/>
    <w:rsid w:val="0075529A"/>
    <w:rsid w:val="007556A2"/>
    <w:rsid w:val="007558A6"/>
    <w:rsid w:val="00755BAF"/>
    <w:rsid w:val="007568EA"/>
    <w:rsid w:val="00756A74"/>
    <w:rsid w:val="00756EBA"/>
    <w:rsid w:val="0075E207"/>
    <w:rsid w:val="00760FC9"/>
    <w:rsid w:val="007628EC"/>
    <w:rsid w:val="00762E64"/>
    <w:rsid w:val="00763F22"/>
    <w:rsid w:val="0076561E"/>
    <w:rsid w:val="00766186"/>
    <w:rsid w:val="00766D11"/>
    <w:rsid w:val="00766FA1"/>
    <w:rsid w:val="00767FB1"/>
    <w:rsid w:val="0077015D"/>
    <w:rsid w:val="00770E4C"/>
    <w:rsid w:val="00772240"/>
    <w:rsid w:val="00772C89"/>
    <w:rsid w:val="00772C94"/>
    <w:rsid w:val="00772F07"/>
    <w:rsid w:val="00773F64"/>
    <w:rsid w:val="00774468"/>
    <w:rsid w:val="00774933"/>
    <w:rsid w:val="00774D57"/>
    <w:rsid w:val="00775E40"/>
    <w:rsid w:val="00776318"/>
    <w:rsid w:val="007775AF"/>
    <w:rsid w:val="0077770B"/>
    <w:rsid w:val="00777F43"/>
    <w:rsid w:val="0078048D"/>
    <w:rsid w:val="00781AD2"/>
    <w:rsid w:val="00781F5A"/>
    <w:rsid w:val="007831D7"/>
    <w:rsid w:val="00786478"/>
    <w:rsid w:val="00786C7A"/>
    <w:rsid w:val="00787C0C"/>
    <w:rsid w:val="00787FEA"/>
    <w:rsid w:val="0078A7B1"/>
    <w:rsid w:val="0078DB7C"/>
    <w:rsid w:val="0079056A"/>
    <w:rsid w:val="00791022"/>
    <w:rsid w:val="00791300"/>
    <w:rsid w:val="00791CDD"/>
    <w:rsid w:val="00792038"/>
    <w:rsid w:val="00792EDE"/>
    <w:rsid w:val="00794CD5"/>
    <w:rsid w:val="00795165"/>
    <w:rsid w:val="00795E16"/>
    <w:rsid w:val="007963F1"/>
    <w:rsid w:val="007965E2"/>
    <w:rsid w:val="00796F0E"/>
    <w:rsid w:val="00797205"/>
    <w:rsid w:val="00797286"/>
    <w:rsid w:val="00797497"/>
    <w:rsid w:val="007A00C6"/>
    <w:rsid w:val="007A0300"/>
    <w:rsid w:val="007A05F0"/>
    <w:rsid w:val="007A12BC"/>
    <w:rsid w:val="007A20E7"/>
    <w:rsid w:val="007A2213"/>
    <w:rsid w:val="007A2540"/>
    <w:rsid w:val="007A281A"/>
    <w:rsid w:val="007A2F32"/>
    <w:rsid w:val="007A39AA"/>
    <w:rsid w:val="007A3DA3"/>
    <w:rsid w:val="007A47A1"/>
    <w:rsid w:val="007A4A0D"/>
    <w:rsid w:val="007A4B35"/>
    <w:rsid w:val="007A53BA"/>
    <w:rsid w:val="007A5D30"/>
    <w:rsid w:val="007A6979"/>
    <w:rsid w:val="007B03D0"/>
    <w:rsid w:val="007B04AC"/>
    <w:rsid w:val="007B1497"/>
    <w:rsid w:val="007B1817"/>
    <w:rsid w:val="007B2301"/>
    <w:rsid w:val="007B2DAE"/>
    <w:rsid w:val="007B3528"/>
    <w:rsid w:val="007B3F66"/>
    <w:rsid w:val="007B5482"/>
    <w:rsid w:val="007B5ABF"/>
    <w:rsid w:val="007B6759"/>
    <w:rsid w:val="007B683F"/>
    <w:rsid w:val="007B71F9"/>
    <w:rsid w:val="007B7D53"/>
    <w:rsid w:val="007C311F"/>
    <w:rsid w:val="007C3E62"/>
    <w:rsid w:val="007C423D"/>
    <w:rsid w:val="007C48E6"/>
    <w:rsid w:val="007C496A"/>
    <w:rsid w:val="007C4C68"/>
    <w:rsid w:val="007C5A98"/>
    <w:rsid w:val="007C5D55"/>
    <w:rsid w:val="007C692E"/>
    <w:rsid w:val="007C697A"/>
    <w:rsid w:val="007D013E"/>
    <w:rsid w:val="007D093E"/>
    <w:rsid w:val="007D0B74"/>
    <w:rsid w:val="007D0EAE"/>
    <w:rsid w:val="007D145A"/>
    <w:rsid w:val="007D17C4"/>
    <w:rsid w:val="007D1C59"/>
    <w:rsid w:val="007D3698"/>
    <w:rsid w:val="007D413D"/>
    <w:rsid w:val="007D424C"/>
    <w:rsid w:val="007D53FD"/>
    <w:rsid w:val="007D578F"/>
    <w:rsid w:val="007D67CA"/>
    <w:rsid w:val="007D67E8"/>
    <w:rsid w:val="007D6813"/>
    <w:rsid w:val="007D6A26"/>
    <w:rsid w:val="007D71C3"/>
    <w:rsid w:val="007D736E"/>
    <w:rsid w:val="007E071C"/>
    <w:rsid w:val="007E081C"/>
    <w:rsid w:val="007E16DD"/>
    <w:rsid w:val="007E2A1B"/>
    <w:rsid w:val="007E2CDD"/>
    <w:rsid w:val="007E2FE5"/>
    <w:rsid w:val="007E5219"/>
    <w:rsid w:val="007E60EA"/>
    <w:rsid w:val="007E65D4"/>
    <w:rsid w:val="007E67A4"/>
    <w:rsid w:val="007E777F"/>
    <w:rsid w:val="007E7ECA"/>
    <w:rsid w:val="007F0A8A"/>
    <w:rsid w:val="007F0B6A"/>
    <w:rsid w:val="007F0DB2"/>
    <w:rsid w:val="007F32CB"/>
    <w:rsid w:val="007F38DB"/>
    <w:rsid w:val="007F61FE"/>
    <w:rsid w:val="007F77A9"/>
    <w:rsid w:val="007F7954"/>
    <w:rsid w:val="008007D6"/>
    <w:rsid w:val="008008A5"/>
    <w:rsid w:val="00800C88"/>
    <w:rsid w:val="0080123B"/>
    <w:rsid w:val="00801D70"/>
    <w:rsid w:val="00802440"/>
    <w:rsid w:val="00802851"/>
    <w:rsid w:val="00805358"/>
    <w:rsid w:val="008055FA"/>
    <w:rsid w:val="0080564B"/>
    <w:rsid w:val="00805BA9"/>
    <w:rsid w:val="00806781"/>
    <w:rsid w:val="0080685E"/>
    <w:rsid w:val="00807811"/>
    <w:rsid w:val="00810D8C"/>
    <w:rsid w:val="00811A05"/>
    <w:rsid w:val="00811CF5"/>
    <w:rsid w:val="00812080"/>
    <w:rsid w:val="008127CF"/>
    <w:rsid w:val="008139D6"/>
    <w:rsid w:val="0081520F"/>
    <w:rsid w:val="00815275"/>
    <w:rsid w:val="00815389"/>
    <w:rsid w:val="00815A75"/>
    <w:rsid w:val="00815D41"/>
    <w:rsid w:val="00815ED8"/>
    <w:rsid w:val="0081636A"/>
    <w:rsid w:val="008164D7"/>
    <w:rsid w:val="008178DF"/>
    <w:rsid w:val="0082021D"/>
    <w:rsid w:val="00820877"/>
    <w:rsid w:val="0082087B"/>
    <w:rsid w:val="00820B6E"/>
    <w:rsid w:val="00820F06"/>
    <w:rsid w:val="0082131F"/>
    <w:rsid w:val="008213C8"/>
    <w:rsid w:val="00822061"/>
    <w:rsid w:val="0082223A"/>
    <w:rsid w:val="008225B4"/>
    <w:rsid w:val="0082296B"/>
    <w:rsid w:val="008239AE"/>
    <w:rsid w:val="00823A56"/>
    <w:rsid w:val="00824DC4"/>
    <w:rsid w:val="0082514A"/>
    <w:rsid w:val="00830424"/>
    <w:rsid w:val="0083309D"/>
    <w:rsid w:val="008334DD"/>
    <w:rsid w:val="00833883"/>
    <w:rsid w:val="008357C0"/>
    <w:rsid w:val="008357EC"/>
    <w:rsid w:val="0083624C"/>
    <w:rsid w:val="00837453"/>
    <w:rsid w:val="0083781E"/>
    <w:rsid w:val="00837C32"/>
    <w:rsid w:val="00840C09"/>
    <w:rsid w:val="00841165"/>
    <w:rsid w:val="0084195C"/>
    <w:rsid w:val="00841A2F"/>
    <w:rsid w:val="00842C4D"/>
    <w:rsid w:val="0084444F"/>
    <w:rsid w:val="00844DC6"/>
    <w:rsid w:val="008451AE"/>
    <w:rsid w:val="00845AAB"/>
    <w:rsid w:val="00845DF3"/>
    <w:rsid w:val="00845E7E"/>
    <w:rsid w:val="008465E6"/>
    <w:rsid w:val="008502FD"/>
    <w:rsid w:val="008503CE"/>
    <w:rsid w:val="008503F8"/>
    <w:rsid w:val="008506EC"/>
    <w:rsid w:val="00851B46"/>
    <w:rsid w:val="00851E7C"/>
    <w:rsid w:val="008532B8"/>
    <w:rsid w:val="00853D5F"/>
    <w:rsid w:val="00854A33"/>
    <w:rsid w:val="008557DA"/>
    <w:rsid w:val="00856096"/>
    <w:rsid w:val="008564C3"/>
    <w:rsid w:val="00856DDB"/>
    <w:rsid w:val="0086036C"/>
    <w:rsid w:val="008605A5"/>
    <w:rsid w:val="008606D2"/>
    <w:rsid w:val="008621D5"/>
    <w:rsid w:val="00863F2D"/>
    <w:rsid w:val="00864919"/>
    <w:rsid w:val="00864B55"/>
    <w:rsid w:val="00866974"/>
    <w:rsid w:val="00867565"/>
    <w:rsid w:val="00870C76"/>
    <w:rsid w:val="00871D0D"/>
    <w:rsid w:val="00872448"/>
    <w:rsid w:val="00872563"/>
    <w:rsid w:val="00872ABD"/>
    <w:rsid w:val="008741AE"/>
    <w:rsid w:val="00874DEF"/>
    <w:rsid w:val="008763F7"/>
    <w:rsid w:val="00876476"/>
    <w:rsid w:val="00876ABB"/>
    <w:rsid w:val="008803A4"/>
    <w:rsid w:val="0088101F"/>
    <w:rsid w:val="00881ED6"/>
    <w:rsid w:val="00882330"/>
    <w:rsid w:val="008839D7"/>
    <w:rsid w:val="00883E76"/>
    <w:rsid w:val="00884316"/>
    <w:rsid w:val="00884872"/>
    <w:rsid w:val="008848F8"/>
    <w:rsid w:val="00884D1C"/>
    <w:rsid w:val="00884E72"/>
    <w:rsid w:val="008851B4"/>
    <w:rsid w:val="008863AC"/>
    <w:rsid w:val="0088717F"/>
    <w:rsid w:val="00887304"/>
    <w:rsid w:val="00887583"/>
    <w:rsid w:val="00887FA8"/>
    <w:rsid w:val="00890952"/>
    <w:rsid w:val="00890C84"/>
    <w:rsid w:val="00891B7E"/>
    <w:rsid w:val="00892D81"/>
    <w:rsid w:val="00893341"/>
    <w:rsid w:val="00893345"/>
    <w:rsid w:val="00893E8B"/>
    <w:rsid w:val="00894391"/>
    <w:rsid w:val="00894B03"/>
    <w:rsid w:val="00894BC2"/>
    <w:rsid w:val="00895D1D"/>
    <w:rsid w:val="00895F39"/>
    <w:rsid w:val="0089620E"/>
    <w:rsid w:val="008964F4"/>
    <w:rsid w:val="00896A4A"/>
    <w:rsid w:val="0089725B"/>
    <w:rsid w:val="0089752C"/>
    <w:rsid w:val="008977A3"/>
    <w:rsid w:val="008A07BD"/>
    <w:rsid w:val="008A18D5"/>
    <w:rsid w:val="008A2ACA"/>
    <w:rsid w:val="008A32BC"/>
    <w:rsid w:val="008A5D74"/>
    <w:rsid w:val="008A60E9"/>
    <w:rsid w:val="008A6D5E"/>
    <w:rsid w:val="008A6D6E"/>
    <w:rsid w:val="008B0358"/>
    <w:rsid w:val="008B12E5"/>
    <w:rsid w:val="008B1B40"/>
    <w:rsid w:val="008B2B38"/>
    <w:rsid w:val="008B2C33"/>
    <w:rsid w:val="008B2D6F"/>
    <w:rsid w:val="008B3337"/>
    <w:rsid w:val="008B4FD9"/>
    <w:rsid w:val="008B56B2"/>
    <w:rsid w:val="008B6179"/>
    <w:rsid w:val="008B726D"/>
    <w:rsid w:val="008C0221"/>
    <w:rsid w:val="008C0D32"/>
    <w:rsid w:val="008C0D90"/>
    <w:rsid w:val="008C1512"/>
    <w:rsid w:val="008C1A9E"/>
    <w:rsid w:val="008C2D6F"/>
    <w:rsid w:val="008C32F1"/>
    <w:rsid w:val="008C33E6"/>
    <w:rsid w:val="008C45B3"/>
    <w:rsid w:val="008C4971"/>
    <w:rsid w:val="008C4C67"/>
    <w:rsid w:val="008C5FAC"/>
    <w:rsid w:val="008C6DBE"/>
    <w:rsid w:val="008C7545"/>
    <w:rsid w:val="008D04F7"/>
    <w:rsid w:val="008D0557"/>
    <w:rsid w:val="008D062D"/>
    <w:rsid w:val="008D128C"/>
    <w:rsid w:val="008D166D"/>
    <w:rsid w:val="008D25B6"/>
    <w:rsid w:val="008D2AA0"/>
    <w:rsid w:val="008D33C1"/>
    <w:rsid w:val="008D375B"/>
    <w:rsid w:val="008D4138"/>
    <w:rsid w:val="008D4174"/>
    <w:rsid w:val="008D4B5C"/>
    <w:rsid w:val="008D557C"/>
    <w:rsid w:val="008D5A41"/>
    <w:rsid w:val="008D6993"/>
    <w:rsid w:val="008D6E78"/>
    <w:rsid w:val="008D759F"/>
    <w:rsid w:val="008E1623"/>
    <w:rsid w:val="008E1E18"/>
    <w:rsid w:val="008E2896"/>
    <w:rsid w:val="008E2ADB"/>
    <w:rsid w:val="008E3634"/>
    <w:rsid w:val="008E4B3E"/>
    <w:rsid w:val="008E63D3"/>
    <w:rsid w:val="008E6797"/>
    <w:rsid w:val="008E6BA7"/>
    <w:rsid w:val="008E6BD4"/>
    <w:rsid w:val="008E7B21"/>
    <w:rsid w:val="008E7C93"/>
    <w:rsid w:val="008F03AF"/>
    <w:rsid w:val="008F0BB1"/>
    <w:rsid w:val="008F1D2B"/>
    <w:rsid w:val="008F24D9"/>
    <w:rsid w:val="008F310D"/>
    <w:rsid w:val="008F3842"/>
    <w:rsid w:val="008F47DF"/>
    <w:rsid w:val="008F50FF"/>
    <w:rsid w:val="008F5CE3"/>
    <w:rsid w:val="008F69C3"/>
    <w:rsid w:val="008F6CA1"/>
    <w:rsid w:val="008F6F3D"/>
    <w:rsid w:val="008F7563"/>
    <w:rsid w:val="008F7866"/>
    <w:rsid w:val="00902D71"/>
    <w:rsid w:val="00903B11"/>
    <w:rsid w:val="00906422"/>
    <w:rsid w:val="009079EC"/>
    <w:rsid w:val="00907ED2"/>
    <w:rsid w:val="00910C3D"/>
    <w:rsid w:val="00911E7F"/>
    <w:rsid w:val="00912AD7"/>
    <w:rsid w:val="0091491D"/>
    <w:rsid w:val="00914D44"/>
    <w:rsid w:val="00915C0F"/>
    <w:rsid w:val="00915E63"/>
    <w:rsid w:val="00915E92"/>
    <w:rsid w:val="00917135"/>
    <w:rsid w:val="009171DB"/>
    <w:rsid w:val="00917CCD"/>
    <w:rsid w:val="009202F9"/>
    <w:rsid w:val="0092102B"/>
    <w:rsid w:val="0092156D"/>
    <w:rsid w:val="009226EB"/>
    <w:rsid w:val="009238D9"/>
    <w:rsid w:val="0092398A"/>
    <w:rsid w:val="009265C4"/>
    <w:rsid w:val="00926B99"/>
    <w:rsid w:val="00927949"/>
    <w:rsid w:val="00927FFA"/>
    <w:rsid w:val="00930C87"/>
    <w:rsid w:val="00932938"/>
    <w:rsid w:val="00932DBB"/>
    <w:rsid w:val="00933412"/>
    <w:rsid w:val="00933688"/>
    <w:rsid w:val="009348D6"/>
    <w:rsid w:val="0093498D"/>
    <w:rsid w:val="00934D3F"/>
    <w:rsid w:val="0093593D"/>
    <w:rsid w:val="0093667D"/>
    <w:rsid w:val="00936FA9"/>
    <w:rsid w:val="00937086"/>
    <w:rsid w:val="0094013C"/>
    <w:rsid w:val="00940453"/>
    <w:rsid w:val="00940C28"/>
    <w:rsid w:val="00940DBE"/>
    <w:rsid w:val="009411D0"/>
    <w:rsid w:val="009414C9"/>
    <w:rsid w:val="009414DD"/>
    <w:rsid w:val="009415BF"/>
    <w:rsid w:val="00941FF8"/>
    <w:rsid w:val="00943133"/>
    <w:rsid w:val="00943518"/>
    <w:rsid w:val="00943BC8"/>
    <w:rsid w:val="00944677"/>
    <w:rsid w:val="00945506"/>
    <w:rsid w:val="00945BDF"/>
    <w:rsid w:val="00946AB9"/>
    <w:rsid w:val="00946E2C"/>
    <w:rsid w:val="009472A5"/>
    <w:rsid w:val="00947B10"/>
    <w:rsid w:val="00950B89"/>
    <w:rsid w:val="009511B6"/>
    <w:rsid w:val="0095129C"/>
    <w:rsid w:val="00951C0B"/>
    <w:rsid w:val="00951D1B"/>
    <w:rsid w:val="009526CF"/>
    <w:rsid w:val="00953753"/>
    <w:rsid w:val="009541FD"/>
    <w:rsid w:val="00955295"/>
    <w:rsid w:val="009559A6"/>
    <w:rsid w:val="00957753"/>
    <w:rsid w:val="0096048C"/>
    <w:rsid w:val="00961085"/>
    <w:rsid w:val="009623BC"/>
    <w:rsid w:val="009625AA"/>
    <w:rsid w:val="0096266A"/>
    <w:rsid w:val="00962F5E"/>
    <w:rsid w:val="009634BE"/>
    <w:rsid w:val="00963679"/>
    <w:rsid w:val="009636E7"/>
    <w:rsid w:val="00963A12"/>
    <w:rsid w:val="00963CCF"/>
    <w:rsid w:val="00965A9B"/>
    <w:rsid w:val="00965BFB"/>
    <w:rsid w:val="00965DB6"/>
    <w:rsid w:val="00965DF2"/>
    <w:rsid w:val="00966137"/>
    <w:rsid w:val="00966578"/>
    <w:rsid w:val="00966821"/>
    <w:rsid w:val="00967FAC"/>
    <w:rsid w:val="0097047B"/>
    <w:rsid w:val="009741B6"/>
    <w:rsid w:val="00974816"/>
    <w:rsid w:val="00975656"/>
    <w:rsid w:val="00976C58"/>
    <w:rsid w:val="00977288"/>
    <w:rsid w:val="009809B1"/>
    <w:rsid w:val="00981A53"/>
    <w:rsid w:val="00981B7B"/>
    <w:rsid w:val="00982429"/>
    <w:rsid w:val="0098299F"/>
    <w:rsid w:val="009844F9"/>
    <w:rsid w:val="009852C5"/>
    <w:rsid w:val="0098613D"/>
    <w:rsid w:val="00987CAF"/>
    <w:rsid w:val="00990A1A"/>
    <w:rsid w:val="00991DC8"/>
    <w:rsid w:val="00992AAC"/>
    <w:rsid w:val="00993DAC"/>
    <w:rsid w:val="00995446"/>
    <w:rsid w:val="0099560A"/>
    <w:rsid w:val="00996791"/>
    <w:rsid w:val="00997991"/>
    <w:rsid w:val="009A1B04"/>
    <w:rsid w:val="009A1BBF"/>
    <w:rsid w:val="009A24A8"/>
    <w:rsid w:val="009A2AEB"/>
    <w:rsid w:val="009A2B59"/>
    <w:rsid w:val="009A42E1"/>
    <w:rsid w:val="009A50E0"/>
    <w:rsid w:val="009A5394"/>
    <w:rsid w:val="009A5F9F"/>
    <w:rsid w:val="009A7EAA"/>
    <w:rsid w:val="009B119F"/>
    <w:rsid w:val="009B12C0"/>
    <w:rsid w:val="009B1E5D"/>
    <w:rsid w:val="009B221C"/>
    <w:rsid w:val="009B34DE"/>
    <w:rsid w:val="009B364F"/>
    <w:rsid w:val="009B440B"/>
    <w:rsid w:val="009B52EE"/>
    <w:rsid w:val="009B55BA"/>
    <w:rsid w:val="009B5CA7"/>
    <w:rsid w:val="009B5E7B"/>
    <w:rsid w:val="009B63F3"/>
    <w:rsid w:val="009C0262"/>
    <w:rsid w:val="009C0E5C"/>
    <w:rsid w:val="009C21C5"/>
    <w:rsid w:val="009C33C2"/>
    <w:rsid w:val="009C3D44"/>
    <w:rsid w:val="009C40F5"/>
    <w:rsid w:val="009C4576"/>
    <w:rsid w:val="009C4EB8"/>
    <w:rsid w:val="009C50E5"/>
    <w:rsid w:val="009C51C1"/>
    <w:rsid w:val="009C651A"/>
    <w:rsid w:val="009D1094"/>
    <w:rsid w:val="009D1AA9"/>
    <w:rsid w:val="009D2EC3"/>
    <w:rsid w:val="009D372F"/>
    <w:rsid w:val="009D3A3F"/>
    <w:rsid w:val="009D499F"/>
    <w:rsid w:val="009D4F21"/>
    <w:rsid w:val="009D63EA"/>
    <w:rsid w:val="009D7160"/>
    <w:rsid w:val="009E0058"/>
    <w:rsid w:val="009E0320"/>
    <w:rsid w:val="009E1097"/>
    <w:rsid w:val="009E49D2"/>
    <w:rsid w:val="009E4B75"/>
    <w:rsid w:val="009E4EEE"/>
    <w:rsid w:val="009E6020"/>
    <w:rsid w:val="009E65E2"/>
    <w:rsid w:val="009E783A"/>
    <w:rsid w:val="009E7B3E"/>
    <w:rsid w:val="009F0B86"/>
    <w:rsid w:val="009F1D5C"/>
    <w:rsid w:val="009F2A4F"/>
    <w:rsid w:val="009F42D6"/>
    <w:rsid w:val="009F4620"/>
    <w:rsid w:val="009F4D73"/>
    <w:rsid w:val="009F5629"/>
    <w:rsid w:val="009F5741"/>
    <w:rsid w:val="009F708E"/>
    <w:rsid w:val="009F7674"/>
    <w:rsid w:val="00A014FB"/>
    <w:rsid w:val="00A025AC"/>
    <w:rsid w:val="00A03D8C"/>
    <w:rsid w:val="00A04170"/>
    <w:rsid w:val="00A043AD"/>
    <w:rsid w:val="00A04E37"/>
    <w:rsid w:val="00A05FE9"/>
    <w:rsid w:val="00A061F5"/>
    <w:rsid w:val="00A074A0"/>
    <w:rsid w:val="00A076EC"/>
    <w:rsid w:val="00A07E1B"/>
    <w:rsid w:val="00A107DB"/>
    <w:rsid w:val="00A119F5"/>
    <w:rsid w:val="00A11B6A"/>
    <w:rsid w:val="00A11DD0"/>
    <w:rsid w:val="00A13659"/>
    <w:rsid w:val="00A13E12"/>
    <w:rsid w:val="00A1465F"/>
    <w:rsid w:val="00A14928"/>
    <w:rsid w:val="00A1526C"/>
    <w:rsid w:val="00A1532F"/>
    <w:rsid w:val="00A15463"/>
    <w:rsid w:val="00A154DA"/>
    <w:rsid w:val="00A159EB"/>
    <w:rsid w:val="00A15F30"/>
    <w:rsid w:val="00A16732"/>
    <w:rsid w:val="00A171B9"/>
    <w:rsid w:val="00A17CAC"/>
    <w:rsid w:val="00A17D80"/>
    <w:rsid w:val="00A21086"/>
    <w:rsid w:val="00A2127D"/>
    <w:rsid w:val="00A2162F"/>
    <w:rsid w:val="00A218B6"/>
    <w:rsid w:val="00A21C98"/>
    <w:rsid w:val="00A2207B"/>
    <w:rsid w:val="00A251FC"/>
    <w:rsid w:val="00A25D20"/>
    <w:rsid w:val="00A25D83"/>
    <w:rsid w:val="00A26581"/>
    <w:rsid w:val="00A26C91"/>
    <w:rsid w:val="00A2715E"/>
    <w:rsid w:val="00A30300"/>
    <w:rsid w:val="00A309AD"/>
    <w:rsid w:val="00A30C85"/>
    <w:rsid w:val="00A30D0C"/>
    <w:rsid w:val="00A32525"/>
    <w:rsid w:val="00A326AB"/>
    <w:rsid w:val="00A33316"/>
    <w:rsid w:val="00A337C7"/>
    <w:rsid w:val="00A33E4C"/>
    <w:rsid w:val="00A33E88"/>
    <w:rsid w:val="00A35419"/>
    <w:rsid w:val="00A35BA6"/>
    <w:rsid w:val="00A37593"/>
    <w:rsid w:val="00A4027C"/>
    <w:rsid w:val="00A4300C"/>
    <w:rsid w:val="00A442AA"/>
    <w:rsid w:val="00A443AE"/>
    <w:rsid w:val="00A4568D"/>
    <w:rsid w:val="00A45802"/>
    <w:rsid w:val="00A45824"/>
    <w:rsid w:val="00A47063"/>
    <w:rsid w:val="00A471EA"/>
    <w:rsid w:val="00A51B5E"/>
    <w:rsid w:val="00A524B3"/>
    <w:rsid w:val="00A52682"/>
    <w:rsid w:val="00A528E0"/>
    <w:rsid w:val="00A52DF3"/>
    <w:rsid w:val="00A530E7"/>
    <w:rsid w:val="00A53488"/>
    <w:rsid w:val="00A53707"/>
    <w:rsid w:val="00A551A7"/>
    <w:rsid w:val="00A55806"/>
    <w:rsid w:val="00A558CE"/>
    <w:rsid w:val="00A5688B"/>
    <w:rsid w:val="00A579F4"/>
    <w:rsid w:val="00A57A05"/>
    <w:rsid w:val="00A60201"/>
    <w:rsid w:val="00A612CF"/>
    <w:rsid w:val="00A62C69"/>
    <w:rsid w:val="00A63A3E"/>
    <w:rsid w:val="00A64891"/>
    <w:rsid w:val="00A65186"/>
    <w:rsid w:val="00A66FF7"/>
    <w:rsid w:val="00A70223"/>
    <w:rsid w:val="00A70571"/>
    <w:rsid w:val="00A729A4"/>
    <w:rsid w:val="00A738FC"/>
    <w:rsid w:val="00A741D1"/>
    <w:rsid w:val="00A7478B"/>
    <w:rsid w:val="00A74AD1"/>
    <w:rsid w:val="00A766ED"/>
    <w:rsid w:val="00A77165"/>
    <w:rsid w:val="00A7750C"/>
    <w:rsid w:val="00A77C3E"/>
    <w:rsid w:val="00A81512"/>
    <w:rsid w:val="00A82576"/>
    <w:rsid w:val="00A83678"/>
    <w:rsid w:val="00A844E1"/>
    <w:rsid w:val="00A8496C"/>
    <w:rsid w:val="00A85004"/>
    <w:rsid w:val="00A85777"/>
    <w:rsid w:val="00A858C2"/>
    <w:rsid w:val="00A85F68"/>
    <w:rsid w:val="00A86E7D"/>
    <w:rsid w:val="00A870F9"/>
    <w:rsid w:val="00A87FAE"/>
    <w:rsid w:val="00A900A3"/>
    <w:rsid w:val="00A91215"/>
    <w:rsid w:val="00A913D8"/>
    <w:rsid w:val="00A929D5"/>
    <w:rsid w:val="00A93689"/>
    <w:rsid w:val="00A93DFA"/>
    <w:rsid w:val="00A94276"/>
    <w:rsid w:val="00A95294"/>
    <w:rsid w:val="00A958AC"/>
    <w:rsid w:val="00A95FCD"/>
    <w:rsid w:val="00A96FDB"/>
    <w:rsid w:val="00A97DB0"/>
    <w:rsid w:val="00AA08D0"/>
    <w:rsid w:val="00AA0FC3"/>
    <w:rsid w:val="00AA139B"/>
    <w:rsid w:val="00AA14AE"/>
    <w:rsid w:val="00AA178B"/>
    <w:rsid w:val="00AA20CF"/>
    <w:rsid w:val="00AA2543"/>
    <w:rsid w:val="00AA332F"/>
    <w:rsid w:val="00AA3C94"/>
    <w:rsid w:val="00AA4AAE"/>
    <w:rsid w:val="00AA56D8"/>
    <w:rsid w:val="00AA668B"/>
    <w:rsid w:val="00AA691B"/>
    <w:rsid w:val="00AA719E"/>
    <w:rsid w:val="00AA7C6F"/>
    <w:rsid w:val="00AA7E06"/>
    <w:rsid w:val="00AB048A"/>
    <w:rsid w:val="00AB058D"/>
    <w:rsid w:val="00AB0C85"/>
    <w:rsid w:val="00AB1994"/>
    <w:rsid w:val="00AB1E0F"/>
    <w:rsid w:val="00AB1F7C"/>
    <w:rsid w:val="00AB2698"/>
    <w:rsid w:val="00AB2C25"/>
    <w:rsid w:val="00AB3A16"/>
    <w:rsid w:val="00AB4217"/>
    <w:rsid w:val="00AB470C"/>
    <w:rsid w:val="00AB4B75"/>
    <w:rsid w:val="00AB508B"/>
    <w:rsid w:val="00AB5426"/>
    <w:rsid w:val="00AB5C25"/>
    <w:rsid w:val="00AB654C"/>
    <w:rsid w:val="00AB6BAC"/>
    <w:rsid w:val="00AC05F3"/>
    <w:rsid w:val="00AC0803"/>
    <w:rsid w:val="00AC30C1"/>
    <w:rsid w:val="00AC4F74"/>
    <w:rsid w:val="00AC5933"/>
    <w:rsid w:val="00AC5A27"/>
    <w:rsid w:val="00AC5A43"/>
    <w:rsid w:val="00AC75E7"/>
    <w:rsid w:val="00AD00E0"/>
    <w:rsid w:val="00AD069A"/>
    <w:rsid w:val="00AD16CF"/>
    <w:rsid w:val="00AD1995"/>
    <w:rsid w:val="00AD2515"/>
    <w:rsid w:val="00AD34A2"/>
    <w:rsid w:val="00AD3558"/>
    <w:rsid w:val="00AD4345"/>
    <w:rsid w:val="00AD4FA2"/>
    <w:rsid w:val="00AD526C"/>
    <w:rsid w:val="00AD53B5"/>
    <w:rsid w:val="00AD5925"/>
    <w:rsid w:val="00AD59BE"/>
    <w:rsid w:val="00AD5B1E"/>
    <w:rsid w:val="00AD673D"/>
    <w:rsid w:val="00AE03CE"/>
    <w:rsid w:val="00AE05B4"/>
    <w:rsid w:val="00AE0E4D"/>
    <w:rsid w:val="00AE0F58"/>
    <w:rsid w:val="00AE25E8"/>
    <w:rsid w:val="00AE2655"/>
    <w:rsid w:val="00AE2E57"/>
    <w:rsid w:val="00AE34A4"/>
    <w:rsid w:val="00AE3552"/>
    <w:rsid w:val="00AE3E0B"/>
    <w:rsid w:val="00AE59CE"/>
    <w:rsid w:val="00AE5CBF"/>
    <w:rsid w:val="00AE5E2E"/>
    <w:rsid w:val="00AE60BD"/>
    <w:rsid w:val="00AE664C"/>
    <w:rsid w:val="00AE7032"/>
    <w:rsid w:val="00AE7393"/>
    <w:rsid w:val="00AE7826"/>
    <w:rsid w:val="00AF065E"/>
    <w:rsid w:val="00AF148D"/>
    <w:rsid w:val="00AF1936"/>
    <w:rsid w:val="00AF1DF6"/>
    <w:rsid w:val="00AF2277"/>
    <w:rsid w:val="00AF28F2"/>
    <w:rsid w:val="00AF427D"/>
    <w:rsid w:val="00AF437C"/>
    <w:rsid w:val="00AF5BEF"/>
    <w:rsid w:val="00AF5E36"/>
    <w:rsid w:val="00AF6EF3"/>
    <w:rsid w:val="00AF7020"/>
    <w:rsid w:val="00AF7B4E"/>
    <w:rsid w:val="00B00306"/>
    <w:rsid w:val="00B00CD7"/>
    <w:rsid w:val="00B01068"/>
    <w:rsid w:val="00B0106E"/>
    <w:rsid w:val="00B0126B"/>
    <w:rsid w:val="00B02132"/>
    <w:rsid w:val="00B029B7"/>
    <w:rsid w:val="00B02AB7"/>
    <w:rsid w:val="00B03F1D"/>
    <w:rsid w:val="00B03F9A"/>
    <w:rsid w:val="00B061C7"/>
    <w:rsid w:val="00B063FE"/>
    <w:rsid w:val="00B0790A"/>
    <w:rsid w:val="00B108A0"/>
    <w:rsid w:val="00B1149F"/>
    <w:rsid w:val="00B128B9"/>
    <w:rsid w:val="00B13160"/>
    <w:rsid w:val="00B1375B"/>
    <w:rsid w:val="00B152DB"/>
    <w:rsid w:val="00B15462"/>
    <w:rsid w:val="00B15637"/>
    <w:rsid w:val="00B16ABE"/>
    <w:rsid w:val="00B20AB3"/>
    <w:rsid w:val="00B20CC5"/>
    <w:rsid w:val="00B20F35"/>
    <w:rsid w:val="00B212F3"/>
    <w:rsid w:val="00B21354"/>
    <w:rsid w:val="00B21833"/>
    <w:rsid w:val="00B21F52"/>
    <w:rsid w:val="00B22A07"/>
    <w:rsid w:val="00B22A97"/>
    <w:rsid w:val="00B230DB"/>
    <w:rsid w:val="00B2381F"/>
    <w:rsid w:val="00B24CEA"/>
    <w:rsid w:val="00B24DE2"/>
    <w:rsid w:val="00B25000"/>
    <w:rsid w:val="00B25642"/>
    <w:rsid w:val="00B26E53"/>
    <w:rsid w:val="00B30788"/>
    <w:rsid w:val="00B30C43"/>
    <w:rsid w:val="00B30E60"/>
    <w:rsid w:val="00B30FC1"/>
    <w:rsid w:val="00B3196D"/>
    <w:rsid w:val="00B31AFD"/>
    <w:rsid w:val="00B31DAC"/>
    <w:rsid w:val="00B32660"/>
    <w:rsid w:val="00B3407E"/>
    <w:rsid w:val="00B34139"/>
    <w:rsid w:val="00B34599"/>
    <w:rsid w:val="00B34667"/>
    <w:rsid w:val="00B348B5"/>
    <w:rsid w:val="00B3528C"/>
    <w:rsid w:val="00B35BF3"/>
    <w:rsid w:val="00B361CA"/>
    <w:rsid w:val="00B3711E"/>
    <w:rsid w:val="00B37612"/>
    <w:rsid w:val="00B377FC"/>
    <w:rsid w:val="00B3789D"/>
    <w:rsid w:val="00B404BB"/>
    <w:rsid w:val="00B41C57"/>
    <w:rsid w:val="00B41DDC"/>
    <w:rsid w:val="00B41DE8"/>
    <w:rsid w:val="00B42460"/>
    <w:rsid w:val="00B430CF"/>
    <w:rsid w:val="00B437AD"/>
    <w:rsid w:val="00B43C8D"/>
    <w:rsid w:val="00B43D90"/>
    <w:rsid w:val="00B44401"/>
    <w:rsid w:val="00B444DD"/>
    <w:rsid w:val="00B45197"/>
    <w:rsid w:val="00B4720B"/>
    <w:rsid w:val="00B47630"/>
    <w:rsid w:val="00B479ED"/>
    <w:rsid w:val="00B51E25"/>
    <w:rsid w:val="00B53268"/>
    <w:rsid w:val="00B533DF"/>
    <w:rsid w:val="00B53433"/>
    <w:rsid w:val="00B53709"/>
    <w:rsid w:val="00B53B48"/>
    <w:rsid w:val="00B540D2"/>
    <w:rsid w:val="00B5429F"/>
    <w:rsid w:val="00B54C51"/>
    <w:rsid w:val="00B56881"/>
    <w:rsid w:val="00B56A4C"/>
    <w:rsid w:val="00B57285"/>
    <w:rsid w:val="00B57DD7"/>
    <w:rsid w:val="00B60492"/>
    <w:rsid w:val="00B60962"/>
    <w:rsid w:val="00B61034"/>
    <w:rsid w:val="00B616B0"/>
    <w:rsid w:val="00B61954"/>
    <w:rsid w:val="00B6195A"/>
    <w:rsid w:val="00B62069"/>
    <w:rsid w:val="00B62744"/>
    <w:rsid w:val="00B6276E"/>
    <w:rsid w:val="00B62D86"/>
    <w:rsid w:val="00B63711"/>
    <w:rsid w:val="00B64354"/>
    <w:rsid w:val="00B64AF4"/>
    <w:rsid w:val="00B64C13"/>
    <w:rsid w:val="00B65778"/>
    <w:rsid w:val="00B65C35"/>
    <w:rsid w:val="00B67969"/>
    <w:rsid w:val="00B706B7"/>
    <w:rsid w:val="00B70E9B"/>
    <w:rsid w:val="00B71CF6"/>
    <w:rsid w:val="00B724E2"/>
    <w:rsid w:val="00B72C1D"/>
    <w:rsid w:val="00B73F3F"/>
    <w:rsid w:val="00B744AF"/>
    <w:rsid w:val="00B74826"/>
    <w:rsid w:val="00B74F7B"/>
    <w:rsid w:val="00B76B14"/>
    <w:rsid w:val="00B76EFD"/>
    <w:rsid w:val="00B81357"/>
    <w:rsid w:val="00B82447"/>
    <w:rsid w:val="00B82A1E"/>
    <w:rsid w:val="00B8308F"/>
    <w:rsid w:val="00B831F5"/>
    <w:rsid w:val="00B8573A"/>
    <w:rsid w:val="00B85952"/>
    <w:rsid w:val="00B903F5"/>
    <w:rsid w:val="00B9133D"/>
    <w:rsid w:val="00B91B06"/>
    <w:rsid w:val="00B922FA"/>
    <w:rsid w:val="00B927B5"/>
    <w:rsid w:val="00B92EF8"/>
    <w:rsid w:val="00B93BED"/>
    <w:rsid w:val="00B93F16"/>
    <w:rsid w:val="00B94090"/>
    <w:rsid w:val="00B9420B"/>
    <w:rsid w:val="00B95085"/>
    <w:rsid w:val="00B959A8"/>
    <w:rsid w:val="00B9633E"/>
    <w:rsid w:val="00B96708"/>
    <w:rsid w:val="00B96768"/>
    <w:rsid w:val="00B96A17"/>
    <w:rsid w:val="00B97005"/>
    <w:rsid w:val="00B97013"/>
    <w:rsid w:val="00B9796F"/>
    <w:rsid w:val="00B97A5B"/>
    <w:rsid w:val="00B97FA0"/>
    <w:rsid w:val="00BA066B"/>
    <w:rsid w:val="00BA092F"/>
    <w:rsid w:val="00BA0E07"/>
    <w:rsid w:val="00BA210B"/>
    <w:rsid w:val="00BA28A1"/>
    <w:rsid w:val="00BA2BD9"/>
    <w:rsid w:val="00BA309F"/>
    <w:rsid w:val="00BA3B0A"/>
    <w:rsid w:val="00BA56F9"/>
    <w:rsid w:val="00BA641F"/>
    <w:rsid w:val="00BA6AE8"/>
    <w:rsid w:val="00BA72EC"/>
    <w:rsid w:val="00BA79C3"/>
    <w:rsid w:val="00BB01BD"/>
    <w:rsid w:val="00BB02AC"/>
    <w:rsid w:val="00BB0EFB"/>
    <w:rsid w:val="00BB1510"/>
    <w:rsid w:val="00BB21CB"/>
    <w:rsid w:val="00BB2552"/>
    <w:rsid w:val="00BB2688"/>
    <w:rsid w:val="00BB280E"/>
    <w:rsid w:val="00BB3B21"/>
    <w:rsid w:val="00BB54C8"/>
    <w:rsid w:val="00BB68D9"/>
    <w:rsid w:val="00BB6A21"/>
    <w:rsid w:val="00BC0A78"/>
    <w:rsid w:val="00BC0D56"/>
    <w:rsid w:val="00BC0DE6"/>
    <w:rsid w:val="00BC1404"/>
    <w:rsid w:val="00BC1519"/>
    <w:rsid w:val="00BC2842"/>
    <w:rsid w:val="00BC2F8D"/>
    <w:rsid w:val="00BC300C"/>
    <w:rsid w:val="00BC4EC9"/>
    <w:rsid w:val="00BC58FF"/>
    <w:rsid w:val="00BC6751"/>
    <w:rsid w:val="00BC7600"/>
    <w:rsid w:val="00BD03D9"/>
    <w:rsid w:val="00BD15B8"/>
    <w:rsid w:val="00BD2379"/>
    <w:rsid w:val="00BD2CA2"/>
    <w:rsid w:val="00BD33C5"/>
    <w:rsid w:val="00BD46BF"/>
    <w:rsid w:val="00BD494B"/>
    <w:rsid w:val="00BD4E5B"/>
    <w:rsid w:val="00BD652D"/>
    <w:rsid w:val="00BD6DCD"/>
    <w:rsid w:val="00BD6FF5"/>
    <w:rsid w:val="00BE1B8C"/>
    <w:rsid w:val="00BE2F39"/>
    <w:rsid w:val="00BE32F3"/>
    <w:rsid w:val="00BE3597"/>
    <w:rsid w:val="00BE3983"/>
    <w:rsid w:val="00BE39CB"/>
    <w:rsid w:val="00BE3D97"/>
    <w:rsid w:val="00BE6121"/>
    <w:rsid w:val="00BE7A40"/>
    <w:rsid w:val="00BE7C57"/>
    <w:rsid w:val="00BF0667"/>
    <w:rsid w:val="00BF0A0A"/>
    <w:rsid w:val="00BF1348"/>
    <w:rsid w:val="00BF2270"/>
    <w:rsid w:val="00BF263E"/>
    <w:rsid w:val="00BF2723"/>
    <w:rsid w:val="00BF31EF"/>
    <w:rsid w:val="00BF3232"/>
    <w:rsid w:val="00BF3247"/>
    <w:rsid w:val="00BF44A5"/>
    <w:rsid w:val="00BF5814"/>
    <w:rsid w:val="00BF751E"/>
    <w:rsid w:val="00BF7C53"/>
    <w:rsid w:val="00C00085"/>
    <w:rsid w:val="00C00710"/>
    <w:rsid w:val="00C01EFE"/>
    <w:rsid w:val="00C01F94"/>
    <w:rsid w:val="00C024D3"/>
    <w:rsid w:val="00C02E7A"/>
    <w:rsid w:val="00C034B7"/>
    <w:rsid w:val="00C05670"/>
    <w:rsid w:val="00C07959"/>
    <w:rsid w:val="00C10DD5"/>
    <w:rsid w:val="00C13C3E"/>
    <w:rsid w:val="00C1475A"/>
    <w:rsid w:val="00C16A23"/>
    <w:rsid w:val="00C16B84"/>
    <w:rsid w:val="00C171E1"/>
    <w:rsid w:val="00C1733A"/>
    <w:rsid w:val="00C20D1E"/>
    <w:rsid w:val="00C20D1F"/>
    <w:rsid w:val="00C20E54"/>
    <w:rsid w:val="00C210D8"/>
    <w:rsid w:val="00C21107"/>
    <w:rsid w:val="00C2156C"/>
    <w:rsid w:val="00C22F4C"/>
    <w:rsid w:val="00C23121"/>
    <w:rsid w:val="00C2357E"/>
    <w:rsid w:val="00C23EBB"/>
    <w:rsid w:val="00C2538E"/>
    <w:rsid w:val="00C259C2"/>
    <w:rsid w:val="00C266E3"/>
    <w:rsid w:val="00C26A23"/>
    <w:rsid w:val="00C27EFE"/>
    <w:rsid w:val="00C27F0D"/>
    <w:rsid w:val="00C30802"/>
    <w:rsid w:val="00C30DC3"/>
    <w:rsid w:val="00C31318"/>
    <w:rsid w:val="00C31489"/>
    <w:rsid w:val="00C319C1"/>
    <w:rsid w:val="00C324EB"/>
    <w:rsid w:val="00C325F9"/>
    <w:rsid w:val="00C32E46"/>
    <w:rsid w:val="00C33E24"/>
    <w:rsid w:val="00C34147"/>
    <w:rsid w:val="00C34239"/>
    <w:rsid w:val="00C344CE"/>
    <w:rsid w:val="00C350BF"/>
    <w:rsid w:val="00C3559F"/>
    <w:rsid w:val="00C35683"/>
    <w:rsid w:val="00C35DAE"/>
    <w:rsid w:val="00C360CF"/>
    <w:rsid w:val="00C3633A"/>
    <w:rsid w:val="00C366D8"/>
    <w:rsid w:val="00C3694D"/>
    <w:rsid w:val="00C37C1E"/>
    <w:rsid w:val="00C4269F"/>
    <w:rsid w:val="00C4280D"/>
    <w:rsid w:val="00C42AB1"/>
    <w:rsid w:val="00C4315D"/>
    <w:rsid w:val="00C44AF6"/>
    <w:rsid w:val="00C4528F"/>
    <w:rsid w:val="00C4619A"/>
    <w:rsid w:val="00C46490"/>
    <w:rsid w:val="00C47306"/>
    <w:rsid w:val="00C47633"/>
    <w:rsid w:val="00C503A7"/>
    <w:rsid w:val="00C50822"/>
    <w:rsid w:val="00C50F77"/>
    <w:rsid w:val="00C511C1"/>
    <w:rsid w:val="00C51564"/>
    <w:rsid w:val="00C52E38"/>
    <w:rsid w:val="00C52F14"/>
    <w:rsid w:val="00C54CCC"/>
    <w:rsid w:val="00C558EC"/>
    <w:rsid w:val="00C57830"/>
    <w:rsid w:val="00C57AD2"/>
    <w:rsid w:val="00C61AB5"/>
    <w:rsid w:val="00C62AD0"/>
    <w:rsid w:val="00C63E06"/>
    <w:rsid w:val="00C666AD"/>
    <w:rsid w:val="00C667D8"/>
    <w:rsid w:val="00C67BCD"/>
    <w:rsid w:val="00C67E4A"/>
    <w:rsid w:val="00C71591"/>
    <w:rsid w:val="00C73622"/>
    <w:rsid w:val="00C74370"/>
    <w:rsid w:val="00C7536A"/>
    <w:rsid w:val="00C75994"/>
    <w:rsid w:val="00C760E5"/>
    <w:rsid w:val="00C77B8F"/>
    <w:rsid w:val="00C80138"/>
    <w:rsid w:val="00C81301"/>
    <w:rsid w:val="00C82A54"/>
    <w:rsid w:val="00C82BA4"/>
    <w:rsid w:val="00C832C3"/>
    <w:rsid w:val="00C8330F"/>
    <w:rsid w:val="00C83D15"/>
    <w:rsid w:val="00C83DB3"/>
    <w:rsid w:val="00C84C3D"/>
    <w:rsid w:val="00C85ABD"/>
    <w:rsid w:val="00C85DD8"/>
    <w:rsid w:val="00C87F75"/>
    <w:rsid w:val="00C90103"/>
    <w:rsid w:val="00C907CF"/>
    <w:rsid w:val="00C925AF"/>
    <w:rsid w:val="00C92B9D"/>
    <w:rsid w:val="00C934ED"/>
    <w:rsid w:val="00C94CBB"/>
    <w:rsid w:val="00C964FE"/>
    <w:rsid w:val="00C965DE"/>
    <w:rsid w:val="00C97103"/>
    <w:rsid w:val="00C97271"/>
    <w:rsid w:val="00CA0202"/>
    <w:rsid w:val="00CA08C3"/>
    <w:rsid w:val="00CA25DC"/>
    <w:rsid w:val="00CA28A1"/>
    <w:rsid w:val="00CA2EA3"/>
    <w:rsid w:val="00CA30B7"/>
    <w:rsid w:val="00CA3AC8"/>
    <w:rsid w:val="00CA4065"/>
    <w:rsid w:val="00CA4095"/>
    <w:rsid w:val="00CA4A1F"/>
    <w:rsid w:val="00CA4A7B"/>
    <w:rsid w:val="00CA5F1C"/>
    <w:rsid w:val="00CA5F6F"/>
    <w:rsid w:val="00CA60EB"/>
    <w:rsid w:val="00CA7B01"/>
    <w:rsid w:val="00CA7B9C"/>
    <w:rsid w:val="00CB04DF"/>
    <w:rsid w:val="00CB0E7B"/>
    <w:rsid w:val="00CB1514"/>
    <w:rsid w:val="00CB29BE"/>
    <w:rsid w:val="00CB2A77"/>
    <w:rsid w:val="00CB36C9"/>
    <w:rsid w:val="00CB3A0E"/>
    <w:rsid w:val="00CB42C3"/>
    <w:rsid w:val="00CB453C"/>
    <w:rsid w:val="00CB5514"/>
    <w:rsid w:val="00CB6622"/>
    <w:rsid w:val="00CB7117"/>
    <w:rsid w:val="00CB778C"/>
    <w:rsid w:val="00CB7E85"/>
    <w:rsid w:val="00CC01CD"/>
    <w:rsid w:val="00CC0DD5"/>
    <w:rsid w:val="00CC12A0"/>
    <w:rsid w:val="00CC241F"/>
    <w:rsid w:val="00CC3770"/>
    <w:rsid w:val="00CC37B2"/>
    <w:rsid w:val="00CC3A89"/>
    <w:rsid w:val="00CC462A"/>
    <w:rsid w:val="00CC5DBF"/>
    <w:rsid w:val="00CC67DE"/>
    <w:rsid w:val="00CD0B3E"/>
    <w:rsid w:val="00CD1571"/>
    <w:rsid w:val="00CD1AC8"/>
    <w:rsid w:val="00CD21A4"/>
    <w:rsid w:val="00CD245B"/>
    <w:rsid w:val="00CD2C49"/>
    <w:rsid w:val="00CD3138"/>
    <w:rsid w:val="00CD3839"/>
    <w:rsid w:val="00CD50C4"/>
    <w:rsid w:val="00CD50E3"/>
    <w:rsid w:val="00CD6051"/>
    <w:rsid w:val="00CD65CA"/>
    <w:rsid w:val="00CD702E"/>
    <w:rsid w:val="00CE09C0"/>
    <w:rsid w:val="00CE1836"/>
    <w:rsid w:val="00CE30DB"/>
    <w:rsid w:val="00CE4004"/>
    <w:rsid w:val="00CE43DC"/>
    <w:rsid w:val="00CE43EB"/>
    <w:rsid w:val="00CE6329"/>
    <w:rsid w:val="00CE63AA"/>
    <w:rsid w:val="00CF03D4"/>
    <w:rsid w:val="00CF159D"/>
    <w:rsid w:val="00CF16A8"/>
    <w:rsid w:val="00CF17DE"/>
    <w:rsid w:val="00CF1EC8"/>
    <w:rsid w:val="00CF30DD"/>
    <w:rsid w:val="00CF3162"/>
    <w:rsid w:val="00CF337B"/>
    <w:rsid w:val="00CF3B7D"/>
    <w:rsid w:val="00CF3F52"/>
    <w:rsid w:val="00CF4FF3"/>
    <w:rsid w:val="00CF5CDF"/>
    <w:rsid w:val="00CF5DDC"/>
    <w:rsid w:val="00CF6F31"/>
    <w:rsid w:val="00D01261"/>
    <w:rsid w:val="00D01C80"/>
    <w:rsid w:val="00D02172"/>
    <w:rsid w:val="00D0467B"/>
    <w:rsid w:val="00D0484A"/>
    <w:rsid w:val="00D05383"/>
    <w:rsid w:val="00D05768"/>
    <w:rsid w:val="00D05C5B"/>
    <w:rsid w:val="00D0616E"/>
    <w:rsid w:val="00D06288"/>
    <w:rsid w:val="00D0648B"/>
    <w:rsid w:val="00D068C4"/>
    <w:rsid w:val="00D06988"/>
    <w:rsid w:val="00D06BD9"/>
    <w:rsid w:val="00D07803"/>
    <w:rsid w:val="00D07999"/>
    <w:rsid w:val="00D07D11"/>
    <w:rsid w:val="00D10A48"/>
    <w:rsid w:val="00D11811"/>
    <w:rsid w:val="00D11ED2"/>
    <w:rsid w:val="00D11EE4"/>
    <w:rsid w:val="00D122DB"/>
    <w:rsid w:val="00D137B9"/>
    <w:rsid w:val="00D15579"/>
    <w:rsid w:val="00D162D7"/>
    <w:rsid w:val="00D165BB"/>
    <w:rsid w:val="00D17CC2"/>
    <w:rsid w:val="00D17F19"/>
    <w:rsid w:val="00D20829"/>
    <w:rsid w:val="00D20F6C"/>
    <w:rsid w:val="00D2109D"/>
    <w:rsid w:val="00D210FB"/>
    <w:rsid w:val="00D215D8"/>
    <w:rsid w:val="00D22AE4"/>
    <w:rsid w:val="00D22DDB"/>
    <w:rsid w:val="00D2302B"/>
    <w:rsid w:val="00D24374"/>
    <w:rsid w:val="00D2440B"/>
    <w:rsid w:val="00D244C3"/>
    <w:rsid w:val="00D2504B"/>
    <w:rsid w:val="00D25C3E"/>
    <w:rsid w:val="00D270DA"/>
    <w:rsid w:val="00D300B1"/>
    <w:rsid w:val="00D307BA"/>
    <w:rsid w:val="00D30969"/>
    <w:rsid w:val="00D31059"/>
    <w:rsid w:val="00D31200"/>
    <w:rsid w:val="00D32262"/>
    <w:rsid w:val="00D32A89"/>
    <w:rsid w:val="00D3343F"/>
    <w:rsid w:val="00D33F4A"/>
    <w:rsid w:val="00D340E3"/>
    <w:rsid w:val="00D342BC"/>
    <w:rsid w:val="00D3541C"/>
    <w:rsid w:val="00D35AC4"/>
    <w:rsid w:val="00D410FA"/>
    <w:rsid w:val="00D4139C"/>
    <w:rsid w:val="00D42562"/>
    <w:rsid w:val="00D42CE7"/>
    <w:rsid w:val="00D4390D"/>
    <w:rsid w:val="00D44A2A"/>
    <w:rsid w:val="00D4532E"/>
    <w:rsid w:val="00D46057"/>
    <w:rsid w:val="00D46950"/>
    <w:rsid w:val="00D47722"/>
    <w:rsid w:val="00D47A7C"/>
    <w:rsid w:val="00D47D38"/>
    <w:rsid w:val="00D47D46"/>
    <w:rsid w:val="00D50BCD"/>
    <w:rsid w:val="00D50C20"/>
    <w:rsid w:val="00D50F83"/>
    <w:rsid w:val="00D5102B"/>
    <w:rsid w:val="00D515F8"/>
    <w:rsid w:val="00D52F2C"/>
    <w:rsid w:val="00D54146"/>
    <w:rsid w:val="00D55D0B"/>
    <w:rsid w:val="00D60305"/>
    <w:rsid w:val="00D60AFB"/>
    <w:rsid w:val="00D6160F"/>
    <w:rsid w:val="00D61753"/>
    <w:rsid w:val="00D628AB"/>
    <w:rsid w:val="00D64929"/>
    <w:rsid w:val="00D64FF2"/>
    <w:rsid w:val="00D65381"/>
    <w:rsid w:val="00D6622B"/>
    <w:rsid w:val="00D66810"/>
    <w:rsid w:val="00D67BEB"/>
    <w:rsid w:val="00D7033B"/>
    <w:rsid w:val="00D70879"/>
    <w:rsid w:val="00D71608"/>
    <w:rsid w:val="00D71C68"/>
    <w:rsid w:val="00D7247F"/>
    <w:rsid w:val="00D724E2"/>
    <w:rsid w:val="00D731E9"/>
    <w:rsid w:val="00D73EE9"/>
    <w:rsid w:val="00D7428D"/>
    <w:rsid w:val="00D74EF0"/>
    <w:rsid w:val="00D756EF"/>
    <w:rsid w:val="00D76BEF"/>
    <w:rsid w:val="00D76E46"/>
    <w:rsid w:val="00D7737E"/>
    <w:rsid w:val="00D77E37"/>
    <w:rsid w:val="00D808C6"/>
    <w:rsid w:val="00D822FD"/>
    <w:rsid w:val="00D84094"/>
    <w:rsid w:val="00D84FB3"/>
    <w:rsid w:val="00D867E8"/>
    <w:rsid w:val="00D873BB"/>
    <w:rsid w:val="00D90A02"/>
    <w:rsid w:val="00D92137"/>
    <w:rsid w:val="00D9253C"/>
    <w:rsid w:val="00D92964"/>
    <w:rsid w:val="00D935B4"/>
    <w:rsid w:val="00D941EA"/>
    <w:rsid w:val="00D94468"/>
    <w:rsid w:val="00D94939"/>
    <w:rsid w:val="00D96DAA"/>
    <w:rsid w:val="00D976FC"/>
    <w:rsid w:val="00DA1509"/>
    <w:rsid w:val="00DA204C"/>
    <w:rsid w:val="00DA4A66"/>
    <w:rsid w:val="00DA4AA7"/>
    <w:rsid w:val="00DA52A0"/>
    <w:rsid w:val="00DA5B1C"/>
    <w:rsid w:val="00DA6B3E"/>
    <w:rsid w:val="00DA7A53"/>
    <w:rsid w:val="00DB073F"/>
    <w:rsid w:val="00DB08CE"/>
    <w:rsid w:val="00DB1ADD"/>
    <w:rsid w:val="00DB1E16"/>
    <w:rsid w:val="00DB2A33"/>
    <w:rsid w:val="00DB3083"/>
    <w:rsid w:val="00DB42F0"/>
    <w:rsid w:val="00DB5711"/>
    <w:rsid w:val="00DB60B0"/>
    <w:rsid w:val="00DB619F"/>
    <w:rsid w:val="00DB6671"/>
    <w:rsid w:val="00DB6A33"/>
    <w:rsid w:val="00DB6F2C"/>
    <w:rsid w:val="00DB7636"/>
    <w:rsid w:val="00DB78B0"/>
    <w:rsid w:val="00DB7C3B"/>
    <w:rsid w:val="00DC062E"/>
    <w:rsid w:val="00DC0931"/>
    <w:rsid w:val="00DC0969"/>
    <w:rsid w:val="00DC0EFD"/>
    <w:rsid w:val="00DC19EA"/>
    <w:rsid w:val="00DC1F59"/>
    <w:rsid w:val="00DC378F"/>
    <w:rsid w:val="00DC3C58"/>
    <w:rsid w:val="00DC45DF"/>
    <w:rsid w:val="00DC575D"/>
    <w:rsid w:val="00DC5ADB"/>
    <w:rsid w:val="00DC5E63"/>
    <w:rsid w:val="00DC6F77"/>
    <w:rsid w:val="00DD0516"/>
    <w:rsid w:val="00DD054C"/>
    <w:rsid w:val="00DD17EA"/>
    <w:rsid w:val="00DD354F"/>
    <w:rsid w:val="00DD3916"/>
    <w:rsid w:val="00DD3FF1"/>
    <w:rsid w:val="00DD521F"/>
    <w:rsid w:val="00DD5336"/>
    <w:rsid w:val="00DD5A11"/>
    <w:rsid w:val="00DD5A59"/>
    <w:rsid w:val="00DD6052"/>
    <w:rsid w:val="00DD67DF"/>
    <w:rsid w:val="00DD712F"/>
    <w:rsid w:val="00DE0536"/>
    <w:rsid w:val="00DE0AC6"/>
    <w:rsid w:val="00DE1359"/>
    <w:rsid w:val="00DE22C5"/>
    <w:rsid w:val="00DE27AF"/>
    <w:rsid w:val="00DE27EF"/>
    <w:rsid w:val="00DE31DD"/>
    <w:rsid w:val="00DE3514"/>
    <w:rsid w:val="00DE4952"/>
    <w:rsid w:val="00DE60DB"/>
    <w:rsid w:val="00DF0D48"/>
    <w:rsid w:val="00DF181A"/>
    <w:rsid w:val="00DF1B9E"/>
    <w:rsid w:val="00DF35CC"/>
    <w:rsid w:val="00DF3661"/>
    <w:rsid w:val="00DF44CB"/>
    <w:rsid w:val="00DF467D"/>
    <w:rsid w:val="00DF4C06"/>
    <w:rsid w:val="00DF5601"/>
    <w:rsid w:val="00DF57F9"/>
    <w:rsid w:val="00DF6276"/>
    <w:rsid w:val="00DF62F4"/>
    <w:rsid w:val="00E00281"/>
    <w:rsid w:val="00E002D1"/>
    <w:rsid w:val="00E00AAE"/>
    <w:rsid w:val="00E00D0C"/>
    <w:rsid w:val="00E01D28"/>
    <w:rsid w:val="00E02127"/>
    <w:rsid w:val="00E025D2"/>
    <w:rsid w:val="00E02ED8"/>
    <w:rsid w:val="00E03A2F"/>
    <w:rsid w:val="00E03B8A"/>
    <w:rsid w:val="00E04607"/>
    <w:rsid w:val="00E0521A"/>
    <w:rsid w:val="00E070FA"/>
    <w:rsid w:val="00E106E5"/>
    <w:rsid w:val="00E12330"/>
    <w:rsid w:val="00E12B44"/>
    <w:rsid w:val="00E132D9"/>
    <w:rsid w:val="00E14E81"/>
    <w:rsid w:val="00E15208"/>
    <w:rsid w:val="00E1617A"/>
    <w:rsid w:val="00E164C6"/>
    <w:rsid w:val="00E16788"/>
    <w:rsid w:val="00E16F66"/>
    <w:rsid w:val="00E17F0B"/>
    <w:rsid w:val="00E2031B"/>
    <w:rsid w:val="00E20B01"/>
    <w:rsid w:val="00E21259"/>
    <w:rsid w:val="00E2211E"/>
    <w:rsid w:val="00E227ED"/>
    <w:rsid w:val="00E22F54"/>
    <w:rsid w:val="00E2361F"/>
    <w:rsid w:val="00E24D77"/>
    <w:rsid w:val="00E25D62"/>
    <w:rsid w:val="00E265D8"/>
    <w:rsid w:val="00E26642"/>
    <w:rsid w:val="00E30297"/>
    <w:rsid w:val="00E31AA2"/>
    <w:rsid w:val="00E31E58"/>
    <w:rsid w:val="00E32FC2"/>
    <w:rsid w:val="00E33FB0"/>
    <w:rsid w:val="00E347F6"/>
    <w:rsid w:val="00E35EAB"/>
    <w:rsid w:val="00E35F99"/>
    <w:rsid w:val="00E3613B"/>
    <w:rsid w:val="00E36FC7"/>
    <w:rsid w:val="00E37870"/>
    <w:rsid w:val="00E37A79"/>
    <w:rsid w:val="00E4159D"/>
    <w:rsid w:val="00E41797"/>
    <w:rsid w:val="00E41A9D"/>
    <w:rsid w:val="00E42090"/>
    <w:rsid w:val="00E423DB"/>
    <w:rsid w:val="00E4330B"/>
    <w:rsid w:val="00E43ADB"/>
    <w:rsid w:val="00E43BE6"/>
    <w:rsid w:val="00E43FED"/>
    <w:rsid w:val="00E44499"/>
    <w:rsid w:val="00E45192"/>
    <w:rsid w:val="00E45CA4"/>
    <w:rsid w:val="00E45D1E"/>
    <w:rsid w:val="00E46169"/>
    <w:rsid w:val="00E467D4"/>
    <w:rsid w:val="00E473E5"/>
    <w:rsid w:val="00E47ADD"/>
    <w:rsid w:val="00E50322"/>
    <w:rsid w:val="00E50725"/>
    <w:rsid w:val="00E50B60"/>
    <w:rsid w:val="00E52C90"/>
    <w:rsid w:val="00E531CE"/>
    <w:rsid w:val="00E54381"/>
    <w:rsid w:val="00E55E8D"/>
    <w:rsid w:val="00E561EC"/>
    <w:rsid w:val="00E56A2D"/>
    <w:rsid w:val="00E56EE2"/>
    <w:rsid w:val="00E57456"/>
    <w:rsid w:val="00E574C1"/>
    <w:rsid w:val="00E57792"/>
    <w:rsid w:val="00E57B81"/>
    <w:rsid w:val="00E57EA4"/>
    <w:rsid w:val="00E60E5D"/>
    <w:rsid w:val="00E61D03"/>
    <w:rsid w:val="00E623A8"/>
    <w:rsid w:val="00E631B6"/>
    <w:rsid w:val="00E6329D"/>
    <w:rsid w:val="00E6385E"/>
    <w:rsid w:val="00E64B1E"/>
    <w:rsid w:val="00E65538"/>
    <w:rsid w:val="00E655BE"/>
    <w:rsid w:val="00E6614B"/>
    <w:rsid w:val="00E66682"/>
    <w:rsid w:val="00E66F26"/>
    <w:rsid w:val="00E70314"/>
    <w:rsid w:val="00E706AE"/>
    <w:rsid w:val="00E70710"/>
    <w:rsid w:val="00E70A25"/>
    <w:rsid w:val="00E71A06"/>
    <w:rsid w:val="00E71CED"/>
    <w:rsid w:val="00E73626"/>
    <w:rsid w:val="00E73AF7"/>
    <w:rsid w:val="00E75650"/>
    <w:rsid w:val="00E761DE"/>
    <w:rsid w:val="00E76B60"/>
    <w:rsid w:val="00E77D16"/>
    <w:rsid w:val="00E7C18B"/>
    <w:rsid w:val="00E801AA"/>
    <w:rsid w:val="00E80564"/>
    <w:rsid w:val="00E8113E"/>
    <w:rsid w:val="00E8144E"/>
    <w:rsid w:val="00E81FF8"/>
    <w:rsid w:val="00E827E5"/>
    <w:rsid w:val="00E82AFB"/>
    <w:rsid w:val="00E82C2E"/>
    <w:rsid w:val="00E90856"/>
    <w:rsid w:val="00E90AC7"/>
    <w:rsid w:val="00E911CD"/>
    <w:rsid w:val="00E91737"/>
    <w:rsid w:val="00E91F1D"/>
    <w:rsid w:val="00E928CF"/>
    <w:rsid w:val="00E93215"/>
    <w:rsid w:val="00E9395F"/>
    <w:rsid w:val="00E93987"/>
    <w:rsid w:val="00E93CD8"/>
    <w:rsid w:val="00E96CA5"/>
    <w:rsid w:val="00E9706C"/>
    <w:rsid w:val="00EA0DBE"/>
    <w:rsid w:val="00EA1884"/>
    <w:rsid w:val="00EA22C1"/>
    <w:rsid w:val="00EA2DBE"/>
    <w:rsid w:val="00EA3AA6"/>
    <w:rsid w:val="00EA4C49"/>
    <w:rsid w:val="00EA7432"/>
    <w:rsid w:val="00EA74EA"/>
    <w:rsid w:val="00EA759B"/>
    <w:rsid w:val="00EB05B0"/>
    <w:rsid w:val="00EB0612"/>
    <w:rsid w:val="00EB2293"/>
    <w:rsid w:val="00EB2E99"/>
    <w:rsid w:val="00EB5195"/>
    <w:rsid w:val="00EB6FF9"/>
    <w:rsid w:val="00EB753C"/>
    <w:rsid w:val="00EC0498"/>
    <w:rsid w:val="00EC0601"/>
    <w:rsid w:val="00EC0756"/>
    <w:rsid w:val="00EC15FF"/>
    <w:rsid w:val="00EC1822"/>
    <w:rsid w:val="00EC1909"/>
    <w:rsid w:val="00EC2903"/>
    <w:rsid w:val="00EC32E6"/>
    <w:rsid w:val="00EC3B38"/>
    <w:rsid w:val="00EC5414"/>
    <w:rsid w:val="00ED0380"/>
    <w:rsid w:val="00ED0F1A"/>
    <w:rsid w:val="00ED14DB"/>
    <w:rsid w:val="00ED1724"/>
    <w:rsid w:val="00ED1C0B"/>
    <w:rsid w:val="00ED2713"/>
    <w:rsid w:val="00ED3E09"/>
    <w:rsid w:val="00ED42C1"/>
    <w:rsid w:val="00ED4AB1"/>
    <w:rsid w:val="00ED60F8"/>
    <w:rsid w:val="00ED68D8"/>
    <w:rsid w:val="00ED6B07"/>
    <w:rsid w:val="00ED7E16"/>
    <w:rsid w:val="00EE1C12"/>
    <w:rsid w:val="00EE26D8"/>
    <w:rsid w:val="00EE27AF"/>
    <w:rsid w:val="00EE319B"/>
    <w:rsid w:val="00EE3C84"/>
    <w:rsid w:val="00EE3D76"/>
    <w:rsid w:val="00EE486E"/>
    <w:rsid w:val="00EE6092"/>
    <w:rsid w:val="00EE66A9"/>
    <w:rsid w:val="00EE690F"/>
    <w:rsid w:val="00EF024E"/>
    <w:rsid w:val="00EF09ED"/>
    <w:rsid w:val="00EF0A6B"/>
    <w:rsid w:val="00EF14BB"/>
    <w:rsid w:val="00EF1D2F"/>
    <w:rsid w:val="00EF2734"/>
    <w:rsid w:val="00EF2F26"/>
    <w:rsid w:val="00EF381E"/>
    <w:rsid w:val="00EF4A31"/>
    <w:rsid w:val="00EF4CEE"/>
    <w:rsid w:val="00EF57D3"/>
    <w:rsid w:val="00EF5FD7"/>
    <w:rsid w:val="00EF615F"/>
    <w:rsid w:val="00F00140"/>
    <w:rsid w:val="00F003E8"/>
    <w:rsid w:val="00F03A8E"/>
    <w:rsid w:val="00F04C40"/>
    <w:rsid w:val="00F05C5A"/>
    <w:rsid w:val="00F065E2"/>
    <w:rsid w:val="00F07087"/>
    <w:rsid w:val="00F10700"/>
    <w:rsid w:val="00F10ED1"/>
    <w:rsid w:val="00F10F59"/>
    <w:rsid w:val="00F11C77"/>
    <w:rsid w:val="00F1278F"/>
    <w:rsid w:val="00F1432A"/>
    <w:rsid w:val="00F14640"/>
    <w:rsid w:val="00F15587"/>
    <w:rsid w:val="00F15BB0"/>
    <w:rsid w:val="00F1660A"/>
    <w:rsid w:val="00F16822"/>
    <w:rsid w:val="00F17763"/>
    <w:rsid w:val="00F17790"/>
    <w:rsid w:val="00F20643"/>
    <w:rsid w:val="00F21192"/>
    <w:rsid w:val="00F21C03"/>
    <w:rsid w:val="00F23049"/>
    <w:rsid w:val="00F23849"/>
    <w:rsid w:val="00F24996"/>
    <w:rsid w:val="00F24CC3"/>
    <w:rsid w:val="00F26027"/>
    <w:rsid w:val="00F2622B"/>
    <w:rsid w:val="00F30825"/>
    <w:rsid w:val="00F30E07"/>
    <w:rsid w:val="00F31A9C"/>
    <w:rsid w:val="00F330A1"/>
    <w:rsid w:val="00F3373A"/>
    <w:rsid w:val="00F33AC7"/>
    <w:rsid w:val="00F342CA"/>
    <w:rsid w:val="00F34C4F"/>
    <w:rsid w:val="00F34E84"/>
    <w:rsid w:val="00F363D5"/>
    <w:rsid w:val="00F3643A"/>
    <w:rsid w:val="00F36630"/>
    <w:rsid w:val="00F368D3"/>
    <w:rsid w:val="00F36EDA"/>
    <w:rsid w:val="00F3710B"/>
    <w:rsid w:val="00F375AB"/>
    <w:rsid w:val="00F400B0"/>
    <w:rsid w:val="00F416A4"/>
    <w:rsid w:val="00F41802"/>
    <w:rsid w:val="00F43134"/>
    <w:rsid w:val="00F445E1"/>
    <w:rsid w:val="00F44681"/>
    <w:rsid w:val="00F44FB6"/>
    <w:rsid w:val="00F45773"/>
    <w:rsid w:val="00F45846"/>
    <w:rsid w:val="00F4719A"/>
    <w:rsid w:val="00F47BBA"/>
    <w:rsid w:val="00F47E95"/>
    <w:rsid w:val="00F50035"/>
    <w:rsid w:val="00F500C4"/>
    <w:rsid w:val="00F501E0"/>
    <w:rsid w:val="00F50B59"/>
    <w:rsid w:val="00F51063"/>
    <w:rsid w:val="00F5110C"/>
    <w:rsid w:val="00F51CB0"/>
    <w:rsid w:val="00F51F8B"/>
    <w:rsid w:val="00F5256B"/>
    <w:rsid w:val="00F52577"/>
    <w:rsid w:val="00F525B3"/>
    <w:rsid w:val="00F545B7"/>
    <w:rsid w:val="00F557BA"/>
    <w:rsid w:val="00F565AF"/>
    <w:rsid w:val="00F57229"/>
    <w:rsid w:val="00F576DF"/>
    <w:rsid w:val="00F57804"/>
    <w:rsid w:val="00F602AC"/>
    <w:rsid w:val="00F60521"/>
    <w:rsid w:val="00F60893"/>
    <w:rsid w:val="00F613FD"/>
    <w:rsid w:val="00F61E83"/>
    <w:rsid w:val="00F6252E"/>
    <w:rsid w:val="00F62674"/>
    <w:rsid w:val="00F6296A"/>
    <w:rsid w:val="00F63CEB"/>
    <w:rsid w:val="00F64A35"/>
    <w:rsid w:val="00F650E0"/>
    <w:rsid w:val="00F65515"/>
    <w:rsid w:val="00F65DFE"/>
    <w:rsid w:val="00F65F79"/>
    <w:rsid w:val="00F666A7"/>
    <w:rsid w:val="00F66990"/>
    <w:rsid w:val="00F67A6A"/>
    <w:rsid w:val="00F67CCC"/>
    <w:rsid w:val="00F71948"/>
    <w:rsid w:val="00F71A50"/>
    <w:rsid w:val="00F72091"/>
    <w:rsid w:val="00F72290"/>
    <w:rsid w:val="00F722A0"/>
    <w:rsid w:val="00F728D2"/>
    <w:rsid w:val="00F745B1"/>
    <w:rsid w:val="00F75098"/>
    <w:rsid w:val="00F75CF2"/>
    <w:rsid w:val="00F75DE8"/>
    <w:rsid w:val="00F76656"/>
    <w:rsid w:val="00F7689A"/>
    <w:rsid w:val="00F77300"/>
    <w:rsid w:val="00F7734E"/>
    <w:rsid w:val="00F77858"/>
    <w:rsid w:val="00F8004D"/>
    <w:rsid w:val="00F804EA"/>
    <w:rsid w:val="00F814D8"/>
    <w:rsid w:val="00F82EB5"/>
    <w:rsid w:val="00F83086"/>
    <w:rsid w:val="00F83224"/>
    <w:rsid w:val="00F842FD"/>
    <w:rsid w:val="00F84B04"/>
    <w:rsid w:val="00F85632"/>
    <w:rsid w:val="00F85A61"/>
    <w:rsid w:val="00F860B4"/>
    <w:rsid w:val="00F86B2D"/>
    <w:rsid w:val="00F87760"/>
    <w:rsid w:val="00F879A5"/>
    <w:rsid w:val="00F87C30"/>
    <w:rsid w:val="00F9128F"/>
    <w:rsid w:val="00F92499"/>
    <w:rsid w:val="00F929F2"/>
    <w:rsid w:val="00F940FC"/>
    <w:rsid w:val="00F9411C"/>
    <w:rsid w:val="00F94261"/>
    <w:rsid w:val="00F9541B"/>
    <w:rsid w:val="00F963D6"/>
    <w:rsid w:val="00F96A00"/>
    <w:rsid w:val="00F97EA0"/>
    <w:rsid w:val="00FA07F0"/>
    <w:rsid w:val="00FA12C0"/>
    <w:rsid w:val="00FA165D"/>
    <w:rsid w:val="00FA18D0"/>
    <w:rsid w:val="00FA4244"/>
    <w:rsid w:val="00FA478A"/>
    <w:rsid w:val="00FA4D55"/>
    <w:rsid w:val="00FA5D60"/>
    <w:rsid w:val="00FA5EEA"/>
    <w:rsid w:val="00FA5F98"/>
    <w:rsid w:val="00FA64D9"/>
    <w:rsid w:val="00FA6D2A"/>
    <w:rsid w:val="00FA7CB6"/>
    <w:rsid w:val="00FB043D"/>
    <w:rsid w:val="00FB1A6F"/>
    <w:rsid w:val="00FB2AB3"/>
    <w:rsid w:val="00FB401B"/>
    <w:rsid w:val="00FB4482"/>
    <w:rsid w:val="00FB4718"/>
    <w:rsid w:val="00FB48EF"/>
    <w:rsid w:val="00FB67AF"/>
    <w:rsid w:val="00FB7050"/>
    <w:rsid w:val="00FC0F4B"/>
    <w:rsid w:val="00FC244E"/>
    <w:rsid w:val="00FC2965"/>
    <w:rsid w:val="00FC2DE4"/>
    <w:rsid w:val="00FC34A7"/>
    <w:rsid w:val="00FC35FA"/>
    <w:rsid w:val="00FC4A04"/>
    <w:rsid w:val="00FC4E51"/>
    <w:rsid w:val="00FC6460"/>
    <w:rsid w:val="00FC7498"/>
    <w:rsid w:val="00FD0C7C"/>
    <w:rsid w:val="00FD0FC1"/>
    <w:rsid w:val="00FD1788"/>
    <w:rsid w:val="00FD31F7"/>
    <w:rsid w:val="00FD3801"/>
    <w:rsid w:val="00FD38B8"/>
    <w:rsid w:val="00FD3FC0"/>
    <w:rsid w:val="00FD436F"/>
    <w:rsid w:val="00FD4886"/>
    <w:rsid w:val="00FD4AB8"/>
    <w:rsid w:val="00FD544D"/>
    <w:rsid w:val="00FD5454"/>
    <w:rsid w:val="00FD6404"/>
    <w:rsid w:val="00FD64F3"/>
    <w:rsid w:val="00FD6BE0"/>
    <w:rsid w:val="00FE08FE"/>
    <w:rsid w:val="00FE16D9"/>
    <w:rsid w:val="00FE229E"/>
    <w:rsid w:val="00FE2858"/>
    <w:rsid w:val="00FE3183"/>
    <w:rsid w:val="00FE3BDA"/>
    <w:rsid w:val="00FE46FC"/>
    <w:rsid w:val="00FE5C7D"/>
    <w:rsid w:val="00FE6079"/>
    <w:rsid w:val="00FE683D"/>
    <w:rsid w:val="00FE6A98"/>
    <w:rsid w:val="00FE6C44"/>
    <w:rsid w:val="00FE6CAC"/>
    <w:rsid w:val="00FE6CC4"/>
    <w:rsid w:val="00FE7085"/>
    <w:rsid w:val="00FE75BF"/>
    <w:rsid w:val="00FE7E79"/>
    <w:rsid w:val="00FF00EE"/>
    <w:rsid w:val="00FF147A"/>
    <w:rsid w:val="00FF25B3"/>
    <w:rsid w:val="00FF28D5"/>
    <w:rsid w:val="00FF2F7F"/>
    <w:rsid w:val="00FF3477"/>
    <w:rsid w:val="00FF498B"/>
    <w:rsid w:val="00FF4AFC"/>
    <w:rsid w:val="00FF6451"/>
    <w:rsid w:val="00FF77E7"/>
    <w:rsid w:val="01344855"/>
    <w:rsid w:val="0144E981"/>
    <w:rsid w:val="01529938"/>
    <w:rsid w:val="0156C7BE"/>
    <w:rsid w:val="015C3257"/>
    <w:rsid w:val="015F4BC1"/>
    <w:rsid w:val="016EAB61"/>
    <w:rsid w:val="01785FCF"/>
    <w:rsid w:val="01799427"/>
    <w:rsid w:val="017A6C48"/>
    <w:rsid w:val="0182C921"/>
    <w:rsid w:val="01848D80"/>
    <w:rsid w:val="0184D272"/>
    <w:rsid w:val="0185B09F"/>
    <w:rsid w:val="018ED86D"/>
    <w:rsid w:val="01932F2C"/>
    <w:rsid w:val="019D9027"/>
    <w:rsid w:val="019F3372"/>
    <w:rsid w:val="01A57B1F"/>
    <w:rsid w:val="01A96AA0"/>
    <w:rsid w:val="01B4C54C"/>
    <w:rsid w:val="01B9A7CA"/>
    <w:rsid w:val="01D18416"/>
    <w:rsid w:val="01D4C5D1"/>
    <w:rsid w:val="01E1C2CE"/>
    <w:rsid w:val="01F2B9C1"/>
    <w:rsid w:val="01FB8A89"/>
    <w:rsid w:val="020FA074"/>
    <w:rsid w:val="02153B02"/>
    <w:rsid w:val="021F628C"/>
    <w:rsid w:val="022E7472"/>
    <w:rsid w:val="023B4D08"/>
    <w:rsid w:val="023BEE85"/>
    <w:rsid w:val="023DF474"/>
    <w:rsid w:val="02450F8C"/>
    <w:rsid w:val="0251AAAE"/>
    <w:rsid w:val="025E746E"/>
    <w:rsid w:val="02843E51"/>
    <w:rsid w:val="02A7F1E6"/>
    <w:rsid w:val="02B22AFC"/>
    <w:rsid w:val="02B3DE1A"/>
    <w:rsid w:val="02CBF391"/>
    <w:rsid w:val="02D3AE46"/>
    <w:rsid w:val="02DD3454"/>
    <w:rsid w:val="02DDA9D6"/>
    <w:rsid w:val="02F9BFAA"/>
    <w:rsid w:val="03047506"/>
    <w:rsid w:val="03054579"/>
    <w:rsid w:val="03065732"/>
    <w:rsid w:val="0319E873"/>
    <w:rsid w:val="032102D7"/>
    <w:rsid w:val="0321883B"/>
    <w:rsid w:val="0322A080"/>
    <w:rsid w:val="0328AC6E"/>
    <w:rsid w:val="033922A5"/>
    <w:rsid w:val="033A6D40"/>
    <w:rsid w:val="033DA4A1"/>
    <w:rsid w:val="033F208D"/>
    <w:rsid w:val="0370E690"/>
    <w:rsid w:val="037A8EBD"/>
    <w:rsid w:val="03892F0A"/>
    <w:rsid w:val="0393CA41"/>
    <w:rsid w:val="03A73037"/>
    <w:rsid w:val="03ABA60D"/>
    <w:rsid w:val="03AE8E53"/>
    <w:rsid w:val="03AEA42B"/>
    <w:rsid w:val="03BB99B2"/>
    <w:rsid w:val="03C819C4"/>
    <w:rsid w:val="03C90781"/>
    <w:rsid w:val="03CD8BA7"/>
    <w:rsid w:val="03D3F1E9"/>
    <w:rsid w:val="03D42852"/>
    <w:rsid w:val="03D97DB1"/>
    <w:rsid w:val="03DA7512"/>
    <w:rsid w:val="03EFE744"/>
    <w:rsid w:val="03F0137D"/>
    <w:rsid w:val="040090A1"/>
    <w:rsid w:val="0403169C"/>
    <w:rsid w:val="04064854"/>
    <w:rsid w:val="0406BB7D"/>
    <w:rsid w:val="0418501B"/>
    <w:rsid w:val="04462660"/>
    <w:rsid w:val="044EC5A6"/>
    <w:rsid w:val="045094CE"/>
    <w:rsid w:val="045D4E2C"/>
    <w:rsid w:val="04894EBB"/>
    <w:rsid w:val="048C2756"/>
    <w:rsid w:val="04916CBF"/>
    <w:rsid w:val="0491841B"/>
    <w:rsid w:val="04938C22"/>
    <w:rsid w:val="0493A152"/>
    <w:rsid w:val="04A30C24"/>
    <w:rsid w:val="04A413FD"/>
    <w:rsid w:val="04A6D7A7"/>
    <w:rsid w:val="04A96935"/>
    <w:rsid w:val="04B0B25A"/>
    <w:rsid w:val="04B35574"/>
    <w:rsid w:val="04BDD63F"/>
    <w:rsid w:val="04CAFD63"/>
    <w:rsid w:val="04D3D529"/>
    <w:rsid w:val="04DEEF89"/>
    <w:rsid w:val="04E7D45F"/>
    <w:rsid w:val="04E96F73"/>
    <w:rsid w:val="04E9F4D6"/>
    <w:rsid w:val="04EC2A7D"/>
    <w:rsid w:val="04ECED41"/>
    <w:rsid w:val="04FE0A67"/>
    <w:rsid w:val="050551DF"/>
    <w:rsid w:val="052AF37B"/>
    <w:rsid w:val="053FB8A7"/>
    <w:rsid w:val="0543BD09"/>
    <w:rsid w:val="0548513A"/>
    <w:rsid w:val="0549772D"/>
    <w:rsid w:val="0551070E"/>
    <w:rsid w:val="0551B059"/>
    <w:rsid w:val="055AF523"/>
    <w:rsid w:val="055DCD9F"/>
    <w:rsid w:val="0561015D"/>
    <w:rsid w:val="056979CB"/>
    <w:rsid w:val="056B8363"/>
    <w:rsid w:val="056E9B0F"/>
    <w:rsid w:val="0579B883"/>
    <w:rsid w:val="057D7729"/>
    <w:rsid w:val="057DFC93"/>
    <w:rsid w:val="057EE72A"/>
    <w:rsid w:val="058342A9"/>
    <w:rsid w:val="0588BE90"/>
    <w:rsid w:val="058C61DA"/>
    <w:rsid w:val="05A1C86F"/>
    <w:rsid w:val="05B4308B"/>
    <w:rsid w:val="05B77EFD"/>
    <w:rsid w:val="05C30E99"/>
    <w:rsid w:val="05C85DE3"/>
    <w:rsid w:val="05D54AA0"/>
    <w:rsid w:val="05DE7DA1"/>
    <w:rsid w:val="05DEFA11"/>
    <w:rsid w:val="05E4A70D"/>
    <w:rsid w:val="06010CF0"/>
    <w:rsid w:val="060BB80C"/>
    <w:rsid w:val="061072AA"/>
    <w:rsid w:val="06127245"/>
    <w:rsid w:val="06150E79"/>
    <w:rsid w:val="06151A8F"/>
    <w:rsid w:val="061AF648"/>
    <w:rsid w:val="0621E46F"/>
    <w:rsid w:val="0622B0FD"/>
    <w:rsid w:val="06247842"/>
    <w:rsid w:val="0633B00C"/>
    <w:rsid w:val="0661E94F"/>
    <w:rsid w:val="06634C31"/>
    <w:rsid w:val="0678539E"/>
    <w:rsid w:val="067C7930"/>
    <w:rsid w:val="067C9E9F"/>
    <w:rsid w:val="0681B542"/>
    <w:rsid w:val="0684210F"/>
    <w:rsid w:val="068B8581"/>
    <w:rsid w:val="068EC118"/>
    <w:rsid w:val="0699AEAF"/>
    <w:rsid w:val="06A50FF5"/>
    <w:rsid w:val="06A87A93"/>
    <w:rsid w:val="06B4D28F"/>
    <w:rsid w:val="06C8E7A9"/>
    <w:rsid w:val="06C9DF9A"/>
    <w:rsid w:val="06CA6AD7"/>
    <w:rsid w:val="06CD58E7"/>
    <w:rsid w:val="06CF5DF8"/>
    <w:rsid w:val="06E3E565"/>
    <w:rsid w:val="06F37E8C"/>
    <w:rsid w:val="06F9A362"/>
    <w:rsid w:val="07093C66"/>
    <w:rsid w:val="07138D65"/>
    <w:rsid w:val="07597484"/>
    <w:rsid w:val="0764C083"/>
    <w:rsid w:val="076DE279"/>
    <w:rsid w:val="07729100"/>
    <w:rsid w:val="07809394"/>
    <w:rsid w:val="07988247"/>
    <w:rsid w:val="07A567CF"/>
    <w:rsid w:val="07A576C9"/>
    <w:rsid w:val="07ADBDAB"/>
    <w:rsid w:val="07C3DE33"/>
    <w:rsid w:val="07C44FE7"/>
    <w:rsid w:val="07E0DBF0"/>
    <w:rsid w:val="07E462C7"/>
    <w:rsid w:val="07F02C33"/>
    <w:rsid w:val="07F60D2F"/>
    <w:rsid w:val="07F85620"/>
    <w:rsid w:val="08066DC7"/>
    <w:rsid w:val="080E1134"/>
    <w:rsid w:val="0812244B"/>
    <w:rsid w:val="0817B771"/>
    <w:rsid w:val="081DA666"/>
    <w:rsid w:val="082876DD"/>
    <w:rsid w:val="082EFD3F"/>
    <w:rsid w:val="0834A684"/>
    <w:rsid w:val="083985B7"/>
    <w:rsid w:val="084D331C"/>
    <w:rsid w:val="08558386"/>
    <w:rsid w:val="086BCADE"/>
    <w:rsid w:val="086F8984"/>
    <w:rsid w:val="088E8A65"/>
    <w:rsid w:val="08C13433"/>
    <w:rsid w:val="08D0B652"/>
    <w:rsid w:val="08E52670"/>
    <w:rsid w:val="08EA5DDF"/>
    <w:rsid w:val="08F04F8F"/>
    <w:rsid w:val="08F0CB26"/>
    <w:rsid w:val="08F95D91"/>
    <w:rsid w:val="09028505"/>
    <w:rsid w:val="090484A0"/>
    <w:rsid w:val="09117B67"/>
    <w:rsid w:val="092B0770"/>
    <w:rsid w:val="0932ADD2"/>
    <w:rsid w:val="09372C3B"/>
    <w:rsid w:val="09539755"/>
    <w:rsid w:val="09593A5D"/>
    <w:rsid w:val="095BCB0E"/>
    <w:rsid w:val="095E2004"/>
    <w:rsid w:val="0969F8FF"/>
    <w:rsid w:val="09727D02"/>
    <w:rsid w:val="09778643"/>
    <w:rsid w:val="098A500E"/>
    <w:rsid w:val="09A15A4A"/>
    <w:rsid w:val="09B0B55B"/>
    <w:rsid w:val="09C6A5D2"/>
    <w:rsid w:val="09C7F68D"/>
    <w:rsid w:val="09C990D4"/>
    <w:rsid w:val="09DDC0E3"/>
    <w:rsid w:val="09EBDA07"/>
    <w:rsid w:val="09F0BC59"/>
    <w:rsid w:val="0A03E3AD"/>
    <w:rsid w:val="0A1A2F23"/>
    <w:rsid w:val="0A1BE09E"/>
    <w:rsid w:val="0A2838E0"/>
    <w:rsid w:val="0A2A82F9"/>
    <w:rsid w:val="0A4172E2"/>
    <w:rsid w:val="0A43737B"/>
    <w:rsid w:val="0A46383F"/>
    <w:rsid w:val="0A4CBBD4"/>
    <w:rsid w:val="0A51A087"/>
    <w:rsid w:val="0A526E0B"/>
    <w:rsid w:val="0A56DA7B"/>
    <w:rsid w:val="0A590032"/>
    <w:rsid w:val="0A5E31AC"/>
    <w:rsid w:val="0A7C0092"/>
    <w:rsid w:val="0A7F97D6"/>
    <w:rsid w:val="0A8C8FFD"/>
    <w:rsid w:val="0A969017"/>
    <w:rsid w:val="0AA3289B"/>
    <w:rsid w:val="0AA480A1"/>
    <w:rsid w:val="0AB26B64"/>
    <w:rsid w:val="0ABE8BEA"/>
    <w:rsid w:val="0ACAA20A"/>
    <w:rsid w:val="0ACE198C"/>
    <w:rsid w:val="0AE4FEE8"/>
    <w:rsid w:val="0B06EC34"/>
    <w:rsid w:val="0B085916"/>
    <w:rsid w:val="0B109518"/>
    <w:rsid w:val="0B125117"/>
    <w:rsid w:val="0B161560"/>
    <w:rsid w:val="0B1DFCF6"/>
    <w:rsid w:val="0B2C9FC4"/>
    <w:rsid w:val="0B349E5D"/>
    <w:rsid w:val="0B3B8DD8"/>
    <w:rsid w:val="0B3C9112"/>
    <w:rsid w:val="0B515D27"/>
    <w:rsid w:val="0B525A0A"/>
    <w:rsid w:val="0B543961"/>
    <w:rsid w:val="0B5DDD39"/>
    <w:rsid w:val="0B5F279F"/>
    <w:rsid w:val="0B6727BB"/>
    <w:rsid w:val="0B6AD9F5"/>
    <w:rsid w:val="0B727FD1"/>
    <w:rsid w:val="0B749BA5"/>
    <w:rsid w:val="0B74A631"/>
    <w:rsid w:val="0B7E5AA9"/>
    <w:rsid w:val="0B815A99"/>
    <w:rsid w:val="0B8621E5"/>
    <w:rsid w:val="0B8BFB95"/>
    <w:rsid w:val="0BABE965"/>
    <w:rsid w:val="0BB101AC"/>
    <w:rsid w:val="0BBD25D7"/>
    <w:rsid w:val="0BBD8CA7"/>
    <w:rsid w:val="0BCF8506"/>
    <w:rsid w:val="0BD08125"/>
    <w:rsid w:val="0BDB0B7E"/>
    <w:rsid w:val="0BE75CB5"/>
    <w:rsid w:val="0BE9ED4D"/>
    <w:rsid w:val="0BEF26C5"/>
    <w:rsid w:val="0BF5452A"/>
    <w:rsid w:val="0BFFE148"/>
    <w:rsid w:val="0C021806"/>
    <w:rsid w:val="0C060925"/>
    <w:rsid w:val="0C0E9068"/>
    <w:rsid w:val="0C149CB3"/>
    <w:rsid w:val="0C1A8BB2"/>
    <w:rsid w:val="0C20948D"/>
    <w:rsid w:val="0C246A28"/>
    <w:rsid w:val="0C26C862"/>
    <w:rsid w:val="0C295972"/>
    <w:rsid w:val="0C2AECF0"/>
    <w:rsid w:val="0C30AA02"/>
    <w:rsid w:val="0C3AAE71"/>
    <w:rsid w:val="0C46FBB2"/>
    <w:rsid w:val="0C49AC89"/>
    <w:rsid w:val="0C539C9A"/>
    <w:rsid w:val="0C5BDE47"/>
    <w:rsid w:val="0C649135"/>
    <w:rsid w:val="0C658EBD"/>
    <w:rsid w:val="0C674829"/>
    <w:rsid w:val="0C7C8B5C"/>
    <w:rsid w:val="0C7F857A"/>
    <w:rsid w:val="0C877BF7"/>
    <w:rsid w:val="0C8ADAE4"/>
    <w:rsid w:val="0C989824"/>
    <w:rsid w:val="0CA87118"/>
    <w:rsid w:val="0CAE697B"/>
    <w:rsid w:val="0CC14A8C"/>
    <w:rsid w:val="0CC37DBE"/>
    <w:rsid w:val="0CC548F7"/>
    <w:rsid w:val="0CCF68E4"/>
    <w:rsid w:val="0CD0FF3B"/>
    <w:rsid w:val="0CD3090C"/>
    <w:rsid w:val="0CE10BA2"/>
    <w:rsid w:val="0CE1121D"/>
    <w:rsid w:val="0CE3A0B0"/>
    <w:rsid w:val="0CE7C07D"/>
    <w:rsid w:val="0CE8E2FD"/>
    <w:rsid w:val="0D01B8A3"/>
    <w:rsid w:val="0D15A4DD"/>
    <w:rsid w:val="0D1B5D0C"/>
    <w:rsid w:val="0D28CD52"/>
    <w:rsid w:val="0D2CB9EA"/>
    <w:rsid w:val="0D2FC452"/>
    <w:rsid w:val="0D39F104"/>
    <w:rsid w:val="0D3CCAC9"/>
    <w:rsid w:val="0D40054F"/>
    <w:rsid w:val="0D448066"/>
    <w:rsid w:val="0D4AF2C5"/>
    <w:rsid w:val="0D4D46EA"/>
    <w:rsid w:val="0D4E629F"/>
    <w:rsid w:val="0D5B317D"/>
    <w:rsid w:val="0D64C08F"/>
    <w:rsid w:val="0D7255DF"/>
    <w:rsid w:val="0D822D01"/>
    <w:rsid w:val="0D88CAC5"/>
    <w:rsid w:val="0D8B76F0"/>
    <w:rsid w:val="0D9BA8CD"/>
    <w:rsid w:val="0DA8A412"/>
    <w:rsid w:val="0DAC75AD"/>
    <w:rsid w:val="0DAD29CA"/>
    <w:rsid w:val="0DB6471E"/>
    <w:rsid w:val="0DC02BE7"/>
    <w:rsid w:val="0DCCF424"/>
    <w:rsid w:val="0DDA9569"/>
    <w:rsid w:val="0DE53F23"/>
    <w:rsid w:val="0DE623A7"/>
    <w:rsid w:val="0DEDA953"/>
    <w:rsid w:val="0DFBEA8E"/>
    <w:rsid w:val="0DFDE2F3"/>
    <w:rsid w:val="0E054832"/>
    <w:rsid w:val="0E07587D"/>
    <w:rsid w:val="0E0DEBB8"/>
    <w:rsid w:val="0E2EA799"/>
    <w:rsid w:val="0E302D78"/>
    <w:rsid w:val="0E360836"/>
    <w:rsid w:val="0E37C514"/>
    <w:rsid w:val="0E3A74CA"/>
    <w:rsid w:val="0E422F7F"/>
    <w:rsid w:val="0E4433CE"/>
    <w:rsid w:val="0E4791AC"/>
    <w:rsid w:val="0E64AF69"/>
    <w:rsid w:val="0E66762D"/>
    <w:rsid w:val="0E74BA62"/>
    <w:rsid w:val="0E7EC58C"/>
    <w:rsid w:val="0E82E25E"/>
    <w:rsid w:val="0E8A5ED5"/>
    <w:rsid w:val="0E93CB18"/>
    <w:rsid w:val="0E985524"/>
    <w:rsid w:val="0E9B1280"/>
    <w:rsid w:val="0E9E885C"/>
    <w:rsid w:val="0EA2974B"/>
    <w:rsid w:val="0EA3B267"/>
    <w:rsid w:val="0EA79033"/>
    <w:rsid w:val="0EB06BC5"/>
    <w:rsid w:val="0EB5D35F"/>
    <w:rsid w:val="0EBA4F6B"/>
    <w:rsid w:val="0EBAE45E"/>
    <w:rsid w:val="0EBFB79C"/>
    <w:rsid w:val="0EC6C8DB"/>
    <w:rsid w:val="0EC70EA2"/>
    <w:rsid w:val="0ECB213E"/>
    <w:rsid w:val="0ECC0153"/>
    <w:rsid w:val="0ECD1DD9"/>
    <w:rsid w:val="0ED48780"/>
    <w:rsid w:val="0ED60E36"/>
    <w:rsid w:val="0ED96F10"/>
    <w:rsid w:val="0EDDE77E"/>
    <w:rsid w:val="0EDFA7D4"/>
    <w:rsid w:val="0EE46546"/>
    <w:rsid w:val="0EEBA946"/>
    <w:rsid w:val="0EF204E4"/>
    <w:rsid w:val="0EF3D3EF"/>
    <w:rsid w:val="0EF81B80"/>
    <w:rsid w:val="0F1C3298"/>
    <w:rsid w:val="0F1C6AC8"/>
    <w:rsid w:val="0F2024EB"/>
    <w:rsid w:val="0F243CC9"/>
    <w:rsid w:val="0F25D072"/>
    <w:rsid w:val="0F355A73"/>
    <w:rsid w:val="0F369AFD"/>
    <w:rsid w:val="0F3CEC16"/>
    <w:rsid w:val="0F3E1A21"/>
    <w:rsid w:val="0F3FD1BD"/>
    <w:rsid w:val="0F498D6E"/>
    <w:rsid w:val="0F4E1DB5"/>
    <w:rsid w:val="0F6595B0"/>
    <w:rsid w:val="0F6AF72A"/>
    <w:rsid w:val="0F6E3ED1"/>
    <w:rsid w:val="0F71FD2B"/>
    <w:rsid w:val="0F7DF5E0"/>
    <w:rsid w:val="0F82B30B"/>
    <w:rsid w:val="0F8D6CE1"/>
    <w:rsid w:val="0FA0B90E"/>
    <w:rsid w:val="0FAB0E11"/>
    <w:rsid w:val="0FB560CF"/>
    <w:rsid w:val="0FD0B051"/>
    <w:rsid w:val="0FE335C1"/>
    <w:rsid w:val="0FE35CB5"/>
    <w:rsid w:val="0FEA5E60"/>
    <w:rsid w:val="0FEAA41B"/>
    <w:rsid w:val="0FF1AE7C"/>
    <w:rsid w:val="0FF75998"/>
    <w:rsid w:val="1007DC06"/>
    <w:rsid w:val="101BCE2C"/>
    <w:rsid w:val="101F9EB2"/>
    <w:rsid w:val="10217515"/>
    <w:rsid w:val="102F06A7"/>
    <w:rsid w:val="1034BBF8"/>
    <w:rsid w:val="1038C1ED"/>
    <w:rsid w:val="103E7DE9"/>
    <w:rsid w:val="103F5945"/>
    <w:rsid w:val="10412D26"/>
    <w:rsid w:val="10456545"/>
    <w:rsid w:val="1049D0A6"/>
    <w:rsid w:val="1058760F"/>
    <w:rsid w:val="10650E6C"/>
    <w:rsid w:val="10698155"/>
    <w:rsid w:val="106DBC1A"/>
    <w:rsid w:val="10713C0A"/>
    <w:rsid w:val="108E8ED5"/>
    <w:rsid w:val="10943307"/>
    <w:rsid w:val="10A2F7DC"/>
    <w:rsid w:val="10AC69E0"/>
    <w:rsid w:val="10CB142D"/>
    <w:rsid w:val="10D55596"/>
    <w:rsid w:val="10DAB037"/>
    <w:rsid w:val="10EE8375"/>
    <w:rsid w:val="11048607"/>
    <w:rsid w:val="11099D20"/>
    <w:rsid w:val="11333FCD"/>
    <w:rsid w:val="1137D8DD"/>
    <w:rsid w:val="113B275E"/>
    <w:rsid w:val="113D6F63"/>
    <w:rsid w:val="113EA994"/>
    <w:rsid w:val="115FB1DE"/>
    <w:rsid w:val="1160EF4C"/>
    <w:rsid w:val="118A2107"/>
    <w:rsid w:val="1198ECEB"/>
    <w:rsid w:val="1199B639"/>
    <w:rsid w:val="11A53A2C"/>
    <w:rsid w:val="11AAF717"/>
    <w:rsid w:val="11AC61C6"/>
    <w:rsid w:val="11ACCA63"/>
    <w:rsid w:val="11B230F3"/>
    <w:rsid w:val="11B47A80"/>
    <w:rsid w:val="11BB22A2"/>
    <w:rsid w:val="11C46446"/>
    <w:rsid w:val="11C5C68E"/>
    <w:rsid w:val="11C72A70"/>
    <w:rsid w:val="11C7D585"/>
    <w:rsid w:val="11D0C6B7"/>
    <w:rsid w:val="11D45C96"/>
    <w:rsid w:val="11DB6537"/>
    <w:rsid w:val="11E88291"/>
    <w:rsid w:val="11F0687D"/>
    <w:rsid w:val="1223CA72"/>
    <w:rsid w:val="122646B8"/>
    <w:rsid w:val="12279195"/>
    <w:rsid w:val="122E7EE8"/>
    <w:rsid w:val="1235DCE5"/>
    <w:rsid w:val="1247EAC5"/>
    <w:rsid w:val="12482E82"/>
    <w:rsid w:val="12785EEC"/>
    <w:rsid w:val="12797989"/>
    <w:rsid w:val="12984F7C"/>
    <w:rsid w:val="129B46AC"/>
    <w:rsid w:val="129D206C"/>
    <w:rsid w:val="12A88DEF"/>
    <w:rsid w:val="12AF593A"/>
    <w:rsid w:val="12BD28A4"/>
    <w:rsid w:val="12BDE1C0"/>
    <w:rsid w:val="12C5CF46"/>
    <w:rsid w:val="12CE9650"/>
    <w:rsid w:val="12CF1A52"/>
    <w:rsid w:val="12F41FB6"/>
    <w:rsid w:val="12FF17C4"/>
    <w:rsid w:val="1309D512"/>
    <w:rsid w:val="13184048"/>
    <w:rsid w:val="13190746"/>
    <w:rsid w:val="131EF0E1"/>
    <w:rsid w:val="13309044"/>
    <w:rsid w:val="1331B2C4"/>
    <w:rsid w:val="13324DA1"/>
    <w:rsid w:val="1335ED92"/>
    <w:rsid w:val="1338EE83"/>
    <w:rsid w:val="133DE517"/>
    <w:rsid w:val="1340FB93"/>
    <w:rsid w:val="134289D1"/>
    <w:rsid w:val="1344872E"/>
    <w:rsid w:val="13455F5F"/>
    <w:rsid w:val="1349650D"/>
    <w:rsid w:val="134E3EBD"/>
    <w:rsid w:val="13504BCD"/>
    <w:rsid w:val="135ACA62"/>
    <w:rsid w:val="135B93B0"/>
    <w:rsid w:val="135BADE6"/>
    <w:rsid w:val="13634E65"/>
    <w:rsid w:val="136A0010"/>
    <w:rsid w:val="137AEBA0"/>
    <w:rsid w:val="137ED51A"/>
    <w:rsid w:val="137F1110"/>
    <w:rsid w:val="13880073"/>
    <w:rsid w:val="139A5408"/>
    <w:rsid w:val="13AB212D"/>
    <w:rsid w:val="13AC8AC3"/>
    <w:rsid w:val="13B53C1B"/>
    <w:rsid w:val="13B8840C"/>
    <w:rsid w:val="13B98879"/>
    <w:rsid w:val="13BB8802"/>
    <w:rsid w:val="13C1A6FA"/>
    <w:rsid w:val="13CC8C02"/>
    <w:rsid w:val="13DF9056"/>
    <w:rsid w:val="13E86B53"/>
    <w:rsid w:val="13E91910"/>
    <w:rsid w:val="13F1C9B4"/>
    <w:rsid w:val="13F6042A"/>
    <w:rsid w:val="13F8AA0B"/>
    <w:rsid w:val="1402843C"/>
    <w:rsid w:val="1405D282"/>
    <w:rsid w:val="140FB3C9"/>
    <w:rsid w:val="14102688"/>
    <w:rsid w:val="141033A3"/>
    <w:rsid w:val="1424850D"/>
    <w:rsid w:val="1426BE0D"/>
    <w:rsid w:val="142C0EA3"/>
    <w:rsid w:val="1458DF18"/>
    <w:rsid w:val="145A4563"/>
    <w:rsid w:val="145F4C5F"/>
    <w:rsid w:val="1461A084"/>
    <w:rsid w:val="1471063E"/>
    <w:rsid w:val="1472BB19"/>
    <w:rsid w:val="147305D9"/>
    <w:rsid w:val="147E8683"/>
    <w:rsid w:val="148737E0"/>
    <w:rsid w:val="1496797E"/>
    <w:rsid w:val="14ADCC39"/>
    <w:rsid w:val="14B116F4"/>
    <w:rsid w:val="14B661CD"/>
    <w:rsid w:val="14B93CCB"/>
    <w:rsid w:val="14C34DAB"/>
    <w:rsid w:val="14CAB3FD"/>
    <w:rsid w:val="14E3B7D2"/>
    <w:rsid w:val="14F4B98D"/>
    <w:rsid w:val="14F55E17"/>
    <w:rsid w:val="14FBF970"/>
    <w:rsid w:val="1505BE0D"/>
    <w:rsid w:val="1512ED89"/>
    <w:rsid w:val="151D1A3B"/>
    <w:rsid w:val="152DDC09"/>
    <w:rsid w:val="153E6FE4"/>
    <w:rsid w:val="153EFEA8"/>
    <w:rsid w:val="1555B73C"/>
    <w:rsid w:val="156C678C"/>
    <w:rsid w:val="158284D3"/>
    <w:rsid w:val="158A75BD"/>
    <w:rsid w:val="159B64B1"/>
    <w:rsid w:val="15A491E6"/>
    <w:rsid w:val="15AFF41B"/>
    <w:rsid w:val="15B03184"/>
    <w:rsid w:val="15B7E1A1"/>
    <w:rsid w:val="15B8CDCC"/>
    <w:rsid w:val="15BB4C9F"/>
    <w:rsid w:val="15C021C0"/>
    <w:rsid w:val="15C0FEF4"/>
    <w:rsid w:val="15D24C5C"/>
    <w:rsid w:val="15E1DD15"/>
    <w:rsid w:val="15E2D292"/>
    <w:rsid w:val="15F3DDD8"/>
    <w:rsid w:val="161434E7"/>
    <w:rsid w:val="161E0C55"/>
    <w:rsid w:val="163C9AC5"/>
    <w:rsid w:val="164211E2"/>
    <w:rsid w:val="16454432"/>
    <w:rsid w:val="1647552E"/>
    <w:rsid w:val="165BB644"/>
    <w:rsid w:val="1667F4E8"/>
    <w:rsid w:val="166EA4C8"/>
    <w:rsid w:val="1672963F"/>
    <w:rsid w:val="16765F7D"/>
    <w:rsid w:val="1676DA4F"/>
    <w:rsid w:val="167808A5"/>
    <w:rsid w:val="1680D19B"/>
    <w:rsid w:val="16942851"/>
    <w:rsid w:val="169EEDC2"/>
    <w:rsid w:val="16A0983D"/>
    <w:rsid w:val="16A6446F"/>
    <w:rsid w:val="16BB4BD4"/>
    <w:rsid w:val="16CE7B14"/>
    <w:rsid w:val="16D7D7CD"/>
    <w:rsid w:val="16E23863"/>
    <w:rsid w:val="16E5A441"/>
    <w:rsid w:val="16E8BF35"/>
    <w:rsid w:val="16F4D192"/>
    <w:rsid w:val="1701C624"/>
    <w:rsid w:val="170C8DBF"/>
    <w:rsid w:val="1718D068"/>
    <w:rsid w:val="171BFD22"/>
    <w:rsid w:val="172BDD61"/>
    <w:rsid w:val="173E063F"/>
    <w:rsid w:val="174BE30E"/>
    <w:rsid w:val="174E8B02"/>
    <w:rsid w:val="1766F52A"/>
    <w:rsid w:val="176B57A3"/>
    <w:rsid w:val="1771D98D"/>
    <w:rsid w:val="1774F245"/>
    <w:rsid w:val="177556EC"/>
    <w:rsid w:val="17794A3B"/>
    <w:rsid w:val="178E905C"/>
    <w:rsid w:val="1796D253"/>
    <w:rsid w:val="17A1584F"/>
    <w:rsid w:val="17AE4F16"/>
    <w:rsid w:val="17BE756E"/>
    <w:rsid w:val="17D67DCC"/>
    <w:rsid w:val="17E1EC43"/>
    <w:rsid w:val="17E7CBA6"/>
    <w:rsid w:val="17EBE43C"/>
    <w:rsid w:val="18015591"/>
    <w:rsid w:val="18030FE0"/>
    <w:rsid w:val="18173E37"/>
    <w:rsid w:val="183044D6"/>
    <w:rsid w:val="185369FF"/>
    <w:rsid w:val="18536D2D"/>
    <w:rsid w:val="1866169B"/>
    <w:rsid w:val="1871C785"/>
    <w:rsid w:val="18783360"/>
    <w:rsid w:val="18897447"/>
    <w:rsid w:val="1889A95D"/>
    <w:rsid w:val="188D3B53"/>
    <w:rsid w:val="189E458B"/>
    <w:rsid w:val="18A4E5A3"/>
    <w:rsid w:val="18A9FE94"/>
    <w:rsid w:val="18AB4C02"/>
    <w:rsid w:val="18B2341B"/>
    <w:rsid w:val="18BBC823"/>
    <w:rsid w:val="18C344B6"/>
    <w:rsid w:val="18D4A109"/>
    <w:rsid w:val="18DB3BAE"/>
    <w:rsid w:val="18DB5754"/>
    <w:rsid w:val="18DCE982"/>
    <w:rsid w:val="18E33C7A"/>
    <w:rsid w:val="18E6CD67"/>
    <w:rsid w:val="18E84E02"/>
    <w:rsid w:val="18FC74C9"/>
    <w:rsid w:val="1902AEFD"/>
    <w:rsid w:val="19148746"/>
    <w:rsid w:val="1923639B"/>
    <w:rsid w:val="1930EA3D"/>
    <w:rsid w:val="1942E08F"/>
    <w:rsid w:val="1944988E"/>
    <w:rsid w:val="1949C951"/>
    <w:rsid w:val="19685A8A"/>
    <w:rsid w:val="196AF34E"/>
    <w:rsid w:val="196E1564"/>
    <w:rsid w:val="1971A556"/>
    <w:rsid w:val="1974A129"/>
    <w:rsid w:val="197E3C19"/>
    <w:rsid w:val="198891C3"/>
    <w:rsid w:val="199A104C"/>
    <w:rsid w:val="19B2EF4A"/>
    <w:rsid w:val="19B79384"/>
    <w:rsid w:val="19BD99B6"/>
    <w:rsid w:val="19CE33F9"/>
    <w:rsid w:val="19CFBFBB"/>
    <w:rsid w:val="19E5052E"/>
    <w:rsid w:val="19EC10BF"/>
    <w:rsid w:val="19F0ECE2"/>
    <w:rsid w:val="19F1151B"/>
    <w:rsid w:val="1A0F370A"/>
    <w:rsid w:val="1A10D516"/>
    <w:rsid w:val="1A10DAAB"/>
    <w:rsid w:val="1A20F0CF"/>
    <w:rsid w:val="1A225E20"/>
    <w:rsid w:val="1A22AD7C"/>
    <w:rsid w:val="1A24748D"/>
    <w:rsid w:val="1A3CBEF1"/>
    <w:rsid w:val="1A477316"/>
    <w:rsid w:val="1A4A15D8"/>
    <w:rsid w:val="1A581FAB"/>
    <w:rsid w:val="1A60F168"/>
    <w:rsid w:val="1A613D6E"/>
    <w:rsid w:val="1A7747D1"/>
    <w:rsid w:val="1A83A26A"/>
    <w:rsid w:val="1A93F68D"/>
    <w:rsid w:val="1A986DDB"/>
    <w:rsid w:val="1AB0CC1A"/>
    <w:rsid w:val="1AC574A0"/>
    <w:rsid w:val="1AE58099"/>
    <w:rsid w:val="1AE7DD7E"/>
    <w:rsid w:val="1AE809D4"/>
    <w:rsid w:val="1AEA1325"/>
    <w:rsid w:val="1AED87D7"/>
    <w:rsid w:val="1AEE8BDE"/>
    <w:rsid w:val="1AF61E31"/>
    <w:rsid w:val="1AFAEF01"/>
    <w:rsid w:val="1B086AF7"/>
    <w:rsid w:val="1B13912F"/>
    <w:rsid w:val="1B198F4A"/>
    <w:rsid w:val="1B22116A"/>
    <w:rsid w:val="1B2A9A92"/>
    <w:rsid w:val="1B4248BC"/>
    <w:rsid w:val="1B497691"/>
    <w:rsid w:val="1B5E9955"/>
    <w:rsid w:val="1B692D77"/>
    <w:rsid w:val="1B7024A8"/>
    <w:rsid w:val="1B731489"/>
    <w:rsid w:val="1B77464E"/>
    <w:rsid w:val="1B7858F9"/>
    <w:rsid w:val="1B93CBCB"/>
    <w:rsid w:val="1B94AF26"/>
    <w:rsid w:val="1BA44676"/>
    <w:rsid w:val="1BB9A595"/>
    <w:rsid w:val="1BC66C96"/>
    <w:rsid w:val="1BC83D4D"/>
    <w:rsid w:val="1BCE1A8E"/>
    <w:rsid w:val="1BD2F818"/>
    <w:rsid w:val="1BD61582"/>
    <w:rsid w:val="1BE62988"/>
    <w:rsid w:val="1BEA3B5C"/>
    <w:rsid w:val="1BF16D0C"/>
    <w:rsid w:val="1BFA8985"/>
    <w:rsid w:val="1C0D77C0"/>
    <w:rsid w:val="1C16DAB2"/>
    <w:rsid w:val="1C18288D"/>
    <w:rsid w:val="1C19A834"/>
    <w:rsid w:val="1C2CBD63"/>
    <w:rsid w:val="1C3084F9"/>
    <w:rsid w:val="1C325BD7"/>
    <w:rsid w:val="1C40739D"/>
    <w:rsid w:val="1C58704A"/>
    <w:rsid w:val="1C5A15EF"/>
    <w:rsid w:val="1C5D07D2"/>
    <w:rsid w:val="1C5E6815"/>
    <w:rsid w:val="1C67FA85"/>
    <w:rsid w:val="1C8263DD"/>
    <w:rsid w:val="1C92EC6A"/>
    <w:rsid w:val="1CA36C99"/>
    <w:rsid w:val="1CABF09C"/>
    <w:rsid w:val="1CACEC35"/>
    <w:rsid w:val="1CD4F8CB"/>
    <w:rsid w:val="1CDF5920"/>
    <w:rsid w:val="1CE16AFE"/>
    <w:rsid w:val="1CF19464"/>
    <w:rsid w:val="1CF8A08F"/>
    <w:rsid w:val="1CFB0B8E"/>
    <w:rsid w:val="1D0CB860"/>
    <w:rsid w:val="1D222AF5"/>
    <w:rsid w:val="1D234D75"/>
    <w:rsid w:val="1D2751D7"/>
    <w:rsid w:val="1D281B6F"/>
    <w:rsid w:val="1D2D39F6"/>
    <w:rsid w:val="1D2F1FE8"/>
    <w:rsid w:val="1D338C2D"/>
    <w:rsid w:val="1D3C1AFD"/>
    <w:rsid w:val="1D52C7E5"/>
    <w:rsid w:val="1D5468BB"/>
    <w:rsid w:val="1D6C23CD"/>
    <w:rsid w:val="1D8B9B33"/>
    <w:rsid w:val="1DA19ABA"/>
    <w:rsid w:val="1DA1F9A2"/>
    <w:rsid w:val="1DA70FBA"/>
    <w:rsid w:val="1DA9CABE"/>
    <w:rsid w:val="1DC84E3D"/>
    <w:rsid w:val="1DC9DD77"/>
    <w:rsid w:val="1DCBCCF5"/>
    <w:rsid w:val="1DD78044"/>
    <w:rsid w:val="1DDC7E6C"/>
    <w:rsid w:val="1DE09E39"/>
    <w:rsid w:val="1DE34D76"/>
    <w:rsid w:val="1DEE8D16"/>
    <w:rsid w:val="1DF0B196"/>
    <w:rsid w:val="1E069447"/>
    <w:rsid w:val="1E10633C"/>
    <w:rsid w:val="1E233086"/>
    <w:rsid w:val="1E2EAD65"/>
    <w:rsid w:val="1E383EF9"/>
    <w:rsid w:val="1E4D03FF"/>
    <w:rsid w:val="1E63C111"/>
    <w:rsid w:val="1E6E63D0"/>
    <w:rsid w:val="1E6FDD17"/>
    <w:rsid w:val="1E86189C"/>
    <w:rsid w:val="1E8A42EE"/>
    <w:rsid w:val="1E914048"/>
    <w:rsid w:val="1E9CE420"/>
    <w:rsid w:val="1E9D4DCF"/>
    <w:rsid w:val="1E9FECD9"/>
    <w:rsid w:val="1EA033FD"/>
    <w:rsid w:val="1EA1AB65"/>
    <w:rsid w:val="1EBAF86D"/>
    <w:rsid w:val="1EBDC7A8"/>
    <w:rsid w:val="1EC08074"/>
    <w:rsid w:val="1EC30860"/>
    <w:rsid w:val="1EC94B9B"/>
    <w:rsid w:val="1ECA14E9"/>
    <w:rsid w:val="1ED7B953"/>
    <w:rsid w:val="1ED9C190"/>
    <w:rsid w:val="1EE22064"/>
    <w:rsid w:val="1EEFFA07"/>
    <w:rsid w:val="1EF3492D"/>
    <w:rsid w:val="1EFC2F49"/>
    <w:rsid w:val="1F0F8048"/>
    <w:rsid w:val="1F162060"/>
    <w:rsid w:val="1F1F4A90"/>
    <w:rsid w:val="1F2644E0"/>
    <w:rsid w:val="1F28F663"/>
    <w:rsid w:val="1F2E1C9C"/>
    <w:rsid w:val="1F485551"/>
    <w:rsid w:val="1F48DACE"/>
    <w:rsid w:val="1F5C4977"/>
    <w:rsid w:val="1F648563"/>
    <w:rsid w:val="1F72B8CB"/>
    <w:rsid w:val="1F8130D5"/>
    <w:rsid w:val="1F85BF44"/>
    <w:rsid w:val="1F88882D"/>
    <w:rsid w:val="1F8A5079"/>
    <w:rsid w:val="1FA21D84"/>
    <w:rsid w:val="1FB169D8"/>
    <w:rsid w:val="1FB64F1B"/>
    <w:rsid w:val="1FB97726"/>
    <w:rsid w:val="1FC08349"/>
    <w:rsid w:val="1FC29CE3"/>
    <w:rsid w:val="1FD47B40"/>
    <w:rsid w:val="1FD5381D"/>
    <w:rsid w:val="1FDC5AFA"/>
    <w:rsid w:val="1FDFB5EB"/>
    <w:rsid w:val="1FED7709"/>
    <w:rsid w:val="1FF8B731"/>
    <w:rsid w:val="1FF9807F"/>
    <w:rsid w:val="2010B719"/>
    <w:rsid w:val="20150E14"/>
    <w:rsid w:val="20196432"/>
    <w:rsid w:val="201CC818"/>
    <w:rsid w:val="202F6B52"/>
    <w:rsid w:val="2034ED91"/>
    <w:rsid w:val="20609865"/>
    <w:rsid w:val="20695FBE"/>
    <w:rsid w:val="206A7AA9"/>
    <w:rsid w:val="206BEE06"/>
    <w:rsid w:val="207847BF"/>
    <w:rsid w:val="20ABA682"/>
    <w:rsid w:val="20AD83E3"/>
    <w:rsid w:val="20BED732"/>
    <w:rsid w:val="20D16004"/>
    <w:rsid w:val="20D7126F"/>
    <w:rsid w:val="20DE633B"/>
    <w:rsid w:val="20DF9F4C"/>
    <w:rsid w:val="20EF7059"/>
    <w:rsid w:val="20FBDA40"/>
    <w:rsid w:val="20FF61DA"/>
    <w:rsid w:val="210C601C"/>
    <w:rsid w:val="212FEE10"/>
    <w:rsid w:val="213A0AE2"/>
    <w:rsid w:val="213A5778"/>
    <w:rsid w:val="213E5C47"/>
    <w:rsid w:val="2140D12F"/>
    <w:rsid w:val="21476F02"/>
    <w:rsid w:val="2148FE16"/>
    <w:rsid w:val="21522059"/>
    <w:rsid w:val="215FAB58"/>
    <w:rsid w:val="216A99AC"/>
    <w:rsid w:val="2176EAA8"/>
    <w:rsid w:val="218864CB"/>
    <w:rsid w:val="218D2383"/>
    <w:rsid w:val="218FD348"/>
    <w:rsid w:val="21924658"/>
    <w:rsid w:val="21932D7E"/>
    <w:rsid w:val="2195275D"/>
    <w:rsid w:val="219D4E95"/>
    <w:rsid w:val="21A13735"/>
    <w:rsid w:val="21B272A1"/>
    <w:rsid w:val="21C6E049"/>
    <w:rsid w:val="21C7771C"/>
    <w:rsid w:val="21C81754"/>
    <w:rsid w:val="21DFA4A4"/>
    <w:rsid w:val="21FA72B8"/>
    <w:rsid w:val="21FC6CBC"/>
    <w:rsid w:val="21FF2A67"/>
    <w:rsid w:val="2215CFAF"/>
    <w:rsid w:val="221BAFB5"/>
    <w:rsid w:val="2222DFED"/>
    <w:rsid w:val="22384A86"/>
    <w:rsid w:val="223A67AC"/>
    <w:rsid w:val="223F3B22"/>
    <w:rsid w:val="2241C67A"/>
    <w:rsid w:val="2241D56B"/>
    <w:rsid w:val="224E2716"/>
    <w:rsid w:val="2252BD6D"/>
    <w:rsid w:val="22630BD9"/>
    <w:rsid w:val="2270475D"/>
    <w:rsid w:val="22858A81"/>
    <w:rsid w:val="22891D5E"/>
    <w:rsid w:val="228D5B00"/>
    <w:rsid w:val="228E9CA4"/>
    <w:rsid w:val="22933D7B"/>
    <w:rsid w:val="2297B634"/>
    <w:rsid w:val="22B27AE8"/>
    <w:rsid w:val="22B867D8"/>
    <w:rsid w:val="22BE9F1D"/>
    <w:rsid w:val="22C636A6"/>
    <w:rsid w:val="22CFB144"/>
    <w:rsid w:val="22D117A8"/>
    <w:rsid w:val="22D311AE"/>
    <w:rsid w:val="22DA2418"/>
    <w:rsid w:val="22E7CB74"/>
    <w:rsid w:val="22E84051"/>
    <w:rsid w:val="22ED4565"/>
    <w:rsid w:val="22F2A0E7"/>
    <w:rsid w:val="2302C974"/>
    <w:rsid w:val="23103492"/>
    <w:rsid w:val="23174A69"/>
    <w:rsid w:val="2318332B"/>
    <w:rsid w:val="231D1D12"/>
    <w:rsid w:val="232D08FC"/>
    <w:rsid w:val="234EF53D"/>
    <w:rsid w:val="23506D7C"/>
    <w:rsid w:val="23546C66"/>
    <w:rsid w:val="23633761"/>
    <w:rsid w:val="2364ABDA"/>
    <w:rsid w:val="236BD618"/>
    <w:rsid w:val="23719D9E"/>
    <w:rsid w:val="2373811D"/>
    <w:rsid w:val="2378E30A"/>
    <w:rsid w:val="23810683"/>
    <w:rsid w:val="23812CE4"/>
    <w:rsid w:val="2383C862"/>
    <w:rsid w:val="2385BF70"/>
    <w:rsid w:val="238C8659"/>
    <w:rsid w:val="23926993"/>
    <w:rsid w:val="23AA796F"/>
    <w:rsid w:val="23AEF3B4"/>
    <w:rsid w:val="23BD3AF8"/>
    <w:rsid w:val="23BDE486"/>
    <w:rsid w:val="23D91B57"/>
    <w:rsid w:val="23DA573D"/>
    <w:rsid w:val="23E2FDFB"/>
    <w:rsid w:val="2407F772"/>
    <w:rsid w:val="240854FB"/>
    <w:rsid w:val="241124DB"/>
    <w:rsid w:val="24188F77"/>
    <w:rsid w:val="241ED36D"/>
    <w:rsid w:val="24261CAA"/>
    <w:rsid w:val="242897FB"/>
    <w:rsid w:val="2475F722"/>
    <w:rsid w:val="24831275"/>
    <w:rsid w:val="248762A4"/>
    <w:rsid w:val="24952ED7"/>
    <w:rsid w:val="24989F0D"/>
    <w:rsid w:val="249D3956"/>
    <w:rsid w:val="24A8DDC5"/>
    <w:rsid w:val="24B63589"/>
    <w:rsid w:val="24C55B0E"/>
    <w:rsid w:val="24C6DC92"/>
    <w:rsid w:val="24D9A65D"/>
    <w:rsid w:val="24EAD339"/>
    <w:rsid w:val="24EE7F17"/>
    <w:rsid w:val="24EE9E02"/>
    <w:rsid w:val="24F310C6"/>
    <w:rsid w:val="25058EAE"/>
    <w:rsid w:val="25089185"/>
    <w:rsid w:val="25135920"/>
    <w:rsid w:val="2514D4BD"/>
    <w:rsid w:val="2526AAFD"/>
    <w:rsid w:val="253305CC"/>
    <w:rsid w:val="2533D8D5"/>
    <w:rsid w:val="253E04DC"/>
    <w:rsid w:val="254058E7"/>
    <w:rsid w:val="25675109"/>
    <w:rsid w:val="25679895"/>
    <w:rsid w:val="2569EE1C"/>
    <w:rsid w:val="25717893"/>
    <w:rsid w:val="2575365A"/>
    <w:rsid w:val="258469A3"/>
    <w:rsid w:val="2589C88F"/>
    <w:rsid w:val="258A88B0"/>
    <w:rsid w:val="258B97B7"/>
    <w:rsid w:val="258BC32B"/>
    <w:rsid w:val="2590C931"/>
    <w:rsid w:val="25913221"/>
    <w:rsid w:val="259E9642"/>
    <w:rsid w:val="25B89711"/>
    <w:rsid w:val="25BC2282"/>
    <w:rsid w:val="25CA200E"/>
    <w:rsid w:val="25D0194E"/>
    <w:rsid w:val="25D4D4EC"/>
    <w:rsid w:val="25D5CAB8"/>
    <w:rsid w:val="25D86C7C"/>
    <w:rsid w:val="25EAED4B"/>
    <w:rsid w:val="25EB713A"/>
    <w:rsid w:val="25EB9877"/>
    <w:rsid w:val="2609D57C"/>
    <w:rsid w:val="260A4D3C"/>
    <w:rsid w:val="2615CFF6"/>
    <w:rsid w:val="261AC741"/>
    <w:rsid w:val="261E0998"/>
    <w:rsid w:val="2628F3B6"/>
    <w:rsid w:val="262EB9FC"/>
    <w:rsid w:val="262FBFDD"/>
    <w:rsid w:val="2640D284"/>
    <w:rsid w:val="26492289"/>
    <w:rsid w:val="264C77D0"/>
    <w:rsid w:val="264E7DBF"/>
    <w:rsid w:val="26508619"/>
    <w:rsid w:val="266233F9"/>
    <w:rsid w:val="26785A21"/>
    <w:rsid w:val="267C4016"/>
    <w:rsid w:val="2689451E"/>
    <w:rsid w:val="269A7C1A"/>
    <w:rsid w:val="26A0B376"/>
    <w:rsid w:val="26B5F714"/>
    <w:rsid w:val="26B68682"/>
    <w:rsid w:val="26BCD090"/>
    <w:rsid w:val="26BD03DE"/>
    <w:rsid w:val="26D0CE6B"/>
    <w:rsid w:val="26D7DAE0"/>
    <w:rsid w:val="26DD462A"/>
    <w:rsid w:val="26F7369F"/>
    <w:rsid w:val="26FDA3D2"/>
    <w:rsid w:val="270A621A"/>
    <w:rsid w:val="270DAFB9"/>
    <w:rsid w:val="271272D1"/>
    <w:rsid w:val="271731DE"/>
    <w:rsid w:val="2717EC4C"/>
    <w:rsid w:val="27288FD8"/>
    <w:rsid w:val="273C9556"/>
    <w:rsid w:val="274601AE"/>
    <w:rsid w:val="274760FB"/>
    <w:rsid w:val="277450EA"/>
    <w:rsid w:val="277986DA"/>
    <w:rsid w:val="278A5D61"/>
    <w:rsid w:val="278BEF26"/>
    <w:rsid w:val="2793DEF1"/>
    <w:rsid w:val="27999657"/>
    <w:rsid w:val="279A7CB3"/>
    <w:rsid w:val="279B3E9C"/>
    <w:rsid w:val="27A5171E"/>
    <w:rsid w:val="27BAA49E"/>
    <w:rsid w:val="27BE8A26"/>
    <w:rsid w:val="27C5A8B9"/>
    <w:rsid w:val="27D39B7A"/>
    <w:rsid w:val="27DD19F0"/>
    <w:rsid w:val="27E52321"/>
    <w:rsid w:val="27EDA996"/>
    <w:rsid w:val="27F8EDAE"/>
    <w:rsid w:val="27FAA3E0"/>
    <w:rsid w:val="2809E3D2"/>
    <w:rsid w:val="2811EDD2"/>
    <w:rsid w:val="282A1868"/>
    <w:rsid w:val="283C0ADD"/>
    <w:rsid w:val="2842A9FA"/>
    <w:rsid w:val="2850F83C"/>
    <w:rsid w:val="28515460"/>
    <w:rsid w:val="2851A8AF"/>
    <w:rsid w:val="285F4EF1"/>
    <w:rsid w:val="286343CF"/>
    <w:rsid w:val="28685269"/>
    <w:rsid w:val="286E14E0"/>
    <w:rsid w:val="28845D15"/>
    <w:rsid w:val="289B8D34"/>
    <w:rsid w:val="28A50496"/>
    <w:rsid w:val="28A8AD2F"/>
    <w:rsid w:val="28AEA8FB"/>
    <w:rsid w:val="28B413B1"/>
    <w:rsid w:val="28B91724"/>
    <w:rsid w:val="28C3EA10"/>
    <w:rsid w:val="28CF42A9"/>
    <w:rsid w:val="28D112E6"/>
    <w:rsid w:val="28D41FBC"/>
    <w:rsid w:val="28D52489"/>
    <w:rsid w:val="28DCFFA6"/>
    <w:rsid w:val="28E17120"/>
    <w:rsid w:val="28E4F57E"/>
    <w:rsid w:val="28F3DE76"/>
    <w:rsid w:val="28F45948"/>
    <w:rsid w:val="2915E21E"/>
    <w:rsid w:val="292E8B74"/>
    <w:rsid w:val="2935BD05"/>
    <w:rsid w:val="293E8A2B"/>
    <w:rsid w:val="29751580"/>
    <w:rsid w:val="297AD870"/>
    <w:rsid w:val="29858246"/>
    <w:rsid w:val="2987C8E6"/>
    <w:rsid w:val="29905F31"/>
    <w:rsid w:val="29907507"/>
    <w:rsid w:val="29BC805D"/>
    <w:rsid w:val="29CE8F37"/>
    <w:rsid w:val="29D5397A"/>
    <w:rsid w:val="29D6EF87"/>
    <w:rsid w:val="29D8EC8D"/>
    <w:rsid w:val="29DF4695"/>
    <w:rsid w:val="29E13B52"/>
    <w:rsid w:val="29EBC4B6"/>
    <w:rsid w:val="29F106BD"/>
    <w:rsid w:val="29F62D9F"/>
    <w:rsid w:val="29F9CE5F"/>
    <w:rsid w:val="2A02E487"/>
    <w:rsid w:val="2A275552"/>
    <w:rsid w:val="2A32C5F9"/>
    <w:rsid w:val="2A32CF60"/>
    <w:rsid w:val="2A48A97F"/>
    <w:rsid w:val="2A4AE3DF"/>
    <w:rsid w:val="2A4B811B"/>
    <w:rsid w:val="2A55B1CE"/>
    <w:rsid w:val="2A65F2E4"/>
    <w:rsid w:val="2A690A49"/>
    <w:rsid w:val="2A69765E"/>
    <w:rsid w:val="2A828C66"/>
    <w:rsid w:val="2A88E30A"/>
    <w:rsid w:val="2A8D027B"/>
    <w:rsid w:val="2A92EE08"/>
    <w:rsid w:val="2A9FFDD7"/>
    <w:rsid w:val="2AB1CEA4"/>
    <w:rsid w:val="2AB1EB3C"/>
    <w:rsid w:val="2AB416C9"/>
    <w:rsid w:val="2AC7556F"/>
    <w:rsid w:val="2AD646F8"/>
    <w:rsid w:val="2ADC807E"/>
    <w:rsid w:val="2AE48FDC"/>
    <w:rsid w:val="2AE62481"/>
    <w:rsid w:val="2AEE91B7"/>
    <w:rsid w:val="2AF2ED8F"/>
    <w:rsid w:val="2AF66B8C"/>
    <w:rsid w:val="2B026F45"/>
    <w:rsid w:val="2B085891"/>
    <w:rsid w:val="2B164AD4"/>
    <w:rsid w:val="2B1FEB11"/>
    <w:rsid w:val="2B232AF1"/>
    <w:rsid w:val="2B4005B2"/>
    <w:rsid w:val="2B54C1F4"/>
    <w:rsid w:val="2B6FBC6D"/>
    <w:rsid w:val="2B73862E"/>
    <w:rsid w:val="2B744D6E"/>
    <w:rsid w:val="2B943EB8"/>
    <w:rsid w:val="2B94CEF1"/>
    <w:rsid w:val="2B9E2D17"/>
    <w:rsid w:val="2BADA22D"/>
    <w:rsid w:val="2BB3C724"/>
    <w:rsid w:val="2BBDE0E5"/>
    <w:rsid w:val="2BC5D5FB"/>
    <w:rsid w:val="2BCADDA1"/>
    <w:rsid w:val="2BDF1A66"/>
    <w:rsid w:val="2BE15E45"/>
    <w:rsid w:val="2BED5D0A"/>
    <w:rsid w:val="2C0B4784"/>
    <w:rsid w:val="2C1DF2D1"/>
    <w:rsid w:val="2C340D5F"/>
    <w:rsid w:val="2C383218"/>
    <w:rsid w:val="2C476061"/>
    <w:rsid w:val="2C76DE37"/>
    <w:rsid w:val="2C7D73BD"/>
    <w:rsid w:val="2C809839"/>
    <w:rsid w:val="2C81F810"/>
    <w:rsid w:val="2C829DE2"/>
    <w:rsid w:val="2C9991FB"/>
    <w:rsid w:val="2CA8D8B1"/>
    <w:rsid w:val="2CB1A65A"/>
    <w:rsid w:val="2CB9A4E7"/>
    <w:rsid w:val="2CC794D1"/>
    <w:rsid w:val="2CD549E7"/>
    <w:rsid w:val="2CE4A56F"/>
    <w:rsid w:val="2CE611F9"/>
    <w:rsid w:val="2CEE1504"/>
    <w:rsid w:val="2CF67C8E"/>
    <w:rsid w:val="2D02EA19"/>
    <w:rsid w:val="2D039DFE"/>
    <w:rsid w:val="2D137EB1"/>
    <w:rsid w:val="2D1D91EE"/>
    <w:rsid w:val="2D1DED4F"/>
    <w:rsid w:val="2D200B88"/>
    <w:rsid w:val="2D24003F"/>
    <w:rsid w:val="2D2AC14A"/>
    <w:rsid w:val="2D2B8A6E"/>
    <w:rsid w:val="2D2F6C90"/>
    <w:rsid w:val="2D36988D"/>
    <w:rsid w:val="2D371889"/>
    <w:rsid w:val="2D3B56DC"/>
    <w:rsid w:val="2D40695A"/>
    <w:rsid w:val="2D4793B6"/>
    <w:rsid w:val="2D4C6D66"/>
    <w:rsid w:val="2D4CF5A3"/>
    <w:rsid w:val="2D59057B"/>
    <w:rsid w:val="2D62332B"/>
    <w:rsid w:val="2D6972E7"/>
    <w:rsid w:val="2D6E3213"/>
    <w:rsid w:val="2D7013DC"/>
    <w:rsid w:val="2D7889E5"/>
    <w:rsid w:val="2D816FF4"/>
    <w:rsid w:val="2D8554DA"/>
    <w:rsid w:val="2D8D910A"/>
    <w:rsid w:val="2D8E9186"/>
    <w:rsid w:val="2D93BFA1"/>
    <w:rsid w:val="2D93C652"/>
    <w:rsid w:val="2D976AB5"/>
    <w:rsid w:val="2D984E46"/>
    <w:rsid w:val="2DA48412"/>
    <w:rsid w:val="2DA7654A"/>
    <w:rsid w:val="2DA81F55"/>
    <w:rsid w:val="2DA8E8E5"/>
    <w:rsid w:val="2DA8F082"/>
    <w:rsid w:val="2DAB1639"/>
    <w:rsid w:val="2DB8C08D"/>
    <w:rsid w:val="2DD8E05D"/>
    <w:rsid w:val="2DDB66C4"/>
    <w:rsid w:val="2DE146E0"/>
    <w:rsid w:val="2DE357F6"/>
    <w:rsid w:val="2DED8126"/>
    <w:rsid w:val="2DF2D8A8"/>
    <w:rsid w:val="2DFCB573"/>
    <w:rsid w:val="2E022929"/>
    <w:rsid w:val="2E119CE9"/>
    <w:rsid w:val="2E169688"/>
    <w:rsid w:val="2E1AE3F9"/>
    <w:rsid w:val="2E1C59DA"/>
    <w:rsid w:val="2E1CB811"/>
    <w:rsid w:val="2E26BFDA"/>
    <w:rsid w:val="2E26E911"/>
    <w:rsid w:val="2E313AD9"/>
    <w:rsid w:val="2E3512E5"/>
    <w:rsid w:val="2E36E3D3"/>
    <w:rsid w:val="2E4373A7"/>
    <w:rsid w:val="2E5BC1F1"/>
    <w:rsid w:val="2E6C9663"/>
    <w:rsid w:val="2E7012FD"/>
    <w:rsid w:val="2E71C8BA"/>
    <w:rsid w:val="2E760A8A"/>
    <w:rsid w:val="2E798D01"/>
    <w:rsid w:val="2E7EB5CB"/>
    <w:rsid w:val="2E838C26"/>
    <w:rsid w:val="2E9B439C"/>
    <w:rsid w:val="2EBAAE30"/>
    <w:rsid w:val="2EBCEFFC"/>
    <w:rsid w:val="2EC4BC41"/>
    <w:rsid w:val="2ECAEC9D"/>
    <w:rsid w:val="2ECF73A0"/>
    <w:rsid w:val="2ED776A6"/>
    <w:rsid w:val="2EE3448C"/>
    <w:rsid w:val="2EE7D47D"/>
    <w:rsid w:val="2EFE56F9"/>
    <w:rsid w:val="2F132B7D"/>
    <w:rsid w:val="2F1AE13B"/>
    <w:rsid w:val="2F2D2185"/>
    <w:rsid w:val="2F38B010"/>
    <w:rsid w:val="2F49E271"/>
    <w:rsid w:val="2F4B772B"/>
    <w:rsid w:val="2F5003ED"/>
    <w:rsid w:val="2F573542"/>
    <w:rsid w:val="2F60E80E"/>
    <w:rsid w:val="2F701046"/>
    <w:rsid w:val="2F73C003"/>
    <w:rsid w:val="2F7C85C0"/>
    <w:rsid w:val="2F808A22"/>
    <w:rsid w:val="2F8EFC5C"/>
    <w:rsid w:val="2F9911B9"/>
    <w:rsid w:val="2FA43008"/>
    <w:rsid w:val="2FAE2161"/>
    <w:rsid w:val="2FB6A73C"/>
    <w:rsid w:val="2FC13C6A"/>
    <w:rsid w:val="2FCE427D"/>
    <w:rsid w:val="2FE1CB26"/>
    <w:rsid w:val="2FF5B059"/>
    <w:rsid w:val="2FF8B28E"/>
    <w:rsid w:val="2FFE551F"/>
    <w:rsid w:val="3000923C"/>
    <w:rsid w:val="3001D361"/>
    <w:rsid w:val="300B88A7"/>
    <w:rsid w:val="3010730B"/>
    <w:rsid w:val="30175EFE"/>
    <w:rsid w:val="30217EEB"/>
    <w:rsid w:val="30251F13"/>
    <w:rsid w:val="3035B6B7"/>
    <w:rsid w:val="30371DB8"/>
    <w:rsid w:val="3037FEDC"/>
    <w:rsid w:val="304FCA48"/>
    <w:rsid w:val="305988CE"/>
    <w:rsid w:val="305D0050"/>
    <w:rsid w:val="30608B48"/>
    <w:rsid w:val="306A982A"/>
    <w:rsid w:val="306C80B7"/>
    <w:rsid w:val="30756E4D"/>
    <w:rsid w:val="307712BE"/>
    <w:rsid w:val="307A3C4A"/>
    <w:rsid w:val="307A92FA"/>
    <w:rsid w:val="307CB472"/>
    <w:rsid w:val="307DDE62"/>
    <w:rsid w:val="3081DA59"/>
    <w:rsid w:val="308BFE43"/>
    <w:rsid w:val="308D80CC"/>
    <w:rsid w:val="3094C137"/>
    <w:rsid w:val="3097A274"/>
    <w:rsid w:val="30ACAA7B"/>
    <w:rsid w:val="30AD00C6"/>
    <w:rsid w:val="30AD4784"/>
    <w:rsid w:val="30B35101"/>
    <w:rsid w:val="30B71985"/>
    <w:rsid w:val="30B75FDD"/>
    <w:rsid w:val="30B879BB"/>
    <w:rsid w:val="30BCF95C"/>
    <w:rsid w:val="30CE178D"/>
    <w:rsid w:val="30D11544"/>
    <w:rsid w:val="30D3D6C4"/>
    <w:rsid w:val="30D44308"/>
    <w:rsid w:val="30D4D680"/>
    <w:rsid w:val="30F7F339"/>
    <w:rsid w:val="30F90724"/>
    <w:rsid w:val="3100AEA2"/>
    <w:rsid w:val="31069902"/>
    <w:rsid w:val="31075156"/>
    <w:rsid w:val="310A4355"/>
    <w:rsid w:val="3111A4F1"/>
    <w:rsid w:val="311C9A4A"/>
    <w:rsid w:val="3120629C"/>
    <w:rsid w:val="3124E968"/>
    <w:rsid w:val="3130EAC1"/>
    <w:rsid w:val="31358602"/>
    <w:rsid w:val="313B8F3B"/>
    <w:rsid w:val="31446126"/>
    <w:rsid w:val="3158408F"/>
    <w:rsid w:val="31645EFD"/>
    <w:rsid w:val="316C0B1C"/>
    <w:rsid w:val="3170C826"/>
    <w:rsid w:val="3174C1F0"/>
    <w:rsid w:val="31801821"/>
    <w:rsid w:val="3183E6A0"/>
    <w:rsid w:val="318B418C"/>
    <w:rsid w:val="318C2C34"/>
    <w:rsid w:val="319456D8"/>
    <w:rsid w:val="319F39CB"/>
    <w:rsid w:val="31BCFEF8"/>
    <w:rsid w:val="31BD4F32"/>
    <w:rsid w:val="31BD9163"/>
    <w:rsid w:val="31C837AA"/>
    <w:rsid w:val="31CE39CF"/>
    <w:rsid w:val="31E017F3"/>
    <w:rsid w:val="31F2E388"/>
    <w:rsid w:val="31F2FD27"/>
    <w:rsid w:val="320281CC"/>
    <w:rsid w:val="32053FB0"/>
    <w:rsid w:val="320CFA65"/>
    <w:rsid w:val="321D22F2"/>
    <w:rsid w:val="3224C43D"/>
    <w:rsid w:val="32272E1C"/>
    <w:rsid w:val="322ED47E"/>
    <w:rsid w:val="3233B6B9"/>
    <w:rsid w:val="3235BB64"/>
    <w:rsid w:val="3235D42D"/>
    <w:rsid w:val="3241BE1A"/>
    <w:rsid w:val="3244A2DC"/>
    <w:rsid w:val="324A3187"/>
    <w:rsid w:val="324BEE2D"/>
    <w:rsid w:val="326F5301"/>
    <w:rsid w:val="327493FB"/>
    <w:rsid w:val="327BD5AA"/>
    <w:rsid w:val="3289B1DC"/>
    <w:rsid w:val="329B7E49"/>
    <w:rsid w:val="32A8B997"/>
    <w:rsid w:val="32AD2A83"/>
    <w:rsid w:val="32FBFC21"/>
    <w:rsid w:val="32FFFF9E"/>
    <w:rsid w:val="3304E435"/>
    <w:rsid w:val="3312D319"/>
    <w:rsid w:val="331E081C"/>
    <w:rsid w:val="331E183D"/>
    <w:rsid w:val="331F99C6"/>
    <w:rsid w:val="332324B3"/>
    <w:rsid w:val="33244DB3"/>
    <w:rsid w:val="3343768C"/>
    <w:rsid w:val="334A4FDE"/>
    <w:rsid w:val="334B9B29"/>
    <w:rsid w:val="33719F0A"/>
    <w:rsid w:val="337843F4"/>
    <w:rsid w:val="3380F32B"/>
    <w:rsid w:val="33822638"/>
    <w:rsid w:val="33822832"/>
    <w:rsid w:val="33838A29"/>
    <w:rsid w:val="339093F0"/>
    <w:rsid w:val="3393432D"/>
    <w:rsid w:val="33A4DAC9"/>
    <w:rsid w:val="33A8A0EF"/>
    <w:rsid w:val="33AA8C16"/>
    <w:rsid w:val="33B31359"/>
    <w:rsid w:val="33B9FF2C"/>
    <w:rsid w:val="33BC7490"/>
    <w:rsid w:val="33BD3AE3"/>
    <w:rsid w:val="33C7E49D"/>
    <w:rsid w:val="33CDD02A"/>
    <w:rsid w:val="33D20C27"/>
    <w:rsid w:val="33D21E3E"/>
    <w:rsid w:val="33E0A930"/>
    <w:rsid w:val="33E5DE81"/>
    <w:rsid w:val="33EA3B60"/>
    <w:rsid w:val="33FD05F4"/>
    <w:rsid w:val="34053D7B"/>
    <w:rsid w:val="34089155"/>
    <w:rsid w:val="341ED572"/>
    <w:rsid w:val="34218D08"/>
    <w:rsid w:val="342B9BE2"/>
    <w:rsid w:val="342F324F"/>
    <w:rsid w:val="343E0E69"/>
    <w:rsid w:val="3440997C"/>
    <w:rsid w:val="34419A90"/>
    <w:rsid w:val="344392F6"/>
    <w:rsid w:val="34564027"/>
    <w:rsid w:val="345B9DF7"/>
    <w:rsid w:val="34604469"/>
    <w:rsid w:val="34700D22"/>
    <w:rsid w:val="348657E1"/>
    <w:rsid w:val="34905371"/>
    <w:rsid w:val="34ABF5B8"/>
    <w:rsid w:val="34B8E2C4"/>
    <w:rsid w:val="34BE6DAE"/>
    <w:rsid w:val="34C26BD5"/>
    <w:rsid w:val="34C341A5"/>
    <w:rsid w:val="34CFD8E1"/>
    <w:rsid w:val="34D109EA"/>
    <w:rsid w:val="34DC370E"/>
    <w:rsid w:val="34E27BAF"/>
    <w:rsid w:val="34E50F82"/>
    <w:rsid w:val="34EC75C6"/>
    <w:rsid w:val="34F40842"/>
    <w:rsid w:val="34F98A10"/>
    <w:rsid w:val="34FEE06A"/>
    <w:rsid w:val="34FF0CC0"/>
    <w:rsid w:val="350446FA"/>
    <w:rsid w:val="350ABA90"/>
    <w:rsid w:val="35194077"/>
    <w:rsid w:val="351D8CDA"/>
    <w:rsid w:val="3522EC7F"/>
    <w:rsid w:val="352580DB"/>
    <w:rsid w:val="35361DCE"/>
    <w:rsid w:val="3544CB25"/>
    <w:rsid w:val="354574AB"/>
    <w:rsid w:val="354F51BD"/>
    <w:rsid w:val="35546305"/>
    <w:rsid w:val="355572AE"/>
    <w:rsid w:val="3562DAC2"/>
    <w:rsid w:val="35644349"/>
    <w:rsid w:val="3565C9E2"/>
    <w:rsid w:val="3565F21B"/>
    <w:rsid w:val="356DE07E"/>
    <w:rsid w:val="356E434D"/>
    <w:rsid w:val="35709BA1"/>
    <w:rsid w:val="3572F135"/>
    <w:rsid w:val="3577D848"/>
    <w:rsid w:val="3580AD16"/>
    <w:rsid w:val="358C06BD"/>
    <w:rsid w:val="358DB335"/>
    <w:rsid w:val="359A00CC"/>
    <w:rsid w:val="35A304D6"/>
    <w:rsid w:val="35B11D4F"/>
    <w:rsid w:val="35C43307"/>
    <w:rsid w:val="35CB8F90"/>
    <w:rsid w:val="35CD8954"/>
    <w:rsid w:val="35D84E9E"/>
    <w:rsid w:val="36000262"/>
    <w:rsid w:val="360AF6FB"/>
    <w:rsid w:val="360F6BE2"/>
    <w:rsid w:val="360FF7C7"/>
    <w:rsid w:val="3612C2A1"/>
    <w:rsid w:val="361B519E"/>
    <w:rsid w:val="3620256C"/>
    <w:rsid w:val="3631DD64"/>
    <w:rsid w:val="363E6550"/>
    <w:rsid w:val="36454DBB"/>
    <w:rsid w:val="365493DC"/>
    <w:rsid w:val="365AF565"/>
    <w:rsid w:val="365E3347"/>
    <w:rsid w:val="36661A52"/>
    <w:rsid w:val="366A564F"/>
    <w:rsid w:val="366C9F27"/>
    <w:rsid w:val="36713687"/>
    <w:rsid w:val="3682A64B"/>
    <w:rsid w:val="36949FD8"/>
    <w:rsid w:val="369B7B14"/>
    <w:rsid w:val="36A13615"/>
    <w:rsid w:val="36A431E8"/>
    <w:rsid w:val="36A5CB5C"/>
    <w:rsid w:val="36AF2144"/>
    <w:rsid w:val="36B125A6"/>
    <w:rsid w:val="36B12AB9"/>
    <w:rsid w:val="36B19E55"/>
    <w:rsid w:val="36B5646C"/>
    <w:rsid w:val="36B566F2"/>
    <w:rsid w:val="36CAAA20"/>
    <w:rsid w:val="36CC8B23"/>
    <w:rsid w:val="36CEA874"/>
    <w:rsid w:val="36E30E00"/>
    <w:rsid w:val="37014982"/>
    <w:rsid w:val="3702DF5E"/>
    <w:rsid w:val="3703DD55"/>
    <w:rsid w:val="370CA1BC"/>
    <w:rsid w:val="3710F9FA"/>
    <w:rsid w:val="371C7DF8"/>
    <w:rsid w:val="372651E4"/>
    <w:rsid w:val="373D73F6"/>
    <w:rsid w:val="3741B034"/>
    <w:rsid w:val="37481A31"/>
    <w:rsid w:val="374AC012"/>
    <w:rsid w:val="37578945"/>
    <w:rsid w:val="375DFEBA"/>
    <w:rsid w:val="3764D80B"/>
    <w:rsid w:val="376B963C"/>
    <w:rsid w:val="376D5294"/>
    <w:rsid w:val="37769B14"/>
    <w:rsid w:val="3778D414"/>
    <w:rsid w:val="377AC5D7"/>
    <w:rsid w:val="37847196"/>
    <w:rsid w:val="37909ECD"/>
    <w:rsid w:val="3795D28C"/>
    <w:rsid w:val="37972A92"/>
    <w:rsid w:val="379C05CB"/>
    <w:rsid w:val="379D0BF4"/>
    <w:rsid w:val="379E09EB"/>
    <w:rsid w:val="37A6C0BF"/>
    <w:rsid w:val="37AAF51F"/>
    <w:rsid w:val="37B0E388"/>
    <w:rsid w:val="37D1D53E"/>
    <w:rsid w:val="37E2DF0B"/>
    <w:rsid w:val="37E4FB76"/>
    <w:rsid w:val="37EB4288"/>
    <w:rsid w:val="38179336"/>
    <w:rsid w:val="3817E87D"/>
    <w:rsid w:val="382F398C"/>
    <w:rsid w:val="38471AB4"/>
    <w:rsid w:val="384E0A5F"/>
    <w:rsid w:val="385049C1"/>
    <w:rsid w:val="3867C7A7"/>
    <w:rsid w:val="386BCCBE"/>
    <w:rsid w:val="389503BF"/>
    <w:rsid w:val="389FE4F6"/>
    <w:rsid w:val="38A87F58"/>
    <w:rsid w:val="38BE8BFF"/>
    <w:rsid w:val="38E827D8"/>
    <w:rsid w:val="38F0B290"/>
    <w:rsid w:val="38F360D9"/>
    <w:rsid w:val="38F8A61B"/>
    <w:rsid w:val="390EE415"/>
    <w:rsid w:val="391DC9DC"/>
    <w:rsid w:val="3928C65D"/>
    <w:rsid w:val="3935B527"/>
    <w:rsid w:val="3937829C"/>
    <w:rsid w:val="393B4808"/>
    <w:rsid w:val="3940C13D"/>
    <w:rsid w:val="3950A9B9"/>
    <w:rsid w:val="395C6F81"/>
    <w:rsid w:val="396517E1"/>
    <w:rsid w:val="3967F40B"/>
    <w:rsid w:val="398523F8"/>
    <w:rsid w:val="39ABAC22"/>
    <w:rsid w:val="39B0717F"/>
    <w:rsid w:val="39C0BACF"/>
    <w:rsid w:val="39C4AC46"/>
    <w:rsid w:val="39C834A8"/>
    <w:rsid w:val="39D68C7A"/>
    <w:rsid w:val="39DAFBB6"/>
    <w:rsid w:val="39E3F206"/>
    <w:rsid w:val="39E80065"/>
    <w:rsid w:val="39F55BB8"/>
    <w:rsid w:val="3A008917"/>
    <w:rsid w:val="3A0934D3"/>
    <w:rsid w:val="3A0D61DB"/>
    <w:rsid w:val="3A11F467"/>
    <w:rsid w:val="3A2E2903"/>
    <w:rsid w:val="3A30AA1F"/>
    <w:rsid w:val="3A3B8CD9"/>
    <w:rsid w:val="3A4B08E2"/>
    <w:rsid w:val="3A5097A3"/>
    <w:rsid w:val="3A50D677"/>
    <w:rsid w:val="3A54AA0C"/>
    <w:rsid w:val="3A5655B6"/>
    <w:rsid w:val="3A5F0C8A"/>
    <w:rsid w:val="3A7167B6"/>
    <w:rsid w:val="3A73CC09"/>
    <w:rsid w:val="3A7EF0AA"/>
    <w:rsid w:val="3A7FEE08"/>
    <w:rsid w:val="3A841111"/>
    <w:rsid w:val="3A8F27C4"/>
    <w:rsid w:val="3A9B4CA5"/>
    <w:rsid w:val="3A9BA2BE"/>
    <w:rsid w:val="3AB87529"/>
    <w:rsid w:val="3ABCA007"/>
    <w:rsid w:val="3AC76CF3"/>
    <w:rsid w:val="3ACB6042"/>
    <w:rsid w:val="3ACBD51F"/>
    <w:rsid w:val="3AECE04C"/>
    <w:rsid w:val="3B0E404E"/>
    <w:rsid w:val="3B10993D"/>
    <w:rsid w:val="3B21155E"/>
    <w:rsid w:val="3B23B722"/>
    <w:rsid w:val="3B252875"/>
    <w:rsid w:val="3B2A4704"/>
    <w:rsid w:val="3B39F5CA"/>
    <w:rsid w:val="3B407B5A"/>
    <w:rsid w:val="3B4540EE"/>
    <w:rsid w:val="3B59EC4A"/>
    <w:rsid w:val="3B643192"/>
    <w:rsid w:val="3B69543E"/>
    <w:rsid w:val="3B69BBAE"/>
    <w:rsid w:val="3B6F195C"/>
    <w:rsid w:val="3B710EF3"/>
    <w:rsid w:val="3B865A28"/>
    <w:rsid w:val="3B918993"/>
    <w:rsid w:val="3BA1A2E2"/>
    <w:rsid w:val="3BA1D5B3"/>
    <w:rsid w:val="3BA9C622"/>
    <w:rsid w:val="3BAD8937"/>
    <w:rsid w:val="3BAE3B04"/>
    <w:rsid w:val="3BB9EE4D"/>
    <w:rsid w:val="3BD85CA5"/>
    <w:rsid w:val="3BE7BE29"/>
    <w:rsid w:val="3BE8BA48"/>
    <w:rsid w:val="3BFD6209"/>
    <w:rsid w:val="3C199991"/>
    <w:rsid w:val="3C1BC8BD"/>
    <w:rsid w:val="3C26FAF4"/>
    <w:rsid w:val="3C27074D"/>
    <w:rsid w:val="3C2802A6"/>
    <w:rsid w:val="3C2CB7EB"/>
    <w:rsid w:val="3C2FD56E"/>
    <w:rsid w:val="3C3524D7"/>
    <w:rsid w:val="3C3714B3"/>
    <w:rsid w:val="3C44537B"/>
    <w:rsid w:val="3C46FEDE"/>
    <w:rsid w:val="3C4E81DC"/>
    <w:rsid w:val="3C51D3E5"/>
    <w:rsid w:val="3C5340EE"/>
    <w:rsid w:val="3C5A689F"/>
    <w:rsid w:val="3C6D4D9D"/>
    <w:rsid w:val="3C817307"/>
    <w:rsid w:val="3C97BC58"/>
    <w:rsid w:val="3CA712D9"/>
    <w:rsid w:val="3CA82DA8"/>
    <w:rsid w:val="3CB82E2B"/>
    <w:rsid w:val="3CCD4D8D"/>
    <w:rsid w:val="3CD149AC"/>
    <w:rsid w:val="3CD73596"/>
    <w:rsid w:val="3CD9BEAC"/>
    <w:rsid w:val="3CDB889F"/>
    <w:rsid w:val="3CE117F3"/>
    <w:rsid w:val="3CE7CB5D"/>
    <w:rsid w:val="3CF93F40"/>
    <w:rsid w:val="3CF9642C"/>
    <w:rsid w:val="3CFA2387"/>
    <w:rsid w:val="3CFAB4D7"/>
    <w:rsid w:val="3D050E43"/>
    <w:rsid w:val="3D1DF2ED"/>
    <w:rsid w:val="3D21702E"/>
    <w:rsid w:val="3D3551A2"/>
    <w:rsid w:val="3D3D3398"/>
    <w:rsid w:val="3D46E10A"/>
    <w:rsid w:val="3D68C7DE"/>
    <w:rsid w:val="3D68E4A4"/>
    <w:rsid w:val="3D74C383"/>
    <w:rsid w:val="3D7E0ED4"/>
    <w:rsid w:val="3D82FF65"/>
    <w:rsid w:val="3D8C6895"/>
    <w:rsid w:val="3D8D5F00"/>
    <w:rsid w:val="3D9076E6"/>
    <w:rsid w:val="3D981575"/>
    <w:rsid w:val="3D99CDD1"/>
    <w:rsid w:val="3D9F5AA0"/>
    <w:rsid w:val="3DBF4CE1"/>
    <w:rsid w:val="3DC71237"/>
    <w:rsid w:val="3DC7AE67"/>
    <w:rsid w:val="3DDF90DD"/>
    <w:rsid w:val="3DE1E675"/>
    <w:rsid w:val="3DE2A054"/>
    <w:rsid w:val="3DE4D409"/>
    <w:rsid w:val="3DEADE1F"/>
    <w:rsid w:val="3DF362CD"/>
    <w:rsid w:val="3E10EB97"/>
    <w:rsid w:val="3E14EC49"/>
    <w:rsid w:val="3E1D3620"/>
    <w:rsid w:val="3E1FCB49"/>
    <w:rsid w:val="3E23E579"/>
    <w:rsid w:val="3E29E123"/>
    <w:rsid w:val="3E3CB606"/>
    <w:rsid w:val="3E431391"/>
    <w:rsid w:val="3E59C435"/>
    <w:rsid w:val="3E7C5ABE"/>
    <w:rsid w:val="3E7E0D54"/>
    <w:rsid w:val="3E7E83B6"/>
    <w:rsid w:val="3E8FE27F"/>
    <w:rsid w:val="3E973658"/>
    <w:rsid w:val="3E9C944A"/>
    <w:rsid w:val="3EA0BBCD"/>
    <w:rsid w:val="3EAE178F"/>
    <w:rsid w:val="3EB23FC7"/>
    <w:rsid w:val="3EB3E633"/>
    <w:rsid w:val="3EBA1C62"/>
    <w:rsid w:val="3EBF451C"/>
    <w:rsid w:val="3EC11EDC"/>
    <w:rsid w:val="3EC5FE9A"/>
    <w:rsid w:val="3EC6DC8F"/>
    <w:rsid w:val="3EC85D53"/>
    <w:rsid w:val="3ECF6522"/>
    <w:rsid w:val="3ED0D1AF"/>
    <w:rsid w:val="3EEE1C5E"/>
    <w:rsid w:val="3EF0A771"/>
    <w:rsid w:val="3F01C466"/>
    <w:rsid w:val="3F0609FC"/>
    <w:rsid w:val="3F07F220"/>
    <w:rsid w:val="3F190D4F"/>
    <w:rsid w:val="3F1DCB54"/>
    <w:rsid w:val="3F1E066D"/>
    <w:rsid w:val="3F2E4DF0"/>
    <w:rsid w:val="3F3291B4"/>
    <w:rsid w:val="3F3ACE02"/>
    <w:rsid w:val="3F3FA101"/>
    <w:rsid w:val="3F525B52"/>
    <w:rsid w:val="3F5C4D75"/>
    <w:rsid w:val="3F68F0B9"/>
    <w:rsid w:val="3F6A3E94"/>
    <w:rsid w:val="3F6F0F84"/>
    <w:rsid w:val="3F7ED36A"/>
    <w:rsid w:val="3F8C5D2E"/>
    <w:rsid w:val="3F9C0CEB"/>
    <w:rsid w:val="3F9C83E4"/>
    <w:rsid w:val="3FAA8651"/>
    <w:rsid w:val="3FABB201"/>
    <w:rsid w:val="3FB5CDB8"/>
    <w:rsid w:val="3FCE3D32"/>
    <w:rsid w:val="3FCE4B8B"/>
    <w:rsid w:val="3FD182B6"/>
    <w:rsid w:val="3FD2C525"/>
    <w:rsid w:val="3FD73CAF"/>
    <w:rsid w:val="3FE7C28B"/>
    <w:rsid w:val="3FEB3AFF"/>
    <w:rsid w:val="3FF011B4"/>
    <w:rsid w:val="3FF582A0"/>
    <w:rsid w:val="3FF81AAA"/>
    <w:rsid w:val="3FF94146"/>
    <w:rsid w:val="3FFB956B"/>
    <w:rsid w:val="401A76F1"/>
    <w:rsid w:val="4022A62C"/>
    <w:rsid w:val="4029E42B"/>
    <w:rsid w:val="40415D35"/>
    <w:rsid w:val="4055BCC5"/>
    <w:rsid w:val="4058BADD"/>
    <w:rsid w:val="4061668F"/>
    <w:rsid w:val="4062181E"/>
    <w:rsid w:val="406794AA"/>
    <w:rsid w:val="406CBAD4"/>
    <w:rsid w:val="407511C0"/>
    <w:rsid w:val="4075637C"/>
    <w:rsid w:val="407B5E18"/>
    <w:rsid w:val="407B74FA"/>
    <w:rsid w:val="408E3E3A"/>
    <w:rsid w:val="40ABFEC9"/>
    <w:rsid w:val="40AD1C31"/>
    <w:rsid w:val="40BBBC54"/>
    <w:rsid w:val="40D33011"/>
    <w:rsid w:val="40DFA7B2"/>
    <w:rsid w:val="40EC5A45"/>
    <w:rsid w:val="40FB6B76"/>
    <w:rsid w:val="40FC77FA"/>
    <w:rsid w:val="41013BC0"/>
    <w:rsid w:val="410E4237"/>
    <w:rsid w:val="4129A8FB"/>
    <w:rsid w:val="412BB69E"/>
    <w:rsid w:val="41342025"/>
    <w:rsid w:val="413C72C6"/>
    <w:rsid w:val="415DB7AC"/>
    <w:rsid w:val="415ED128"/>
    <w:rsid w:val="41653339"/>
    <w:rsid w:val="4176464C"/>
    <w:rsid w:val="41808864"/>
    <w:rsid w:val="4186711E"/>
    <w:rsid w:val="418AA0DB"/>
    <w:rsid w:val="418EA6A5"/>
    <w:rsid w:val="41921AEA"/>
    <w:rsid w:val="41B11393"/>
    <w:rsid w:val="41B22405"/>
    <w:rsid w:val="41BB3D3B"/>
    <w:rsid w:val="41C64F1C"/>
    <w:rsid w:val="41CC7973"/>
    <w:rsid w:val="41D3182A"/>
    <w:rsid w:val="41E186BF"/>
    <w:rsid w:val="41ED7142"/>
    <w:rsid w:val="41F24A04"/>
    <w:rsid w:val="41F48BF8"/>
    <w:rsid w:val="420015AC"/>
    <w:rsid w:val="4212967B"/>
    <w:rsid w:val="421C2AF0"/>
    <w:rsid w:val="421C794F"/>
    <w:rsid w:val="4223B0E0"/>
    <w:rsid w:val="4223E5A5"/>
    <w:rsid w:val="4227B0BB"/>
    <w:rsid w:val="42291961"/>
    <w:rsid w:val="422C2396"/>
    <w:rsid w:val="4231B415"/>
    <w:rsid w:val="424D19E9"/>
    <w:rsid w:val="42534AF9"/>
    <w:rsid w:val="42544544"/>
    <w:rsid w:val="425793C0"/>
    <w:rsid w:val="42763873"/>
    <w:rsid w:val="427CD5ED"/>
    <w:rsid w:val="427D266B"/>
    <w:rsid w:val="427EFA09"/>
    <w:rsid w:val="4281283F"/>
    <w:rsid w:val="4287292D"/>
    <w:rsid w:val="4293E56D"/>
    <w:rsid w:val="4295A127"/>
    <w:rsid w:val="42A348B3"/>
    <w:rsid w:val="42AAF44A"/>
    <w:rsid w:val="42AFF562"/>
    <w:rsid w:val="42B22FA4"/>
    <w:rsid w:val="42B9414B"/>
    <w:rsid w:val="42C631EF"/>
    <w:rsid w:val="42CBA730"/>
    <w:rsid w:val="42CE5A3F"/>
    <w:rsid w:val="42E9366B"/>
    <w:rsid w:val="42F729FC"/>
    <w:rsid w:val="42F9A738"/>
    <w:rsid w:val="42FF2006"/>
    <w:rsid w:val="43037FDF"/>
    <w:rsid w:val="4309B36D"/>
    <w:rsid w:val="431276A6"/>
    <w:rsid w:val="4312CD10"/>
    <w:rsid w:val="4313B8EB"/>
    <w:rsid w:val="43222F0A"/>
    <w:rsid w:val="4323FFE7"/>
    <w:rsid w:val="4331A3C4"/>
    <w:rsid w:val="43415C32"/>
    <w:rsid w:val="434ACD38"/>
    <w:rsid w:val="4350094A"/>
    <w:rsid w:val="4353513B"/>
    <w:rsid w:val="4360C2D4"/>
    <w:rsid w:val="4364C037"/>
    <w:rsid w:val="4367241B"/>
    <w:rsid w:val="4367F86D"/>
    <w:rsid w:val="437CD3FB"/>
    <w:rsid w:val="439748CB"/>
    <w:rsid w:val="43A20C30"/>
    <w:rsid w:val="43A6083F"/>
    <w:rsid w:val="43B2AE6C"/>
    <w:rsid w:val="43D384C9"/>
    <w:rsid w:val="43E1EA25"/>
    <w:rsid w:val="43E6E0F9"/>
    <w:rsid w:val="43ED7DD1"/>
    <w:rsid w:val="43F11997"/>
    <w:rsid w:val="43F3CA3D"/>
    <w:rsid w:val="43FB2576"/>
    <w:rsid w:val="43FCE4BD"/>
    <w:rsid w:val="43FD64CB"/>
    <w:rsid w:val="43FF0724"/>
    <w:rsid w:val="43FFE039"/>
    <w:rsid w:val="44005492"/>
    <w:rsid w:val="44191AD3"/>
    <w:rsid w:val="44235916"/>
    <w:rsid w:val="4423760B"/>
    <w:rsid w:val="442497BD"/>
    <w:rsid w:val="442675FB"/>
    <w:rsid w:val="442BFE97"/>
    <w:rsid w:val="442C2324"/>
    <w:rsid w:val="44348587"/>
    <w:rsid w:val="4437B733"/>
    <w:rsid w:val="44463592"/>
    <w:rsid w:val="44505B1D"/>
    <w:rsid w:val="4459D87D"/>
    <w:rsid w:val="44609DE9"/>
    <w:rsid w:val="446858A7"/>
    <w:rsid w:val="447BC031"/>
    <w:rsid w:val="4485538D"/>
    <w:rsid w:val="448C6D7F"/>
    <w:rsid w:val="4496F6C5"/>
    <w:rsid w:val="4497AD2B"/>
    <w:rsid w:val="44998509"/>
    <w:rsid w:val="449CE9DA"/>
    <w:rsid w:val="44A695F4"/>
    <w:rsid w:val="44AD3118"/>
    <w:rsid w:val="44B1C15F"/>
    <w:rsid w:val="44C55318"/>
    <w:rsid w:val="44C5ADC1"/>
    <w:rsid w:val="44D35C19"/>
    <w:rsid w:val="44DE24FE"/>
    <w:rsid w:val="44E6D3A7"/>
    <w:rsid w:val="44F19267"/>
    <w:rsid w:val="44F45A09"/>
    <w:rsid w:val="44FAD0D0"/>
    <w:rsid w:val="45193FE7"/>
    <w:rsid w:val="451AAA71"/>
    <w:rsid w:val="4534112E"/>
    <w:rsid w:val="45349186"/>
    <w:rsid w:val="4542AACA"/>
    <w:rsid w:val="45574EED"/>
    <w:rsid w:val="45603D93"/>
    <w:rsid w:val="456A6459"/>
    <w:rsid w:val="45846A69"/>
    <w:rsid w:val="458C7DB3"/>
    <w:rsid w:val="45924A2D"/>
    <w:rsid w:val="4593FC34"/>
    <w:rsid w:val="4596F69E"/>
    <w:rsid w:val="45B7DF4B"/>
    <w:rsid w:val="45B9DA4C"/>
    <w:rsid w:val="45C25D64"/>
    <w:rsid w:val="45C46AE4"/>
    <w:rsid w:val="45CC0383"/>
    <w:rsid w:val="45D75731"/>
    <w:rsid w:val="45D92E5C"/>
    <w:rsid w:val="45DB596B"/>
    <w:rsid w:val="45EB88BF"/>
    <w:rsid w:val="45EC74A1"/>
    <w:rsid w:val="45F12BEB"/>
    <w:rsid w:val="45F3F3A1"/>
    <w:rsid w:val="4620E002"/>
    <w:rsid w:val="4639E17B"/>
    <w:rsid w:val="463CDF93"/>
    <w:rsid w:val="463F99F1"/>
    <w:rsid w:val="4644B6EE"/>
    <w:rsid w:val="464BA7B6"/>
    <w:rsid w:val="464E80D4"/>
    <w:rsid w:val="4658809D"/>
    <w:rsid w:val="465D8C94"/>
    <w:rsid w:val="4677015F"/>
    <w:rsid w:val="467F1A76"/>
    <w:rsid w:val="468707FC"/>
    <w:rsid w:val="4697E325"/>
    <w:rsid w:val="46AA84AB"/>
    <w:rsid w:val="46AB4C65"/>
    <w:rsid w:val="46B7056E"/>
    <w:rsid w:val="46BAE02E"/>
    <w:rsid w:val="46BC9F0D"/>
    <w:rsid w:val="46D01CC9"/>
    <w:rsid w:val="46D25164"/>
    <w:rsid w:val="46DB58BC"/>
    <w:rsid w:val="46DF902C"/>
    <w:rsid w:val="46E9BE8D"/>
    <w:rsid w:val="46F24D3B"/>
    <w:rsid w:val="46F70290"/>
    <w:rsid w:val="470510B6"/>
    <w:rsid w:val="470912EC"/>
    <w:rsid w:val="471071DE"/>
    <w:rsid w:val="4716B06F"/>
    <w:rsid w:val="471B3EB2"/>
    <w:rsid w:val="47215EF2"/>
    <w:rsid w:val="4727E445"/>
    <w:rsid w:val="474DC7A4"/>
    <w:rsid w:val="475DFBEF"/>
    <w:rsid w:val="4770BE5E"/>
    <w:rsid w:val="477A3377"/>
    <w:rsid w:val="477AA32A"/>
    <w:rsid w:val="477E3344"/>
    <w:rsid w:val="478A49F6"/>
    <w:rsid w:val="47953849"/>
    <w:rsid w:val="479648BB"/>
    <w:rsid w:val="479683DF"/>
    <w:rsid w:val="4798B97D"/>
    <w:rsid w:val="479AAF49"/>
    <w:rsid w:val="47B36E67"/>
    <w:rsid w:val="47B3DF74"/>
    <w:rsid w:val="47B45040"/>
    <w:rsid w:val="47CECA30"/>
    <w:rsid w:val="47D29248"/>
    <w:rsid w:val="47D6F03A"/>
    <w:rsid w:val="47DCE54F"/>
    <w:rsid w:val="47E2A471"/>
    <w:rsid w:val="47E3135F"/>
    <w:rsid w:val="47E507A3"/>
    <w:rsid w:val="47E98277"/>
    <w:rsid w:val="47F6F322"/>
    <w:rsid w:val="47F8357B"/>
    <w:rsid w:val="47F88721"/>
    <w:rsid w:val="47FD7670"/>
    <w:rsid w:val="4806A7B4"/>
    <w:rsid w:val="48106E96"/>
    <w:rsid w:val="4814206D"/>
    <w:rsid w:val="481D976E"/>
    <w:rsid w:val="482ABABD"/>
    <w:rsid w:val="48310ABB"/>
    <w:rsid w:val="4833EBF6"/>
    <w:rsid w:val="4834AAAC"/>
    <w:rsid w:val="4839D688"/>
    <w:rsid w:val="4844859A"/>
    <w:rsid w:val="484E728F"/>
    <w:rsid w:val="485B225C"/>
    <w:rsid w:val="4883BCA6"/>
    <w:rsid w:val="4886C0EC"/>
    <w:rsid w:val="488EB197"/>
    <w:rsid w:val="489BEF05"/>
    <w:rsid w:val="48BB58B6"/>
    <w:rsid w:val="48BB7B38"/>
    <w:rsid w:val="48BCA58F"/>
    <w:rsid w:val="48C95FA7"/>
    <w:rsid w:val="48D2A080"/>
    <w:rsid w:val="48D8ABEE"/>
    <w:rsid w:val="48E0489F"/>
    <w:rsid w:val="48E22082"/>
    <w:rsid w:val="4902CFBF"/>
    <w:rsid w:val="490FE752"/>
    <w:rsid w:val="491262B5"/>
    <w:rsid w:val="4914864E"/>
    <w:rsid w:val="4918FA0D"/>
    <w:rsid w:val="49191AD0"/>
    <w:rsid w:val="4920BB24"/>
    <w:rsid w:val="49487DFB"/>
    <w:rsid w:val="494DC58C"/>
    <w:rsid w:val="494FA1A9"/>
    <w:rsid w:val="49545CF4"/>
    <w:rsid w:val="497FAF91"/>
    <w:rsid w:val="498D551E"/>
    <w:rsid w:val="499266B2"/>
    <w:rsid w:val="49B96C16"/>
    <w:rsid w:val="49C77CF7"/>
    <w:rsid w:val="49CD0FFB"/>
    <w:rsid w:val="49EA671A"/>
    <w:rsid w:val="49FA05EB"/>
    <w:rsid w:val="4A05651A"/>
    <w:rsid w:val="4A104F50"/>
    <w:rsid w:val="4A12D038"/>
    <w:rsid w:val="4A134E82"/>
    <w:rsid w:val="4A23CF85"/>
    <w:rsid w:val="4A2EAE7A"/>
    <w:rsid w:val="4A46CF02"/>
    <w:rsid w:val="4A4D7A77"/>
    <w:rsid w:val="4A626BA1"/>
    <w:rsid w:val="4A655BE1"/>
    <w:rsid w:val="4A69DF32"/>
    <w:rsid w:val="4A6AF42B"/>
    <w:rsid w:val="4A7C055A"/>
    <w:rsid w:val="4A813177"/>
    <w:rsid w:val="4A950539"/>
    <w:rsid w:val="4A9958B3"/>
    <w:rsid w:val="4A997702"/>
    <w:rsid w:val="4AA729E9"/>
    <w:rsid w:val="4ACC501C"/>
    <w:rsid w:val="4AE5F4F8"/>
    <w:rsid w:val="4AE89723"/>
    <w:rsid w:val="4AE980CD"/>
    <w:rsid w:val="4AF1CB84"/>
    <w:rsid w:val="4AF58A2A"/>
    <w:rsid w:val="4AFA2466"/>
    <w:rsid w:val="4B08C8D2"/>
    <w:rsid w:val="4B0D757E"/>
    <w:rsid w:val="4B1FA3C4"/>
    <w:rsid w:val="4B373928"/>
    <w:rsid w:val="4B4B03B5"/>
    <w:rsid w:val="4B4F3295"/>
    <w:rsid w:val="4B4FCDB8"/>
    <w:rsid w:val="4B54DC57"/>
    <w:rsid w:val="4B624B11"/>
    <w:rsid w:val="4B632FF3"/>
    <w:rsid w:val="4B6DABDE"/>
    <w:rsid w:val="4B84EEC3"/>
    <w:rsid w:val="4B8E20E4"/>
    <w:rsid w:val="4B9C0401"/>
    <w:rsid w:val="4BA3BEB6"/>
    <w:rsid w:val="4BAEA516"/>
    <w:rsid w:val="4BB5A7CC"/>
    <w:rsid w:val="4BB88D53"/>
    <w:rsid w:val="4BBE4D03"/>
    <w:rsid w:val="4BC0F435"/>
    <w:rsid w:val="4BCE2CD3"/>
    <w:rsid w:val="4BCFC019"/>
    <w:rsid w:val="4BD432DD"/>
    <w:rsid w:val="4BDC5D0A"/>
    <w:rsid w:val="4BE7E917"/>
    <w:rsid w:val="4BF4C808"/>
    <w:rsid w:val="4BF71A9D"/>
    <w:rsid w:val="4C030806"/>
    <w:rsid w:val="4C102CCF"/>
    <w:rsid w:val="4C19F31A"/>
    <w:rsid w:val="4C21A337"/>
    <w:rsid w:val="4C26319F"/>
    <w:rsid w:val="4C69ECAF"/>
    <w:rsid w:val="4C6D2DC5"/>
    <w:rsid w:val="4C79CDA5"/>
    <w:rsid w:val="4C88EC54"/>
    <w:rsid w:val="4C90A032"/>
    <w:rsid w:val="4C982A34"/>
    <w:rsid w:val="4C98FAF8"/>
    <w:rsid w:val="4CAA217B"/>
    <w:rsid w:val="4CAAF3FF"/>
    <w:rsid w:val="4CB148D6"/>
    <w:rsid w:val="4CC61EA2"/>
    <w:rsid w:val="4CC6DD0B"/>
    <w:rsid w:val="4CC72B87"/>
    <w:rsid w:val="4CCB1759"/>
    <w:rsid w:val="4CCC3821"/>
    <w:rsid w:val="4CD49415"/>
    <w:rsid w:val="4CDAE501"/>
    <w:rsid w:val="4CDBFBAA"/>
    <w:rsid w:val="4CDC57D5"/>
    <w:rsid w:val="4CE2D6DA"/>
    <w:rsid w:val="4CFD27DE"/>
    <w:rsid w:val="4D0028AD"/>
    <w:rsid w:val="4D00C7A3"/>
    <w:rsid w:val="4D05DEB2"/>
    <w:rsid w:val="4D086742"/>
    <w:rsid w:val="4D11BAE7"/>
    <w:rsid w:val="4D1EFE4B"/>
    <w:rsid w:val="4D1FD8B0"/>
    <w:rsid w:val="4D2215CD"/>
    <w:rsid w:val="4D24FF2C"/>
    <w:rsid w:val="4D315A95"/>
    <w:rsid w:val="4D41C0A8"/>
    <w:rsid w:val="4D4CA6A1"/>
    <w:rsid w:val="4D547DFC"/>
    <w:rsid w:val="4D6E96E5"/>
    <w:rsid w:val="4D7E5EE8"/>
    <w:rsid w:val="4D7F94A7"/>
    <w:rsid w:val="4D8258B2"/>
    <w:rsid w:val="4D8B76CE"/>
    <w:rsid w:val="4D9822BB"/>
    <w:rsid w:val="4DACEA2A"/>
    <w:rsid w:val="4DBD7475"/>
    <w:rsid w:val="4DC0CF48"/>
    <w:rsid w:val="4DC8B804"/>
    <w:rsid w:val="4DCEE21D"/>
    <w:rsid w:val="4DD361EB"/>
    <w:rsid w:val="4DD37F26"/>
    <w:rsid w:val="4DE03CAE"/>
    <w:rsid w:val="4DE30BD1"/>
    <w:rsid w:val="4DE998FC"/>
    <w:rsid w:val="4DF611F2"/>
    <w:rsid w:val="4DFB84B3"/>
    <w:rsid w:val="4DFDA1DD"/>
    <w:rsid w:val="4E0732DC"/>
    <w:rsid w:val="4E1A8ACF"/>
    <w:rsid w:val="4E1B56D7"/>
    <w:rsid w:val="4E2EB787"/>
    <w:rsid w:val="4E2F7590"/>
    <w:rsid w:val="4E344E29"/>
    <w:rsid w:val="4E40CBF6"/>
    <w:rsid w:val="4E41C815"/>
    <w:rsid w:val="4E4628BF"/>
    <w:rsid w:val="4E4E58B0"/>
    <w:rsid w:val="4E5667FE"/>
    <w:rsid w:val="4E607F1D"/>
    <w:rsid w:val="4E653D22"/>
    <w:rsid w:val="4E68B84E"/>
    <w:rsid w:val="4E71CF18"/>
    <w:rsid w:val="4E725A19"/>
    <w:rsid w:val="4E76A6A1"/>
    <w:rsid w:val="4E789034"/>
    <w:rsid w:val="4E7EDA2C"/>
    <w:rsid w:val="4E812C96"/>
    <w:rsid w:val="4E820EF8"/>
    <w:rsid w:val="4EB6C536"/>
    <w:rsid w:val="4EB94E71"/>
    <w:rsid w:val="4EBA64F2"/>
    <w:rsid w:val="4EBA9C3D"/>
    <w:rsid w:val="4EBD23DC"/>
    <w:rsid w:val="4EBD2B95"/>
    <w:rsid w:val="4ED016A9"/>
    <w:rsid w:val="4ED7D15E"/>
    <w:rsid w:val="4ED8ABDC"/>
    <w:rsid w:val="4ED9FB72"/>
    <w:rsid w:val="4EDFE4E6"/>
    <w:rsid w:val="4EE18EE9"/>
    <w:rsid w:val="4EE6742C"/>
    <w:rsid w:val="4EE77223"/>
    <w:rsid w:val="4EEB07CD"/>
    <w:rsid w:val="4EEF5FD1"/>
    <w:rsid w:val="4EF8B7D8"/>
    <w:rsid w:val="4EF8FCA1"/>
    <w:rsid w:val="4EFFB834"/>
    <w:rsid w:val="4F14ACC2"/>
    <w:rsid w:val="4F30745C"/>
    <w:rsid w:val="4F42AFE1"/>
    <w:rsid w:val="4F5BFF0A"/>
    <w:rsid w:val="4F5F9B24"/>
    <w:rsid w:val="4F679956"/>
    <w:rsid w:val="4F6ED5CB"/>
    <w:rsid w:val="4F7FEDB2"/>
    <w:rsid w:val="4F8484D9"/>
    <w:rsid w:val="4F9B8D11"/>
    <w:rsid w:val="4F9D87A6"/>
    <w:rsid w:val="4FA0D26B"/>
    <w:rsid w:val="4FA8B0AE"/>
    <w:rsid w:val="4FA9D05B"/>
    <w:rsid w:val="4FBA22B3"/>
    <w:rsid w:val="4FC1BCF3"/>
    <w:rsid w:val="4FC6272C"/>
    <w:rsid w:val="4FCE6A30"/>
    <w:rsid w:val="4FCF337E"/>
    <w:rsid w:val="4FD2AE40"/>
    <w:rsid w:val="4FEBF4A1"/>
    <w:rsid w:val="4FF93FC5"/>
    <w:rsid w:val="50080642"/>
    <w:rsid w:val="50103732"/>
    <w:rsid w:val="501653A4"/>
    <w:rsid w:val="502AF149"/>
    <w:rsid w:val="5033F475"/>
    <w:rsid w:val="504210B6"/>
    <w:rsid w:val="505E58CB"/>
    <w:rsid w:val="506FA7F5"/>
    <w:rsid w:val="50705274"/>
    <w:rsid w:val="5078CB0A"/>
    <w:rsid w:val="50880E5C"/>
    <w:rsid w:val="5088AE94"/>
    <w:rsid w:val="50984C50"/>
    <w:rsid w:val="50994978"/>
    <w:rsid w:val="5099A9BD"/>
    <w:rsid w:val="509F259A"/>
    <w:rsid w:val="50A8296A"/>
    <w:rsid w:val="50ABC6F7"/>
    <w:rsid w:val="50B44932"/>
    <w:rsid w:val="50BA7727"/>
    <w:rsid w:val="50C3FE2F"/>
    <w:rsid w:val="50D44A17"/>
    <w:rsid w:val="50D7166A"/>
    <w:rsid w:val="50E3DA20"/>
    <w:rsid w:val="50E5DC59"/>
    <w:rsid w:val="50EAB441"/>
    <w:rsid w:val="50F5DA44"/>
    <w:rsid w:val="50FB1B30"/>
    <w:rsid w:val="50FD2C40"/>
    <w:rsid w:val="50FFD9CA"/>
    <w:rsid w:val="510253D0"/>
    <w:rsid w:val="510BD40F"/>
    <w:rsid w:val="512028F3"/>
    <w:rsid w:val="5121BB40"/>
    <w:rsid w:val="51266084"/>
    <w:rsid w:val="5126D4F4"/>
    <w:rsid w:val="514A6875"/>
    <w:rsid w:val="514AEB93"/>
    <w:rsid w:val="515F6CD1"/>
    <w:rsid w:val="5161BD16"/>
    <w:rsid w:val="5161DF1D"/>
    <w:rsid w:val="51641373"/>
    <w:rsid w:val="516971D7"/>
    <w:rsid w:val="516AF82A"/>
    <w:rsid w:val="51769DD0"/>
    <w:rsid w:val="5178FF18"/>
    <w:rsid w:val="5187C3A4"/>
    <w:rsid w:val="518ACC86"/>
    <w:rsid w:val="51956DCC"/>
    <w:rsid w:val="51964864"/>
    <w:rsid w:val="51974DD2"/>
    <w:rsid w:val="51A6F161"/>
    <w:rsid w:val="51AB60CC"/>
    <w:rsid w:val="51AC6C1F"/>
    <w:rsid w:val="51AD25F3"/>
    <w:rsid w:val="51BEC14C"/>
    <w:rsid w:val="51C38D0A"/>
    <w:rsid w:val="51C8DCF9"/>
    <w:rsid w:val="51CA0D3C"/>
    <w:rsid w:val="51CD0139"/>
    <w:rsid w:val="51D067EA"/>
    <w:rsid w:val="51D83381"/>
    <w:rsid w:val="51D8CA6B"/>
    <w:rsid w:val="51EDFF0C"/>
    <w:rsid w:val="51F35D92"/>
    <w:rsid w:val="5200B994"/>
    <w:rsid w:val="520B4655"/>
    <w:rsid w:val="52108CE5"/>
    <w:rsid w:val="52188FE0"/>
    <w:rsid w:val="521F21E9"/>
    <w:rsid w:val="522586A7"/>
    <w:rsid w:val="5231C090"/>
    <w:rsid w:val="52408550"/>
    <w:rsid w:val="5241393D"/>
    <w:rsid w:val="5242A158"/>
    <w:rsid w:val="524E1165"/>
    <w:rsid w:val="52506D00"/>
    <w:rsid w:val="5257E75F"/>
    <w:rsid w:val="525B26FF"/>
    <w:rsid w:val="52649BD7"/>
    <w:rsid w:val="52674AD5"/>
    <w:rsid w:val="528C78EA"/>
    <w:rsid w:val="529EB480"/>
    <w:rsid w:val="52A0506A"/>
    <w:rsid w:val="52AB01C1"/>
    <w:rsid w:val="52B4A96F"/>
    <w:rsid w:val="52BAE6E5"/>
    <w:rsid w:val="52C21965"/>
    <w:rsid w:val="52CF258E"/>
    <w:rsid w:val="52DEDA7F"/>
    <w:rsid w:val="52DFE56C"/>
    <w:rsid w:val="52E2B9E8"/>
    <w:rsid w:val="52EDD16C"/>
    <w:rsid w:val="52F42E0B"/>
    <w:rsid w:val="52FE5215"/>
    <w:rsid w:val="5310ECD5"/>
    <w:rsid w:val="531AF697"/>
    <w:rsid w:val="532671C4"/>
    <w:rsid w:val="53322280"/>
    <w:rsid w:val="5334CBD1"/>
    <w:rsid w:val="5339EB49"/>
    <w:rsid w:val="533D5934"/>
    <w:rsid w:val="534CE90C"/>
    <w:rsid w:val="5352A843"/>
    <w:rsid w:val="535DE5D8"/>
    <w:rsid w:val="53600C3F"/>
    <w:rsid w:val="537660AE"/>
    <w:rsid w:val="5377351A"/>
    <w:rsid w:val="5385DFDE"/>
    <w:rsid w:val="5391136D"/>
    <w:rsid w:val="53934914"/>
    <w:rsid w:val="5399F6FB"/>
    <w:rsid w:val="53A68E5E"/>
    <w:rsid w:val="53AD28B3"/>
    <w:rsid w:val="53ADBEB1"/>
    <w:rsid w:val="53AF1657"/>
    <w:rsid w:val="53BCC559"/>
    <w:rsid w:val="53C3A710"/>
    <w:rsid w:val="53C55B0E"/>
    <w:rsid w:val="53DBC90E"/>
    <w:rsid w:val="53E2E812"/>
    <w:rsid w:val="53E55ED8"/>
    <w:rsid w:val="53E6D73E"/>
    <w:rsid w:val="53E9C298"/>
    <w:rsid w:val="54199020"/>
    <w:rsid w:val="541D36F2"/>
    <w:rsid w:val="541FF6B8"/>
    <w:rsid w:val="5426E33C"/>
    <w:rsid w:val="542E23FA"/>
    <w:rsid w:val="5455055F"/>
    <w:rsid w:val="5459A101"/>
    <w:rsid w:val="545C595C"/>
    <w:rsid w:val="5469EEF7"/>
    <w:rsid w:val="547471B4"/>
    <w:rsid w:val="548618A8"/>
    <w:rsid w:val="5488CD57"/>
    <w:rsid w:val="548EFDE6"/>
    <w:rsid w:val="549A5602"/>
    <w:rsid w:val="549E66C1"/>
    <w:rsid w:val="54BE78C9"/>
    <w:rsid w:val="54C2DE2D"/>
    <w:rsid w:val="54C5E258"/>
    <w:rsid w:val="54CF0BA6"/>
    <w:rsid w:val="54D98614"/>
    <w:rsid w:val="54DFDDCA"/>
    <w:rsid w:val="54EF903E"/>
    <w:rsid w:val="54F22DF5"/>
    <w:rsid w:val="54F87D5B"/>
    <w:rsid w:val="5517A653"/>
    <w:rsid w:val="5518E670"/>
    <w:rsid w:val="55249BA7"/>
    <w:rsid w:val="552E969B"/>
    <w:rsid w:val="55348005"/>
    <w:rsid w:val="553B9134"/>
    <w:rsid w:val="553C542F"/>
    <w:rsid w:val="55403901"/>
    <w:rsid w:val="55427E80"/>
    <w:rsid w:val="55427F5B"/>
    <w:rsid w:val="555497D3"/>
    <w:rsid w:val="555ABEF1"/>
    <w:rsid w:val="555F106C"/>
    <w:rsid w:val="5566C097"/>
    <w:rsid w:val="556D3F81"/>
    <w:rsid w:val="5570F3CE"/>
    <w:rsid w:val="55794423"/>
    <w:rsid w:val="557DFEB1"/>
    <w:rsid w:val="5584E632"/>
    <w:rsid w:val="558A2177"/>
    <w:rsid w:val="558AD5C9"/>
    <w:rsid w:val="5590C6DB"/>
    <w:rsid w:val="55961156"/>
    <w:rsid w:val="559C478E"/>
    <w:rsid w:val="559FE12A"/>
    <w:rsid w:val="55A2502E"/>
    <w:rsid w:val="55BB4E60"/>
    <w:rsid w:val="55BBFBB0"/>
    <w:rsid w:val="55C7E64C"/>
    <w:rsid w:val="55DF0B2C"/>
    <w:rsid w:val="55ED3C80"/>
    <w:rsid w:val="55F249C3"/>
    <w:rsid w:val="560026F7"/>
    <w:rsid w:val="56049AD1"/>
    <w:rsid w:val="5605EA28"/>
    <w:rsid w:val="560BDF1A"/>
    <w:rsid w:val="560C5453"/>
    <w:rsid w:val="560D0F18"/>
    <w:rsid w:val="562338BC"/>
    <w:rsid w:val="5632D010"/>
    <w:rsid w:val="5634E82A"/>
    <w:rsid w:val="563A0EA3"/>
    <w:rsid w:val="563CDA39"/>
    <w:rsid w:val="5649034E"/>
    <w:rsid w:val="5650B24C"/>
    <w:rsid w:val="565B8760"/>
    <w:rsid w:val="565C043B"/>
    <w:rsid w:val="566AFCCA"/>
    <w:rsid w:val="566B283E"/>
    <w:rsid w:val="567DFEE6"/>
    <w:rsid w:val="567F2166"/>
    <w:rsid w:val="568325C8"/>
    <w:rsid w:val="56927B71"/>
    <w:rsid w:val="5693DA5C"/>
    <w:rsid w:val="56994F4F"/>
    <w:rsid w:val="569DB130"/>
    <w:rsid w:val="56A50B3A"/>
    <w:rsid w:val="56A99368"/>
    <w:rsid w:val="56DD9581"/>
    <w:rsid w:val="56E40ACC"/>
    <w:rsid w:val="570E8A97"/>
    <w:rsid w:val="5712803E"/>
    <w:rsid w:val="571D5552"/>
    <w:rsid w:val="5721AE9A"/>
    <w:rsid w:val="5724222E"/>
    <w:rsid w:val="572AADCC"/>
    <w:rsid w:val="5732C6A3"/>
    <w:rsid w:val="57333414"/>
    <w:rsid w:val="573F987B"/>
    <w:rsid w:val="5743924D"/>
    <w:rsid w:val="57495DBB"/>
    <w:rsid w:val="574B20CB"/>
    <w:rsid w:val="575B97DD"/>
    <w:rsid w:val="5762E30A"/>
    <w:rsid w:val="57659BD6"/>
    <w:rsid w:val="576E6D2D"/>
    <w:rsid w:val="57738974"/>
    <w:rsid w:val="57772624"/>
    <w:rsid w:val="57788826"/>
    <w:rsid w:val="578C510A"/>
    <w:rsid w:val="57902F08"/>
    <w:rsid w:val="579D9E5C"/>
    <w:rsid w:val="57A81DDD"/>
    <w:rsid w:val="57AEDEF9"/>
    <w:rsid w:val="57CA0679"/>
    <w:rsid w:val="57CE1225"/>
    <w:rsid w:val="57D00759"/>
    <w:rsid w:val="57DDA9FA"/>
    <w:rsid w:val="57E19B71"/>
    <w:rsid w:val="57E34DF1"/>
    <w:rsid w:val="57EDDDCD"/>
    <w:rsid w:val="57F61E84"/>
    <w:rsid w:val="57F82C12"/>
    <w:rsid w:val="57F994DE"/>
    <w:rsid w:val="57FAE56E"/>
    <w:rsid w:val="57FE0BBF"/>
    <w:rsid w:val="5801D36D"/>
    <w:rsid w:val="5809D396"/>
    <w:rsid w:val="581092D4"/>
    <w:rsid w:val="581EFDC6"/>
    <w:rsid w:val="5825E8DA"/>
    <w:rsid w:val="582C93A4"/>
    <w:rsid w:val="5832B225"/>
    <w:rsid w:val="583E8BCD"/>
    <w:rsid w:val="584E8AFE"/>
    <w:rsid w:val="585122C7"/>
    <w:rsid w:val="585D5187"/>
    <w:rsid w:val="586A41EF"/>
    <w:rsid w:val="586BE5D5"/>
    <w:rsid w:val="586FA2E1"/>
    <w:rsid w:val="58711F05"/>
    <w:rsid w:val="5873E55D"/>
    <w:rsid w:val="58776C88"/>
    <w:rsid w:val="5879CECE"/>
    <w:rsid w:val="589133C3"/>
    <w:rsid w:val="589D922F"/>
    <w:rsid w:val="58A42942"/>
    <w:rsid w:val="58A59083"/>
    <w:rsid w:val="58A9EAFC"/>
    <w:rsid w:val="58B7DFE9"/>
    <w:rsid w:val="58C05954"/>
    <w:rsid w:val="58C2FF35"/>
    <w:rsid w:val="58C5EF75"/>
    <w:rsid w:val="58C7CC98"/>
    <w:rsid w:val="58CA72C6"/>
    <w:rsid w:val="58D74A03"/>
    <w:rsid w:val="58E45C1E"/>
    <w:rsid w:val="58E4D08E"/>
    <w:rsid w:val="58FD2E06"/>
    <w:rsid w:val="59042039"/>
    <w:rsid w:val="59134262"/>
    <w:rsid w:val="59246205"/>
    <w:rsid w:val="593ABAE9"/>
    <w:rsid w:val="593B16E2"/>
    <w:rsid w:val="594AAAB6"/>
    <w:rsid w:val="5959295D"/>
    <w:rsid w:val="596CE6E9"/>
    <w:rsid w:val="596F6B63"/>
    <w:rsid w:val="59723B73"/>
    <w:rsid w:val="59753823"/>
    <w:rsid w:val="5984AB30"/>
    <w:rsid w:val="598D1B48"/>
    <w:rsid w:val="598FC38B"/>
    <w:rsid w:val="5994EC45"/>
    <w:rsid w:val="59B0494E"/>
    <w:rsid w:val="59BC6C56"/>
    <w:rsid w:val="59BD3882"/>
    <w:rsid w:val="59C93350"/>
    <w:rsid w:val="59CDF324"/>
    <w:rsid w:val="59D2856D"/>
    <w:rsid w:val="59DDA1CD"/>
    <w:rsid w:val="59EEB478"/>
    <w:rsid w:val="59EF8106"/>
    <w:rsid w:val="59F34C1C"/>
    <w:rsid w:val="59F56C93"/>
    <w:rsid w:val="59F7A83D"/>
    <w:rsid w:val="59F7C953"/>
    <w:rsid w:val="5A009CF2"/>
    <w:rsid w:val="5A061D97"/>
    <w:rsid w:val="5A11F88C"/>
    <w:rsid w:val="5A152218"/>
    <w:rsid w:val="5A19B641"/>
    <w:rsid w:val="5A1B0A94"/>
    <w:rsid w:val="5A287930"/>
    <w:rsid w:val="5A289CDC"/>
    <w:rsid w:val="5A2D01E9"/>
    <w:rsid w:val="5A31A9A1"/>
    <w:rsid w:val="5A3CE2A4"/>
    <w:rsid w:val="5A3E97E2"/>
    <w:rsid w:val="5A535F89"/>
    <w:rsid w:val="5A5CB01A"/>
    <w:rsid w:val="5A6AFBB6"/>
    <w:rsid w:val="5A711F97"/>
    <w:rsid w:val="5A7369DE"/>
    <w:rsid w:val="5A96DEBB"/>
    <w:rsid w:val="5A9A3038"/>
    <w:rsid w:val="5A9BB5F7"/>
    <w:rsid w:val="5A9CD619"/>
    <w:rsid w:val="5AA0E0F5"/>
    <w:rsid w:val="5AA8C4C1"/>
    <w:rsid w:val="5AAD27BC"/>
    <w:rsid w:val="5AB49E8D"/>
    <w:rsid w:val="5AB6EF02"/>
    <w:rsid w:val="5ABE3302"/>
    <w:rsid w:val="5AC5B924"/>
    <w:rsid w:val="5AC8B11B"/>
    <w:rsid w:val="5ACE86C7"/>
    <w:rsid w:val="5AE28914"/>
    <w:rsid w:val="5AE2B4D4"/>
    <w:rsid w:val="5AEAD963"/>
    <w:rsid w:val="5AF04B9B"/>
    <w:rsid w:val="5AF75B22"/>
    <w:rsid w:val="5AFC8EEB"/>
    <w:rsid w:val="5B0121BE"/>
    <w:rsid w:val="5B023B92"/>
    <w:rsid w:val="5B05CC92"/>
    <w:rsid w:val="5B07F7A1"/>
    <w:rsid w:val="5B17DB6D"/>
    <w:rsid w:val="5B199EBC"/>
    <w:rsid w:val="5B1BD270"/>
    <w:rsid w:val="5B223DAA"/>
    <w:rsid w:val="5B27709F"/>
    <w:rsid w:val="5B3C0FEC"/>
    <w:rsid w:val="5B3CEB69"/>
    <w:rsid w:val="5B433522"/>
    <w:rsid w:val="5B510F9A"/>
    <w:rsid w:val="5B6D868D"/>
    <w:rsid w:val="5B76877B"/>
    <w:rsid w:val="5B9D9A6B"/>
    <w:rsid w:val="5BA33A06"/>
    <w:rsid w:val="5BAC8D8D"/>
    <w:rsid w:val="5BAFFB7F"/>
    <w:rsid w:val="5BB921CB"/>
    <w:rsid w:val="5BC4353E"/>
    <w:rsid w:val="5BC60FF9"/>
    <w:rsid w:val="5BCA97ED"/>
    <w:rsid w:val="5BD1321E"/>
    <w:rsid w:val="5BDE292E"/>
    <w:rsid w:val="5BE2EC46"/>
    <w:rsid w:val="5BE42757"/>
    <w:rsid w:val="5BE989BE"/>
    <w:rsid w:val="5BF003D0"/>
    <w:rsid w:val="5BF43912"/>
    <w:rsid w:val="5BFC61FD"/>
    <w:rsid w:val="5BFEA826"/>
    <w:rsid w:val="5C0D824B"/>
    <w:rsid w:val="5C22526D"/>
    <w:rsid w:val="5C2B0E58"/>
    <w:rsid w:val="5C3AE48A"/>
    <w:rsid w:val="5C3C15A9"/>
    <w:rsid w:val="5C439F65"/>
    <w:rsid w:val="5C4576E0"/>
    <w:rsid w:val="5C461CCA"/>
    <w:rsid w:val="5C4E74D8"/>
    <w:rsid w:val="5C51B386"/>
    <w:rsid w:val="5C545D92"/>
    <w:rsid w:val="5C5C1847"/>
    <w:rsid w:val="5C69879B"/>
    <w:rsid w:val="5C6E46AB"/>
    <w:rsid w:val="5C79B3D5"/>
    <w:rsid w:val="5C86FEA0"/>
    <w:rsid w:val="5C8C9F70"/>
    <w:rsid w:val="5C90C5E6"/>
    <w:rsid w:val="5C92E70E"/>
    <w:rsid w:val="5C9F2ACA"/>
    <w:rsid w:val="5CA18E51"/>
    <w:rsid w:val="5CA39F55"/>
    <w:rsid w:val="5CC0C358"/>
    <w:rsid w:val="5CC3D785"/>
    <w:rsid w:val="5D028786"/>
    <w:rsid w:val="5D03EA24"/>
    <w:rsid w:val="5D3144F5"/>
    <w:rsid w:val="5D354561"/>
    <w:rsid w:val="5D3CA560"/>
    <w:rsid w:val="5D4346D5"/>
    <w:rsid w:val="5D4571E4"/>
    <w:rsid w:val="5D4805B7"/>
    <w:rsid w:val="5D494EFE"/>
    <w:rsid w:val="5D49C08C"/>
    <w:rsid w:val="5D4EDCED"/>
    <w:rsid w:val="5D4FB31A"/>
    <w:rsid w:val="5D5A4668"/>
    <w:rsid w:val="5D729A27"/>
    <w:rsid w:val="5D79D35C"/>
    <w:rsid w:val="5D7C03DB"/>
    <w:rsid w:val="5D7D6679"/>
    <w:rsid w:val="5D7FCA16"/>
    <w:rsid w:val="5D9F16AF"/>
    <w:rsid w:val="5DA6B0E8"/>
    <w:rsid w:val="5DA6DA93"/>
    <w:rsid w:val="5DA9195A"/>
    <w:rsid w:val="5DB253B0"/>
    <w:rsid w:val="5DB9D2A1"/>
    <w:rsid w:val="5DBA7D6F"/>
    <w:rsid w:val="5DBB3914"/>
    <w:rsid w:val="5DBEEE39"/>
    <w:rsid w:val="5DC9C756"/>
    <w:rsid w:val="5DD3C2BD"/>
    <w:rsid w:val="5DDBB03E"/>
    <w:rsid w:val="5DDF1D41"/>
    <w:rsid w:val="5DE3177A"/>
    <w:rsid w:val="5DF31DD8"/>
    <w:rsid w:val="5E05C5CF"/>
    <w:rsid w:val="5E0D35B9"/>
    <w:rsid w:val="5E1982FA"/>
    <w:rsid w:val="5E26255F"/>
    <w:rsid w:val="5E30B319"/>
    <w:rsid w:val="5E32B77F"/>
    <w:rsid w:val="5E3EF653"/>
    <w:rsid w:val="5E466472"/>
    <w:rsid w:val="5E4F78EF"/>
    <w:rsid w:val="5E5768BA"/>
    <w:rsid w:val="5E5DBD9B"/>
    <w:rsid w:val="5E62E215"/>
    <w:rsid w:val="5E67B740"/>
    <w:rsid w:val="5E685B1E"/>
    <w:rsid w:val="5E6FD3F5"/>
    <w:rsid w:val="5E7C5D0B"/>
    <w:rsid w:val="5E7F6E0E"/>
    <w:rsid w:val="5E8DFA39"/>
    <w:rsid w:val="5E8FACC6"/>
    <w:rsid w:val="5E9BBC91"/>
    <w:rsid w:val="5EADC852"/>
    <w:rsid w:val="5EAFF520"/>
    <w:rsid w:val="5EB1ACBA"/>
    <w:rsid w:val="5EBE6D70"/>
    <w:rsid w:val="5EBEE3B5"/>
    <w:rsid w:val="5EBF1822"/>
    <w:rsid w:val="5EBF99D5"/>
    <w:rsid w:val="5EC324FA"/>
    <w:rsid w:val="5ED41ACC"/>
    <w:rsid w:val="5EDC5E6A"/>
    <w:rsid w:val="5EFF94A6"/>
    <w:rsid w:val="5F04778F"/>
    <w:rsid w:val="5F049D03"/>
    <w:rsid w:val="5F08FA3A"/>
    <w:rsid w:val="5F1590CD"/>
    <w:rsid w:val="5F1AF2AA"/>
    <w:rsid w:val="5F1F2D23"/>
    <w:rsid w:val="5F2185D0"/>
    <w:rsid w:val="5F2A72AC"/>
    <w:rsid w:val="5F2D9F59"/>
    <w:rsid w:val="5F2F519C"/>
    <w:rsid w:val="5F314A61"/>
    <w:rsid w:val="5F3AD04F"/>
    <w:rsid w:val="5F48C7A4"/>
    <w:rsid w:val="5F5AE4A5"/>
    <w:rsid w:val="5F79DD89"/>
    <w:rsid w:val="5F7A18AD"/>
    <w:rsid w:val="5F81983E"/>
    <w:rsid w:val="5FA84BC1"/>
    <w:rsid w:val="5FADDE39"/>
    <w:rsid w:val="5FAFD5C3"/>
    <w:rsid w:val="5FB0A687"/>
    <w:rsid w:val="5FC86CDB"/>
    <w:rsid w:val="5FE4C1A8"/>
    <w:rsid w:val="5FE85738"/>
    <w:rsid w:val="5FFA20C7"/>
    <w:rsid w:val="5FFC8767"/>
    <w:rsid w:val="6006A2B9"/>
    <w:rsid w:val="600784F5"/>
    <w:rsid w:val="6012CC18"/>
    <w:rsid w:val="6018D7CF"/>
    <w:rsid w:val="601AFA9F"/>
    <w:rsid w:val="601C1350"/>
    <w:rsid w:val="602F4C8F"/>
    <w:rsid w:val="60355930"/>
    <w:rsid w:val="60373B5F"/>
    <w:rsid w:val="603DA8A9"/>
    <w:rsid w:val="60458A69"/>
    <w:rsid w:val="6055D11C"/>
    <w:rsid w:val="60566DC3"/>
    <w:rsid w:val="60599DF5"/>
    <w:rsid w:val="605B7014"/>
    <w:rsid w:val="605F91BD"/>
    <w:rsid w:val="606983AA"/>
    <w:rsid w:val="606E1636"/>
    <w:rsid w:val="607D9638"/>
    <w:rsid w:val="60A8EDAC"/>
    <w:rsid w:val="60B3B269"/>
    <w:rsid w:val="60BD9496"/>
    <w:rsid w:val="60C21BCA"/>
    <w:rsid w:val="60C7F58F"/>
    <w:rsid w:val="60C86BFE"/>
    <w:rsid w:val="60CA9EB9"/>
    <w:rsid w:val="60D0E490"/>
    <w:rsid w:val="60E4F61F"/>
    <w:rsid w:val="60EAE348"/>
    <w:rsid w:val="60EF194C"/>
    <w:rsid w:val="60EF7057"/>
    <w:rsid w:val="60FCAF9E"/>
    <w:rsid w:val="60FCF647"/>
    <w:rsid w:val="60FD08E2"/>
    <w:rsid w:val="610265D4"/>
    <w:rsid w:val="61051D76"/>
    <w:rsid w:val="61070DB4"/>
    <w:rsid w:val="611B73DF"/>
    <w:rsid w:val="611FBF8C"/>
    <w:rsid w:val="61278CA9"/>
    <w:rsid w:val="61278D64"/>
    <w:rsid w:val="613108AE"/>
    <w:rsid w:val="614398C8"/>
    <w:rsid w:val="6146C2B5"/>
    <w:rsid w:val="614BF9B8"/>
    <w:rsid w:val="6154C19F"/>
    <w:rsid w:val="615578A2"/>
    <w:rsid w:val="6157E659"/>
    <w:rsid w:val="61582F42"/>
    <w:rsid w:val="6158AECB"/>
    <w:rsid w:val="61613F6C"/>
    <w:rsid w:val="6175FB80"/>
    <w:rsid w:val="618C13C7"/>
    <w:rsid w:val="6192B614"/>
    <w:rsid w:val="61942C7A"/>
    <w:rsid w:val="61972EF0"/>
    <w:rsid w:val="619AC97F"/>
    <w:rsid w:val="619E4243"/>
    <w:rsid w:val="619E7DEB"/>
    <w:rsid w:val="61AEA9C8"/>
    <w:rsid w:val="61B210BF"/>
    <w:rsid w:val="61B37B9C"/>
    <w:rsid w:val="61C0005C"/>
    <w:rsid w:val="61C73F08"/>
    <w:rsid w:val="61CE67A7"/>
    <w:rsid w:val="61D1C34E"/>
    <w:rsid w:val="61E86052"/>
    <w:rsid w:val="61EDA29F"/>
    <w:rsid w:val="61EF6907"/>
    <w:rsid w:val="61F3D24D"/>
    <w:rsid w:val="61F860F0"/>
    <w:rsid w:val="62030AE3"/>
    <w:rsid w:val="620C3269"/>
    <w:rsid w:val="621227B1"/>
    <w:rsid w:val="621334E3"/>
    <w:rsid w:val="621763C3"/>
    <w:rsid w:val="62177CCA"/>
    <w:rsid w:val="621814A1"/>
    <w:rsid w:val="621F119C"/>
    <w:rsid w:val="62217E46"/>
    <w:rsid w:val="622652C8"/>
    <w:rsid w:val="622BE68B"/>
    <w:rsid w:val="622FF3AD"/>
    <w:rsid w:val="62349F37"/>
    <w:rsid w:val="6238E20B"/>
    <w:rsid w:val="6239B96B"/>
    <w:rsid w:val="6243EEC6"/>
    <w:rsid w:val="6251841C"/>
    <w:rsid w:val="625DC1F3"/>
    <w:rsid w:val="6263AA0B"/>
    <w:rsid w:val="626A8475"/>
    <w:rsid w:val="626A9A6B"/>
    <w:rsid w:val="626BEFE4"/>
    <w:rsid w:val="62729A27"/>
    <w:rsid w:val="62894A7A"/>
    <w:rsid w:val="628CE409"/>
    <w:rsid w:val="62917927"/>
    <w:rsid w:val="6296221F"/>
    <w:rsid w:val="6297F147"/>
    <w:rsid w:val="62A01C88"/>
    <w:rsid w:val="62A67AAC"/>
    <w:rsid w:val="62B124EC"/>
    <w:rsid w:val="62C05C3D"/>
    <w:rsid w:val="62C3C4DF"/>
    <w:rsid w:val="62C9AD3A"/>
    <w:rsid w:val="62CD503D"/>
    <w:rsid w:val="62D0E971"/>
    <w:rsid w:val="62DE92C5"/>
    <w:rsid w:val="62E1E6DF"/>
    <w:rsid w:val="62EBCA85"/>
    <w:rsid w:val="63028AC5"/>
    <w:rsid w:val="6304D83B"/>
    <w:rsid w:val="630A08F3"/>
    <w:rsid w:val="631EF886"/>
    <w:rsid w:val="63304562"/>
    <w:rsid w:val="633B04B2"/>
    <w:rsid w:val="6340CD34"/>
    <w:rsid w:val="6349ECBA"/>
    <w:rsid w:val="63511843"/>
    <w:rsid w:val="636C8CF8"/>
    <w:rsid w:val="6375D60D"/>
    <w:rsid w:val="63786F30"/>
    <w:rsid w:val="63801E4A"/>
    <w:rsid w:val="63888EDD"/>
    <w:rsid w:val="6391A12A"/>
    <w:rsid w:val="6393A0C5"/>
    <w:rsid w:val="6393CFEE"/>
    <w:rsid w:val="63944A4B"/>
    <w:rsid w:val="63A312EF"/>
    <w:rsid w:val="63A486E5"/>
    <w:rsid w:val="63A62613"/>
    <w:rsid w:val="63B354E7"/>
    <w:rsid w:val="63BFA400"/>
    <w:rsid w:val="63D13641"/>
    <w:rsid w:val="63EADC54"/>
    <w:rsid w:val="6413CD55"/>
    <w:rsid w:val="64178C1C"/>
    <w:rsid w:val="6419D0BE"/>
    <w:rsid w:val="64254618"/>
    <w:rsid w:val="64266B6C"/>
    <w:rsid w:val="6435353D"/>
    <w:rsid w:val="64439FB8"/>
    <w:rsid w:val="64465647"/>
    <w:rsid w:val="64490332"/>
    <w:rsid w:val="6449DDF2"/>
    <w:rsid w:val="644BB3B8"/>
    <w:rsid w:val="644C4254"/>
    <w:rsid w:val="645F0AD0"/>
    <w:rsid w:val="646488B3"/>
    <w:rsid w:val="646A50BD"/>
    <w:rsid w:val="646B2AE2"/>
    <w:rsid w:val="6471C82B"/>
    <w:rsid w:val="64840CBA"/>
    <w:rsid w:val="64962C78"/>
    <w:rsid w:val="649706EA"/>
    <w:rsid w:val="649B2C8A"/>
    <w:rsid w:val="64A805E4"/>
    <w:rsid w:val="64AD353D"/>
    <w:rsid w:val="64AF0465"/>
    <w:rsid w:val="64B4510B"/>
    <w:rsid w:val="64C00E43"/>
    <w:rsid w:val="64C10033"/>
    <w:rsid w:val="64C19F95"/>
    <w:rsid w:val="64C85C53"/>
    <w:rsid w:val="64CF8F02"/>
    <w:rsid w:val="64D47273"/>
    <w:rsid w:val="64DFCA62"/>
    <w:rsid w:val="64E0BCAC"/>
    <w:rsid w:val="64E4E42F"/>
    <w:rsid w:val="64FE26A7"/>
    <w:rsid w:val="64FF7430"/>
    <w:rsid w:val="65036D7E"/>
    <w:rsid w:val="650401B7"/>
    <w:rsid w:val="650F1359"/>
    <w:rsid w:val="651555F8"/>
    <w:rsid w:val="65186523"/>
    <w:rsid w:val="6519B4D6"/>
    <w:rsid w:val="65256C25"/>
    <w:rsid w:val="6526634D"/>
    <w:rsid w:val="6526B192"/>
    <w:rsid w:val="652AF466"/>
    <w:rsid w:val="652CF37E"/>
    <w:rsid w:val="6538168D"/>
    <w:rsid w:val="6538E48F"/>
    <w:rsid w:val="653C6E7D"/>
    <w:rsid w:val="653E8375"/>
    <w:rsid w:val="65405746"/>
    <w:rsid w:val="6541ECFB"/>
    <w:rsid w:val="65423F94"/>
    <w:rsid w:val="6542851D"/>
    <w:rsid w:val="65519613"/>
    <w:rsid w:val="6557A85C"/>
    <w:rsid w:val="656F1E2B"/>
    <w:rsid w:val="657CB9BC"/>
    <w:rsid w:val="65805902"/>
    <w:rsid w:val="6585FF6C"/>
    <w:rsid w:val="658846C9"/>
    <w:rsid w:val="658B7482"/>
    <w:rsid w:val="65912055"/>
    <w:rsid w:val="659EB51E"/>
    <w:rsid w:val="659F2FF0"/>
    <w:rsid w:val="65A02C0F"/>
    <w:rsid w:val="65A10943"/>
    <w:rsid w:val="65A288D7"/>
    <w:rsid w:val="65AC8830"/>
    <w:rsid w:val="65BAF29B"/>
    <w:rsid w:val="65BD0C4E"/>
    <w:rsid w:val="65C1E0C2"/>
    <w:rsid w:val="65C47495"/>
    <w:rsid w:val="65D469E1"/>
    <w:rsid w:val="65D9C22C"/>
    <w:rsid w:val="65E722A9"/>
    <w:rsid w:val="65EC815F"/>
    <w:rsid w:val="65F45A1E"/>
    <w:rsid w:val="65F8B7CC"/>
    <w:rsid w:val="6604D720"/>
    <w:rsid w:val="6605BFB1"/>
    <w:rsid w:val="66161A4A"/>
    <w:rsid w:val="662DF594"/>
    <w:rsid w:val="6635588D"/>
    <w:rsid w:val="66373DA1"/>
    <w:rsid w:val="66407C51"/>
    <w:rsid w:val="6645572E"/>
    <w:rsid w:val="664B5218"/>
    <w:rsid w:val="664D335A"/>
    <w:rsid w:val="6651360D"/>
    <w:rsid w:val="66780541"/>
    <w:rsid w:val="667DD8A3"/>
    <w:rsid w:val="6681F8FD"/>
    <w:rsid w:val="66846822"/>
    <w:rsid w:val="6684ED2F"/>
    <w:rsid w:val="668725F4"/>
    <w:rsid w:val="668EE0A9"/>
    <w:rsid w:val="6690910C"/>
    <w:rsid w:val="66AC7DB7"/>
    <w:rsid w:val="66B1BA24"/>
    <w:rsid w:val="66C004EE"/>
    <w:rsid w:val="66C41C05"/>
    <w:rsid w:val="66CBE7CD"/>
    <w:rsid w:val="66DCF98E"/>
    <w:rsid w:val="66E0D454"/>
    <w:rsid w:val="66E95ED2"/>
    <w:rsid w:val="66EF5CDA"/>
    <w:rsid w:val="66F86ABF"/>
    <w:rsid w:val="66FEAAD1"/>
    <w:rsid w:val="66FF8A7F"/>
    <w:rsid w:val="6704C473"/>
    <w:rsid w:val="670C1BA4"/>
    <w:rsid w:val="670E6541"/>
    <w:rsid w:val="671071C2"/>
    <w:rsid w:val="672AFCBD"/>
    <w:rsid w:val="6746A52E"/>
    <w:rsid w:val="6755FF41"/>
    <w:rsid w:val="6757DEA9"/>
    <w:rsid w:val="6762EA88"/>
    <w:rsid w:val="6764ECB0"/>
    <w:rsid w:val="676EF8EE"/>
    <w:rsid w:val="677B657A"/>
    <w:rsid w:val="677C0384"/>
    <w:rsid w:val="677E392B"/>
    <w:rsid w:val="678E88B4"/>
    <w:rsid w:val="679386D1"/>
    <w:rsid w:val="6796141A"/>
    <w:rsid w:val="6799F939"/>
    <w:rsid w:val="67B077F1"/>
    <w:rsid w:val="67B08C2A"/>
    <w:rsid w:val="67B30A4F"/>
    <w:rsid w:val="67B655A3"/>
    <w:rsid w:val="67BA6EAE"/>
    <w:rsid w:val="67BD49E6"/>
    <w:rsid w:val="67DCED87"/>
    <w:rsid w:val="67F64C67"/>
    <w:rsid w:val="68064E43"/>
    <w:rsid w:val="6818C3ED"/>
    <w:rsid w:val="6826819E"/>
    <w:rsid w:val="6826C08E"/>
    <w:rsid w:val="68275345"/>
    <w:rsid w:val="6839536B"/>
    <w:rsid w:val="68533CC3"/>
    <w:rsid w:val="685C0A3B"/>
    <w:rsid w:val="68639149"/>
    <w:rsid w:val="68680E07"/>
    <w:rsid w:val="686D1FD1"/>
    <w:rsid w:val="686F0146"/>
    <w:rsid w:val="6874DB14"/>
    <w:rsid w:val="68782580"/>
    <w:rsid w:val="689C6065"/>
    <w:rsid w:val="68B3F31D"/>
    <w:rsid w:val="68C37AD7"/>
    <w:rsid w:val="68C43515"/>
    <w:rsid w:val="68CBB166"/>
    <w:rsid w:val="68CC0AA0"/>
    <w:rsid w:val="68D057D8"/>
    <w:rsid w:val="68D60132"/>
    <w:rsid w:val="68DCAA10"/>
    <w:rsid w:val="68E89869"/>
    <w:rsid w:val="69014916"/>
    <w:rsid w:val="6902E49D"/>
    <w:rsid w:val="6905C000"/>
    <w:rsid w:val="6908C26E"/>
    <w:rsid w:val="691BF134"/>
    <w:rsid w:val="6922FBF1"/>
    <w:rsid w:val="6928B7ED"/>
    <w:rsid w:val="6939F2C4"/>
    <w:rsid w:val="693BE242"/>
    <w:rsid w:val="694B2EC7"/>
    <w:rsid w:val="6966E5AE"/>
    <w:rsid w:val="69691ABE"/>
    <w:rsid w:val="696EEF4F"/>
    <w:rsid w:val="6984D680"/>
    <w:rsid w:val="69864E3A"/>
    <w:rsid w:val="6987E46B"/>
    <w:rsid w:val="69918AA8"/>
    <w:rsid w:val="6996CCF5"/>
    <w:rsid w:val="69A196F6"/>
    <w:rsid w:val="69AD778C"/>
    <w:rsid w:val="69AFA29B"/>
    <w:rsid w:val="69B3E70D"/>
    <w:rsid w:val="69B55CBF"/>
    <w:rsid w:val="69B75933"/>
    <w:rsid w:val="69BAE0B6"/>
    <w:rsid w:val="69BBDCF1"/>
    <w:rsid w:val="69BFD3DF"/>
    <w:rsid w:val="69C5A17C"/>
    <w:rsid w:val="69DDAE4A"/>
    <w:rsid w:val="69E44E62"/>
    <w:rsid w:val="69E5F263"/>
    <w:rsid w:val="69EBE7CE"/>
    <w:rsid w:val="69EC0864"/>
    <w:rsid w:val="69F19CDA"/>
    <w:rsid w:val="69F8DCBD"/>
    <w:rsid w:val="69FB30E2"/>
    <w:rsid w:val="6A07621D"/>
    <w:rsid w:val="6A1E7659"/>
    <w:rsid w:val="6A2AF775"/>
    <w:rsid w:val="6A3960E8"/>
    <w:rsid w:val="6A402C48"/>
    <w:rsid w:val="6A6A9E5D"/>
    <w:rsid w:val="6A6E15DF"/>
    <w:rsid w:val="6A72DDB7"/>
    <w:rsid w:val="6A7B72A1"/>
    <w:rsid w:val="6A87F5B2"/>
    <w:rsid w:val="6A94EFAE"/>
    <w:rsid w:val="6AA0A982"/>
    <w:rsid w:val="6AA85569"/>
    <w:rsid w:val="6AC2AB5B"/>
    <w:rsid w:val="6AC7DF0D"/>
    <w:rsid w:val="6ACC9C17"/>
    <w:rsid w:val="6AD554C3"/>
    <w:rsid w:val="6ADE801E"/>
    <w:rsid w:val="6AE1383A"/>
    <w:rsid w:val="6AE26F18"/>
    <w:rsid w:val="6AE79234"/>
    <w:rsid w:val="6AE85EC2"/>
    <w:rsid w:val="6AE899E6"/>
    <w:rsid w:val="6AED834F"/>
    <w:rsid w:val="6AF01977"/>
    <w:rsid w:val="6AF0B76A"/>
    <w:rsid w:val="6AF7C120"/>
    <w:rsid w:val="6B051DDC"/>
    <w:rsid w:val="6B097FCC"/>
    <w:rsid w:val="6B18D2E9"/>
    <w:rsid w:val="6B197AE4"/>
    <w:rsid w:val="6B20E037"/>
    <w:rsid w:val="6B2C8923"/>
    <w:rsid w:val="6B330AEF"/>
    <w:rsid w:val="6B418559"/>
    <w:rsid w:val="6B4B1843"/>
    <w:rsid w:val="6B4D2D88"/>
    <w:rsid w:val="6B5034B2"/>
    <w:rsid w:val="6B51A9DC"/>
    <w:rsid w:val="6B5A64BA"/>
    <w:rsid w:val="6B62849D"/>
    <w:rsid w:val="6B68CE56"/>
    <w:rsid w:val="6B68DAC7"/>
    <w:rsid w:val="6B8601FD"/>
    <w:rsid w:val="6B9119A6"/>
    <w:rsid w:val="6B99933E"/>
    <w:rsid w:val="6BA05A27"/>
    <w:rsid w:val="6BA23F7A"/>
    <w:rsid w:val="6BA3867D"/>
    <w:rsid w:val="6BA60578"/>
    <w:rsid w:val="6BAD4E6D"/>
    <w:rsid w:val="6BB6B090"/>
    <w:rsid w:val="6BB8B6C9"/>
    <w:rsid w:val="6BDB4C7C"/>
    <w:rsid w:val="6BDB842A"/>
    <w:rsid w:val="6BDCE6BD"/>
    <w:rsid w:val="6BE6F805"/>
    <w:rsid w:val="6BF5E8E2"/>
    <w:rsid w:val="6BFBB111"/>
    <w:rsid w:val="6BFBFE0A"/>
    <w:rsid w:val="6BFD52B1"/>
    <w:rsid w:val="6C048D88"/>
    <w:rsid w:val="6C0F262D"/>
    <w:rsid w:val="6C1F630A"/>
    <w:rsid w:val="6C2DF49D"/>
    <w:rsid w:val="6C343689"/>
    <w:rsid w:val="6C3D8A0C"/>
    <w:rsid w:val="6C4396A5"/>
    <w:rsid w:val="6C48D21A"/>
    <w:rsid w:val="6C58F809"/>
    <w:rsid w:val="6C6B30D7"/>
    <w:rsid w:val="6C74D860"/>
    <w:rsid w:val="6C75818E"/>
    <w:rsid w:val="6C7B37D3"/>
    <w:rsid w:val="6C7C8437"/>
    <w:rsid w:val="6C87BCD0"/>
    <w:rsid w:val="6C8D02A1"/>
    <w:rsid w:val="6C976530"/>
    <w:rsid w:val="6C9B1A12"/>
    <w:rsid w:val="6CAAE806"/>
    <w:rsid w:val="6CB8C1AE"/>
    <w:rsid w:val="6CBBC2D7"/>
    <w:rsid w:val="6CCEEC07"/>
    <w:rsid w:val="6CD182D7"/>
    <w:rsid w:val="6CE59EB3"/>
    <w:rsid w:val="6CED433D"/>
    <w:rsid w:val="6CEE1DBD"/>
    <w:rsid w:val="6CF312BC"/>
    <w:rsid w:val="6CFB2DD0"/>
    <w:rsid w:val="6D0DD6D8"/>
    <w:rsid w:val="6D23610D"/>
    <w:rsid w:val="6D3B1CFF"/>
    <w:rsid w:val="6D3DF593"/>
    <w:rsid w:val="6D4A1FED"/>
    <w:rsid w:val="6D56D1CB"/>
    <w:rsid w:val="6D5D2B8A"/>
    <w:rsid w:val="6D64E63F"/>
    <w:rsid w:val="6D6A60ED"/>
    <w:rsid w:val="6D6F59C0"/>
    <w:rsid w:val="6D70BFA4"/>
    <w:rsid w:val="6D78FE25"/>
    <w:rsid w:val="6D7FDC5C"/>
    <w:rsid w:val="6DA9BE97"/>
    <w:rsid w:val="6DBADB56"/>
    <w:rsid w:val="6DBE5BD9"/>
    <w:rsid w:val="6DBE9D8A"/>
    <w:rsid w:val="6DCC432C"/>
    <w:rsid w:val="6DDE6294"/>
    <w:rsid w:val="6DE11B60"/>
    <w:rsid w:val="6DEB8D09"/>
    <w:rsid w:val="6DEC54F4"/>
    <w:rsid w:val="6DEF73E8"/>
    <w:rsid w:val="6DFCFD92"/>
    <w:rsid w:val="6E01F9C1"/>
    <w:rsid w:val="6E135C52"/>
    <w:rsid w:val="6E1C77AA"/>
    <w:rsid w:val="6E1EC1DF"/>
    <w:rsid w:val="6E231C5D"/>
    <w:rsid w:val="6E24278E"/>
    <w:rsid w:val="6E2A182E"/>
    <w:rsid w:val="6E40E373"/>
    <w:rsid w:val="6E46D6E3"/>
    <w:rsid w:val="6E5AB45B"/>
    <w:rsid w:val="6E5D1AFB"/>
    <w:rsid w:val="6E6DD621"/>
    <w:rsid w:val="6E727953"/>
    <w:rsid w:val="6E750064"/>
    <w:rsid w:val="6E894F2F"/>
    <w:rsid w:val="6EA1489C"/>
    <w:rsid w:val="6EA75B67"/>
    <w:rsid w:val="6EB545FA"/>
    <w:rsid w:val="6EB8FA9B"/>
    <w:rsid w:val="6ED6E4CE"/>
    <w:rsid w:val="6EDB0E31"/>
    <w:rsid w:val="6EDCDC0C"/>
    <w:rsid w:val="6EDFEC1B"/>
    <w:rsid w:val="6EEB511F"/>
    <w:rsid w:val="6EF5D4BD"/>
    <w:rsid w:val="6EFD0A77"/>
    <w:rsid w:val="6F0F71B1"/>
    <w:rsid w:val="6F16765C"/>
    <w:rsid w:val="6F1BB46B"/>
    <w:rsid w:val="6F288923"/>
    <w:rsid w:val="6F311D86"/>
    <w:rsid w:val="6F35A900"/>
    <w:rsid w:val="6F421D37"/>
    <w:rsid w:val="6F48F4A6"/>
    <w:rsid w:val="6F4A18DD"/>
    <w:rsid w:val="6F5564A7"/>
    <w:rsid w:val="6F5FBBE0"/>
    <w:rsid w:val="6F621111"/>
    <w:rsid w:val="6F6D2C06"/>
    <w:rsid w:val="6F743EA8"/>
    <w:rsid w:val="6F7F00A5"/>
    <w:rsid w:val="6F85F083"/>
    <w:rsid w:val="6FAB1516"/>
    <w:rsid w:val="6FB7BDC6"/>
    <w:rsid w:val="6FBC02B6"/>
    <w:rsid w:val="6FBFD110"/>
    <w:rsid w:val="6FC13EC8"/>
    <w:rsid w:val="6FC62A40"/>
    <w:rsid w:val="6FD28E88"/>
    <w:rsid w:val="6FE4F84A"/>
    <w:rsid w:val="6FF25F97"/>
    <w:rsid w:val="70139B75"/>
    <w:rsid w:val="70147F9A"/>
    <w:rsid w:val="701524BC"/>
    <w:rsid w:val="701BB676"/>
    <w:rsid w:val="702CFB08"/>
    <w:rsid w:val="7032B1EC"/>
    <w:rsid w:val="704F3DE5"/>
    <w:rsid w:val="704FF599"/>
    <w:rsid w:val="70571CFB"/>
    <w:rsid w:val="7071EEB7"/>
    <w:rsid w:val="70739900"/>
    <w:rsid w:val="70742BD4"/>
    <w:rsid w:val="7076AE94"/>
    <w:rsid w:val="7086E65C"/>
    <w:rsid w:val="7093AF6A"/>
    <w:rsid w:val="7096554B"/>
    <w:rsid w:val="70A8B37F"/>
    <w:rsid w:val="70B06E34"/>
    <w:rsid w:val="70ECD8A8"/>
    <w:rsid w:val="70F9DDDC"/>
    <w:rsid w:val="70FACB67"/>
    <w:rsid w:val="70FF6868"/>
    <w:rsid w:val="7103126E"/>
    <w:rsid w:val="7106C910"/>
    <w:rsid w:val="710DB129"/>
    <w:rsid w:val="7147E166"/>
    <w:rsid w:val="71482044"/>
    <w:rsid w:val="714BA0B5"/>
    <w:rsid w:val="7151DA4C"/>
    <w:rsid w:val="716100EB"/>
    <w:rsid w:val="717083B8"/>
    <w:rsid w:val="71866430"/>
    <w:rsid w:val="71A9E368"/>
    <w:rsid w:val="71B3D867"/>
    <w:rsid w:val="71B85120"/>
    <w:rsid w:val="71D05783"/>
    <w:rsid w:val="71E0E81A"/>
    <w:rsid w:val="71FDB065"/>
    <w:rsid w:val="72121953"/>
    <w:rsid w:val="7222572C"/>
    <w:rsid w:val="722BD746"/>
    <w:rsid w:val="7241AC57"/>
    <w:rsid w:val="7248D10E"/>
    <w:rsid w:val="724F558D"/>
    <w:rsid w:val="72527BDE"/>
    <w:rsid w:val="725DDE13"/>
    <w:rsid w:val="7260BD40"/>
    <w:rsid w:val="7265CB99"/>
    <w:rsid w:val="726D838F"/>
    <w:rsid w:val="727C29C0"/>
    <w:rsid w:val="7286B704"/>
    <w:rsid w:val="72953C2B"/>
    <w:rsid w:val="72A2A504"/>
    <w:rsid w:val="72A37610"/>
    <w:rsid w:val="72AB2E52"/>
    <w:rsid w:val="72AE1511"/>
    <w:rsid w:val="72BBBB53"/>
    <w:rsid w:val="72BF23F2"/>
    <w:rsid w:val="72C0EBD2"/>
    <w:rsid w:val="72C9F462"/>
    <w:rsid w:val="72CEFD89"/>
    <w:rsid w:val="72CF8EA0"/>
    <w:rsid w:val="72F1703E"/>
    <w:rsid w:val="72F739E9"/>
    <w:rsid w:val="72FC7FB1"/>
    <w:rsid w:val="73034AB8"/>
    <w:rsid w:val="73208037"/>
    <w:rsid w:val="7328EFE7"/>
    <w:rsid w:val="733FC5F7"/>
    <w:rsid w:val="73455873"/>
    <w:rsid w:val="735329DF"/>
    <w:rsid w:val="73565EEB"/>
    <w:rsid w:val="73662B8E"/>
    <w:rsid w:val="736C8855"/>
    <w:rsid w:val="7381BF69"/>
    <w:rsid w:val="7385C1C5"/>
    <w:rsid w:val="73A20388"/>
    <w:rsid w:val="73BA77B7"/>
    <w:rsid w:val="73C1BDFC"/>
    <w:rsid w:val="73C5BD67"/>
    <w:rsid w:val="73CBB2B5"/>
    <w:rsid w:val="73DA0017"/>
    <w:rsid w:val="73E510DE"/>
    <w:rsid w:val="73E62AF6"/>
    <w:rsid w:val="73EC8544"/>
    <w:rsid w:val="73F322CA"/>
    <w:rsid w:val="73F3444E"/>
    <w:rsid w:val="73FBC228"/>
    <w:rsid w:val="74130A7F"/>
    <w:rsid w:val="7414509B"/>
    <w:rsid w:val="74162968"/>
    <w:rsid w:val="7427A910"/>
    <w:rsid w:val="74292C71"/>
    <w:rsid w:val="744351DB"/>
    <w:rsid w:val="7448B43D"/>
    <w:rsid w:val="744E4D05"/>
    <w:rsid w:val="744F4247"/>
    <w:rsid w:val="745719A2"/>
    <w:rsid w:val="74589B70"/>
    <w:rsid w:val="74657982"/>
    <w:rsid w:val="7467F43D"/>
    <w:rsid w:val="746F130F"/>
    <w:rsid w:val="74712BE4"/>
    <w:rsid w:val="7485F6E6"/>
    <w:rsid w:val="74A96584"/>
    <w:rsid w:val="74BAB163"/>
    <w:rsid w:val="74BC5D08"/>
    <w:rsid w:val="74BDCB51"/>
    <w:rsid w:val="74C2A601"/>
    <w:rsid w:val="74D73636"/>
    <w:rsid w:val="74DA8548"/>
    <w:rsid w:val="74E85E6B"/>
    <w:rsid w:val="74FD76D3"/>
    <w:rsid w:val="74FE2059"/>
    <w:rsid w:val="75000BE1"/>
    <w:rsid w:val="750872D4"/>
    <w:rsid w:val="750BE830"/>
    <w:rsid w:val="751C2343"/>
    <w:rsid w:val="751C2AE7"/>
    <w:rsid w:val="751E24CF"/>
    <w:rsid w:val="7525DA6C"/>
    <w:rsid w:val="754DA067"/>
    <w:rsid w:val="7552CF9B"/>
    <w:rsid w:val="755A8585"/>
    <w:rsid w:val="755C706E"/>
    <w:rsid w:val="755EDA23"/>
    <w:rsid w:val="756BFCAC"/>
    <w:rsid w:val="756E7923"/>
    <w:rsid w:val="7576CFFC"/>
    <w:rsid w:val="757E7289"/>
    <w:rsid w:val="75857B99"/>
    <w:rsid w:val="7594B75F"/>
    <w:rsid w:val="7597C68A"/>
    <w:rsid w:val="75A0276C"/>
    <w:rsid w:val="75A627E8"/>
    <w:rsid w:val="75AA55CD"/>
    <w:rsid w:val="75CB8987"/>
    <w:rsid w:val="75CF0D6E"/>
    <w:rsid w:val="75E7CEE7"/>
    <w:rsid w:val="75F0CA87"/>
    <w:rsid w:val="75F39049"/>
    <w:rsid w:val="75F3FA49"/>
    <w:rsid w:val="75F7E834"/>
    <w:rsid w:val="75F957C3"/>
    <w:rsid w:val="75FBA22B"/>
    <w:rsid w:val="76064551"/>
    <w:rsid w:val="761BD641"/>
    <w:rsid w:val="761C09F4"/>
    <w:rsid w:val="761DF7BE"/>
    <w:rsid w:val="7629F940"/>
    <w:rsid w:val="7639255F"/>
    <w:rsid w:val="764EC856"/>
    <w:rsid w:val="764F8486"/>
    <w:rsid w:val="7650681C"/>
    <w:rsid w:val="765F4436"/>
    <w:rsid w:val="7661BFE4"/>
    <w:rsid w:val="766302DC"/>
    <w:rsid w:val="76712F2A"/>
    <w:rsid w:val="7673AB91"/>
    <w:rsid w:val="76752831"/>
    <w:rsid w:val="767573B3"/>
    <w:rsid w:val="76827109"/>
    <w:rsid w:val="7689A95A"/>
    <w:rsid w:val="768DB425"/>
    <w:rsid w:val="768ED25A"/>
    <w:rsid w:val="7698B6C8"/>
    <w:rsid w:val="76A0AB7D"/>
    <w:rsid w:val="76A4BE4A"/>
    <w:rsid w:val="76B3D057"/>
    <w:rsid w:val="76C53723"/>
    <w:rsid w:val="76C95229"/>
    <w:rsid w:val="76CBD9B4"/>
    <w:rsid w:val="76CFF0A6"/>
    <w:rsid w:val="76D5BC17"/>
    <w:rsid w:val="76E176ED"/>
    <w:rsid w:val="76E32974"/>
    <w:rsid w:val="76F298A8"/>
    <w:rsid w:val="76F7FFD0"/>
    <w:rsid w:val="76FEF158"/>
    <w:rsid w:val="770AE0F9"/>
    <w:rsid w:val="770C304A"/>
    <w:rsid w:val="771F2893"/>
    <w:rsid w:val="772531C9"/>
    <w:rsid w:val="77282AFB"/>
    <w:rsid w:val="77392530"/>
    <w:rsid w:val="7769FDB2"/>
    <w:rsid w:val="776CBF88"/>
    <w:rsid w:val="776EFBAA"/>
    <w:rsid w:val="776F4CF9"/>
    <w:rsid w:val="77719D6E"/>
    <w:rsid w:val="7776ABC7"/>
    <w:rsid w:val="77789BB6"/>
    <w:rsid w:val="777FE9DD"/>
    <w:rsid w:val="77842CB1"/>
    <w:rsid w:val="77956837"/>
    <w:rsid w:val="779B77D4"/>
    <w:rsid w:val="77A43B64"/>
    <w:rsid w:val="77C687BB"/>
    <w:rsid w:val="77C77942"/>
    <w:rsid w:val="77D0240B"/>
    <w:rsid w:val="77D6CDCF"/>
    <w:rsid w:val="77F45D2A"/>
    <w:rsid w:val="77F6FAF6"/>
    <w:rsid w:val="77F8683B"/>
    <w:rsid w:val="77F9853B"/>
    <w:rsid w:val="78055629"/>
    <w:rsid w:val="780B7E60"/>
    <w:rsid w:val="7815F053"/>
    <w:rsid w:val="7818EDFE"/>
    <w:rsid w:val="781AD529"/>
    <w:rsid w:val="781BE59B"/>
    <w:rsid w:val="7820DB1E"/>
    <w:rsid w:val="783010B2"/>
    <w:rsid w:val="78387194"/>
    <w:rsid w:val="783E3EB1"/>
    <w:rsid w:val="784B2856"/>
    <w:rsid w:val="784DEC5E"/>
    <w:rsid w:val="784EBAA3"/>
    <w:rsid w:val="78532E65"/>
    <w:rsid w:val="785BF22B"/>
    <w:rsid w:val="7861FDF1"/>
    <w:rsid w:val="786295B2"/>
    <w:rsid w:val="78866236"/>
    <w:rsid w:val="78878870"/>
    <w:rsid w:val="78943B3A"/>
    <w:rsid w:val="7898073E"/>
    <w:rsid w:val="78983A43"/>
    <w:rsid w:val="7898F104"/>
    <w:rsid w:val="789BE393"/>
    <w:rsid w:val="78CF9FC2"/>
    <w:rsid w:val="78D14546"/>
    <w:rsid w:val="78D81BD0"/>
    <w:rsid w:val="78D9E480"/>
    <w:rsid w:val="78DAA75B"/>
    <w:rsid w:val="78EE5D95"/>
    <w:rsid w:val="78F67EE6"/>
    <w:rsid w:val="790EFA02"/>
    <w:rsid w:val="7910A7A3"/>
    <w:rsid w:val="791E98CA"/>
    <w:rsid w:val="79206448"/>
    <w:rsid w:val="7920B6EA"/>
    <w:rsid w:val="7930A57F"/>
    <w:rsid w:val="79401E98"/>
    <w:rsid w:val="7944D43A"/>
    <w:rsid w:val="79515691"/>
    <w:rsid w:val="795AD62D"/>
    <w:rsid w:val="7968B668"/>
    <w:rsid w:val="7978E5A8"/>
    <w:rsid w:val="797CF015"/>
    <w:rsid w:val="79835F0B"/>
    <w:rsid w:val="7985DAFF"/>
    <w:rsid w:val="7998CC23"/>
    <w:rsid w:val="79A3A9C9"/>
    <w:rsid w:val="79A4159D"/>
    <w:rsid w:val="79B41682"/>
    <w:rsid w:val="79CBF520"/>
    <w:rsid w:val="79CE9C24"/>
    <w:rsid w:val="79D98A77"/>
    <w:rsid w:val="79DA25EE"/>
    <w:rsid w:val="79F26135"/>
    <w:rsid w:val="79F594A1"/>
    <w:rsid w:val="79FBA96F"/>
    <w:rsid w:val="79FF9876"/>
    <w:rsid w:val="7A13887B"/>
    <w:rsid w:val="7A13F9F4"/>
    <w:rsid w:val="7A2548BC"/>
    <w:rsid w:val="7A2D9640"/>
    <w:rsid w:val="7A37A4C4"/>
    <w:rsid w:val="7A4F84B2"/>
    <w:rsid w:val="7A5C7B79"/>
    <w:rsid w:val="7A627D37"/>
    <w:rsid w:val="7A761E19"/>
    <w:rsid w:val="7A778957"/>
    <w:rsid w:val="7A7CC3D3"/>
    <w:rsid w:val="7A864F66"/>
    <w:rsid w:val="7A8E8831"/>
    <w:rsid w:val="7AA145C4"/>
    <w:rsid w:val="7AA3ECC4"/>
    <w:rsid w:val="7AA94FC5"/>
    <w:rsid w:val="7AB912CD"/>
    <w:rsid w:val="7ABF7988"/>
    <w:rsid w:val="7AC4BAE9"/>
    <w:rsid w:val="7AC93C2B"/>
    <w:rsid w:val="7AD4A1A0"/>
    <w:rsid w:val="7ADE39F1"/>
    <w:rsid w:val="7AE2450F"/>
    <w:rsid w:val="7AF08CC9"/>
    <w:rsid w:val="7B1883F4"/>
    <w:rsid w:val="7B1F7D68"/>
    <w:rsid w:val="7B2294D2"/>
    <w:rsid w:val="7B30511F"/>
    <w:rsid w:val="7B3A13D2"/>
    <w:rsid w:val="7B4113E6"/>
    <w:rsid w:val="7B44C961"/>
    <w:rsid w:val="7B494445"/>
    <w:rsid w:val="7B4BAAE5"/>
    <w:rsid w:val="7B4F698B"/>
    <w:rsid w:val="7B73FA1B"/>
    <w:rsid w:val="7B7F5825"/>
    <w:rsid w:val="7B84DFBA"/>
    <w:rsid w:val="7BA338CE"/>
    <w:rsid w:val="7BA55EC5"/>
    <w:rsid w:val="7BBD9F56"/>
    <w:rsid w:val="7BC7FB8F"/>
    <w:rsid w:val="7BC9ACE9"/>
    <w:rsid w:val="7BD265CC"/>
    <w:rsid w:val="7BDBA88D"/>
    <w:rsid w:val="7BDDF48D"/>
    <w:rsid w:val="7BEE3F80"/>
    <w:rsid w:val="7BF63F49"/>
    <w:rsid w:val="7BF86C9D"/>
    <w:rsid w:val="7BFEABE6"/>
    <w:rsid w:val="7C09F5F0"/>
    <w:rsid w:val="7C126F5B"/>
    <w:rsid w:val="7C15153C"/>
    <w:rsid w:val="7C1B7FA1"/>
    <w:rsid w:val="7C1F2C0A"/>
    <w:rsid w:val="7C263FE8"/>
    <w:rsid w:val="7C33A93C"/>
    <w:rsid w:val="7C367225"/>
    <w:rsid w:val="7C36E695"/>
    <w:rsid w:val="7C3965FB"/>
    <w:rsid w:val="7C472792"/>
    <w:rsid w:val="7C4CB217"/>
    <w:rsid w:val="7C50077C"/>
    <w:rsid w:val="7C7B2E3E"/>
    <w:rsid w:val="7C94A40E"/>
    <w:rsid w:val="7CA0C997"/>
    <w:rsid w:val="7CAC1C2D"/>
    <w:rsid w:val="7CBEA111"/>
    <w:rsid w:val="7CBEEB24"/>
    <w:rsid w:val="7CC43690"/>
    <w:rsid w:val="7CC7CAE6"/>
    <w:rsid w:val="7CCEE3E6"/>
    <w:rsid w:val="7CD2E136"/>
    <w:rsid w:val="7CF4B7DF"/>
    <w:rsid w:val="7CF4E569"/>
    <w:rsid w:val="7CF559D9"/>
    <w:rsid w:val="7CF6091E"/>
    <w:rsid w:val="7CFBF9F1"/>
    <w:rsid w:val="7D025F55"/>
    <w:rsid w:val="7D096AAA"/>
    <w:rsid w:val="7D0C17AB"/>
    <w:rsid w:val="7D0E825D"/>
    <w:rsid w:val="7D1E0781"/>
    <w:rsid w:val="7D2259A0"/>
    <w:rsid w:val="7D25D462"/>
    <w:rsid w:val="7D2D32B6"/>
    <w:rsid w:val="7D640E93"/>
    <w:rsid w:val="7D67CE2F"/>
    <w:rsid w:val="7D90ADE9"/>
    <w:rsid w:val="7D9E4C01"/>
    <w:rsid w:val="7DA3EAB9"/>
    <w:rsid w:val="7DA70B6C"/>
    <w:rsid w:val="7DB18BE3"/>
    <w:rsid w:val="7DB4DB8D"/>
    <w:rsid w:val="7DC8262B"/>
    <w:rsid w:val="7DEEEC20"/>
    <w:rsid w:val="7DF6F49D"/>
    <w:rsid w:val="7E02B6AD"/>
    <w:rsid w:val="7E07C506"/>
    <w:rsid w:val="7E0A539C"/>
    <w:rsid w:val="7E0A753C"/>
    <w:rsid w:val="7E20FE76"/>
    <w:rsid w:val="7E357788"/>
    <w:rsid w:val="7E4F212D"/>
    <w:rsid w:val="7E5C8148"/>
    <w:rsid w:val="7E69F174"/>
    <w:rsid w:val="7E79B4B7"/>
    <w:rsid w:val="7E840DF3"/>
    <w:rsid w:val="7E8B54ED"/>
    <w:rsid w:val="7E8F0170"/>
    <w:rsid w:val="7EB92BCF"/>
    <w:rsid w:val="7EBF5960"/>
    <w:rsid w:val="7EE85C92"/>
    <w:rsid w:val="7EEFB072"/>
    <w:rsid w:val="7F03AC4A"/>
    <w:rsid w:val="7F181271"/>
    <w:rsid w:val="7F28F8F0"/>
    <w:rsid w:val="7F2CB9DB"/>
    <w:rsid w:val="7F2E2F62"/>
    <w:rsid w:val="7F45A02C"/>
    <w:rsid w:val="7F494077"/>
    <w:rsid w:val="7F4A32B8"/>
    <w:rsid w:val="7F53EF66"/>
    <w:rsid w:val="7F597379"/>
    <w:rsid w:val="7F5A7170"/>
    <w:rsid w:val="7F61CD2C"/>
    <w:rsid w:val="7F6B22E7"/>
    <w:rsid w:val="7F6FA9EC"/>
    <w:rsid w:val="7F7BEBCE"/>
    <w:rsid w:val="7F82DC66"/>
    <w:rsid w:val="7F84DB1F"/>
    <w:rsid w:val="7F931946"/>
    <w:rsid w:val="7F9AF8C6"/>
    <w:rsid w:val="7FA08ADF"/>
    <w:rsid w:val="7FA50FED"/>
    <w:rsid w:val="7FAD86FD"/>
    <w:rsid w:val="7FB2BF8C"/>
    <w:rsid w:val="7FB96085"/>
    <w:rsid w:val="7FD163AD"/>
    <w:rsid w:val="7FDE6740"/>
    <w:rsid w:val="7FE1A3BA"/>
    <w:rsid w:val="7FE2DBED"/>
    <w:rsid w:val="7FE7D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15:docId w15:val="{89FE1832-CF8B-4BB9-B15D-9F4EA85C953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8E7B21"/>
    <w:pPr>
      <w:ind w:left="720"/>
      <w:contextualSpacing/>
    </w:pPr>
  </w:style>
  <w:style w:type="paragraph" w:styleId="CommentText">
    <w:name w:val="annotation text"/>
    <w:basedOn w:val="Normal"/>
    <w:link w:val="CommentTextChar"/>
    <w:semiHidden/>
    <w:unhideWhenUsed/>
    <w:rsid w:val="001A451E"/>
    <w:rPr>
      <w:sz w:val="20"/>
    </w:rPr>
  </w:style>
  <w:style w:type="character" w:customStyle="1" w:styleId="CommentTextChar">
    <w:name w:val="Comment Text Char"/>
    <w:basedOn w:val="DefaultParagraphFont"/>
    <w:link w:val="CommentText"/>
    <w:semiHidden/>
    <w:rsid w:val="001A451E"/>
    <w:rPr>
      <w:rFonts w:ascii="Palatino" w:hAnsi="Palatino"/>
    </w:rPr>
  </w:style>
  <w:style w:type="character" w:styleId="CommentReference">
    <w:name w:val="annotation reference"/>
    <w:basedOn w:val="DefaultParagraphFont"/>
    <w:semiHidden/>
    <w:unhideWhenUsed/>
    <w:rsid w:val="001A451E"/>
    <w:rPr>
      <w:sz w:val="16"/>
      <w:szCs w:val="16"/>
    </w:rPr>
  </w:style>
  <w:style w:type="character" w:styleId="Mention">
    <w:name w:val="Mention"/>
    <w:basedOn w:val="DefaultParagraphFont"/>
    <w:uiPriority w:val="99"/>
    <w:unhideWhenUsed/>
    <w:rsid w:val="00FD0C7C"/>
    <w:rPr>
      <w:color w:val="2B579A"/>
      <w:shd w:val="clear" w:color="auto" w:fill="E6E6E6"/>
    </w:rPr>
  </w:style>
  <w:style w:type="character" w:customStyle="1" w:styleId="FootnoteTextChar">
    <w:name w:val="Footnote Text Char"/>
    <w:basedOn w:val="DefaultParagraphFont"/>
    <w:link w:val="FootnoteText"/>
    <w:uiPriority w:val="99"/>
    <w:semiHidden/>
    <w:rsid w:val="00DB073F"/>
    <w:rPr>
      <w:rFonts w:ascii="Palatino" w:hAnsi="Palatino"/>
      <w:sz w:val="24"/>
    </w:rPr>
  </w:style>
  <w:style w:type="paragraph" w:styleId="CommentSubject">
    <w:name w:val="annotation subject"/>
    <w:basedOn w:val="CommentText"/>
    <w:next w:val="CommentText"/>
    <w:link w:val="CommentSubjectChar"/>
    <w:semiHidden/>
    <w:unhideWhenUsed/>
    <w:rsid w:val="009E0320"/>
    <w:rPr>
      <w:b/>
      <w:bCs/>
    </w:rPr>
  </w:style>
  <w:style w:type="character" w:customStyle="1" w:styleId="CommentSubjectChar">
    <w:name w:val="Comment Subject Char"/>
    <w:basedOn w:val="CommentTextChar"/>
    <w:link w:val="CommentSubject"/>
    <w:semiHidden/>
    <w:rsid w:val="009E0320"/>
    <w:rPr>
      <w:rFonts w:ascii="Palatino" w:hAnsi="Palatino"/>
      <w:b/>
      <w:bCs/>
    </w:rPr>
  </w:style>
  <w:style w:type="paragraph" w:styleId="Revision">
    <w:name w:val="Revision"/>
    <w:hidden/>
    <w:uiPriority w:val="99"/>
    <w:semiHidden/>
    <w:rsid w:val="007B71F9"/>
    <w:rPr>
      <w:rFonts w:ascii="Palatino" w:hAnsi="Palatino"/>
      <w:sz w:val="26"/>
    </w:rPr>
  </w:style>
  <w:style w:type="character" w:customStyle="1" w:styleId="FooterChar">
    <w:name w:val="Footer Char"/>
    <w:basedOn w:val="DefaultParagraphFont"/>
    <w:link w:val="Footer"/>
    <w:uiPriority w:val="99"/>
    <w:rsid w:val="00630522"/>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ibrary.sce.com/content/dam/sce-doclib/public/regulatory/tariff/electric/preliminary-statements/ELECTRIC_PRELIM_YY.pdf" TargetMode="External"/><Relationship Id="rId1" Type="http://schemas.openxmlformats.org/officeDocument/2006/relationships/hyperlink" Target="https://www.gov.ca.gov/wp-content/uploads/2021/07/Energy-Emergency-Proc-7-3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0991CFEBC9B34D9563988AB446D1C3" ma:contentTypeVersion="7" ma:contentTypeDescription="Create a new document." ma:contentTypeScope="" ma:versionID="bb5b57037c613a7631f557d0dccffa1b">
  <xsd:schema xmlns:xsd="http://www.w3.org/2001/XMLSchema" xmlns:xs="http://www.w3.org/2001/XMLSchema" xmlns:p="http://schemas.microsoft.com/office/2006/metadata/properties" xmlns:ns3="39609060-d435-41b9-9194-6ce8a86c80bc" xmlns:ns4="c61ff885-a387-41ea-acdb-4a005f901287" targetNamespace="http://schemas.microsoft.com/office/2006/metadata/properties" ma:root="true" ma:fieldsID="2ee013f8c4140c39f498702aa975aae8" ns3:_="" ns4:_="">
    <xsd:import namespace="39609060-d435-41b9-9194-6ce8a86c80bc"/>
    <xsd:import namespace="c61ff885-a387-41ea-acdb-4a005f9012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9060-d435-41b9-9194-6ce8a86c8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ff885-a387-41ea-acdb-4a005f901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22D04-3A67-4718-A139-31345C33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9060-d435-41b9-9194-6ce8a86c80bc"/>
    <ds:schemaRef ds:uri="c61ff885-a387-41ea-acdb-4a005f90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5DF90-E79E-4C45-A601-E1690D231409}">
  <ds:schemaRefs>
    <ds:schemaRef ds:uri="http://schemas.openxmlformats.org/officeDocument/2006/bibliography"/>
  </ds:schemaRefs>
</ds:datastoreItem>
</file>

<file path=customXml/itemProps4.xml><?xml version="1.0" encoding="utf-8"?>
<ds:datastoreItem xmlns:ds="http://schemas.openxmlformats.org/officeDocument/2006/customXml" ds:itemID="{35AE118B-A6DC-45E7-BB8D-54B246C6E212}">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27</ap:Pages>
  <ap:Words>7835</ap:Words>
  <ap:Characters>44660</ap:Characters>
  <ap:Application>Microsoft Office Word</ap:Application>
  <ap:DocSecurity>0</ap:DocSecurity>
  <ap:Lines>372</ap:Lines>
  <ap:Paragraphs>104</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52391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2021-11-12T15:22:05Z</dcterms:created>
  <dcterms:modified xsi:type="dcterms:W3CDTF">2021-11-12T15:22:05Z</dcterms:modified>
</cp:coreProperties>
</file>