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21" w:rsidP="007E0FEE" w:rsidRDefault="009B5F94" w14:paraId="21BF892E" w14:textId="6570B551">
      <w:pPr>
        <w:tabs>
          <w:tab w:val="center" w:pos="4680"/>
          <w:tab w:val="right" w:pos="9360"/>
        </w:tabs>
        <w:spacing w:line="240" w:lineRule="auto"/>
        <w:ind w:firstLine="0"/>
      </w:pPr>
      <w:r>
        <w:t>ALJ/SW9/jnf</w:t>
      </w:r>
      <w:r w:rsidR="008F0116">
        <w:tab/>
      </w:r>
      <w:r w:rsidR="008F0116">
        <w:tab/>
      </w:r>
      <w:r w:rsidR="00A35AC0">
        <w:rPr>
          <w:b/>
          <w:bCs/>
        </w:rPr>
        <w:t>Date of Issuance 11/23/2021</w:t>
      </w:r>
    </w:p>
    <w:p w:rsidR="00DA7B5D" w:rsidP="008F0116" w:rsidRDefault="00DA7B5D" w14:paraId="7DA4EE6B" w14:textId="6281A8BE">
      <w:pPr>
        <w:ind w:firstLine="0"/>
      </w:pPr>
    </w:p>
    <w:p w:rsidR="00A35AC0" w:rsidP="00A35AC0" w:rsidRDefault="00A35AC0" w14:paraId="2333728B" w14:textId="77777777">
      <w:pPr>
        <w:spacing w:line="240" w:lineRule="auto"/>
        <w:ind w:firstLine="0"/>
      </w:pPr>
    </w:p>
    <w:p w:rsidR="00DA7B5D" w:rsidP="00BB0243" w:rsidRDefault="00DA7B5D" w14:paraId="3EB3FE68" w14:textId="77777777">
      <w:pPr>
        <w:spacing w:line="240" w:lineRule="auto"/>
        <w:jc w:val="center"/>
        <w:rPr>
          <w:u w:val="single"/>
        </w:rPr>
      </w:pPr>
    </w:p>
    <w:p w:rsidR="00DA7B5D" w:rsidP="00BB0243" w:rsidRDefault="00DA7B5D" w14:paraId="1A33BDA4" w14:textId="77777777">
      <w:pPr>
        <w:spacing w:line="240" w:lineRule="auto"/>
        <w:ind w:firstLine="0"/>
        <w:jc w:val="center"/>
        <w:rPr>
          <w:rFonts w:ascii="Arial" w:hAnsi="Arial" w:cs="Arial"/>
          <w:sz w:val="24"/>
          <w:szCs w:val="24"/>
        </w:rPr>
      </w:pPr>
      <w:r w:rsidRPr="00DA7B5D">
        <w:rPr>
          <w:rFonts w:ascii="Arial" w:hAnsi="Arial" w:cs="Arial"/>
          <w:b/>
          <w:sz w:val="24"/>
          <w:szCs w:val="24"/>
        </w:rPr>
        <w:t>BEFORE THE PUBLIC UTILITIES COMMISSION OF THE STATE OF CALIFORNIA</w:t>
      </w:r>
    </w:p>
    <w:p w:rsidR="00DA7B5D" w:rsidP="008F0116" w:rsidRDefault="00DA7B5D" w14:paraId="4DFEF898" w14:textId="77777777">
      <w:pPr>
        <w:spacing w:line="240" w:lineRule="auto"/>
        <w:ind w:firstLine="0"/>
        <w:rPr>
          <w:rFonts w:ascii="Arial" w:hAnsi="Arial" w:cs="Arial"/>
          <w:sz w:val="24"/>
          <w:szCs w:val="24"/>
        </w:rPr>
      </w:pPr>
    </w:p>
    <w:tbl>
      <w:tblPr>
        <w:tblStyle w:val="TableGrid"/>
        <w:tblW w:w="9360" w:type="dxa"/>
        <w:jc w:val="center"/>
        <w:tblLayout w:type="fixed"/>
        <w:tblLook w:val="04A0" w:firstRow="1" w:lastRow="0" w:firstColumn="1" w:lastColumn="0" w:noHBand="0" w:noVBand="1"/>
      </w:tblPr>
      <w:tblGrid>
        <w:gridCol w:w="4320"/>
        <w:gridCol w:w="5040"/>
      </w:tblGrid>
      <w:tr w:rsidR="00DA7B5D" w:rsidTr="00D139D3" w14:paraId="033892FE" w14:textId="77777777">
        <w:trPr>
          <w:jc w:val="center"/>
        </w:trPr>
        <w:tc>
          <w:tcPr>
            <w:tcW w:w="4320" w:type="dxa"/>
            <w:tcBorders>
              <w:top w:val="nil"/>
              <w:left w:val="nil"/>
              <w:bottom w:val="single" w:color="auto" w:sz="4" w:space="0"/>
              <w:right w:val="single" w:color="auto" w:sz="4" w:space="0"/>
            </w:tcBorders>
          </w:tcPr>
          <w:p w:rsidRPr="00DA7B5D" w:rsidR="00DA7B5D" w:rsidP="00C10B5F" w:rsidRDefault="00B766F8" w14:paraId="4993CC04" w14:textId="1C7EE9FC">
            <w:pPr>
              <w:spacing w:line="240" w:lineRule="auto"/>
              <w:ind w:firstLine="0"/>
              <w:rPr>
                <w:rFonts w:cs="Arial"/>
                <w:szCs w:val="26"/>
              </w:rPr>
            </w:pPr>
            <w:r w:rsidRPr="00B766F8">
              <w:rPr>
                <w:rFonts w:cs="Arial"/>
                <w:szCs w:val="26"/>
              </w:rPr>
              <w:t xml:space="preserve">Order Instituting Rulemaking to Implement Senate Bill 1014 – the </w:t>
            </w:r>
            <w:r w:rsidR="00860288">
              <w:rPr>
                <w:rFonts w:cs="Arial"/>
                <w:szCs w:val="26"/>
              </w:rPr>
              <w:t xml:space="preserve">California </w:t>
            </w:r>
            <w:r w:rsidRPr="00B766F8">
              <w:rPr>
                <w:rFonts w:cs="Arial"/>
                <w:szCs w:val="26"/>
              </w:rPr>
              <w:t>Clean Miles Standard Program</w:t>
            </w:r>
            <w:r w:rsidRPr="00DA7B5D" w:rsidR="00DA7B5D">
              <w:rPr>
                <w:rFonts w:cs="Arial"/>
                <w:szCs w:val="26"/>
              </w:rPr>
              <w:br/>
            </w:r>
          </w:p>
        </w:tc>
        <w:tc>
          <w:tcPr>
            <w:tcW w:w="5040" w:type="dxa"/>
            <w:tcBorders>
              <w:top w:val="nil"/>
              <w:left w:val="single" w:color="auto" w:sz="4" w:space="0"/>
              <w:bottom w:val="nil"/>
              <w:right w:val="nil"/>
            </w:tcBorders>
            <w:vAlign w:val="center"/>
          </w:tcPr>
          <w:p w:rsidRPr="00A35AC0" w:rsidR="00A35AC0" w:rsidP="00A35AC0" w:rsidRDefault="00A35AC0" w14:paraId="05DA48EC" w14:textId="77777777">
            <w:pPr>
              <w:spacing w:line="240" w:lineRule="auto"/>
              <w:ind w:firstLine="0"/>
              <w:jc w:val="center"/>
              <w:rPr>
                <w:rFonts w:cs="Arial"/>
                <w:szCs w:val="26"/>
              </w:rPr>
            </w:pPr>
            <w:r w:rsidRPr="00A35AC0">
              <w:rPr>
                <w:rFonts w:cs="Arial"/>
                <w:szCs w:val="26"/>
              </w:rPr>
              <w:t>FILED</w:t>
            </w:r>
          </w:p>
          <w:p w:rsidRPr="00A35AC0" w:rsidR="00A35AC0" w:rsidP="00A35AC0" w:rsidRDefault="00A35AC0" w14:paraId="222C3BC3" w14:textId="77777777">
            <w:pPr>
              <w:spacing w:line="240" w:lineRule="auto"/>
              <w:ind w:firstLine="0"/>
              <w:jc w:val="center"/>
              <w:rPr>
                <w:rFonts w:cs="Arial"/>
                <w:szCs w:val="26"/>
              </w:rPr>
            </w:pPr>
            <w:r w:rsidRPr="00A35AC0">
              <w:rPr>
                <w:rFonts w:cs="Arial"/>
                <w:szCs w:val="26"/>
              </w:rPr>
              <w:t>PUBLIC UTILITIES COMMISSION</w:t>
            </w:r>
          </w:p>
          <w:p w:rsidRPr="00A35AC0" w:rsidR="00A35AC0" w:rsidP="00A35AC0" w:rsidRDefault="00A35AC0" w14:paraId="15FD59E5" w14:textId="36819D0C">
            <w:pPr>
              <w:spacing w:line="240" w:lineRule="auto"/>
              <w:ind w:firstLine="0"/>
              <w:jc w:val="center"/>
              <w:rPr>
                <w:rFonts w:cs="Arial"/>
                <w:szCs w:val="26"/>
              </w:rPr>
            </w:pPr>
            <w:r>
              <w:rPr>
                <w:rFonts w:cs="Arial"/>
                <w:szCs w:val="26"/>
              </w:rPr>
              <w:t>NOVEMBER 18</w:t>
            </w:r>
            <w:r w:rsidRPr="00A35AC0">
              <w:rPr>
                <w:rFonts w:cs="Arial"/>
                <w:szCs w:val="26"/>
              </w:rPr>
              <w:t>,</w:t>
            </w:r>
            <w:r>
              <w:rPr>
                <w:rFonts w:cs="Arial"/>
                <w:szCs w:val="26"/>
              </w:rPr>
              <w:t> </w:t>
            </w:r>
            <w:r w:rsidRPr="00A35AC0">
              <w:rPr>
                <w:rFonts w:cs="Arial"/>
                <w:szCs w:val="26"/>
              </w:rPr>
              <w:t>2021</w:t>
            </w:r>
          </w:p>
          <w:p w:rsidRPr="00A35AC0" w:rsidR="00A35AC0" w:rsidP="00A35AC0" w:rsidRDefault="00A35AC0" w14:paraId="336E668E" w14:textId="77777777">
            <w:pPr>
              <w:spacing w:line="240" w:lineRule="auto"/>
              <w:ind w:firstLine="0"/>
              <w:jc w:val="center"/>
              <w:rPr>
                <w:rFonts w:cs="Arial"/>
                <w:szCs w:val="26"/>
              </w:rPr>
            </w:pPr>
            <w:r w:rsidRPr="00A35AC0">
              <w:rPr>
                <w:rFonts w:cs="Arial"/>
                <w:szCs w:val="26"/>
              </w:rPr>
              <w:t>SAN FRANCISCO, CALIFORNIA</w:t>
            </w:r>
          </w:p>
          <w:p w:rsidRPr="00DA7B5D" w:rsidR="00DA7B5D" w:rsidP="00A35AC0" w:rsidRDefault="00A35AC0" w14:paraId="46068567" w14:textId="7EDF44C0">
            <w:pPr>
              <w:spacing w:line="240" w:lineRule="auto"/>
              <w:ind w:firstLine="0"/>
              <w:jc w:val="center"/>
              <w:rPr>
                <w:rFonts w:cs="Arial"/>
                <w:szCs w:val="26"/>
              </w:rPr>
            </w:pPr>
            <w:r>
              <w:rPr>
                <w:rFonts w:cs="Arial"/>
                <w:szCs w:val="26"/>
              </w:rPr>
              <w:t xml:space="preserve">RULEMAKING 21-11-014 </w:t>
            </w:r>
          </w:p>
        </w:tc>
      </w:tr>
    </w:tbl>
    <w:p w:rsidRPr="00CC136B" w:rsidR="00DA7B5D" w:rsidP="008F0116" w:rsidRDefault="00DA7B5D" w14:paraId="2C6BD432" w14:textId="77777777">
      <w:pPr>
        <w:spacing w:line="240" w:lineRule="auto"/>
        <w:ind w:firstLine="0"/>
        <w:rPr>
          <w:rFonts w:ascii="Arial" w:hAnsi="Arial" w:cs="Arial"/>
          <w:b/>
          <w:szCs w:val="26"/>
        </w:rPr>
      </w:pPr>
    </w:p>
    <w:p w:rsidRPr="00CC136B" w:rsidR="00DA7B5D" w:rsidP="008F0116" w:rsidRDefault="00DA7B5D" w14:paraId="3FB8454D" w14:textId="42FE5D9A">
      <w:pPr>
        <w:spacing w:line="240" w:lineRule="auto"/>
        <w:ind w:firstLine="0"/>
        <w:rPr>
          <w:rFonts w:ascii="Arial" w:hAnsi="Arial" w:cs="Arial"/>
          <w:b/>
          <w:szCs w:val="26"/>
        </w:rPr>
      </w:pPr>
    </w:p>
    <w:p w:rsidR="001D4313" w:rsidP="002433B6" w:rsidRDefault="00B766F8" w14:paraId="06CDAFDF" w14:textId="4DC3C1E5">
      <w:pPr>
        <w:pStyle w:val="Dummy"/>
        <w:jc w:val="center"/>
        <w:sectPr w:rsidR="001D4313" w:rsidSect="00AD459B">
          <w:headerReference w:type="default" r:id="rId11"/>
          <w:footerReference w:type="default" r:id="rId12"/>
          <w:headerReference w:type="first" r:id="rId13"/>
          <w:footerReference w:type="first" r:id="rId14"/>
          <w:pgSz w:w="12240" w:h="15840"/>
          <w:pgMar w:top="1728" w:right="1440" w:bottom="1440" w:left="1440" w:header="720" w:footer="720" w:gutter="0"/>
          <w:pgNumType w:start="1"/>
          <w:cols w:space="720"/>
          <w:titlePg/>
          <w:docGrid w:linePitch="360"/>
        </w:sectPr>
      </w:pPr>
      <w:bookmarkStart w:name="_Toc88569632" w:id="0"/>
      <w:r w:rsidRPr="00CC136B">
        <w:t>ORDER INSTITUTING RULEMAKING TO IMPLEMENT SENATE BILL</w:t>
      </w:r>
      <w:r w:rsidR="00605941">
        <w:t> </w:t>
      </w:r>
      <w:r w:rsidRPr="00CC136B">
        <w:t xml:space="preserve">1014 – THE </w:t>
      </w:r>
      <w:r w:rsidRPr="00CC136B" w:rsidR="00860288">
        <w:t xml:space="preserve">CALIFORNIA </w:t>
      </w:r>
      <w:r w:rsidRPr="00CC136B">
        <w:t>CLEAN MILES STANDARD PROGRA</w:t>
      </w:r>
      <w:r w:rsidRPr="00CC136B" w:rsidR="00C56930">
        <w:t>M</w:t>
      </w:r>
      <w:bookmarkEnd w:id="0"/>
    </w:p>
    <w:p w:rsidRPr="001E2A62" w:rsidR="001D4313" w:rsidP="001D4313" w:rsidRDefault="001D4313" w14:paraId="06E8C1B0" w14:textId="77777777">
      <w:pPr>
        <w:pStyle w:val="Main"/>
        <w:rPr>
          <w:rFonts w:ascii="Book Antiqua" w:hAnsi="Book Antiqua"/>
        </w:rPr>
      </w:pPr>
      <w:r w:rsidRPr="001E2A62">
        <w:rPr>
          <w:rFonts w:ascii="Book Antiqua" w:hAnsi="Book Antiqua"/>
        </w:rPr>
        <w:lastRenderedPageBreak/>
        <w:t>TABLE OF CONTENTS</w:t>
      </w:r>
    </w:p>
    <w:p w:rsidRPr="00D50119" w:rsidR="001D4313" w:rsidP="001D4313" w:rsidRDefault="001D4313" w14:paraId="2A5B2793" w14:textId="77777777">
      <w:pPr>
        <w:tabs>
          <w:tab w:val="right" w:pos="9360"/>
        </w:tabs>
        <w:ind w:firstLine="0"/>
      </w:pPr>
      <w:r w:rsidRPr="00D50119">
        <w:rPr>
          <w:b/>
        </w:rPr>
        <w:t>Title</w:t>
      </w:r>
      <w:r>
        <w:tab/>
      </w:r>
      <w:r w:rsidRPr="00D50119">
        <w:rPr>
          <w:b/>
        </w:rPr>
        <w:t>Page</w:t>
      </w:r>
    </w:p>
    <w:sdt>
      <w:sdtPr>
        <w:id w:val="-1224440197"/>
        <w:docPartObj>
          <w:docPartGallery w:val="Table of Contents"/>
          <w:docPartUnique/>
        </w:docPartObj>
      </w:sdtPr>
      <w:sdtEndPr>
        <w:rPr>
          <w:b/>
          <w:bCs/>
          <w:noProof/>
        </w:rPr>
      </w:sdtEndPr>
      <w:sdtContent>
        <w:p w:rsidR="00A35AC0" w:rsidP="00A35AC0" w:rsidRDefault="001D4313" w14:paraId="6ABDDC4E" w14:textId="0054509C">
          <w:pPr>
            <w:pStyle w:val="TOC1"/>
            <w:tabs>
              <w:tab w:val="right" w:leader="dot" w:pos="9350"/>
            </w:tabs>
            <w:ind w:left="0" w:firstLine="0"/>
            <w:rPr>
              <w:rFonts w:asciiTheme="minorHAnsi" w:hAnsiTheme="minorHAnsi" w:cstheme="minorBidi"/>
              <w:noProof/>
              <w:sz w:val="22"/>
            </w:rPr>
          </w:pPr>
          <w:r>
            <w:rPr>
              <w:rFonts w:asciiTheme="minorHAnsi" w:hAnsiTheme="minorHAnsi"/>
              <w:sz w:val="22"/>
            </w:rPr>
            <w:fldChar w:fldCharType="begin"/>
          </w:r>
          <w:r>
            <w:rPr>
              <w:rFonts w:asciiTheme="minorHAnsi" w:hAnsiTheme="minorHAnsi"/>
              <w:sz w:val="22"/>
            </w:rPr>
            <w:instrText xml:space="preserve"> TOC \o "1-6" \h \z \u </w:instrText>
          </w:r>
          <w:r>
            <w:rPr>
              <w:rFonts w:asciiTheme="minorHAnsi" w:hAnsiTheme="minorHAnsi"/>
              <w:sz w:val="22"/>
            </w:rPr>
            <w:fldChar w:fldCharType="separate"/>
          </w:r>
          <w:hyperlink w:history="1" w:anchor="_Toc88569632">
            <w:r w:rsidRPr="00C920BF" w:rsidR="00A35AC0">
              <w:rPr>
                <w:rStyle w:val="Hyperlink"/>
                <w:noProof/>
              </w:rPr>
              <w:t>ORDER INSTITUTING RULEMAKING TO IMPLEMENT SENATE BILL 1014 – THE CALIFORNIA CLEAN MILES STANDARD PROGRAM</w:t>
            </w:r>
            <w:r w:rsidR="00A35AC0">
              <w:rPr>
                <w:noProof/>
                <w:webHidden/>
              </w:rPr>
              <w:tab/>
            </w:r>
            <w:r w:rsidR="00A35AC0">
              <w:rPr>
                <w:noProof/>
                <w:webHidden/>
              </w:rPr>
              <w:fldChar w:fldCharType="begin"/>
            </w:r>
            <w:r w:rsidR="00A35AC0">
              <w:rPr>
                <w:noProof/>
                <w:webHidden/>
              </w:rPr>
              <w:instrText xml:space="preserve"> PAGEREF _Toc88569632 \h </w:instrText>
            </w:r>
            <w:r w:rsidR="00A35AC0">
              <w:rPr>
                <w:noProof/>
                <w:webHidden/>
              </w:rPr>
            </w:r>
            <w:r w:rsidR="00A35AC0">
              <w:rPr>
                <w:noProof/>
                <w:webHidden/>
              </w:rPr>
              <w:fldChar w:fldCharType="separate"/>
            </w:r>
            <w:r w:rsidR="00A35AC0">
              <w:rPr>
                <w:noProof/>
                <w:webHidden/>
              </w:rPr>
              <w:t>1</w:t>
            </w:r>
            <w:r w:rsidR="00A35AC0">
              <w:rPr>
                <w:noProof/>
                <w:webHidden/>
              </w:rPr>
              <w:fldChar w:fldCharType="end"/>
            </w:r>
          </w:hyperlink>
        </w:p>
        <w:p w:rsidR="00A35AC0" w:rsidRDefault="002C08FE" w14:paraId="10B99546" w14:textId="333CB5E3">
          <w:pPr>
            <w:pStyle w:val="TOC1"/>
            <w:tabs>
              <w:tab w:val="right" w:leader="dot" w:pos="9350"/>
            </w:tabs>
            <w:rPr>
              <w:rFonts w:asciiTheme="minorHAnsi" w:hAnsiTheme="minorHAnsi" w:cstheme="minorBidi"/>
              <w:noProof/>
              <w:sz w:val="22"/>
            </w:rPr>
          </w:pPr>
          <w:hyperlink w:history="1" w:anchor="_Toc88569633">
            <w:r w:rsidRPr="00C920BF" w:rsidR="00A35AC0">
              <w:rPr>
                <w:rStyle w:val="Hyperlink"/>
                <w:rFonts w:eastAsia="Times New Roman" w:cs="Arial"/>
                <w:noProof/>
                <w:kern w:val="28"/>
              </w:rPr>
              <w:t>Summary</w:t>
            </w:r>
            <w:r w:rsidR="00A35AC0">
              <w:rPr>
                <w:noProof/>
                <w:webHidden/>
              </w:rPr>
              <w:tab/>
            </w:r>
            <w:r w:rsidR="00A35AC0">
              <w:rPr>
                <w:noProof/>
                <w:webHidden/>
              </w:rPr>
              <w:fldChar w:fldCharType="begin"/>
            </w:r>
            <w:r w:rsidR="00A35AC0">
              <w:rPr>
                <w:noProof/>
                <w:webHidden/>
              </w:rPr>
              <w:instrText xml:space="preserve"> PAGEREF _Toc88569633 \h </w:instrText>
            </w:r>
            <w:r w:rsidR="00A35AC0">
              <w:rPr>
                <w:noProof/>
                <w:webHidden/>
              </w:rPr>
            </w:r>
            <w:r w:rsidR="00A35AC0">
              <w:rPr>
                <w:noProof/>
                <w:webHidden/>
              </w:rPr>
              <w:fldChar w:fldCharType="separate"/>
            </w:r>
            <w:r w:rsidR="00A35AC0">
              <w:rPr>
                <w:noProof/>
                <w:webHidden/>
              </w:rPr>
              <w:t>2</w:t>
            </w:r>
            <w:r w:rsidR="00A35AC0">
              <w:rPr>
                <w:noProof/>
                <w:webHidden/>
              </w:rPr>
              <w:fldChar w:fldCharType="end"/>
            </w:r>
          </w:hyperlink>
        </w:p>
        <w:p w:rsidR="00A35AC0" w:rsidRDefault="002C08FE" w14:paraId="3AA0585A" w14:textId="1AA6A862">
          <w:pPr>
            <w:pStyle w:val="TOC1"/>
            <w:tabs>
              <w:tab w:val="right" w:leader="dot" w:pos="9350"/>
            </w:tabs>
            <w:rPr>
              <w:rFonts w:asciiTheme="minorHAnsi" w:hAnsiTheme="minorHAnsi" w:cstheme="minorBidi"/>
              <w:noProof/>
              <w:sz w:val="22"/>
            </w:rPr>
          </w:pPr>
          <w:hyperlink w:history="1" w:anchor="_Toc88569634">
            <w:r w:rsidRPr="00C920BF" w:rsidR="00A35AC0">
              <w:rPr>
                <w:rStyle w:val="Hyperlink"/>
                <w:noProof/>
              </w:rPr>
              <w:t>1.</w:t>
            </w:r>
            <w:r w:rsidR="00A35AC0">
              <w:rPr>
                <w:rFonts w:asciiTheme="minorHAnsi" w:hAnsiTheme="minorHAnsi" w:cstheme="minorBidi"/>
                <w:noProof/>
                <w:sz w:val="22"/>
              </w:rPr>
              <w:tab/>
            </w:r>
            <w:r w:rsidRPr="00C920BF" w:rsidR="00A35AC0">
              <w:rPr>
                <w:rStyle w:val="Hyperlink"/>
                <w:noProof/>
              </w:rPr>
              <w:t>Background</w:t>
            </w:r>
            <w:r w:rsidR="00A35AC0">
              <w:rPr>
                <w:noProof/>
                <w:webHidden/>
              </w:rPr>
              <w:tab/>
            </w:r>
            <w:r w:rsidR="00A35AC0">
              <w:rPr>
                <w:noProof/>
                <w:webHidden/>
              </w:rPr>
              <w:fldChar w:fldCharType="begin"/>
            </w:r>
            <w:r w:rsidR="00A35AC0">
              <w:rPr>
                <w:noProof/>
                <w:webHidden/>
              </w:rPr>
              <w:instrText xml:space="preserve"> PAGEREF _Toc88569634 \h </w:instrText>
            </w:r>
            <w:r w:rsidR="00A35AC0">
              <w:rPr>
                <w:noProof/>
                <w:webHidden/>
              </w:rPr>
            </w:r>
            <w:r w:rsidR="00A35AC0">
              <w:rPr>
                <w:noProof/>
                <w:webHidden/>
              </w:rPr>
              <w:fldChar w:fldCharType="separate"/>
            </w:r>
            <w:r w:rsidR="00A35AC0">
              <w:rPr>
                <w:noProof/>
                <w:webHidden/>
              </w:rPr>
              <w:t>3</w:t>
            </w:r>
            <w:r w:rsidR="00A35AC0">
              <w:rPr>
                <w:noProof/>
                <w:webHidden/>
              </w:rPr>
              <w:fldChar w:fldCharType="end"/>
            </w:r>
          </w:hyperlink>
        </w:p>
        <w:p w:rsidR="00A35AC0" w:rsidRDefault="002C08FE" w14:paraId="346A37D5" w14:textId="47F5E6AE">
          <w:pPr>
            <w:pStyle w:val="TOC2"/>
            <w:tabs>
              <w:tab w:val="right" w:leader="dot" w:pos="9350"/>
            </w:tabs>
            <w:rPr>
              <w:rFonts w:asciiTheme="minorHAnsi" w:hAnsiTheme="minorHAnsi" w:cstheme="minorBidi"/>
              <w:noProof/>
              <w:sz w:val="22"/>
            </w:rPr>
          </w:pPr>
          <w:hyperlink w:history="1" w:anchor="_Toc88569635">
            <w:r w:rsidRPr="00C920BF" w:rsidR="00A35AC0">
              <w:rPr>
                <w:rStyle w:val="Hyperlink"/>
                <w:noProof/>
              </w:rPr>
              <w:t>1.1.</w:t>
            </w:r>
            <w:r w:rsidR="00A35AC0">
              <w:rPr>
                <w:rFonts w:asciiTheme="minorHAnsi" w:hAnsiTheme="minorHAnsi" w:cstheme="minorBidi"/>
                <w:noProof/>
                <w:sz w:val="22"/>
              </w:rPr>
              <w:tab/>
            </w:r>
            <w:r w:rsidRPr="00C920BF" w:rsidR="00A35AC0">
              <w:rPr>
                <w:rStyle w:val="Hyperlink"/>
                <w:noProof/>
              </w:rPr>
              <w:t>Jurisdiction</w:t>
            </w:r>
            <w:r w:rsidR="00A35AC0">
              <w:rPr>
                <w:noProof/>
                <w:webHidden/>
              </w:rPr>
              <w:tab/>
            </w:r>
            <w:r w:rsidR="00A35AC0">
              <w:rPr>
                <w:noProof/>
                <w:webHidden/>
              </w:rPr>
              <w:fldChar w:fldCharType="begin"/>
            </w:r>
            <w:r w:rsidR="00A35AC0">
              <w:rPr>
                <w:noProof/>
                <w:webHidden/>
              </w:rPr>
              <w:instrText xml:space="preserve"> PAGEREF _Toc88569635 \h </w:instrText>
            </w:r>
            <w:r w:rsidR="00A35AC0">
              <w:rPr>
                <w:noProof/>
                <w:webHidden/>
              </w:rPr>
            </w:r>
            <w:r w:rsidR="00A35AC0">
              <w:rPr>
                <w:noProof/>
                <w:webHidden/>
              </w:rPr>
              <w:fldChar w:fldCharType="separate"/>
            </w:r>
            <w:r w:rsidR="00A35AC0">
              <w:rPr>
                <w:noProof/>
                <w:webHidden/>
              </w:rPr>
              <w:t>3</w:t>
            </w:r>
            <w:r w:rsidR="00A35AC0">
              <w:rPr>
                <w:noProof/>
                <w:webHidden/>
              </w:rPr>
              <w:fldChar w:fldCharType="end"/>
            </w:r>
          </w:hyperlink>
        </w:p>
        <w:p w:rsidR="00A35AC0" w:rsidRDefault="002C08FE" w14:paraId="69ECB6A0" w14:textId="40C50B08">
          <w:pPr>
            <w:pStyle w:val="TOC2"/>
            <w:tabs>
              <w:tab w:val="right" w:leader="dot" w:pos="9350"/>
            </w:tabs>
            <w:rPr>
              <w:rFonts w:asciiTheme="minorHAnsi" w:hAnsiTheme="minorHAnsi" w:cstheme="minorBidi"/>
              <w:noProof/>
              <w:sz w:val="22"/>
            </w:rPr>
          </w:pPr>
          <w:hyperlink w:history="1" w:anchor="_Toc88569636">
            <w:r w:rsidRPr="00C920BF" w:rsidR="00A35AC0">
              <w:rPr>
                <w:rStyle w:val="Hyperlink"/>
                <w:noProof/>
              </w:rPr>
              <w:t>1.2.</w:t>
            </w:r>
            <w:r w:rsidR="00A35AC0">
              <w:rPr>
                <w:rFonts w:asciiTheme="minorHAnsi" w:hAnsiTheme="minorHAnsi" w:cstheme="minorBidi"/>
                <w:noProof/>
                <w:sz w:val="22"/>
              </w:rPr>
              <w:tab/>
            </w:r>
            <w:r w:rsidRPr="00C920BF" w:rsidR="00A35AC0">
              <w:rPr>
                <w:rStyle w:val="Hyperlink"/>
                <w:noProof/>
              </w:rPr>
              <w:t>CARB CMS Regulations</w:t>
            </w:r>
            <w:r w:rsidR="00A35AC0">
              <w:rPr>
                <w:noProof/>
                <w:webHidden/>
              </w:rPr>
              <w:tab/>
            </w:r>
            <w:r w:rsidR="00A35AC0">
              <w:rPr>
                <w:noProof/>
                <w:webHidden/>
              </w:rPr>
              <w:fldChar w:fldCharType="begin"/>
            </w:r>
            <w:r w:rsidR="00A35AC0">
              <w:rPr>
                <w:noProof/>
                <w:webHidden/>
              </w:rPr>
              <w:instrText xml:space="preserve"> PAGEREF _Toc88569636 \h </w:instrText>
            </w:r>
            <w:r w:rsidR="00A35AC0">
              <w:rPr>
                <w:noProof/>
                <w:webHidden/>
              </w:rPr>
            </w:r>
            <w:r w:rsidR="00A35AC0">
              <w:rPr>
                <w:noProof/>
                <w:webHidden/>
              </w:rPr>
              <w:fldChar w:fldCharType="separate"/>
            </w:r>
            <w:r w:rsidR="00A35AC0">
              <w:rPr>
                <w:noProof/>
                <w:webHidden/>
              </w:rPr>
              <w:t>7</w:t>
            </w:r>
            <w:r w:rsidR="00A35AC0">
              <w:rPr>
                <w:noProof/>
                <w:webHidden/>
              </w:rPr>
              <w:fldChar w:fldCharType="end"/>
            </w:r>
          </w:hyperlink>
        </w:p>
        <w:p w:rsidR="00A35AC0" w:rsidRDefault="002C08FE" w14:paraId="39270692" w14:textId="195448FA">
          <w:pPr>
            <w:pStyle w:val="TOC2"/>
            <w:tabs>
              <w:tab w:val="right" w:leader="dot" w:pos="9350"/>
            </w:tabs>
            <w:rPr>
              <w:rFonts w:asciiTheme="minorHAnsi" w:hAnsiTheme="minorHAnsi" w:cstheme="minorBidi"/>
              <w:noProof/>
              <w:sz w:val="22"/>
            </w:rPr>
          </w:pPr>
          <w:hyperlink w:history="1" w:anchor="_Toc88569637">
            <w:r w:rsidRPr="00C920BF" w:rsidR="00A35AC0">
              <w:rPr>
                <w:rStyle w:val="Hyperlink"/>
                <w:noProof/>
              </w:rPr>
              <w:t>1.3.</w:t>
            </w:r>
            <w:r w:rsidR="00A35AC0">
              <w:rPr>
                <w:rFonts w:asciiTheme="minorHAnsi" w:hAnsiTheme="minorHAnsi" w:cstheme="minorBidi"/>
                <w:noProof/>
                <w:sz w:val="22"/>
              </w:rPr>
              <w:tab/>
            </w:r>
            <w:r w:rsidRPr="00C920BF" w:rsidR="00A35AC0">
              <w:rPr>
                <w:rStyle w:val="Hyperlink"/>
                <w:rFonts w:eastAsia="Arial"/>
                <w:noProof/>
              </w:rPr>
              <w:t>Transportation Electrification</w:t>
            </w:r>
            <w:r w:rsidR="00A35AC0">
              <w:rPr>
                <w:noProof/>
                <w:webHidden/>
              </w:rPr>
              <w:tab/>
            </w:r>
            <w:r w:rsidR="00A35AC0">
              <w:rPr>
                <w:noProof/>
                <w:webHidden/>
              </w:rPr>
              <w:fldChar w:fldCharType="begin"/>
            </w:r>
            <w:r w:rsidR="00A35AC0">
              <w:rPr>
                <w:noProof/>
                <w:webHidden/>
              </w:rPr>
              <w:instrText xml:space="preserve"> PAGEREF _Toc88569637 \h </w:instrText>
            </w:r>
            <w:r w:rsidR="00A35AC0">
              <w:rPr>
                <w:noProof/>
                <w:webHidden/>
              </w:rPr>
            </w:r>
            <w:r w:rsidR="00A35AC0">
              <w:rPr>
                <w:noProof/>
                <w:webHidden/>
              </w:rPr>
              <w:fldChar w:fldCharType="separate"/>
            </w:r>
            <w:r w:rsidR="00A35AC0">
              <w:rPr>
                <w:noProof/>
                <w:webHidden/>
              </w:rPr>
              <w:t>12</w:t>
            </w:r>
            <w:r w:rsidR="00A35AC0">
              <w:rPr>
                <w:noProof/>
                <w:webHidden/>
              </w:rPr>
              <w:fldChar w:fldCharType="end"/>
            </w:r>
          </w:hyperlink>
        </w:p>
        <w:p w:rsidR="00A35AC0" w:rsidRDefault="002C08FE" w14:paraId="2933DED7" w14:textId="22DFB206">
          <w:pPr>
            <w:pStyle w:val="TOC1"/>
            <w:tabs>
              <w:tab w:val="right" w:leader="dot" w:pos="9350"/>
            </w:tabs>
            <w:rPr>
              <w:rFonts w:asciiTheme="minorHAnsi" w:hAnsiTheme="minorHAnsi" w:cstheme="minorBidi"/>
              <w:noProof/>
              <w:sz w:val="22"/>
            </w:rPr>
          </w:pPr>
          <w:hyperlink w:history="1" w:anchor="_Toc88569638">
            <w:r w:rsidRPr="00C920BF" w:rsidR="00A35AC0">
              <w:rPr>
                <w:rStyle w:val="Hyperlink"/>
                <w:noProof/>
              </w:rPr>
              <w:t>2.</w:t>
            </w:r>
            <w:r w:rsidR="00A35AC0">
              <w:rPr>
                <w:rFonts w:asciiTheme="minorHAnsi" w:hAnsiTheme="minorHAnsi" w:cstheme="minorBidi"/>
                <w:noProof/>
                <w:sz w:val="22"/>
              </w:rPr>
              <w:tab/>
            </w:r>
            <w:r w:rsidRPr="00C920BF" w:rsidR="00A35AC0">
              <w:rPr>
                <w:rStyle w:val="Hyperlink"/>
                <w:noProof/>
              </w:rPr>
              <w:t>Purpose of Proceeding</w:t>
            </w:r>
            <w:r w:rsidR="00A35AC0">
              <w:rPr>
                <w:noProof/>
                <w:webHidden/>
              </w:rPr>
              <w:tab/>
            </w:r>
            <w:r w:rsidR="00A35AC0">
              <w:rPr>
                <w:noProof/>
                <w:webHidden/>
              </w:rPr>
              <w:fldChar w:fldCharType="begin"/>
            </w:r>
            <w:r w:rsidR="00A35AC0">
              <w:rPr>
                <w:noProof/>
                <w:webHidden/>
              </w:rPr>
              <w:instrText xml:space="preserve"> PAGEREF _Toc88569638 \h </w:instrText>
            </w:r>
            <w:r w:rsidR="00A35AC0">
              <w:rPr>
                <w:noProof/>
                <w:webHidden/>
              </w:rPr>
            </w:r>
            <w:r w:rsidR="00A35AC0">
              <w:rPr>
                <w:noProof/>
                <w:webHidden/>
              </w:rPr>
              <w:fldChar w:fldCharType="separate"/>
            </w:r>
            <w:r w:rsidR="00A35AC0">
              <w:rPr>
                <w:noProof/>
                <w:webHidden/>
              </w:rPr>
              <w:t>13</w:t>
            </w:r>
            <w:r w:rsidR="00A35AC0">
              <w:rPr>
                <w:noProof/>
                <w:webHidden/>
              </w:rPr>
              <w:fldChar w:fldCharType="end"/>
            </w:r>
          </w:hyperlink>
        </w:p>
        <w:p w:rsidR="00A35AC0" w:rsidRDefault="002C08FE" w14:paraId="45F8A2BD" w14:textId="5A54FEA9">
          <w:pPr>
            <w:pStyle w:val="TOC1"/>
            <w:tabs>
              <w:tab w:val="right" w:leader="dot" w:pos="9350"/>
            </w:tabs>
            <w:rPr>
              <w:rFonts w:asciiTheme="minorHAnsi" w:hAnsiTheme="minorHAnsi" w:cstheme="minorBidi"/>
              <w:noProof/>
              <w:sz w:val="22"/>
            </w:rPr>
          </w:pPr>
          <w:hyperlink w:history="1" w:anchor="_Toc88569639">
            <w:r w:rsidRPr="00C920BF" w:rsidR="00A35AC0">
              <w:rPr>
                <w:rStyle w:val="Hyperlink"/>
                <w:noProof/>
              </w:rPr>
              <w:t>3.</w:t>
            </w:r>
            <w:r w:rsidR="00A35AC0">
              <w:rPr>
                <w:rFonts w:asciiTheme="minorHAnsi" w:hAnsiTheme="minorHAnsi" w:cstheme="minorBidi"/>
                <w:noProof/>
                <w:sz w:val="22"/>
              </w:rPr>
              <w:tab/>
            </w:r>
            <w:r w:rsidRPr="00C920BF" w:rsidR="00A35AC0">
              <w:rPr>
                <w:rStyle w:val="Hyperlink"/>
                <w:rFonts w:eastAsiaTheme="minorHAnsi"/>
                <w:noProof/>
              </w:rPr>
              <w:t>Preliminary Scoping Memo</w:t>
            </w:r>
            <w:r w:rsidR="00A35AC0">
              <w:rPr>
                <w:noProof/>
                <w:webHidden/>
              </w:rPr>
              <w:tab/>
            </w:r>
            <w:r w:rsidR="00A35AC0">
              <w:rPr>
                <w:noProof/>
                <w:webHidden/>
              </w:rPr>
              <w:fldChar w:fldCharType="begin"/>
            </w:r>
            <w:r w:rsidR="00A35AC0">
              <w:rPr>
                <w:noProof/>
                <w:webHidden/>
              </w:rPr>
              <w:instrText xml:space="preserve"> PAGEREF _Toc88569639 \h </w:instrText>
            </w:r>
            <w:r w:rsidR="00A35AC0">
              <w:rPr>
                <w:noProof/>
                <w:webHidden/>
              </w:rPr>
            </w:r>
            <w:r w:rsidR="00A35AC0">
              <w:rPr>
                <w:noProof/>
                <w:webHidden/>
              </w:rPr>
              <w:fldChar w:fldCharType="separate"/>
            </w:r>
            <w:r w:rsidR="00A35AC0">
              <w:rPr>
                <w:noProof/>
                <w:webHidden/>
              </w:rPr>
              <w:t>13</w:t>
            </w:r>
            <w:r w:rsidR="00A35AC0">
              <w:rPr>
                <w:noProof/>
                <w:webHidden/>
              </w:rPr>
              <w:fldChar w:fldCharType="end"/>
            </w:r>
          </w:hyperlink>
        </w:p>
        <w:p w:rsidR="00A35AC0" w:rsidRDefault="002C08FE" w14:paraId="6E88152F" w14:textId="3D08BF45">
          <w:pPr>
            <w:pStyle w:val="TOC2"/>
            <w:tabs>
              <w:tab w:val="right" w:leader="dot" w:pos="9350"/>
            </w:tabs>
            <w:rPr>
              <w:rFonts w:asciiTheme="minorHAnsi" w:hAnsiTheme="minorHAnsi" w:cstheme="minorBidi"/>
              <w:noProof/>
              <w:sz w:val="22"/>
            </w:rPr>
          </w:pPr>
          <w:hyperlink w:history="1" w:anchor="_Toc88569640">
            <w:r w:rsidRPr="00C920BF" w:rsidR="00A35AC0">
              <w:rPr>
                <w:rStyle w:val="Hyperlink"/>
                <w:noProof/>
              </w:rPr>
              <w:t>3.1.</w:t>
            </w:r>
            <w:r w:rsidR="00A35AC0">
              <w:rPr>
                <w:rFonts w:asciiTheme="minorHAnsi" w:hAnsiTheme="minorHAnsi" w:cstheme="minorBidi"/>
                <w:noProof/>
                <w:sz w:val="22"/>
              </w:rPr>
              <w:tab/>
            </w:r>
            <w:r w:rsidRPr="00C920BF" w:rsidR="00A35AC0">
              <w:rPr>
                <w:rStyle w:val="Hyperlink"/>
                <w:noProof/>
              </w:rPr>
              <w:t>Preliminary Issues</w:t>
            </w:r>
            <w:r w:rsidR="00A35AC0">
              <w:rPr>
                <w:noProof/>
                <w:webHidden/>
              </w:rPr>
              <w:tab/>
            </w:r>
            <w:r w:rsidR="00A35AC0">
              <w:rPr>
                <w:noProof/>
                <w:webHidden/>
              </w:rPr>
              <w:fldChar w:fldCharType="begin"/>
            </w:r>
            <w:r w:rsidR="00A35AC0">
              <w:rPr>
                <w:noProof/>
                <w:webHidden/>
              </w:rPr>
              <w:instrText xml:space="preserve"> PAGEREF _Toc88569640 \h </w:instrText>
            </w:r>
            <w:r w:rsidR="00A35AC0">
              <w:rPr>
                <w:noProof/>
                <w:webHidden/>
              </w:rPr>
            </w:r>
            <w:r w:rsidR="00A35AC0">
              <w:rPr>
                <w:noProof/>
                <w:webHidden/>
              </w:rPr>
              <w:fldChar w:fldCharType="separate"/>
            </w:r>
            <w:r w:rsidR="00A35AC0">
              <w:rPr>
                <w:noProof/>
                <w:webHidden/>
              </w:rPr>
              <w:t>14</w:t>
            </w:r>
            <w:r w:rsidR="00A35AC0">
              <w:rPr>
                <w:noProof/>
                <w:webHidden/>
              </w:rPr>
              <w:fldChar w:fldCharType="end"/>
            </w:r>
          </w:hyperlink>
        </w:p>
        <w:p w:rsidR="00A35AC0" w:rsidRDefault="002C08FE" w14:paraId="75A194D2" w14:textId="234D671B">
          <w:pPr>
            <w:pStyle w:val="TOC2"/>
            <w:tabs>
              <w:tab w:val="right" w:leader="dot" w:pos="9350"/>
            </w:tabs>
            <w:rPr>
              <w:rFonts w:asciiTheme="minorHAnsi" w:hAnsiTheme="minorHAnsi" w:cstheme="minorBidi"/>
              <w:noProof/>
              <w:sz w:val="22"/>
            </w:rPr>
          </w:pPr>
          <w:hyperlink w:history="1" w:anchor="_Toc88569641">
            <w:r w:rsidRPr="00C920BF" w:rsidR="00A35AC0">
              <w:rPr>
                <w:rStyle w:val="Hyperlink"/>
                <w:noProof/>
              </w:rPr>
              <w:t>3.2.</w:t>
            </w:r>
            <w:r w:rsidR="00A35AC0">
              <w:rPr>
                <w:rFonts w:asciiTheme="minorHAnsi" w:hAnsiTheme="minorHAnsi" w:cstheme="minorBidi"/>
                <w:noProof/>
                <w:sz w:val="22"/>
              </w:rPr>
              <w:tab/>
            </w:r>
            <w:r w:rsidRPr="00C920BF" w:rsidR="00A35AC0">
              <w:rPr>
                <w:rStyle w:val="Hyperlink"/>
                <w:noProof/>
              </w:rPr>
              <w:t>Request for Comments</w:t>
            </w:r>
            <w:r w:rsidR="00A35AC0">
              <w:rPr>
                <w:noProof/>
                <w:webHidden/>
              </w:rPr>
              <w:tab/>
            </w:r>
            <w:r w:rsidR="00A35AC0">
              <w:rPr>
                <w:noProof/>
                <w:webHidden/>
              </w:rPr>
              <w:fldChar w:fldCharType="begin"/>
            </w:r>
            <w:r w:rsidR="00A35AC0">
              <w:rPr>
                <w:noProof/>
                <w:webHidden/>
              </w:rPr>
              <w:instrText xml:space="preserve"> PAGEREF _Toc88569641 \h </w:instrText>
            </w:r>
            <w:r w:rsidR="00A35AC0">
              <w:rPr>
                <w:noProof/>
                <w:webHidden/>
              </w:rPr>
            </w:r>
            <w:r w:rsidR="00A35AC0">
              <w:rPr>
                <w:noProof/>
                <w:webHidden/>
              </w:rPr>
              <w:fldChar w:fldCharType="separate"/>
            </w:r>
            <w:r w:rsidR="00A35AC0">
              <w:rPr>
                <w:noProof/>
                <w:webHidden/>
              </w:rPr>
              <w:t>14</w:t>
            </w:r>
            <w:r w:rsidR="00A35AC0">
              <w:rPr>
                <w:noProof/>
                <w:webHidden/>
              </w:rPr>
              <w:fldChar w:fldCharType="end"/>
            </w:r>
          </w:hyperlink>
        </w:p>
        <w:p w:rsidR="00A35AC0" w:rsidRDefault="002C08FE" w14:paraId="52D73A18" w14:textId="499CB6D9">
          <w:pPr>
            <w:pStyle w:val="TOC2"/>
            <w:tabs>
              <w:tab w:val="right" w:leader="dot" w:pos="9350"/>
            </w:tabs>
            <w:rPr>
              <w:rFonts w:asciiTheme="minorHAnsi" w:hAnsiTheme="minorHAnsi" w:cstheme="minorBidi"/>
              <w:noProof/>
              <w:sz w:val="22"/>
            </w:rPr>
          </w:pPr>
          <w:hyperlink w:history="1" w:anchor="_Toc88569642">
            <w:r w:rsidRPr="00C920BF" w:rsidR="00A35AC0">
              <w:rPr>
                <w:rStyle w:val="Hyperlink"/>
                <w:noProof/>
              </w:rPr>
              <w:t>3.3.</w:t>
            </w:r>
            <w:r w:rsidR="00A35AC0">
              <w:rPr>
                <w:rFonts w:asciiTheme="minorHAnsi" w:hAnsiTheme="minorHAnsi" w:cstheme="minorBidi"/>
                <w:noProof/>
                <w:sz w:val="22"/>
              </w:rPr>
              <w:tab/>
            </w:r>
            <w:r w:rsidRPr="00C920BF" w:rsidR="00A35AC0">
              <w:rPr>
                <w:rStyle w:val="Hyperlink"/>
                <w:noProof/>
              </w:rPr>
              <w:t>Preliminary Schedule</w:t>
            </w:r>
            <w:r w:rsidR="00A35AC0">
              <w:rPr>
                <w:noProof/>
                <w:webHidden/>
              </w:rPr>
              <w:tab/>
            </w:r>
            <w:r w:rsidR="00A35AC0">
              <w:rPr>
                <w:noProof/>
                <w:webHidden/>
              </w:rPr>
              <w:fldChar w:fldCharType="begin"/>
            </w:r>
            <w:r w:rsidR="00A35AC0">
              <w:rPr>
                <w:noProof/>
                <w:webHidden/>
              </w:rPr>
              <w:instrText xml:space="preserve"> PAGEREF _Toc88569642 \h </w:instrText>
            </w:r>
            <w:r w:rsidR="00A35AC0">
              <w:rPr>
                <w:noProof/>
                <w:webHidden/>
              </w:rPr>
            </w:r>
            <w:r w:rsidR="00A35AC0">
              <w:rPr>
                <w:noProof/>
                <w:webHidden/>
              </w:rPr>
              <w:fldChar w:fldCharType="separate"/>
            </w:r>
            <w:r w:rsidR="00A35AC0">
              <w:rPr>
                <w:noProof/>
                <w:webHidden/>
              </w:rPr>
              <w:t>19</w:t>
            </w:r>
            <w:r w:rsidR="00A35AC0">
              <w:rPr>
                <w:noProof/>
                <w:webHidden/>
              </w:rPr>
              <w:fldChar w:fldCharType="end"/>
            </w:r>
          </w:hyperlink>
        </w:p>
        <w:p w:rsidR="00A35AC0" w:rsidRDefault="002C08FE" w14:paraId="25DC83A9" w14:textId="32E3353F">
          <w:pPr>
            <w:pStyle w:val="TOC1"/>
            <w:tabs>
              <w:tab w:val="right" w:leader="dot" w:pos="9350"/>
            </w:tabs>
            <w:rPr>
              <w:rFonts w:asciiTheme="minorHAnsi" w:hAnsiTheme="minorHAnsi" w:cstheme="minorBidi"/>
              <w:noProof/>
              <w:sz w:val="22"/>
            </w:rPr>
          </w:pPr>
          <w:hyperlink w:history="1" w:anchor="_Toc88569643">
            <w:r w:rsidRPr="00C920BF" w:rsidR="00A35AC0">
              <w:rPr>
                <w:rStyle w:val="Hyperlink"/>
                <w:noProof/>
              </w:rPr>
              <w:t>4.</w:t>
            </w:r>
            <w:r w:rsidR="00A35AC0">
              <w:rPr>
                <w:rFonts w:asciiTheme="minorHAnsi" w:hAnsiTheme="minorHAnsi" w:cstheme="minorBidi"/>
                <w:noProof/>
                <w:sz w:val="22"/>
              </w:rPr>
              <w:tab/>
            </w:r>
            <w:r w:rsidRPr="00C920BF" w:rsidR="00A35AC0">
              <w:rPr>
                <w:rStyle w:val="Hyperlink"/>
                <w:noProof/>
              </w:rPr>
              <w:t xml:space="preserve">Category of Proceeding; </w:t>
            </w:r>
            <w:r w:rsidRPr="00C920BF" w:rsidR="00A35AC0">
              <w:rPr>
                <w:rStyle w:val="Hyperlink"/>
                <w:i/>
                <w:iCs/>
                <w:noProof/>
              </w:rPr>
              <w:t>Ex Parte</w:t>
            </w:r>
            <w:r w:rsidRPr="00C920BF" w:rsidR="00A35AC0">
              <w:rPr>
                <w:rStyle w:val="Hyperlink"/>
                <w:noProof/>
              </w:rPr>
              <w:t xml:space="preserve"> Communications; and Need for Hearing</w:t>
            </w:r>
            <w:r w:rsidR="00A35AC0">
              <w:rPr>
                <w:noProof/>
                <w:webHidden/>
              </w:rPr>
              <w:tab/>
            </w:r>
            <w:r w:rsidR="00A35AC0">
              <w:rPr>
                <w:noProof/>
                <w:webHidden/>
              </w:rPr>
              <w:fldChar w:fldCharType="begin"/>
            </w:r>
            <w:r w:rsidR="00A35AC0">
              <w:rPr>
                <w:noProof/>
                <w:webHidden/>
              </w:rPr>
              <w:instrText xml:space="preserve"> PAGEREF _Toc88569643 \h </w:instrText>
            </w:r>
            <w:r w:rsidR="00A35AC0">
              <w:rPr>
                <w:noProof/>
                <w:webHidden/>
              </w:rPr>
            </w:r>
            <w:r w:rsidR="00A35AC0">
              <w:rPr>
                <w:noProof/>
                <w:webHidden/>
              </w:rPr>
              <w:fldChar w:fldCharType="separate"/>
            </w:r>
            <w:r w:rsidR="00A35AC0">
              <w:rPr>
                <w:noProof/>
                <w:webHidden/>
              </w:rPr>
              <w:t>20</w:t>
            </w:r>
            <w:r w:rsidR="00A35AC0">
              <w:rPr>
                <w:noProof/>
                <w:webHidden/>
              </w:rPr>
              <w:fldChar w:fldCharType="end"/>
            </w:r>
          </w:hyperlink>
        </w:p>
        <w:p w:rsidR="00A35AC0" w:rsidRDefault="002C08FE" w14:paraId="17B3B52D" w14:textId="5FAEDDA1">
          <w:pPr>
            <w:pStyle w:val="TOC1"/>
            <w:tabs>
              <w:tab w:val="right" w:leader="dot" w:pos="9350"/>
            </w:tabs>
            <w:rPr>
              <w:rFonts w:asciiTheme="minorHAnsi" w:hAnsiTheme="minorHAnsi" w:cstheme="minorBidi"/>
              <w:noProof/>
              <w:sz w:val="22"/>
            </w:rPr>
          </w:pPr>
          <w:hyperlink w:history="1" w:anchor="_Toc88569644">
            <w:r w:rsidRPr="00C920BF" w:rsidR="00A35AC0">
              <w:rPr>
                <w:rStyle w:val="Hyperlink"/>
                <w:noProof/>
              </w:rPr>
              <w:t>5.</w:t>
            </w:r>
            <w:r w:rsidR="00A35AC0">
              <w:rPr>
                <w:rFonts w:asciiTheme="minorHAnsi" w:hAnsiTheme="minorHAnsi" w:cstheme="minorBidi"/>
                <w:noProof/>
                <w:sz w:val="22"/>
              </w:rPr>
              <w:tab/>
            </w:r>
            <w:r w:rsidRPr="00C920BF" w:rsidR="00A35AC0">
              <w:rPr>
                <w:rStyle w:val="Hyperlink"/>
                <w:noProof/>
              </w:rPr>
              <w:t>Respondents</w:t>
            </w:r>
            <w:r w:rsidR="00A35AC0">
              <w:rPr>
                <w:noProof/>
                <w:webHidden/>
              </w:rPr>
              <w:tab/>
            </w:r>
            <w:r w:rsidR="00A35AC0">
              <w:rPr>
                <w:noProof/>
                <w:webHidden/>
              </w:rPr>
              <w:fldChar w:fldCharType="begin"/>
            </w:r>
            <w:r w:rsidR="00A35AC0">
              <w:rPr>
                <w:noProof/>
                <w:webHidden/>
              </w:rPr>
              <w:instrText xml:space="preserve"> PAGEREF _Toc88569644 \h </w:instrText>
            </w:r>
            <w:r w:rsidR="00A35AC0">
              <w:rPr>
                <w:noProof/>
                <w:webHidden/>
              </w:rPr>
            </w:r>
            <w:r w:rsidR="00A35AC0">
              <w:rPr>
                <w:noProof/>
                <w:webHidden/>
              </w:rPr>
              <w:fldChar w:fldCharType="separate"/>
            </w:r>
            <w:r w:rsidR="00A35AC0">
              <w:rPr>
                <w:noProof/>
                <w:webHidden/>
              </w:rPr>
              <w:t>21</w:t>
            </w:r>
            <w:r w:rsidR="00A35AC0">
              <w:rPr>
                <w:noProof/>
                <w:webHidden/>
              </w:rPr>
              <w:fldChar w:fldCharType="end"/>
            </w:r>
          </w:hyperlink>
        </w:p>
        <w:p w:rsidR="00A35AC0" w:rsidRDefault="002C08FE" w14:paraId="643A3D76" w14:textId="0805FE16">
          <w:pPr>
            <w:pStyle w:val="TOC1"/>
            <w:tabs>
              <w:tab w:val="right" w:leader="dot" w:pos="9350"/>
            </w:tabs>
            <w:rPr>
              <w:rFonts w:asciiTheme="minorHAnsi" w:hAnsiTheme="minorHAnsi" w:cstheme="minorBidi"/>
              <w:noProof/>
              <w:sz w:val="22"/>
            </w:rPr>
          </w:pPr>
          <w:hyperlink w:history="1" w:anchor="_Toc88569645">
            <w:r w:rsidRPr="00C920BF" w:rsidR="00A35AC0">
              <w:rPr>
                <w:rStyle w:val="Hyperlink"/>
                <w:noProof/>
              </w:rPr>
              <w:t>6.</w:t>
            </w:r>
            <w:r w:rsidR="00A35AC0">
              <w:rPr>
                <w:rFonts w:asciiTheme="minorHAnsi" w:hAnsiTheme="minorHAnsi" w:cstheme="minorBidi"/>
                <w:noProof/>
                <w:sz w:val="22"/>
              </w:rPr>
              <w:tab/>
            </w:r>
            <w:r w:rsidRPr="00C920BF" w:rsidR="00A35AC0">
              <w:rPr>
                <w:rStyle w:val="Hyperlink"/>
                <w:noProof/>
              </w:rPr>
              <w:t>Service of OIR</w:t>
            </w:r>
            <w:r w:rsidR="00A35AC0">
              <w:rPr>
                <w:noProof/>
                <w:webHidden/>
              </w:rPr>
              <w:tab/>
            </w:r>
            <w:r w:rsidR="00A35AC0">
              <w:rPr>
                <w:noProof/>
                <w:webHidden/>
              </w:rPr>
              <w:fldChar w:fldCharType="begin"/>
            </w:r>
            <w:r w:rsidR="00A35AC0">
              <w:rPr>
                <w:noProof/>
                <w:webHidden/>
              </w:rPr>
              <w:instrText xml:space="preserve"> PAGEREF _Toc88569645 \h </w:instrText>
            </w:r>
            <w:r w:rsidR="00A35AC0">
              <w:rPr>
                <w:noProof/>
                <w:webHidden/>
              </w:rPr>
            </w:r>
            <w:r w:rsidR="00A35AC0">
              <w:rPr>
                <w:noProof/>
                <w:webHidden/>
              </w:rPr>
              <w:fldChar w:fldCharType="separate"/>
            </w:r>
            <w:r w:rsidR="00A35AC0">
              <w:rPr>
                <w:noProof/>
                <w:webHidden/>
              </w:rPr>
              <w:t>21</w:t>
            </w:r>
            <w:r w:rsidR="00A35AC0">
              <w:rPr>
                <w:noProof/>
                <w:webHidden/>
              </w:rPr>
              <w:fldChar w:fldCharType="end"/>
            </w:r>
          </w:hyperlink>
        </w:p>
        <w:p w:rsidR="00A35AC0" w:rsidRDefault="002C08FE" w14:paraId="2954C7F6" w14:textId="0663A3E9">
          <w:pPr>
            <w:pStyle w:val="TOC1"/>
            <w:tabs>
              <w:tab w:val="right" w:leader="dot" w:pos="9350"/>
            </w:tabs>
            <w:rPr>
              <w:rFonts w:asciiTheme="minorHAnsi" w:hAnsiTheme="minorHAnsi" w:cstheme="minorBidi"/>
              <w:noProof/>
              <w:sz w:val="22"/>
            </w:rPr>
          </w:pPr>
          <w:hyperlink w:history="1" w:anchor="_Toc88569646">
            <w:r w:rsidRPr="00C920BF" w:rsidR="00A35AC0">
              <w:rPr>
                <w:rStyle w:val="Hyperlink"/>
                <w:noProof/>
              </w:rPr>
              <w:t>7.</w:t>
            </w:r>
            <w:r w:rsidR="00A35AC0">
              <w:rPr>
                <w:rFonts w:asciiTheme="minorHAnsi" w:hAnsiTheme="minorHAnsi" w:cstheme="minorBidi"/>
                <w:noProof/>
                <w:sz w:val="22"/>
              </w:rPr>
              <w:tab/>
            </w:r>
            <w:r w:rsidRPr="00C920BF" w:rsidR="00A35AC0">
              <w:rPr>
                <w:rStyle w:val="Hyperlink"/>
                <w:noProof/>
              </w:rPr>
              <w:t>Filing and Service of Comments  and Other Documents</w:t>
            </w:r>
            <w:r w:rsidR="00A35AC0">
              <w:rPr>
                <w:noProof/>
                <w:webHidden/>
              </w:rPr>
              <w:tab/>
            </w:r>
            <w:r w:rsidR="00A35AC0">
              <w:rPr>
                <w:noProof/>
                <w:webHidden/>
              </w:rPr>
              <w:fldChar w:fldCharType="begin"/>
            </w:r>
            <w:r w:rsidR="00A35AC0">
              <w:rPr>
                <w:noProof/>
                <w:webHidden/>
              </w:rPr>
              <w:instrText xml:space="preserve"> PAGEREF _Toc88569646 \h </w:instrText>
            </w:r>
            <w:r w:rsidR="00A35AC0">
              <w:rPr>
                <w:noProof/>
                <w:webHidden/>
              </w:rPr>
            </w:r>
            <w:r w:rsidR="00A35AC0">
              <w:rPr>
                <w:noProof/>
                <w:webHidden/>
              </w:rPr>
              <w:fldChar w:fldCharType="separate"/>
            </w:r>
            <w:r w:rsidR="00A35AC0">
              <w:rPr>
                <w:noProof/>
                <w:webHidden/>
              </w:rPr>
              <w:t>21</w:t>
            </w:r>
            <w:r w:rsidR="00A35AC0">
              <w:rPr>
                <w:noProof/>
                <w:webHidden/>
              </w:rPr>
              <w:fldChar w:fldCharType="end"/>
            </w:r>
          </w:hyperlink>
        </w:p>
        <w:p w:rsidR="00A35AC0" w:rsidRDefault="002C08FE" w14:paraId="3487F804" w14:textId="56AA0217">
          <w:pPr>
            <w:pStyle w:val="TOC1"/>
            <w:tabs>
              <w:tab w:val="right" w:leader="dot" w:pos="9350"/>
            </w:tabs>
            <w:rPr>
              <w:rFonts w:asciiTheme="minorHAnsi" w:hAnsiTheme="minorHAnsi" w:cstheme="minorBidi"/>
              <w:noProof/>
              <w:sz w:val="22"/>
            </w:rPr>
          </w:pPr>
          <w:hyperlink w:history="1" w:anchor="_Toc88569647">
            <w:r w:rsidRPr="00C920BF" w:rsidR="00A35AC0">
              <w:rPr>
                <w:rStyle w:val="Hyperlink"/>
                <w:noProof/>
              </w:rPr>
              <w:t>8.</w:t>
            </w:r>
            <w:r w:rsidR="00A35AC0">
              <w:rPr>
                <w:rFonts w:asciiTheme="minorHAnsi" w:hAnsiTheme="minorHAnsi" w:cstheme="minorBidi"/>
                <w:noProof/>
                <w:sz w:val="22"/>
              </w:rPr>
              <w:tab/>
            </w:r>
            <w:r w:rsidRPr="00C920BF" w:rsidR="00A35AC0">
              <w:rPr>
                <w:rStyle w:val="Hyperlink"/>
                <w:noProof/>
              </w:rPr>
              <w:t>Addition to the Official Service List</w:t>
            </w:r>
            <w:r w:rsidR="00A35AC0">
              <w:rPr>
                <w:noProof/>
                <w:webHidden/>
              </w:rPr>
              <w:tab/>
            </w:r>
            <w:r w:rsidR="00A35AC0">
              <w:rPr>
                <w:noProof/>
                <w:webHidden/>
              </w:rPr>
              <w:fldChar w:fldCharType="begin"/>
            </w:r>
            <w:r w:rsidR="00A35AC0">
              <w:rPr>
                <w:noProof/>
                <w:webHidden/>
              </w:rPr>
              <w:instrText xml:space="preserve"> PAGEREF _Toc88569647 \h </w:instrText>
            </w:r>
            <w:r w:rsidR="00A35AC0">
              <w:rPr>
                <w:noProof/>
                <w:webHidden/>
              </w:rPr>
            </w:r>
            <w:r w:rsidR="00A35AC0">
              <w:rPr>
                <w:noProof/>
                <w:webHidden/>
              </w:rPr>
              <w:fldChar w:fldCharType="separate"/>
            </w:r>
            <w:r w:rsidR="00A35AC0">
              <w:rPr>
                <w:noProof/>
                <w:webHidden/>
              </w:rPr>
              <w:t>22</w:t>
            </w:r>
            <w:r w:rsidR="00A35AC0">
              <w:rPr>
                <w:noProof/>
                <w:webHidden/>
              </w:rPr>
              <w:fldChar w:fldCharType="end"/>
            </w:r>
          </w:hyperlink>
        </w:p>
        <w:p w:rsidR="00A35AC0" w:rsidRDefault="002C08FE" w14:paraId="5F428E83" w14:textId="65D17B58">
          <w:pPr>
            <w:pStyle w:val="TOC1"/>
            <w:tabs>
              <w:tab w:val="right" w:leader="dot" w:pos="9350"/>
            </w:tabs>
            <w:rPr>
              <w:rFonts w:asciiTheme="minorHAnsi" w:hAnsiTheme="minorHAnsi" w:cstheme="minorBidi"/>
              <w:noProof/>
              <w:sz w:val="22"/>
            </w:rPr>
          </w:pPr>
          <w:hyperlink w:history="1" w:anchor="_Toc88569648">
            <w:r w:rsidRPr="00C920BF" w:rsidR="00A35AC0">
              <w:rPr>
                <w:rStyle w:val="Hyperlink"/>
                <w:noProof/>
              </w:rPr>
              <w:t>9.</w:t>
            </w:r>
            <w:r w:rsidR="00A35AC0">
              <w:rPr>
                <w:rFonts w:asciiTheme="minorHAnsi" w:hAnsiTheme="minorHAnsi" w:cstheme="minorBidi"/>
                <w:noProof/>
                <w:sz w:val="22"/>
              </w:rPr>
              <w:tab/>
            </w:r>
            <w:r w:rsidRPr="00C920BF" w:rsidR="00A35AC0">
              <w:rPr>
                <w:rStyle w:val="Hyperlink"/>
                <w:noProof/>
              </w:rPr>
              <w:t>Subscription Service</w:t>
            </w:r>
            <w:r w:rsidR="00A35AC0">
              <w:rPr>
                <w:noProof/>
                <w:webHidden/>
              </w:rPr>
              <w:tab/>
            </w:r>
            <w:r w:rsidR="00A35AC0">
              <w:rPr>
                <w:noProof/>
                <w:webHidden/>
              </w:rPr>
              <w:fldChar w:fldCharType="begin"/>
            </w:r>
            <w:r w:rsidR="00A35AC0">
              <w:rPr>
                <w:noProof/>
                <w:webHidden/>
              </w:rPr>
              <w:instrText xml:space="preserve"> PAGEREF _Toc88569648 \h </w:instrText>
            </w:r>
            <w:r w:rsidR="00A35AC0">
              <w:rPr>
                <w:noProof/>
                <w:webHidden/>
              </w:rPr>
            </w:r>
            <w:r w:rsidR="00A35AC0">
              <w:rPr>
                <w:noProof/>
                <w:webHidden/>
              </w:rPr>
              <w:fldChar w:fldCharType="separate"/>
            </w:r>
            <w:r w:rsidR="00A35AC0">
              <w:rPr>
                <w:noProof/>
                <w:webHidden/>
              </w:rPr>
              <w:t>22</w:t>
            </w:r>
            <w:r w:rsidR="00A35AC0">
              <w:rPr>
                <w:noProof/>
                <w:webHidden/>
              </w:rPr>
              <w:fldChar w:fldCharType="end"/>
            </w:r>
          </w:hyperlink>
        </w:p>
        <w:p w:rsidR="00A35AC0" w:rsidRDefault="002C08FE" w14:paraId="1762285C" w14:textId="30E6FC0C">
          <w:pPr>
            <w:pStyle w:val="TOC1"/>
            <w:tabs>
              <w:tab w:val="right" w:leader="dot" w:pos="9350"/>
            </w:tabs>
            <w:rPr>
              <w:rFonts w:asciiTheme="minorHAnsi" w:hAnsiTheme="minorHAnsi" w:cstheme="minorBidi"/>
              <w:noProof/>
              <w:sz w:val="22"/>
            </w:rPr>
          </w:pPr>
          <w:hyperlink w:history="1" w:anchor="_Toc88569649">
            <w:r w:rsidRPr="00C920BF" w:rsidR="00A35AC0">
              <w:rPr>
                <w:rStyle w:val="Hyperlink"/>
                <w:noProof/>
              </w:rPr>
              <w:t>10.</w:t>
            </w:r>
            <w:r w:rsidR="00A35AC0">
              <w:rPr>
                <w:rFonts w:asciiTheme="minorHAnsi" w:hAnsiTheme="minorHAnsi" w:cstheme="minorBidi"/>
                <w:noProof/>
                <w:sz w:val="22"/>
              </w:rPr>
              <w:tab/>
            </w:r>
            <w:r w:rsidRPr="00C920BF" w:rsidR="00A35AC0">
              <w:rPr>
                <w:rStyle w:val="Hyperlink"/>
                <w:noProof/>
              </w:rPr>
              <w:t>Intervenor Compensation</w:t>
            </w:r>
            <w:r w:rsidR="00A35AC0">
              <w:rPr>
                <w:noProof/>
                <w:webHidden/>
              </w:rPr>
              <w:tab/>
            </w:r>
            <w:r w:rsidR="00A35AC0">
              <w:rPr>
                <w:noProof/>
                <w:webHidden/>
              </w:rPr>
              <w:fldChar w:fldCharType="begin"/>
            </w:r>
            <w:r w:rsidR="00A35AC0">
              <w:rPr>
                <w:noProof/>
                <w:webHidden/>
              </w:rPr>
              <w:instrText xml:space="preserve"> PAGEREF _Toc88569649 \h </w:instrText>
            </w:r>
            <w:r w:rsidR="00A35AC0">
              <w:rPr>
                <w:noProof/>
                <w:webHidden/>
              </w:rPr>
            </w:r>
            <w:r w:rsidR="00A35AC0">
              <w:rPr>
                <w:noProof/>
                <w:webHidden/>
              </w:rPr>
              <w:fldChar w:fldCharType="separate"/>
            </w:r>
            <w:r w:rsidR="00A35AC0">
              <w:rPr>
                <w:noProof/>
                <w:webHidden/>
              </w:rPr>
              <w:t>23</w:t>
            </w:r>
            <w:r w:rsidR="00A35AC0">
              <w:rPr>
                <w:noProof/>
                <w:webHidden/>
              </w:rPr>
              <w:fldChar w:fldCharType="end"/>
            </w:r>
          </w:hyperlink>
        </w:p>
        <w:p w:rsidR="00A35AC0" w:rsidRDefault="002C08FE" w14:paraId="2BB31310" w14:textId="14D1A5F7">
          <w:pPr>
            <w:pStyle w:val="TOC1"/>
            <w:tabs>
              <w:tab w:val="right" w:leader="dot" w:pos="9350"/>
            </w:tabs>
            <w:rPr>
              <w:rFonts w:asciiTheme="minorHAnsi" w:hAnsiTheme="minorHAnsi" w:cstheme="minorBidi"/>
              <w:noProof/>
              <w:sz w:val="22"/>
            </w:rPr>
          </w:pPr>
          <w:hyperlink w:history="1" w:anchor="_Toc88569650">
            <w:r w:rsidRPr="00C920BF" w:rsidR="00A35AC0">
              <w:rPr>
                <w:rStyle w:val="Hyperlink"/>
                <w:noProof/>
              </w:rPr>
              <w:t>11.</w:t>
            </w:r>
            <w:r w:rsidR="00A35AC0">
              <w:rPr>
                <w:rFonts w:asciiTheme="minorHAnsi" w:hAnsiTheme="minorHAnsi" w:cstheme="minorBidi"/>
                <w:noProof/>
                <w:sz w:val="22"/>
              </w:rPr>
              <w:tab/>
            </w:r>
            <w:r w:rsidRPr="00C920BF" w:rsidR="00A35AC0">
              <w:rPr>
                <w:rStyle w:val="Hyperlink"/>
                <w:noProof/>
              </w:rPr>
              <w:t>Public Advisor</w:t>
            </w:r>
            <w:r w:rsidR="00A35AC0">
              <w:rPr>
                <w:noProof/>
                <w:webHidden/>
              </w:rPr>
              <w:tab/>
            </w:r>
            <w:r w:rsidR="00A35AC0">
              <w:rPr>
                <w:noProof/>
                <w:webHidden/>
              </w:rPr>
              <w:fldChar w:fldCharType="begin"/>
            </w:r>
            <w:r w:rsidR="00A35AC0">
              <w:rPr>
                <w:noProof/>
                <w:webHidden/>
              </w:rPr>
              <w:instrText xml:space="preserve"> PAGEREF _Toc88569650 \h </w:instrText>
            </w:r>
            <w:r w:rsidR="00A35AC0">
              <w:rPr>
                <w:noProof/>
                <w:webHidden/>
              </w:rPr>
            </w:r>
            <w:r w:rsidR="00A35AC0">
              <w:rPr>
                <w:noProof/>
                <w:webHidden/>
              </w:rPr>
              <w:fldChar w:fldCharType="separate"/>
            </w:r>
            <w:r w:rsidR="00A35AC0">
              <w:rPr>
                <w:noProof/>
                <w:webHidden/>
              </w:rPr>
              <w:t>23</w:t>
            </w:r>
            <w:r w:rsidR="00A35AC0">
              <w:rPr>
                <w:noProof/>
                <w:webHidden/>
              </w:rPr>
              <w:fldChar w:fldCharType="end"/>
            </w:r>
          </w:hyperlink>
        </w:p>
        <w:p w:rsidR="00A35AC0" w:rsidRDefault="002C08FE" w14:paraId="0FEF04CA" w14:textId="56EBF646">
          <w:pPr>
            <w:pStyle w:val="TOC1"/>
            <w:tabs>
              <w:tab w:val="right" w:leader="dot" w:pos="9350"/>
            </w:tabs>
            <w:rPr>
              <w:rFonts w:asciiTheme="minorHAnsi" w:hAnsiTheme="minorHAnsi" w:cstheme="minorBidi"/>
              <w:noProof/>
              <w:sz w:val="22"/>
            </w:rPr>
          </w:pPr>
          <w:hyperlink w:history="1" w:anchor="_Toc88569651">
            <w:r w:rsidRPr="00C920BF" w:rsidR="00A35AC0">
              <w:rPr>
                <w:rStyle w:val="Hyperlink"/>
                <w:noProof/>
              </w:rPr>
              <w:t>12.</w:t>
            </w:r>
            <w:r w:rsidR="00A35AC0">
              <w:rPr>
                <w:rFonts w:asciiTheme="minorHAnsi" w:hAnsiTheme="minorHAnsi" w:cstheme="minorBidi"/>
                <w:noProof/>
                <w:sz w:val="22"/>
              </w:rPr>
              <w:tab/>
            </w:r>
            <w:r w:rsidRPr="00C920BF" w:rsidR="00A35AC0">
              <w:rPr>
                <w:rStyle w:val="Hyperlink"/>
                <w:noProof/>
              </w:rPr>
              <w:t>Public Outreach</w:t>
            </w:r>
            <w:r w:rsidR="00A35AC0">
              <w:rPr>
                <w:noProof/>
                <w:webHidden/>
              </w:rPr>
              <w:tab/>
            </w:r>
            <w:r w:rsidR="00A35AC0">
              <w:rPr>
                <w:noProof/>
                <w:webHidden/>
              </w:rPr>
              <w:fldChar w:fldCharType="begin"/>
            </w:r>
            <w:r w:rsidR="00A35AC0">
              <w:rPr>
                <w:noProof/>
                <w:webHidden/>
              </w:rPr>
              <w:instrText xml:space="preserve"> PAGEREF _Toc88569651 \h </w:instrText>
            </w:r>
            <w:r w:rsidR="00A35AC0">
              <w:rPr>
                <w:noProof/>
                <w:webHidden/>
              </w:rPr>
            </w:r>
            <w:r w:rsidR="00A35AC0">
              <w:rPr>
                <w:noProof/>
                <w:webHidden/>
              </w:rPr>
              <w:fldChar w:fldCharType="separate"/>
            </w:r>
            <w:r w:rsidR="00A35AC0">
              <w:rPr>
                <w:noProof/>
                <w:webHidden/>
              </w:rPr>
              <w:t>23</w:t>
            </w:r>
            <w:r w:rsidR="00A35AC0">
              <w:rPr>
                <w:noProof/>
                <w:webHidden/>
              </w:rPr>
              <w:fldChar w:fldCharType="end"/>
            </w:r>
          </w:hyperlink>
        </w:p>
        <w:p w:rsidR="00A35AC0" w:rsidRDefault="002C08FE" w14:paraId="5F9760CB" w14:textId="77A9CB36">
          <w:pPr>
            <w:pStyle w:val="TOC1"/>
            <w:tabs>
              <w:tab w:val="right" w:leader="dot" w:pos="9350"/>
            </w:tabs>
            <w:rPr>
              <w:rFonts w:asciiTheme="minorHAnsi" w:hAnsiTheme="minorHAnsi" w:cstheme="minorBidi"/>
              <w:noProof/>
              <w:sz w:val="22"/>
            </w:rPr>
          </w:pPr>
          <w:hyperlink w:history="1" w:anchor="_Toc88569652">
            <w:r w:rsidRPr="00C920BF" w:rsidR="00A35AC0">
              <w:rPr>
                <w:rStyle w:val="Hyperlink"/>
                <w:noProof/>
              </w:rPr>
              <w:t>ORDER</w:t>
            </w:r>
            <w:r w:rsidR="00A35AC0">
              <w:rPr>
                <w:noProof/>
                <w:webHidden/>
              </w:rPr>
              <w:tab/>
            </w:r>
            <w:r w:rsidR="00A35AC0">
              <w:rPr>
                <w:noProof/>
                <w:webHidden/>
              </w:rPr>
              <w:fldChar w:fldCharType="begin"/>
            </w:r>
            <w:r w:rsidR="00A35AC0">
              <w:rPr>
                <w:noProof/>
                <w:webHidden/>
              </w:rPr>
              <w:instrText xml:space="preserve"> PAGEREF _Toc88569652 \h </w:instrText>
            </w:r>
            <w:r w:rsidR="00A35AC0">
              <w:rPr>
                <w:noProof/>
                <w:webHidden/>
              </w:rPr>
            </w:r>
            <w:r w:rsidR="00A35AC0">
              <w:rPr>
                <w:noProof/>
                <w:webHidden/>
              </w:rPr>
              <w:fldChar w:fldCharType="separate"/>
            </w:r>
            <w:r w:rsidR="00A35AC0">
              <w:rPr>
                <w:noProof/>
                <w:webHidden/>
              </w:rPr>
              <w:t>23</w:t>
            </w:r>
            <w:r w:rsidR="00A35AC0">
              <w:rPr>
                <w:noProof/>
                <w:webHidden/>
              </w:rPr>
              <w:fldChar w:fldCharType="end"/>
            </w:r>
          </w:hyperlink>
        </w:p>
        <w:p w:rsidR="001D4313" w:rsidP="001D4313" w:rsidRDefault="001D4313" w14:paraId="66F44CBF" w14:textId="4D693A6A">
          <w:pPr>
            <w:pStyle w:val="TOC1"/>
            <w:tabs>
              <w:tab w:val="right" w:leader="dot" w:pos="9350"/>
            </w:tabs>
          </w:pPr>
          <w:r>
            <w:rPr>
              <w:rFonts w:asciiTheme="minorHAnsi" w:hAnsiTheme="minorHAnsi"/>
              <w:sz w:val="22"/>
            </w:rPr>
            <w:fldChar w:fldCharType="end"/>
          </w:r>
        </w:p>
      </w:sdtContent>
    </w:sdt>
    <w:p w:rsidR="001D4313" w:rsidP="001D4313" w:rsidRDefault="001D4313" w14:paraId="7530DC3C" w14:textId="77777777">
      <w:pPr>
        <w:spacing w:line="240" w:lineRule="auto"/>
        <w:ind w:firstLine="0"/>
        <w:rPr>
          <w:rFonts w:cs="Arial"/>
          <w:i/>
          <w:szCs w:val="26"/>
        </w:rPr>
      </w:pPr>
    </w:p>
    <w:p w:rsidRPr="00D44DB6" w:rsidR="001D4313" w:rsidP="001D4313" w:rsidRDefault="001D4313" w14:paraId="0541AC85" w14:textId="4B86C7ED">
      <w:pPr>
        <w:spacing w:line="240" w:lineRule="auto"/>
        <w:ind w:firstLine="0"/>
        <w:rPr>
          <w:rFonts w:cs="Arial"/>
          <w:i/>
          <w:szCs w:val="26"/>
        </w:rPr>
        <w:sectPr w:rsidRPr="00D44DB6" w:rsidR="001D4313" w:rsidSect="00D44DB6">
          <w:headerReference w:type="default" r:id="rId15"/>
          <w:footerReference w:type="default" r:id="rId16"/>
          <w:pgSz w:w="12240" w:h="15840"/>
          <w:pgMar w:top="1728" w:right="1440" w:bottom="1440" w:left="1440" w:header="720" w:footer="720" w:gutter="0"/>
          <w:pgNumType w:fmt="lowerRoman" w:start="1"/>
          <w:cols w:space="720"/>
          <w:docGrid w:linePitch="360"/>
        </w:sectPr>
      </w:pPr>
    </w:p>
    <w:p w:rsidRPr="00CC136B" w:rsidR="00C56930" w:rsidP="009B5F94" w:rsidRDefault="001D4313" w14:paraId="03FE6DEF" w14:textId="142B0E6B">
      <w:pPr>
        <w:pStyle w:val="main0"/>
        <w:rPr>
          <w:rFonts w:ascii="Arial" w:hAnsi="Arial" w:cs="Arial"/>
          <w:szCs w:val="26"/>
        </w:rPr>
      </w:pPr>
      <w:r w:rsidRPr="00CC136B">
        <w:rPr>
          <w:rFonts w:ascii="Arial" w:hAnsi="Arial" w:cs="Arial"/>
          <w:szCs w:val="26"/>
        </w:rPr>
        <w:lastRenderedPageBreak/>
        <w:t>ORDER INSTITUTING RULEMAKING TO IMPLEMENT SENATE BILL</w:t>
      </w:r>
      <w:r w:rsidR="00605941">
        <w:rPr>
          <w:rFonts w:ascii="Arial" w:hAnsi="Arial" w:cs="Arial"/>
          <w:szCs w:val="26"/>
        </w:rPr>
        <w:t> </w:t>
      </w:r>
      <w:r w:rsidRPr="00CC136B">
        <w:rPr>
          <w:rFonts w:ascii="Arial" w:hAnsi="Arial" w:cs="Arial"/>
          <w:szCs w:val="26"/>
        </w:rPr>
        <w:t>1014 – THE CALIFORNIA CLEAN MILES STANDARD PROGRAM</w:t>
      </w:r>
    </w:p>
    <w:p w:rsidRPr="009B5F94" w:rsidR="00C56930" w:rsidP="001D4313" w:rsidRDefault="009B5F94" w14:paraId="10BF0CEC" w14:textId="03194A09">
      <w:pPr>
        <w:pStyle w:val="Heading1"/>
        <w:spacing w:before="240"/>
        <w:ind w:left="360" w:right="0" w:hanging="360"/>
        <w:rPr>
          <w:rFonts w:eastAsia="Times New Roman" w:cs="Arial"/>
          <w:kern w:val="28"/>
          <w:szCs w:val="26"/>
        </w:rPr>
      </w:pPr>
      <w:bookmarkStart w:name="_Toc88569633" w:id="1"/>
      <w:r w:rsidRPr="009B5F94">
        <w:rPr>
          <w:rFonts w:eastAsia="Times New Roman" w:cs="Arial"/>
          <w:kern w:val="28"/>
          <w:szCs w:val="26"/>
        </w:rPr>
        <w:t>Summary</w:t>
      </w:r>
      <w:bookmarkEnd w:id="1"/>
    </w:p>
    <w:p w:rsidRPr="00FA3CE7" w:rsidR="00FA3CE7" w:rsidP="00B67FEB" w:rsidRDefault="0068426C" w14:paraId="201C993D" w14:textId="2C313C86">
      <w:pPr>
        <w:pStyle w:val="Standard"/>
      </w:pPr>
      <w:r w:rsidRPr="0068426C">
        <w:t xml:space="preserve">This proceeding will implement the </w:t>
      </w:r>
      <w:bookmarkStart w:name="_Hlk85803734" w:id="2"/>
      <w:r w:rsidRPr="0068426C">
        <w:t>California Clean Miles Standard and Incentive Program</w:t>
      </w:r>
      <w:bookmarkEnd w:id="2"/>
      <w:r w:rsidRPr="0068426C">
        <w:t xml:space="preserve">, </w:t>
      </w:r>
      <w:r w:rsidRPr="00B67FEB">
        <w:t>enacted</w:t>
      </w:r>
      <w:r w:rsidRPr="0068426C">
        <w:t xml:space="preserve"> through Senate Bill </w:t>
      </w:r>
      <w:r w:rsidR="00F45070">
        <w:t xml:space="preserve">(SB) </w:t>
      </w:r>
      <w:r w:rsidRPr="0068426C">
        <w:t>1014</w:t>
      </w:r>
      <w:r w:rsidR="00F45070">
        <w:t xml:space="preserve"> (Skinner, 2018)</w:t>
      </w:r>
      <w:r w:rsidRPr="0068426C">
        <w:t xml:space="preserve">. </w:t>
      </w:r>
      <w:r w:rsidRPr="002C08FE">
        <w:t>Section</w:t>
      </w:r>
      <w:r w:rsidRPr="002C08FE" w:rsidR="00D139D3">
        <w:t> </w:t>
      </w:r>
      <w:r w:rsidRPr="002C08FE">
        <w:t>5450 of</w:t>
      </w:r>
      <w:r w:rsidRPr="0068426C">
        <w:t xml:space="preserve"> the Public Utilities Code (Pub. Util. Code) requires the California Air Resources Board and the California Public Utilities Commission (Commission) to jointly work to lower greenhouse gas (GHG) emissions from </w:t>
      </w:r>
      <w:r w:rsidRPr="0068426C" w:rsidR="65A116D8">
        <w:t>transportation network companies that the Commission regulates,</w:t>
      </w:r>
      <w:r w:rsidR="00CB6C37">
        <w:rPr>
          <w:rStyle w:val="FootnoteReference"/>
        </w:rPr>
        <w:footnoteReference w:id="2"/>
      </w:r>
      <w:r w:rsidRPr="0068426C">
        <w:t xml:space="preserve"> </w:t>
      </w:r>
      <w:r w:rsidR="00380272">
        <w:t>“</w:t>
      </w:r>
      <w:r w:rsidRPr="0068426C" w:rsidR="65A116D8">
        <w:t>including</w:t>
      </w:r>
      <w:r w:rsidR="00CB6C37">
        <w:t xml:space="preserve"> </w:t>
      </w:r>
      <w:r w:rsidRPr="0068426C" w:rsidR="00380272">
        <w:t xml:space="preserve">autonomous vehicles, </w:t>
      </w:r>
      <w:r w:rsidR="0078607F">
        <w:t xml:space="preserve">charter-party carriers, </w:t>
      </w:r>
      <w:r w:rsidRPr="0068426C">
        <w:t>and new modes of ridesharing technology that may arise through innovation and subsequent regulation.”</w:t>
      </w:r>
      <w:r w:rsidRPr="0068426C">
        <w:rPr>
          <w:vertAlign w:val="superscript"/>
        </w:rPr>
        <w:footnoteReference w:id="3"/>
      </w:r>
      <w:bookmarkStart w:name="_Toc8123715" w:id="3"/>
      <w:r w:rsidR="00D70DBD">
        <w:t xml:space="preserve">  </w:t>
      </w:r>
    </w:p>
    <w:p w:rsidR="00FA3CE7" w:rsidP="00B67FEB" w:rsidRDefault="00FA3CE7" w14:paraId="2B58F006" w14:textId="3FB41CF3">
      <w:pPr>
        <w:pStyle w:val="Standard"/>
      </w:pPr>
      <w:r w:rsidRPr="0ABA2A49">
        <w:t xml:space="preserve">The legislature established </w:t>
      </w:r>
      <w:r w:rsidR="00F34F38">
        <w:t xml:space="preserve">the </w:t>
      </w:r>
      <w:r w:rsidRPr="00F34F38" w:rsidR="00F34F38">
        <w:t xml:space="preserve">California Clean Miles Standard and Incentive Program </w:t>
      </w:r>
      <w:r w:rsidRPr="0ABA2A49">
        <w:t xml:space="preserve">in conjunction with other state programs like the Air Quality Improvement Program, </w:t>
      </w:r>
      <w:r>
        <w:t xml:space="preserve">the </w:t>
      </w:r>
      <w:r w:rsidRPr="0ABA2A49">
        <w:t>Clean Vehicle Rebate Project</w:t>
      </w:r>
      <w:r>
        <w:t>,</w:t>
      </w:r>
      <w:r w:rsidRPr="0ABA2A49">
        <w:t xml:space="preserve"> and </w:t>
      </w:r>
      <w:r>
        <w:t xml:space="preserve">the </w:t>
      </w:r>
      <w:r w:rsidRPr="0ABA2A49">
        <w:t>California Global Warming Solutions Act of 2006 to continue reductions and “achieve the maximum degree of emissions reduction possible from vehicular and other mobile sources to accomplish the attainment of state standards at the earliest practicable date.”</w:t>
      </w:r>
      <w:r w:rsidRPr="007F3263">
        <w:rPr>
          <w:rStyle w:val="FootnoteReference"/>
          <w:rFonts w:ascii="Palatino Linotype" w:hAnsi="Palatino Linotype"/>
        </w:rPr>
        <w:footnoteReference w:id="4"/>
      </w:r>
      <w:r w:rsidRPr="0ABA2A49">
        <w:t xml:space="preserve"> </w:t>
      </w:r>
    </w:p>
    <w:p w:rsidR="00FA3CE7" w:rsidP="00B67FEB" w:rsidRDefault="00FA3CE7" w14:paraId="3B5D03D1" w14:textId="37DC18FF">
      <w:pPr>
        <w:pStyle w:val="Standard"/>
      </w:pPr>
      <w:r>
        <w:t xml:space="preserve">On </w:t>
      </w:r>
      <w:r w:rsidRPr="00CE30C3">
        <w:t xml:space="preserve">September </w:t>
      </w:r>
      <w:r w:rsidRPr="00CE30C3" w:rsidR="00780CA5">
        <w:t>14</w:t>
      </w:r>
      <w:r w:rsidRPr="00CE30C3">
        <w:t>,</w:t>
      </w:r>
      <w:r>
        <w:t xml:space="preserve"> 2021</w:t>
      </w:r>
      <w:bookmarkStart w:name="_Hlk85803972" w:id="4"/>
      <w:r>
        <w:t xml:space="preserve">, </w:t>
      </w:r>
      <w:r w:rsidRPr="00F34F38" w:rsidR="00F34F38">
        <w:t xml:space="preserve">the California Air Resources Board </w:t>
      </w:r>
      <w:bookmarkEnd w:id="4"/>
      <w:r>
        <w:t xml:space="preserve">released the </w:t>
      </w:r>
      <w:r w:rsidR="00D7114D">
        <w:t>Proposed M</w:t>
      </w:r>
      <w:r>
        <w:t xml:space="preserve">odifications to the </w:t>
      </w:r>
      <w:r w:rsidR="00F87E43">
        <w:t>P</w:t>
      </w:r>
      <w:r>
        <w:t xml:space="preserve">roposed </w:t>
      </w:r>
      <w:r w:rsidRPr="00F34F38" w:rsidR="00F34F38">
        <w:t xml:space="preserve">California Clean Miles Standard and </w:t>
      </w:r>
      <w:r w:rsidRPr="00F34F38" w:rsidR="00F34F38">
        <w:lastRenderedPageBreak/>
        <w:t xml:space="preserve">Incentive Program </w:t>
      </w:r>
      <w:r w:rsidR="00F34F38">
        <w:t>Re</w:t>
      </w:r>
      <w:r>
        <w:t xml:space="preserve">gulation </w:t>
      </w:r>
      <w:r w:rsidR="00F87E43">
        <w:t>O</w:t>
      </w:r>
      <w:r>
        <w:t>rder</w:t>
      </w:r>
      <w:r w:rsidR="00170A83">
        <w:t>,</w:t>
      </w:r>
      <w:r w:rsidR="00582693">
        <w:rPr>
          <w:rStyle w:val="FootnoteReference"/>
        </w:rPr>
        <w:footnoteReference w:id="5"/>
      </w:r>
      <w:r>
        <w:t xml:space="preserve"> which would establish the GHG reduction and electric vehicle miles traveled targets for </w:t>
      </w:r>
      <w:r w:rsidR="00F45070">
        <w:t>t</w:t>
      </w:r>
      <w:r w:rsidRPr="00F34F38" w:rsidR="00F34F38">
        <w:t xml:space="preserve">ransportation </w:t>
      </w:r>
      <w:r w:rsidR="00F45070">
        <w:t>n</w:t>
      </w:r>
      <w:r w:rsidRPr="00F34F38" w:rsidR="00F34F38">
        <w:t xml:space="preserve">etwork </w:t>
      </w:r>
      <w:r w:rsidR="00F45070">
        <w:t>c</w:t>
      </w:r>
      <w:r w:rsidRPr="00F34F38" w:rsidR="00F34F38">
        <w:t xml:space="preserve">ompanies </w:t>
      </w:r>
      <w:r>
        <w:t xml:space="preserve">to meet </w:t>
      </w:r>
      <w:r w:rsidR="00FB4C9E">
        <w:t xml:space="preserve">beginning </w:t>
      </w:r>
      <w:r w:rsidR="00C631F2">
        <w:t>i</w:t>
      </w:r>
      <w:r w:rsidR="00FB4C9E">
        <w:t xml:space="preserve">n 2023 </w:t>
      </w:r>
      <w:r w:rsidDel="00FB4C9E">
        <w:t xml:space="preserve">to </w:t>
      </w:r>
      <w:r>
        <w:t>reduce emissions from their operations in California.</w:t>
      </w:r>
      <w:r w:rsidR="00A05114">
        <w:t xml:space="preserve"> </w:t>
      </w:r>
    </w:p>
    <w:p w:rsidRPr="008F68C9" w:rsidR="00FA3CE7" w:rsidP="008F68C9" w:rsidRDefault="00FA3CE7" w14:paraId="005070FF" w14:textId="2D1E78D0">
      <w:pPr>
        <w:pStyle w:val="Standard"/>
        <w:rPr>
          <w:rFonts w:eastAsia="Arial"/>
        </w:rPr>
      </w:pPr>
      <w:r>
        <w:t>Th</w:t>
      </w:r>
      <w:r w:rsidR="00F87E43">
        <w:t xml:space="preserve">is proceeding will </w:t>
      </w:r>
      <w:r>
        <w:t>implement</w:t>
      </w:r>
      <w:r w:rsidRPr="00F34F38" w:rsidR="00F34F38">
        <w:t xml:space="preserve"> the California Air Resources Board</w:t>
      </w:r>
      <w:r w:rsidR="00F34F38">
        <w:t>’s</w:t>
      </w:r>
      <w:r w:rsidRPr="00F34F38" w:rsidR="00F34F38">
        <w:t xml:space="preserve"> </w:t>
      </w:r>
      <w:r>
        <w:t xml:space="preserve">targets and goals for SB 1014, ensure </w:t>
      </w:r>
      <w:r w:rsidRPr="00CB6475">
        <w:t>minimal negative impact on low-income and moderate-income drivers</w:t>
      </w:r>
      <w:r>
        <w:t xml:space="preserve">, </w:t>
      </w:r>
      <w:r w:rsidRPr="00CB6475">
        <w:t>support the goals of clean mobility for low- and moderate-income individuals</w:t>
      </w:r>
      <w:r>
        <w:t>,</w:t>
      </w:r>
      <w:r w:rsidRPr="00CB6475">
        <w:t xml:space="preserve"> and ensure that </w:t>
      </w:r>
      <w:r w:rsidRPr="00F34F38" w:rsidR="00F34F38">
        <w:t xml:space="preserve">the California Clean Miles Standard and Incentive Program </w:t>
      </w:r>
      <w:r w:rsidRPr="00CB6475">
        <w:t>complements and supports</w:t>
      </w:r>
      <w:r>
        <w:t xml:space="preserve"> </w:t>
      </w:r>
      <w:r w:rsidRPr="00CB6475">
        <w:t>sustainable land-use objectives</w:t>
      </w:r>
      <w:r w:rsidR="00F57339">
        <w:t>.</w:t>
      </w:r>
      <w:r w:rsidR="00BA5F08">
        <w:rPr>
          <w:rStyle w:val="FootnoteReference"/>
          <w:rFonts w:eastAsia="Arial"/>
        </w:rPr>
        <w:footnoteReference w:id="6"/>
      </w:r>
      <w:r>
        <w:t xml:space="preserve"> </w:t>
      </w:r>
      <w:r w:rsidR="00CC136B">
        <w:t xml:space="preserve"> </w:t>
      </w:r>
      <w:r>
        <w:t xml:space="preserve">This proceeding will also examine how </w:t>
      </w:r>
      <w:r>
        <w:rPr>
          <w:rFonts w:eastAsia="Arial"/>
        </w:rPr>
        <w:t xml:space="preserve">to </w:t>
      </w:r>
      <w:r w:rsidR="00F45070">
        <w:rPr>
          <w:rFonts w:eastAsia="Arial"/>
        </w:rPr>
        <w:t xml:space="preserve">coordinate with other proceedings to </w:t>
      </w:r>
      <w:r w:rsidRPr="00CB6475">
        <w:rPr>
          <w:rFonts w:eastAsia="Arial"/>
        </w:rPr>
        <w:t xml:space="preserve">advance the goals of </w:t>
      </w:r>
      <w:r w:rsidR="00F45070">
        <w:rPr>
          <w:rFonts w:eastAsia="Arial"/>
        </w:rPr>
        <w:t>SB 1014</w:t>
      </w:r>
      <w:r w:rsidRPr="00CB6475">
        <w:rPr>
          <w:rFonts w:eastAsia="Arial"/>
        </w:rPr>
        <w:t xml:space="preserve"> in the review of transportation electrification applications</w:t>
      </w:r>
      <w:r>
        <w:rPr>
          <w:rFonts w:eastAsia="Arial"/>
        </w:rPr>
        <w:t xml:space="preserve"> </w:t>
      </w:r>
      <w:r w:rsidR="008F68C9">
        <w:rPr>
          <w:rFonts w:eastAsia="Arial"/>
        </w:rPr>
        <w:t>and the Commission’s</w:t>
      </w:r>
      <w:r w:rsidRPr="00F1696A">
        <w:t xml:space="preserve"> other transportation electrification efforts</w:t>
      </w:r>
      <w:r>
        <w:t xml:space="preserve">. </w:t>
      </w:r>
      <w:r w:rsidR="00D70DBD">
        <w:t xml:space="preserve"> </w:t>
      </w:r>
    </w:p>
    <w:p w:rsidR="004A4E9A" w:rsidP="004A4E9A" w:rsidRDefault="00CB454D" w14:paraId="653CC54B" w14:textId="77777777">
      <w:pPr>
        <w:pStyle w:val="Heading1"/>
        <w:numPr>
          <w:ilvl w:val="0"/>
          <w:numId w:val="1"/>
        </w:numPr>
      </w:pPr>
      <w:bookmarkStart w:name="_Toc88569634" w:id="5"/>
      <w:bookmarkEnd w:id="3"/>
      <w:r>
        <w:t>Background</w:t>
      </w:r>
      <w:bookmarkEnd w:id="5"/>
    </w:p>
    <w:p w:rsidRPr="00CB454D" w:rsidR="00CB454D" w:rsidP="009B5F94" w:rsidRDefault="00CB454D" w14:paraId="0804E662" w14:textId="733577AB">
      <w:pPr>
        <w:pStyle w:val="Heading2"/>
        <w:numPr>
          <w:ilvl w:val="1"/>
          <w:numId w:val="1"/>
        </w:numPr>
      </w:pPr>
      <w:bookmarkStart w:name="_Toc88569635" w:id="6"/>
      <w:r>
        <w:t>Jurisdiction</w:t>
      </w:r>
      <w:bookmarkEnd w:id="6"/>
    </w:p>
    <w:p w:rsidRPr="00081F6C" w:rsidR="00081F6C" w:rsidP="00081F6C" w:rsidRDefault="00081F6C" w14:paraId="5CAC7EDC" w14:textId="4D53854E">
      <w:pPr>
        <w:pStyle w:val="Standard"/>
        <w:rPr>
          <w:rFonts w:eastAsia="Arial"/>
        </w:rPr>
      </w:pPr>
      <w:r>
        <w:t>The California Clean Miles Standard and Incentive</w:t>
      </w:r>
      <w:r w:rsidR="00991B18">
        <w:t xml:space="preserve"> Program (CMS or Clean Miles Standard) </w:t>
      </w:r>
      <w:r>
        <w:t xml:space="preserve">was enacted through Senate Bill (SB) 1014 (Skinner, 2018) and codified in </w:t>
      </w:r>
      <w:r w:rsidRPr="0068426C" w:rsidR="00C050A9">
        <w:t xml:space="preserve">Public Utilities Code (Pub. Util. Code) </w:t>
      </w:r>
      <w:r>
        <w:t>Section 5450 and Health and Safety Code Section</w:t>
      </w:r>
      <w:r w:rsidR="00D70DBD">
        <w:t> </w:t>
      </w:r>
      <w:r>
        <w:t>44274.4.</w:t>
      </w:r>
      <w:r w:rsidR="00521C6C">
        <w:rPr>
          <w:rStyle w:val="FootnoteReference"/>
        </w:rPr>
        <w:footnoteReference w:id="7"/>
      </w:r>
      <w:r w:rsidR="00521C6C">
        <w:t xml:space="preserve"> </w:t>
      </w:r>
      <w:r>
        <w:t xml:space="preserve"> </w:t>
      </w:r>
      <w:r w:rsidR="00991B18">
        <w:t>SB 1014</w:t>
      </w:r>
      <w:r>
        <w:t xml:space="preserve"> requires the California Air Resources Board (CARB) and the California Public Utilities Commission (Commission) to </w:t>
      </w:r>
      <w:r>
        <w:lastRenderedPageBreak/>
        <w:t xml:space="preserve">take specified actions intended to lower greenhouse gas (GHG) emissions from transportation network company (TNC) operations. </w:t>
      </w:r>
    </w:p>
    <w:p w:rsidR="00081F6C" w:rsidP="00081F6C" w:rsidRDefault="00081F6C" w14:paraId="75A2CA1A" w14:textId="1D864C25">
      <w:pPr>
        <w:rPr>
          <w:rFonts w:eastAsia="Arial"/>
        </w:rPr>
      </w:pPr>
      <w:r>
        <w:rPr>
          <w:rFonts w:eastAsia="Arial"/>
        </w:rPr>
        <w:t>Specifically, Section 5450:</w:t>
      </w:r>
    </w:p>
    <w:p w:rsidRPr="00660E71" w:rsidR="00081F6C" w:rsidP="00660E71" w:rsidRDefault="00081F6C" w14:paraId="338D04D0" w14:textId="3BC3CAE2">
      <w:pPr>
        <w:pStyle w:val="ListAlpha"/>
      </w:pPr>
      <w:r w:rsidRPr="00660E71">
        <w:t>Establishes the “California Clean Miles Standard and Incentive Program” and requires CARB to establish a baseline for GHG emissions on a per passenger-mile basis for vehicles used on behalf of TNCs by January 1, 2020.</w:t>
      </w:r>
    </w:p>
    <w:p w:rsidRPr="00660E71" w:rsidR="00081F6C" w:rsidP="00660E71" w:rsidRDefault="00081F6C" w14:paraId="54A5A978" w14:textId="26379655">
      <w:pPr>
        <w:pStyle w:val="ListAlpha"/>
      </w:pPr>
      <w:r w:rsidRPr="00660E71">
        <w:t xml:space="preserve">Requires CARB to establish annual targets and goals by January 1, 2021 for the reduction of </w:t>
      </w:r>
      <w:r w:rsidRPr="00660E71" w:rsidR="00F57E22">
        <w:t>GHG</w:t>
      </w:r>
      <w:r w:rsidRPr="00660E71">
        <w:t xml:space="preserve"> emissions under that baseline commencing in 2023.</w:t>
      </w:r>
      <w:r w:rsidRPr="00660E71">
        <w:rPr>
          <w:rStyle w:val="FootnoteReference"/>
          <w:vertAlign w:val="baseline"/>
        </w:rPr>
        <w:t xml:space="preserve"> </w:t>
      </w:r>
      <w:r w:rsidRPr="00660E71">
        <w:t xml:space="preserve">The targets and goals must include annual goals for increasing passenger-miles traveled using zero-emission vehicles. Additionally, the targets and goals shall be consistent with the </w:t>
      </w:r>
      <w:r w:rsidRPr="002C08FE">
        <w:t>Zero</w:t>
      </w:r>
      <w:r w:rsidRPr="002C08FE" w:rsidR="00D139D3">
        <w:noBreakHyphen/>
      </w:r>
      <w:r w:rsidRPr="002C08FE">
        <w:t>E</w:t>
      </w:r>
      <w:r w:rsidRPr="00660E71">
        <w:t>mission Vehicle Action Plan, be consistent with the stated goals detailed in Executive Order B-48-18, be technically and economically feasible, and be based upon data reported by the TNCs to the Commission.</w:t>
      </w:r>
    </w:p>
    <w:p w:rsidRPr="00660E71" w:rsidR="00081F6C" w:rsidP="00660E71" w:rsidRDefault="00081F6C" w14:paraId="65ED6D2A" w14:textId="7A4F64F0">
      <w:pPr>
        <w:pStyle w:val="ListAlpha"/>
      </w:pPr>
      <w:r w:rsidRPr="00660E71">
        <w:t xml:space="preserve">Requires TNCs to develop GHG emissions reduction plans by January 1, 2022 (and every two years thereafter) containing proposals to meet CARB’s annual </w:t>
      </w:r>
      <w:r w:rsidRPr="00660E71" w:rsidR="00F57E22">
        <w:t>GHG</w:t>
      </w:r>
      <w:r w:rsidRPr="00660E71">
        <w:t xml:space="preserve"> emissions reduction targets and goals based on: increased proportion of participating drivers with zero-emission vehicles using transportation network companies; increased proportion of vehicle-miles completed by zero-emission vehicles relative to all vehicle miles; decreased gram-per-mile </w:t>
      </w:r>
      <w:r w:rsidRPr="00660E71" w:rsidR="00F57E22">
        <w:t>GHG</w:t>
      </w:r>
      <w:r w:rsidRPr="00660E71">
        <w:t xml:space="preserve"> emissions rates; and increased passenger-miles in proportion to overall vehicle-miles</w:t>
      </w:r>
      <w:r w:rsidRPr="00660E71" w:rsidR="001B1380">
        <w:t>.</w:t>
      </w:r>
    </w:p>
    <w:p w:rsidRPr="002C08FE" w:rsidR="00081F6C" w:rsidP="00660E71" w:rsidRDefault="00081F6C" w14:paraId="6E82FE70" w14:textId="3D8EF519">
      <w:pPr>
        <w:pStyle w:val="ListAlpha"/>
      </w:pPr>
      <w:r w:rsidRPr="00660E71">
        <w:t xml:space="preserve">Requires the Commission to implement the annual targets and goals (adopted by CARB) for the reduction under the baseline of emissions of </w:t>
      </w:r>
      <w:r w:rsidRPr="00660E71" w:rsidR="00F57E22">
        <w:t>GHG</w:t>
      </w:r>
      <w:r w:rsidRPr="00660E71">
        <w:t xml:space="preserve"> per passenger-mile driven on behalf of a TNC. Additionally, the Commission must advance the goals of CMS in the review of transportation electrification applications by encouraging collaboration between electric vehicle charging companies, investor-owned utilities, transportation network companies, and fleet owners that serve transportation network companies </w:t>
      </w:r>
      <w:r w:rsidRPr="00660E71">
        <w:lastRenderedPageBreak/>
        <w:t xml:space="preserve">on investments that would support the </w:t>
      </w:r>
      <w:r w:rsidRPr="002C08FE">
        <w:t>program</w:t>
      </w:r>
      <w:r w:rsidRPr="002C08FE" w:rsidR="001B1380">
        <w:t>.</w:t>
      </w:r>
      <w:r w:rsidRPr="002C08FE" w:rsidR="00D139D3">
        <w:t xml:space="preserve"> </w:t>
      </w:r>
      <w:r w:rsidRPr="002C08FE" w:rsidR="4AE314DD">
        <w:t xml:space="preserve"> The Commission shall ensure that ongoing state planning efforts and funding programs that are intended to accelerate the adoption of zero-emission vehicles and charging infrastructure shall consider the goals of CMS.</w:t>
      </w:r>
    </w:p>
    <w:p w:rsidRPr="002C08FE" w:rsidR="001C5D76" w:rsidP="00660E71" w:rsidRDefault="00081F6C" w14:paraId="396C9EF6" w14:textId="263A9AF4">
      <w:pPr>
        <w:pStyle w:val="ListAlpha"/>
      </w:pPr>
      <w:r w:rsidRPr="002C08FE">
        <w:t>Requires the Commission to ensure minimal negative impact on low-income and moderate-income drivers; to support the goals of clean mobility for low-and moderate</w:t>
      </w:r>
      <w:r w:rsidRPr="002C08FE" w:rsidR="00D139D3">
        <w:noBreakHyphen/>
      </w:r>
      <w:r w:rsidRPr="002C08FE">
        <w:t>income individuals; and to ensure that the program complements and supports the sustainable land</w:t>
      </w:r>
      <w:r w:rsidRPr="002C08FE" w:rsidR="00D139D3">
        <w:noBreakHyphen/>
      </w:r>
      <w:r w:rsidRPr="002C08FE">
        <w:t>use objectives contained in Section 65080 of the Government Code.</w:t>
      </w:r>
      <w:r w:rsidRPr="002C08FE">
        <w:rPr>
          <w:rStyle w:val="FootnoteReference"/>
          <w:vertAlign w:val="baseline"/>
        </w:rPr>
        <w:t xml:space="preserve"> </w:t>
      </w:r>
    </w:p>
    <w:p w:rsidR="00936F54" w:rsidP="00B67FEB" w:rsidRDefault="00936F54" w14:paraId="5F05B6C7" w14:textId="014BF804">
      <w:pPr>
        <w:pStyle w:val="Standard"/>
      </w:pPr>
      <w:r w:rsidRPr="00936F54">
        <w:t xml:space="preserve">Section 5450(a)(3) of the Pub. Util. Code states, “This section applies to transportation providers regulated by the Commission that provide prearranged transportation services for compensation using an online-enabled application or platform to connect passengers, including autonomous vehicles, charter-party carriers, and new modes of ridesharing technology that may arise through innovation and subsequent regulation.”  </w:t>
      </w:r>
    </w:p>
    <w:p w:rsidR="001C5D76" w:rsidP="00B67FEB" w:rsidRDefault="001C5D76" w14:paraId="7737ADAB" w14:textId="43779E6E">
      <w:pPr>
        <w:pStyle w:val="Standard"/>
      </w:pPr>
      <w:r>
        <w:t>Pub. Util. Code Section 5431(a) defines a “transportation network company” as “</w:t>
      </w:r>
      <w:r w:rsidRPr="001B1380">
        <w:t>an organization, including, but not limited to, a corporation, limited liability company, partnership, sole proprietor, or any other entity, operating in California that provides prearranged transportation services for compensation using an online-enabled application or platform to connect passengers with drivers using a personal vehicle.</w:t>
      </w:r>
      <w:r>
        <w:t>”</w:t>
      </w:r>
    </w:p>
    <w:p w:rsidR="001C5D76" w:rsidP="00B67FEB" w:rsidRDefault="001B1380" w14:paraId="67EE43EB" w14:textId="06FF68CE">
      <w:pPr>
        <w:pStyle w:val="Standard"/>
      </w:pPr>
      <w:r w:rsidRPr="6D157F23">
        <w:t>The Commission regulates passenger carriers pursuant to Article XII of the California Constitution and the Passenger Charter</w:t>
      </w:r>
      <w:r w:rsidRPr="6D157F23">
        <w:noBreakHyphen/>
        <w:t>party Carriers’ Act.</w:t>
      </w:r>
      <w:r w:rsidRPr="6D157F23">
        <w:rPr>
          <w:rStyle w:val="FootnoteReference"/>
        </w:rPr>
        <w:footnoteReference w:id="8"/>
      </w:r>
      <w:r w:rsidRPr="6D157F23">
        <w:t xml:space="preserve">  In 2012, the Commission initiated Rulemaking (R.) 12-12</w:t>
      </w:r>
      <w:r>
        <w:t>-</w:t>
      </w:r>
      <w:r w:rsidRPr="6D157F23">
        <w:t xml:space="preserve">011 to protect public safety, encourage innovators to use technology to improve the lives of Californians, and </w:t>
      </w:r>
      <w:r w:rsidRPr="6D157F23">
        <w:lastRenderedPageBreak/>
        <w:t>respond to the emergence of new transportation businesses using online</w:t>
      </w:r>
      <w:r>
        <w:t>-</w:t>
      </w:r>
      <w:r w:rsidRPr="6D157F23">
        <w:t xml:space="preserve">enabled applications (apps) to arrange passenger transportation for compensation. </w:t>
      </w:r>
    </w:p>
    <w:p w:rsidR="001B1380" w:rsidP="00B67FEB" w:rsidRDefault="001B1380" w14:paraId="3A74BCB8" w14:textId="688BCA0E">
      <w:pPr>
        <w:pStyle w:val="Standard"/>
      </w:pPr>
      <w:r w:rsidRPr="6D157F23">
        <w:t>In 2013, the Commission adopted Decision (D.)</w:t>
      </w:r>
      <w:r w:rsidR="00B67FEB">
        <w:t> </w:t>
      </w:r>
      <w:r w:rsidRPr="6D157F23">
        <w:t>13-09</w:t>
      </w:r>
      <w:r w:rsidRPr="6D157F23">
        <w:noBreakHyphen/>
        <w:t xml:space="preserve">045, which </w:t>
      </w:r>
      <w:r w:rsidRPr="00E61F88">
        <w:t xml:space="preserve">established </w:t>
      </w:r>
      <w:r w:rsidR="001C5D76">
        <w:t xml:space="preserve">TNCs </w:t>
      </w:r>
      <w:r w:rsidRPr="00E61F88">
        <w:t>as a new subtype of charter-party carrier utilizing drivers’ personal vehicles for trips prearranged via online-enabled application or platform.</w:t>
      </w:r>
      <w:r w:rsidRPr="006C5F18">
        <w:rPr>
          <w:vertAlign w:val="superscript"/>
        </w:rPr>
        <w:footnoteReference w:id="9"/>
      </w:r>
      <w:r w:rsidRPr="00E61F88">
        <w:t xml:space="preserve"> </w:t>
      </w:r>
    </w:p>
    <w:p w:rsidR="00AF688D" w:rsidP="00323428" w:rsidRDefault="00323428" w14:paraId="3BCA36BA" w14:textId="7AE361A2">
      <w:pPr>
        <w:pStyle w:val="Standard"/>
      </w:pPr>
      <w:r>
        <w:t xml:space="preserve">The Commission has </w:t>
      </w:r>
      <w:r w:rsidR="00F71FE3">
        <w:t>enacted</w:t>
      </w:r>
      <w:r>
        <w:t xml:space="preserve"> numerous regulations for </w:t>
      </w:r>
      <w:r w:rsidR="001B1380">
        <w:t xml:space="preserve">TNCs, including requirements for driver criminal background checks, accessibility, autonomous vehicles and data reporting. </w:t>
      </w:r>
      <w:r w:rsidR="00D70DBD">
        <w:t xml:space="preserve"> </w:t>
      </w:r>
      <w:r w:rsidRPr="6D157F23" w:rsidR="00D7064A">
        <w:t>D.14-11-043 established safety regulations for TNCs.</w:t>
      </w:r>
      <w:r w:rsidR="00D7064A">
        <w:t xml:space="preserve"> </w:t>
      </w:r>
      <w:r w:rsidR="001B1380">
        <w:t xml:space="preserve">The Commission already regulates some aspects of TNC </w:t>
      </w:r>
      <w:r w:rsidR="001C5D76">
        <w:t xml:space="preserve">drivers’ personal </w:t>
      </w:r>
      <w:r w:rsidR="001B1380">
        <w:t xml:space="preserve">vehicles, including requiring annual 19-point safety </w:t>
      </w:r>
      <w:r w:rsidRPr="002C08FE" w:rsidR="001B1380">
        <w:t>inspections</w:t>
      </w:r>
      <w:r w:rsidRPr="002C08FE" w:rsidR="00D139D3">
        <w:t>,</w:t>
      </w:r>
      <w:r w:rsidRPr="002C08FE" w:rsidR="001B1380">
        <w:rPr>
          <w:rStyle w:val="FootnoteReference"/>
        </w:rPr>
        <w:footnoteReference w:id="10"/>
      </w:r>
      <w:r w:rsidRPr="002C08FE" w:rsidR="001B1380">
        <w:t xml:space="preserve"> but</w:t>
      </w:r>
      <w:r w:rsidR="001B1380">
        <w:t xml:space="preserve"> it does not currently regulate the emissions of the vehicles. </w:t>
      </w:r>
    </w:p>
    <w:p w:rsidR="00521C6C" w:rsidP="00323428" w:rsidRDefault="302C97F7" w14:paraId="1FB69C7E" w14:textId="67C857F0">
      <w:pPr>
        <w:pStyle w:val="Standard"/>
      </w:pPr>
      <w:r>
        <w:t xml:space="preserve">Section 701 </w:t>
      </w:r>
      <w:r w:rsidR="2B69E35B">
        <w:t xml:space="preserve">broadly </w:t>
      </w:r>
      <w:r w:rsidR="6A95DAF3">
        <w:t xml:space="preserve">states that </w:t>
      </w:r>
      <w:r w:rsidR="5F1B3403">
        <w:t>“</w:t>
      </w:r>
      <w:r w:rsidR="66CECB08">
        <w:t>[t]</w:t>
      </w:r>
      <w:r w:rsidRPr="00126572" w:rsidR="5F1B3403">
        <w:t>he commission may supervise and regulate every public utility in the State and may do all things</w:t>
      </w:r>
      <w:r w:rsidR="7E0F65AD">
        <w:t xml:space="preserve"> … </w:t>
      </w:r>
      <w:r w:rsidRPr="00126572" w:rsidR="5F1B3403">
        <w:t>which are necessary and convenient in the exercise of such power and jurisdiction.</w:t>
      </w:r>
      <w:r w:rsidR="5F1B3403">
        <w:t>”</w:t>
      </w:r>
      <w:r w:rsidR="00126572">
        <w:rPr>
          <w:rStyle w:val="FootnoteReference"/>
        </w:rPr>
        <w:footnoteReference w:id="11"/>
      </w:r>
      <w:r w:rsidR="5F1B3403">
        <w:t xml:space="preserve"> </w:t>
      </w:r>
      <w:r w:rsidR="00D70DBD">
        <w:t xml:space="preserve"> </w:t>
      </w:r>
      <w:r w:rsidR="57A2F8C2">
        <w:t xml:space="preserve">The California Constitution </w:t>
      </w:r>
      <w:r w:rsidR="68C931E3">
        <w:t xml:space="preserve">also </w:t>
      </w:r>
      <w:r w:rsidR="2513D4A2">
        <w:t xml:space="preserve">authorizes the Commission to regulate transportation companies like TNCs: </w:t>
      </w:r>
      <w:r w:rsidR="00D70DBD">
        <w:t xml:space="preserve"> </w:t>
      </w:r>
      <w:r w:rsidR="2513D4A2">
        <w:t>“The commission may fix rates and establish rules for the transportation of passengers and property by transportation companies</w:t>
      </w:r>
      <w:r w:rsidR="600969B6">
        <w:t>… .”</w:t>
      </w:r>
      <w:r w:rsidR="00CA31D1">
        <w:rPr>
          <w:rStyle w:val="FootnoteReference"/>
        </w:rPr>
        <w:footnoteReference w:id="12"/>
      </w:r>
      <w:r w:rsidR="600969B6">
        <w:t xml:space="preserve"> </w:t>
      </w:r>
      <w:r w:rsidR="00D70DBD">
        <w:t xml:space="preserve"> </w:t>
      </w:r>
      <w:r w:rsidR="4D90F0B5">
        <w:t>Further, Pub. Util. Code Section</w:t>
      </w:r>
      <w:r w:rsidR="00D70DBD">
        <w:t> </w:t>
      </w:r>
      <w:r w:rsidR="7EFB4700">
        <w:t xml:space="preserve">5431(b) specifically </w:t>
      </w:r>
      <w:r w:rsidR="4E86A8EB">
        <w:t>requires that any vehicle used</w:t>
      </w:r>
      <w:r w:rsidR="0204DF89">
        <w:t xml:space="preserve"> </w:t>
      </w:r>
      <w:r w:rsidR="3AF59D4F">
        <w:t>for TNC service</w:t>
      </w:r>
      <w:r w:rsidR="16F715EB">
        <w:t xml:space="preserve"> must</w:t>
      </w:r>
      <w:r w:rsidR="03473DC6">
        <w:t xml:space="preserve"> “</w:t>
      </w:r>
      <w:r w:rsidR="16F715EB">
        <w:t>[meet]</w:t>
      </w:r>
      <w:r w:rsidRPr="009C1F81" w:rsidR="03473DC6">
        <w:t xml:space="preserve"> all inspection and other safety requirements imposed by the commission.</w:t>
      </w:r>
      <w:r w:rsidR="03473DC6">
        <w:t>”</w:t>
      </w:r>
      <w:r w:rsidR="5FB9A9BC">
        <w:t xml:space="preserve"> </w:t>
      </w:r>
      <w:r w:rsidR="00D70DBD">
        <w:t xml:space="preserve"> </w:t>
      </w:r>
      <w:r w:rsidR="5ACF00B7">
        <w:t>Public safety</w:t>
      </w:r>
      <w:r w:rsidR="687B0D2D">
        <w:t xml:space="preserve"> is </w:t>
      </w:r>
      <w:r w:rsidR="0BE20CDA">
        <w:t xml:space="preserve">impacted by the </w:t>
      </w:r>
      <w:r w:rsidR="00F57E22">
        <w:t>GHG</w:t>
      </w:r>
      <w:r w:rsidR="6CD8A6C4">
        <w:t xml:space="preserve"> emissions of vehicles,</w:t>
      </w:r>
      <w:r w:rsidR="3CD6C152">
        <w:t xml:space="preserve"> which create </w:t>
      </w:r>
      <w:r w:rsidR="5EE8E47F">
        <w:t xml:space="preserve">air pollution </w:t>
      </w:r>
      <w:r w:rsidR="5EE8E47F">
        <w:lastRenderedPageBreak/>
        <w:t xml:space="preserve">and </w:t>
      </w:r>
      <w:r w:rsidR="765E6A04">
        <w:t xml:space="preserve">endanger lives, as </w:t>
      </w:r>
      <w:r w:rsidR="4E2604FD">
        <w:t>noted by SB 1014.</w:t>
      </w:r>
      <w:r w:rsidR="3E106E81">
        <w:t xml:space="preserve"> </w:t>
      </w:r>
      <w:r w:rsidR="00D70DBD">
        <w:t xml:space="preserve"> </w:t>
      </w:r>
      <w:r w:rsidR="4D9C68BC">
        <w:t>In sum, t</w:t>
      </w:r>
      <w:r w:rsidR="3E106E81">
        <w:t xml:space="preserve">he </w:t>
      </w:r>
      <w:r w:rsidR="77BB484B">
        <w:t xml:space="preserve">Commission </w:t>
      </w:r>
      <w:r w:rsidR="277845CE">
        <w:t xml:space="preserve">possesses the </w:t>
      </w:r>
      <w:r w:rsidR="3E106E81">
        <w:t xml:space="preserve">authority to </w:t>
      </w:r>
      <w:r w:rsidR="3A548CA6">
        <w:t xml:space="preserve">impose requirements as to the </w:t>
      </w:r>
      <w:r w:rsidR="6C9F929F">
        <w:t>emissions of the veh</w:t>
      </w:r>
      <w:r w:rsidR="77BB484B">
        <w:t>icle</w:t>
      </w:r>
      <w:r w:rsidR="277845CE">
        <w:t>s operated un</w:t>
      </w:r>
      <w:r w:rsidR="7AC5146E">
        <w:t>der</w:t>
      </w:r>
      <w:r w:rsidR="6D5699D9">
        <w:t xml:space="preserve"> the TNC </w:t>
      </w:r>
      <w:r w:rsidR="279983F8">
        <w:t>framework</w:t>
      </w:r>
      <w:r w:rsidR="6D5699D9">
        <w:t xml:space="preserve"> it regulates.</w:t>
      </w:r>
    </w:p>
    <w:p w:rsidR="001C5D76" w:rsidP="00B67FEB" w:rsidRDefault="001C5D76" w14:paraId="66E63762" w14:textId="4EAF7745">
      <w:pPr>
        <w:pStyle w:val="Standard"/>
      </w:pPr>
      <w:r>
        <w:t>In D.16-12-037, the Commission amended the definition of “personal vehicle” that is used by a TNC driver in accordance with Assembly Bill</w:t>
      </w:r>
      <w:r w:rsidR="00D139D3">
        <w:t xml:space="preserve"> </w:t>
      </w:r>
      <w:r>
        <w:t>2764 (</w:t>
      </w:r>
      <w:proofErr w:type="spellStart"/>
      <w:r>
        <w:t>Gatto</w:t>
      </w:r>
      <w:proofErr w:type="spellEnd"/>
      <w:r>
        <w:t xml:space="preserve">, 2016). </w:t>
      </w:r>
      <w:r w:rsidR="00D70DBD">
        <w:t xml:space="preserve"> </w:t>
      </w:r>
      <w:r>
        <w:t>A personal vehicle is defined as a vehicle that is (i) owned, (ii)</w:t>
      </w:r>
      <w:r w:rsidR="00D70DBD">
        <w:t> </w:t>
      </w:r>
      <w:r>
        <w:t>leased, (iii) rented for a term that does not exceed 30 days, or (iv) otherwise authorized for use by the participating driver.</w:t>
      </w:r>
      <w:r>
        <w:rPr>
          <w:rStyle w:val="FootnoteReference"/>
          <w:rFonts w:eastAsia="Arial"/>
        </w:rPr>
        <w:footnoteReference w:id="13"/>
      </w:r>
      <w:r>
        <w:t xml:space="preserve">  </w:t>
      </w:r>
      <w:r>
        <w:rPr>
          <w:rFonts w:eastAsia="Arial"/>
        </w:rPr>
        <w:t>This</w:t>
      </w:r>
      <w:r w:rsidRPr="00521C6C">
        <w:rPr>
          <w:rFonts w:eastAsia="Arial"/>
        </w:rPr>
        <w:t xml:space="preserve"> amended definition of “personal vehicle” authorize</w:t>
      </w:r>
      <w:r>
        <w:rPr>
          <w:rFonts w:eastAsia="Arial"/>
        </w:rPr>
        <w:t>s</w:t>
      </w:r>
      <w:r w:rsidRPr="00521C6C">
        <w:rPr>
          <w:rFonts w:eastAsia="Arial"/>
        </w:rPr>
        <w:t xml:space="preserve"> arrangements between TNCs and rental car fleet owners</w:t>
      </w:r>
      <w:r>
        <w:rPr>
          <w:rFonts w:eastAsia="Arial"/>
        </w:rPr>
        <w:t xml:space="preserve"> </w:t>
      </w:r>
      <w:r w:rsidRPr="00521C6C">
        <w:rPr>
          <w:rFonts w:eastAsia="Arial"/>
        </w:rPr>
        <w:t>to make vehicles available to their drivers.</w:t>
      </w:r>
    </w:p>
    <w:p w:rsidR="00D7064A" w:rsidP="00D7064A" w:rsidRDefault="00D7064A" w14:paraId="7E924EAF" w14:textId="52814F34">
      <w:pPr>
        <w:pStyle w:val="Standard"/>
      </w:pPr>
      <w:r>
        <w:t>The assigned Commissioner’s scoping memo issued on October</w:t>
      </w:r>
      <w:r w:rsidR="00B67FEB">
        <w:t> </w:t>
      </w:r>
      <w:r>
        <w:t>25,</w:t>
      </w:r>
      <w:r w:rsidR="00B67FEB">
        <w:t> </w:t>
      </w:r>
      <w:r>
        <w:t>2019 in R.12-12-011 noted the Commission’s intent to address zero-emissions vehicles and GHG emissions in a new rulemaking to implement CMS.</w:t>
      </w:r>
    </w:p>
    <w:p w:rsidR="00D7064A" w:rsidP="009B5F94" w:rsidRDefault="00CB454D" w14:paraId="1AC5F7B1" w14:textId="726B8393">
      <w:pPr>
        <w:pStyle w:val="Heading2"/>
        <w:numPr>
          <w:ilvl w:val="1"/>
          <w:numId w:val="1"/>
        </w:numPr>
      </w:pPr>
      <w:bookmarkStart w:name="_Toc88569636" w:id="7"/>
      <w:r>
        <w:t xml:space="preserve">CARB </w:t>
      </w:r>
      <w:r w:rsidR="001C5D76">
        <w:t xml:space="preserve">CMS </w:t>
      </w:r>
      <w:r>
        <w:t>Regulation</w:t>
      </w:r>
      <w:r w:rsidR="00D87D9E">
        <w:t>s</w:t>
      </w:r>
      <w:bookmarkEnd w:id="7"/>
    </w:p>
    <w:p w:rsidRPr="00A34777" w:rsidR="00D7064A" w:rsidP="00B67FEB" w:rsidRDefault="00D7064A" w14:paraId="6E3F3BA4" w14:textId="50FD743A">
      <w:pPr>
        <w:pStyle w:val="Standard"/>
      </w:pPr>
      <w:r>
        <w:t>SB 1014</w:t>
      </w:r>
      <w:r w:rsidRPr="001C6759">
        <w:t xml:space="preserve"> requir</w:t>
      </w:r>
      <w:r>
        <w:t>es</w:t>
      </w:r>
      <w:r w:rsidRPr="001C6759">
        <w:t xml:space="preserve"> </w:t>
      </w:r>
      <w:r w:rsidRPr="001A4891">
        <w:t>CARB to establish a TNC GHG emissions baseline, using 2018 as the base year,</w:t>
      </w:r>
      <w:r w:rsidRPr="007F7EC4">
        <w:rPr>
          <w:rStyle w:val="FootnoteReference"/>
        </w:rPr>
        <w:footnoteReference w:id="14"/>
      </w:r>
      <w:r w:rsidRPr="00EA7F9B">
        <w:t xml:space="preserve"> and annual targets that reduce emissions below that</w:t>
      </w:r>
      <w:r w:rsidRPr="00761CE5">
        <w:t xml:space="preserve"> established baseline.</w:t>
      </w:r>
      <w:r w:rsidRPr="007F7EC4">
        <w:rPr>
          <w:rStyle w:val="FootnoteReference"/>
        </w:rPr>
        <w:footnoteReference w:id="15"/>
      </w:r>
      <w:r w:rsidRPr="00EA7F9B">
        <w:t xml:space="preserve">  As directed by the statute, CARB used data from TNC operati</w:t>
      </w:r>
      <w:r w:rsidRPr="00A1642D">
        <w:t>ons in 2018, obtained through</w:t>
      </w:r>
      <w:r w:rsidRPr="0011553D">
        <w:t xml:space="preserve"> data requests issued by </w:t>
      </w:r>
      <w:r w:rsidR="00C246FC">
        <w:t>the Commission’s Consumer Protection and Enforcement Division</w:t>
      </w:r>
      <w:r w:rsidR="00B44536">
        <w:t xml:space="preserve"> </w:t>
      </w:r>
      <w:r>
        <w:t>and information routinely submitted to the Commission through TNCs’ Annual Reports</w:t>
      </w:r>
      <w:r w:rsidRPr="0011553D">
        <w:t>, to establish a baseline for GHG emissions in CMS.</w:t>
      </w:r>
      <w:r w:rsidRPr="007F7EC4">
        <w:rPr>
          <w:rStyle w:val="FootnoteReference"/>
        </w:rPr>
        <w:footnoteReference w:id="16"/>
      </w:r>
      <w:r w:rsidRPr="00EA7F9B">
        <w:t xml:space="preserve"> </w:t>
      </w:r>
      <w:r w:rsidR="00D70DBD">
        <w:t xml:space="preserve"> </w:t>
      </w:r>
      <w:r w:rsidRPr="00EA7F9B">
        <w:t>In December 2019, CARB</w:t>
      </w:r>
      <w:r>
        <w:t xml:space="preserve"> Staff</w:t>
      </w:r>
      <w:r w:rsidRPr="00EA7F9B">
        <w:t xml:space="preserve"> released its </w:t>
      </w:r>
      <w:r w:rsidRPr="00EA7F9B">
        <w:lastRenderedPageBreak/>
        <w:t>“2018 Base-year Emissions Inventory Report”</w:t>
      </w:r>
      <w:r w:rsidRPr="00A1642D">
        <w:t xml:space="preserve"> (Baseline Inventory) establishing the base year inventory of CO</w:t>
      </w:r>
      <w:r w:rsidRPr="008142CD">
        <w:rPr>
          <w:vertAlign w:val="subscript"/>
        </w:rPr>
        <w:t>2</w:t>
      </w:r>
      <w:r w:rsidRPr="00EA7F9B">
        <w:t xml:space="preserve"> emissions in units of grams of CO</w:t>
      </w:r>
      <w:r w:rsidRPr="008142CD">
        <w:rPr>
          <w:vertAlign w:val="subscript"/>
        </w:rPr>
        <w:t>2</w:t>
      </w:r>
      <w:r w:rsidRPr="00EA7F9B">
        <w:t xml:space="preserve"> per passenger-mile traveled (gCO</w:t>
      </w:r>
      <w:r w:rsidRPr="007E3343">
        <w:rPr>
          <w:vertAlign w:val="subscript"/>
        </w:rPr>
        <w:t>2</w:t>
      </w:r>
      <w:r w:rsidRPr="00EA7F9B">
        <w:t>/PMT).</w:t>
      </w:r>
      <w:r w:rsidRPr="007F7EC4">
        <w:rPr>
          <w:rStyle w:val="FootnoteReference"/>
        </w:rPr>
        <w:footnoteReference w:id="17"/>
      </w:r>
    </w:p>
    <w:p w:rsidR="00CB454D" w:rsidP="00B67FEB" w:rsidRDefault="00D7064A" w14:paraId="5A2A7553" w14:textId="4C7E6EAE">
      <w:pPr>
        <w:pStyle w:val="Standard"/>
      </w:pPr>
      <w:r w:rsidRPr="6D157F23">
        <w:t>CARB staff estimated that, in 2018, the TNC fleet emitted approximately 301 grams of CO</w:t>
      </w:r>
      <w:r w:rsidRPr="6D157F23">
        <w:rPr>
          <w:vertAlign w:val="subscript"/>
        </w:rPr>
        <w:t xml:space="preserve">2 </w:t>
      </w:r>
      <w:r w:rsidRPr="00CB2646">
        <w:t>(g CO</w:t>
      </w:r>
      <w:r w:rsidRPr="6D157F23">
        <w:rPr>
          <w:vertAlign w:val="subscript"/>
        </w:rPr>
        <w:t>2</w:t>
      </w:r>
      <w:r w:rsidRPr="00CB2646">
        <w:t>) per passenger mile traveled (PMT).</w:t>
      </w:r>
      <w:r w:rsidRPr="35856796">
        <w:rPr>
          <w:rStyle w:val="FootnoteReference"/>
        </w:rPr>
        <w:footnoteReference w:id="18"/>
      </w:r>
      <w:r w:rsidRPr="00CB2646">
        <w:t xml:space="preserve"> </w:t>
      </w:r>
      <w:r w:rsidR="00D70DBD">
        <w:t xml:space="preserve"> </w:t>
      </w:r>
      <w:r w:rsidRPr="00CB2646">
        <w:t>While the TNC fleet is relatively more fuel efficient than the California light duty fleet (due to having a higher fraction of new model year vehicles), the TNC fleet’s emissions, on a per-passenger mile basis, are about 50% higher than the statewide average of 203 g CO</w:t>
      </w:r>
      <w:r w:rsidRPr="6D157F23">
        <w:rPr>
          <w:vertAlign w:val="subscript"/>
        </w:rPr>
        <w:t>2</w:t>
      </w:r>
      <w:r w:rsidRPr="00CB2646">
        <w:t>/PMT.</w:t>
      </w:r>
      <w:r w:rsidRPr="35856796">
        <w:rPr>
          <w:rStyle w:val="FootnoteReference"/>
        </w:rPr>
        <w:footnoteReference w:id="19"/>
      </w:r>
      <w:r w:rsidRPr="00CB2646">
        <w:t xml:space="preserve"> </w:t>
      </w:r>
      <w:r w:rsidR="00D70DBD">
        <w:t xml:space="preserve"> </w:t>
      </w:r>
      <w:r w:rsidRPr="00CB2646">
        <w:t>The TNC fleet’s emissions are higher primarily due to deadhead miles</w:t>
      </w:r>
      <w:r>
        <w:t xml:space="preserve"> traveled—</w:t>
      </w:r>
      <w:r w:rsidRPr="00CB2646">
        <w:t xml:space="preserve">miles associated with TNC </w:t>
      </w:r>
      <w:r>
        <w:t xml:space="preserve">operations in which no </w:t>
      </w:r>
      <w:r w:rsidRPr="00CB2646">
        <w:t>passenger</w:t>
      </w:r>
      <w:r>
        <w:t xml:space="preserve"> is </w:t>
      </w:r>
      <w:r w:rsidR="009D1A4F">
        <w:t>in the vehicle</w:t>
      </w:r>
      <w:r w:rsidRPr="00CB2646">
        <w:t>.</w:t>
      </w:r>
      <w:r w:rsidRPr="35856796">
        <w:rPr>
          <w:rStyle w:val="FootnoteReference"/>
        </w:rPr>
        <w:footnoteReference w:id="20"/>
      </w:r>
    </w:p>
    <w:p w:rsidR="00F7739F" w:rsidP="00B67FEB" w:rsidRDefault="00D7064A" w14:paraId="155D7E83" w14:textId="39D80481">
      <w:pPr>
        <w:pStyle w:val="Standard"/>
      </w:pPr>
      <w:r w:rsidRPr="001A4891">
        <w:t xml:space="preserve">CARB’s 2018 Baseline Inventory serves as the reference point to establish emission targets and evaluate compliance scenarios. </w:t>
      </w:r>
      <w:r w:rsidR="00D70DBD">
        <w:t xml:space="preserve"> </w:t>
      </w:r>
      <w:r w:rsidRPr="001A4891">
        <w:t>Using TNC data, CARB developed a model and</w:t>
      </w:r>
      <w:r>
        <w:t xml:space="preserve"> proposed</w:t>
      </w:r>
      <w:r w:rsidRPr="001A4891">
        <w:t xml:space="preserve"> two targets for TNCs to decrease emissions by increasing vehicle electrification and displacing </w:t>
      </w:r>
      <w:r>
        <w:t>P</w:t>
      </w:r>
      <w:r w:rsidRPr="001A4891">
        <w:t>MT by internal-combustion engine (ICE) vehicles with miles traveled by electric vehicles.</w:t>
      </w:r>
      <w:r w:rsidRPr="7C74B955">
        <w:rPr>
          <w:rStyle w:val="FootnoteReference"/>
        </w:rPr>
        <w:footnoteReference w:id="21"/>
      </w:r>
      <w:r w:rsidRPr="001A4891">
        <w:t xml:space="preserve"> </w:t>
      </w:r>
      <w:r w:rsidR="00D70DBD">
        <w:t xml:space="preserve"> </w:t>
      </w:r>
      <w:r w:rsidRPr="001A4891">
        <w:t xml:space="preserve">These two targets are the Electric Vehicle Miles Traveled (eVMT) </w:t>
      </w:r>
      <w:r w:rsidRPr="001A4891" w:rsidR="4CA3AC87">
        <w:t>target</w:t>
      </w:r>
      <w:r w:rsidRPr="001A4891">
        <w:t xml:space="preserve"> </w:t>
      </w:r>
      <w:r w:rsidR="00BE613B">
        <w:t xml:space="preserve">and the </w:t>
      </w:r>
      <w:r w:rsidRPr="001A4891" w:rsidR="00BE613B">
        <w:t>Annual Greenhouse Gas (GHG) target</w:t>
      </w:r>
      <w:r w:rsidR="00BE613B">
        <w:t xml:space="preserve"> </w:t>
      </w:r>
      <w:r w:rsidRPr="001A4891">
        <w:t xml:space="preserve">proposed by CARB on </w:t>
      </w:r>
      <w:r w:rsidR="004C3BEF">
        <w:t>September 14</w:t>
      </w:r>
      <w:r>
        <w:t>, 2021.</w:t>
      </w:r>
      <w:r>
        <w:rPr>
          <w:rStyle w:val="FootnoteReference"/>
          <w:rFonts w:eastAsia="Arial"/>
        </w:rPr>
        <w:footnoteReference w:id="22"/>
      </w:r>
    </w:p>
    <w:p w:rsidRPr="006F1514" w:rsidR="00D7064A" w:rsidP="00B67FEB" w:rsidRDefault="1DFDC497" w14:paraId="72146602" w14:textId="2F31A1BB">
      <w:pPr>
        <w:pStyle w:val="Standard"/>
      </w:pPr>
      <w:r>
        <w:t xml:space="preserve">The eVMT target </w:t>
      </w:r>
      <w:r w:rsidR="70FD9D10">
        <w:t>is based on</w:t>
      </w:r>
      <w:r>
        <w:t xml:space="preserve"> vehicle miles traveled (VMT) by electric vehicles </w:t>
      </w:r>
      <w:r w:rsidR="09F88F08">
        <w:t>when a passenger is in the vehicle</w:t>
      </w:r>
      <w:r>
        <w:t xml:space="preserve">, divided by the VMT of all TNC </w:t>
      </w:r>
      <w:r>
        <w:lastRenderedPageBreak/>
        <w:t xml:space="preserve">vehicles </w:t>
      </w:r>
      <w:r w:rsidR="41DAFF76">
        <w:t>when a passenger is in the vehicle</w:t>
      </w:r>
      <w:r>
        <w:t>.</w:t>
      </w:r>
      <w:r w:rsidR="00F7739F">
        <w:rPr>
          <w:rStyle w:val="FootnoteReference"/>
        </w:rPr>
        <w:footnoteReference w:id="23"/>
      </w:r>
      <w:r>
        <w:t xml:space="preserve"> </w:t>
      </w:r>
      <w:r w:rsidR="00D70DBD">
        <w:t xml:space="preserve"> </w:t>
      </w:r>
      <w:r>
        <w:t xml:space="preserve">The GHG target </w:t>
      </w:r>
      <w:r w:rsidR="389DE163">
        <w:t xml:space="preserve">calculates </w:t>
      </w:r>
      <w:r w:rsidR="3EC8D37C">
        <w:t>the</w:t>
      </w:r>
      <w:r w:rsidR="21748EA8">
        <w:t xml:space="preserve"> grams of </w:t>
      </w:r>
      <w:r w:rsidRPr="00CB2646" w:rsidR="3EC8D37C">
        <w:t>CO</w:t>
      </w:r>
      <w:r w:rsidRPr="6D157F23" w:rsidR="3EC8D37C">
        <w:rPr>
          <w:vertAlign w:val="subscript"/>
        </w:rPr>
        <w:t>2</w:t>
      </w:r>
      <w:r w:rsidR="21748EA8">
        <w:t xml:space="preserve"> per passenger mile traveled</w:t>
      </w:r>
      <w:r w:rsidR="6F9C9348">
        <w:t>,</w:t>
      </w:r>
      <w:r w:rsidR="21748EA8">
        <w:t xml:space="preserve"> by calculating total TNC GHG emissions including dead-head miles, less any </w:t>
      </w:r>
      <w:r w:rsidRPr="00CB2646" w:rsidR="3EC8D37C">
        <w:t>CO</w:t>
      </w:r>
      <w:r w:rsidRPr="6D157F23" w:rsidR="3EC8D37C">
        <w:rPr>
          <w:vertAlign w:val="subscript"/>
        </w:rPr>
        <w:t>2</w:t>
      </w:r>
      <w:r w:rsidR="21748EA8">
        <w:t xml:space="preserve"> credits, divided by </w:t>
      </w:r>
      <w:r w:rsidR="00736D23">
        <w:t>passenger miles traveled</w:t>
      </w:r>
      <w:r w:rsidR="00947C0F">
        <w:t xml:space="preserve">, which is a product of </w:t>
      </w:r>
      <w:r w:rsidR="21748EA8">
        <w:t>VMT generated only when carrying passengers</w:t>
      </w:r>
      <w:r w:rsidR="00B226D1">
        <w:t xml:space="preserve"> and an occupancy factor</w:t>
      </w:r>
      <w:r w:rsidR="21748EA8">
        <w:t>.</w:t>
      </w:r>
      <w:r w:rsidR="00715473">
        <w:rPr>
          <w:rStyle w:val="FootnoteReference"/>
        </w:rPr>
        <w:footnoteReference w:id="24"/>
      </w:r>
    </w:p>
    <w:p w:rsidR="00D00939" w:rsidP="00B67FEB" w:rsidRDefault="00D00939" w14:paraId="6A12DCB5" w14:textId="75CE5476">
      <w:pPr>
        <w:keepNext/>
        <w:keepLines/>
        <w:ind w:firstLine="0"/>
        <w:jc w:val="center"/>
      </w:pPr>
      <w:r w:rsidRPr="006F1514">
        <w:rPr>
          <w:b/>
        </w:rPr>
        <w:t>Annual GHG Targets</w:t>
      </w:r>
      <w:r w:rsidRPr="006F1514" w:rsidR="00A67A81">
        <w:rPr>
          <w:b/>
        </w:rPr>
        <w:t xml:space="preserve"> set by CARB</w:t>
      </w:r>
      <w:r>
        <w:rPr>
          <w:rStyle w:val="FootnoteReference"/>
        </w:rPr>
        <w:footnoteReference w:id="25"/>
      </w:r>
    </w:p>
    <w:tbl>
      <w:tblPr>
        <w:tblStyle w:val="TableGrid"/>
        <w:tblW w:w="0" w:type="auto"/>
        <w:jc w:val="center"/>
        <w:tblLook w:val="04A0" w:firstRow="1" w:lastRow="0" w:firstColumn="1" w:lastColumn="0" w:noHBand="0" w:noVBand="1"/>
      </w:tblPr>
      <w:tblGrid>
        <w:gridCol w:w="1870"/>
        <w:gridCol w:w="2365"/>
      </w:tblGrid>
      <w:tr w:rsidR="00D00939" w:rsidTr="00B81773" w14:paraId="38135032" w14:textId="77777777">
        <w:trPr>
          <w:trHeight w:val="773"/>
          <w:jc w:val="center"/>
        </w:trPr>
        <w:tc>
          <w:tcPr>
            <w:tcW w:w="0" w:type="auto"/>
            <w:vAlign w:val="center"/>
          </w:tcPr>
          <w:p w:rsidR="00D00939" w:rsidP="00B67FEB" w:rsidRDefault="00D00939" w14:paraId="70A9F4A7" w14:textId="77777777">
            <w:pPr>
              <w:keepNext/>
              <w:keepLines/>
              <w:spacing w:line="240" w:lineRule="auto"/>
              <w:ind w:firstLine="0"/>
              <w:jc w:val="center"/>
            </w:pPr>
            <w:r>
              <w:t>Calendar Year</w:t>
            </w:r>
          </w:p>
        </w:tc>
        <w:tc>
          <w:tcPr>
            <w:tcW w:w="0" w:type="auto"/>
            <w:vAlign w:val="center"/>
          </w:tcPr>
          <w:p w:rsidR="00D00939" w:rsidP="00B67FEB" w:rsidRDefault="00D00939" w14:paraId="431B8FE5" w14:textId="77777777">
            <w:pPr>
              <w:keepNext/>
              <w:keepLines/>
              <w:spacing w:line="240" w:lineRule="auto"/>
              <w:ind w:firstLine="0"/>
              <w:jc w:val="center"/>
            </w:pPr>
            <w:r>
              <w:t xml:space="preserve">GHG Target </w:t>
            </w:r>
          </w:p>
          <w:p w:rsidR="00D00939" w:rsidP="00B67FEB" w:rsidRDefault="00D00939" w14:paraId="136C2D52" w14:textId="77777777">
            <w:pPr>
              <w:keepNext/>
              <w:keepLines/>
              <w:spacing w:line="240" w:lineRule="auto"/>
              <w:ind w:firstLine="0"/>
              <w:jc w:val="center"/>
            </w:pPr>
            <w:r>
              <w:t xml:space="preserve">(grams </w:t>
            </w:r>
            <w:r w:rsidRPr="00373030">
              <w:t>CO</w:t>
            </w:r>
            <w:r w:rsidRPr="00373030">
              <w:rPr>
                <w:vertAlign w:val="subscript"/>
              </w:rPr>
              <w:t>2</w:t>
            </w:r>
            <w:r>
              <w:t>/PMT)</w:t>
            </w:r>
          </w:p>
        </w:tc>
      </w:tr>
      <w:tr w:rsidR="00D00939" w:rsidTr="006F1514" w14:paraId="60A8AD69" w14:textId="77777777">
        <w:trPr>
          <w:jc w:val="center"/>
        </w:trPr>
        <w:tc>
          <w:tcPr>
            <w:tcW w:w="0" w:type="auto"/>
          </w:tcPr>
          <w:p w:rsidR="00D00939" w:rsidP="00B67FEB" w:rsidRDefault="00D00939" w14:paraId="57F86AD9" w14:textId="77777777">
            <w:pPr>
              <w:keepNext/>
              <w:keepLines/>
              <w:ind w:firstLine="0"/>
              <w:jc w:val="center"/>
            </w:pPr>
            <w:r>
              <w:t>2023</w:t>
            </w:r>
          </w:p>
          <w:p w:rsidR="00D00939" w:rsidP="00B67FEB" w:rsidRDefault="00D00939" w14:paraId="7027FB1E" w14:textId="77777777">
            <w:pPr>
              <w:keepNext/>
              <w:keepLines/>
              <w:ind w:firstLine="0"/>
              <w:jc w:val="center"/>
            </w:pPr>
            <w:r>
              <w:t>2024</w:t>
            </w:r>
          </w:p>
          <w:p w:rsidR="00D00939" w:rsidP="00B67FEB" w:rsidRDefault="00D00939" w14:paraId="48D9AA81" w14:textId="77777777">
            <w:pPr>
              <w:keepNext/>
              <w:keepLines/>
              <w:ind w:firstLine="0"/>
              <w:jc w:val="center"/>
            </w:pPr>
            <w:r>
              <w:t>2025</w:t>
            </w:r>
          </w:p>
          <w:p w:rsidR="00D00939" w:rsidP="00B67FEB" w:rsidRDefault="00D00939" w14:paraId="616EF366" w14:textId="77777777">
            <w:pPr>
              <w:keepNext/>
              <w:keepLines/>
              <w:ind w:firstLine="0"/>
              <w:jc w:val="center"/>
            </w:pPr>
            <w:r>
              <w:t>2026</w:t>
            </w:r>
          </w:p>
          <w:p w:rsidR="00D00939" w:rsidP="00B67FEB" w:rsidRDefault="00D00939" w14:paraId="787C7667" w14:textId="77777777">
            <w:pPr>
              <w:keepNext/>
              <w:keepLines/>
              <w:ind w:firstLine="0"/>
              <w:jc w:val="center"/>
            </w:pPr>
            <w:r>
              <w:t>2027</w:t>
            </w:r>
          </w:p>
          <w:p w:rsidR="00D00939" w:rsidP="00B67FEB" w:rsidRDefault="00D00939" w14:paraId="59D75244" w14:textId="77777777">
            <w:pPr>
              <w:keepNext/>
              <w:keepLines/>
              <w:ind w:firstLine="0"/>
              <w:jc w:val="center"/>
            </w:pPr>
            <w:r>
              <w:t>2028</w:t>
            </w:r>
          </w:p>
          <w:p w:rsidR="00D00939" w:rsidP="00B67FEB" w:rsidRDefault="00D00939" w14:paraId="347BD67E" w14:textId="77777777">
            <w:pPr>
              <w:keepNext/>
              <w:keepLines/>
              <w:ind w:firstLine="0"/>
              <w:jc w:val="center"/>
            </w:pPr>
            <w:r>
              <w:t>2029</w:t>
            </w:r>
          </w:p>
          <w:p w:rsidR="00D00939" w:rsidP="00B67FEB" w:rsidRDefault="00D00939" w14:paraId="0DE066CF" w14:textId="77777777">
            <w:pPr>
              <w:keepNext/>
              <w:keepLines/>
              <w:ind w:firstLine="0"/>
              <w:jc w:val="center"/>
            </w:pPr>
            <w:r>
              <w:t xml:space="preserve">  2030+</w:t>
            </w:r>
          </w:p>
        </w:tc>
        <w:tc>
          <w:tcPr>
            <w:tcW w:w="0" w:type="auto"/>
          </w:tcPr>
          <w:p w:rsidR="00D00939" w:rsidP="00B67FEB" w:rsidRDefault="00D00939" w14:paraId="74D4CE2A" w14:textId="77777777">
            <w:pPr>
              <w:keepNext/>
              <w:keepLines/>
              <w:ind w:firstLine="0"/>
              <w:jc w:val="center"/>
            </w:pPr>
            <w:r>
              <w:t>252</w:t>
            </w:r>
          </w:p>
          <w:p w:rsidR="00D00939" w:rsidP="00B67FEB" w:rsidRDefault="00D00939" w14:paraId="22F61F97" w14:textId="77777777">
            <w:pPr>
              <w:keepNext/>
              <w:keepLines/>
              <w:ind w:firstLine="0"/>
              <w:jc w:val="center"/>
            </w:pPr>
            <w:r>
              <w:t>237</w:t>
            </w:r>
          </w:p>
          <w:p w:rsidR="00D00939" w:rsidP="00B67FEB" w:rsidRDefault="00D00939" w14:paraId="5726A0EC" w14:textId="77777777">
            <w:pPr>
              <w:keepNext/>
              <w:keepLines/>
              <w:ind w:firstLine="0"/>
              <w:jc w:val="center"/>
            </w:pPr>
            <w:r>
              <w:t>207</w:t>
            </w:r>
          </w:p>
          <w:p w:rsidR="00D00939" w:rsidP="00B67FEB" w:rsidRDefault="00D00939" w14:paraId="7FF858FE" w14:textId="77777777">
            <w:pPr>
              <w:keepNext/>
              <w:keepLines/>
              <w:ind w:firstLine="0"/>
              <w:jc w:val="center"/>
            </w:pPr>
            <w:r>
              <w:t>161</w:t>
            </w:r>
          </w:p>
          <w:p w:rsidR="00D00939" w:rsidP="00B67FEB" w:rsidRDefault="00D00939" w14:paraId="757B119D" w14:textId="77777777">
            <w:pPr>
              <w:keepNext/>
              <w:keepLines/>
              <w:ind w:firstLine="0"/>
              <w:jc w:val="center"/>
            </w:pPr>
            <w:r>
              <w:t>110</w:t>
            </w:r>
          </w:p>
          <w:p w:rsidR="00D00939" w:rsidP="00B67FEB" w:rsidRDefault="00D00939" w14:paraId="0D5FB24B" w14:textId="77777777">
            <w:pPr>
              <w:keepNext/>
              <w:keepLines/>
              <w:ind w:firstLine="0"/>
              <w:jc w:val="center"/>
            </w:pPr>
            <w:r>
              <w:t>69</w:t>
            </w:r>
          </w:p>
          <w:p w:rsidR="00D00939" w:rsidP="00B67FEB" w:rsidRDefault="00D00939" w14:paraId="2B479D45" w14:textId="77777777">
            <w:pPr>
              <w:keepNext/>
              <w:keepLines/>
              <w:ind w:firstLine="0"/>
              <w:jc w:val="center"/>
            </w:pPr>
            <w:r>
              <w:t>30</w:t>
            </w:r>
          </w:p>
          <w:p w:rsidR="00D00939" w:rsidP="00B67FEB" w:rsidRDefault="00D00939" w14:paraId="7569387B" w14:textId="77777777">
            <w:pPr>
              <w:keepNext/>
              <w:keepLines/>
              <w:ind w:firstLine="0"/>
              <w:jc w:val="center"/>
            </w:pPr>
            <w:r>
              <w:t>0</w:t>
            </w:r>
          </w:p>
        </w:tc>
      </w:tr>
    </w:tbl>
    <w:p w:rsidR="00992A9A" w:rsidP="00B67FEB" w:rsidRDefault="00992A9A" w14:paraId="1606BA20" w14:textId="4848EE53">
      <w:pPr>
        <w:spacing w:before="240"/>
        <w:ind w:firstLine="0"/>
        <w:jc w:val="center"/>
      </w:pPr>
      <w:r w:rsidRPr="006F1514">
        <w:rPr>
          <w:b/>
        </w:rPr>
        <w:t>Annual Electric Vehicle Miles Traveled Targets</w:t>
      </w:r>
      <w:r w:rsidRPr="006F1514" w:rsidR="007770FA">
        <w:rPr>
          <w:b/>
        </w:rPr>
        <w:t xml:space="preserve"> set by CARB</w:t>
      </w:r>
      <w:r w:rsidR="005571FF">
        <w:rPr>
          <w:rStyle w:val="FootnoteReference"/>
        </w:rPr>
        <w:footnoteReference w:id="26"/>
      </w:r>
    </w:p>
    <w:tbl>
      <w:tblPr>
        <w:tblStyle w:val="TableGrid"/>
        <w:tblW w:w="0" w:type="auto"/>
        <w:tblInd w:w="2887" w:type="dxa"/>
        <w:tblLook w:val="04A0" w:firstRow="1" w:lastRow="0" w:firstColumn="1" w:lastColumn="0" w:noHBand="0" w:noVBand="1"/>
      </w:tblPr>
      <w:tblGrid>
        <w:gridCol w:w="1994"/>
        <w:gridCol w:w="1654"/>
      </w:tblGrid>
      <w:tr w:rsidR="00992A9A" w:rsidTr="00B81773" w14:paraId="03FC93C9" w14:textId="77777777">
        <w:trPr>
          <w:trHeight w:val="458"/>
        </w:trPr>
        <w:tc>
          <w:tcPr>
            <w:tcW w:w="1994" w:type="dxa"/>
            <w:vAlign w:val="center"/>
          </w:tcPr>
          <w:p w:rsidR="00992A9A" w:rsidP="00B81773" w:rsidRDefault="00992A9A" w14:paraId="1B1F2602" w14:textId="77777777">
            <w:pPr>
              <w:spacing w:line="240" w:lineRule="auto"/>
              <w:ind w:firstLine="0"/>
              <w:jc w:val="center"/>
            </w:pPr>
            <w:r>
              <w:t>Calendar Year</w:t>
            </w:r>
          </w:p>
        </w:tc>
        <w:tc>
          <w:tcPr>
            <w:tcW w:w="1654" w:type="dxa"/>
            <w:vAlign w:val="center"/>
          </w:tcPr>
          <w:p w:rsidR="00992A9A" w:rsidP="00B81773" w:rsidRDefault="00992A9A" w14:paraId="1501E00A" w14:textId="77777777">
            <w:pPr>
              <w:spacing w:line="240" w:lineRule="auto"/>
              <w:ind w:firstLine="0"/>
              <w:jc w:val="center"/>
            </w:pPr>
            <w:r>
              <w:t>eVMT</w:t>
            </w:r>
          </w:p>
        </w:tc>
      </w:tr>
      <w:tr w:rsidR="00992A9A" w:rsidTr="006F1514" w14:paraId="481D7EB7" w14:textId="77777777">
        <w:tc>
          <w:tcPr>
            <w:tcW w:w="1994" w:type="dxa"/>
          </w:tcPr>
          <w:p w:rsidR="00992A9A" w:rsidP="006F1514" w:rsidRDefault="00992A9A" w14:paraId="0BBE49AF" w14:textId="77777777">
            <w:pPr>
              <w:ind w:firstLine="0"/>
              <w:jc w:val="center"/>
            </w:pPr>
            <w:r>
              <w:t>2023</w:t>
            </w:r>
          </w:p>
          <w:p w:rsidR="00992A9A" w:rsidP="006F1514" w:rsidRDefault="00992A9A" w14:paraId="1E1D72E0" w14:textId="77777777">
            <w:pPr>
              <w:ind w:firstLine="0"/>
              <w:jc w:val="center"/>
            </w:pPr>
            <w:r>
              <w:t>2024</w:t>
            </w:r>
          </w:p>
          <w:p w:rsidR="00992A9A" w:rsidP="006F1514" w:rsidRDefault="00992A9A" w14:paraId="6ACCCCF8" w14:textId="77777777">
            <w:pPr>
              <w:ind w:firstLine="0"/>
              <w:jc w:val="center"/>
            </w:pPr>
            <w:r>
              <w:t>2025</w:t>
            </w:r>
          </w:p>
          <w:p w:rsidR="00992A9A" w:rsidP="006F1514" w:rsidRDefault="00992A9A" w14:paraId="4DE03EE1" w14:textId="77777777">
            <w:pPr>
              <w:ind w:firstLine="0"/>
              <w:jc w:val="center"/>
            </w:pPr>
            <w:r>
              <w:t>2026</w:t>
            </w:r>
          </w:p>
          <w:p w:rsidR="00992A9A" w:rsidP="006F1514" w:rsidRDefault="00992A9A" w14:paraId="2ED91016" w14:textId="77777777">
            <w:pPr>
              <w:ind w:firstLine="0"/>
              <w:jc w:val="center"/>
            </w:pPr>
            <w:r>
              <w:lastRenderedPageBreak/>
              <w:t>2027</w:t>
            </w:r>
          </w:p>
          <w:p w:rsidR="00992A9A" w:rsidP="006F1514" w:rsidRDefault="00992A9A" w14:paraId="584AE75E" w14:textId="77777777">
            <w:pPr>
              <w:ind w:firstLine="0"/>
              <w:jc w:val="center"/>
            </w:pPr>
            <w:r>
              <w:t>2028</w:t>
            </w:r>
          </w:p>
          <w:p w:rsidR="00992A9A" w:rsidP="006F1514" w:rsidRDefault="00992A9A" w14:paraId="4C9AF703" w14:textId="77777777">
            <w:pPr>
              <w:ind w:firstLine="0"/>
              <w:jc w:val="center"/>
            </w:pPr>
            <w:r>
              <w:t>2029</w:t>
            </w:r>
          </w:p>
          <w:p w:rsidR="00992A9A" w:rsidP="006F1514" w:rsidRDefault="007A3407" w14:paraId="7002FD36" w14:textId="58037053">
            <w:pPr>
              <w:ind w:firstLine="0"/>
              <w:jc w:val="center"/>
            </w:pPr>
            <w:r>
              <w:t xml:space="preserve">  </w:t>
            </w:r>
            <w:r w:rsidR="00992A9A">
              <w:t>2030+</w:t>
            </w:r>
          </w:p>
        </w:tc>
        <w:tc>
          <w:tcPr>
            <w:tcW w:w="1654" w:type="dxa"/>
          </w:tcPr>
          <w:p w:rsidR="00992A9A" w:rsidP="006F1514" w:rsidRDefault="00992A9A" w14:paraId="3DB8F9A0" w14:textId="77777777">
            <w:pPr>
              <w:ind w:firstLine="0"/>
              <w:jc w:val="center"/>
            </w:pPr>
            <w:r>
              <w:lastRenderedPageBreak/>
              <w:t>2%</w:t>
            </w:r>
          </w:p>
          <w:p w:rsidR="00992A9A" w:rsidP="006F1514" w:rsidRDefault="00992A9A" w14:paraId="7C4D5673" w14:textId="77777777">
            <w:pPr>
              <w:ind w:firstLine="0"/>
              <w:jc w:val="center"/>
            </w:pPr>
            <w:r>
              <w:t>4%</w:t>
            </w:r>
          </w:p>
          <w:p w:rsidR="00992A9A" w:rsidP="006F1514" w:rsidRDefault="00992A9A" w14:paraId="3DFA6620" w14:textId="77777777">
            <w:pPr>
              <w:ind w:firstLine="0"/>
              <w:jc w:val="center"/>
            </w:pPr>
            <w:r>
              <w:t>13%</w:t>
            </w:r>
          </w:p>
          <w:p w:rsidR="00992A9A" w:rsidP="006F1514" w:rsidRDefault="00992A9A" w14:paraId="4A2CA647" w14:textId="77777777">
            <w:pPr>
              <w:ind w:firstLine="0"/>
              <w:jc w:val="center"/>
            </w:pPr>
            <w:r>
              <w:t>30%</w:t>
            </w:r>
          </w:p>
          <w:p w:rsidR="00992A9A" w:rsidP="006F1514" w:rsidRDefault="00992A9A" w14:paraId="2DF3C4AA" w14:textId="77777777">
            <w:pPr>
              <w:ind w:firstLine="0"/>
              <w:jc w:val="center"/>
            </w:pPr>
            <w:r>
              <w:lastRenderedPageBreak/>
              <w:t>50%</w:t>
            </w:r>
          </w:p>
          <w:p w:rsidR="00992A9A" w:rsidP="006F1514" w:rsidRDefault="00992A9A" w14:paraId="7BCC838C" w14:textId="77777777">
            <w:pPr>
              <w:ind w:firstLine="0"/>
              <w:jc w:val="center"/>
            </w:pPr>
            <w:r>
              <w:t>65%</w:t>
            </w:r>
          </w:p>
          <w:p w:rsidR="00992A9A" w:rsidP="006F1514" w:rsidRDefault="00992A9A" w14:paraId="6FDF913C" w14:textId="77777777">
            <w:pPr>
              <w:ind w:firstLine="0"/>
              <w:jc w:val="center"/>
            </w:pPr>
            <w:r>
              <w:t>80%</w:t>
            </w:r>
          </w:p>
          <w:p w:rsidR="00992A9A" w:rsidP="006F1514" w:rsidRDefault="00992A9A" w14:paraId="6ED3A2E8" w14:textId="77777777">
            <w:pPr>
              <w:ind w:firstLine="0"/>
              <w:jc w:val="center"/>
            </w:pPr>
            <w:r>
              <w:t>90%</w:t>
            </w:r>
          </w:p>
        </w:tc>
      </w:tr>
    </w:tbl>
    <w:p w:rsidR="00CA625B" w:rsidP="00B81773" w:rsidRDefault="00CA625B" w14:paraId="0B805083" w14:textId="1E1646BF">
      <w:pPr>
        <w:pStyle w:val="Standard"/>
        <w:spacing w:before="240"/>
      </w:pPr>
      <w:r w:rsidRPr="00CA625B">
        <w:rPr>
          <w:b/>
          <w:bCs/>
          <w:u w:val="single"/>
        </w:rPr>
        <w:lastRenderedPageBreak/>
        <w:t>Exemptions</w:t>
      </w:r>
      <w:r>
        <w:t xml:space="preserve">. </w:t>
      </w:r>
      <w:r w:rsidR="00D70DBD">
        <w:t xml:space="preserve"> </w:t>
      </w:r>
      <w:r>
        <w:t>CARB’s Proposed CMS Regulation Order exempts small TNCs and certain wheelchair-accessible trips.</w:t>
      </w:r>
    </w:p>
    <w:p w:rsidR="00D7064A" w:rsidP="00B67FEB" w:rsidRDefault="00D7064A" w14:paraId="4BEEA4C1" w14:textId="686C4A2B">
      <w:pPr>
        <w:pStyle w:val="Standard"/>
        <w:rPr>
          <w:rFonts w:eastAsia="Arial"/>
        </w:rPr>
      </w:pPr>
      <w:r>
        <w:rPr>
          <w:rFonts w:eastAsia="Arial"/>
          <w:u w:val="single"/>
        </w:rPr>
        <w:t>Small TNCs</w:t>
      </w:r>
      <w:r w:rsidR="00CA625B">
        <w:rPr>
          <w:rFonts w:eastAsia="Arial"/>
        </w:rPr>
        <w:t xml:space="preserve">. </w:t>
      </w:r>
      <w:r w:rsidR="00D70DBD">
        <w:rPr>
          <w:rFonts w:eastAsia="Arial"/>
        </w:rPr>
        <w:t xml:space="preserve"> </w:t>
      </w:r>
      <w:r>
        <w:t>According to CARB’s analysis, i</w:t>
      </w:r>
      <w:r w:rsidRPr="001A4891">
        <w:t>n 2018, “small” TNCs travelled about 5.9 million miles, representing just 0.14% of Lyft and Uber’s combined VMT.</w:t>
      </w:r>
      <w:r w:rsidRPr="35856796">
        <w:rPr>
          <w:rStyle w:val="FootnoteReference"/>
        </w:rPr>
        <w:footnoteReference w:id="27"/>
      </w:r>
      <w:r w:rsidRPr="001A4891">
        <w:t xml:space="preserve"> </w:t>
      </w:r>
      <w:r w:rsidR="00D70DBD">
        <w:t xml:space="preserve"> </w:t>
      </w:r>
      <w:r w:rsidRPr="001A4891">
        <w:rPr>
          <w:rFonts w:eastAsia="Arial"/>
        </w:rPr>
        <w:t xml:space="preserve">CARB’s CMS regulations apply only </w:t>
      </w:r>
      <w:r>
        <w:rPr>
          <w:rFonts w:eastAsia="Arial"/>
        </w:rPr>
        <w:t>to TNCs that exceed five</w:t>
      </w:r>
      <w:r w:rsidR="00D70DBD">
        <w:rPr>
          <w:rFonts w:eastAsia="Arial"/>
        </w:rPr>
        <w:t> </w:t>
      </w:r>
      <w:r>
        <w:rPr>
          <w:rFonts w:eastAsia="Arial"/>
        </w:rPr>
        <w:t>million vehicle miles traveled annually.</w:t>
      </w:r>
      <w:r w:rsidRPr="62C68AF6">
        <w:rPr>
          <w:rStyle w:val="FootnoteReference"/>
        </w:rPr>
        <w:footnoteReference w:id="28"/>
      </w:r>
      <w:r w:rsidRPr="001A4891">
        <w:rPr>
          <w:rFonts w:eastAsia="Arial"/>
        </w:rPr>
        <w:t xml:space="preserve"> </w:t>
      </w:r>
      <w:r w:rsidR="00D70DBD">
        <w:rPr>
          <w:rFonts w:eastAsia="Arial"/>
        </w:rPr>
        <w:t xml:space="preserve"> </w:t>
      </w:r>
      <w:r>
        <w:rPr>
          <w:rFonts w:eastAsia="Arial"/>
        </w:rPr>
        <w:t xml:space="preserve">As calculated from 2018 data, this means that only Lyft and Uber are initially subject to CMS regulation. </w:t>
      </w:r>
      <w:r w:rsidR="00D70DBD">
        <w:rPr>
          <w:rFonts w:eastAsia="Arial"/>
        </w:rPr>
        <w:t xml:space="preserve"> </w:t>
      </w:r>
      <w:r>
        <w:rPr>
          <w:rFonts w:eastAsia="Arial"/>
        </w:rPr>
        <w:t xml:space="preserve">If another TNC exceeds five million vehicle miles travelled in a </w:t>
      </w:r>
      <w:r w:rsidR="00AE7BF1">
        <w:rPr>
          <w:rFonts w:eastAsia="Arial"/>
        </w:rPr>
        <w:t xml:space="preserve">calendar </w:t>
      </w:r>
      <w:r>
        <w:rPr>
          <w:rFonts w:eastAsia="Arial"/>
        </w:rPr>
        <w:t xml:space="preserve">year, it will also be subject to the CMS regulation </w:t>
      </w:r>
      <w:r w:rsidR="00EF5727">
        <w:t xml:space="preserve">the same calendar year </w:t>
      </w:r>
      <w:r w:rsidR="51A424FB">
        <w:t>it</w:t>
      </w:r>
      <w:r w:rsidR="00EF5727">
        <w:t xml:space="preserve"> exceed</w:t>
      </w:r>
      <w:r w:rsidR="001C1F81">
        <w:t>s</w:t>
      </w:r>
      <w:r w:rsidR="00EF5727">
        <w:t xml:space="preserve"> </w:t>
      </w:r>
      <w:r w:rsidR="008D536C">
        <w:t>five</w:t>
      </w:r>
      <w:r w:rsidR="00EF5727">
        <w:t xml:space="preserve"> million VMT.</w:t>
      </w:r>
    </w:p>
    <w:p w:rsidRPr="00CA625B" w:rsidR="00D7064A" w:rsidP="00B67FEB" w:rsidRDefault="00D7064A" w14:paraId="02AEFB61" w14:textId="1F41B1A2">
      <w:pPr>
        <w:pStyle w:val="Standard"/>
        <w:rPr>
          <w:rFonts w:eastAsia="Arial"/>
        </w:rPr>
      </w:pPr>
      <w:r>
        <w:rPr>
          <w:u w:val="single"/>
        </w:rPr>
        <w:t>Wheelchair</w:t>
      </w:r>
      <w:r w:rsidR="00CA625B">
        <w:rPr>
          <w:u w:val="single"/>
        </w:rPr>
        <w:t>-</w:t>
      </w:r>
      <w:r>
        <w:rPr>
          <w:u w:val="single"/>
        </w:rPr>
        <w:t>Accessible Vehicles</w:t>
      </w:r>
      <w:r w:rsidR="00CA625B">
        <w:rPr>
          <w:rFonts w:eastAsia="Arial"/>
        </w:rPr>
        <w:t xml:space="preserve">. </w:t>
      </w:r>
      <w:r w:rsidR="00D70DBD">
        <w:rPr>
          <w:rFonts w:eastAsia="Arial"/>
        </w:rPr>
        <w:t xml:space="preserve"> </w:t>
      </w:r>
      <w:r>
        <w:t>CARB exempts certain wheelchair</w:t>
      </w:r>
      <w:r w:rsidR="00D70DBD">
        <w:noBreakHyphen/>
      </w:r>
      <w:r>
        <w:t>accessible trips from inclusion in the calculation of a TNC’s annual</w:t>
      </w:r>
      <w:r w:rsidR="00CA625B">
        <w:t xml:space="preserve"> </w:t>
      </w:r>
      <w:r w:rsidR="004B5DE1">
        <w:t>GHG</w:t>
      </w:r>
      <w:r>
        <w:t xml:space="preserve"> emissions. </w:t>
      </w:r>
      <w:r w:rsidR="00D70DBD">
        <w:t xml:space="preserve"> </w:t>
      </w:r>
      <w:r>
        <w:t>Per CARB’s regulation, “</w:t>
      </w:r>
      <w:r w:rsidRPr="0069229B">
        <w:t>Trips on TNC apps that are requested and fulfilled as wheelchair-accessible vehicle trips shall not be included in the calculation of</w:t>
      </w:r>
      <w:r>
        <w:t xml:space="preserve"> [annual </w:t>
      </w:r>
      <w:r w:rsidR="004B5DE1">
        <w:t>GHG</w:t>
      </w:r>
      <w:r>
        <w:t xml:space="preserve"> emissions per passenger mile traveled].”</w:t>
      </w:r>
      <w:r>
        <w:rPr>
          <w:rStyle w:val="FootnoteReference"/>
        </w:rPr>
        <w:footnoteReference w:id="29"/>
      </w:r>
    </w:p>
    <w:p w:rsidR="00D87D9E" w:rsidP="00B67FEB" w:rsidRDefault="00D87D9E" w14:paraId="3033E217" w14:textId="20E4A7E9">
      <w:pPr>
        <w:pStyle w:val="Standard"/>
      </w:pPr>
      <w:r>
        <w:rPr>
          <w:rFonts w:eastAsia="Arial"/>
          <w:b/>
          <w:bCs/>
          <w:u w:val="single"/>
        </w:rPr>
        <w:t>Credits</w:t>
      </w:r>
      <w:r>
        <w:rPr>
          <w:rFonts w:eastAsia="Arial"/>
        </w:rPr>
        <w:t xml:space="preserve">. </w:t>
      </w:r>
      <w:r w:rsidR="00D70DBD">
        <w:rPr>
          <w:rFonts w:eastAsia="Arial"/>
        </w:rPr>
        <w:t xml:space="preserve"> </w:t>
      </w:r>
      <w:r w:rsidR="00D7064A">
        <w:t xml:space="preserve">CARB’s regulation allows </w:t>
      </w:r>
      <w:r w:rsidRPr="002C2172" w:rsidR="00D7064A">
        <w:t xml:space="preserve">TNCs </w:t>
      </w:r>
      <w:r w:rsidR="00D7064A">
        <w:t>to</w:t>
      </w:r>
      <w:r w:rsidRPr="00FA2AFD" w:rsidR="00D7064A">
        <w:t xml:space="preserve"> reach their GHG targets with several types of credits, as detailed below. </w:t>
      </w:r>
      <w:r w:rsidR="00D70DBD">
        <w:t xml:space="preserve"> </w:t>
      </w:r>
      <w:r w:rsidRPr="00FA2AFD" w:rsidR="00D7064A">
        <w:t xml:space="preserve">Credits are granted in the unit of </w:t>
      </w:r>
      <w:r w:rsidRPr="00FA2AFD" w:rsidR="00D7064A">
        <w:lastRenderedPageBreak/>
        <w:t>grams CO</w:t>
      </w:r>
      <w:r w:rsidRPr="00FA2AFD" w:rsidR="00D7064A">
        <w:rPr>
          <w:vertAlign w:val="subscript"/>
        </w:rPr>
        <w:t>2</w:t>
      </w:r>
      <w:r w:rsidRPr="00FA2AFD" w:rsidR="00D7064A">
        <w:t xml:space="preserve"> and contribute toward a company’s GHG target. </w:t>
      </w:r>
      <w:r w:rsidR="00D70DBD">
        <w:t> </w:t>
      </w:r>
      <w:r w:rsidRPr="00FA2AFD" w:rsidR="00D7064A">
        <w:t>There is no credit program associated with companies’ eVMT targets.</w:t>
      </w:r>
    </w:p>
    <w:p w:rsidRPr="00FA2AFD" w:rsidR="00D7064A" w:rsidP="00D87D9E" w:rsidRDefault="00D7064A" w14:paraId="0E6B4B57" w14:textId="554A2A92">
      <w:pPr>
        <w:pStyle w:val="Standard"/>
      </w:pPr>
      <w:r w:rsidRPr="00FA2AFD">
        <w:rPr>
          <w:u w:val="single"/>
        </w:rPr>
        <w:t>Over-Compliance Credits</w:t>
      </w:r>
      <w:r w:rsidRPr="00D87D9E" w:rsidR="00D87D9E">
        <w:t>.</w:t>
      </w:r>
      <w:r w:rsidR="00D87D9E">
        <w:t xml:space="preserve">  </w:t>
      </w:r>
      <w:r>
        <w:t xml:space="preserve">Over-compliance credits are issued when a TNC exceeds the </w:t>
      </w:r>
      <w:r w:rsidR="00D87D9E">
        <w:t xml:space="preserve">GHG emissions </w:t>
      </w:r>
      <w:r>
        <w:t xml:space="preserve">compliance targets for a given year. </w:t>
      </w:r>
      <w:r w:rsidR="00D70DBD">
        <w:t xml:space="preserve"> </w:t>
      </w:r>
      <w:r>
        <w:t>If a TNC’s annual CO</w:t>
      </w:r>
      <w:r w:rsidRPr="7F1C239E">
        <w:rPr>
          <w:vertAlign w:val="subscript"/>
        </w:rPr>
        <w:t>2</w:t>
      </w:r>
      <w:r>
        <w:t xml:space="preserve">/PMT emissions are lower than the requirement shown in the GHG target table for a given year, the Commission may issue over-compliance credits equal to the difference between the target and the emissions achieved. </w:t>
      </w:r>
      <w:r w:rsidR="00D70DBD">
        <w:t xml:space="preserve"> </w:t>
      </w:r>
      <w:r>
        <w:t xml:space="preserve">These credits may be used in any of the subsequent three calendar years and will expire after this three-year period. </w:t>
      </w:r>
      <w:r w:rsidR="00D70DBD">
        <w:t xml:space="preserve"> </w:t>
      </w:r>
      <w:r>
        <w:t>Credits may not be used to comply with prior calendar years’ GHG targets.</w:t>
      </w:r>
      <w:r>
        <w:rPr>
          <w:rStyle w:val="FootnoteReference"/>
        </w:rPr>
        <w:footnoteReference w:id="30"/>
      </w:r>
    </w:p>
    <w:p w:rsidR="00190C58" w:rsidP="001930B8" w:rsidRDefault="00D7064A" w14:paraId="58215A1A" w14:textId="1950104A">
      <w:pPr>
        <w:pStyle w:val="Standard"/>
      </w:pPr>
      <w:r w:rsidRPr="00FA2AFD">
        <w:rPr>
          <w:u w:val="single"/>
        </w:rPr>
        <w:t>Optional Credits</w:t>
      </w:r>
      <w:r w:rsidR="00D87D9E">
        <w:t xml:space="preserve">. </w:t>
      </w:r>
      <w:r w:rsidR="00D70DBD">
        <w:t xml:space="preserve"> </w:t>
      </w:r>
      <w:r w:rsidRPr="00FA2AFD">
        <w:t>CARB established two optional credit programs, which offer covered entities alternative methods for achieving the GHG emissions targets</w:t>
      </w:r>
      <w:r>
        <w:t xml:space="preserve"> in addition to transitioning passenger miles traveled to electric vehicles</w:t>
      </w:r>
      <w:r w:rsidRPr="00FA2AFD">
        <w:t xml:space="preserve">. </w:t>
      </w:r>
    </w:p>
    <w:p w:rsidR="00B67A98" w:rsidP="001930B8" w:rsidRDefault="0341703E" w14:paraId="469B41EE" w14:textId="25D991B9">
      <w:pPr>
        <w:pStyle w:val="Standard"/>
        <w:rPr>
          <w:vertAlign w:val="superscript"/>
        </w:rPr>
      </w:pPr>
      <w:r>
        <w:t>The Commission may</w:t>
      </w:r>
      <w:r w:rsidR="394AC043">
        <w:t xml:space="preserve"> </w:t>
      </w:r>
      <w:r>
        <w:t xml:space="preserve">issue optional </w:t>
      </w:r>
      <w:r w:rsidRPr="00333AB8">
        <w:t>CO</w:t>
      </w:r>
      <w:r w:rsidRPr="00333AB8">
        <w:rPr>
          <w:vertAlign w:val="subscript"/>
        </w:rPr>
        <w:t>2</w:t>
      </w:r>
      <w:r>
        <w:t xml:space="preserve"> credits</w:t>
      </w:r>
      <w:r w:rsidRPr="009C35AF">
        <w:t xml:space="preserve"> for TNCs’ </w:t>
      </w:r>
      <w:r w:rsidR="394AC043">
        <w:t>(i) i</w:t>
      </w:r>
      <w:r>
        <w:t>nvestment</w:t>
      </w:r>
      <w:r w:rsidR="394AC043">
        <w:t>s</w:t>
      </w:r>
      <w:r>
        <w:t xml:space="preserve"> in b</w:t>
      </w:r>
      <w:r w:rsidRPr="009C35AF">
        <w:t>ikeway and sidewalk infrastructure projects</w:t>
      </w:r>
      <w:r w:rsidR="394AC043">
        <w:t>, and (ii) mass</w:t>
      </w:r>
      <w:r>
        <w:t xml:space="preserve"> transit connected </w:t>
      </w:r>
      <w:r w:rsidR="394AC043">
        <w:t xml:space="preserve">TNC </w:t>
      </w:r>
      <w:r>
        <w:t>trips</w:t>
      </w:r>
      <w:r w:rsidR="394AC043">
        <w:t xml:space="preserve">. </w:t>
      </w:r>
      <w:r w:rsidR="00D70DBD">
        <w:t xml:space="preserve"> </w:t>
      </w:r>
      <w:r>
        <w:t>Mass transit connected</w:t>
      </w:r>
      <w:r w:rsidRPr="009C35AF">
        <w:t xml:space="preserve"> trips are where a TNC </w:t>
      </w:r>
      <w:r>
        <w:t xml:space="preserve">vehicle </w:t>
      </w:r>
      <w:r w:rsidRPr="009C35AF">
        <w:t xml:space="preserve">trip </w:t>
      </w:r>
      <w:r>
        <w:t>connects to or from a mass transit trip</w:t>
      </w:r>
      <w:r w:rsidR="4C819693">
        <w:t xml:space="preserve">. </w:t>
      </w:r>
      <w:r w:rsidR="007375CD">
        <w:t xml:space="preserve"> </w:t>
      </w:r>
      <w:r w:rsidR="4C819693">
        <w:t xml:space="preserve">If </w:t>
      </w:r>
      <w:r w:rsidR="4BA59636">
        <w:t xml:space="preserve">issued, </w:t>
      </w:r>
      <w:r w:rsidR="752F1E92">
        <w:t xml:space="preserve">the Commission shall use the </w:t>
      </w:r>
      <w:r w:rsidR="009B3BEE">
        <w:t>CO</w:t>
      </w:r>
      <w:r w:rsidRPr="00DD48BB" w:rsidR="009B3BEE">
        <w:rPr>
          <w:vertAlign w:val="subscript"/>
        </w:rPr>
        <w:t>2</w:t>
      </w:r>
      <w:r w:rsidR="009B3BEE">
        <w:t xml:space="preserve"> credit equations</w:t>
      </w:r>
      <w:r w:rsidR="00554420">
        <w:t xml:space="preserve"> provided for each </w:t>
      </w:r>
      <w:r w:rsidR="00936CE6">
        <w:t>credit provision</w:t>
      </w:r>
      <w:r w:rsidR="009B3BEE">
        <w:t xml:space="preserve"> </w:t>
      </w:r>
      <w:r w:rsidR="7628D317">
        <w:t>in CARB’s</w:t>
      </w:r>
      <w:r w:rsidR="15744A7B">
        <w:t xml:space="preserve"> Proposed</w:t>
      </w:r>
      <w:r w:rsidR="7628D317">
        <w:t xml:space="preserve"> CMS </w:t>
      </w:r>
      <w:r w:rsidR="30790C80">
        <w:t>Regulation</w:t>
      </w:r>
      <w:r w:rsidR="00CA2668">
        <w:rPr>
          <w:rStyle w:val="FootnoteReference"/>
        </w:rPr>
        <w:footnoteReference w:id="31"/>
      </w:r>
      <w:r w:rsidR="41E19403">
        <w:t>.</w:t>
      </w:r>
      <w:r w:rsidR="30790C80">
        <w:t xml:space="preserve"> </w:t>
      </w:r>
      <w:r w:rsidR="0009555A">
        <w:t>The investments in bikeway and sidewalk infrastructure projects credit is based on multiplying the</w:t>
      </w:r>
      <w:r w:rsidR="006C2924">
        <w:t xml:space="preserve"> total</w:t>
      </w:r>
      <w:r w:rsidR="0009555A">
        <w:t xml:space="preserve"> </w:t>
      </w:r>
      <w:r w:rsidR="006C2924">
        <w:t xml:space="preserve">dollars invested in the project by </w:t>
      </w:r>
      <w:r w:rsidR="00FF7225">
        <w:t>907</w:t>
      </w:r>
      <w:r w:rsidRPr="002C08FE" w:rsidR="00FF7225">
        <w:t>,185</w:t>
      </w:r>
      <w:r w:rsidRPr="002C08FE" w:rsidR="00FB7C0C">
        <w:t> </w:t>
      </w:r>
      <w:r w:rsidRPr="002C08FE" w:rsidR="00551DB8">
        <w:t>CO</w:t>
      </w:r>
      <w:r w:rsidRPr="002C08FE" w:rsidR="00551DB8">
        <w:rPr>
          <w:vertAlign w:val="subscript"/>
        </w:rPr>
        <w:t>2</w:t>
      </w:r>
      <w:r w:rsidR="00551DB8">
        <w:t xml:space="preserve"> </w:t>
      </w:r>
      <w:r w:rsidR="00FF7225">
        <w:t>grams/ton</w:t>
      </w:r>
      <w:r w:rsidR="006C2924">
        <w:t xml:space="preserve"> </w:t>
      </w:r>
      <w:r w:rsidR="008714C9">
        <w:t xml:space="preserve">and dividing by the product of </w:t>
      </w:r>
      <w:r w:rsidR="00931FD8">
        <w:t>$128 per ton and the project life in years.</w:t>
      </w:r>
      <w:r w:rsidR="00AD07D0">
        <w:rPr>
          <w:rStyle w:val="FootnoteReference"/>
        </w:rPr>
        <w:footnoteReference w:id="32"/>
      </w:r>
      <w:r w:rsidR="00931FD8">
        <w:t xml:space="preserve"> </w:t>
      </w:r>
      <w:r w:rsidR="00B67FEB">
        <w:t xml:space="preserve"> </w:t>
      </w:r>
      <w:r w:rsidR="0009555A">
        <w:t xml:space="preserve">The mass transit connected TNC trip credit is </w:t>
      </w:r>
      <w:r w:rsidR="19A96ED2">
        <w:t xml:space="preserve">based on </w:t>
      </w:r>
      <w:r w:rsidR="2B85461B">
        <w:t>mu</w:t>
      </w:r>
      <w:r w:rsidR="50341C03">
        <w:t>ltiplying</w:t>
      </w:r>
      <w:r w:rsidR="3A443A6B">
        <w:t xml:space="preserve"> </w:t>
      </w:r>
      <w:r w:rsidR="3759A613">
        <w:t xml:space="preserve">the VMT </w:t>
      </w:r>
      <w:r w:rsidR="3A443A6B">
        <w:t>of the</w:t>
      </w:r>
      <w:r w:rsidR="7919844F">
        <w:t xml:space="preserve"> total distance of the TNC</w:t>
      </w:r>
      <w:r w:rsidR="0E6D9C87">
        <w:t xml:space="preserve"> vehicle trip that is </w:t>
      </w:r>
      <w:r w:rsidR="0E6D9C87">
        <w:lastRenderedPageBreak/>
        <w:t>connected with a</w:t>
      </w:r>
      <w:r w:rsidR="3A443A6B">
        <w:t xml:space="preserve"> mass transit trip</w:t>
      </w:r>
      <w:r w:rsidR="394AC043">
        <w:t xml:space="preserve"> </w:t>
      </w:r>
      <w:r w:rsidR="0E6D9C87">
        <w:t>(</w:t>
      </w:r>
      <w:r w:rsidR="0B1ABB60">
        <w:t>verified through the TNC’s app</w:t>
      </w:r>
      <w:r w:rsidR="5C887DAA">
        <w:t xml:space="preserve"> or </w:t>
      </w:r>
      <w:r w:rsidR="589A1CFC">
        <w:t>other methods from which verified TNC-to-mass-transit-connected trip data can be collected and submitted</w:t>
      </w:r>
      <w:r w:rsidR="218C5EC4">
        <w:t>)</w:t>
      </w:r>
      <w:r w:rsidR="1909792D">
        <w:t xml:space="preserve"> with </w:t>
      </w:r>
      <w:r w:rsidR="341DEFDF">
        <w:t>242</w:t>
      </w:r>
      <w:r w:rsidR="469605CF">
        <w:t xml:space="preserve"> grams per mile (</w:t>
      </w:r>
      <w:r w:rsidR="1909792D">
        <w:t>the California fleet-wide average fuel econo</w:t>
      </w:r>
      <w:r w:rsidR="341DEFDF">
        <w:t>m</w:t>
      </w:r>
      <w:r w:rsidR="1909792D">
        <w:t>y for light-duty vehicles in the 2018 base year</w:t>
      </w:r>
      <w:r w:rsidR="469605CF">
        <w:t>)</w:t>
      </w:r>
      <w:r w:rsidR="394AC043">
        <w:t>.</w:t>
      </w:r>
      <w:r w:rsidR="00D7064A">
        <w:rPr>
          <w:rStyle w:val="FootnoteReference"/>
        </w:rPr>
        <w:footnoteReference w:id="33"/>
      </w:r>
      <w:r w:rsidRPr="009C35AF">
        <w:rPr>
          <w:vertAlign w:val="superscript"/>
        </w:rPr>
        <w:t xml:space="preserve"> </w:t>
      </w:r>
      <w:r w:rsidR="00B67FEB">
        <w:rPr>
          <w:vertAlign w:val="superscript"/>
        </w:rPr>
        <w:t xml:space="preserve"> </w:t>
      </w:r>
      <w:r w:rsidR="00A34E13">
        <w:t xml:space="preserve">The resulting </w:t>
      </w:r>
      <w:r w:rsidRPr="00FA2AFD" w:rsidR="00A34E13">
        <w:t>CO</w:t>
      </w:r>
      <w:r w:rsidRPr="009C35AF" w:rsidR="00A34E13">
        <w:rPr>
          <w:vertAlign w:val="subscript"/>
        </w:rPr>
        <w:t>2</w:t>
      </w:r>
      <w:r w:rsidR="00A34E13">
        <w:t xml:space="preserve"> credits may be applied to the GHG compliance equation.</w:t>
      </w:r>
    </w:p>
    <w:p w:rsidR="00D7064A" w:rsidP="001C5D76" w:rsidRDefault="0341703E" w14:paraId="6C29D120" w14:textId="5E63826E">
      <w:pPr>
        <w:pStyle w:val="Standard"/>
      </w:pPr>
      <w:r>
        <w:t>The Commission may also develop its own optional credit programs</w:t>
      </w:r>
      <w:r w:rsidR="0ACBC390">
        <w:t xml:space="preserve"> </w:t>
      </w:r>
      <w:r>
        <w:t>for TNCs to comply with annual GHG targets</w:t>
      </w:r>
      <w:r w:rsidR="0ACBC390">
        <w:t>.</w:t>
      </w:r>
      <w:r w:rsidR="00D7064A">
        <w:rPr>
          <w:rStyle w:val="FootnoteReference"/>
        </w:rPr>
        <w:footnoteReference w:id="34"/>
      </w:r>
    </w:p>
    <w:p w:rsidRPr="00F42BB3" w:rsidR="00D7064A" w:rsidP="009B5F94" w:rsidRDefault="001C5D76" w14:paraId="4B80A175" w14:textId="61DB7B27">
      <w:pPr>
        <w:pStyle w:val="Heading2"/>
        <w:numPr>
          <w:ilvl w:val="1"/>
          <w:numId w:val="1"/>
        </w:numPr>
      </w:pPr>
      <w:bookmarkStart w:name="_Toc88569637" w:id="8"/>
      <w:r w:rsidRPr="00F42BB3">
        <w:rPr>
          <w:rFonts w:eastAsia="Arial"/>
        </w:rPr>
        <w:t>Transportation Electrification</w:t>
      </w:r>
      <w:bookmarkEnd w:id="8"/>
    </w:p>
    <w:p w:rsidR="00D7064A" w:rsidP="00B67A98" w:rsidRDefault="00D7064A" w14:paraId="57261225" w14:textId="68D2570F">
      <w:r>
        <w:t>O</w:t>
      </w:r>
      <w:r w:rsidRPr="6D157F23">
        <w:t xml:space="preserve">n September 23, 2020, California Governor Gavin Newson issued </w:t>
      </w:r>
      <w:r>
        <w:t>E</w:t>
      </w:r>
      <w:r w:rsidRPr="6D157F23">
        <w:t xml:space="preserve">xecutive </w:t>
      </w:r>
      <w:r>
        <w:t>O</w:t>
      </w:r>
      <w:r w:rsidRPr="6D157F23">
        <w:t xml:space="preserve">rder </w:t>
      </w:r>
      <w:r>
        <w:t xml:space="preserve">N-79-20 </w:t>
      </w:r>
      <w:r w:rsidRPr="6D157F23">
        <w:t>requiring all new cars and passenger trucks sold in California to be zero-emission vehicles (ZEV) by 2035.</w:t>
      </w:r>
      <w:r w:rsidRPr="62C68AF6">
        <w:rPr>
          <w:rStyle w:val="FootnoteReference"/>
        </w:rPr>
        <w:footnoteReference w:id="35"/>
      </w:r>
      <w:r w:rsidRPr="00CB2646">
        <w:t xml:space="preserve"> </w:t>
      </w:r>
      <w:r w:rsidR="00B67FEB">
        <w:t xml:space="preserve"> </w:t>
      </w:r>
      <w:r w:rsidRPr="00CB2646">
        <w:t xml:space="preserve">This </w:t>
      </w:r>
      <w:r w:rsidR="001C5D76">
        <w:t>e</w:t>
      </w:r>
      <w:r w:rsidRPr="00CB2646">
        <w:t>xecutive</w:t>
      </w:r>
      <w:r w:rsidRPr="00CB2646" w:rsidDel="00646307">
        <w:t xml:space="preserve"> </w:t>
      </w:r>
      <w:r w:rsidR="001C5D76">
        <w:t>o</w:t>
      </w:r>
      <w:r w:rsidRPr="00CB2646">
        <w:t xml:space="preserve">rder </w:t>
      </w:r>
      <w:r w:rsidR="00EF1B3F">
        <w:t>follows</w:t>
      </w:r>
      <w:r w:rsidRPr="00CB2646">
        <w:t xml:space="preserve"> </w:t>
      </w:r>
      <w:r w:rsidR="001C5D76">
        <w:t>previous</w:t>
      </w:r>
      <w:r w:rsidRPr="00CB2646">
        <w:t xml:space="preserve"> announcements from both Lyft and Uber</w:t>
      </w:r>
      <w:r w:rsidR="0026333C">
        <w:t xml:space="preserve"> in 2020</w:t>
      </w:r>
      <w:r w:rsidRPr="00CB2646">
        <w:t xml:space="preserve"> </w:t>
      </w:r>
      <w:r>
        <w:t xml:space="preserve">that promise </w:t>
      </w:r>
      <w:r w:rsidRPr="00CB2646">
        <w:t>to shift their fleets to 100% electric vehicles (EV) by 2030 and 2040, respectively.</w:t>
      </w:r>
      <w:r w:rsidRPr="62C68AF6">
        <w:rPr>
          <w:rStyle w:val="FootnoteReference"/>
        </w:rPr>
        <w:footnoteReference w:id="36"/>
      </w:r>
      <w:r w:rsidRPr="00CB2646">
        <w:t xml:space="preserve"> </w:t>
      </w:r>
    </w:p>
    <w:p w:rsidRPr="008B7ADF" w:rsidR="00D7064A" w:rsidP="00AB4392" w:rsidRDefault="6B427544" w14:paraId="3A7CDAA1" w14:textId="1F15B137">
      <w:r w:rsidRPr="00CB2646">
        <w:t>The Commission is currently developing a Transportation Electrification Framework, in R.18-12-006, which will incorporate the issues that need to be addressed for a comprehensive transition to EVs in the state and the supporting charging infrastructure that needs to be built</w:t>
      </w:r>
      <w:r>
        <w:t xml:space="preserve"> by the electric investor-owned utilities (IOU)</w:t>
      </w:r>
      <w:r w:rsidRPr="00CB2646">
        <w:t>.</w:t>
      </w:r>
      <w:r w:rsidRPr="62C68AF6" w:rsidR="00D7064A">
        <w:rPr>
          <w:rStyle w:val="FootnoteReference"/>
        </w:rPr>
        <w:footnoteReference w:id="37"/>
      </w:r>
      <w:r w:rsidRPr="6D157F23">
        <w:t xml:space="preserve"> </w:t>
      </w:r>
      <w:r w:rsidR="00B67FEB">
        <w:t xml:space="preserve"> </w:t>
      </w:r>
      <w:r w:rsidRPr="6D157F23" w:rsidR="495821FC">
        <w:t xml:space="preserve">Rulemaking 18-12-006 will address the </w:t>
      </w:r>
      <w:r w:rsidR="495821FC">
        <w:t xml:space="preserve">SB 1014 </w:t>
      </w:r>
      <w:r w:rsidR="1F45B912">
        <w:t xml:space="preserve">mandates that the </w:t>
      </w:r>
      <w:r w:rsidR="495821FC">
        <w:t xml:space="preserve">Commission advance the goals of </w:t>
      </w:r>
      <w:r w:rsidR="003141BF">
        <w:t xml:space="preserve">the </w:t>
      </w:r>
      <w:r w:rsidR="495821FC">
        <w:t>C</w:t>
      </w:r>
      <w:r w:rsidR="003141BF">
        <w:t xml:space="preserve">lean </w:t>
      </w:r>
      <w:r w:rsidR="495821FC">
        <w:t>M</w:t>
      </w:r>
      <w:r w:rsidR="003141BF">
        <w:t xml:space="preserve">iles </w:t>
      </w:r>
      <w:r w:rsidR="495821FC">
        <w:t>S</w:t>
      </w:r>
      <w:r w:rsidR="003141BF">
        <w:t>tandard</w:t>
      </w:r>
      <w:r w:rsidR="495821FC">
        <w:t xml:space="preserve"> in the review of transportation electrification applications </w:t>
      </w:r>
      <w:r w:rsidR="60D2FBFA">
        <w:t>and</w:t>
      </w:r>
      <w:r w:rsidR="495821FC">
        <w:t xml:space="preserve"> ensure that ongoing state planning </w:t>
      </w:r>
      <w:r w:rsidR="495821FC">
        <w:lastRenderedPageBreak/>
        <w:t xml:space="preserve">efforts and funding programs that are intended to accelerate the adoption of zero-emission vehicles and charging infrastructure shall consider the goals of </w:t>
      </w:r>
      <w:r w:rsidR="003141BF">
        <w:t xml:space="preserve">the </w:t>
      </w:r>
      <w:r w:rsidR="495821FC">
        <w:t>C</w:t>
      </w:r>
      <w:r w:rsidR="003141BF">
        <w:t xml:space="preserve">lean </w:t>
      </w:r>
      <w:r w:rsidR="495821FC">
        <w:t>M</w:t>
      </w:r>
      <w:r w:rsidR="003141BF">
        <w:t xml:space="preserve">iles </w:t>
      </w:r>
      <w:r w:rsidR="495821FC">
        <w:t>S</w:t>
      </w:r>
      <w:r w:rsidR="003141BF">
        <w:t>tandard</w:t>
      </w:r>
      <w:r w:rsidR="495821FC">
        <w:t>.</w:t>
      </w:r>
    </w:p>
    <w:p w:rsidR="005A148C" w:rsidP="00F42BB3" w:rsidRDefault="001574CE" w14:paraId="1227C7FB" w14:textId="62EA20ED">
      <w:pPr>
        <w:pStyle w:val="Heading1"/>
        <w:numPr>
          <w:ilvl w:val="0"/>
          <w:numId w:val="1"/>
        </w:numPr>
      </w:pPr>
      <w:bookmarkStart w:name="_Toc88569638" w:id="9"/>
      <w:r>
        <w:t>Purpose of Proceeding</w:t>
      </w:r>
      <w:bookmarkEnd w:id="9"/>
    </w:p>
    <w:p w:rsidR="00B351B1" w:rsidP="001574CE" w:rsidRDefault="001574CE" w14:paraId="4A370141" w14:textId="0EEA6AC5">
      <w:pPr>
        <w:pStyle w:val="Standard"/>
      </w:pPr>
      <w:bookmarkStart w:name="_Toc8123720" w:id="10"/>
      <w:r w:rsidRPr="001574CE">
        <w:t xml:space="preserve">The purpose of this proceeding is to </w:t>
      </w:r>
      <w:r>
        <w:t xml:space="preserve">implement </w:t>
      </w:r>
      <w:r w:rsidR="3835F832">
        <w:t>the</w:t>
      </w:r>
      <w:r>
        <w:t xml:space="preserve"> </w:t>
      </w:r>
      <w:r w:rsidR="00991B18">
        <w:t xml:space="preserve">Clean Miles Standard </w:t>
      </w:r>
      <w:r w:rsidRPr="001574CE">
        <w:t xml:space="preserve">in accordance with SB 1014 and Pub. Util. Code Section 5450.  </w:t>
      </w:r>
      <w:r w:rsidR="00621DAE">
        <w:t>As directed by SB</w:t>
      </w:r>
      <w:r w:rsidR="00605941">
        <w:t> </w:t>
      </w:r>
      <w:r w:rsidR="00621DAE">
        <w:t xml:space="preserve">1014, </w:t>
      </w:r>
      <w:r w:rsidRPr="001574CE">
        <w:t>CARB</w:t>
      </w:r>
      <w:r w:rsidR="00621DAE">
        <w:t xml:space="preserve"> </w:t>
      </w:r>
      <w:r w:rsidRPr="001574CE">
        <w:t>adopted regulation</w:t>
      </w:r>
      <w:r w:rsidR="00621DAE">
        <w:t>s specifying t</w:t>
      </w:r>
      <w:r w:rsidR="00AF3F9B">
        <w:t xml:space="preserve">he GHG emissions and eVMT targets </w:t>
      </w:r>
      <w:r w:rsidR="004C6299">
        <w:t xml:space="preserve">and goals </w:t>
      </w:r>
      <w:r w:rsidR="00AF3F9B">
        <w:t>for the TNCs</w:t>
      </w:r>
      <w:r w:rsidR="67ACBE5B">
        <w:t>.</w:t>
      </w:r>
    </w:p>
    <w:p w:rsidR="001574CE" w:rsidP="001574CE" w:rsidRDefault="001574CE" w14:paraId="54E842EB" w14:textId="0D6A832D">
      <w:pPr>
        <w:pStyle w:val="Standard"/>
      </w:pPr>
      <w:r w:rsidRPr="001574CE">
        <w:t>This proceeding will implement CARB’s adopted CMS targets and goals, ensure minimal negative impact on low-income and moderate-income drivers, support the goals of clean mobility for low- and moderate-income individuals, and ensure that CMS complements and supports sustainable land-use objectives.</w:t>
      </w:r>
    </w:p>
    <w:p w:rsidRPr="001574CE" w:rsidR="000B213A" w:rsidP="001574CE" w:rsidRDefault="000B213A" w14:paraId="1D1436DF" w14:textId="2A8F99C4">
      <w:pPr>
        <w:pStyle w:val="Standard"/>
      </w:pPr>
      <w:r>
        <w:rPr>
          <w:rFonts w:eastAsia="Arial"/>
        </w:rPr>
        <w:t xml:space="preserve">The Commission will </w:t>
      </w:r>
      <w:r>
        <w:t xml:space="preserve">establish </w:t>
      </w:r>
      <w:r w:rsidR="00D675AA">
        <w:t>a framework and a</w:t>
      </w:r>
      <w:r>
        <w:t xml:space="preserve"> standard template for TNCs’ GHG reduction plans. </w:t>
      </w:r>
      <w:r w:rsidR="007375CD">
        <w:t xml:space="preserve"> </w:t>
      </w:r>
      <w:r>
        <w:t xml:space="preserve">The Commission will review </w:t>
      </w:r>
      <w:r w:rsidR="00D25296">
        <w:t xml:space="preserve">the </w:t>
      </w:r>
      <w:r>
        <w:t xml:space="preserve">TNCs’ plans, collect data, verify compliance with </w:t>
      </w:r>
      <w:r w:rsidR="00D25296">
        <w:t>the</w:t>
      </w:r>
      <w:r>
        <w:t xml:space="preserve"> approved plans, and enforce compliance with </w:t>
      </w:r>
      <w:r w:rsidR="00D25296">
        <w:t>the</w:t>
      </w:r>
      <w:r>
        <w:t xml:space="preserve"> approved plans.</w:t>
      </w:r>
    </w:p>
    <w:p w:rsidR="005939A5" w:rsidP="00F42BB3" w:rsidRDefault="00446A4E" w14:paraId="0EEBD79E" w14:textId="600AFE41">
      <w:pPr>
        <w:pStyle w:val="Heading1"/>
        <w:numPr>
          <w:ilvl w:val="0"/>
          <w:numId w:val="1"/>
        </w:numPr>
      </w:pPr>
      <w:bookmarkStart w:name="_Toc88569639" w:id="11"/>
      <w:bookmarkEnd w:id="10"/>
      <w:r w:rsidRPr="00F42BB3">
        <w:rPr>
          <w:rFonts w:eastAsiaTheme="minorHAnsi"/>
        </w:rPr>
        <w:t>Preliminary Scoping Memo</w:t>
      </w:r>
      <w:bookmarkEnd w:id="11"/>
    </w:p>
    <w:p w:rsidR="006444F3" w:rsidP="006444F3" w:rsidRDefault="006444F3" w14:paraId="120EF8EA" w14:textId="77C83717">
      <w:pPr>
        <w:pStyle w:val="Standard"/>
      </w:pPr>
      <w:r w:rsidRPr="006444F3">
        <w:t>This rulemaking will be conducted in accordance with Article 6 of the Commission's Rules of Practice and Procedure</w:t>
      </w:r>
      <w:r w:rsidR="00EE7AA1">
        <w:t xml:space="preserve"> (Rules).</w:t>
      </w:r>
      <w:r w:rsidRPr="006444F3">
        <w:t xml:space="preserve">  As required by Rule</w:t>
      </w:r>
      <w:r w:rsidR="00B67FEB">
        <w:t> </w:t>
      </w:r>
      <w:r w:rsidRPr="006444F3">
        <w:t xml:space="preserve">7.1(d), this </w:t>
      </w:r>
      <w:r w:rsidR="00EE505A">
        <w:t>O</w:t>
      </w:r>
      <w:r w:rsidRPr="006444F3">
        <w:t xml:space="preserve">rder </w:t>
      </w:r>
      <w:r w:rsidR="00EE505A">
        <w:t>I</w:t>
      </w:r>
      <w:r w:rsidRPr="006444F3">
        <w:t xml:space="preserve">nstituting </w:t>
      </w:r>
      <w:r w:rsidR="00EE505A">
        <w:t>R</w:t>
      </w:r>
      <w:r w:rsidRPr="006444F3">
        <w:t xml:space="preserve">ulemaking (OIR) includes a preliminary scoping memo as set forth below, </w:t>
      </w:r>
      <w:r w:rsidR="00EE505A">
        <w:t>and</w:t>
      </w:r>
      <w:r w:rsidRPr="006444F3">
        <w:t xml:space="preserve"> preliminarily determines the category of this proceeding and the need for hearing. </w:t>
      </w:r>
    </w:p>
    <w:p w:rsidR="00EE505A" w:rsidP="62559184" w:rsidRDefault="00EE505A" w14:paraId="31B715B5" w14:textId="620ACBF1">
      <w:pPr>
        <w:pStyle w:val="Standard"/>
      </w:pPr>
      <w:r>
        <w:t>In this Preliminary Scoping Memo, we describe the issues to be considered</w:t>
      </w:r>
      <w:r w:rsidR="5C6D183B">
        <w:t xml:space="preserve"> </w:t>
      </w:r>
      <w:r>
        <w:t xml:space="preserve">in this proceeding and the timetable for resolving the proceeding. </w:t>
      </w:r>
      <w:r w:rsidR="00B67FEB">
        <w:t xml:space="preserve"> </w:t>
      </w:r>
      <w:r>
        <w:t>In response to</w:t>
      </w:r>
      <w:r w:rsidR="06D40FBC">
        <w:t xml:space="preserve"> </w:t>
      </w:r>
      <w:r>
        <w:t xml:space="preserve">this OIR, parties will have the opportunity to provide preliminary comments on the issues raised. </w:t>
      </w:r>
      <w:r w:rsidR="007375CD">
        <w:t xml:space="preserve"> </w:t>
      </w:r>
      <w:r>
        <w:t xml:space="preserve">After a prehearing conference, </w:t>
      </w:r>
      <w:r w:rsidRPr="005B44B7" w:rsidR="11508059">
        <w:t>the</w:t>
      </w:r>
      <w:r w:rsidRPr="005B44B7">
        <w:t xml:space="preserve"> </w:t>
      </w:r>
      <w:r w:rsidRPr="005B44B7" w:rsidR="003302E7">
        <w:t>a</w:t>
      </w:r>
      <w:r w:rsidRPr="005B44B7">
        <w:t>ssigned</w:t>
      </w:r>
      <w:r>
        <w:t xml:space="preserve"> </w:t>
      </w:r>
      <w:r w:rsidR="66144723">
        <w:t>Commissioner</w:t>
      </w:r>
      <w:r w:rsidR="132D26B9">
        <w:t xml:space="preserve"> will </w:t>
      </w:r>
      <w:r w:rsidR="132D26B9">
        <w:lastRenderedPageBreak/>
        <w:t>issue a</w:t>
      </w:r>
      <w:r>
        <w:t xml:space="preserve"> Scoping Ruling </w:t>
      </w:r>
      <w:r w:rsidR="39E18EC4">
        <w:t>that will establish</w:t>
      </w:r>
      <w:r>
        <w:t xml:space="preserve"> the issues and procedural path in greater detail.</w:t>
      </w:r>
    </w:p>
    <w:p w:rsidR="006444F3" w:rsidP="009B5F94" w:rsidRDefault="00EE4FC9" w14:paraId="58613093" w14:textId="226B3D33">
      <w:pPr>
        <w:pStyle w:val="Heading2"/>
        <w:numPr>
          <w:ilvl w:val="1"/>
          <w:numId w:val="1"/>
        </w:numPr>
      </w:pPr>
      <w:bookmarkStart w:name="_Toc88569640" w:id="12"/>
      <w:bookmarkStart w:name="_Toc8123723" w:id="13"/>
      <w:r>
        <w:t xml:space="preserve">Preliminary </w:t>
      </w:r>
      <w:r w:rsidR="006444F3">
        <w:t>Issues</w:t>
      </w:r>
      <w:bookmarkEnd w:id="12"/>
    </w:p>
    <w:p w:rsidR="005C3DF4" w:rsidP="005C3DF4" w:rsidRDefault="005C3DF4" w14:paraId="64ECBF01" w14:textId="255A7D57">
      <w:pPr>
        <w:pStyle w:val="Standard"/>
      </w:pPr>
      <w:r w:rsidRPr="005C3DF4">
        <w:t>This</w:t>
      </w:r>
      <w:r>
        <w:t xml:space="preserve"> proceeding will implement the requirements of </w:t>
      </w:r>
      <w:r w:rsidRPr="001574CE">
        <w:t>SB 1014 and Pub. Util. Code Section 5450</w:t>
      </w:r>
      <w:r>
        <w:t xml:space="preserve"> relating to the development of </w:t>
      </w:r>
      <w:r w:rsidR="00946F17">
        <w:t>the</w:t>
      </w:r>
      <w:r>
        <w:t xml:space="preserve"> </w:t>
      </w:r>
      <w:r w:rsidR="00991B18">
        <w:t>Clean Miles Standard</w:t>
      </w:r>
      <w:r>
        <w:t xml:space="preserve">. </w:t>
      </w:r>
      <w:r w:rsidR="00B67FEB">
        <w:t xml:space="preserve"> </w:t>
      </w:r>
      <w:r>
        <w:t>The preliminary issues for the scope of this proceeding are as follows:</w:t>
      </w:r>
    </w:p>
    <w:p w:rsidR="00936F54" w:rsidP="00B81773" w:rsidRDefault="00936F54" w14:paraId="33A2B0E6" w14:textId="75C4DF9B">
      <w:pPr>
        <w:pStyle w:val="Standard"/>
        <w:numPr>
          <w:ilvl w:val="0"/>
          <w:numId w:val="9"/>
        </w:numPr>
        <w:spacing w:after="120" w:line="240" w:lineRule="auto"/>
        <w:ind w:left="1080" w:right="1440"/>
      </w:pPr>
      <w:r>
        <w:t>GHG</w:t>
      </w:r>
      <w:r w:rsidR="009B1F55">
        <w:t xml:space="preserve"> Emissions</w:t>
      </w:r>
      <w:r>
        <w:t xml:space="preserve"> Reduction Plans </w:t>
      </w:r>
    </w:p>
    <w:p w:rsidR="007505A8" w:rsidP="00CC136B" w:rsidRDefault="007505A8" w14:paraId="2B11D730" w14:textId="629D73A5">
      <w:pPr>
        <w:pStyle w:val="Standard"/>
        <w:numPr>
          <w:ilvl w:val="1"/>
          <w:numId w:val="9"/>
        </w:numPr>
        <w:spacing w:after="120" w:line="240" w:lineRule="auto"/>
        <w:ind w:right="1440" w:hanging="180"/>
      </w:pPr>
      <w:r>
        <w:t xml:space="preserve">Framework and </w:t>
      </w:r>
      <w:r w:rsidR="009973C6">
        <w:t xml:space="preserve">standard </w:t>
      </w:r>
      <w:r>
        <w:t>template for plans</w:t>
      </w:r>
    </w:p>
    <w:p w:rsidR="00936F54" w:rsidP="00CC136B" w:rsidRDefault="00BF6A93" w14:paraId="6BA6DCE0" w14:textId="49FA86CA">
      <w:pPr>
        <w:pStyle w:val="Standard"/>
        <w:numPr>
          <w:ilvl w:val="1"/>
          <w:numId w:val="9"/>
        </w:numPr>
        <w:spacing w:after="120" w:line="240" w:lineRule="auto"/>
        <w:ind w:right="1440" w:hanging="180"/>
      </w:pPr>
      <w:r>
        <w:t>Meeting CARB targets and goals</w:t>
      </w:r>
    </w:p>
    <w:p w:rsidR="00BF6A93" w:rsidP="00CC136B" w:rsidRDefault="00BF6A93" w14:paraId="515F15D3" w14:textId="40890A10">
      <w:pPr>
        <w:pStyle w:val="Standard"/>
        <w:numPr>
          <w:ilvl w:val="1"/>
          <w:numId w:val="9"/>
        </w:numPr>
        <w:spacing w:after="120" w:line="240" w:lineRule="auto"/>
        <w:ind w:right="1440" w:hanging="180"/>
      </w:pPr>
      <w:r>
        <w:t>Ensuring minimal negative impact on low- and moderate-income drivers</w:t>
      </w:r>
    </w:p>
    <w:p w:rsidR="00BF6A93" w:rsidP="00CC136B" w:rsidRDefault="00BF6A93" w14:paraId="6453D390" w14:textId="5130B59C">
      <w:pPr>
        <w:pStyle w:val="Standard"/>
        <w:numPr>
          <w:ilvl w:val="1"/>
          <w:numId w:val="9"/>
        </w:numPr>
        <w:spacing w:after="120" w:line="240" w:lineRule="auto"/>
        <w:ind w:right="1440" w:hanging="180"/>
      </w:pPr>
      <w:r>
        <w:t xml:space="preserve">Supporting </w:t>
      </w:r>
      <w:r w:rsidR="00890DCC">
        <w:t xml:space="preserve">the goals of </w:t>
      </w:r>
      <w:r>
        <w:t>clean mobility for low- and moderate-income individuals</w:t>
      </w:r>
    </w:p>
    <w:p w:rsidR="00BF6A93" w:rsidP="00CC136B" w:rsidRDefault="00BF6A93" w14:paraId="365C6CB3" w14:textId="3A5694C0">
      <w:pPr>
        <w:pStyle w:val="Standard"/>
        <w:numPr>
          <w:ilvl w:val="1"/>
          <w:numId w:val="9"/>
        </w:numPr>
        <w:spacing w:after="120" w:line="240" w:lineRule="auto"/>
        <w:ind w:right="1440" w:hanging="180"/>
      </w:pPr>
      <w:r>
        <w:t>Supporting sustainable land-use objectives in Section</w:t>
      </w:r>
      <w:r w:rsidR="00B67FEB">
        <w:t> </w:t>
      </w:r>
      <w:r>
        <w:t>65080 of the Government Code</w:t>
      </w:r>
    </w:p>
    <w:p w:rsidRPr="00BF6A93" w:rsidR="00EC4AE3" w:rsidP="00B81773" w:rsidRDefault="00BF6A93" w14:paraId="49D34072" w14:textId="3258D6A0">
      <w:pPr>
        <w:pStyle w:val="Standard"/>
        <w:numPr>
          <w:ilvl w:val="0"/>
          <w:numId w:val="9"/>
        </w:numPr>
        <w:spacing w:after="120" w:line="240" w:lineRule="auto"/>
        <w:ind w:left="1080" w:right="1440"/>
        <w:rPr>
          <w:rStyle w:val="eop"/>
        </w:rPr>
      </w:pPr>
      <w:r w:rsidRPr="00B81773">
        <w:t>Verification</w:t>
      </w:r>
      <w:r w:rsidRPr="6992B00A">
        <w:rPr>
          <w:rStyle w:val="eop"/>
          <w:color w:val="000000" w:themeColor="text1"/>
        </w:rPr>
        <w:t xml:space="preserve"> of Compliance</w:t>
      </w:r>
    </w:p>
    <w:p w:rsidRPr="00BF6A93" w:rsidR="00BF6A93" w:rsidP="00CC136B" w:rsidRDefault="00BF6A93" w14:paraId="564F6481" w14:textId="58FFFCC9">
      <w:pPr>
        <w:pStyle w:val="Standard"/>
        <w:numPr>
          <w:ilvl w:val="1"/>
          <w:numId w:val="9"/>
        </w:numPr>
        <w:spacing w:after="120" w:line="240" w:lineRule="auto"/>
        <w:ind w:right="1440" w:hanging="180"/>
        <w:rPr>
          <w:rStyle w:val="eop"/>
        </w:rPr>
      </w:pPr>
      <w:r w:rsidRPr="6992B00A">
        <w:rPr>
          <w:rStyle w:val="eop"/>
          <w:color w:val="000000" w:themeColor="text1"/>
        </w:rPr>
        <w:t xml:space="preserve">Data </w:t>
      </w:r>
      <w:r w:rsidRPr="00CC136B">
        <w:t>Collection</w:t>
      </w:r>
    </w:p>
    <w:p w:rsidR="00BF6A93" w:rsidP="00CC136B" w:rsidRDefault="00BF6A93" w14:paraId="6AF43FB9" w14:textId="77777777">
      <w:pPr>
        <w:pStyle w:val="Standard"/>
        <w:numPr>
          <w:ilvl w:val="1"/>
          <w:numId w:val="9"/>
        </w:numPr>
        <w:spacing w:after="120" w:line="240" w:lineRule="auto"/>
        <w:ind w:right="1440" w:hanging="180"/>
      </w:pPr>
      <w:r>
        <w:t xml:space="preserve">Data Verification </w:t>
      </w:r>
    </w:p>
    <w:p w:rsidR="00BF6A93" w:rsidP="00CC136B" w:rsidRDefault="00BF6A93" w14:paraId="5C8C8DEE" w14:textId="77777777">
      <w:pPr>
        <w:pStyle w:val="Standard"/>
        <w:numPr>
          <w:ilvl w:val="1"/>
          <w:numId w:val="9"/>
        </w:numPr>
        <w:spacing w:after="120" w:line="240" w:lineRule="auto"/>
        <w:ind w:right="1440" w:hanging="180"/>
      </w:pPr>
      <w:r>
        <w:t xml:space="preserve">Data Reporting and Sharing </w:t>
      </w:r>
    </w:p>
    <w:p w:rsidR="00BF6A93" w:rsidP="00B81773" w:rsidRDefault="00BF6A93" w14:paraId="5061D3D1" w14:textId="152E85AE">
      <w:pPr>
        <w:pStyle w:val="Standard"/>
        <w:numPr>
          <w:ilvl w:val="0"/>
          <w:numId w:val="9"/>
        </w:numPr>
        <w:spacing w:after="120" w:line="240" w:lineRule="auto"/>
        <w:ind w:left="1080" w:right="1440"/>
      </w:pPr>
      <w:r>
        <w:t>Enforcement</w:t>
      </w:r>
    </w:p>
    <w:p w:rsidR="00936F54" w:rsidP="00CC136B" w:rsidRDefault="00BF6A93" w14:paraId="013B5420" w14:textId="6551CE99">
      <w:pPr>
        <w:pStyle w:val="Standard"/>
        <w:numPr>
          <w:ilvl w:val="1"/>
          <w:numId w:val="9"/>
        </w:numPr>
        <w:spacing w:after="120" w:line="240" w:lineRule="auto"/>
        <w:ind w:right="1440" w:hanging="180"/>
      </w:pPr>
      <w:r>
        <w:t>CMS Citation Program</w:t>
      </w:r>
    </w:p>
    <w:p w:rsidR="00BF6A93" w:rsidP="00B81773" w:rsidRDefault="00BF6A93" w14:paraId="3945F5F6" w14:textId="41CB27F5">
      <w:pPr>
        <w:pStyle w:val="Standard"/>
        <w:numPr>
          <w:ilvl w:val="0"/>
          <w:numId w:val="9"/>
        </w:numPr>
        <w:spacing w:after="120" w:line="240" w:lineRule="auto"/>
        <w:ind w:left="1080" w:right="1440"/>
      </w:pPr>
      <w:r>
        <w:t>Exemptions</w:t>
      </w:r>
    </w:p>
    <w:p w:rsidR="00B351B1" w:rsidP="00B81773" w:rsidRDefault="00BF6A93" w14:paraId="2B8F9DE7" w14:textId="77777777">
      <w:pPr>
        <w:pStyle w:val="Standard"/>
        <w:numPr>
          <w:ilvl w:val="0"/>
          <w:numId w:val="9"/>
        </w:numPr>
        <w:spacing w:after="120" w:line="240" w:lineRule="auto"/>
        <w:ind w:left="1080" w:right="1440"/>
      </w:pPr>
      <w:r>
        <w:t>Optional Credit Programs</w:t>
      </w:r>
    </w:p>
    <w:p w:rsidR="00BF6A93" w:rsidP="00B81773" w:rsidRDefault="00EC1090" w14:paraId="0781B23D" w14:textId="63FFE009">
      <w:pPr>
        <w:pStyle w:val="Standard"/>
        <w:numPr>
          <w:ilvl w:val="0"/>
          <w:numId w:val="9"/>
        </w:numPr>
        <w:spacing w:after="120" w:line="240" w:lineRule="auto"/>
        <w:ind w:left="1080" w:right="1440"/>
      </w:pPr>
      <w:r>
        <w:t>Coordination to advance</w:t>
      </w:r>
      <w:r w:rsidR="1CE56048">
        <w:t xml:space="preserve"> CMS in Transportation Electrification </w:t>
      </w:r>
      <w:r w:rsidR="5AB281DB">
        <w:t>efforts</w:t>
      </w:r>
    </w:p>
    <w:p w:rsidR="1018C03B" w:rsidP="00B81773" w:rsidRDefault="1018C03B" w14:paraId="74EF7F5F" w14:textId="1F7FE176">
      <w:pPr>
        <w:pStyle w:val="Standard"/>
        <w:numPr>
          <w:ilvl w:val="0"/>
          <w:numId w:val="9"/>
        </w:numPr>
        <w:spacing w:after="120" w:line="240" w:lineRule="auto"/>
        <w:ind w:left="1080" w:right="1440"/>
      </w:pPr>
      <w:r w:rsidRPr="00B81773">
        <w:t>Environmental</w:t>
      </w:r>
      <w:r w:rsidRPr="72D243D5">
        <w:rPr>
          <w:rFonts w:eastAsia="Calibri" w:cs="Arial"/>
        </w:rPr>
        <w:t xml:space="preserve"> and Social Justice</w:t>
      </w:r>
    </w:p>
    <w:p w:rsidR="00BF6A93" w:rsidP="009B5F94" w:rsidRDefault="00BF6A93" w14:paraId="77F55DC3" w14:textId="63C2F11F">
      <w:pPr>
        <w:pStyle w:val="Heading2"/>
        <w:numPr>
          <w:ilvl w:val="1"/>
          <w:numId w:val="1"/>
        </w:numPr>
      </w:pPr>
      <w:bookmarkStart w:name="_Toc88569641" w:id="14"/>
      <w:r>
        <w:t>Request for Comments</w:t>
      </w:r>
      <w:bookmarkEnd w:id="14"/>
    </w:p>
    <w:p w:rsidR="00BF6A93" w:rsidP="00BF6A93" w:rsidRDefault="00BF6A93" w14:paraId="730B15B1" w14:textId="2C144927">
      <w:pPr>
        <w:pStyle w:val="Standard"/>
      </w:pPr>
      <w:r>
        <w:t>This OIR requests party comments on the following questions</w:t>
      </w:r>
      <w:r w:rsidR="009B1F55">
        <w:t xml:space="preserve"> </w:t>
      </w:r>
      <w:r w:rsidR="005C3DF4">
        <w:t xml:space="preserve">in accordance with the schedule set forth in Section </w:t>
      </w:r>
      <w:r w:rsidR="00F71A6D">
        <w:t>3.3</w:t>
      </w:r>
      <w:r w:rsidR="005C3DF4">
        <w:t xml:space="preserve"> below.</w:t>
      </w:r>
    </w:p>
    <w:p w:rsidR="00E50173" w:rsidP="00B81773" w:rsidRDefault="00E37FC7" w14:paraId="2AE9B23C" w14:textId="044ACB16">
      <w:pPr>
        <w:pStyle w:val="ListNum"/>
        <w:numPr>
          <w:ilvl w:val="0"/>
          <w:numId w:val="10"/>
        </w:numPr>
        <w:ind w:left="1080" w:right="1440"/>
      </w:pPr>
      <w:r w:rsidRPr="00E37FC7">
        <w:rPr>
          <w:u w:val="single"/>
        </w:rPr>
        <w:lastRenderedPageBreak/>
        <w:t>Preliminary Scoping</w:t>
      </w:r>
      <w:r w:rsidR="00E50173">
        <w:rPr>
          <w:u w:val="single"/>
        </w:rPr>
        <w:t xml:space="preserve"> and Schedule</w:t>
      </w:r>
      <w:r>
        <w:t xml:space="preserve">. </w:t>
      </w:r>
    </w:p>
    <w:p w:rsidR="00E50173" w:rsidP="00B81773" w:rsidRDefault="00E37FC7" w14:paraId="0DD15923" w14:textId="26955D26">
      <w:pPr>
        <w:pStyle w:val="ListNum"/>
        <w:numPr>
          <w:ilvl w:val="1"/>
          <w:numId w:val="10"/>
        </w:numPr>
        <w:ind w:right="1440"/>
      </w:pPr>
      <w:r>
        <w:t>Should the preliminary scope of issues be revised to include additional issues</w:t>
      </w:r>
      <w:r w:rsidR="00E50173">
        <w:t xml:space="preserve">? </w:t>
      </w:r>
      <w:r w:rsidR="00B67FEB">
        <w:t xml:space="preserve"> </w:t>
      </w:r>
      <w:r w:rsidR="00E50173">
        <w:t>Should certain issues be prioritized for an initial decision or addressed later in the proceeding?</w:t>
      </w:r>
    </w:p>
    <w:p w:rsidR="00E50173" w:rsidP="00CC136B" w:rsidRDefault="00E50173" w14:paraId="1A529EF2" w14:textId="7A92AC6D">
      <w:pPr>
        <w:pStyle w:val="ListNum"/>
        <w:numPr>
          <w:ilvl w:val="1"/>
          <w:numId w:val="10"/>
        </w:numPr>
        <w:ind w:right="1440"/>
      </w:pPr>
      <w:r>
        <w:t>How should the schedule of the proceeding be revised?</w:t>
      </w:r>
    </w:p>
    <w:p w:rsidR="009B1F55" w:rsidP="00CC136B" w:rsidRDefault="009B1F55" w14:paraId="38A61E9C" w14:textId="3B51B2F2">
      <w:pPr>
        <w:pStyle w:val="ListNum"/>
        <w:numPr>
          <w:ilvl w:val="0"/>
          <w:numId w:val="10"/>
        </w:numPr>
        <w:ind w:left="1080" w:right="1440"/>
      </w:pPr>
      <w:r w:rsidRPr="009B1F55">
        <w:rPr>
          <w:u w:val="single"/>
        </w:rPr>
        <w:t>GHG Emissions Reduction Plan</w:t>
      </w:r>
      <w:r>
        <w:rPr>
          <w:u w:val="single"/>
        </w:rPr>
        <w:t>s</w:t>
      </w:r>
      <w:r w:rsidRPr="009B1F55">
        <w:t xml:space="preserve">. </w:t>
      </w:r>
    </w:p>
    <w:p w:rsidR="009B1F55" w:rsidP="00CC136B" w:rsidRDefault="009B1F55" w14:paraId="2C50D886" w14:textId="31544F7D">
      <w:pPr>
        <w:pStyle w:val="ListNum"/>
        <w:numPr>
          <w:ilvl w:val="1"/>
          <w:numId w:val="10"/>
        </w:numPr>
        <w:ind w:right="1440"/>
      </w:pPr>
      <w:r>
        <w:t>What</w:t>
      </w:r>
      <w:r w:rsidR="00332AD6">
        <w:t xml:space="preserve"> </w:t>
      </w:r>
      <w:r>
        <w:t>specific content and level of detail should the Commission include in the</w:t>
      </w:r>
      <w:r w:rsidR="00BA40FF">
        <w:t xml:space="preserve"> standard template for </w:t>
      </w:r>
      <w:r>
        <w:t xml:space="preserve">GHG </w:t>
      </w:r>
      <w:r w:rsidR="006B7090">
        <w:t>emissions reduction plans</w:t>
      </w:r>
      <w:r>
        <w:t xml:space="preserve">? </w:t>
      </w:r>
    </w:p>
    <w:p w:rsidR="00323CE1" w:rsidP="00CC136B" w:rsidRDefault="00323CE1" w14:paraId="6C8BB12F" w14:textId="189E8EDB">
      <w:pPr>
        <w:pStyle w:val="ListNum"/>
        <w:numPr>
          <w:ilvl w:val="1"/>
          <w:numId w:val="10"/>
        </w:numPr>
        <w:ind w:right="1440"/>
      </w:pPr>
      <w:r>
        <w:t xml:space="preserve">What review and reporting </w:t>
      </w:r>
      <w:r w:rsidR="00A33C1A">
        <w:t>framework</w:t>
      </w:r>
      <w:r>
        <w:t xml:space="preserve"> should the Commission adopt for GHG </w:t>
      </w:r>
      <w:r w:rsidR="006B7090">
        <w:t>e</w:t>
      </w:r>
      <w:r>
        <w:t xml:space="preserve">missions </w:t>
      </w:r>
      <w:r w:rsidR="006B7090">
        <w:t>r</w:t>
      </w:r>
      <w:r>
        <w:t xml:space="preserve">eduction </w:t>
      </w:r>
      <w:r w:rsidR="006B7090">
        <w:t>p</w:t>
      </w:r>
      <w:r>
        <w:t xml:space="preserve">lans? </w:t>
      </w:r>
      <w:r w:rsidR="00B0372A">
        <w:t>Should</w:t>
      </w:r>
      <w:r>
        <w:t xml:space="preserve"> </w:t>
      </w:r>
      <w:r w:rsidR="004A7FD9">
        <w:t>a framework from another Commission pro</w:t>
      </w:r>
      <w:r w:rsidR="007C35B8">
        <w:t>ceeding</w:t>
      </w:r>
      <w:r w:rsidR="004A7FD9">
        <w:t>, such as the Renewables Portfolio Standard or</w:t>
      </w:r>
      <w:r w:rsidR="007C35B8">
        <w:t xml:space="preserve"> </w:t>
      </w:r>
      <w:r w:rsidR="00A33C1A">
        <w:t>Integrated Resources Plan</w:t>
      </w:r>
      <w:r w:rsidR="007C35B8">
        <w:t>s</w:t>
      </w:r>
      <w:r w:rsidR="00B0372A">
        <w:t xml:space="preserve"> be adopted</w:t>
      </w:r>
      <w:r w:rsidR="007C35B8">
        <w:t>?</w:t>
      </w:r>
    </w:p>
    <w:p w:rsidR="009B1F55" w:rsidP="00CC136B" w:rsidRDefault="009B1F55" w14:paraId="57F4D936" w14:textId="0F149666">
      <w:pPr>
        <w:pStyle w:val="ListNum"/>
        <w:numPr>
          <w:ilvl w:val="1"/>
          <w:numId w:val="10"/>
        </w:numPr>
        <w:ind w:right="1440"/>
      </w:pPr>
      <w:r>
        <w:t xml:space="preserve">On what basis or by what metric(s) or criteria should the Commission evaluate the TNCs’ </w:t>
      </w:r>
      <w:r w:rsidR="006B7090">
        <w:t>GHG emissions reduction plans</w:t>
      </w:r>
      <w:r>
        <w:t xml:space="preserve"> for compliance? </w:t>
      </w:r>
    </w:p>
    <w:p w:rsidR="00E37FC7" w:rsidP="00CC136B" w:rsidRDefault="009B1F55" w14:paraId="26F7527D" w14:textId="6424AF44">
      <w:pPr>
        <w:pStyle w:val="ListNum"/>
        <w:numPr>
          <w:ilvl w:val="1"/>
          <w:numId w:val="10"/>
        </w:numPr>
        <w:ind w:right="1440"/>
      </w:pPr>
      <w:r>
        <w:t xml:space="preserve">What model solutions or resources </w:t>
      </w:r>
      <w:r w:rsidR="00F71FE3">
        <w:t>should</w:t>
      </w:r>
      <w:r>
        <w:t xml:space="preserve"> TNCs include or consider in their</w:t>
      </w:r>
      <w:r w:rsidR="006B7090">
        <w:t xml:space="preserve"> GHG emissions reduction</w:t>
      </w:r>
      <w:r>
        <w:t xml:space="preserve"> plans?</w:t>
      </w:r>
    </w:p>
    <w:p w:rsidR="005C3DF4" w:rsidP="00CC136B" w:rsidRDefault="4EFDD47F" w14:paraId="5DE35D12" w14:textId="0882AF53">
      <w:pPr>
        <w:pStyle w:val="ListNum"/>
        <w:numPr>
          <w:ilvl w:val="0"/>
          <w:numId w:val="10"/>
        </w:numPr>
        <w:ind w:left="1080" w:right="1440"/>
      </w:pPr>
      <w:r w:rsidRPr="3CD58903">
        <w:rPr>
          <w:u w:val="single"/>
        </w:rPr>
        <w:t>Low-Income and Moderate-Income Drivers and Individuals</w:t>
      </w:r>
      <w:r>
        <w:t>.</w:t>
      </w:r>
    </w:p>
    <w:p w:rsidR="005C3DF4" w:rsidP="00CC136B" w:rsidRDefault="16DECDB8" w14:paraId="76766376" w14:textId="225A7026">
      <w:pPr>
        <w:pStyle w:val="ListNum"/>
        <w:numPr>
          <w:ilvl w:val="1"/>
          <w:numId w:val="10"/>
        </w:numPr>
        <w:ind w:right="1440"/>
      </w:pPr>
      <w:r>
        <w:t xml:space="preserve">How should the Commission define </w:t>
      </w:r>
      <w:r w:rsidR="7E75A794">
        <w:t xml:space="preserve">and identify </w:t>
      </w:r>
      <w:r>
        <w:t xml:space="preserve">low- and moderate-income (LMI) drivers and individuals for the purposes of CMS implementation and monitoring of impact? </w:t>
      </w:r>
    </w:p>
    <w:p w:rsidR="00423F59" w:rsidP="00CC136B" w:rsidRDefault="76DCF1C1" w14:paraId="16108C90" w14:textId="7DCC8CD0">
      <w:pPr>
        <w:pStyle w:val="ListNum"/>
        <w:numPr>
          <w:ilvl w:val="1"/>
          <w:numId w:val="10"/>
        </w:numPr>
        <w:ind w:right="1440"/>
      </w:pPr>
      <w:r>
        <w:t xml:space="preserve">How should the Commission define </w:t>
      </w:r>
      <w:r w:rsidR="385BA184">
        <w:t>“the goals of clean mobilit</w:t>
      </w:r>
      <w:r w:rsidR="5BEFC0A3">
        <w:t>y</w:t>
      </w:r>
      <w:r w:rsidR="00592A45">
        <w:t xml:space="preserve">” for LMI individuals </w:t>
      </w:r>
      <w:r>
        <w:t>for the purposes of CMS implementation and monitoring of impact</w:t>
      </w:r>
      <w:r w:rsidR="00592A45">
        <w:t>?</w:t>
      </w:r>
    </w:p>
    <w:p w:rsidR="00592A45" w:rsidP="00CC136B" w:rsidRDefault="00592A45" w14:paraId="38C33FE4" w14:textId="7D637C98">
      <w:pPr>
        <w:pStyle w:val="ListNum"/>
        <w:numPr>
          <w:ilvl w:val="1"/>
          <w:numId w:val="10"/>
        </w:numPr>
        <w:ind w:right="1440"/>
      </w:pPr>
      <w:r>
        <w:t>How should the Commission advance the goals of clean mobility for LMI individuals?</w:t>
      </w:r>
    </w:p>
    <w:p w:rsidR="00767DA9" w:rsidP="00605941" w:rsidRDefault="00767DA9" w14:paraId="320F13CF" w14:textId="644BD787">
      <w:pPr>
        <w:pStyle w:val="ListNum"/>
        <w:keepNext/>
        <w:keepLines/>
        <w:numPr>
          <w:ilvl w:val="1"/>
          <w:numId w:val="10"/>
        </w:numPr>
        <w:ind w:right="1440"/>
      </w:pPr>
      <w:r>
        <w:lastRenderedPageBreak/>
        <w:t xml:space="preserve">How should the Commission evaluate barriers to transitioning to zero-emission vehicles for LMI drivers? What types of data </w:t>
      </w:r>
      <w:r w:rsidR="5E545717">
        <w:t>are</w:t>
      </w:r>
      <w:r w:rsidR="002604EA">
        <w:t xml:space="preserve"> needed to identify</w:t>
      </w:r>
      <w:r>
        <w:t xml:space="preserve"> barriers to acquiring zero-emission vehicles, and what is the best method for the Commission to collect this data?</w:t>
      </w:r>
    </w:p>
    <w:p w:rsidR="00423F59" w:rsidP="00CC136B" w:rsidRDefault="00423F59" w14:paraId="13ED2644" w14:textId="1D6B65AC">
      <w:pPr>
        <w:pStyle w:val="ListNum"/>
        <w:numPr>
          <w:ilvl w:val="1"/>
          <w:numId w:val="10"/>
        </w:numPr>
        <w:ind w:right="1440"/>
        <w:rPr>
          <w:rFonts w:asciiTheme="minorHAnsi" w:hAnsiTheme="minorHAnsi" w:eastAsiaTheme="minorEastAsia"/>
          <w:szCs w:val="26"/>
        </w:rPr>
      </w:pPr>
      <w:r>
        <w:t>How should the Commission “ensure minimal negative impact on low-income and moderate-income drivers”?</w:t>
      </w:r>
    </w:p>
    <w:p w:rsidR="005C3DF4" w:rsidP="00CC136B" w:rsidRDefault="005C3DF4" w14:paraId="36D2A399" w14:textId="413E7F13">
      <w:pPr>
        <w:pStyle w:val="ListNum"/>
        <w:numPr>
          <w:ilvl w:val="1"/>
          <w:numId w:val="10"/>
        </w:numPr>
        <w:ind w:right="1440"/>
      </w:pPr>
      <w:r>
        <w:t xml:space="preserve">How should the Commission </w:t>
      </w:r>
      <w:r w:rsidR="00DC182A">
        <w:t>evaluate</w:t>
      </w:r>
      <w:r>
        <w:t xml:space="preserve"> the financial impact</w:t>
      </w:r>
      <w:r w:rsidR="0082087A">
        <w:t xml:space="preserve"> of CMS</w:t>
      </w:r>
      <w:r>
        <w:t xml:space="preserve"> on individual </w:t>
      </w:r>
      <w:r w:rsidR="008229F7">
        <w:t xml:space="preserve">LMI </w:t>
      </w:r>
      <w:r w:rsidR="26082966">
        <w:t xml:space="preserve">individuals </w:t>
      </w:r>
      <w:r>
        <w:t xml:space="preserve">and drivers? </w:t>
      </w:r>
      <w:r w:rsidR="00B12B68">
        <w:t xml:space="preserve"> </w:t>
      </w:r>
      <w:r w:rsidRPr="00B12B68" w:rsidR="00B12B68">
        <w:t xml:space="preserve">What data sources, criteria, or metrics should the Commission </w:t>
      </w:r>
      <w:r w:rsidR="00B12B68">
        <w:t>use or create?</w:t>
      </w:r>
    </w:p>
    <w:p w:rsidR="005C3DF4" w:rsidP="00CC136B" w:rsidRDefault="00DC182A" w14:paraId="7AA6DA5D" w14:textId="20A7A6D6">
      <w:pPr>
        <w:pStyle w:val="ListNum"/>
        <w:numPr>
          <w:ilvl w:val="1"/>
          <w:numId w:val="10"/>
        </w:numPr>
        <w:ind w:right="1440"/>
      </w:pPr>
      <w:r>
        <w:t xml:space="preserve">How should the Commission evaluate whether CMS </w:t>
      </w:r>
      <w:r w:rsidR="0003346F">
        <w:t xml:space="preserve">supports the goals of clean mobility for LMI individuals? </w:t>
      </w:r>
      <w:r w:rsidR="00B67FEB">
        <w:t xml:space="preserve"> </w:t>
      </w:r>
      <w:r w:rsidRPr="00B12B68" w:rsidR="0003346F">
        <w:t xml:space="preserve">What data sources, criteria, or metrics should the Commission </w:t>
      </w:r>
      <w:r w:rsidR="0003346F">
        <w:t xml:space="preserve">use? </w:t>
      </w:r>
      <w:r w:rsidR="00B67FEB">
        <w:t xml:space="preserve"> </w:t>
      </w:r>
      <w:r w:rsidRPr="0003346F" w:rsidR="0003346F">
        <w:t xml:space="preserve">What additional data should the Commission collect to measure and evaluate service quality and availability?   </w:t>
      </w:r>
    </w:p>
    <w:p w:rsidR="002A372C" w:rsidP="00CC136B" w:rsidRDefault="4F2EC97B" w14:paraId="0724C091" w14:textId="77777777">
      <w:pPr>
        <w:pStyle w:val="ListNum"/>
        <w:numPr>
          <w:ilvl w:val="1"/>
          <w:numId w:val="10"/>
        </w:numPr>
        <w:ind w:right="1440"/>
      </w:pPr>
      <w:r>
        <w:t>What other impacts of CMS on LMI drivers and individuals, aside from financial and access to clean mobility, should the Commission seek to evaluate?</w:t>
      </w:r>
    </w:p>
    <w:p w:rsidRPr="00AA3B30" w:rsidR="198C5C0B" w:rsidP="00B67FEB" w:rsidRDefault="198C5C0B" w14:paraId="004DC73A" w14:textId="325A0B3E">
      <w:pPr>
        <w:pStyle w:val="ListNum"/>
        <w:keepNext/>
        <w:keepLines/>
        <w:numPr>
          <w:ilvl w:val="0"/>
          <w:numId w:val="10"/>
        </w:numPr>
        <w:ind w:left="1080" w:right="1440"/>
        <w:rPr>
          <w:u w:val="single"/>
        </w:rPr>
      </w:pPr>
      <w:r w:rsidRPr="00AA3B30">
        <w:rPr>
          <w:rFonts w:eastAsia="Calibri" w:cs="Arial"/>
          <w:szCs w:val="26"/>
          <w:u w:val="single"/>
        </w:rPr>
        <w:t xml:space="preserve">Environmental </w:t>
      </w:r>
      <w:r w:rsidRPr="00CC136B">
        <w:rPr>
          <w:u w:val="single"/>
        </w:rPr>
        <w:t>and</w:t>
      </w:r>
      <w:r w:rsidRPr="00AA3B30">
        <w:rPr>
          <w:rFonts w:eastAsia="Calibri" w:cs="Arial"/>
          <w:szCs w:val="26"/>
          <w:u w:val="single"/>
        </w:rPr>
        <w:t xml:space="preserve"> Social Justice</w:t>
      </w:r>
      <w:r w:rsidRPr="00AA3B30" w:rsidR="06AD71C5">
        <w:rPr>
          <w:rFonts w:eastAsia="Calibri" w:cs="Arial"/>
          <w:szCs w:val="26"/>
          <w:u w:val="single"/>
        </w:rPr>
        <w:t xml:space="preserve"> (ESJ)</w:t>
      </w:r>
      <w:r w:rsidR="00C17015">
        <w:rPr>
          <w:rFonts w:eastAsia="Calibri" w:cs="Arial"/>
          <w:szCs w:val="26"/>
          <w:u w:val="single"/>
        </w:rPr>
        <w:t>.</w:t>
      </w:r>
    </w:p>
    <w:p w:rsidR="4826A803" w:rsidP="00B67FEB" w:rsidRDefault="4826A803" w14:paraId="7430F3D4" w14:textId="4E829921">
      <w:pPr>
        <w:pStyle w:val="ListNum"/>
        <w:keepNext/>
        <w:keepLines/>
        <w:numPr>
          <w:ilvl w:val="1"/>
          <w:numId w:val="10"/>
        </w:numPr>
        <w:ind w:right="1440"/>
        <w:rPr>
          <w:rFonts w:asciiTheme="minorHAnsi" w:hAnsiTheme="minorHAnsi" w:eastAsiaTheme="minorEastAsia"/>
        </w:rPr>
      </w:pPr>
      <w:r>
        <w:t xml:space="preserve">How can CMS </w:t>
      </w:r>
      <w:r w:rsidR="67E8531C">
        <w:t xml:space="preserve">be designed to </w:t>
      </w:r>
      <w:r>
        <w:t xml:space="preserve">advance </w:t>
      </w:r>
      <w:r w:rsidR="50A56696">
        <w:t xml:space="preserve">the </w:t>
      </w:r>
      <w:r w:rsidR="4C2AEB1D">
        <w:t>goals of the</w:t>
      </w:r>
      <w:r>
        <w:t xml:space="preserve"> Commission’s ESJ Action Plan</w:t>
      </w:r>
      <w:r w:rsidR="11EFC3A0">
        <w:t>?</w:t>
      </w:r>
      <w:r w:rsidR="5C8E4946">
        <w:t xml:space="preserve"> </w:t>
      </w:r>
      <w:r w:rsidR="00B67FEB">
        <w:t xml:space="preserve"> </w:t>
      </w:r>
      <w:r w:rsidR="31399A06">
        <w:t>For example, s</w:t>
      </w:r>
      <w:r w:rsidR="5C8E4946">
        <w:t>hould the</w:t>
      </w:r>
      <w:r w:rsidR="32FA1613">
        <w:t xml:space="preserve"> </w:t>
      </w:r>
      <w:r w:rsidR="7FE63767">
        <w:t xml:space="preserve">GHG reduction </w:t>
      </w:r>
      <w:r w:rsidR="7DBA7899">
        <w:t>plans</w:t>
      </w:r>
      <w:r w:rsidR="5C8E4946">
        <w:t xml:space="preserve"> </w:t>
      </w:r>
      <w:r w:rsidR="5E9B82C9">
        <w:t>include specific solutions for</w:t>
      </w:r>
      <w:r w:rsidR="5C8E4946">
        <w:t xml:space="preserve"> Tribal communitie</w:t>
      </w:r>
      <w:r w:rsidR="343EC6DF">
        <w:t>s?</w:t>
      </w:r>
    </w:p>
    <w:p w:rsidR="4826A803" w:rsidP="00CC136B" w:rsidRDefault="002E3638" w14:paraId="56CE60B9" w14:textId="421DCBFB">
      <w:pPr>
        <w:pStyle w:val="ListNum"/>
        <w:numPr>
          <w:ilvl w:val="1"/>
          <w:numId w:val="10"/>
        </w:numPr>
        <w:ind w:right="1440"/>
        <w:rPr>
          <w:rFonts w:asciiTheme="minorHAnsi" w:hAnsiTheme="minorHAnsi" w:eastAsiaTheme="minorEastAsia"/>
          <w:szCs w:val="26"/>
        </w:rPr>
      </w:pPr>
      <w:r>
        <w:t>S</w:t>
      </w:r>
      <w:r w:rsidR="0F7C1A03">
        <w:t>hould the Commission measure</w:t>
      </w:r>
      <w:r w:rsidR="13D3F36C">
        <w:t>,</w:t>
      </w:r>
      <w:r w:rsidR="0F7C1A03">
        <w:t xml:space="preserve"> evaluate </w:t>
      </w:r>
      <w:r w:rsidR="00352C01">
        <w:t>or</w:t>
      </w:r>
      <w:r w:rsidR="154F6057">
        <w:t xml:space="preserve"> implement </w:t>
      </w:r>
      <w:r w:rsidR="0F7C1A03">
        <w:t xml:space="preserve">CMS to improve public health </w:t>
      </w:r>
      <w:r w:rsidR="00EE6ACB">
        <w:t>for ESJ communities?</w:t>
      </w:r>
      <w:r w:rsidR="6DC81B8D">
        <w:t xml:space="preserve"> </w:t>
      </w:r>
    </w:p>
    <w:p w:rsidR="02CB6EC7" w:rsidP="00CC136B" w:rsidRDefault="02CB6EC7" w14:paraId="7742E1ED" w14:textId="7B75C128">
      <w:pPr>
        <w:pStyle w:val="ListNum"/>
        <w:numPr>
          <w:ilvl w:val="1"/>
          <w:numId w:val="10"/>
        </w:numPr>
        <w:ind w:right="1440"/>
      </w:pPr>
      <w:r>
        <w:t xml:space="preserve">How </w:t>
      </w:r>
      <w:r w:rsidR="78C8B6EB">
        <w:t>should</w:t>
      </w:r>
      <w:r w:rsidR="7BF0A86F">
        <w:t xml:space="preserve"> </w:t>
      </w:r>
      <w:r w:rsidR="7BF5646F">
        <w:t xml:space="preserve">CMS </w:t>
      </w:r>
      <w:r w:rsidR="61BC4BCC">
        <w:t xml:space="preserve">support clean mobility for </w:t>
      </w:r>
      <w:r w:rsidR="5C8E4946">
        <w:t>Access and Functional Needs communities?</w:t>
      </w:r>
    </w:p>
    <w:p w:rsidR="005C3DF4" w:rsidP="00CC136B" w:rsidRDefault="16DECDB8" w14:paraId="1F39998D" w14:textId="77777777">
      <w:pPr>
        <w:pStyle w:val="ListNum"/>
        <w:numPr>
          <w:ilvl w:val="0"/>
          <w:numId w:val="10"/>
        </w:numPr>
        <w:ind w:left="1080" w:right="1440"/>
      </w:pPr>
      <w:r w:rsidRPr="3CD58903">
        <w:rPr>
          <w:u w:val="single"/>
        </w:rPr>
        <w:t>Supporting Sustainable Land-Use Objectives</w:t>
      </w:r>
      <w:r>
        <w:t xml:space="preserve">. </w:t>
      </w:r>
    </w:p>
    <w:p w:rsidR="00331BE1" w:rsidP="00CC136B" w:rsidRDefault="4DB8156A" w14:paraId="7B19BCC2" w14:textId="000546F4">
      <w:pPr>
        <w:pStyle w:val="ListNum"/>
        <w:numPr>
          <w:ilvl w:val="1"/>
          <w:numId w:val="10"/>
        </w:numPr>
        <w:ind w:right="1440"/>
      </w:pPr>
      <w:r>
        <w:t xml:space="preserve">How </w:t>
      </w:r>
      <w:r w:rsidR="50E6965E">
        <w:t>can CMS support sustainable land</w:t>
      </w:r>
      <w:r w:rsidR="00B67FEB">
        <w:noBreakHyphen/>
      </w:r>
      <w:r w:rsidR="50E6965E">
        <w:t>use objectives in Section</w:t>
      </w:r>
      <w:r w:rsidR="00605941">
        <w:t> </w:t>
      </w:r>
      <w:r w:rsidR="50E6965E">
        <w:t>65080 of th</w:t>
      </w:r>
      <w:r w:rsidR="005A4314">
        <w:t xml:space="preserve">e </w:t>
      </w:r>
      <w:r w:rsidR="50E6965E">
        <w:t>Government Code?</w:t>
      </w:r>
    </w:p>
    <w:p w:rsidR="005C3DF4" w:rsidP="00CC136B" w:rsidRDefault="16DECDB8" w14:paraId="6E140A9B" w14:textId="7D6732EE">
      <w:pPr>
        <w:pStyle w:val="ListNum"/>
        <w:numPr>
          <w:ilvl w:val="1"/>
          <w:numId w:val="10"/>
        </w:numPr>
        <w:ind w:right="1440"/>
      </w:pPr>
      <w:r>
        <w:t xml:space="preserve">What criteria, metrics, and data should the Commission use to evaluate whether CMS supports sustainable </w:t>
      </w:r>
      <w:r>
        <w:lastRenderedPageBreak/>
        <w:t>land-use objectives in Section 65080 of the Government Code?</w:t>
      </w:r>
    </w:p>
    <w:p w:rsidR="005C3DF4" w:rsidP="00CC136B" w:rsidRDefault="16DECDB8" w14:paraId="07AFD795" w14:textId="77777777">
      <w:pPr>
        <w:pStyle w:val="ListNum"/>
        <w:numPr>
          <w:ilvl w:val="1"/>
          <w:numId w:val="10"/>
        </w:numPr>
        <w:ind w:right="1440"/>
      </w:pPr>
      <w:r>
        <w:t xml:space="preserve">What data, if any, should the Commission collect or use to evaluate other environmental impacts of CMS on communities?  </w:t>
      </w:r>
    </w:p>
    <w:p w:rsidR="005C3DF4" w:rsidP="00CC136B" w:rsidRDefault="16DECDB8" w14:paraId="7FEE1809" w14:textId="19AC9B4E">
      <w:pPr>
        <w:pStyle w:val="ListNum"/>
        <w:numPr>
          <w:ilvl w:val="0"/>
          <w:numId w:val="10"/>
        </w:numPr>
        <w:ind w:left="1080" w:right="1440"/>
      </w:pPr>
      <w:r w:rsidRPr="3CD58903">
        <w:rPr>
          <w:u w:val="single"/>
        </w:rPr>
        <w:t>Outreach and Engagement</w:t>
      </w:r>
      <w:r>
        <w:t xml:space="preserve">. </w:t>
      </w:r>
    </w:p>
    <w:p w:rsidR="005C3DF4" w:rsidP="00CC136B" w:rsidRDefault="16DECDB8" w14:paraId="6C1D1837" w14:textId="14D65B32">
      <w:pPr>
        <w:pStyle w:val="ListNum"/>
        <w:numPr>
          <w:ilvl w:val="1"/>
          <w:numId w:val="10"/>
        </w:numPr>
        <w:ind w:right="1440"/>
      </w:pPr>
      <w:r>
        <w:t xml:space="preserve">How can the Commission engage with </w:t>
      </w:r>
      <w:r w:rsidR="4FB5637F">
        <w:t>TNC driver</w:t>
      </w:r>
      <w:r w:rsidR="7E94B388">
        <w:t>s</w:t>
      </w:r>
      <w:r w:rsidR="4FB5637F">
        <w:t xml:space="preserve"> and </w:t>
      </w:r>
      <w:r>
        <w:t xml:space="preserve">LMI </w:t>
      </w:r>
      <w:r w:rsidR="4FB5637F">
        <w:t>community-based organizations</w:t>
      </w:r>
      <w:r>
        <w:t xml:space="preserve"> to mitigate the above impacts? What types of outreach and engagement will be effective for LMI groups?</w:t>
      </w:r>
    </w:p>
    <w:p w:rsidR="005C3DF4" w:rsidP="00CC136B" w:rsidRDefault="16DECDB8" w14:paraId="3336D511" w14:textId="77777777">
      <w:pPr>
        <w:pStyle w:val="ListNum"/>
        <w:numPr>
          <w:ilvl w:val="1"/>
          <w:numId w:val="10"/>
        </w:numPr>
        <w:ind w:right="1440"/>
      </w:pPr>
      <w:r>
        <w:t>What types of outreach and engagement should TNCs be required to conduct prior to filing their proposed plans?</w:t>
      </w:r>
    </w:p>
    <w:p w:rsidRPr="00137450" w:rsidR="009E0247" w:rsidP="00CC136B" w:rsidRDefault="16DECDB8" w14:paraId="5207270E" w14:textId="3A9FE547">
      <w:pPr>
        <w:pStyle w:val="ListNum"/>
        <w:numPr>
          <w:ilvl w:val="0"/>
          <w:numId w:val="10"/>
        </w:numPr>
        <w:ind w:left="1080" w:right="1440"/>
      </w:pPr>
      <w:r w:rsidRPr="3CD58903">
        <w:rPr>
          <w:u w:val="single"/>
        </w:rPr>
        <w:t>Data</w:t>
      </w:r>
      <w:r w:rsidR="0FC6785A">
        <w:t>.</w:t>
      </w:r>
      <w:r>
        <w:t xml:space="preserve"> </w:t>
      </w:r>
    </w:p>
    <w:p w:rsidR="005C3DF4" w:rsidP="00CC136B" w:rsidRDefault="2FEFF0B2" w14:paraId="5998B3FB" w14:textId="051A11C7">
      <w:pPr>
        <w:pStyle w:val="ListNum"/>
        <w:numPr>
          <w:ilvl w:val="1"/>
          <w:numId w:val="10"/>
        </w:numPr>
        <w:ind w:right="1440"/>
      </w:pPr>
      <w:r w:rsidRPr="3CD58903">
        <w:rPr>
          <w:u w:val="single"/>
        </w:rPr>
        <w:t xml:space="preserve">Data </w:t>
      </w:r>
      <w:r w:rsidRPr="3CD58903" w:rsidR="16DECDB8">
        <w:rPr>
          <w:u w:val="single"/>
        </w:rPr>
        <w:t>Collection</w:t>
      </w:r>
      <w:r w:rsidR="16DECDB8">
        <w:t xml:space="preserve">. </w:t>
      </w:r>
      <w:r w:rsidR="00B67FEB">
        <w:t xml:space="preserve"> </w:t>
      </w:r>
      <w:r w:rsidR="16DECDB8">
        <w:t xml:space="preserve">The Commission currently collects a significant amount of data from TNCs through Annual Reports (submitted in September each year as required in D.13-09-045 and D.16-04-041) and Quarterly Reports on its WAV services (as required in D.20-03-007 and D.21-03-005). </w:t>
      </w:r>
      <w:r w:rsidR="00B67FEB">
        <w:t xml:space="preserve"> </w:t>
      </w:r>
      <w:r w:rsidR="16DECDB8">
        <w:t xml:space="preserve">The Commission will collect similar data from permitted companies in the Commission’s Autonomous Vehicle Phase I Deployment Program on a quarterly basis (D.20-11-046) once permits are issued. </w:t>
      </w:r>
      <w:r w:rsidR="1107A4DC">
        <w:t>What data</w:t>
      </w:r>
      <w:r w:rsidR="003319AE">
        <w:t xml:space="preserve"> or information</w:t>
      </w:r>
      <w:r w:rsidR="1107A4DC">
        <w:t xml:space="preserve">, if any, should the Commission collect in addition to the data specified in CARB’s </w:t>
      </w:r>
      <w:r w:rsidRPr="002C08FE" w:rsidR="1107A4DC">
        <w:t xml:space="preserve">regulation? </w:t>
      </w:r>
      <w:r w:rsidRPr="002C08FE" w:rsidR="00FB7C0C">
        <w:t xml:space="preserve"> </w:t>
      </w:r>
      <w:r w:rsidRPr="002C08FE" w:rsidR="1107A4DC">
        <w:t>Why is this data</w:t>
      </w:r>
      <w:r w:rsidR="1107A4DC">
        <w:t xml:space="preserve"> necessary?</w:t>
      </w:r>
    </w:p>
    <w:p w:rsidR="005C3DF4" w:rsidP="00CC136B" w:rsidRDefault="16DECDB8" w14:paraId="1FD5B2CA" w14:textId="3ADC2369">
      <w:pPr>
        <w:pStyle w:val="ListNum"/>
        <w:numPr>
          <w:ilvl w:val="1"/>
          <w:numId w:val="10"/>
        </w:numPr>
        <w:ind w:right="1440"/>
      </w:pPr>
      <w:r w:rsidRPr="3CD58903">
        <w:rPr>
          <w:u w:val="single"/>
        </w:rPr>
        <w:t>Data</w:t>
      </w:r>
      <w:r w:rsidRPr="3CD58903" w:rsidR="5A339F1B">
        <w:rPr>
          <w:u w:val="single"/>
        </w:rPr>
        <w:t xml:space="preserve"> </w:t>
      </w:r>
      <w:r w:rsidRPr="3CD58903">
        <w:rPr>
          <w:u w:val="single"/>
        </w:rPr>
        <w:t>Verification</w:t>
      </w:r>
      <w:r>
        <w:t xml:space="preserve">. </w:t>
      </w:r>
      <w:r w:rsidR="00B67FEB">
        <w:t xml:space="preserve"> </w:t>
      </w:r>
      <w:r>
        <w:t>How should the Commission verify</w:t>
      </w:r>
      <w:r w:rsidR="0A89E0F9">
        <w:t xml:space="preserve"> that</w:t>
      </w:r>
      <w:r>
        <w:t xml:space="preserve"> compliance data received from TNCs is consistent, complete, and accurate?</w:t>
      </w:r>
    </w:p>
    <w:p w:rsidR="009E0247" w:rsidP="00CC136B" w:rsidRDefault="16DECDB8" w14:paraId="058DCDD5" w14:textId="2A4749EA">
      <w:pPr>
        <w:pStyle w:val="ListNum"/>
        <w:numPr>
          <w:ilvl w:val="1"/>
          <w:numId w:val="10"/>
        </w:numPr>
        <w:ind w:right="1440"/>
      </w:pPr>
      <w:r w:rsidRPr="3CD58903">
        <w:rPr>
          <w:u w:val="single"/>
        </w:rPr>
        <w:t>Data Sharing</w:t>
      </w:r>
      <w:r>
        <w:t xml:space="preserve">. </w:t>
      </w:r>
      <w:r w:rsidR="00B67FEB">
        <w:t xml:space="preserve"> </w:t>
      </w:r>
      <w:r w:rsidR="1107A4DC">
        <w:t>Should compliance data be shared with other government entities, researchers, and the public? If the Commission were to share compliance with other government entities, researchers, and the public, how should this sharing be structured?</w:t>
      </w:r>
    </w:p>
    <w:p w:rsidRPr="00F60651" w:rsidR="009B1F55" w:rsidP="00761B8B" w:rsidRDefault="77E88F3D" w14:paraId="77F3AC91" w14:textId="58A60949">
      <w:pPr>
        <w:pStyle w:val="ListNum"/>
        <w:keepNext/>
        <w:numPr>
          <w:ilvl w:val="0"/>
          <w:numId w:val="10"/>
        </w:numPr>
        <w:ind w:left="1080" w:right="1440"/>
      </w:pPr>
      <w:r w:rsidRPr="00F60651">
        <w:rPr>
          <w:u w:val="single"/>
        </w:rPr>
        <w:lastRenderedPageBreak/>
        <w:t>CMS Enforcement</w:t>
      </w:r>
      <w:r w:rsidRPr="00F60651">
        <w:t xml:space="preserve">. </w:t>
      </w:r>
    </w:p>
    <w:p w:rsidRPr="00F60651" w:rsidR="009B1F55" w:rsidP="00761B8B" w:rsidRDefault="114F6CB3" w14:paraId="5A303202" w14:textId="554A64F1">
      <w:pPr>
        <w:pStyle w:val="ListNum"/>
        <w:keepNext/>
        <w:numPr>
          <w:ilvl w:val="1"/>
          <w:numId w:val="10"/>
        </w:numPr>
        <w:ind w:right="1440"/>
      </w:pPr>
      <w:r w:rsidRPr="00F60651">
        <w:t>How s</w:t>
      </w:r>
      <w:r w:rsidRPr="00F60651" w:rsidR="77E88F3D">
        <w:t xml:space="preserve">hould the Commission </w:t>
      </w:r>
      <w:r w:rsidRPr="00F60651" w:rsidR="09DEC4CA">
        <w:t xml:space="preserve">structure </w:t>
      </w:r>
      <w:r w:rsidRPr="00F60651" w:rsidR="77E88F3D">
        <w:t>a citation program and fine</w:t>
      </w:r>
      <w:r w:rsidRPr="00F60651" w:rsidR="56B4B6BC">
        <w:t>s</w:t>
      </w:r>
      <w:r w:rsidRPr="00F60651" w:rsidR="77E88F3D">
        <w:t xml:space="preserve"> </w:t>
      </w:r>
      <w:r w:rsidR="00020464">
        <w:t>for noncompliance with GHG Reduction Plans</w:t>
      </w:r>
      <w:r w:rsidRPr="00F60651" w:rsidR="77E88F3D">
        <w:t>?</w:t>
      </w:r>
    </w:p>
    <w:p w:rsidRPr="00F60651" w:rsidR="007C50A3" w:rsidP="00CC136B" w:rsidRDefault="6C59DB09" w14:paraId="0C67898F" w14:textId="59EBE0D3">
      <w:pPr>
        <w:pStyle w:val="ListNum"/>
        <w:numPr>
          <w:ilvl w:val="1"/>
          <w:numId w:val="10"/>
        </w:numPr>
        <w:ind w:right="1440"/>
      </w:pPr>
      <w:r w:rsidRPr="00F60651">
        <w:t>How should we incorporate lessons learned from other</w:t>
      </w:r>
      <w:r w:rsidRPr="00F60651" w:rsidR="087F2AEA">
        <w:t xml:space="preserve"> citation programs </w:t>
      </w:r>
      <w:r w:rsidRPr="00F60651">
        <w:t xml:space="preserve">into the </w:t>
      </w:r>
      <w:r w:rsidR="00253488">
        <w:t xml:space="preserve">proposed </w:t>
      </w:r>
      <w:r w:rsidRPr="00F60651">
        <w:t>CMS citation program?</w:t>
      </w:r>
    </w:p>
    <w:p w:rsidRPr="00F60651" w:rsidR="00A52EF5" w:rsidP="00761B8B" w:rsidRDefault="16DECDB8" w14:paraId="7D8E2DC8" w14:textId="77777777">
      <w:pPr>
        <w:pStyle w:val="ListNum"/>
        <w:numPr>
          <w:ilvl w:val="0"/>
          <w:numId w:val="10"/>
        </w:numPr>
        <w:ind w:left="1080" w:right="1440"/>
      </w:pPr>
      <w:r w:rsidRPr="00F60651">
        <w:rPr>
          <w:u w:val="single"/>
        </w:rPr>
        <w:t>Exemptions</w:t>
      </w:r>
      <w:r w:rsidRPr="00F60651">
        <w:t xml:space="preserve">. </w:t>
      </w:r>
    </w:p>
    <w:p w:rsidR="00EB1988" w:rsidP="00761B8B" w:rsidRDefault="00806698" w14:paraId="1E9D5D37" w14:textId="0BEB5686">
      <w:pPr>
        <w:pStyle w:val="ListNum"/>
        <w:numPr>
          <w:ilvl w:val="1"/>
          <w:numId w:val="10"/>
        </w:numPr>
        <w:ind w:right="1440"/>
      </w:pPr>
      <w:r w:rsidRPr="00F60651">
        <w:t xml:space="preserve">Should the </w:t>
      </w:r>
      <w:r w:rsidRPr="00F60651" w:rsidR="00F67FBD">
        <w:t>C</w:t>
      </w:r>
      <w:r w:rsidRPr="00F60651" w:rsidR="006C5155">
        <w:t>ommission</w:t>
      </w:r>
      <w:r w:rsidRPr="00F60651">
        <w:t xml:space="preserve"> use its existing authority to regulate emissions of </w:t>
      </w:r>
      <w:r w:rsidRPr="00F60651" w:rsidR="00BA4413">
        <w:t xml:space="preserve">TNCs' </w:t>
      </w:r>
      <w:r w:rsidRPr="00F60651">
        <w:t>WAV</w:t>
      </w:r>
      <w:r w:rsidRPr="00F60651" w:rsidR="00BA4413">
        <w:t xml:space="preserve"> services and/or </w:t>
      </w:r>
      <w:r w:rsidRPr="00F60651" w:rsidR="00EA7A0C">
        <w:t>S</w:t>
      </w:r>
      <w:r w:rsidRPr="00F60651" w:rsidR="00BA4413">
        <w:t>mall TNCs</w:t>
      </w:r>
      <w:r w:rsidRPr="00F60651" w:rsidR="11B656C7">
        <w:t>?</w:t>
      </w:r>
      <w:r w:rsidRPr="00F60651">
        <w:t xml:space="preserve"> </w:t>
      </w:r>
      <w:r w:rsidR="00B67FEB">
        <w:t xml:space="preserve"> </w:t>
      </w:r>
      <w:r w:rsidRPr="00F60651">
        <w:t>If so, how?</w:t>
      </w:r>
    </w:p>
    <w:p w:rsidRPr="00EB1988" w:rsidR="6CFF3084" w:rsidP="00CC136B" w:rsidRDefault="5699F3B6" w14:paraId="523BA6BB" w14:textId="222FCB77">
      <w:pPr>
        <w:pStyle w:val="ListNum"/>
        <w:numPr>
          <w:ilvl w:val="1"/>
          <w:numId w:val="10"/>
        </w:numPr>
        <w:ind w:right="1440"/>
      </w:pPr>
      <w:r w:rsidRPr="00EB1988">
        <w:t>Does the WAV exemption impact Access and Functional Needs communities?</w:t>
      </w:r>
    </w:p>
    <w:p w:rsidRPr="00F60651" w:rsidR="00C63B00" w:rsidP="00CC136B" w:rsidRDefault="16DECDB8" w14:paraId="4E695812" w14:textId="7404A633">
      <w:pPr>
        <w:pStyle w:val="ListNum"/>
        <w:numPr>
          <w:ilvl w:val="0"/>
          <w:numId w:val="10"/>
        </w:numPr>
        <w:ind w:left="1080" w:right="1440" w:hanging="450"/>
      </w:pPr>
      <w:r w:rsidRPr="00F60651">
        <w:rPr>
          <w:u w:val="single"/>
        </w:rPr>
        <w:t>Optional Credit Programs</w:t>
      </w:r>
      <w:r w:rsidRPr="00F60651">
        <w:t xml:space="preserve">. </w:t>
      </w:r>
    </w:p>
    <w:p w:rsidR="00EB1988" w:rsidP="00CC136B" w:rsidRDefault="16DECDB8" w14:paraId="6647254D" w14:textId="5E631537">
      <w:pPr>
        <w:pStyle w:val="ListNum"/>
        <w:numPr>
          <w:ilvl w:val="1"/>
          <w:numId w:val="10"/>
        </w:numPr>
        <w:ind w:right="1440"/>
      </w:pPr>
      <w:r w:rsidRPr="00F60651">
        <w:t>Should the Commission adopt the Optional Credit Programs as defined by CARB’s Proposed Regulation Order</w:t>
      </w:r>
      <w:r w:rsidRPr="00F60651" w:rsidR="0A89E0F9">
        <w:t>?</w:t>
      </w:r>
      <w:r w:rsidR="00D70D33">
        <w:t xml:space="preserve"> </w:t>
      </w:r>
      <w:r w:rsidR="00B67FEB">
        <w:t xml:space="preserve"> </w:t>
      </w:r>
      <w:r w:rsidRPr="00D70D33" w:rsidR="00D70D33">
        <w:t>Should the Commission adopt other credit programs other than those in CARB’s Proposed Regulation Order?</w:t>
      </w:r>
    </w:p>
    <w:p w:rsidR="00EB1988" w:rsidP="00CC136B" w:rsidRDefault="18CC3DAB" w14:paraId="2F4F7F9C" w14:textId="77777777">
      <w:pPr>
        <w:pStyle w:val="ListNum"/>
        <w:numPr>
          <w:ilvl w:val="1"/>
          <w:numId w:val="10"/>
        </w:numPr>
        <w:ind w:right="1440"/>
      </w:pPr>
      <w:r w:rsidRPr="00EB1988">
        <w:t>Should certain thresholds in GHG emission reductions or eVMT be met before TNCs may avail themselves of the credit programs?</w:t>
      </w:r>
    </w:p>
    <w:p w:rsidRPr="00EB1988" w:rsidR="18CC3DAB" w:rsidP="00CC136B" w:rsidRDefault="18CC3DAB" w14:paraId="367772A9" w14:textId="0104C6E9">
      <w:pPr>
        <w:pStyle w:val="ListNum"/>
        <w:numPr>
          <w:ilvl w:val="1"/>
          <w:numId w:val="10"/>
        </w:numPr>
        <w:ind w:right="1440"/>
      </w:pPr>
      <w:r w:rsidRPr="00EB1988">
        <w:t>For any credit programs, what criteria should the Commission use to evaluate the applications if different from the criteria identified in CARB’s Proposed Regulation Order?</w:t>
      </w:r>
    </w:p>
    <w:p w:rsidR="00914AF7" w:rsidP="00CC136B" w:rsidRDefault="00EC1090" w14:paraId="7B8EFF87" w14:textId="2F7371EE">
      <w:pPr>
        <w:pStyle w:val="ListNum"/>
        <w:numPr>
          <w:ilvl w:val="0"/>
          <w:numId w:val="10"/>
        </w:numPr>
        <w:ind w:left="1080" w:right="1440" w:hanging="450"/>
      </w:pPr>
      <w:r w:rsidRPr="00F60651">
        <w:rPr>
          <w:u w:val="single"/>
        </w:rPr>
        <w:t>Coordination to advance</w:t>
      </w:r>
      <w:r w:rsidRPr="00F60651" w:rsidR="440119DD">
        <w:rPr>
          <w:u w:val="single"/>
        </w:rPr>
        <w:t xml:space="preserve"> CMS in Transportation Electrification </w:t>
      </w:r>
      <w:r w:rsidRPr="00F60651" w:rsidR="29027312">
        <w:rPr>
          <w:u w:val="single"/>
        </w:rPr>
        <w:t>efforts</w:t>
      </w:r>
      <w:r w:rsidRPr="00F60651" w:rsidR="005C3DF4">
        <w:t xml:space="preserve">. </w:t>
      </w:r>
      <w:r w:rsidRPr="00F60651" w:rsidR="003D649E">
        <w:t xml:space="preserve"> </w:t>
      </w:r>
    </w:p>
    <w:p w:rsidRPr="00EB1988" w:rsidR="00914AF7" w:rsidP="00CC136B" w:rsidRDefault="00914AF7" w14:paraId="79ABF0CA" w14:textId="292FC7D3">
      <w:pPr>
        <w:pStyle w:val="ListNum"/>
        <w:numPr>
          <w:ilvl w:val="1"/>
          <w:numId w:val="10"/>
        </w:numPr>
        <w:ind w:right="1170"/>
      </w:pPr>
      <w:r w:rsidRPr="00914AF7">
        <w:t>How should this proceeding coordinate with R.18</w:t>
      </w:r>
      <w:r w:rsidR="00CC136B">
        <w:noBreakHyphen/>
      </w:r>
      <w:r w:rsidRPr="00914AF7">
        <w:t>12</w:t>
      </w:r>
      <w:r w:rsidR="00CC136B">
        <w:noBreakHyphen/>
      </w:r>
      <w:r w:rsidRPr="00914AF7">
        <w:t>006</w:t>
      </w:r>
      <w:r w:rsidRPr="00F60651">
        <w:rPr>
          <w:rStyle w:val="FootnoteReference"/>
        </w:rPr>
        <w:footnoteReference w:id="38"/>
      </w:r>
      <w:r w:rsidRPr="00914AF7">
        <w:t xml:space="preserve"> to develop infrastructure and rate design to support the goals of CMS?</w:t>
      </w:r>
    </w:p>
    <w:p w:rsidR="005939A5" w:rsidP="009B5F94" w:rsidRDefault="461167FD" w14:paraId="4A41DBB1" w14:textId="6F0CD995">
      <w:pPr>
        <w:pStyle w:val="Heading2"/>
        <w:numPr>
          <w:ilvl w:val="1"/>
          <w:numId w:val="1"/>
        </w:numPr>
      </w:pPr>
      <w:bookmarkStart w:name="_Toc88569642" w:id="15"/>
      <w:bookmarkEnd w:id="13"/>
      <w:r>
        <w:lastRenderedPageBreak/>
        <w:t>Preliminary Schedule</w:t>
      </w:r>
      <w:bookmarkEnd w:id="15"/>
    </w:p>
    <w:p w:rsidRPr="00E50173" w:rsidR="00E50173" w:rsidP="00E50173" w:rsidRDefault="00E50173" w14:paraId="5185A26E" w14:textId="3B8D8A30">
      <w:pPr>
        <w:pStyle w:val="Standard"/>
      </w:pPr>
      <w:bookmarkStart w:name="_Toc8123724" w:id="16"/>
      <w:r>
        <w:t xml:space="preserve">The preliminary schedule for this proceeding </w:t>
      </w:r>
      <w:r w:rsidR="00153E26">
        <w:t>is presented below.</w:t>
      </w:r>
    </w:p>
    <w:tbl>
      <w:tblPr>
        <w:tblW w:w="959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left w:w="115" w:type="dxa"/>
          <w:right w:w="115" w:type="dxa"/>
        </w:tblCellMar>
        <w:tblLook w:val="0000" w:firstRow="0" w:lastRow="0" w:firstColumn="0" w:lastColumn="0" w:noHBand="0" w:noVBand="0"/>
      </w:tblPr>
      <w:tblGrid>
        <w:gridCol w:w="5395"/>
        <w:gridCol w:w="4195"/>
      </w:tblGrid>
      <w:tr w:rsidRPr="00F63EE1" w:rsidR="00E50173" w:rsidTr="00CC136B" w14:paraId="5B343978" w14:textId="77777777">
        <w:trPr>
          <w:trHeight w:val="300"/>
          <w:tblHeader/>
          <w:jc w:val="center"/>
        </w:trPr>
        <w:tc>
          <w:tcPr>
            <w:tcW w:w="5395" w:type="dxa"/>
            <w:shd w:val="clear" w:color="auto" w:fill="auto"/>
            <w:noWrap/>
            <w:vAlign w:val="center"/>
          </w:tcPr>
          <w:p w:rsidRPr="00CC136B" w:rsidR="00E50173" w:rsidP="00CC136B" w:rsidRDefault="00E50173" w14:paraId="0EB52EAE" w14:textId="2C10E20B">
            <w:pPr>
              <w:keepNext/>
              <w:spacing w:before="60" w:after="60" w:line="240" w:lineRule="auto"/>
              <w:ind w:firstLine="0"/>
              <w:jc w:val="center"/>
              <w:rPr>
                <w:b/>
              </w:rPr>
            </w:pPr>
            <w:r w:rsidRPr="00CC136B">
              <w:rPr>
                <w:b/>
              </w:rPr>
              <w:t>EVENT</w:t>
            </w:r>
          </w:p>
        </w:tc>
        <w:tc>
          <w:tcPr>
            <w:tcW w:w="4195" w:type="dxa"/>
            <w:vAlign w:val="center"/>
          </w:tcPr>
          <w:p w:rsidRPr="00CC136B" w:rsidR="00E50173" w:rsidP="00CC136B" w:rsidRDefault="00E50173" w14:paraId="57CC7F15" w14:textId="77777777">
            <w:pPr>
              <w:spacing w:before="60" w:after="60" w:line="240" w:lineRule="auto"/>
              <w:ind w:firstLine="0"/>
              <w:jc w:val="center"/>
              <w:rPr>
                <w:b/>
              </w:rPr>
            </w:pPr>
            <w:r w:rsidRPr="00CC136B">
              <w:rPr>
                <w:b/>
              </w:rPr>
              <w:t>DATE</w:t>
            </w:r>
          </w:p>
        </w:tc>
      </w:tr>
      <w:tr w:rsidRPr="00F63EE1" w:rsidR="00E50173" w:rsidTr="00CC136B" w14:paraId="4845E1FA" w14:textId="77777777">
        <w:trPr>
          <w:trHeight w:val="300"/>
          <w:tblHeader/>
          <w:jc w:val="center"/>
        </w:trPr>
        <w:tc>
          <w:tcPr>
            <w:tcW w:w="5395" w:type="dxa"/>
            <w:shd w:val="clear" w:color="auto" w:fill="auto"/>
            <w:noWrap/>
            <w:vAlign w:val="center"/>
          </w:tcPr>
          <w:p w:rsidRPr="00CC136B" w:rsidR="00E50173" w:rsidP="00CC136B" w:rsidRDefault="00E50173" w14:paraId="3C374BC3" w14:textId="622CA0CA">
            <w:pPr>
              <w:keepNext/>
              <w:spacing w:before="60" w:after="60" w:line="240" w:lineRule="auto"/>
              <w:ind w:firstLine="0"/>
              <w:rPr>
                <w:b/>
              </w:rPr>
            </w:pPr>
            <w:r w:rsidRPr="00CC136B">
              <w:t>Opening Comments filed and served</w:t>
            </w:r>
          </w:p>
        </w:tc>
        <w:tc>
          <w:tcPr>
            <w:tcW w:w="4195" w:type="dxa"/>
            <w:vAlign w:val="center"/>
          </w:tcPr>
          <w:p w:rsidRPr="00CC136B" w:rsidR="00E50173" w:rsidP="00CC136B" w:rsidRDefault="00E50173" w14:paraId="30625AE5" w14:textId="1DF749F2">
            <w:pPr>
              <w:spacing w:before="60" w:after="60" w:line="240" w:lineRule="auto"/>
              <w:ind w:firstLine="0"/>
            </w:pPr>
            <w:r w:rsidRPr="00CC136B">
              <w:t>Within 40 days of the date of this OIR</w:t>
            </w:r>
          </w:p>
        </w:tc>
      </w:tr>
      <w:tr w:rsidRPr="00C532EB" w:rsidR="00E50173" w:rsidTr="00CC136B" w14:paraId="38C89F39" w14:textId="77777777">
        <w:trPr>
          <w:trHeight w:val="300"/>
          <w:jc w:val="center"/>
        </w:trPr>
        <w:tc>
          <w:tcPr>
            <w:tcW w:w="5395" w:type="dxa"/>
            <w:shd w:val="clear" w:color="auto" w:fill="auto"/>
            <w:noWrap/>
            <w:vAlign w:val="center"/>
          </w:tcPr>
          <w:p w:rsidRPr="00CC136B" w:rsidR="00E50173" w:rsidP="00CC136B" w:rsidRDefault="00E50173" w14:paraId="63A668A4" w14:textId="10A7D9AF">
            <w:pPr>
              <w:keepNext/>
              <w:spacing w:before="60" w:after="60" w:line="240" w:lineRule="auto"/>
              <w:ind w:firstLine="0"/>
            </w:pPr>
            <w:r w:rsidRPr="00CC136B">
              <w:t>Reply Comments filed and served</w:t>
            </w:r>
          </w:p>
        </w:tc>
        <w:tc>
          <w:tcPr>
            <w:tcW w:w="4195" w:type="dxa"/>
            <w:vAlign w:val="center"/>
          </w:tcPr>
          <w:p w:rsidRPr="00CC136B" w:rsidR="00E50173" w:rsidP="00CC136B" w:rsidRDefault="003E0305" w14:paraId="020945D5" w14:textId="673307AC">
            <w:pPr>
              <w:spacing w:before="60" w:after="60" w:line="240" w:lineRule="auto"/>
              <w:ind w:firstLine="0"/>
            </w:pPr>
            <w:r w:rsidRPr="00CC136B">
              <w:t xml:space="preserve">Within </w:t>
            </w:r>
            <w:r w:rsidRPr="00CC136B" w:rsidR="00E50173">
              <w:t xml:space="preserve">10 days </w:t>
            </w:r>
            <w:r w:rsidR="006C261A">
              <w:t xml:space="preserve">of the date </w:t>
            </w:r>
            <w:r w:rsidRPr="00CC136B" w:rsidR="00E50173">
              <w:t>opening comments</w:t>
            </w:r>
            <w:r w:rsidR="006C261A">
              <w:t xml:space="preserve"> are due</w:t>
            </w:r>
          </w:p>
        </w:tc>
      </w:tr>
      <w:tr w:rsidR="3CAE809A" w:rsidTr="00CC136B" w14:paraId="06C37BEA" w14:textId="77777777">
        <w:trPr>
          <w:trHeight w:val="300"/>
          <w:jc w:val="center"/>
        </w:trPr>
        <w:tc>
          <w:tcPr>
            <w:tcW w:w="5395" w:type="dxa"/>
            <w:shd w:val="clear" w:color="auto" w:fill="auto"/>
            <w:noWrap/>
            <w:vAlign w:val="center"/>
          </w:tcPr>
          <w:p w:rsidRPr="00CC136B" w:rsidR="55025F26" w:rsidP="00CC136B" w:rsidRDefault="55025F26" w14:paraId="1ACA840F" w14:textId="2D454442">
            <w:pPr>
              <w:spacing w:line="240" w:lineRule="auto"/>
              <w:ind w:firstLine="0"/>
              <w:rPr>
                <w:rFonts w:eastAsia="Calibri" w:cs="Arial"/>
                <w:szCs w:val="26"/>
              </w:rPr>
            </w:pPr>
            <w:r w:rsidRPr="00CC136B">
              <w:rPr>
                <w:rFonts w:eastAsia="Calibri" w:cs="Arial"/>
                <w:szCs w:val="26"/>
              </w:rPr>
              <w:t>Workshop</w:t>
            </w:r>
            <w:r w:rsidR="00253488">
              <w:rPr>
                <w:rFonts w:eastAsia="Calibri" w:cs="Arial"/>
                <w:szCs w:val="26"/>
              </w:rPr>
              <w:t xml:space="preserve"> held</w:t>
            </w:r>
          </w:p>
        </w:tc>
        <w:tc>
          <w:tcPr>
            <w:tcW w:w="4195" w:type="dxa"/>
            <w:vAlign w:val="center"/>
          </w:tcPr>
          <w:p w:rsidRPr="00CC136B" w:rsidR="55025F26" w:rsidP="00CC136B" w:rsidRDefault="00741C46" w14:paraId="5C636023" w14:textId="7EABF713">
            <w:pPr>
              <w:spacing w:line="240" w:lineRule="auto"/>
              <w:ind w:firstLine="0"/>
              <w:rPr>
                <w:rFonts w:eastAsia="Calibri" w:cs="Arial"/>
              </w:rPr>
            </w:pPr>
            <w:r w:rsidRPr="00CC136B">
              <w:rPr>
                <w:rFonts w:eastAsia="Calibri" w:cs="Arial"/>
              </w:rPr>
              <w:t>Q1 2022</w:t>
            </w:r>
          </w:p>
        </w:tc>
      </w:tr>
      <w:tr w:rsidRPr="00C532EB" w:rsidR="003E0305" w:rsidTr="00CC136B" w14:paraId="0D012262" w14:textId="77777777">
        <w:trPr>
          <w:trHeight w:val="300"/>
          <w:jc w:val="center"/>
        </w:trPr>
        <w:tc>
          <w:tcPr>
            <w:tcW w:w="5395" w:type="dxa"/>
            <w:shd w:val="clear" w:color="auto" w:fill="auto"/>
            <w:noWrap/>
            <w:vAlign w:val="center"/>
          </w:tcPr>
          <w:p w:rsidRPr="00CC136B" w:rsidR="003E0305" w:rsidP="00CC136B" w:rsidRDefault="003E0305" w14:paraId="1DC6BE96" w14:textId="55585292">
            <w:pPr>
              <w:spacing w:before="60" w:after="60" w:line="240" w:lineRule="auto"/>
              <w:ind w:firstLine="0"/>
            </w:pPr>
            <w:r w:rsidRPr="00CC136B">
              <w:t>Prehearing Conference</w:t>
            </w:r>
            <w:r w:rsidR="00253488">
              <w:t xml:space="preserve"> held</w:t>
            </w:r>
          </w:p>
        </w:tc>
        <w:tc>
          <w:tcPr>
            <w:tcW w:w="4195" w:type="dxa"/>
            <w:vAlign w:val="center"/>
          </w:tcPr>
          <w:p w:rsidRPr="00CC136B" w:rsidR="003E0305" w:rsidP="00CC136B" w:rsidRDefault="00523C82" w14:paraId="6C8A3431" w14:textId="2755287F">
            <w:pPr>
              <w:spacing w:before="60" w:after="60" w:line="240" w:lineRule="auto"/>
              <w:ind w:firstLine="0"/>
            </w:pPr>
            <w:r w:rsidRPr="00CC136B">
              <w:t>Q1 2022</w:t>
            </w:r>
          </w:p>
        </w:tc>
      </w:tr>
      <w:tr w:rsidRPr="00C532EB" w:rsidR="00E50173" w:rsidTr="00CC136B" w14:paraId="4C3F3284" w14:textId="77777777">
        <w:trPr>
          <w:trHeight w:val="300"/>
          <w:jc w:val="center"/>
        </w:trPr>
        <w:tc>
          <w:tcPr>
            <w:tcW w:w="5395" w:type="dxa"/>
            <w:shd w:val="clear" w:color="auto" w:fill="auto"/>
            <w:noWrap/>
            <w:vAlign w:val="center"/>
          </w:tcPr>
          <w:p w:rsidRPr="00CC136B" w:rsidR="00E50173" w:rsidP="00CC136B" w:rsidRDefault="00E50173" w14:paraId="2AC33615" w14:textId="38648687">
            <w:pPr>
              <w:spacing w:before="60" w:after="60" w:line="240" w:lineRule="auto"/>
              <w:ind w:firstLine="0"/>
            </w:pPr>
            <w:r w:rsidRPr="00CC136B">
              <w:t>Scoping Memo</w:t>
            </w:r>
            <w:r w:rsidR="00253488">
              <w:t xml:space="preserve"> issued</w:t>
            </w:r>
          </w:p>
        </w:tc>
        <w:tc>
          <w:tcPr>
            <w:tcW w:w="4195" w:type="dxa"/>
            <w:vAlign w:val="center"/>
          </w:tcPr>
          <w:p w:rsidRPr="00CC136B" w:rsidR="00E50173" w:rsidP="00CC136B" w:rsidRDefault="00E50173" w14:paraId="1DFE9FA5" w14:textId="77777777">
            <w:pPr>
              <w:spacing w:before="60" w:after="60" w:line="240" w:lineRule="auto"/>
              <w:ind w:firstLine="0"/>
            </w:pPr>
            <w:r w:rsidRPr="00CC136B">
              <w:t>Q1 2022</w:t>
            </w:r>
          </w:p>
        </w:tc>
      </w:tr>
      <w:tr w:rsidRPr="00C532EB" w:rsidR="00E50173" w:rsidTr="00CC136B" w14:paraId="79C68B5D" w14:textId="77777777">
        <w:trPr>
          <w:trHeight w:val="300"/>
          <w:jc w:val="center"/>
        </w:trPr>
        <w:tc>
          <w:tcPr>
            <w:tcW w:w="5395" w:type="dxa"/>
            <w:shd w:val="clear" w:color="auto" w:fill="auto"/>
            <w:noWrap/>
            <w:vAlign w:val="center"/>
          </w:tcPr>
          <w:p w:rsidRPr="00CC136B" w:rsidR="00E50173" w:rsidP="00CC136B" w:rsidRDefault="428250DB" w14:paraId="2F81C6EC" w14:textId="0EB7F540">
            <w:pPr>
              <w:spacing w:before="60" w:after="60" w:line="240" w:lineRule="auto"/>
              <w:ind w:firstLine="0"/>
            </w:pPr>
            <w:r w:rsidRPr="00CC136B">
              <w:t>Staff Proposal</w:t>
            </w:r>
            <w:r w:rsidR="00253488">
              <w:t xml:space="preserve"> issued</w:t>
            </w:r>
          </w:p>
        </w:tc>
        <w:tc>
          <w:tcPr>
            <w:tcW w:w="4195" w:type="dxa"/>
            <w:vAlign w:val="center"/>
          </w:tcPr>
          <w:p w:rsidRPr="00CC136B" w:rsidR="00E50173" w:rsidP="00CC136B" w:rsidRDefault="313B0817" w14:paraId="20B924D4" w14:textId="369D176D">
            <w:pPr>
              <w:spacing w:before="60" w:after="60" w:line="240" w:lineRule="auto"/>
              <w:ind w:firstLine="0"/>
            </w:pPr>
            <w:r w:rsidRPr="00CC136B">
              <w:t>Q2</w:t>
            </w:r>
            <w:r w:rsidRPr="00CC136B" w:rsidR="461167FD">
              <w:t xml:space="preserve"> 2022</w:t>
            </w:r>
          </w:p>
        </w:tc>
      </w:tr>
      <w:tr w:rsidRPr="00C532EB" w:rsidR="00E50173" w:rsidTr="00CC136B" w14:paraId="573496E4" w14:textId="77777777">
        <w:trPr>
          <w:trHeight w:val="300"/>
          <w:jc w:val="center"/>
        </w:trPr>
        <w:tc>
          <w:tcPr>
            <w:tcW w:w="5395" w:type="dxa"/>
            <w:shd w:val="clear" w:color="auto" w:fill="auto"/>
            <w:noWrap/>
            <w:vAlign w:val="center"/>
          </w:tcPr>
          <w:p w:rsidRPr="00CC136B" w:rsidR="00E50173" w:rsidP="00CC136B" w:rsidRDefault="003E0305" w14:paraId="50DD7162" w14:textId="55C71821">
            <w:pPr>
              <w:spacing w:before="60" w:after="60" w:line="240" w:lineRule="auto"/>
              <w:ind w:firstLine="0"/>
            </w:pPr>
            <w:r w:rsidRPr="00CC136B">
              <w:t>Rulings with questions for party comments</w:t>
            </w:r>
            <w:r w:rsidR="00253488">
              <w:t xml:space="preserve"> issued</w:t>
            </w:r>
          </w:p>
        </w:tc>
        <w:tc>
          <w:tcPr>
            <w:tcW w:w="4195" w:type="dxa"/>
            <w:vAlign w:val="center"/>
          </w:tcPr>
          <w:p w:rsidRPr="00CC136B" w:rsidR="00E50173" w:rsidP="00CC136B" w:rsidRDefault="00AA5DD5" w14:paraId="5A53AD84" w14:textId="449806C9">
            <w:pPr>
              <w:spacing w:before="60" w:after="60" w:line="240" w:lineRule="auto"/>
              <w:ind w:firstLine="0"/>
            </w:pPr>
            <w:r w:rsidRPr="00CC136B">
              <w:t>Q</w:t>
            </w:r>
            <w:r w:rsidRPr="00CC136B" w:rsidR="00946714">
              <w:t>2-Q3 2022</w:t>
            </w:r>
          </w:p>
        </w:tc>
      </w:tr>
      <w:tr w:rsidRPr="00C532EB" w:rsidR="003E0305" w:rsidTr="00CC136B" w14:paraId="72B984D7" w14:textId="77777777">
        <w:trPr>
          <w:trHeight w:val="300"/>
          <w:jc w:val="center"/>
        </w:trPr>
        <w:tc>
          <w:tcPr>
            <w:tcW w:w="5395" w:type="dxa"/>
            <w:shd w:val="clear" w:color="auto" w:fill="auto"/>
            <w:noWrap/>
            <w:vAlign w:val="center"/>
          </w:tcPr>
          <w:p w:rsidRPr="00CC136B" w:rsidR="003E0305" w:rsidP="00CC136B" w:rsidRDefault="003E0305" w14:paraId="34AC3F04" w14:textId="51F58074">
            <w:pPr>
              <w:spacing w:before="60" w:after="60" w:line="240" w:lineRule="auto"/>
              <w:ind w:firstLine="0"/>
            </w:pPr>
            <w:r w:rsidRPr="00CC136B">
              <w:t>Proposed Decision</w:t>
            </w:r>
            <w:r w:rsidR="00253488">
              <w:t xml:space="preserve"> issued</w:t>
            </w:r>
          </w:p>
        </w:tc>
        <w:tc>
          <w:tcPr>
            <w:tcW w:w="4195" w:type="dxa"/>
            <w:vAlign w:val="center"/>
          </w:tcPr>
          <w:p w:rsidRPr="00CC136B" w:rsidR="003E0305" w:rsidP="00CC136B" w:rsidRDefault="003E0305" w14:paraId="4EFA486E" w14:textId="3B3E5293">
            <w:pPr>
              <w:spacing w:before="60" w:after="60" w:line="240" w:lineRule="auto"/>
              <w:ind w:firstLine="0"/>
            </w:pPr>
            <w:r w:rsidRPr="00CC136B">
              <w:t>No later than 90 days after submission</w:t>
            </w:r>
          </w:p>
        </w:tc>
      </w:tr>
      <w:tr w:rsidRPr="00C532EB" w:rsidR="003E0305" w:rsidTr="00CC136B" w14:paraId="0939DEB5" w14:textId="77777777">
        <w:trPr>
          <w:trHeight w:val="300"/>
          <w:jc w:val="center"/>
        </w:trPr>
        <w:tc>
          <w:tcPr>
            <w:tcW w:w="5395" w:type="dxa"/>
            <w:shd w:val="clear" w:color="auto" w:fill="auto"/>
            <w:noWrap/>
            <w:vAlign w:val="center"/>
          </w:tcPr>
          <w:p w:rsidRPr="00CC136B" w:rsidR="003E0305" w:rsidP="00CC136B" w:rsidRDefault="003E0305" w14:paraId="625A490F" w14:textId="524DD382">
            <w:pPr>
              <w:spacing w:before="60" w:after="60" w:line="240" w:lineRule="auto"/>
              <w:ind w:firstLine="0"/>
            </w:pPr>
            <w:r w:rsidRPr="00CC136B">
              <w:t>Commission Decision</w:t>
            </w:r>
            <w:r w:rsidR="00253488">
              <w:t xml:space="preserve"> issued</w:t>
            </w:r>
          </w:p>
        </w:tc>
        <w:tc>
          <w:tcPr>
            <w:tcW w:w="4195" w:type="dxa"/>
            <w:vAlign w:val="center"/>
          </w:tcPr>
          <w:p w:rsidRPr="00CC136B" w:rsidR="003E0305" w:rsidP="00CC136B" w:rsidRDefault="003E0305" w14:paraId="3CB1BA03" w14:textId="627A63FA">
            <w:pPr>
              <w:spacing w:before="60" w:after="60" w:line="240" w:lineRule="auto"/>
              <w:ind w:firstLine="0"/>
            </w:pPr>
            <w:r w:rsidRPr="00CC136B">
              <w:t>No sooner than 30 days after Proposed Decision</w:t>
            </w:r>
          </w:p>
        </w:tc>
      </w:tr>
    </w:tbl>
    <w:p w:rsidR="003E0305" w:rsidP="00CC136B" w:rsidRDefault="00153E26" w14:paraId="645FD7B1" w14:textId="56799257">
      <w:pPr>
        <w:pStyle w:val="Standard"/>
        <w:spacing w:before="240"/>
      </w:pPr>
      <w:r w:rsidRPr="005B44B7">
        <w:t xml:space="preserve">The </w:t>
      </w:r>
      <w:r w:rsidRPr="005B44B7" w:rsidR="003302E7">
        <w:t>a</w:t>
      </w:r>
      <w:r w:rsidRPr="005B44B7">
        <w:t>ssigned</w:t>
      </w:r>
      <w:r w:rsidRPr="005D3719">
        <w:t xml:space="preserve"> Commissioner or the assigned Administrative Law Judge (ALJ) may change the schedule to promote efficient and fair administration of this proceeding. </w:t>
      </w:r>
      <w:r w:rsidR="00B67FEB">
        <w:t xml:space="preserve"> </w:t>
      </w:r>
      <w:r w:rsidR="003E0305">
        <w:t xml:space="preserve">We leave open the possibility that issue areas may be decided in </w:t>
      </w:r>
      <w:r w:rsidR="00BB4389">
        <w:t xml:space="preserve">more than one </w:t>
      </w:r>
      <w:r w:rsidR="003E0305">
        <w:t xml:space="preserve">decision, if necessary. </w:t>
      </w:r>
    </w:p>
    <w:p w:rsidR="00E50173" w:rsidP="00CC136B" w:rsidRDefault="00153E26" w14:paraId="08C05943" w14:textId="10C066B3">
      <w:pPr>
        <w:pStyle w:val="Standard"/>
        <w:ind w:right="-180"/>
      </w:pPr>
      <w:r>
        <w:t xml:space="preserve">We note that </w:t>
      </w:r>
      <w:r w:rsidR="00E50173">
        <w:t>Pub. Util. Code Section 5450 requires CARB to establish annual CMS targets and goals by January 1, 2021</w:t>
      </w:r>
      <w:r w:rsidR="00B67FEB">
        <w:t>,</w:t>
      </w:r>
      <w:r w:rsidR="00E50173">
        <w:t xml:space="preserve"> and requires each TNCs to develop a GHG emissions reduction plan by January 1, 2022.</w:t>
      </w:r>
      <w:r w:rsidR="00B67FEB">
        <w:t xml:space="preserve"> </w:t>
      </w:r>
      <w:r w:rsidR="00E50173">
        <w:t xml:space="preserve"> On </w:t>
      </w:r>
      <w:r w:rsidRPr="00DD0C67" w:rsidR="00E50173">
        <w:t>September</w:t>
      </w:r>
      <w:r w:rsidR="00CC136B">
        <w:t> </w:t>
      </w:r>
      <w:r w:rsidRPr="00DD0C67" w:rsidR="008171CB">
        <w:t>14</w:t>
      </w:r>
      <w:r w:rsidRPr="00DD0C67" w:rsidR="00E50173">
        <w:t>, 2021</w:t>
      </w:r>
      <w:r w:rsidR="00E50173">
        <w:t xml:space="preserve">, CARB released the modifications to its proposed regulation order to establish CMS targets and goals. </w:t>
      </w:r>
      <w:r w:rsidR="002433B6">
        <w:t xml:space="preserve"> </w:t>
      </w:r>
      <w:r w:rsidR="00867280">
        <w:t xml:space="preserve">We anticipate that CARB will </w:t>
      </w:r>
      <w:r w:rsidR="00EF4F0B">
        <w:t xml:space="preserve">formally adopt </w:t>
      </w:r>
      <w:r w:rsidR="00105C67">
        <w:t xml:space="preserve">a CMS regulation order </w:t>
      </w:r>
      <w:r w:rsidR="00F90DFF">
        <w:t>after January 1, 2022</w:t>
      </w:r>
      <w:r w:rsidR="003C0437">
        <w:t>.</w:t>
      </w:r>
      <w:r w:rsidR="00E50173">
        <w:t xml:space="preserve"> </w:t>
      </w:r>
      <w:r w:rsidR="002433B6">
        <w:t xml:space="preserve"> </w:t>
      </w:r>
      <w:r w:rsidR="00E50173">
        <w:t xml:space="preserve">We expect that this delay will impact the schedule of </w:t>
      </w:r>
      <w:r w:rsidR="00E50173">
        <w:lastRenderedPageBreak/>
        <w:t>this proceeding, including the issuance of guidance to TNCs for development of GHG emissions reduction plans.</w:t>
      </w:r>
      <w:r>
        <w:t xml:space="preserve"> </w:t>
      </w:r>
    </w:p>
    <w:p w:rsidRPr="009945F6" w:rsidR="00E50173" w:rsidP="00B67FEB" w:rsidRDefault="00E50173" w14:paraId="5340CE65" w14:textId="2778C636">
      <w:pPr>
        <w:pStyle w:val="Standard"/>
      </w:pPr>
      <w:r w:rsidRPr="009945F6">
        <w:t xml:space="preserve">Due to the complexity and number of issues in this proceeding, it is the Commission’s intent to complete this proceeding within 24 months of the date this </w:t>
      </w:r>
      <w:r w:rsidR="009371D2">
        <w:t>Order Instituting Rulemaking</w:t>
      </w:r>
      <w:r w:rsidRPr="009945F6" w:rsidR="009371D2">
        <w:t xml:space="preserve"> </w:t>
      </w:r>
      <w:r w:rsidRPr="009945F6">
        <w:t>is adopted</w:t>
      </w:r>
      <w:r w:rsidR="00153E26">
        <w:t xml:space="preserve"> in accordance with </w:t>
      </w:r>
      <w:r w:rsidRPr="009945F6">
        <w:t>Pub</w:t>
      </w:r>
      <w:r w:rsidR="00153E26">
        <w:t>.</w:t>
      </w:r>
      <w:r w:rsidRPr="009945F6">
        <w:t xml:space="preserve"> Util</w:t>
      </w:r>
      <w:r w:rsidR="00153E26">
        <w:t>.</w:t>
      </w:r>
      <w:r w:rsidRPr="009945F6">
        <w:t xml:space="preserve"> Code </w:t>
      </w:r>
      <w:r w:rsidR="00153E26">
        <w:t>Section</w:t>
      </w:r>
      <w:r w:rsidRPr="009945F6">
        <w:t xml:space="preserve"> 1701.5(b).</w:t>
      </w:r>
    </w:p>
    <w:p w:rsidRPr="001E7B42" w:rsidR="00E50173" w:rsidP="002433B6" w:rsidRDefault="001E7B42" w14:paraId="37F1B3D1" w14:textId="1B45C60E">
      <w:pPr>
        <w:pStyle w:val="Standard"/>
      </w:pPr>
      <w:r>
        <w:t>Notice</w:t>
      </w:r>
      <w:r w:rsidRPr="005D3719" w:rsidR="00E50173">
        <w:t xml:space="preserve"> of workshops</w:t>
      </w:r>
      <w:r>
        <w:t xml:space="preserve"> in this proceeding</w:t>
      </w:r>
      <w:r w:rsidRPr="005D3719" w:rsidR="00E50173">
        <w:t xml:space="preserve"> will be</w:t>
      </w:r>
      <w:r>
        <w:t xml:space="preserve"> served to the service list of this proceeding and</w:t>
      </w:r>
      <w:r w:rsidRPr="005D3719" w:rsidR="00E50173">
        <w:t xml:space="preserve"> posted on the Commission’s Daily Calendar to inform the public that a decision-maker or an advisor may be present at those meetings or workshops.  </w:t>
      </w:r>
    </w:p>
    <w:p w:rsidR="004F6258" w:rsidP="00CC136B" w:rsidRDefault="004F6258" w14:paraId="1D507187" w14:textId="19A6E165">
      <w:pPr>
        <w:pStyle w:val="Heading1"/>
        <w:numPr>
          <w:ilvl w:val="0"/>
          <w:numId w:val="1"/>
        </w:numPr>
        <w:ind w:right="3780"/>
      </w:pPr>
      <w:bookmarkStart w:name="_Toc88569643" w:id="17"/>
      <w:r>
        <w:t xml:space="preserve">Category of Proceeding; </w:t>
      </w:r>
      <w:r w:rsidRPr="00605941">
        <w:rPr>
          <w:i/>
          <w:iCs/>
        </w:rPr>
        <w:t>Ex Parte</w:t>
      </w:r>
      <w:r>
        <w:t xml:space="preserve"> Communications; and Need for Hearing</w:t>
      </w:r>
      <w:bookmarkEnd w:id="17"/>
    </w:p>
    <w:p w:rsidRPr="00C65533" w:rsidR="00FF4CB4" w:rsidP="00FF4CB4" w:rsidRDefault="00FF4CB4" w14:paraId="54D7F9A2" w14:textId="6F17B226">
      <w:pPr>
        <w:pStyle w:val="standard0"/>
        <w:rPr>
          <w:rFonts w:ascii="Book Antiqua" w:hAnsi="Book Antiqua"/>
        </w:rPr>
      </w:pPr>
      <w:r w:rsidRPr="00C65533">
        <w:rPr>
          <w:rFonts w:ascii="Book Antiqua" w:hAnsi="Book Antiqua"/>
        </w:rPr>
        <w:t xml:space="preserve">The Commission’s Rules of Practice and Procedure require that an order instituting rulemaking preliminarily determine the category of the proceeding and the need for hearing.  </w:t>
      </w:r>
      <w:r>
        <w:rPr>
          <w:rFonts w:ascii="Book Antiqua" w:hAnsi="Book Antiqua"/>
        </w:rPr>
        <w:t>A</w:t>
      </w:r>
      <w:r w:rsidRPr="00C65533">
        <w:rPr>
          <w:rFonts w:ascii="Book Antiqua" w:hAnsi="Book Antiqua"/>
        </w:rPr>
        <w:t xml:space="preserve">s a preliminary matter, we determine that this proceeding is quasi-legislative, because our consideration and approval of this matter would establish policy or rules affecting </w:t>
      </w:r>
      <w:r>
        <w:rPr>
          <w:rFonts w:ascii="Book Antiqua" w:hAnsi="Book Antiqua"/>
        </w:rPr>
        <w:t>transportation network companies, a class of</w:t>
      </w:r>
      <w:r w:rsidRPr="00C65533">
        <w:rPr>
          <w:rFonts w:ascii="Book Antiqua" w:hAnsi="Book Antiqua"/>
        </w:rPr>
        <w:t xml:space="preserve"> regulated </w:t>
      </w:r>
      <w:r>
        <w:rPr>
          <w:rFonts w:ascii="Book Antiqua" w:hAnsi="Book Antiqua"/>
        </w:rPr>
        <w:t>entities</w:t>
      </w:r>
      <w:r w:rsidRPr="00C65533">
        <w:rPr>
          <w:rFonts w:ascii="Book Antiqua" w:hAnsi="Book Antiqua"/>
        </w:rPr>
        <w:t xml:space="preserve">.  Accordingly, </w:t>
      </w:r>
      <w:r w:rsidRPr="00C65533">
        <w:rPr>
          <w:rFonts w:ascii="Book Antiqua" w:hAnsi="Book Antiqua"/>
          <w:i/>
        </w:rPr>
        <w:t>ex parte</w:t>
      </w:r>
      <w:r w:rsidRPr="00C65533">
        <w:rPr>
          <w:rFonts w:ascii="Book Antiqua" w:hAnsi="Book Antiqua"/>
        </w:rPr>
        <w:t xml:space="preserve"> communications are permitted pursuant to Article 8 of the Rules</w:t>
      </w:r>
      <w:r>
        <w:rPr>
          <w:rFonts w:ascii="Book Antiqua" w:hAnsi="Book Antiqua"/>
        </w:rPr>
        <w:t>.  However, parties are reminded to only contact the assigned ALJ</w:t>
      </w:r>
      <w:r w:rsidR="00490618">
        <w:rPr>
          <w:rFonts w:ascii="Book Antiqua" w:hAnsi="Book Antiqua"/>
        </w:rPr>
        <w:t>(s)</w:t>
      </w:r>
      <w:r>
        <w:rPr>
          <w:rFonts w:ascii="Book Antiqua" w:hAnsi="Book Antiqua"/>
        </w:rPr>
        <w:t xml:space="preserve"> outside of a publicly noticed forum</w:t>
      </w:r>
      <w:r w:rsidR="00490618">
        <w:rPr>
          <w:rFonts w:ascii="Book Antiqua" w:hAnsi="Book Antiqua"/>
        </w:rPr>
        <w:t xml:space="preserve"> with procedural questions</w:t>
      </w:r>
      <w:r>
        <w:rPr>
          <w:rFonts w:ascii="Book Antiqua" w:hAnsi="Book Antiqua"/>
        </w:rPr>
        <w:t xml:space="preserve"> by email with a copy to the entire service list. </w:t>
      </w:r>
    </w:p>
    <w:p w:rsidR="00FF4CB4" w:rsidP="00FF4CB4" w:rsidRDefault="00FF4CB4" w14:paraId="36561AAD" w14:textId="07FBAF06">
      <w:r w:rsidRPr="00C65533">
        <w:t xml:space="preserve">We are also required to preliminarily determine if hearings are necessary.  </w:t>
      </w:r>
      <w:r w:rsidRPr="009D387A">
        <w:t xml:space="preserve">We preliminarily determine that hearings are not necessary. </w:t>
      </w:r>
      <w:r>
        <w:t xml:space="preserve"> </w:t>
      </w:r>
      <w:r w:rsidRPr="009D387A">
        <w:t>However, we plan to give parties an opportunity to discuss this further at the prehearing conference.</w:t>
      </w:r>
    </w:p>
    <w:p w:rsidR="00490618" w:rsidP="00E32323" w:rsidRDefault="00490618" w14:paraId="349D164F" w14:textId="195606EB">
      <w:pPr>
        <w:pStyle w:val="Heading1"/>
        <w:numPr>
          <w:ilvl w:val="0"/>
          <w:numId w:val="1"/>
        </w:numPr>
      </w:pPr>
      <w:bookmarkStart w:name="_Toc88569644" w:id="18"/>
      <w:r>
        <w:lastRenderedPageBreak/>
        <w:t>Respondents</w:t>
      </w:r>
      <w:bookmarkEnd w:id="18"/>
    </w:p>
    <w:p w:rsidRPr="00490618" w:rsidR="004346AD" w:rsidP="00BD038F" w:rsidRDefault="00490618" w14:paraId="3439C0E8" w14:textId="4030ADFB">
      <w:pPr>
        <w:pStyle w:val="Standard"/>
      </w:pPr>
      <w:r>
        <w:t xml:space="preserve">TNCs Lyft, Inc., Uber Technologies Inc., </w:t>
      </w:r>
      <w:r w:rsidR="00914AB0">
        <w:t>Silver Ride LLC, Wingz, Inc</w:t>
      </w:r>
      <w:r w:rsidR="004346AD">
        <w:t xml:space="preserve">., </w:t>
      </w:r>
      <w:r w:rsidR="00914AB0">
        <w:t>Executive Ride LLC</w:t>
      </w:r>
      <w:r w:rsidR="004346AD">
        <w:t>, N</w:t>
      </w:r>
      <w:r w:rsidR="00914AB0">
        <w:t>omad Transit LLC</w:t>
      </w:r>
      <w:r w:rsidR="004346AD">
        <w:t xml:space="preserve">, </w:t>
      </w:r>
      <w:r w:rsidR="00914AB0">
        <w:t>Ziro Ride LLC</w:t>
      </w:r>
      <w:r w:rsidR="004346AD">
        <w:t xml:space="preserve">, </w:t>
      </w:r>
      <w:r w:rsidR="00914AB0">
        <w:t>Alto Operations California LLC</w:t>
      </w:r>
      <w:r w:rsidR="004346AD">
        <w:t xml:space="preserve">, </w:t>
      </w:r>
      <w:r w:rsidR="00914AB0">
        <w:t>Pawar Transportation LLC</w:t>
      </w:r>
      <w:r w:rsidR="004346AD">
        <w:t xml:space="preserve">, </w:t>
      </w:r>
      <w:r w:rsidR="00914AB0">
        <w:t>Zum Services, Inc</w:t>
      </w:r>
      <w:r w:rsidR="004346AD">
        <w:t xml:space="preserve">., </w:t>
      </w:r>
      <w:r w:rsidR="00914AB0">
        <w:t>Dolightful, Inc</w:t>
      </w:r>
      <w:r w:rsidR="004346AD">
        <w:t xml:space="preserve">., </w:t>
      </w:r>
      <w:r w:rsidR="00914AB0">
        <w:t>Adroit Advanced Technologies, Inc</w:t>
      </w:r>
      <w:r w:rsidR="004346AD">
        <w:t>.</w:t>
      </w:r>
      <w:r w:rsidR="00111638">
        <w:t xml:space="preserve">, </w:t>
      </w:r>
      <w:r w:rsidR="00D32162">
        <w:t>Argo AI, Aurora Innovation, Inc., AutoX Technologies, Inc., Cruise LLC, DeepRoute.ai, Pony.ai, Inc, Voyage Auto, Inc., Waymo LLC, and Zoox, Inc. are named as respondents to this proceeding.</w:t>
      </w:r>
      <w:r w:rsidR="02BEAB63">
        <w:t xml:space="preserve"> </w:t>
      </w:r>
      <w:r w:rsidR="002433B6">
        <w:t xml:space="preserve"> </w:t>
      </w:r>
      <w:r w:rsidR="02BEAB63">
        <w:t xml:space="preserve">These entities represent the </w:t>
      </w:r>
      <w:r w:rsidR="009829E9">
        <w:t>TNCs</w:t>
      </w:r>
      <w:r w:rsidR="00555AE7">
        <w:t xml:space="preserve"> and autonomous vehicle companies</w:t>
      </w:r>
      <w:r w:rsidR="009829E9">
        <w:t xml:space="preserve"> licensed with the Commission as of the date of this OIR.</w:t>
      </w:r>
    </w:p>
    <w:p w:rsidR="00490618" w:rsidP="004F6258" w:rsidRDefault="00490618" w14:paraId="2B76FE97" w14:textId="3A7D362F">
      <w:pPr>
        <w:pStyle w:val="Heading1"/>
        <w:numPr>
          <w:ilvl w:val="0"/>
          <w:numId w:val="1"/>
        </w:numPr>
      </w:pPr>
      <w:bookmarkStart w:name="_Toc88569645" w:id="19"/>
      <w:r>
        <w:t>Service of OIR</w:t>
      </w:r>
      <w:bookmarkEnd w:id="19"/>
    </w:p>
    <w:p w:rsidR="00490618" w:rsidP="00490618" w:rsidRDefault="00490618" w14:paraId="6FA1C106" w14:textId="2BEFDD93">
      <w:pPr>
        <w:pStyle w:val="Standard"/>
      </w:pPr>
      <w:r w:rsidRPr="005D3719">
        <w:t>This OIR shall be served on all respondents.</w:t>
      </w:r>
      <w:r>
        <w:t xml:space="preserve"> </w:t>
      </w:r>
      <w:r w:rsidR="007375CD">
        <w:t xml:space="preserve"> </w:t>
      </w:r>
      <w:r w:rsidRPr="005D3719">
        <w:t>In addition, in the interest of broad notice, this OIR will be served on the official service lists for the following proceedings:</w:t>
      </w:r>
      <w:r>
        <w:t xml:space="preserve"> </w:t>
      </w:r>
      <w:r w:rsidR="007375CD">
        <w:t xml:space="preserve"> </w:t>
      </w:r>
      <w:r w:rsidRPr="007C1B85">
        <w:t>R.</w:t>
      </w:r>
      <w:r>
        <w:t xml:space="preserve">12-12-011, R.19-02-012 </w:t>
      </w:r>
      <w:r w:rsidRPr="00490618">
        <w:t>and</w:t>
      </w:r>
      <w:r>
        <w:t xml:space="preserve"> R.18-12-006.</w:t>
      </w:r>
    </w:p>
    <w:p w:rsidRPr="00490618" w:rsidR="00490618" w:rsidP="00BD038F" w:rsidRDefault="00490618" w14:paraId="60315A68" w14:textId="74B88131">
      <w:pPr>
        <w:pStyle w:val="Standard"/>
      </w:pPr>
      <w:r w:rsidRPr="005D3719">
        <w:t>Service of the OIR does not confer party status or place any person who has received such service on the Official Service List for this proceeding, other than respondents. Instructions for obtaining party status or being placed on the official service list are given below</w:t>
      </w:r>
      <w:r>
        <w:t>.</w:t>
      </w:r>
    </w:p>
    <w:p w:rsidRPr="005B44B7" w:rsidR="00490618" w:rsidP="004F6258" w:rsidRDefault="00490618" w14:paraId="60EB2431" w14:textId="1FCF51AF">
      <w:pPr>
        <w:pStyle w:val="Heading1"/>
        <w:numPr>
          <w:ilvl w:val="0"/>
          <w:numId w:val="1"/>
        </w:numPr>
      </w:pPr>
      <w:bookmarkStart w:name="_Toc88569646" w:id="20"/>
      <w:r w:rsidRPr="005B44B7">
        <w:t xml:space="preserve">Filing and Service of Comments </w:t>
      </w:r>
      <w:r w:rsidRPr="005B44B7" w:rsidR="003302E7">
        <w:br/>
      </w:r>
      <w:r w:rsidRPr="005B44B7">
        <w:t>and Other Documents</w:t>
      </w:r>
      <w:bookmarkEnd w:id="20"/>
    </w:p>
    <w:p w:rsidR="00490618" w:rsidP="00490618" w:rsidRDefault="00490618" w14:paraId="091D61F2" w14:textId="6E1854D9">
      <w:pPr>
        <w:pStyle w:val="standard0"/>
        <w:rPr>
          <w:rFonts w:ascii="Book Antiqua" w:hAnsi="Book Antiqua"/>
          <w:szCs w:val="26"/>
        </w:rPr>
      </w:pPr>
      <w:r>
        <w:rPr>
          <w:rFonts w:ascii="Book Antiqua" w:hAnsi="Book Antiqua"/>
          <w:szCs w:val="26"/>
        </w:rPr>
        <w:t>F</w:t>
      </w:r>
      <w:r w:rsidRPr="00C65533">
        <w:rPr>
          <w:rFonts w:ascii="Book Antiqua" w:hAnsi="Book Antiqua"/>
          <w:szCs w:val="26"/>
        </w:rPr>
        <w:t>iling and service of comments and other documents in the proceeding are governed by the Commission’s Rules of Practice and Procedur</w:t>
      </w:r>
      <w:r>
        <w:rPr>
          <w:rFonts w:ascii="Book Antiqua" w:hAnsi="Book Antiqua"/>
          <w:szCs w:val="26"/>
        </w:rPr>
        <w:t>e.</w:t>
      </w:r>
    </w:p>
    <w:p w:rsidR="00490618" w:rsidP="00490618" w:rsidRDefault="00490618" w14:paraId="1036C926" w14:textId="067E79E3">
      <w:pPr>
        <w:pStyle w:val="standard0"/>
        <w:rPr>
          <w:rFonts w:ascii="Book Antiqua" w:hAnsi="Book Antiqua"/>
          <w:szCs w:val="26"/>
        </w:rPr>
      </w:pPr>
      <w:r>
        <w:rPr>
          <w:rFonts w:ascii="Book Antiqua" w:hAnsi="Book Antiqua"/>
          <w:szCs w:val="26"/>
        </w:rPr>
        <w:t>Parties</w:t>
      </w:r>
      <w:r w:rsidRPr="00F02AE8">
        <w:rPr>
          <w:rFonts w:ascii="Book Antiqua" w:hAnsi="Book Antiqua"/>
          <w:szCs w:val="26"/>
        </w:rPr>
        <w:t xml:space="preserve"> are</w:t>
      </w:r>
      <w:r>
        <w:rPr>
          <w:rFonts w:ascii="Book Antiqua" w:hAnsi="Book Antiqua"/>
          <w:szCs w:val="26"/>
        </w:rPr>
        <w:t xml:space="preserve"> instructed </w:t>
      </w:r>
      <w:r w:rsidRPr="00F02AE8">
        <w:rPr>
          <w:rFonts w:ascii="Book Antiqua" w:hAnsi="Book Antiqua"/>
          <w:szCs w:val="26"/>
        </w:rPr>
        <w:t>to only serve documents on the assigned Commissioner</w:t>
      </w:r>
      <w:r>
        <w:rPr>
          <w:rFonts w:ascii="Book Antiqua" w:hAnsi="Book Antiqua"/>
          <w:szCs w:val="26"/>
        </w:rPr>
        <w:t>, advisors to the assigned Commissioner,</w:t>
      </w:r>
      <w:r w:rsidRPr="00F02AE8">
        <w:rPr>
          <w:rFonts w:ascii="Book Antiqua" w:hAnsi="Book Antiqua"/>
          <w:szCs w:val="26"/>
        </w:rPr>
        <w:t xml:space="preserve"> and </w:t>
      </w:r>
      <w:r>
        <w:rPr>
          <w:rFonts w:ascii="Book Antiqua" w:hAnsi="Book Antiqua"/>
          <w:szCs w:val="26"/>
        </w:rPr>
        <w:t xml:space="preserve">the assigned ALJ(s) by </w:t>
      </w:r>
      <w:r w:rsidRPr="00F02AE8">
        <w:rPr>
          <w:rFonts w:ascii="Book Antiqua" w:hAnsi="Book Antiqua"/>
          <w:szCs w:val="26"/>
        </w:rPr>
        <w:t xml:space="preserve">electronic copy and </w:t>
      </w:r>
      <w:r w:rsidRPr="00D200F1">
        <w:rPr>
          <w:rFonts w:ascii="Book Antiqua" w:hAnsi="Book Antiqua"/>
          <w:i/>
          <w:iCs/>
          <w:szCs w:val="26"/>
        </w:rPr>
        <w:t>not</w:t>
      </w:r>
      <w:r w:rsidRPr="00F02AE8">
        <w:rPr>
          <w:rFonts w:ascii="Book Antiqua" w:hAnsi="Book Antiqua"/>
          <w:szCs w:val="26"/>
        </w:rPr>
        <w:t xml:space="preserve"> by paper copy</w:t>
      </w:r>
      <w:r>
        <w:rPr>
          <w:rFonts w:ascii="Book Antiqua" w:hAnsi="Book Antiqua"/>
          <w:szCs w:val="26"/>
        </w:rPr>
        <w:t>, unless specifically instructed to do otherwise.</w:t>
      </w:r>
    </w:p>
    <w:p w:rsidR="00490618" w:rsidP="004F6258" w:rsidRDefault="00490618" w14:paraId="3D16B987" w14:textId="42598F9A">
      <w:pPr>
        <w:pStyle w:val="Heading1"/>
        <w:numPr>
          <w:ilvl w:val="0"/>
          <w:numId w:val="1"/>
        </w:numPr>
      </w:pPr>
      <w:bookmarkStart w:name="_Toc88569647" w:id="21"/>
      <w:r>
        <w:lastRenderedPageBreak/>
        <w:t>Addition to the Official Service List</w:t>
      </w:r>
      <w:bookmarkEnd w:id="21"/>
    </w:p>
    <w:p w:rsidRPr="005D3719" w:rsidR="00490618" w:rsidP="00BD038F" w:rsidRDefault="00490618" w14:paraId="68FAB896" w14:textId="77777777">
      <w:pPr>
        <w:pStyle w:val="Standard"/>
      </w:pPr>
      <w:r w:rsidRPr="005D3719">
        <w:t xml:space="preserve">Addition to the official service list is governed by Rule 1.9(f) of the Commission’s Rules of Practice and Procedure. </w:t>
      </w:r>
    </w:p>
    <w:p w:rsidRPr="005D3719" w:rsidR="00490618" w:rsidP="00BD038F" w:rsidRDefault="00490618" w14:paraId="758847FA" w14:textId="3519A058">
      <w:pPr>
        <w:pStyle w:val="Standard"/>
      </w:pPr>
      <w:r w:rsidRPr="005D3719">
        <w:t xml:space="preserve">Respondents </w:t>
      </w:r>
      <w:r w:rsidR="00671D88">
        <w:t>to this OIR automatically become</w:t>
      </w:r>
      <w:r w:rsidRPr="005D3719">
        <w:t xml:space="preserve"> parties to the proceeding (</w:t>
      </w:r>
      <w:r w:rsidRPr="002433B6">
        <w:rPr>
          <w:i/>
          <w:iCs/>
        </w:rPr>
        <w:t>see</w:t>
      </w:r>
      <w:r w:rsidRPr="005D3719">
        <w:t xml:space="preserve"> Rule 1.4(d)) and will be immediately placed on the official service list.</w:t>
      </w:r>
    </w:p>
    <w:p w:rsidRPr="005D3719" w:rsidR="00490618" w:rsidP="00BD038F" w:rsidRDefault="00490618" w14:paraId="083E3AD5" w14:textId="268F3E91">
      <w:pPr>
        <w:pStyle w:val="Standard"/>
      </w:pPr>
      <w:r w:rsidRPr="005D3719">
        <w:t xml:space="preserve">Any person will be added to the “Information Only” category of the official service list upon request, for electronic service of all documents in the proceeding, and should do so promptly in order to ensure timely service of comments and other documents and correspondence in the proceeding. </w:t>
      </w:r>
      <w:r w:rsidR="002433B6">
        <w:t xml:space="preserve"> </w:t>
      </w:r>
      <w:r w:rsidRPr="005D3719">
        <w:t>(</w:t>
      </w:r>
      <w:r w:rsidRPr="002433B6">
        <w:rPr>
          <w:i/>
          <w:iCs/>
        </w:rPr>
        <w:t>See</w:t>
      </w:r>
      <w:r w:rsidRPr="005D3719">
        <w:t xml:space="preserve"> Rule 1.9(f).)  The request must be sent to the Process Office by e-mail (</w:t>
      </w:r>
      <w:hyperlink w:history="1" r:id="rId17">
        <w:r w:rsidRPr="005D3719">
          <w:rPr>
            <w:rStyle w:val="Hyperlink"/>
            <w:szCs w:val="26"/>
          </w:rPr>
          <w:t>process_office@cpuc.ca.gov</w:t>
        </w:r>
      </w:hyperlink>
      <w:r w:rsidRPr="005D3719">
        <w:t>).  Please include the Docket Number of this rulemaking in the request.</w:t>
      </w:r>
    </w:p>
    <w:p w:rsidR="00490618" w:rsidP="00BD038F" w:rsidRDefault="00490618" w14:paraId="491FEE03" w14:textId="7B3C9A44">
      <w:pPr>
        <w:pStyle w:val="Standard"/>
      </w:pPr>
      <w:r w:rsidRPr="005D3719">
        <w:t>Persons who file responsive comments thereby become parties to the proceeding (</w:t>
      </w:r>
      <w:r w:rsidRPr="002433B6">
        <w:rPr>
          <w:i/>
          <w:iCs/>
        </w:rPr>
        <w:t>see</w:t>
      </w:r>
      <w:r w:rsidRPr="005D3719">
        <w:t xml:space="preserve"> Rule 1.4(a)(2)) and will be added to the “Parties” category of the official service list upon such filing</w:t>
      </w:r>
      <w:r w:rsidRPr="004B5428">
        <w:t xml:space="preserve">.  </w:t>
      </w:r>
      <w:r w:rsidRPr="00166852">
        <w:t>In order to assure service of comments and other documents and correspondence in advance of obtaining party status, persons should promptly request addition to the “Information Only” category as described above;</w:t>
      </w:r>
      <w:r w:rsidRPr="005D3719">
        <w:t xml:space="preserve"> they will be removed from that category upon obtaining party status.</w:t>
      </w:r>
    </w:p>
    <w:p w:rsidRPr="00DA21F0" w:rsidR="00490618" w:rsidP="004F6258" w:rsidRDefault="00490618" w14:paraId="4B9B1DAA" w14:textId="4FCFAED1">
      <w:pPr>
        <w:pStyle w:val="Heading1"/>
        <w:numPr>
          <w:ilvl w:val="0"/>
          <w:numId w:val="1"/>
        </w:numPr>
      </w:pPr>
      <w:bookmarkStart w:name="_Toc88569648" w:id="22"/>
      <w:r w:rsidRPr="00DA21F0">
        <w:t>Subscription Service</w:t>
      </w:r>
      <w:bookmarkEnd w:id="22"/>
    </w:p>
    <w:p w:rsidRPr="005D3719" w:rsidR="00490618" w:rsidP="00BD038F" w:rsidRDefault="00490618" w14:paraId="18CDD961" w14:textId="77777777">
      <w:pPr>
        <w:pStyle w:val="Standard"/>
      </w:pPr>
      <w:r w:rsidRPr="005D3719">
        <w:t xml:space="preserve">Persons may monitor the proceeding by subscribing to receive electronic copies of documents in this proceeding that are published on the Commission’s website.  There is no need to be on the official service list in order to use the subscription service.  Instructions for enrolling in the subscription service are available on the Commission’s website at </w:t>
      </w:r>
      <w:hyperlink w:history="1" r:id="rId18">
        <w:r w:rsidRPr="005D3719">
          <w:rPr>
            <w:rStyle w:val="Hyperlink"/>
            <w:szCs w:val="26"/>
          </w:rPr>
          <w:t>http://subscribecpuc.cpuc.ca.gov/</w:t>
        </w:r>
      </w:hyperlink>
      <w:r w:rsidRPr="005D3719">
        <w:t>.</w:t>
      </w:r>
    </w:p>
    <w:p w:rsidR="00490618" w:rsidP="00DC1784" w:rsidRDefault="00490618" w14:paraId="1BC47144" w14:textId="686E991E">
      <w:pPr>
        <w:pStyle w:val="Heading1"/>
        <w:numPr>
          <w:ilvl w:val="0"/>
          <w:numId w:val="1"/>
        </w:numPr>
      </w:pPr>
      <w:bookmarkStart w:name="_Toc88569649" w:id="23"/>
      <w:r>
        <w:lastRenderedPageBreak/>
        <w:t>Intervenor Compensation</w:t>
      </w:r>
      <w:bookmarkEnd w:id="23"/>
    </w:p>
    <w:p w:rsidR="00490618" w:rsidP="00BD038F" w:rsidRDefault="00490618" w14:paraId="5EF72D8B" w14:textId="7536CC1A">
      <w:pPr>
        <w:pStyle w:val="Standard"/>
      </w:pPr>
      <w:r>
        <w:t xml:space="preserve">Intervenor compensation rules are governed by §§ 1801 et seq. of the </w:t>
      </w:r>
      <w:r w:rsidR="135CF976">
        <w:t>Pub</w:t>
      </w:r>
      <w:r w:rsidR="5868750B">
        <w:t>.</w:t>
      </w:r>
      <w:r w:rsidR="135CF976">
        <w:t xml:space="preserve"> Util</w:t>
      </w:r>
      <w:r w:rsidR="5B226F78">
        <w:t>.</w:t>
      </w:r>
      <w:r>
        <w:t xml:space="preserve"> Code.  Intervenor Compensation is not permitted in this proceeding.</w:t>
      </w:r>
    </w:p>
    <w:p w:rsidRPr="00DC1784" w:rsidR="00490618" w:rsidP="00DC1784" w:rsidRDefault="00490618" w14:paraId="60C81697" w14:textId="381FA46B">
      <w:pPr>
        <w:pStyle w:val="Heading1"/>
        <w:numPr>
          <w:ilvl w:val="0"/>
          <w:numId w:val="1"/>
        </w:numPr>
      </w:pPr>
      <w:bookmarkStart w:name="_Toc88569650" w:id="24"/>
      <w:r w:rsidRPr="004A7884">
        <w:t>Public</w:t>
      </w:r>
      <w:r w:rsidRPr="00DC1784">
        <w:rPr>
          <w:szCs w:val="26"/>
        </w:rPr>
        <w:t xml:space="preserve"> Advisor</w:t>
      </w:r>
      <w:bookmarkEnd w:id="24"/>
    </w:p>
    <w:p w:rsidRPr="00C65533" w:rsidR="00490618" w:rsidP="00490618" w:rsidRDefault="00490618" w14:paraId="771793D1" w14:textId="77777777">
      <w:pPr>
        <w:widowControl w:val="0"/>
      </w:pPr>
      <w:r w:rsidRPr="00C65533">
        <w:t>Any person or entity interested in participating in this rulemaking who is unfamiliar with the Commission’s procedures should contact the Commission’s Public Advisor in San Francisco at (415) 703-2074 or (866) 849</w:t>
      </w:r>
      <w:r w:rsidRPr="00C65533">
        <w:noBreakHyphen/>
        <w:t xml:space="preserve">8390 or e-mail </w:t>
      </w:r>
      <w:hyperlink w:history="1" r:id="rId19">
        <w:r w:rsidRPr="00C65533">
          <w:rPr>
            <w:rStyle w:val="Hyperlink"/>
          </w:rPr>
          <w:t>public.advisor@cpuc.ca.gov</w:t>
        </w:r>
      </w:hyperlink>
      <w:r w:rsidRPr="00C65533">
        <w:t>.  The TTY number is (866) 836</w:t>
      </w:r>
      <w:r w:rsidRPr="00C65533">
        <w:noBreakHyphen/>
        <w:t>7825.</w:t>
      </w:r>
    </w:p>
    <w:p w:rsidR="00490618" w:rsidP="00880175" w:rsidRDefault="070E18FA" w14:paraId="5E8EA785" w14:textId="05EA100A">
      <w:pPr>
        <w:pStyle w:val="Heading1"/>
        <w:numPr>
          <w:ilvl w:val="0"/>
          <w:numId w:val="1"/>
        </w:numPr>
      </w:pPr>
      <w:bookmarkStart w:name="_Toc88569651" w:id="25"/>
      <w:r>
        <w:t>Public Outreach</w:t>
      </w:r>
      <w:bookmarkEnd w:id="25"/>
    </w:p>
    <w:p w:rsidRPr="009E1EB7" w:rsidR="00490618" w:rsidP="00490618" w:rsidRDefault="070E18FA" w14:paraId="21BD770E" w14:textId="26217E25">
      <w:r>
        <w:t xml:space="preserve">The Commission’s staff will share this OIR with </w:t>
      </w:r>
      <w:r w:rsidR="1099ADA5">
        <w:t>representatives of Rideshare Drivers United, Working Partnerships USA/Gig Workers Rising, and Driver’s Seat Cooperative</w:t>
      </w:r>
      <w:r w:rsidR="6FEC203D">
        <w:t xml:space="preserve"> and will work with the California Workforce Development Board and </w:t>
      </w:r>
      <w:r>
        <w:t xml:space="preserve">CARB to share </w:t>
      </w:r>
      <w:r w:rsidR="6FEC203D">
        <w:t>this OIR with their relevant mailing lists.</w:t>
      </w:r>
      <w:r>
        <w:t xml:space="preserve"> </w:t>
      </w:r>
      <w:r w:rsidR="6FEC203D">
        <w:t xml:space="preserve"> </w:t>
      </w:r>
      <w:r>
        <w:t>Any additional public outreach to be conducted will be described in the scoping memo.</w:t>
      </w:r>
    </w:p>
    <w:p w:rsidR="00BB0243" w:rsidP="00AD459B" w:rsidRDefault="005939A5" w14:paraId="582A3871" w14:textId="77777777">
      <w:pPr>
        <w:pStyle w:val="Mainex"/>
        <w:keepLines/>
      </w:pPr>
      <w:bookmarkStart w:name="_Toc88569652" w:id="26"/>
      <w:bookmarkEnd w:id="16"/>
      <w:r>
        <w:t>O</w:t>
      </w:r>
      <w:r w:rsidR="00722850">
        <w:t>RDER</w:t>
      </w:r>
      <w:bookmarkEnd w:id="26"/>
    </w:p>
    <w:p w:rsidR="00BB0243" w:rsidP="000A6E05" w:rsidRDefault="00BB0243" w14:paraId="66C4345E" w14:textId="77777777">
      <w:pPr>
        <w:keepNext/>
      </w:pPr>
      <w:r w:rsidRPr="00BB0243">
        <w:rPr>
          <w:b/>
        </w:rPr>
        <w:t>IT IS ORDERED</w:t>
      </w:r>
      <w:r>
        <w:t xml:space="preserve"> that:</w:t>
      </w:r>
    </w:p>
    <w:p w:rsidR="004E6EF2" w:rsidP="00FB7C0C" w:rsidRDefault="00EE4FC9" w14:paraId="270A979C" w14:textId="77777777">
      <w:pPr>
        <w:pStyle w:val="OP"/>
        <w:tabs>
          <w:tab w:val="clear" w:pos="1080"/>
        </w:tabs>
        <w:ind w:firstLine="360"/>
      </w:pPr>
      <w:r w:rsidRPr="004E6EF2">
        <w:t>This Order Instituting Rulemaking is adopted pursuant to Rule 6.1 of the Commission’s Rules of Practice and Procedure.</w:t>
      </w:r>
    </w:p>
    <w:p w:rsidR="004E6EF2" w:rsidP="00FB7C0C" w:rsidRDefault="00EE4FC9" w14:paraId="4846C57A" w14:textId="5E12B5EE">
      <w:pPr>
        <w:pStyle w:val="OP"/>
        <w:tabs>
          <w:tab w:val="clear" w:pos="1080"/>
        </w:tabs>
        <w:ind w:firstLine="360"/>
      </w:pPr>
      <w:r w:rsidRPr="00254C78">
        <w:t>The preliminary categorization is quasi-legislative</w:t>
      </w:r>
      <w:r w:rsidR="004E6EF2">
        <w:t>.</w:t>
      </w:r>
    </w:p>
    <w:p w:rsidR="004E6EF2" w:rsidP="00FB7C0C" w:rsidRDefault="00EE4FC9" w14:paraId="626854F8" w14:textId="77777777">
      <w:pPr>
        <w:pStyle w:val="OP"/>
        <w:tabs>
          <w:tab w:val="clear" w:pos="1080"/>
        </w:tabs>
        <w:ind w:firstLine="360"/>
      </w:pPr>
      <w:r w:rsidRPr="00254C78">
        <w:t xml:space="preserve">The preliminary determination is that </w:t>
      </w:r>
      <w:r>
        <w:t xml:space="preserve">a </w:t>
      </w:r>
      <w:r w:rsidRPr="00254C78">
        <w:t xml:space="preserve">hearing </w:t>
      </w:r>
      <w:r>
        <w:t xml:space="preserve">is not </w:t>
      </w:r>
      <w:r w:rsidRPr="00254C78">
        <w:t>needed</w:t>
      </w:r>
      <w:r w:rsidR="004E6EF2">
        <w:t>.</w:t>
      </w:r>
    </w:p>
    <w:p w:rsidR="004E6EF2" w:rsidP="00FB7C0C" w:rsidRDefault="00EE4FC9" w14:paraId="769B8268" w14:textId="05B22C87">
      <w:pPr>
        <w:pStyle w:val="OP"/>
        <w:tabs>
          <w:tab w:val="clear" w:pos="1080"/>
        </w:tabs>
        <w:ind w:firstLine="360"/>
      </w:pPr>
      <w:r>
        <w:t xml:space="preserve">The preliminarily scope of issues is as stated above </w:t>
      </w:r>
      <w:r w:rsidR="009A7626">
        <w:t xml:space="preserve">in </w:t>
      </w:r>
      <w:r>
        <w:t>Section 3</w:t>
      </w:r>
      <w:r w:rsidR="004525E2">
        <w:t>.</w:t>
      </w:r>
    </w:p>
    <w:p w:rsidR="00775D60" w:rsidP="00FB7C0C" w:rsidRDefault="00EE4FC9" w14:paraId="160D5A06" w14:textId="77777777">
      <w:pPr>
        <w:pStyle w:val="OP"/>
        <w:tabs>
          <w:tab w:val="clear" w:pos="1080"/>
        </w:tabs>
        <w:ind w:firstLine="360"/>
      </w:pPr>
      <w:r>
        <w:t>The preliminary schedule for this proceeding is set in Section 3 above.</w:t>
      </w:r>
    </w:p>
    <w:p w:rsidRPr="00490618" w:rsidR="004E6EF2" w:rsidP="00FB7C0C" w:rsidRDefault="004E6EF2" w14:paraId="3D7005E0" w14:textId="578401E5">
      <w:pPr>
        <w:pStyle w:val="OP"/>
        <w:tabs>
          <w:tab w:val="clear" w:pos="1080"/>
        </w:tabs>
        <w:ind w:firstLine="360"/>
      </w:pPr>
      <w:r>
        <w:t xml:space="preserve">Lyft, Inc., Uber Technologies Inc., Silver Ride LLC, Wingz, Inc., Executive Ride LLC, Nomad Transit LLC, Ziro Ride LLC, Alto Operations </w:t>
      </w:r>
      <w:r>
        <w:lastRenderedPageBreak/>
        <w:t>California LLC, Pawar Transportation LLC, Zum Services, Inc., Dolightful, Inc., Adroit Advanced Technologies, Inc.</w:t>
      </w:r>
      <w:r w:rsidR="00884FB4">
        <w:t xml:space="preserve">, </w:t>
      </w:r>
      <w:r>
        <w:t>Argo AI, Aurora Innovation, Inc., AutoX Technologies, Inc., Cruise LLC, DeepRoute.ai, Pony.ai, Inc, Voyage Auto, Inc., Waymo LLC, and Zoox, Inc. are named as respondents to this proceeding.</w:t>
      </w:r>
    </w:p>
    <w:p w:rsidR="001522B8" w:rsidP="00FB7C0C" w:rsidRDefault="00EE4FC9" w14:paraId="67BD0636" w14:textId="238C7941">
      <w:pPr>
        <w:pStyle w:val="OP"/>
        <w:tabs>
          <w:tab w:val="clear" w:pos="1080"/>
        </w:tabs>
        <w:ind w:firstLine="360"/>
      </w:pPr>
      <w:r w:rsidRPr="50C7BC43">
        <w:t>Respondents to this</w:t>
      </w:r>
      <w:r w:rsidRPr="001522B8" w:rsidR="001522B8">
        <w:t xml:space="preserve"> </w:t>
      </w:r>
      <w:r w:rsidRPr="004E6EF2" w:rsidR="001522B8">
        <w:t xml:space="preserve">Order Instituting Rulemaking </w:t>
      </w:r>
      <w:r w:rsidRPr="6D4C714D">
        <w:t xml:space="preserve">and any other person may file </w:t>
      </w:r>
      <w:r>
        <w:t xml:space="preserve">opening </w:t>
      </w:r>
      <w:r w:rsidRPr="6D4C714D">
        <w:t xml:space="preserve">comments responding to this </w:t>
      </w:r>
      <w:r w:rsidRPr="004E6EF2" w:rsidR="001522B8">
        <w:t>Order Instituting Rulemaking</w:t>
      </w:r>
      <w:r>
        <w:t xml:space="preserve"> within </w:t>
      </w:r>
      <w:r w:rsidR="006C261A">
        <w:t>4</w:t>
      </w:r>
      <w:r w:rsidR="00FD53E3">
        <w:t>0</w:t>
      </w:r>
      <w:r>
        <w:t xml:space="preserve"> days of the effective date of this</w:t>
      </w:r>
      <w:r w:rsidR="001522B8">
        <w:t xml:space="preserve"> </w:t>
      </w:r>
      <w:r w:rsidRPr="004E6EF2" w:rsidR="008F1E23">
        <w:t>Order Instituting Rulemaking</w:t>
      </w:r>
      <w:r w:rsidR="001522B8">
        <w:t>.</w:t>
      </w:r>
    </w:p>
    <w:p w:rsidR="00EE4FC9" w:rsidP="00FB7C0C" w:rsidRDefault="00EE4FC9" w14:paraId="1E32A2EF" w14:textId="75322C32">
      <w:pPr>
        <w:pStyle w:val="OP"/>
        <w:keepNext/>
        <w:tabs>
          <w:tab w:val="clear" w:pos="1080"/>
        </w:tabs>
        <w:ind w:firstLine="360"/>
      </w:pPr>
      <w:r w:rsidRPr="6D4C714D">
        <w:t xml:space="preserve">The Executive Director </w:t>
      </w:r>
      <w:r w:rsidR="009F7E56">
        <w:t>shall</w:t>
      </w:r>
      <w:r w:rsidRPr="6D4C714D">
        <w:t xml:space="preserve"> cause this Order Instituting Rulemaking to be served on all respondents and on the service lists for the following Commission proceedings: </w:t>
      </w:r>
      <w:r w:rsidR="007375CD">
        <w:t xml:space="preserve"> </w:t>
      </w:r>
      <w:r w:rsidRPr="6D4C714D">
        <w:t>R</w:t>
      </w:r>
      <w:r w:rsidR="002433B6">
        <w:t>ulemaking (R.) </w:t>
      </w:r>
      <w:r w:rsidRPr="6D4C714D">
        <w:t>12-12-011, R.19-02-012, and R.18</w:t>
      </w:r>
      <w:r w:rsidR="002433B6">
        <w:noBreakHyphen/>
      </w:r>
      <w:r w:rsidRPr="6D4C714D">
        <w:t>12</w:t>
      </w:r>
      <w:r w:rsidR="002433B6">
        <w:noBreakHyphen/>
      </w:r>
      <w:r w:rsidRPr="6D4C714D">
        <w:t>006.</w:t>
      </w:r>
    </w:p>
    <w:p w:rsidR="008F1E23" w:rsidP="00CC136B" w:rsidRDefault="008F0116" w14:paraId="7BF6FC13" w14:textId="6BEBCF34">
      <w:pPr>
        <w:keepNext/>
      </w:pPr>
      <w:r>
        <w:t>This order is effective today.</w:t>
      </w:r>
    </w:p>
    <w:p w:rsidR="00714CF2" w:rsidP="00CC136B" w:rsidRDefault="008F0116" w14:paraId="1989A0C8" w14:textId="6752057D">
      <w:pPr>
        <w:keepNext/>
      </w:pPr>
      <w:r>
        <w:t xml:space="preserve">Dated </w:t>
      </w:r>
      <w:r w:rsidR="00A35AC0">
        <w:t>November 18, 2021,</w:t>
      </w:r>
      <w:r>
        <w:t xml:space="preserve"> at </w:t>
      </w:r>
      <w:r w:rsidR="00A35AC0">
        <w:t>San Francisco</w:t>
      </w:r>
      <w:r>
        <w:t>, California</w:t>
      </w:r>
      <w:r w:rsidR="00CC136B">
        <w:t>.</w:t>
      </w:r>
    </w:p>
    <w:p w:rsidRPr="00A35AC0" w:rsidR="00A35AC0" w:rsidP="00A35AC0" w:rsidRDefault="00A35AC0" w14:paraId="2D0B3D0A" w14:textId="77777777">
      <w:pPr>
        <w:keepNext/>
        <w:autoSpaceDE w:val="0"/>
        <w:autoSpaceDN w:val="0"/>
        <w:adjustRightInd w:val="0"/>
        <w:spacing w:before="240" w:line="240" w:lineRule="auto"/>
        <w:ind w:left="4320" w:firstLine="0"/>
        <w:jc w:val="both"/>
        <w:rPr>
          <w:rFonts w:ascii="Palatino" w:hAnsi="Palatino" w:eastAsia="Calibri" w:cs="Times New Roman"/>
          <w:szCs w:val="20"/>
        </w:rPr>
      </w:pPr>
      <w:bookmarkStart w:name="_Hlk67645098" w:id="27"/>
      <w:r w:rsidRPr="00A35AC0">
        <w:rPr>
          <w:rFonts w:ascii="Palatino" w:hAnsi="Palatino" w:eastAsia="Calibri" w:cs="Times New Roman"/>
          <w:szCs w:val="20"/>
        </w:rPr>
        <w:t>MARYBEL BATJER</w:t>
      </w:r>
    </w:p>
    <w:p w:rsidRPr="00A35AC0" w:rsidR="00A35AC0" w:rsidP="00A35AC0" w:rsidRDefault="00A35AC0" w14:paraId="2331791C" w14:textId="77777777">
      <w:pPr>
        <w:keepNext/>
        <w:autoSpaceDE w:val="0"/>
        <w:autoSpaceDN w:val="0"/>
        <w:adjustRightInd w:val="0"/>
        <w:spacing w:line="240" w:lineRule="auto"/>
        <w:ind w:firstLine="0"/>
        <w:jc w:val="both"/>
        <w:rPr>
          <w:rFonts w:ascii="Palatino" w:hAnsi="Palatino" w:eastAsia="Calibri" w:cs="Times New Roman"/>
          <w:szCs w:val="20"/>
        </w:rPr>
      </w:pPr>
      <w:r w:rsidRPr="00A35AC0">
        <w:rPr>
          <w:rFonts w:ascii="Palatino" w:hAnsi="Palatino" w:eastAsia="Calibri" w:cs="Times New Roman"/>
          <w:szCs w:val="20"/>
        </w:rPr>
        <w:tab/>
      </w:r>
      <w:r w:rsidRPr="00A35AC0">
        <w:rPr>
          <w:rFonts w:ascii="Palatino" w:hAnsi="Palatino" w:eastAsia="Calibri" w:cs="Times New Roman"/>
          <w:szCs w:val="20"/>
        </w:rPr>
        <w:tab/>
      </w:r>
      <w:r w:rsidRPr="00A35AC0">
        <w:rPr>
          <w:rFonts w:ascii="Palatino" w:hAnsi="Palatino" w:eastAsia="Calibri" w:cs="Times New Roman"/>
          <w:szCs w:val="20"/>
        </w:rPr>
        <w:tab/>
      </w:r>
      <w:r w:rsidRPr="00A35AC0">
        <w:rPr>
          <w:rFonts w:ascii="Palatino" w:hAnsi="Palatino" w:eastAsia="Calibri" w:cs="Times New Roman"/>
          <w:szCs w:val="20"/>
        </w:rPr>
        <w:tab/>
      </w:r>
      <w:r w:rsidRPr="00A35AC0">
        <w:rPr>
          <w:rFonts w:ascii="Palatino" w:hAnsi="Palatino" w:eastAsia="Calibri" w:cs="Times New Roman"/>
          <w:szCs w:val="20"/>
        </w:rPr>
        <w:tab/>
        <w:t xml:space="preserve">                            President</w:t>
      </w:r>
    </w:p>
    <w:p w:rsidRPr="00A35AC0" w:rsidR="00A35AC0" w:rsidP="00A35AC0" w:rsidRDefault="00A35AC0" w14:paraId="3BFFDDCC" w14:textId="77777777">
      <w:pPr>
        <w:keepNext/>
        <w:autoSpaceDE w:val="0"/>
        <w:autoSpaceDN w:val="0"/>
        <w:adjustRightInd w:val="0"/>
        <w:spacing w:line="240" w:lineRule="auto"/>
        <w:ind w:left="4320" w:firstLine="0"/>
        <w:jc w:val="both"/>
        <w:rPr>
          <w:rFonts w:ascii="Palatino" w:hAnsi="Palatino" w:eastAsia="Calibri" w:cs="Times New Roman"/>
          <w:szCs w:val="20"/>
        </w:rPr>
      </w:pPr>
      <w:r w:rsidRPr="00A35AC0">
        <w:rPr>
          <w:rFonts w:ascii="Palatino" w:hAnsi="Palatino" w:eastAsia="Calibri" w:cs="Times New Roman"/>
          <w:szCs w:val="20"/>
        </w:rPr>
        <w:t>MARTHA GUZMAN ACEVES</w:t>
      </w:r>
    </w:p>
    <w:p w:rsidRPr="00A35AC0" w:rsidR="00A35AC0" w:rsidP="00A35AC0" w:rsidRDefault="00A35AC0" w14:paraId="61EC9E8B" w14:textId="77777777">
      <w:pPr>
        <w:keepNext/>
        <w:autoSpaceDE w:val="0"/>
        <w:autoSpaceDN w:val="0"/>
        <w:adjustRightInd w:val="0"/>
        <w:spacing w:line="240" w:lineRule="auto"/>
        <w:ind w:left="4320" w:firstLine="0"/>
        <w:jc w:val="both"/>
        <w:rPr>
          <w:rFonts w:ascii="Palatino" w:hAnsi="Palatino" w:eastAsia="Calibri" w:cs="Times New Roman"/>
          <w:szCs w:val="20"/>
        </w:rPr>
      </w:pPr>
      <w:r w:rsidRPr="00A35AC0">
        <w:rPr>
          <w:rFonts w:ascii="Palatino" w:hAnsi="Palatino" w:eastAsia="Calibri" w:cs="Times New Roman"/>
          <w:szCs w:val="20"/>
        </w:rPr>
        <w:t>CLIFFORD RECHTSCHAFFEN</w:t>
      </w:r>
    </w:p>
    <w:p w:rsidRPr="00A35AC0" w:rsidR="00A35AC0" w:rsidP="00A35AC0" w:rsidRDefault="00A35AC0" w14:paraId="4D8B269E" w14:textId="77777777">
      <w:pPr>
        <w:keepNext/>
        <w:autoSpaceDE w:val="0"/>
        <w:autoSpaceDN w:val="0"/>
        <w:adjustRightInd w:val="0"/>
        <w:spacing w:line="240" w:lineRule="auto"/>
        <w:ind w:left="4320" w:firstLine="0"/>
        <w:jc w:val="both"/>
        <w:rPr>
          <w:rFonts w:ascii="Palatino" w:hAnsi="Palatino" w:eastAsia="Calibri" w:cs="Times New Roman"/>
          <w:szCs w:val="20"/>
        </w:rPr>
      </w:pPr>
      <w:r w:rsidRPr="00A35AC0">
        <w:rPr>
          <w:rFonts w:ascii="Palatino" w:hAnsi="Palatino" w:eastAsia="Calibri" w:cs="Times New Roman"/>
          <w:szCs w:val="20"/>
        </w:rPr>
        <w:t>GENEVIEVE SHIROMA</w:t>
      </w:r>
    </w:p>
    <w:p w:rsidRPr="00A35AC0" w:rsidR="00A35AC0" w:rsidP="00A35AC0" w:rsidRDefault="00A35AC0" w14:paraId="6E55595B" w14:textId="77777777">
      <w:pPr>
        <w:keepNext/>
        <w:autoSpaceDE w:val="0"/>
        <w:autoSpaceDN w:val="0"/>
        <w:adjustRightInd w:val="0"/>
        <w:spacing w:line="240" w:lineRule="auto"/>
        <w:ind w:left="3600" w:firstLine="0"/>
        <w:jc w:val="both"/>
        <w:rPr>
          <w:rFonts w:ascii="Palatino" w:hAnsi="Palatino" w:eastAsia="Calibri" w:cs="Times New Roman"/>
          <w:szCs w:val="20"/>
        </w:rPr>
      </w:pPr>
      <w:r w:rsidRPr="00A35AC0">
        <w:rPr>
          <w:rFonts w:ascii="Palatino" w:hAnsi="Palatino" w:eastAsia="Calibri" w:cs="Times New Roman"/>
          <w:szCs w:val="20"/>
        </w:rPr>
        <w:tab/>
        <w:t>DARCIE HOUCK</w:t>
      </w:r>
    </w:p>
    <w:p w:rsidRPr="00A35AC0" w:rsidR="00A35AC0" w:rsidP="00A35AC0" w:rsidRDefault="00A35AC0" w14:paraId="5B51EFB8" w14:textId="77777777">
      <w:pPr>
        <w:spacing w:line="240" w:lineRule="auto"/>
        <w:ind w:firstLine="0"/>
        <w:rPr>
          <w:rFonts w:ascii="Palatino" w:hAnsi="Palatino" w:eastAsia="Calibri" w:cs="Times New Roman"/>
          <w:szCs w:val="20"/>
        </w:rPr>
      </w:pPr>
      <w:r w:rsidRPr="00A35AC0">
        <w:rPr>
          <w:rFonts w:ascii="Palatino" w:hAnsi="Palatino" w:eastAsia="Calibri" w:cs="Times New Roman"/>
          <w:szCs w:val="20"/>
        </w:rPr>
        <w:tab/>
      </w:r>
      <w:r w:rsidRPr="00A35AC0">
        <w:rPr>
          <w:rFonts w:ascii="Palatino" w:hAnsi="Palatino" w:eastAsia="Calibri" w:cs="Times New Roman"/>
          <w:szCs w:val="20"/>
        </w:rPr>
        <w:tab/>
      </w:r>
      <w:r w:rsidRPr="00A35AC0">
        <w:rPr>
          <w:rFonts w:ascii="Palatino" w:hAnsi="Palatino" w:eastAsia="Calibri" w:cs="Times New Roman"/>
          <w:szCs w:val="20"/>
        </w:rPr>
        <w:tab/>
      </w:r>
      <w:r w:rsidRPr="00A35AC0">
        <w:rPr>
          <w:rFonts w:ascii="Palatino" w:hAnsi="Palatino" w:eastAsia="Calibri" w:cs="Times New Roman"/>
          <w:szCs w:val="20"/>
        </w:rPr>
        <w:tab/>
      </w:r>
      <w:r w:rsidRPr="00A35AC0">
        <w:rPr>
          <w:rFonts w:ascii="Palatino" w:hAnsi="Palatino" w:eastAsia="Calibri" w:cs="Times New Roman"/>
          <w:szCs w:val="20"/>
        </w:rPr>
        <w:tab/>
      </w:r>
      <w:r w:rsidRPr="00A35AC0">
        <w:rPr>
          <w:rFonts w:ascii="Palatino" w:hAnsi="Palatino" w:eastAsia="Calibri" w:cs="Times New Roman"/>
          <w:szCs w:val="20"/>
        </w:rPr>
        <w:tab/>
        <w:t xml:space="preserve">    </w:t>
      </w:r>
      <w:r w:rsidRPr="00A35AC0">
        <w:rPr>
          <w:rFonts w:ascii="Palatino" w:hAnsi="Palatino" w:eastAsia="Calibri" w:cs="Times New Roman"/>
          <w:szCs w:val="20"/>
        </w:rPr>
        <w:tab/>
        <w:t xml:space="preserve">      Commissioners</w:t>
      </w:r>
      <w:bookmarkEnd w:id="27"/>
    </w:p>
    <w:p w:rsidR="00CC136B" w:rsidP="00CC136B" w:rsidRDefault="00CC136B" w14:paraId="709446E5" w14:textId="0370BAFA">
      <w:pPr>
        <w:keepNext/>
      </w:pPr>
    </w:p>
    <w:p w:rsidRPr="00714CF2" w:rsidR="00CC136B" w:rsidP="00CC136B" w:rsidRDefault="00CC136B" w14:paraId="16C1BEFF" w14:textId="77777777">
      <w:pPr>
        <w:keepNext/>
      </w:pPr>
    </w:p>
    <w:sectPr w:rsidRPr="00714CF2" w:rsidR="00CC136B" w:rsidSect="001D4313">
      <w:headerReference w:type="first" r:id="rId20"/>
      <w:footerReference w:type="first" r:id="rId21"/>
      <w:pgSz w:w="12240" w:h="15840"/>
      <w:pgMar w:top="172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42385" w14:textId="77777777" w:rsidR="00A03F1F" w:rsidRDefault="00A03F1F" w:rsidP="0098138E">
      <w:pPr>
        <w:spacing w:line="240" w:lineRule="auto"/>
      </w:pPr>
      <w:r>
        <w:separator/>
      </w:r>
    </w:p>
  </w:endnote>
  <w:endnote w:type="continuationSeparator" w:id="0">
    <w:p w14:paraId="63450D3C" w14:textId="77777777" w:rsidR="00A03F1F" w:rsidRDefault="00A03F1F" w:rsidP="0098138E">
      <w:pPr>
        <w:spacing w:line="240" w:lineRule="auto"/>
      </w:pPr>
      <w:r>
        <w:continuationSeparator/>
      </w:r>
    </w:p>
  </w:endnote>
  <w:endnote w:type="continuationNotice" w:id="1">
    <w:p w14:paraId="53D654F3" w14:textId="77777777" w:rsidR="00A03F1F" w:rsidRDefault="00A03F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3F9C" w14:textId="77777777" w:rsidR="003E0305" w:rsidRDefault="003E0305" w:rsidP="007E0FEE">
    <w:pPr>
      <w:ind w:firstLine="0"/>
      <w:jc w:val="center"/>
    </w:pPr>
    <w:r>
      <w:t>-</w:t>
    </w:r>
    <w:sdt>
      <w:sdtPr>
        <w:id w:val="-1034043401"/>
        <w:docPartObj>
          <w:docPartGallery w:val="Page Numbers (Bottom of Page)"/>
          <w:docPartUnique/>
        </w:docPartObj>
      </w:sdtPr>
      <w:sdtEndPr>
        <w:rPr>
          <w:noProof/>
        </w:rPr>
      </w:sdtEndPr>
      <w:sdtContent>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C411" w14:textId="572CD8B3" w:rsidR="001D4313" w:rsidRPr="001D4313" w:rsidRDefault="001922C8" w:rsidP="001D4313">
    <w:pPr>
      <w:pStyle w:val="Footer"/>
      <w:ind w:firstLine="0"/>
      <w:rPr>
        <w:szCs w:val="26"/>
      </w:rPr>
    </w:pPr>
    <w:r w:rsidRPr="001922C8">
      <w:rPr>
        <w:sz w:val="16"/>
        <w:szCs w:val="16"/>
      </w:rPr>
      <w:t>425804331</w:t>
    </w:r>
    <w:r w:rsidR="001D4313">
      <w:rPr>
        <w:rFonts w:eastAsia="Calibri" w:cs="Calibri"/>
        <w:sz w:val="16"/>
        <w:szCs w:val="16"/>
      </w:rPr>
      <w:tab/>
    </w:r>
    <w:r w:rsidR="001D4313" w:rsidRPr="001D4313">
      <w:rPr>
        <w:rFonts w:eastAsia="Calibri" w:cs="Calibri"/>
        <w:szCs w:val="26"/>
      </w:rPr>
      <w:t xml:space="preserve">- </w:t>
    </w:r>
    <w:r w:rsidR="001D4313" w:rsidRPr="001D4313">
      <w:rPr>
        <w:rFonts w:eastAsia="Calibri" w:cs="Calibri"/>
        <w:szCs w:val="26"/>
      </w:rPr>
      <w:fldChar w:fldCharType="begin"/>
    </w:r>
    <w:r w:rsidR="001D4313" w:rsidRPr="001D4313">
      <w:rPr>
        <w:rFonts w:eastAsia="Calibri" w:cs="Calibri"/>
        <w:szCs w:val="26"/>
      </w:rPr>
      <w:instrText xml:space="preserve"> PAGE   \* MERGEFORMAT </w:instrText>
    </w:r>
    <w:r w:rsidR="001D4313" w:rsidRPr="001D4313">
      <w:rPr>
        <w:rFonts w:eastAsia="Calibri" w:cs="Calibri"/>
        <w:szCs w:val="26"/>
      </w:rPr>
      <w:fldChar w:fldCharType="separate"/>
    </w:r>
    <w:r w:rsidR="001D4313" w:rsidRPr="001D4313">
      <w:rPr>
        <w:rFonts w:eastAsia="Calibri" w:cs="Calibri"/>
        <w:noProof/>
        <w:szCs w:val="26"/>
      </w:rPr>
      <w:t>1</w:t>
    </w:r>
    <w:r w:rsidR="001D4313" w:rsidRPr="001D4313">
      <w:rPr>
        <w:rFonts w:eastAsia="Calibri" w:cs="Calibri"/>
        <w:noProof/>
        <w:szCs w:val="26"/>
      </w:rPr>
      <w:fldChar w:fldCharType="end"/>
    </w:r>
    <w:r w:rsidR="001D4313" w:rsidRPr="001D4313">
      <w:rPr>
        <w:rFonts w:eastAsia="Calibri" w:cs="Calibri"/>
        <w:noProof/>
        <w:szCs w:val="2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C5B22" w14:textId="77777777" w:rsidR="001D4313" w:rsidRDefault="001D4313" w:rsidP="007E0FEE">
    <w:pPr>
      <w:ind w:firstLine="0"/>
      <w:jc w:val="center"/>
    </w:pPr>
    <w:r>
      <w:t xml:space="preserve">- </w:t>
    </w:r>
    <w:sdt>
      <w:sdtPr>
        <w:id w:val="17931696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65CC3" w14:textId="3CEA4F9E" w:rsidR="001D4313" w:rsidRDefault="001D4313">
    <w:pPr>
      <w:pStyle w:val="Footer"/>
    </w:pPr>
    <w:r>
      <w:tab/>
      <w:t xml:space="preserve">- </w:t>
    </w:r>
    <w:r>
      <w:fldChar w:fldCharType="begin"/>
    </w:r>
    <w:r>
      <w:instrText xml:space="preserve"> PAGE   \* MERGEFORMAT </w:instrText>
    </w:r>
    <w:r>
      <w:fldChar w:fldCharType="separate"/>
    </w:r>
    <w:r>
      <w:rPr>
        <w:noProof/>
      </w:rPr>
      <w:t>1</w:t>
    </w:r>
    <w:r>
      <w:rPr>
        <w:noProof/>
      </w:rPr>
      <w:fldChar w:fldCharType="end"/>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5D5BF" w14:textId="77777777" w:rsidR="00A03F1F" w:rsidRDefault="00A03F1F" w:rsidP="00DF58E7">
      <w:pPr>
        <w:spacing w:line="240" w:lineRule="auto"/>
        <w:ind w:firstLine="0"/>
      </w:pPr>
      <w:r>
        <w:separator/>
      </w:r>
    </w:p>
  </w:footnote>
  <w:footnote w:type="continuationSeparator" w:id="0">
    <w:p w14:paraId="5CD3E252" w14:textId="77777777" w:rsidR="00A03F1F" w:rsidRDefault="00A03F1F" w:rsidP="00DF58E7">
      <w:pPr>
        <w:spacing w:line="240" w:lineRule="auto"/>
        <w:ind w:firstLine="0"/>
      </w:pPr>
      <w:r>
        <w:continuationSeparator/>
      </w:r>
    </w:p>
  </w:footnote>
  <w:footnote w:type="continuationNotice" w:id="1">
    <w:p w14:paraId="1E38E972" w14:textId="77777777" w:rsidR="00A03F1F" w:rsidRPr="00DF58E7" w:rsidRDefault="00A03F1F" w:rsidP="00DF58E7">
      <w:pPr>
        <w:spacing w:line="240" w:lineRule="auto"/>
        <w:ind w:firstLine="0"/>
        <w:jc w:val="right"/>
        <w:rPr>
          <w:i/>
          <w:sz w:val="22"/>
        </w:rPr>
      </w:pPr>
      <w:r w:rsidRPr="00DF58E7">
        <w:rPr>
          <w:i/>
          <w:sz w:val="22"/>
        </w:rPr>
        <w:t>Footnote continued on next page.</w:t>
      </w:r>
    </w:p>
  </w:footnote>
  <w:footnote w:id="2">
    <w:p w14:paraId="25970D6F" w14:textId="24CE3202" w:rsidR="00CB6C37" w:rsidRDefault="00CB6C37">
      <w:pPr>
        <w:pStyle w:val="FootnoteText"/>
      </w:pPr>
      <w:r>
        <w:rPr>
          <w:rStyle w:val="FootnoteReference"/>
        </w:rPr>
        <w:footnoteRef/>
      </w:r>
      <w:r>
        <w:t xml:space="preserve"> </w:t>
      </w:r>
      <w:r w:rsidR="00AD459B">
        <w:t xml:space="preserve"> </w:t>
      </w:r>
      <w:r w:rsidRPr="00CB6C37">
        <w:t>Pub. Util. Code Section 5431(</w:t>
      </w:r>
      <w:r w:rsidR="0E4E958C">
        <w:t>c</w:t>
      </w:r>
      <w:r w:rsidRPr="00CB6C37">
        <w:t>).</w:t>
      </w:r>
    </w:p>
  </w:footnote>
  <w:footnote w:id="3">
    <w:p w14:paraId="70514285" w14:textId="057C1827" w:rsidR="003E0305" w:rsidRPr="00AD459B" w:rsidRDefault="003E0305" w:rsidP="0068426C">
      <w:pPr>
        <w:pStyle w:val="FootnoteText"/>
        <w:rPr>
          <w:szCs w:val="22"/>
        </w:rPr>
      </w:pPr>
      <w:r w:rsidRPr="00AD459B">
        <w:rPr>
          <w:rStyle w:val="Heading2Char"/>
          <w:rFonts w:ascii="Book Antiqua" w:hAnsi="Book Antiqua"/>
          <w:b w:val="0"/>
          <w:sz w:val="16"/>
          <w:szCs w:val="16"/>
        </w:rPr>
        <w:footnoteRef/>
      </w:r>
      <w:r w:rsidR="0E4E958C" w:rsidRPr="0068426C">
        <w:rPr>
          <w:b/>
          <w:bCs/>
        </w:rPr>
        <w:t xml:space="preserve"> </w:t>
      </w:r>
      <w:r w:rsidR="00AD459B">
        <w:rPr>
          <w:b/>
          <w:bCs/>
        </w:rPr>
        <w:t xml:space="preserve"> </w:t>
      </w:r>
      <w:r w:rsidR="0E4E958C" w:rsidRPr="00AD459B">
        <w:rPr>
          <w:szCs w:val="22"/>
        </w:rPr>
        <w:t>Pub. Util. Code Section 5450(a)(3)</w:t>
      </w:r>
      <w:r w:rsidRPr="00AD459B">
        <w:rPr>
          <w:szCs w:val="22"/>
        </w:rPr>
        <w:t xml:space="preserve">. </w:t>
      </w:r>
      <w:r w:rsidR="00AD459B" w:rsidRPr="00AD459B">
        <w:rPr>
          <w:szCs w:val="22"/>
        </w:rPr>
        <w:t xml:space="preserve"> </w:t>
      </w:r>
      <w:r w:rsidRPr="00AD459B">
        <w:rPr>
          <w:szCs w:val="22"/>
        </w:rPr>
        <w:t>Taxis, limousines, and goods/food delivery services are exempt from the regulation</w:t>
      </w:r>
      <w:r w:rsidR="0E4E958C" w:rsidRPr="00AD459B">
        <w:rPr>
          <w:szCs w:val="22"/>
        </w:rPr>
        <w:t xml:space="preserve"> per Pub. Util. Code Section 5430(b)(4).</w:t>
      </w:r>
    </w:p>
  </w:footnote>
  <w:footnote w:id="4">
    <w:p w14:paraId="2D71A460" w14:textId="5EA9B74B" w:rsidR="003E0305" w:rsidRPr="00AD459B" w:rsidRDefault="003E0305" w:rsidP="00FA3CE7">
      <w:pPr>
        <w:pStyle w:val="FootnoteText"/>
      </w:pPr>
      <w:r w:rsidRPr="00C41C7F">
        <w:rPr>
          <w:rStyle w:val="FootnoteReference"/>
        </w:rPr>
        <w:footnoteRef/>
      </w:r>
      <w:r w:rsidRPr="00C41C7F">
        <w:t xml:space="preserve"> </w:t>
      </w:r>
      <w:r w:rsidR="00AD459B">
        <w:t xml:space="preserve"> </w:t>
      </w:r>
      <w:r w:rsidRPr="00AD459B">
        <w:t>SB 1014 (Skinner, 2018).</w:t>
      </w:r>
    </w:p>
  </w:footnote>
  <w:footnote w:id="5">
    <w:p w14:paraId="5C403B91" w14:textId="649A109C" w:rsidR="00582693" w:rsidRDefault="00582693">
      <w:pPr>
        <w:pStyle w:val="FootnoteText"/>
      </w:pPr>
      <w:r>
        <w:rPr>
          <w:rStyle w:val="FootnoteReference"/>
        </w:rPr>
        <w:footnoteRef/>
      </w:r>
      <w:r>
        <w:t xml:space="preserve"> </w:t>
      </w:r>
      <w:r w:rsidR="00AD459B">
        <w:t xml:space="preserve"> </w:t>
      </w:r>
      <w:r w:rsidR="00D92452" w:rsidRPr="00AD459B">
        <w:rPr>
          <w:i/>
          <w:iCs/>
        </w:rPr>
        <w:t>See</w:t>
      </w:r>
      <w:r w:rsidR="00D92452">
        <w:t xml:space="preserve"> CARB’s </w:t>
      </w:r>
      <w:r w:rsidR="00D50016">
        <w:t xml:space="preserve">Attachment A: </w:t>
      </w:r>
      <w:r w:rsidR="00AD459B">
        <w:t xml:space="preserve"> </w:t>
      </w:r>
      <w:r w:rsidR="00B77CDC">
        <w:t xml:space="preserve">Proposed Modifications to the </w:t>
      </w:r>
      <w:r w:rsidR="00077CB2">
        <w:t xml:space="preserve">Proposed Regulation Order </w:t>
      </w:r>
      <w:r w:rsidR="00E808B1">
        <w:t xml:space="preserve">for the Clean </w:t>
      </w:r>
      <w:r w:rsidR="006673A9">
        <w:t xml:space="preserve">Miles Standard </w:t>
      </w:r>
      <w:r w:rsidR="00D92452">
        <w:t xml:space="preserve">Regulation </w:t>
      </w:r>
      <w:r w:rsidR="00077CB2">
        <w:t>(</w:t>
      </w:r>
      <w:r w:rsidR="006673A9">
        <w:t>September 14</w:t>
      </w:r>
      <w:r w:rsidR="00077CB2">
        <w:t xml:space="preserve">, 2021) (hereafter </w:t>
      </w:r>
      <w:r w:rsidR="00D864E1">
        <w:t xml:space="preserve">CARB </w:t>
      </w:r>
      <w:r w:rsidR="00077CB2">
        <w:t>Proposed Regulation Order</w:t>
      </w:r>
      <w:r w:rsidR="00D864E1">
        <w:t>)</w:t>
      </w:r>
      <w:r w:rsidR="00C47B58">
        <w:t xml:space="preserve"> </w:t>
      </w:r>
      <w:r w:rsidR="0052617C">
        <w:t xml:space="preserve">available at </w:t>
      </w:r>
      <w:hyperlink r:id="rId1" w:history="1">
        <w:r w:rsidR="00E319CC" w:rsidRPr="00B2067D">
          <w:rPr>
            <w:rStyle w:val="Hyperlink"/>
          </w:rPr>
          <w:t>https://ww2.arb.ca.gov/rulemaking/2021/cleanmilesstandard</w:t>
        </w:r>
      </w:hyperlink>
      <w:r w:rsidR="00E319CC">
        <w:t xml:space="preserve">. </w:t>
      </w:r>
    </w:p>
  </w:footnote>
  <w:footnote w:id="6">
    <w:p w14:paraId="24533A58" w14:textId="30F1CC82" w:rsidR="00BA5F08" w:rsidRPr="00AD459B" w:rsidRDefault="00BA5F08">
      <w:pPr>
        <w:pStyle w:val="FootnoteText"/>
      </w:pPr>
      <w:r>
        <w:rPr>
          <w:rStyle w:val="FootnoteReference"/>
        </w:rPr>
        <w:footnoteRef/>
      </w:r>
      <w:r>
        <w:t xml:space="preserve"> </w:t>
      </w:r>
      <w:r w:rsidR="00AD459B">
        <w:t xml:space="preserve"> </w:t>
      </w:r>
      <w:r w:rsidRPr="00AD459B">
        <w:t>Pub. Util. Code Section 5450(d).</w:t>
      </w:r>
    </w:p>
  </w:footnote>
  <w:footnote w:id="7">
    <w:p w14:paraId="114CAA41" w14:textId="064F6D6B" w:rsidR="003E0305" w:rsidRDefault="003E0305" w:rsidP="00521C6C">
      <w:pPr>
        <w:pStyle w:val="FootnoteText"/>
      </w:pPr>
      <w:r>
        <w:rPr>
          <w:rStyle w:val="FootnoteReference"/>
        </w:rPr>
        <w:footnoteRef/>
      </w:r>
      <w:r>
        <w:t xml:space="preserve"> </w:t>
      </w:r>
      <w:r w:rsidR="00AD459B">
        <w:t xml:space="preserve"> </w:t>
      </w:r>
      <w:r w:rsidRPr="001B1380">
        <w:t>Health and Safety Code Section 44274.4 requires CARB to work with stakeholders to evaluate the role of rental fleet, car share fleet, and business Clean Vehicle Rebate Project Incentives with CMS.</w:t>
      </w:r>
    </w:p>
  </w:footnote>
  <w:footnote w:id="8">
    <w:p w14:paraId="4EE7DF0D" w14:textId="53D3E2BE" w:rsidR="003E0305" w:rsidRDefault="003E0305" w:rsidP="001B1380">
      <w:pPr>
        <w:pStyle w:val="Footnote"/>
        <w:rPr>
          <w:szCs w:val="22"/>
        </w:rPr>
      </w:pPr>
      <w:r>
        <w:rPr>
          <w:rStyle w:val="FootnoteReference"/>
          <w:szCs w:val="22"/>
        </w:rPr>
        <w:footnoteRef/>
      </w:r>
      <w:r>
        <w:rPr>
          <w:szCs w:val="22"/>
        </w:rPr>
        <w:t xml:space="preserve"> </w:t>
      </w:r>
      <w:r w:rsidR="00AD459B">
        <w:rPr>
          <w:szCs w:val="22"/>
        </w:rPr>
        <w:t xml:space="preserve"> </w:t>
      </w:r>
      <w:r w:rsidRPr="001B1380">
        <w:t xml:space="preserve">Pub. Util. Code </w:t>
      </w:r>
      <w:r>
        <w:t>Section</w:t>
      </w:r>
      <w:r w:rsidRPr="001B1380">
        <w:t xml:space="preserve"> 5351</w:t>
      </w:r>
      <w:r w:rsidR="00AD459B">
        <w:t>,</w:t>
      </w:r>
      <w:r w:rsidRPr="001B1380">
        <w:t xml:space="preserve"> </w:t>
      </w:r>
      <w:r w:rsidRPr="00AD459B">
        <w:rPr>
          <w:i/>
          <w:iCs/>
        </w:rPr>
        <w:t>et seq</w:t>
      </w:r>
      <w:r w:rsidRPr="001B1380">
        <w:t>.</w:t>
      </w:r>
    </w:p>
  </w:footnote>
  <w:footnote w:id="9">
    <w:p w14:paraId="3064D2C9" w14:textId="02AE6B11" w:rsidR="003E0305" w:rsidRPr="00477C43" w:rsidRDefault="003E0305" w:rsidP="001B1380">
      <w:pPr>
        <w:pStyle w:val="Footnote"/>
      </w:pPr>
      <w:r w:rsidRPr="00477C43">
        <w:rPr>
          <w:rStyle w:val="FootnoteReference"/>
          <w:sz w:val="20"/>
        </w:rPr>
        <w:footnoteRef/>
      </w:r>
      <w:r w:rsidRPr="6D157F23">
        <w:t xml:space="preserve"> </w:t>
      </w:r>
      <w:r w:rsidR="00AD459B">
        <w:t xml:space="preserve"> </w:t>
      </w:r>
      <w:r w:rsidRPr="001B1380">
        <w:t>D.13-09-045 at 3.</w:t>
      </w:r>
    </w:p>
  </w:footnote>
  <w:footnote w:id="10">
    <w:p w14:paraId="747C9E3B" w14:textId="626C739E" w:rsidR="003E0305" w:rsidRPr="0086177B" w:rsidRDefault="003E0305" w:rsidP="00D7064A">
      <w:pPr>
        <w:pStyle w:val="Footnote"/>
      </w:pPr>
      <w:r w:rsidRPr="0086177B">
        <w:rPr>
          <w:rStyle w:val="FootnoteReference"/>
          <w:sz w:val="20"/>
        </w:rPr>
        <w:footnoteRef/>
      </w:r>
      <w:r w:rsidRPr="0086177B">
        <w:t xml:space="preserve"> </w:t>
      </w:r>
      <w:r w:rsidR="00AD459B">
        <w:t xml:space="preserve"> </w:t>
      </w:r>
      <w:r w:rsidRPr="00CB454D">
        <w:t xml:space="preserve">General Order 157, </w:t>
      </w:r>
      <w:r w:rsidR="00AD459B">
        <w:t>S</w:t>
      </w:r>
      <w:r w:rsidRPr="00CB454D">
        <w:t>ection 4.05.</w:t>
      </w:r>
    </w:p>
  </w:footnote>
  <w:footnote w:id="11">
    <w:p w14:paraId="570A8E78" w14:textId="6A704204" w:rsidR="00126572" w:rsidRDefault="00126572">
      <w:pPr>
        <w:pStyle w:val="FootnoteText"/>
      </w:pPr>
      <w:r>
        <w:rPr>
          <w:rStyle w:val="FootnoteReference"/>
        </w:rPr>
        <w:footnoteRef/>
      </w:r>
      <w:r>
        <w:t xml:space="preserve"> </w:t>
      </w:r>
      <w:r w:rsidR="00AD459B">
        <w:t xml:space="preserve"> </w:t>
      </w:r>
      <w:r>
        <w:t>Pub. Util. Code Section 701.</w:t>
      </w:r>
    </w:p>
  </w:footnote>
  <w:footnote w:id="12">
    <w:p w14:paraId="29D0E46E" w14:textId="6FA1960D" w:rsidR="00CA31D1" w:rsidRDefault="00CA31D1">
      <w:pPr>
        <w:pStyle w:val="FootnoteText"/>
      </w:pPr>
      <w:r>
        <w:rPr>
          <w:rStyle w:val="FootnoteReference"/>
        </w:rPr>
        <w:footnoteRef/>
      </w:r>
      <w:r>
        <w:t xml:space="preserve"> </w:t>
      </w:r>
      <w:r w:rsidR="00AD459B">
        <w:t xml:space="preserve"> </w:t>
      </w:r>
      <w:r w:rsidR="00075ACB">
        <w:t>Cal. Const. art. XII, § 4.</w:t>
      </w:r>
    </w:p>
  </w:footnote>
  <w:footnote w:id="13">
    <w:p w14:paraId="564663E9" w14:textId="759C6EC1" w:rsidR="003E0305" w:rsidRDefault="003E0305" w:rsidP="001C5D76">
      <w:pPr>
        <w:pStyle w:val="FootnoteText"/>
      </w:pPr>
      <w:r>
        <w:rPr>
          <w:rStyle w:val="FootnoteReference"/>
        </w:rPr>
        <w:footnoteRef/>
      </w:r>
      <w:r>
        <w:t xml:space="preserve"> </w:t>
      </w:r>
      <w:r w:rsidR="00AD459B">
        <w:t xml:space="preserve"> </w:t>
      </w:r>
      <w:r>
        <w:t>D.16-12-037 at 1.</w:t>
      </w:r>
    </w:p>
  </w:footnote>
  <w:footnote w:id="14">
    <w:p w14:paraId="12D3F041" w14:textId="0D51D3B5" w:rsidR="003E0305" w:rsidRPr="00B60B1B" w:rsidRDefault="003E0305" w:rsidP="00CB454D">
      <w:pPr>
        <w:pStyle w:val="Footnote"/>
      </w:pPr>
      <w:r w:rsidRPr="00B60B1B">
        <w:rPr>
          <w:rStyle w:val="FootnoteReference"/>
          <w:sz w:val="20"/>
        </w:rPr>
        <w:footnoteRef/>
      </w:r>
      <w:r w:rsidRPr="6D157F23">
        <w:t xml:space="preserve"> </w:t>
      </w:r>
      <w:r w:rsidR="00AD459B">
        <w:t xml:space="preserve"> </w:t>
      </w:r>
      <w:r w:rsidRPr="6D157F23">
        <w:t xml:space="preserve">Pub. Util. Code </w:t>
      </w:r>
      <w:r>
        <w:t>Section</w:t>
      </w:r>
      <w:r w:rsidRPr="6D157F23">
        <w:t xml:space="preserve"> 5450(b)(1).</w:t>
      </w:r>
    </w:p>
  </w:footnote>
  <w:footnote w:id="15">
    <w:p w14:paraId="67B4AEB9" w14:textId="17338852" w:rsidR="003E0305" w:rsidRPr="00B60B1B" w:rsidRDefault="003E0305" w:rsidP="00CB454D">
      <w:pPr>
        <w:pStyle w:val="Footnote"/>
      </w:pPr>
      <w:r w:rsidRPr="00B60B1B">
        <w:rPr>
          <w:rStyle w:val="FootnoteReference"/>
          <w:sz w:val="20"/>
        </w:rPr>
        <w:footnoteRef/>
      </w:r>
      <w:r w:rsidRPr="6D157F23">
        <w:t xml:space="preserve"> </w:t>
      </w:r>
      <w:r w:rsidR="00AD459B">
        <w:t xml:space="preserve"> </w:t>
      </w:r>
      <w:r w:rsidRPr="6D157F23">
        <w:t xml:space="preserve">Pub. Util. Code </w:t>
      </w:r>
      <w:r>
        <w:t>Section</w:t>
      </w:r>
      <w:r w:rsidRPr="6D157F23">
        <w:t xml:space="preserve"> 5450(b)(2).</w:t>
      </w:r>
    </w:p>
  </w:footnote>
  <w:footnote w:id="16">
    <w:p w14:paraId="199FE97E" w14:textId="422AD0AE" w:rsidR="003E0305" w:rsidRPr="00A34777" w:rsidRDefault="003E0305" w:rsidP="00CB454D">
      <w:pPr>
        <w:pStyle w:val="Footnote"/>
        <w:rPr>
          <w:rFonts w:ascii="Arial" w:hAnsi="Arial" w:cs="Arial"/>
          <w:sz w:val="20"/>
        </w:rPr>
      </w:pPr>
      <w:r w:rsidRPr="00A34777">
        <w:rPr>
          <w:rStyle w:val="FootnoteReference"/>
          <w:sz w:val="20"/>
        </w:rPr>
        <w:footnoteRef/>
      </w:r>
      <w:r w:rsidRPr="6D157F23">
        <w:rPr>
          <w:rFonts w:ascii="Arial" w:hAnsi="Arial" w:cs="Arial"/>
          <w:sz w:val="20"/>
        </w:rPr>
        <w:t xml:space="preserve"> </w:t>
      </w:r>
      <w:r w:rsidR="00AD459B">
        <w:rPr>
          <w:rFonts w:ascii="Arial" w:hAnsi="Arial" w:cs="Arial"/>
          <w:sz w:val="20"/>
        </w:rPr>
        <w:t xml:space="preserve"> </w:t>
      </w:r>
      <w:r w:rsidRPr="00AD459B">
        <w:rPr>
          <w:i/>
          <w:iCs/>
        </w:rPr>
        <w:t>See</w:t>
      </w:r>
      <w:r w:rsidRPr="00CB454D">
        <w:t xml:space="preserve"> CARB</w:t>
      </w:r>
      <w:r>
        <w:t>’s</w:t>
      </w:r>
      <w:r w:rsidRPr="00CB454D">
        <w:t xml:space="preserve"> SB 1014 Clean Miles Standard </w:t>
      </w:r>
      <w:hyperlink r:id="rId2" w:history="1">
        <w:r w:rsidRPr="00CB454D">
          <w:t>2018 Base-year Emissions Inventory Report</w:t>
        </w:r>
      </w:hyperlink>
      <w:r w:rsidRPr="00CB454D">
        <w:t xml:space="preserve"> (December 2019)</w:t>
      </w:r>
      <w:r w:rsidR="00AD459B">
        <w:t xml:space="preserve"> </w:t>
      </w:r>
      <w:r>
        <w:t>(hereafter CARB’s 2018 Baseline Inventory)</w:t>
      </w:r>
      <w:r w:rsidRPr="00CB454D">
        <w:t>.</w:t>
      </w:r>
    </w:p>
  </w:footnote>
  <w:footnote w:id="17">
    <w:p w14:paraId="26CD4B09" w14:textId="6337D7A4" w:rsidR="003E0305" w:rsidRPr="008142CD" w:rsidRDefault="003E0305" w:rsidP="00D7064A">
      <w:pPr>
        <w:pStyle w:val="FootnoteText"/>
        <w:rPr>
          <w:rFonts w:ascii="Arial" w:hAnsi="Arial" w:cs="Arial"/>
          <w:sz w:val="20"/>
        </w:rPr>
      </w:pPr>
      <w:r w:rsidRPr="00A34777">
        <w:rPr>
          <w:rStyle w:val="FootnoteReference"/>
          <w:sz w:val="20"/>
        </w:rPr>
        <w:footnoteRef/>
      </w:r>
      <w:r w:rsidRPr="6D157F23">
        <w:rPr>
          <w:rFonts w:ascii="Arial" w:hAnsi="Arial" w:cs="Arial"/>
          <w:sz w:val="20"/>
        </w:rPr>
        <w:t xml:space="preserve"> </w:t>
      </w:r>
      <w:r w:rsidR="00AD459B">
        <w:rPr>
          <w:rFonts w:ascii="Arial" w:hAnsi="Arial" w:cs="Arial"/>
          <w:sz w:val="20"/>
        </w:rPr>
        <w:t xml:space="preserve"> </w:t>
      </w:r>
      <w:r>
        <w:t>CARB’s 2018 Baseline Inventory.</w:t>
      </w:r>
    </w:p>
  </w:footnote>
  <w:footnote w:id="18">
    <w:p w14:paraId="2CC45DF4" w14:textId="70589CDF" w:rsidR="003E0305" w:rsidRPr="00B60B1B" w:rsidRDefault="003E0305" w:rsidP="00D7064A">
      <w:pPr>
        <w:pStyle w:val="FootnoteText"/>
        <w:rPr>
          <w:rFonts w:ascii="Arial" w:hAnsi="Arial" w:cs="Arial"/>
          <w:sz w:val="20"/>
        </w:rPr>
      </w:pPr>
      <w:r w:rsidRPr="00B60B1B">
        <w:rPr>
          <w:rStyle w:val="FootnoteReference"/>
          <w:sz w:val="20"/>
        </w:rPr>
        <w:footnoteRef/>
      </w:r>
      <w:r w:rsidRPr="6D157F23">
        <w:rPr>
          <w:rFonts w:ascii="Arial" w:hAnsi="Arial" w:cs="Arial"/>
          <w:sz w:val="20"/>
        </w:rPr>
        <w:t xml:space="preserve"> </w:t>
      </w:r>
      <w:r w:rsidR="00AD459B">
        <w:rPr>
          <w:rFonts w:ascii="Arial" w:hAnsi="Arial" w:cs="Arial"/>
          <w:sz w:val="20"/>
        </w:rPr>
        <w:t xml:space="preserve"> </w:t>
      </w:r>
      <w:r>
        <w:t>CARB’s 2018 Baseline Inventory at 42.</w:t>
      </w:r>
    </w:p>
  </w:footnote>
  <w:footnote w:id="19">
    <w:p w14:paraId="045530A3" w14:textId="1286FF3D" w:rsidR="003E0305" w:rsidRPr="00B60B1B" w:rsidRDefault="003E0305" w:rsidP="00D7064A">
      <w:pPr>
        <w:pStyle w:val="FootnoteText"/>
        <w:rPr>
          <w:rFonts w:ascii="Arial" w:hAnsi="Arial" w:cs="Arial"/>
          <w:sz w:val="20"/>
        </w:rPr>
      </w:pPr>
      <w:r w:rsidRPr="00B60B1B">
        <w:rPr>
          <w:rStyle w:val="FootnoteReference"/>
          <w:sz w:val="20"/>
        </w:rPr>
        <w:footnoteRef/>
      </w:r>
      <w:r w:rsidRPr="6D157F23">
        <w:rPr>
          <w:rFonts w:ascii="Arial" w:hAnsi="Arial" w:cs="Arial"/>
          <w:sz w:val="20"/>
        </w:rPr>
        <w:t xml:space="preserve"> </w:t>
      </w:r>
      <w:r w:rsidR="00AD459B">
        <w:rPr>
          <w:rFonts w:ascii="Arial" w:hAnsi="Arial" w:cs="Arial"/>
          <w:sz w:val="20"/>
        </w:rPr>
        <w:t xml:space="preserve"> </w:t>
      </w:r>
      <w:r>
        <w:t>CARB’s 2018 Baseline Inventory at 42.</w:t>
      </w:r>
    </w:p>
  </w:footnote>
  <w:footnote w:id="20">
    <w:p w14:paraId="53378C45" w14:textId="5FFA941C" w:rsidR="003E0305" w:rsidRPr="00B60B1B" w:rsidRDefault="003E0305" w:rsidP="00D7064A">
      <w:pPr>
        <w:pStyle w:val="FootnoteText"/>
        <w:rPr>
          <w:rFonts w:ascii="Arial" w:hAnsi="Arial" w:cs="Arial"/>
          <w:sz w:val="20"/>
        </w:rPr>
      </w:pPr>
      <w:r w:rsidRPr="00B60B1B">
        <w:rPr>
          <w:rStyle w:val="FootnoteReference"/>
          <w:sz w:val="20"/>
        </w:rPr>
        <w:footnoteRef/>
      </w:r>
      <w:r w:rsidRPr="6D157F23">
        <w:rPr>
          <w:rFonts w:ascii="Arial" w:hAnsi="Arial" w:cs="Arial"/>
          <w:sz w:val="20"/>
        </w:rPr>
        <w:t xml:space="preserve"> </w:t>
      </w:r>
      <w:r w:rsidR="00AD459B">
        <w:rPr>
          <w:rFonts w:ascii="Arial" w:hAnsi="Arial" w:cs="Arial"/>
          <w:sz w:val="20"/>
        </w:rPr>
        <w:t xml:space="preserve"> </w:t>
      </w:r>
      <w:r>
        <w:t>CARB’s 2018 Baseline Inventory at 43.</w:t>
      </w:r>
    </w:p>
  </w:footnote>
  <w:footnote w:id="21">
    <w:p w14:paraId="150D0F9B" w14:textId="2B10E4EB" w:rsidR="003E0305" w:rsidRPr="00A34777" w:rsidRDefault="003E0305" w:rsidP="00D7064A">
      <w:pPr>
        <w:pStyle w:val="FootnoteText"/>
        <w:rPr>
          <w:rFonts w:ascii="Arial" w:hAnsi="Arial" w:cs="Arial"/>
          <w:sz w:val="20"/>
        </w:rPr>
      </w:pPr>
      <w:r w:rsidRPr="00A34777">
        <w:rPr>
          <w:rStyle w:val="FootnoteReference"/>
          <w:sz w:val="20"/>
        </w:rPr>
        <w:footnoteRef/>
      </w:r>
      <w:r w:rsidRPr="6D157F23">
        <w:rPr>
          <w:rFonts w:ascii="Arial" w:hAnsi="Arial" w:cs="Arial"/>
          <w:sz w:val="20"/>
        </w:rPr>
        <w:t xml:space="preserve"> </w:t>
      </w:r>
      <w:r w:rsidR="00AD459B">
        <w:rPr>
          <w:rFonts w:ascii="Arial" w:hAnsi="Arial" w:cs="Arial"/>
          <w:sz w:val="20"/>
        </w:rPr>
        <w:t xml:space="preserve"> </w:t>
      </w:r>
      <w:r>
        <w:t>CARB’s 2018 Baseline Inventory.</w:t>
      </w:r>
    </w:p>
  </w:footnote>
  <w:footnote w:id="22">
    <w:p w14:paraId="311C6D4C" w14:textId="1F3478EB" w:rsidR="003E0305" w:rsidRDefault="003E0305" w:rsidP="00D7064A">
      <w:pPr>
        <w:pStyle w:val="FootnoteText"/>
      </w:pPr>
      <w:r>
        <w:rPr>
          <w:rStyle w:val="FootnoteReference"/>
        </w:rPr>
        <w:footnoteRef/>
      </w:r>
      <w:r>
        <w:t xml:space="preserve"> </w:t>
      </w:r>
      <w:r w:rsidR="00AD459B">
        <w:t xml:space="preserve"> </w:t>
      </w:r>
      <w:r w:rsidR="00EF4CC0">
        <w:t>CARB Proposed Regulation Order</w:t>
      </w:r>
      <w:r w:rsidR="000970B0">
        <w:t xml:space="preserve"> at A-4</w:t>
      </w:r>
      <w:r w:rsidR="00044C39">
        <w:t xml:space="preserve"> and A-10.</w:t>
      </w:r>
    </w:p>
  </w:footnote>
  <w:footnote w:id="23">
    <w:p w14:paraId="1D585620" w14:textId="55ECE41E" w:rsidR="003E0305" w:rsidRDefault="003E0305" w:rsidP="00F7739F">
      <w:pPr>
        <w:pStyle w:val="FootnoteText"/>
      </w:pPr>
      <w:r>
        <w:rPr>
          <w:rStyle w:val="FootnoteReference"/>
        </w:rPr>
        <w:footnoteRef/>
      </w:r>
      <w:r>
        <w:t xml:space="preserve"> </w:t>
      </w:r>
      <w:r w:rsidR="00B81773">
        <w:t xml:space="preserve"> </w:t>
      </w:r>
      <w:r w:rsidR="00044C39">
        <w:t>CARB</w:t>
      </w:r>
      <w:r>
        <w:t xml:space="preserve"> Proposed Regulation Order at </w:t>
      </w:r>
      <w:r w:rsidR="0064193F">
        <w:t>A-10</w:t>
      </w:r>
      <w:r w:rsidR="00934C19">
        <w:t>.</w:t>
      </w:r>
    </w:p>
  </w:footnote>
  <w:footnote w:id="24">
    <w:p w14:paraId="5F46F833" w14:textId="7BF840D1" w:rsidR="00715473" w:rsidRDefault="00715473">
      <w:pPr>
        <w:pStyle w:val="FootnoteText"/>
      </w:pPr>
      <w:r>
        <w:rPr>
          <w:rStyle w:val="FootnoteReference"/>
        </w:rPr>
        <w:footnoteRef/>
      </w:r>
      <w:r>
        <w:t xml:space="preserve"> </w:t>
      </w:r>
      <w:r w:rsidR="00B81773">
        <w:t xml:space="preserve"> </w:t>
      </w:r>
      <w:r w:rsidR="00044C39">
        <w:t>CARB</w:t>
      </w:r>
      <w:r>
        <w:t xml:space="preserve"> </w:t>
      </w:r>
      <w:r w:rsidR="00587B0F">
        <w:t xml:space="preserve">Proposed Regulation Order at </w:t>
      </w:r>
      <w:r w:rsidR="00EB4470">
        <w:t>A-5</w:t>
      </w:r>
      <w:r w:rsidR="00587B0F">
        <w:t>.</w:t>
      </w:r>
    </w:p>
  </w:footnote>
  <w:footnote w:id="25">
    <w:p w14:paraId="32098927" w14:textId="7DDB7DAB" w:rsidR="00D00939" w:rsidRDefault="00D00939" w:rsidP="00D00939">
      <w:pPr>
        <w:pStyle w:val="FootnoteText"/>
      </w:pPr>
      <w:r>
        <w:rPr>
          <w:rStyle w:val="FootnoteReference"/>
        </w:rPr>
        <w:footnoteRef/>
      </w:r>
      <w:r>
        <w:t xml:space="preserve"> </w:t>
      </w:r>
      <w:r w:rsidR="00B81773">
        <w:t xml:space="preserve"> </w:t>
      </w:r>
      <w:r w:rsidR="00044C39">
        <w:t>CARB</w:t>
      </w:r>
      <w:r>
        <w:t xml:space="preserve"> Proposed Regulation Order, Table 1</w:t>
      </w:r>
    </w:p>
  </w:footnote>
  <w:footnote w:id="26">
    <w:p w14:paraId="46E9F46E" w14:textId="72DDDA14" w:rsidR="005571FF" w:rsidRDefault="005571FF">
      <w:pPr>
        <w:pStyle w:val="FootnoteText"/>
      </w:pPr>
      <w:r>
        <w:rPr>
          <w:rStyle w:val="FootnoteReference"/>
        </w:rPr>
        <w:footnoteRef/>
      </w:r>
      <w:r>
        <w:t xml:space="preserve"> </w:t>
      </w:r>
      <w:r w:rsidR="00B81773">
        <w:t xml:space="preserve"> </w:t>
      </w:r>
      <w:r w:rsidR="00044C39">
        <w:t>CARB</w:t>
      </w:r>
      <w:r>
        <w:t xml:space="preserve"> Proposed Regulation Order, Table </w:t>
      </w:r>
      <w:r w:rsidR="00703957">
        <w:t>6</w:t>
      </w:r>
    </w:p>
  </w:footnote>
  <w:footnote w:id="27">
    <w:p w14:paraId="4FCB7963" w14:textId="1D664C42" w:rsidR="003E0305" w:rsidRPr="00E92AE3" w:rsidRDefault="003E0305" w:rsidP="00D7064A">
      <w:pPr>
        <w:pStyle w:val="FootnoteText"/>
        <w:rPr>
          <w:rFonts w:ascii="Arial" w:hAnsi="Arial" w:cs="Arial"/>
          <w:sz w:val="20"/>
        </w:rPr>
      </w:pPr>
      <w:r w:rsidRPr="00E92AE3">
        <w:rPr>
          <w:rStyle w:val="FootnoteReference"/>
          <w:sz w:val="20"/>
        </w:rPr>
        <w:footnoteRef/>
      </w:r>
      <w:r w:rsidRPr="6D157F23">
        <w:rPr>
          <w:rFonts w:ascii="Arial" w:hAnsi="Arial" w:cs="Arial"/>
          <w:sz w:val="20"/>
        </w:rPr>
        <w:t xml:space="preserve"> </w:t>
      </w:r>
      <w:r w:rsidR="00B81773">
        <w:rPr>
          <w:rFonts w:ascii="Arial" w:hAnsi="Arial" w:cs="Arial"/>
          <w:sz w:val="20"/>
        </w:rPr>
        <w:t xml:space="preserve"> </w:t>
      </w:r>
      <w:r>
        <w:t xml:space="preserve">Proposed </w:t>
      </w:r>
      <w:r w:rsidR="00C94939">
        <w:t xml:space="preserve">Clean Miles Standard </w:t>
      </w:r>
      <w:r w:rsidDel="0016090C">
        <w:t>Regulation</w:t>
      </w:r>
      <w:r w:rsidR="0016090C">
        <w:t xml:space="preserve"> Staff Report: </w:t>
      </w:r>
      <w:r w:rsidR="00D70DBD">
        <w:t xml:space="preserve"> </w:t>
      </w:r>
      <w:r w:rsidR="0016090C">
        <w:t>Initial Statement of Reasons</w:t>
      </w:r>
      <w:r w:rsidDel="00161864">
        <w:t xml:space="preserve"> </w:t>
      </w:r>
      <w:r>
        <w:t>at 43.</w:t>
      </w:r>
    </w:p>
  </w:footnote>
  <w:footnote w:id="28">
    <w:p w14:paraId="4BFCB07E" w14:textId="7001994E" w:rsidR="003E0305" w:rsidRPr="00E92AE3" w:rsidRDefault="003E0305" w:rsidP="00D7064A">
      <w:pPr>
        <w:pStyle w:val="FootnoteText"/>
        <w:rPr>
          <w:rFonts w:ascii="Arial" w:hAnsi="Arial" w:cs="Arial"/>
          <w:sz w:val="20"/>
        </w:rPr>
      </w:pPr>
      <w:r w:rsidRPr="00E92AE3">
        <w:rPr>
          <w:rStyle w:val="FootnoteReference"/>
          <w:sz w:val="20"/>
        </w:rPr>
        <w:footnoteRef/>
      </w:r>
      <w:r w:rsidRPr="6D157F23">
        <w:rPr>
          <w:rFonts w:ascii="Arial" w:hAnsi="Arial" w:cs="Arial"/>
          <w:sz w:val="20"/>
        </w:rPr>
        <w:t xml:space="preserve"> </w:t>
      </w:r>
      <w:r w:rsidR="00B81773">
        <w:rPr>
          <w:rFonts w:ascii="Arial" w:hAnsi="Arial" w:cs="Arial"/>
          <w:sz w:val="20"/>
        </w:rPr>
        <w:t xml:space="preserve"> </w:t>
      </w:r>
      <w:r w:rsidR="00EE3F59">
        <w:t>CARB</w:t>
      </w:r>
      <w:r>
        <w:t xml:space="preserve"> Proposed Regulation Order at A-</w:t>
      </w:r>
      <w:r w:rsidR="0082486C">
        <w:t>2</w:t>
      </w:r>
      <w:r>
        <w:t>.</w:t>
      </w:r>
    </w:p>
  </w:footnote>
  <w:footnote w:id="29">
    <w:p w14:paraId="380BB055" w14:textId="001A030C" w:rsidR="003E0305" w:rsidRPr="003B4171" w:rsidRDefault="003E0305" w:rsidP="00D7064A">
      <w:pPr>
        <w:pStyle w:val="FootnoteText"/>
        <w:rPr>
          <w:rFonts w:ascii="Arial" w:hAnsi="Arial" w:cs="Arial"/>
          <w:sz w:val="20"/>
        </w:rPr>
      </w:pPr>
      <w:r w:rsidRPr="003B4171">
        <w:rPr>
          <w:rStyle w:val="FootnoteReference"/>
          <w:sz w:val="20"/>
        </w:rPr>
        <w:footnoteRef/>
      </w:r>
      <w:r w:rsidRPr="003B4171">
        <w:rPr>
          <w:rFonts w:ascii="Arial" w:hAnsi="Arial" w:cs="Arial"/>
          <w:sz w:val="20"/>
        </w:rPr>
        <w:t xml:space="preserve"> </w:t>
      </w:r>
      <w:r w:rsidR="00B81773">
        <w:rPr>
          <w:rFonts w:ascii="Arial" w:hAnsi="Arial" w:cs="Arial"/>
          <w:sz w:val="20"/>
        </w:rPr>
        <w:t xml:space="preserve"> </w:t>
      </w:r>
      <w:r w:rsidR="00EE3F59">
        <w:t>CARB</w:t>
      </w:r>
      <w:r>
        <w:t xml:space="preserve"> Proposed Regulation Order at A-</w:t>
      </w:r>
      <w:r w:rsidR="00DF0FD8">
        <w:t>9</w:t>
      </w:r>
      <w:r>
        <w:t>.</w:t>
      </w:r>
    </w:p>
  </w:footnote>
  <w:footnote w:id="30">
    <w:p w14:paraId="33788F90" w14:textId="00F38708" w:rsidR="003E0305" w:rsidRDefault="003E0305" w:rsidP="00D7064A">
      <w:pPr>
        <w:pStyle w:val="FootnoteText"/>
      </w:pPr>
      <w:r>
        <w:rPr>
          <w:rStyle w:val="FootnoteReference"/>
        </w:rPr>
        <w:footnoteRef/>
      </w:r>
      <w:r>
        <w:t xml:space="preserve"> </w:t>
      </w:r>
      <w:r w:rsidR="00B81773">
        <w:t xml:space="preserve"> </w:t>
      </w:r>
      <w:r w:rsidR="00EE3F59">
        <w:t>CARB</w:t>
      </w:r>
      <w:r>
        <w:t xml:space="preserve"> Proposed Regulation Order at A-</w:t>
      </w:r>
      <w:r w:rsidR="009064F3">
        <w:t>9</w:t>
      </w:r>
      <w:r>
        <w:t>.</w:t>
      </w:r>
    </w:p>
  </w:footnote>
  <w:footnote w:id="31">
    <w:p w14:paraId="4D50F678" w14:textId="198FDCB5" w:rsidR="00CA2668" w:rsidRDefault="00CA2668">
      <w:pPr>
        <w:pStyle w:val="FootnoteText"/>
      </w:pPr>
      <w:r>
        <w:rPr>
          <w:rStyle w:val="FootnoteReference"/>
        </w:rPr>
        <w:footnoteRef/>
      </w:r>
      <w:r>
        <w:t xml:space="preserve"> </w:t>
      </w:r>
      <w:r w:rsidR="00B81773">
        <w:t xml:space="preserve"> </w:t>
      </w:r>
      <w:r w:rsidR="00EE3F59">
        <w:t>CARB</w:t>
      </w:r>
      <w:r w:rsidR="3CD58903">
        <w:t xml:space="preserve"> Proposed Regulation Order at </w:t>
      </w:r>
      <w:r w:rsidR="002A781B">
        <w:t>A-13.</w:t>
      </w:r>
    </w:p>
  </w:footnote>
  <w:footnote w:id="32">
    <w:p w14:paraId="4BD11895" w14:textId="3F12C057" w:rsidR="00AD07D0" w:rsidRDefault="00AD07D0">
      <w:pPr>
        <w:pStyle w:val="FootnoteText"/>
      </w:pPr>
      <w:r>
        <w:rPr>
          <w:rStyle w:val="FootnoteReference"/>
        </w:rPr>
        <w:footnoteRef/>
      </w:r>
      <w:r>
        <w:t xml:space="preserve"> </w:t>
      </w:r>
      <w:r w:rsidR="00B81773">
        <w:t xml:space="preserve"> </w:t>
      </w:r>
      <w:r>
        <w:t>CARB Proposed Regulation Order at A-13.</w:t>
      </w:r>
    </w:p>
  </w:footnote>
  <w:footnote w:id="33">
    <w:p w14:paraId="2AA8FA71" w14:textId="04B2275D" w:rsidR="003E0305" w:rsidRPr="00E61B04" w:rsidRDefault="003E0305" w:rsidP="00D7064A">
      <w:pPr>
        <w:pStyle w:val="FootnoteText"/>
        <w:rPr>
          <w:rFonts w:ascii="Arial" w:hAnsi="Arial" w:cs="Arial"/>
          <w:sz w:val="20"/>
        </w:rPr>
      </w:pPr>
      <w:r w:rsidRPr="00E61B04">
        <w:rPr>
          <w:rStyle w:val="FootnoteReference"/>
          <w:sz w:val="20"/>
        </w:rPr>
        <w:footnoteRef/>
      </w:r>
      <w:r w:rsidRPr="00E61B04">
        <w:rPr>
          <w:rFonts w:ascii="Arial" w:hAnsi="Arial" w:cs="Arial"/>
          <w:sz w:val="20"/>
        </w:rPr>
        <w:t xml:space="preserve"> </w:t>
      </w:r>
      <w:r w:rsidR="00B81773">
        <w:rPr>
          <w:rFonts w:ascii="Arial" w:hAnsi="Arial" w:cs="Arial"/>
          <w:sz w:val="20"/>
        </w:rPr>
        <w:t xml:space="preserve"> </w:t>
      </w:r>
      <w:r w:rsidR="00EE3F59">
        <w:t>CARB</w:t>
      </w:r>
      <w:r>
        <w:t xml:space="preserve"> Proposed Regulation Order at </w:t>
      </w:r>
      <w:r w:rsidR="00FE4B1B">
        <w:t>A-13</w:t>
      </w:r>
      <w:r w:rsidR="00AA6750">
        <w:t>.</w:t>
      </w:r>
    </w:p>
  </w:footnote>
  <w:footnote w:id="34">
    <w:p w14:paraId="2F9C951F" w14:textId="69EC4FDC" w:rsidR="003E0305" w:rsidRDefault="003E0305" w:rsidP="00D7064A">
      <w:pPr>
        <w:pStyle w:val="FootnoteText"/>
      </w:pPr>
      <w:r>
        <w:rPr>
          <w:rStyle w:val="FootnoteReference"/>
        </w:rPr>
        <w:footnoteRef/>
      </w:r>
      <w:r>
        <w:t xml:space="preserve"> </w:t>
      </w:r>
      <w:r w:rsidR="00B81773">
        <w:t xml:space="preserve"> </w:t>
      </w:r>
      <w:r w:rsidR="00EE3F59">
        <w:t>CARB</w:t>
      </w:r>
      <w:r>
        <w:t xml:space="preserve"> Proposed Regulation Order at </w:t>
      </w:r>
      <w:r w:rsidR="00A1103F" w:rsidRPr="00BE6EF8">
        <w:t>A</w:t>
      </w:r>
      <w:r w:rsidR="008171CB" w:rsidRPr="00BE6EF8">
        <w:t>-14</w:t>
      </w:r>
      <w:r w:rsidRPr="00BE6EF8">
        <w:t>.</w:t>
      </w:r>
    </w:p>
  </w:footnote>
  <w:footnote w:id="35">
    <w:p w14:paraId="25119876" w14:textId="29C08B5B" w:rsidR="003E0305" w:rsidRPr="00236558" w:rsidRDefault="003E0305" w:rsidP="00B67A98">
      <w:pPr>
        <w:pStyle w:val="Footnote"/>
      </w:pPr>
      <w:r w:rsidRPr="00236558">
        <w:rPr>
          <w:rStyle w:val="FootnoteReference"/>
          <w:sz w:val="20"/>
        </w:rPr>
        <w:footnoteRef/>
      </w:r>
      <w:r w:rsidRPr="6D157F23">
        <w:t xml:space="preserve"> </w:t>
      </w:r>
      <w:r w:rsidR="00B81773">
        <w:t xml:space="preserve"> </w:t>
      </w:r>
      <w:r w:rsidRPr="6D157F23">
        <w:t xml:space="preserve">Governor Newsom </w:t>
      </w:r>
      <w:r w:rsidRPr="00B67A98">
        <w:t>Executive Order N-79-20</w:t>
      </w:r>
      <w:r w:rsidRPr="6D157F23">
        <w:t>.</w:t>
      </w:r>
    </w:p>
  </w:footnote>
  <w:footnote w:id="36">
    <w:p w14:paraId="2F12A44F" w14:textId="1996AFA3" w:rsidR="003E0305" w:rsidRPr="001B28CA" w:rsidRDefault="003E0305" w:rsidP="00AB4392">
      <w:pPr>
        <w:pStyle w:val="Footnote"/>
        <w:rPr>
          <w:rFonts w:ascii="Arial" w:hAnsi="Arial" w:cs="Arial"/>
          <w:sz w:val="20"/>
        </w:rPr>
      </w:pPr>
      <w:r w:rsidRPr="00236558">
        <w:rPr>
          <w:rStyle w:val="FootnoteReference"/>
          <w:sz w:val="20"/>
        </w:rPr>
        <w:footnoteRef/>
      </w:r>
      <w:r w:rsidRPr="6D157F23">
        <w:rPr>
          <w:rFonts w:ascii="Arial" w:hAnsi="Arial" w:cs="Arial"/>
          <w:sz w:val="20"/>
        </w:rPr>
        <w:t xml:space="preserve"> </w:t>
      </w:r>
      <w:r w:rsidR="00B81773">
        <w:rPr>
          <w:rFonts w:ascii="Arial" w:hAnsi="Arial" w:cs="Arial"/>
          <w:sz w:val="20"/>
        </w:rPr>
        <w:t xml:space="preserve"> </w:t>
      </w:r>
      <w:r w:rsidRPr="00B81773">
        <w:rPr>
          <w:i/>
          <w:iCs/>
        </w:rPr>
        <w:t>See</w:t>
      </w:r>
      <w:r w:rsidRPr="00AB4392">
        <w:t xml:space="preserve"> “</w:t>
      </w:r>
      <w:hyperlink r:id="rId3" w:history="1">
        <w:r w:rsidRPr="00AB4392">
          <w:t xml:space="preserve">Leading the Transition to Zero Emissions: </w:t>
        </w:r>
        <w:r w:rsidR="00B81773">
          <w:t xml:space="preserve"> </w:t>
        </w:r>
        <w:r w:rsidRPr="00AB4392">
          <w:t>Our Commitment to 100% Electric Vehicles by 2030</w:t>
        </w:r>
      </w:hyperlink>
      <w:r>
        <w:t>” (</w:t>
      </w:r>
      <w:r w:rsidRPr="00AB4392">
        <w:t>June 17, 2020</w:t>
      </w:r>
      <w:r>
        <w:t>)</w:t>
      </w:r>
      <w:r w:rsidRPr="00AB4392">
        <w:t xml:space="preserve"> and ”</w:t>
      </w:r>
      <w:hyperlink r:id="rId4" w:history="1">
        <w:r w:rsidRPr="00AB4392">
          <w:t>Driving a Green Recovery</w:t>
        </w:r>
      </w:hyperlink>
      <w:r w:rsidRPr="00AB4392">
        <w:t xml:space="preserve">” </w:t>
      </w:r>
      <w:r>
        <w:t>(</w:t>
      </w:r>
      <w:r w:rsidRPr="00AB4392">
        <w:t>September 8, 2020</w:t>
      </w:r>
      <w:r>
        <w:t>)</w:t>
      </w:r>
      <w:r w:rsidRPr="00AB4392">
        <w:t>.</w:t>
      </w:r>
    </w:p>
  </w:footnote>
  <w:footnote w:id="37">
    <w:p w14:paraId="79364270" w14:textId="35152F5F" w:rsidR="003E0305" w:rsidRPr="00B928CA" w:rsidRDefault="003E0305" w:rsidP="00AB4392">
      <w:pPr>
        <w:pStyle w:val="Footnote"/>
      </w:pPr>
      <w:r w:rsidRPr="00D07BAD">
        <w:rPr>
          <w:rStyle w:val="FootnoteReference"/>
          <w:sz w:val="20"/>
        </w:rPr>
        <w:footnoteRef/>
      </w:r>
      <w:r w:rsidRPr="6D157F23">
        <w:t xml:space="preserve"> </w:t>
      </w:r>
      <w:r w:rsidR="00B81773">
        <w:t xml:space="preserve"> </w:t>
      </w:r>
      <w:r w:rsidRPr="00B81773">
        <w:rPr>
          <w:i/>
          <w:iCs/>
        </w:rPr>
        <w:t>See</w:t>
      </w:r>
      <w:r>
        <w:t xml:space="preserve"> Administrative Law Judge ruling in </w:t>
      </w:r>
      <w:r w:rsidRPr="00115220">
        <w:t>R.18-12-006</w:t>
      </w:r>
      <w:r>
        <w:t xml:space="preserve"> on February 3, 2020 attaching the Commission staff proposal for a Transportation Electrification Framework.</w:t>
      </w:r>
    </w:p>
  </w:footnote>
  <w:footnote w:id="38">
    <w:p w14:paraId="7E56E9BD" w14:textId="2F45D54F" w:rsidR="00914AF7" w:rsidRDefault="00914AF7" w:rsidP="00914AF7">
      <w:pPr>
        <w:pStyle w:val="FootnoteText"/>
      </w:pPr>
      <w:r>
        <w:rPr>
          <w:rStyle w:val="FootnoteReference"/>
        </w:rPr>
        <w:footnoteRef/>
      </w:r>
      <w:r>
        <w:t xml:space="preserve"> </w:t>
      </w:r>
      <w:r w:rsidR="00CC136B">
        <w:t xml:space="preserve"> </w:t>
      </w:r>
      <w:r>
        <w:t>R.18-12-006 is the Commission’s Rulemaking to Continue the Development of Rates and Infrastructure for Vehicle Electrification (DRIVE).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1E096" w14:textId="680619C2" w:rsidR="00AD459B" w:rsidRPr="00AD459B" w:rsidRDefault="00AD459B" w:rsidP="00B3087D">
    <w:pPr>
      <w:pStyle w:val="Header"/>
      <w:tabs>
        <w:tab w:val="clear" w:pos="4680"/>
      </w:tabs>
      <w:ind w:firstLine="0"/>
      <w:rPr>
        <w:b/>
        <w:bCs/>
        <w:iCs/>
      </w:rPr>
    </w:pPr>
    <w:r>
      <w:rPr>
        <w:iCs/>
      </w:rPr>
      <w:t>R.________  ALJ/SW9/jnf</w:t>
    </w:r>
    <w:r>
      <w:rPr>
        <w:iCs/>
      </w:rPr>
      <w:tab/>
    </w:r>
    <w:r>
      <w:rPr>
        <w:b/>
        <w:bCs/>
        <w:iCs/>
      </w:rPr>
      <w:t>PROPOSED DECISION</w:t>
    </w:r>
  </w:p>
  <w:p w14:paraId="773A3231" w14:textId="6B02FA86" w:rsidR="003E0305" w:rsidRPr="00B3087D" w:rsidRDefault="009B5F94" w:rsidP="00B3087D">
    <w:pPr>
      <w:pStyle w:val="Header"/>
      <w:tabs>
        <w:tab w:val="clear" w:pos="4680"/>
      </w:tabs>
      <w:ind w:firstLine="0"/>
      <w:rPr>
        <w:i/>
        <w:color w:val="FF0000"/>
      </w:rPr>
    </w:pPr>
    <w:r>
      <w:rPr>
        <w:iCs/>
        <w:color w:val="FF0000"/>
      </w:rPr>
      <w:t>[10-19-2021]</w:t>
    </w:r>
    <w:r w:rsidR="003E0305" w:rsidRPr="00B3087D">
      <w:rPr>
        <w:i/>
        <w:color w:val="FF0000"/>
      </w:rPr>
      <w:t xml:space="preserve"> Internal Review Draft; Subject to </w:t>
    </w:r>
    <w:r w:rsidR="003E0305" w:rsidRPr="00B3087D">
      <w:rPr>
        <w:b/>
        <w:i/>
        <w:color w:val="FF0000"/>
      </w:rPr>
      <w:t>ALJ Division Review</w:t>
    </w:r>
  </w:p>
  <w:p w14:paraId="0EA47664" w14:textId="517F7FA4" w:rsidR="003E0305" w:rsidRDefault="003E0305" w:rsidP="00B3087D">
    <w:pPr>
      <w:pStyle w:val="Header"/>
      <w:tabs>
        <w:tab w:val="clear" w:pos="4680"/>
      </w:tabs>
      <w:ind w:firstLine="0"/>
      <w:rPr>
        <w:i/>
        <w:color w:val="FF0000"/>
      </w:rPr>
    </w:pPr>
    <w:r>
      <w:rPr>
        <w:b/>
        <w:color w:val="FF0000"/>
      </w:rPr>
      <w:t>CONFIDENTIAL</w:t>
    </w:r>
    <w:r w:rsidRPr="00B3087D">
      <w:rPr>
        <w:b/>
        <w:color w:val="FF0000"/>
      </w:rPr>
      <w:t xml:space="preserve">; </w:t>
    </w:r>
    <w:r w:rsidRPr="00B3087D">
      <w:rPr>
        <w:i/>
        <w:color w:val="FF0000"/>
      </w:rPr>
      <w:t>Deliberative Process Privilege</w:t>
    </w:r>
  </w:p>
  <w:p w14:paraId="235090B8" w14:textId="64CCAA06" w:rsidR="00AD459B" w:rsidRDefault="00AD459B" w:rsidP="00B3087D">
    <w:pPr>
      <w:pStyle w:val="Header"/>
      <w:tabs>
        <w:tab w:val="clear" w:pos="4680"/>
      </w:tabs>
      <w:ind w:firstLine="0"/>
      <w:rPr>
        <w:i/>
        <w:color w:val="FF0000"/>
      </w:rPr>
    </w:pPr>
  </w:p>
  <w:p w14:paraId="1AA39773" w14:textId="77777777" w:rsidR="00AD459B" w:rsidRPr="00B3087D" w:rsidRDefault="00AD459B" w:rsidP="00B3087D">
    <w:pPr>
      <w:pStyle w:val="Header"/>
      <w:tabs>
        <w:tab w:val="clear" w:pos="4680"/>
      </w:tabs>
      <w:ind w:firstLine="0"/>
      <w:rPr>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98A7" w14:textId="70E4EE53" w:rsidR="00AD459B" w:rsidRPr="00AD459B" w:rsidRDefault="00AD459B" w:rsidP="00AD459B">
    <w:pPr>
      <w:pStyle w:val="Header"/>
      <w:tabs>
        <w:tab w:val="clear" w:pos="4680"/>
      </w:tabs>
      <w:ind w:firstLine="0"/>
      <w:rPr>
        <w:i/>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8E19C" w14:textId="773A9473" w:rsidR="001D4313" w:rsidRPr="00761B8B" w:rsidRDefault="001D4313" w:rsidP="00B3087D">
    <w:pPr>
      <w:pStyle w:val="Header"/>
      <w:tabs>
        <w:tab w:val="clear" w:pos="4680"/>
      </w:tabs>
      <w:ind w:firstLine="0"/>
      <w:rPr>
        <w:b/>
      </w:rPr>
    </w:pPr>
    <w:r>
      <w:t>R.</w:t>
    </w:r>
    <w:r w:rsidR="00A35AC0">
      <w:t xml:space="preserve">21-11-014  </w:t>
    </w:r>
    <w:r>
      <w:t>ALJ/SW9/jnf</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F460" w14:textId="77777777" w:rsidR="00A35AC0" w:rsidRPr="00761B8B" w:rsidRDefault="00A35AC0" w:rsidP="00A35AC0">
    <w:pPr>
      <w:pStyle w:val="Header"/>
      <w:tabs>
        <w:tab w:val="clear" w:pos="4680"/>
      </w:tabs>
      <w:ind w:firstLine="0"/>
      <w:rPr>
        <w:b/>
      </w:rPr>
    </w:pPr>
    <w:r>
      <w:t>R.21-11-014  ALJ/SW9/jnf</w:t>
    </w:r>
  </w:p>
  <w:p w14:paraId="6EB90BD0" w14:textId="56242A4C" w:rsidR="001D4313" w:rsidRPr="00761B8B" w:rsidRDefault="001D4313" w:rsidP="001D4313">
    <w:pPr>
      <w:pStyle w:val="Header"/>
      <w:tabs>
        <w:tab w:val="clear" w:pos="4680"/>
      </w:tabs>
      <w:ind w:firstLine="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60E10"/>
    <w:multiLevelType w:val="hybridMultilevel"/>
    <w:tmpl w:val="FFFFFFFF"/>
    <w:lvl w:ilvl="0" w:tplc="435CB75A">
      <w:start w:val="1"/>
      <w:numFmt w:val="decimal"/>
      <w:lvlText w:val="%1."/>
      <w:lvlJc w:val="left"/>
      <w:pPr>
        <w:ind w:left="720" w:hanging="360"/>
      </w:pPr>
    </w:lvl>
    <w:lvl w:ilvl="1" w:tplc="91145210">
      <w:start w:val="1"/>
      <w:numFmt w:val="lowerLetter"/>
      <w:lvlText w:val="%2."/>
      <w:lvlJc w:val="left"/>
      <w:pPr>
        <w:ind w:left="1440" w:hanging="360"/>
      </w:pPr>
    </w:lvl>
    <w:lvl w:ilvl="2" w:tplc="931AC8D6">
      <w:start w:val="1"/>
      <w:numFmt w:val="lowerRoman"/>
      <w:lvlText w:val="%3."/>
      <w:lvlJc w:val="right"/>
      <w:pPr>
        <w:ind w:left="2160" w:hanging="180"/>
      </w:pPr>
    </w:lvl>
    <w:lvl w:ilvl="3" w:tplc="32F2ECC6">
      <w:start w:val="1"/>
      <w:numFmt w:val="decimal"/>
      <w:lvlText w:val="%4."/>
      <w:lvlJc w:val="left"/>
      <w:pPr>
        <w:ind w:left="2880" w:hanging="360"/>
      </w:pPr>
    </w:lvl>
    <w:lvl w:ilvl="4" w:tplc="F66C4DCE">
      <w:start w:val="1"/>
      <w:numFmt w:val="lowerLetter"/>
      <w:lvlText w:val="%5."/>
      <w:lvlJc w:val="left"/>
      <w:pPr>
        <w:ind w:left="3600" w:hanging="360"/>
      </w:pPr>
    </w:lvl>
    <w:lvl w:ilvl="5" w:tplc="6156B218">
      <w:start w:val="1"/>
      <w:numFmt w:val="lowerRoman"/>
      <w:lvlText w:val="%6."/>
      <w:lvlJc w:val="right"/>
      <w:pPr>
        <w:ind w:left="4320" w:hanging="180"/>
      </w:pPr>
    </w:lvl>
    <w:lvl w:ilvl="6" w:tplc="C948459C">
      <w:start w:val="1"/>
      <w:numFmt w:val="decimal"/>
      <w:lvlText w:val="%7."/>
      <w:lvlJc w:val="left"/>
      <w:pPr>
        <w:ind w:left="5040" w:hanging="360"/>
      </w:pPr>
    </w:lvl>
    <w:lvl w:ilvl="7" w:tplc="C5A6E430">
      <w:start w:val="1"/>
      <w:numFmt w:val="lowerLetter"/>
      <w:lvlText w:val="%8."/>
      <w:lvlJc w:val="left"/>
      <w:pPr>
        <w:ind w:left="5760" w:hanging="360"/>
      </w:pPr>
    </w:lvl>
    <w:lvl w:ilvl="8" w:tplc="8B468EA2">
      <w:start w:val="1"/>
      <w:numFmt w:val="lowerRoman"/>
      <w:lvlText w:val="%9."/>
      <w:lvlJc w:val="right"/>
      <w:pPr>
        <w:ind w:left="6480" w:hanging="180"/>
      </w:pPr>
    </w:lvl>
  </w:abstractNum>
  <w:abstractNum w:abstractNumId="2" w15:restartNumberingAfterBreak="0">
    <w:nsid w:val="06F33BD2"/>
    <w:multiLevelType w:val="hybridMultilevel"/>
    <w:tmpl w:val="681A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6CD6"/>
    <w:multiLevelType w:val="hybridMultilevel"/>
    <w:tmpl w:val="FFFFFFFF"/>
    <w:lvl w:ilvl="0" w:tplc="5A503BAA">
      <w:start w:val="1"/>
      <w:numFmt w:val="decimal"/>
      <w:lvlText w:val="%1."/>
      <w:lvlJc w:val="left"/>
      <w:pPr>
        <w:ind w:left="720" w:hanging="360"/>
      </w:pPr>
    </w:lvl>
    <w:lvl w:ilvl="1" w:tplc="470026AC">
      <w:start w:val="1"/>
      <w:numFmt w:val="lowerLetter"/>
      <w:lvlText w:val="%2."/>
      <w:lvlJc w:val="left"/>
      <w:pPr>
        <w:ind w:left="1440" w:hanging="360"/>
      </w:pPr>
    </w:lvl>
    <w:lvl w:ilvl="2" w:tplc="DC206CD2">
      <w:start w:val="1"/>
      <w:numFmt w:val="lowerRoman"/>
      <w:lvlText w:val="%3."/>
      <w:lvlJc w:val="right"/>
      <w:pPr>
        <w:ind w:left="2160" w:hanging="180"/>
      </w:pPr>
    </w:lvl>
    <w:lvl w:ilvl="3" w:tplc="4BC4F55A">
      <w:start w:val="1"/>
      <w:numFmt w:val="decimal"/>
      <w:lvlText w:val="%4."/>
      <w:lvlJc w:val="left"/>
      <w:pPr>
        <w:ind w:left="2880" w:hanging="360"/>
      </w:pPr>
    </w:lvl>
    <w:lvl w:ilvl="4" w:tplc="0568BEC6">
      <w:start w:val="1"/>
      <w:numFmt w:val="lowerLetter"/>
      <w:lvlText w:val="%5."/>
      <w:lvlJc w:val="left"/>
      <w:pPr>
        <w:ind w:left="3600" w:hanging="360"/>
      </w:pPr>
    </w:lvl>
    <w:lvl w:ilvl="5" w:tplc="29843176">
      <w:start w:val="1"/>
      <w:numFmt w:val="lowerRoman"/>
      <w:lvlText w:val="%6."/>
      <w:lvlJc w:val="right"/>
      <w:pPr>
        <w:ind w:left="4320" w:hanging="180"/>
      </w:pPr>
    </w:lvl>
    <w:lvl w:ilvl="6" w:tplc="D9F2AEDE">
      <w:start w:val="1"/>
      <w:numFmt w:val="decimal"/>
      <w:lvlText w:val="%7."/>
      <w:lvlJc w:val="left"/>
      <w:pPr>
        <w:ind w:left="5040" w:hanging="360"/>
      </w:pPr>
    </w:lvl>
    <w:lvl w:ilvl="7" w:tplc="139A5984">
      <w:start w:val="1"/>
      <w:numFmt w:val="lowerLetter"/>
      <w:lvlText w:val="%8."/>
      <w:lvlJc w:val="left"/>
      <w:pPr>
        <w:ind w:left="5760" w:hanging="360"/>
      </w:pPr>
    </w:lvl>
    <w:lvl w:ilvl="8" w:tplc="ADDC56C2">
      <w:start w:val="1"/>
      <w:numFmt w:val="lowerRoman"/>
      <w:lvlText w:val="%9."/>
      <w:lvlJc w:val="right"/>
      <w:pPr>
        <w:ind w:left="6480" w:hanging="180"/>
      </w:pPr>
    </w:lvl>
  </w:abstractNum>
  <w:abstractNum w:abstractNumId="4" w15:restartNumberingAfterBreak="0">
    <w:nsid w:val="0BE9168A"/>
    <w:multiLevelType w:val="hybridMultilevel"/>
    <w:tmpl w:val="F56E2008"/>
    <w:lvl w:ilvl="0" w:tplc="16D0A264">
      <w:start w:val="1"/>
      <w:numFmt w:val="lowerLetter"/>
      <w:pStyle w:val="ListAlph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805A8"/>
    <w:multiLevelType w:val="multilevel"/>
    <w:tmpl w:val="4E8E2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585BAE"/>
    <w:multiLevelType w:val="multilevel"/>
    <w:tmpl w:val="D9D8D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687F"/>
    <w:multiLevelType w:val="hybridMultilevel"/>
    <w:tmpl w:val="FFFFFFFF"/>
    <w:lvl w:ilvl="0" w:tplc="5BD0A6CA">
      <w:start w:val="1"/>
      <w:numFmt w:val="decimal"/>
      <w:lvlText w:val="%1."/>
      <w:lvlJc w:val="left"/>
      <w:pPr>
        <w:ind w:left="720" w:hanging="360"/>
      </w:pPr>
    </w:lvl>
    <w:lvl w:ilvl="1" w:tplc="47B2F6E0">
      <w:start w:val="1"/>
      <w:numFmt w:val="lowerLetter"/>
      <w:lvlText w:val="%2."/>
      <w:lvlJc w:val="left"/>
      <w:pPr>
        <w:ind w:left="1440" w:hanging="360"/>
      </w:pPr>
    </w:lvl>
    <w:lvl w:ilvl="2" w:tplc="999C662A">
      <w:start w:val="1"/>
      <w:numFmt w:val="lowerRoman"/>
      <w:lvlText w:val="%3."/>
      <w:lvlJc w:val="right"/>
      <w:pPr>
        <w:ind w:left="2160" w:hanging="180"/>
      </w:pPr>
    </w:lvl>
    <w:lvl w:ilvl="3" w:tplc="E5FA69F2">
      <w:start w:val="1"/>
      <w:numFmt w:val="decimal"/>
      <w:lvlText w:val="%4."/>
      <w:lvlJc w:val="left"/>
      <w:pPr>
        <w:ind w:left="2880" w:hanging="360"/>
      </w:pPr>
    </w:lvl>
    <w:lvl w:ilvl="4" w:tplc="FD345B8C">
      <w:start w:val="1"/>
      <w:numFmt w:val="lowerLetter"/>
      <w:lvlText w:val="%5."/>
      <w:lvlJc w:val="left"/>
      <w:pPr>
        <w:ind w:left="3600" w:hanging="360"/>
      </w:pPr>
    </w:lvl>
    <w:lvl w:ilvl="5" w:tplc="8984FBF6">
      <w:start w:val="1"/>
      <w:numFmt w:val="lowerRoman"/>
      <w:lvlText w:val="%6."/>
      <w:lvlJc w:val="right"/>
      <w:pPr>
        <w:ind w:left="4320" w:hanging="180"/>
      </w:pPr>
    </w:lvl>
    <w:lvl w:ilvl="6" w:tplc="95D6C5DC">
      <w:start w:val="1"/>
      <w:numFmt w:val="decimal"/>
      <w:lvlText w:val="%7."/>
      <w:lvlJc w:val="left"/>
      <w:pPr>
        <w:ind w:left="5040" w:hanging="360"/>
      </w:pPr>
    </w:lvl>
    <w:lvl w:ilvl="7" w:tplc="1924BA90">
      <w:start w:val="1"/>
      <w:numFmt w:val="lowerLetter"/>
      <w:lvlText w:val="%8."/>
      <w:lvlJc w:val="left"/>
      <w:pPr>
        <w:ind w:left="5760" w:hanging="360"/>
      </w:pPr>
    </w:lvl>
    <w:lvl w:ilvl="8" w:tplc="A1525A18">
      <w:start w:val="1"/>
      <w:numFmt w:val="lowerRoman"/>
      <w:lvlText w:val="%9."/>
      <w:lvlJc w:val="right"/>
      <w:pPr>
        <w:ind w:left="6480" w:hanging="180"/>
      </w:pPr>
    </w:lvl>
  </w:abstractNum>
  <w:abstractNum w:abstractNumId="8" w15:restartNumberingAfterBreak="0">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9" w15:restartNumberingAfterBreak="0">
    <w:nsid w:val="15F056CB"/>
    <w:multiLevelType w:val="multilevel"/>
    <w:tmpl w:val="18F4A5AC"/>
    <w:numStyleLink w:val="FoFCoLOP"/>
  </w:abstractNum>
  <w:abstractNum w:abstractNumId="10" w15:restartNumberingAfterBreak="0">
    <w:nsid w:val="1622492E"/>
    <w:multiLevelType w:val="hybridMultilevel"/>
    <w:tmpl w:val="FFFFFFFF"/>
    <w:lvl w:ilvl="0" w:tplc="6E563C56">
      <w:start w:val="1"/>
      <w:numFmt w:val="decimal"/>
      <w:lvlText w:val="%1."/>
      <w:lvlJc w:val="left"/>
      <w:pPr>
        <w:ind w:left="720" w:hanging="360"/>
      </w:pPr>
    </w:lvl>
    <w:lvl w:ilvl="1" w:tplc="271A59D8">
      <w:start w:val="1"/>
      <w:numFmt w:val="lowerLetter"/>
      <w:lvlText w:val="%2."/>
      <w:lvlJc w:val="left"/>
      <w:pPr>
        <w:ind w:left="1440" w:hanging="360"/>
      </w:pPr>
    </w:lvl>
    <w:lvl w:ilvl="2" w:tplc="2146FF42">
      <w:start w:val="1"/>
      <w:numFmt w:val="lowerRoman"/>
      <w:lvlText w:val="%3."/>
      <w:lvlJc w:val="right"/>
      <w:pPr>
        <w:ind w:left="2160" w:hanging="180"/>
      </w:pPr>
    </w:lvl>
    <w:lvl w:ilvl="3" w:tplc="2FC87F56">
      <w:start w:val="1"/>
      <w:numFmt w:val="decimal"/>
      <w:lvlText w:val="%4."/>
      <w:lvlJc w:val="left"/>
      <w:pPr>
        <w:ind w:left="2880" w:hanging="360"/>
      </w:pPr>
    </w:lvl>
    <w:lvl w:ilvl="4" w:tplc="8282373A">
      <w:start w:val="1"/>
      <w:numFmt w:val="lowerLetter"/>
      <w:lvlText w:val="%5."/>
      <w:lvlJc w:val="left"/>
      <w:pPr>
        <w:ind w:left="3600" w:hanging="360"/>
      </w:pPr>
    </w:lvl>
    <w:lvl w:ilvl="5" w:tplc="11788562">
      <w:start w:val="1"/>
      <w:numFmt w:val="lowerRoman"/>
      <w:lvlText w:val="%6."/>
      <w:lvlJc w:val="right"/>
      <w:pPr>
        <w:ind w:left="4320" w:hanging="180"/>
      </w:pPr>
    </w:lvl>
    <w:lvl w:ilvl="6" w:tplc="9222B2C2">
      <w:start w:val="1"/>
      <w:numFmt w:val="decimal"/>
      <w:lvlText w:val="%7."/>
      <w:lvlJc w:val="left"/>
      <w:pPr>
        <w:ind w:left="5040" w:hanging="360"/>
      </w:pPr>
    </w:lvl>
    <w:lvl w:ilvl="7" w:tplc="6FDEF538">
      <w:start w:val="1"/>
      <w:numFmt w:val="lowerLetter"/>
      <w:lvlText w:val="%8."/>
      <w:lvlJc w:val="left"/>
      <w:pPr>
        <w:ind w:left="5760" w:hanging="360"/>
      </w:pPr>
    </w:lvl>
    <w:lvl w:ilvl="8" w:tplc="ECFE661A">
      <w:start w:val="1"/>
      <w:numFmt w:val="lowerRoman"/>
      <w:lvlText w:val="%9."/>
      <w:lvlJc w:val="right"/>
      <w:pPr>
        <w:ind w:left="6480" w:hanging="180"/>
      </w:pPr>
    </w:lvl>
  </w:abstractNum>
  <w:abstractNum w:abstractNumId="11" w15:restartNumberingAfterBreak="0">
    <w:nsid w:val="1FEE21B6"/>
    <w:multiLevelType w:val="multilevel"/>
    <w:tmpl w:val="BB041AA2"/>
    <w:lvl w:ilvl="0">
      <w:start w:val="3"/>
      <w:numFmt w:val="lowerLetter"/>
      <w:lvlText w:val="%1."/>
      <w:lvlJc w:val="left"/>
      <w:pPr>
        <w:tabs>
          <w:tab w:val="num" w:pos="720"/>
        </w:tabs>
        <w:ind w:left="720" w:hanging="360"/>
      </w:pPr>
    </w:lvl>
    <w:lvl w:ilvl="1">
      <w:start w:val="1"/>
      <w:numFmt w:val="lowerRoman"/>
      <w:lvlText w:val="%2."/>
      <w:lvlJc w:val="left"/>
      <w:pPr>
        <w:tabs>
          <w:tab w:val="num" w:pos="1440"/>
        </w:tabs>
        <w:ind w:left="1440" w:hanging="360"/>
      </w:pPr>
      <w:rPr>
        <w:rFonts w:ascii="Book Antiqua" w:eastAsiaTheme="minorHAnsi" w:hAnsi="Book Antiqua" w:cstheme="minorBidi"/>
      </w:rPr>
    </w:lvl>
    <w:lvl w:ilvl="2">
      <w:start w:val="1"/>
      <w:numFmt w:val="bullet"/>
      <w:lvlText w:val="-"/>
      <w:lvlJc w:val="left"/>
      <w:pPr>
        <w:ind w:left="2160" w:hanging="360"/>
      </w:pPr>
      <w:rPr>
        <w:rFonts w:ascii="Book Antiqua" w:eastAsiaTheme="minorHAnsi" w:hAnsi="Book Antiqua" w:cstheme="minorBidi"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67E5BAB"/>
    <w:multiLevelType w:val="hybridMultilevel"/>
    <w:tmpl w:val="FFFFFFFF"/>
    <w:lvl w:ilvl="0" w:tplc="D9FE929A">
      <w:start w:val="1"/>
      <w:numFmt w:val="decimal"/>
      <w:lvlText w:val="%1."/>
      <w:lvlJc w:val="left"/>
      <w:pPr>
        <w:ind w:left="720" w:hanging="360"/>
      </w:pPr>
    </w:lvl>
    <w:lvl w:ilvl="1" w:tplc="B858BFE4">
      <w:start w:val="1"/>
      <w:numFmt w:val="lowerLetter"/>
      <w:lvlText w:val="%2."/>
      <w:lvlJc w:val="left"/>
      <w:pPr>
        <w:ind w:left="1440" w:hanging="360"/>
      </w:pPr>
    </w:lvl>
    <w:lvl w:ilvl="2" w:tplc="3FCA9EB8">
      <w:start w:val="1"/>
      <w:numFmt w:val="lowerRoman"/>
      <w:lvlText w:val="%3."/>
      <w:lvlJc w:val="right"/>
      <w:pPr>
        <w:ind w:left="2160" w:hanging="180"/>
      </w:pPr>
    </w:lvl>
    <w:lvl w:ilvl="3" w:tplc="8DEC1714">
      <w:start w:val="1"/>
      <w:numFmt w:val="decimal"/>
      <w:lvlText w:val="%4."/>
      <w:lvlJc w:val="left"/>
      <w:pPr>
        <w:ind w:left="2880" w:hanging="360"/>
      </w:pPr>
    </w:lvl>
    <w:lvl w:ilvl="4" w:tplc="CB4001B4">
      <w:start w:val="1"/>
      <w:numFmt w:val="lowerLetter"/>
      <w:lvlText w:val="%5."/>
      <w:lvlJc w:val="left"/>
      <w:pPr>
        <w:ind w:left="3600" w:hanging="360"/>
      </w:pPr>
    </w:lvl>
    <w:lvl w:ilvl="5" w:tplc="BE1010EC">
      <w:start w:val="1"/>
      <w:numFmt w:val="lowerRoman"/>
      <w:lvlText w:val="%6."/>
      <w:lvlJc w:val="right"/>
      <w:pPr>
        <w:ind w:left="4320" w:hanging="180"/>
      </w:pPr>
    </w:lvl>
    <w:lvl w:ilvl="6" w:tplc="AAD2D1B0">
      <w:start w:val="1"/>
      <w:numFmt w:val="decimal"/>
      <w:lvlText w:val="%7."/>
      <w:lvlJc w:val="left"/>
      <w:pPr>
        <w:ind w:left="5040" w:hanging="360"/>
      </w:pPr>
    </w:lvl>
    <w:lvl w:ilvl="7" w:tplc="C882CCBC">
      <w:start w:val="1"/>
      <w:numFmt w:val="lowerLetter"/>
      <w:lvlText w:val="%8."/>
      <w:lvlJc w:val="left"/>
      <w:pPr>
        <w:ind w:left="5760" w:hanging="360"/>
      </w:pPr>
    </w:lvl>
    <w:lvl w:ilvl="8" w:tplc="D21E519A">
      <w:start w:val="1"/>
      <w:numFmt w:val="lowerRoman"/>
      <w:lvlText w:val="%9."/>
      <w:lvlJc w:val="right"/>
      <w:pPr>
        <w:ind w:left="6480" w:hanging="180"/>
      </w:pPr>
    </w:lvl>
  </w:abstractNum>
  <w:abstractNum w:abstractNumId="13" w15:restartNumberingAfterBreak="0">
    <w:nsid w:val="331F6D42"/>
    <w:multiLevelType w:val="multilevel"/>
    <w:tmpl w:val="3C526EDE"/>
    <w:styleLink w:val="Headings"/>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pStyle w:val="OP"/>
      <w:lvlText w:val="%7."/>
      <w:lvlJc w:val="left"/>
      <w:pPr>
        <w:tabs>
          <w:tab w:val="num" w:pos="1350"/>
        </w:tabs>
        <w:ind w:left="135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4" w15:restartNumberingAfterBreak="0">
    <w:nsid w:val="333773EA"/>
    <w:multiLevelType w:val="multilevel"/>
    <w:tmpl w:val="53E62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FB801F3"/>
    <w:multiLevelType w:val="hybridMultilevel"/>
    <w:tmpl w:val="F3CC6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1304C8"/>
    <w:multiLevelType w:val="hybridMultilevel"/>
    <w:tmpl w:val="1BA26E2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0D4BB2"/>
    <w:multiLevelType w:val="hybridMultilevel"/>
    <w:tmpl w:val="FFFFFFFF"/>
    <w:lvl w:ilvl="0" w:tplc="6C045770">
      <w:start w:val="1"/>
      <w:numFmt w:val="decimal"/>
      <w:lvlText w:val="%1."/>
      <w:lvlJc w:val="left"/>
      <w:pPr>
        <w:ind w:left="720" w:hanging="360"/>
      </w:pPr>
    </w:lvl>
    <w:lvl w:ilvl="1" w:tplc="CC126F36">
      <w:start w:val="1"/>
      <w:numFmt w:val="upperRoman"/>
      <w:lvlText w:val="%2."/>
      <w:lvlJc w:val="left"/>
      <w:pPr>
        <w:ind w:left="1440" w:hanging="360"/>
      </w:pPr>
    </w:lvl>
    <w:lvl w:ilvl="2" w:tplc="E0BE6514">
      <w:start w:val="1"/>
      <w:numFmt w:val="lowerRoman"/>
      <w:lvlText w:val="%3."/>
      <w:lvlJc w:val="right"/>
      <w:pPr>
        <w:ind w:left="2160" w:hanging="180"/>
      </w:pPr>
    </w:lvl>
    <w:lvl w:ilvl="3" w:tplc="34D2B4BE">
      <w:start w:val="1"/>
      <w:numFmt w:val="decimal"/>
      <w:lvlText w:val="%4."/>
      <w:lvlJc w:val="left"/>
      <w:pPr>
        <w:ind w:left="2880" w:hanging="360"/>
      </w:pPr>
    </w:lvl>
    <w:lvl w:ilvl="4" w:tplc="57CA6290">
      <w:start w:val="1"/>
      <w:numFmt w:val="lowerLetter"/>
      <w:lvlText w:val="%5."/>
      <w:lvlJc w:val="left"/>
      <w:pPr>
        <w:ind w:left="3600" w:hanging="360"/>
      </w:pPr>
    </w:lvl>
    <w:lvl w:ilvl="5" w:tplc="CE2AC030">
      <w:start w:val="1"/>
      <w:numFmt w:val="lowerRoman"/>
      <w:lvlText w:val="%6."/>
      <w:lvlJc w:val="right"/>
      <w:pPr>
        <w:ind w:left="4320" w:hanging="180"/>
      </w:pPr>
    </w:lvl>
    <w:lvl w:ilvl="6" w:tplc="82381144">
      <w:start w:val="1"/>
      <w:numFmt w:val="decimal"/>
      <w:lvlText w:val="%7."/>
      <w:lvlJc w:val="left"/>
      <w:pPr>
        <w:ind w:left="5040" w:hanging="360"/>
      </w:pPr>
    </w:lvl>
    <w:lvl w:ilvl="7" w:tplc="AFF4CB5C">
      <w:start w:val="1"/>
      <w:numFmt w:val="lowerLetter"/>
      <w:lvlText w:val="%8."/>
      <w:lvlJc w:val="left"/>
      <w:pPr>
        <w:ind w:left="5760" w:hanging="360"/>
      </w:pPr>
    </w:lvl>
    <w:lvl w:ilvl="8" w:tplc="FB92A352">
      <w:start w:val="1"/>
      <w:numFmt w:val="lowerRoman"/>
      <w:lvlText w:val="%9."/>
      <w:lvlJc w:val="right"/>
      <w:pPr>
        <w:ind w:left="6480" w:hanging="180"/>
      </w:pPr>
    </w:lvl>
  </w:abstractNum>
  <w:abstractNum w:abstractNumId="18" w15:restartNumberingAfterBreak="0">
    <w:nsid w:val="58CB3101"/>
    <w:multiLevelType w:val="multilevel"/>
    <w:tmpl w:val="4918820A"/>
    <w:lvl w:ilvl="0">
      <w:start w:val="1"/>
      <w:numFmt w:val="decimal"/>
      <w:lvlText w:val="%1."/>
      <w:lvlJc w:val="left"/>
      <w:pPr>
        <w:tabs>
          <w:tab w:val="num" w:pos="720"/>
        </w:tabs>
        <w:ind w:left="720" w:hanging="720"/>
      </w:pPr>
      <w:rPr>
        <w:rFonts w:ascii="Arial" w:hAnsi="Arial" w:cs="Arial" w:hint="default"/>
        <w:b/>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0"/>
        </w:tabs>
        <w:ind w:left="2880" w:hanging="720"/>
      </w:pPr>
      <w:rPr>
        <w:rFonts w:hint="default"/>
      </w:rPr>
    </w:lvl>
    <w:lvl w:ilvl="4">
      <w:numFmt w:val="none"/>
      <w:lvlText w:val=""/>
      <w:lvlJc w:val="left"/>
      <w:pPr>
        <w:tabs>
          <w:tab w:val="num" w:pos="360"/>
        </w:tabs>
      </w:pPr>
    </w:lvl>
    <w:lvl w:ilvl="5">
      <w:numFmt w:val="none"/>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19" w15:restartNumberingAfterBreak="0">
    <w:nsid w:val="5996245F"/>
    <w:multiLevelType w:val="hybridMultilevel"/>
    <w:tmpl w:val="FFFFFFFF"/>
    <w:lvl w:ilvl="0" w:tplc="EE9682AE">
      <w:start w:val="1"/>
      <w:numFmt w:val="decimal"/>
      <w:lvlText w:val="%1."/>
      <w:lvlJc w:val="left"/>
      <w:pPr>
        <w:ind w:left="720" w:hanging="360"/>
      </w:pPr>
    </w:lvl>
    <w:lvl w:ilvl="1" w:tplc="BD0638F8">
      <w:start w:val="1"/>
      <w:numFmt w:val="upperRoman"/>
      <w:lvlText w:val="%2."/>
      <w:lvlJc w:val="left"/>
      <w:pPr>
        <w:ind w:left="1440" w:hanging="360"/>
      </w:pPr>
    </w:lvl>
    <w:lvl w:ilvl="2" w:tplc="0B46F238">
      <w:start w:val="1"/>
      <w:numFmt w:val="lowerRoman"/>
      <w:lvlText w:val="%3."/>
      <w:lvlJc w:val="right"/>
      <w:pPr>
        <w:ind w:left="2160" w:hanging="180"/>
      </w:pPr>
    </w:lvl>
    <w:lvl w:ilvl="3" w:tplc="068C984A">
      <w:start w:val="1"/>
      <w:numFmt w:val="decimal"/>
      <w:lvlText w:val="%4."/>
      <w:lvlJc w:val="left"/>
      <w:pPr>
        <w:ind w:left="2880" w:hanging="360"/>
      </w:pPr>
    </w:lvl>
    <w:lvl w:ilvl="4" w:tplc="C428A8EC">
      <w:start w:val="1"/>
      <w:numFmt w:val="lowerLetter"/>
      <w:lvlText w:val="%5."/>
      <w:lvlJc w:val="left"/>
      <w:pPr>
        <w:ind w:left="3600" w:hanging="360"/>
      </w:pPr>
    </w:lvl>
    <w:lvl w:ilvl="5" w:tplc="0DA24640">
      <w:start w:val="1"/>
      <w:numFmt w:val="lowerRoman"/>
      <w:lvlText w:val="%6."/>
      <w:lvlJc w:val="right"/>
      <w:pPr>
        <w:ind w:left="4320" w:hanging="180"/>
      </w:pPr>
    </w:lvl>
    <w:lvl w:ilvl="6" w:tplc="80466DEC">
      <w:start w:val="1"/>
      <w:numFmt w:val="decimal"/>
      <w:lvlText w:val="%7."/>
      <w:lvlJc w:val="left"/>
      <w:pPr>
        <w:ind w:left="5040" w:hanging="360"/>
      </w:pPr>
    </w:lvl>
    <w:lvl w:ilvl="7" w:tplc="6BA2A79A">
      <w:start w:val="1"/>
      <w:numFmt w:val="lowerLetter"/>
      <w:lvlText w:val="%8."/>
      <w:lvlJc w:val="left"/>
      <w:pPr>
        <w:ind w:left="5760" w:hanging="360"/>
      </w:pPr>
    </w:lvl>
    <w:lvl w:ilvl="8" w:tplc="5D6ECDAE">
      <w:start w:val="1"/>
      <w:numFmt w:val="lowerRoman"/>
      <w:lvlText w:val="%9."/>
      <w:lvlJc w:val="right"/>
      <w:pPr>
        <w:ind w:left="6480" w:hanging="180"/>
      </w:pPr>
    </w:lvl>
  </w:abstractNum>
  <w:abstractNum w:abstractNumId="20" w15:restartNumberingAfterBreak="0">
    <w:nsid w:val="59D042D7"/>
    <w:multiLevelType w:val="multilevel"/>
    <w:tmpl w:val="18F4A5AC"/>
    <w:numStyleLink w:val="FoFCoLOP"/>
  </w:abstractNum>
  <w:abstractNum w:abstractNumId="21" w15:restartNumberingAfterBreak="0">
    <w:nsid w:val="5A937CE6"/>
    <w:multiLevelType w:val="multilevel"/>
    <w:tmpl w:val="B6E4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9E2171"/>
    <w:multiLevelType w:val="multilevel"/>
    <w:tmpl w:val="3C526EDE"/>
    <w:numStyleLink w:val="Headings"/>
  </w:abstractNum>
  <w:abstractNum w:abstractNumId="23" w15:restartNumberingAfterBreak="0">
    <w:nsid w:val="5CDD537C"/>
    <w:multiLevelType w:val="multilevel"/>
    <w:tmpl w:val="E1C01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A25780"/>
    <w:multiLevelType w:val="multilevel"/>
    <w:tmpl w:val="C0E0D23E"/>
    <w:lvl w:ilvl="0">
      <w:start w:val="1"/>
      <w:numFmt w:val="decimal"/>
      <w:lvlText w:val="%1."/>
      <w:lvlJc w:val="left"/>
      <w:pPr>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5" w15:restartNumberingAfterBreak="0">
    <w:nsid w:val="626044DE"/>
    <w:multiLevelType w:val="hybridMultilevel"/>
    <w:tmpl w:val="FFFFFFFF"/>
    <w:lvl w:ilvl="0" w:tplc="8C92670A">
      <w:start w:val="1"/>
      <w:numFmt w:val="decimal"/>
      <w:lvlText w:val="%1."/>
      <w:lvlJc w:val="left"/>
      <w:pPr>
        <w:ind w:left="720" w:hanging="360"/>
      </w:pPr>
    </w:lvl>
    <w:lvl w:ilvl="1" w:tplc="599AD436">
      <w:start w:val="1"/>
      <w:numFmt w:val="lowerLetter"/>
      <w:lvlText w:val="%2."/>
      <w:lvlJc w:val="left"/>
      <w:pPr>
        <w:ind w:left="1440" w:hanging="360"/>
      </w:pPr>
    </w:lvl>
    <w:lvl w:ilvl="2" w:tplc="A01E0AC8">
      <w:start w:val="1"/>
      <w:numFmt w:val="lowerRoman"/>
      <w:lvlText w:val="%3."/>
      <w:lvlJc w:val="right"/>
      <w:pPr>
        <w:ind w:left="2160" w:hanging="180"/>
      </w:pPr>
    </w:lvl>
    <w:lvl w:ilvl="3" w:tplc="16F4DA5E">
      <w:start w:val="1"/>
      <w:numFmt w:val="decimal"/>
      <w:lvlText w:val="%4."/>
      <w:lvlJc w:val="left"/>
      <w:pPr>
        <w:ind w:left="2880" w:hanging="360"/>
      </w:pPr>
    </w:lvl>
    <w:lvl w:ilvl="4" w:tplc="FF621AAE">
      <w:start w:val="1"/>
      <w:numFmt w:val="lowerLetter"/>
      <w:lvlText w:val="%5."/>
      <w:lvlJc w:val="left"/>
      <w:pPr>
        <w:ind w:left="3600" w:hanging="360"/>
      </w:pPr>
    </w:lvl>
    <w:lvl w:ilvl="5" w:tplc="F31C2CBC">
      <w:start w:val="1"/>
      <w:numFmt w:val="lowerRoman"/>
      <w:lvlText w:val="%6."/>
      <w:lvlJc w:val="right"/>
      <w:pPr>
        <w:ind w:left="4320" w:hanging="180"/>
      </w:pPr>
    </w:lvl>
    <w:lvl w:ilvl="6" w:tplc="968C0C4A">
      <w:start w:val="1"/>
      <w:numFmt w:val="decimal"/>
      <w:lvlText w:val="%7."/>
      <w:lvlJc w:val="left"/>
      <w:pPr>
        <w:ind w:left="5040" w:hanging="360"/>
      </w:pPr>
    </w:lvl>
    <w:lvl w:ilvl="7" w:tplc="BED80E1A">
      <w:start w:val="1"/>
      <w:numFmt w:val="lowerLetter"/>
      <w:lvlText w:val="%8."/>
      <w:lvlJc w:val="left"/>
      <w:pPr>
        <w:ind w:left="5760" w:hanging="360"/>
      </w:pPr>
    </w:lvl>
    <w:lvl w:ilvl="8" w:tplc="78D03C18">
      <w:start w:val="1"/>
      <w:numFmt w:val="lowerRoman"/>
      <w:lvlText w:val="%9."/>
      <w:lvlJc w:val="right"/>
      <w:pPr>
        <w:ind w:left="6480" w:hanging="180"/>
      </w:pPr>
    </w:lvl>
  </w:abstractNum>
  <w:abstractNum w:abstractNumId="26" w15:restartNumberingAfterBreak="0">
    <w:nsid w:val="71EF2498"/>
    <w:multiLevelType w:val="hybridMultilevel"/>
    <w:tmpl w:val="22CEC604"/>
    <w:lvl w:ilvl="0" w:tplc="0409000F">
      <w:start w:val="1"/>
      <w:numFmt w:val="decimal"/>
      <w:lvlText w:val="%1."/>
      <w:lvlJc w:val="left"/>
      <w:pPr>
        <w:ind w:left="720" w:hanging="360"/>
      </w:pPr>
    </w:lvl>
    <w:lvl w:ilvl="1" w:tplc="3F8EACFC">
      <w:start w:val="1"/>
      <w:numFmt w:val="lowerLetter"/>
      <w:lvlText w:val="%2."/>
      <w:lvlJc w:val="left"/>
      <w:pPr>
        <w:ind w:left="1440" w:hanging="360"/>
      </w:pPr>
      <w:rPr>
        <w:rFonts w:ascii="Book Antiqua" w:hAnsi="Book Antiqu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AA7E1A"/>
    <w:multiLevelType w:val="hybridMultilevel"/>
    <w:tmpl w:val="FFFFFFFF"/>
    <w:lvl w:ilvl="0" w:tplc="01162A5A">
      <w:start w:val="1"/>
      <w:numFmt w:val="decimal"/>
      <w:lvlText w:val="%1."/>
      <w:lvlJc w:val="left"/>
      <w:pPr>
        <w:ind w:left="720" w:hanging="360"/>
      </w:pPr>
    </w:lvl>
    <w:lvl w:ilvl="1" w:tplc="384ABE6C">
      <w:start w:val="1"/>
      <w:numFmt w:val="lowerLetter"/>
      <w:lvlText w:val="%2."/>
      <w:lvlJc w:val="left"/>
      <w:pPr>
        <w:ind w:left="1440" w:hanging="360"/>
      </w:pPr>
    </w:lvl>
    <w:lvl w:ilvl="2" w:tplc="E512A742">
      <w:start w:val="1"/>
      <w:numFmt w:val="lowerRoman"/>
      <w:lvlText w:val="%3."/>
      <w:lvlJc w:val="right"/>
      <w:pPr>
        <w:ind w:left="2160" w:hanging="180"/>
      </w:pPr>
    </w:lvl>
    <w:lvl w:ilvl="3" w:tplc="1DB85BB6">
      <w:start w:val="1"/>
      <w:numFmt w:val="decimal"/>
      <w:lvlText w:val="%4."/>
      <w:lvlJc w:val="left"/>
      <w:pPr>
        <w:ind w:left="2880" w:hanging="360"/>
      </w:pPr>
    </w:lvl>
    <w:lvl w:ilvl="4" w:tplc="C4C65ED4">
      <w:start w:val="1"/>
      <w:numFmt w:val="lowerLetter"/>
      <w:lvlText w:val="%5."/>
      <w:lvlJc w:val="left"/>
      <w:pPr>
        <w:ind w:left="3600" w:hanging="360"/>
      </w:pPr>
    </w:lvl>
    <w:lvl w:ilvl="5" w:tplc="5FD877A4">
      <w:start w:val="1"/>
      <w:numFmt w:val="lowerRoman"/>
      <w:lvlText w:val="%6."/>
      <w:lvlJc w:val="right"/>
      <w:pPr>
        <w:ind w:left="4320" w:hanging="180"/>
      </w:pPr>
    </w:lvl>
    <w:lvl w:ilvl="6" w:tplc="72C8F48C">
      <w:start w:val="1"/>
      <w:numFmt w:val="decimal"/>
      <w:lvlText w:val="%7."/>
      <w:lvlJc w:val="left"/>
      <w:pPr>
        <w:ind w:left="5040" w:hanging="360"/>
      </w:pPr>
    </w:lvl>
    <w:lvl w:ilvl="7" w:tplc="6292043E">
      <w:start w:val="1"/>
      <w:numFmt w:val="lowerLetter"/>
      <w:lvlText w:val="%8."/>
      <w:lvlJc w:val="left"/>
      <w:pPr>
        <w:ind w:left="5760" w:hanging="360"/>
      </w:pPr>
    </w:lvl>
    <w:lvl w:ilvl="8" w:tplc="36083EF4">
      <w:start w:val="1"/>
      <w:numFmt w:val="lowerRoman"/>
      <w:lvlText w:val="%9."/>
      <w:lvlJc w:val="right"/>
      <w:pPr>
        <w:ind w:left="6480" w:hanging="180"/>
      </w:pPr>
    </w:lvl>
  </w:abstractNum>
  <w:abstractNum w:abstractNumId="28" w15:restartNumberingAfterBreak="0">
    <w:nsid w:val="7A4B5D42"/>
    <w:multiLevelType w:val="multilevel"/>
    <w:tmpl w:val="0FE8BC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DA5746"/>
    <w:multiLevelType w:val="hybridMultilevel"/>
    <w:tmpl w:val="FFFFFFFF"/>
    <w:lvl w:ilvl="0" w:tplc="DB865ACE">
      <w:start w:val="1"/>
      <w:numFmt w:val="decimal"/>
      <w:lvlText w:val="%1."/>
      <w:lvlJc w:val="left"/>
      <w:pPr>
        <w:ind w:left="720" w:hanging="360"/>
      </w:pPr>
    </w:lvl>
    <w:lvl w:ilvl="1" w:tplc="E292952E">
      <w:start w:val="1"/>
      <w:numFmt w:val="lowerLetter"/>
      <w:lvlText w:val="%2."/>
      <w:lvlJc w:val="left"/>
      <w:pPr>
        <w:ind w:left="1440" w:hanging="360"/>
      </w:pPr>
    </w:lvl>
    <w:lvl w:ilvl="2" w:tplc="B02E6AC0">
      <w:start w:val="1"/>
      <w:numFmt w:val="lowerRoman"/>
      <w:lvlText w:val="%3."/>
      <w:lvlJc w:val="right"/>
      <w:pPr>
        <w:ind w:left="2160" w:hanging="180"/>
      </w:pPr>
    </w:lvl>
    <w:lvl w:ilvl="3" w:tplc="DE1442FC">
      <w:start w:val="1"/>
      <w:numFmt w:val="decimal"/>
      <w:lvlText w:val="%4."/>
      <w:lvlJc w:val="left"/>
      <w:pPr>
        <w:ind w:left="2880" w:hanging="360"/>
      </w:pPr>
    </w:lvl>
    <w:lvl w:ilvl="4" w:tplc="15FCDB0C">
      <w:start w:val="1"/>
      <w:numFmt w:val="lowerLetter"/>
      <w:lvlText w:val="%5."/>
      <w:lvlJc w:val="left"/>
      <w:pPr>
        <w:ind w:left="3600" w:hanging="360"/>
      </w:pPr>
    </w:lvl>
    <w:lvl w:ilvl="5" w:tplc="FDFC4F5C">
      <w:start w:val="1"/>
      <w:numFmt w:val="lowerRoman"/>
      <w:lvlText w:val="%6."/>
      <w:lvlJc w:val="right"/>
      <w:pPr>
        <w:ind w:left="4320" w:hanging="180"/>
      </w:pPr>
    </w:lvl>
    <w:lvl w:ilvl="6" w:tplc="0830861A">
      <w:start w:val="1"/>
      <w:numFmt w:val="decimal"/>
      <w:lvlText w:val="%7."/>
      <w:lvlJc w:val="left"/>
      <w:pPr>
        <w:ind w:left="5040" w:hanging="360"/>
      </w:pPr>
    </w:lvl>
    <w:lvl w:ilvl="7" w:tplc="F752B628">
      <w:start w:val="1"/>
      <w:numFmt w:val="lowerLetter"/>
      <w:lvlText w:val="%8."/>
      <w:lvlJc w:val="left"/>
      <w:pPr>
        <w:ind w:left="5760" w:hanging="360"/>
      </w:pPr>
    </w:lvl>
    <w:lvl w:ilvl="8" w:tplc="8AE4BA10">
      <w:start w:val="1"/>
      <w:numFmt w:val="lowerRoman"/>
      <w:lvlText w:val="%9."/>
      <w:lvlJc w:val="right"/>
      <w:pPr>
        <w:ind w:left="6480" w:hanging="180"/>
      </w:pPr>
    </w:lvl>
  </w:abstractNum>
  <w:num w:numId="1">
    <w:abstractNumId w:val="22"/>
    <w:lvlOverride w:ilvl="0"/>
  </w:num>
  <w:num w:numId="2">
    <w:abstractNumId w:val="8"/>
  </w:num>
  <w:num w:numId="3">
    <w:abstractNumId w:val="20"/>
  </w:num>
  <w:num w:numId="4">
    <w:abstractNumId w:val="9"/>
  </w:num>
  <w:num w:numId="5">
    <w:abstractNumId w:val="13"/>
  </w:num>
  <w:num w:numId="6">
    <w:abstractNumId w:val="0"/>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26"/>
  </w:num>
  <w:num w:numId="11">
    <w:abstractNumId w:val="18"/>
  </w:num>
  <w:num w:numId="12">
    <w:abstractNumId w:val="2"/>
  </w:num>
  <w:num w:numId="13">
    <w:abstractNumId w:val="15"/>
  </w:num>
  <w:num w:numId="14">
    <w:abstractNumId w:val="21"/>
  </w:num>
  <w:num w:numId="15">
    <w:abstractNumId w:val="5"/>
  </w:num>
  <w:num w:numId="16">
    <w:abstractNumId w:val="23"/>
  </w:num>
  <w:num w:numId="17">
    <w:abstractNumId w:val="29"/>
  </w:num>
  <w:num w:numId="18">
    <w:abstractNumId w:val="27"/>
  </w:num>
  <w:num w:numId="19">
    <w:abstractNumId w:val="10"/>
  </w:num>
  <w:num w:numId="20">
    <w:abstractNumId w:val="1"/>
  </w:num>
  <w:num w:numId="21">
    <w:abstractNumId w:val="7"/>
  </w:num>
  <w:num w:numId="22">
    <w:abstractNumId w:val="12"/>
  </w:num>
  <w:num w:numId="23">
    <w:abstractNumId w:val="3"/>
  </w:num>
  <w:num w:numId="24">
    <w:abstractNumId w:val="25"/>
  </w:num>
  <w:num w:numId="25">
    <w:abstractNumId w:val="19"/>
  </w:num>
  <w:num w:numId="26">
    <w:abstractNumId w:val="17"/>
  </w:num>
  <w:num w:numId="27">
    <w:abstractNumId w:val="28"/>
  </w:num>
  <w:num w:numId="28">
    <w:abstractNumId w:val="6"/>
  </w:num>
  <w:num w:numId="29">
    <w:abstractNumId w:val="14"/>
  </w:num>
  <w:num w:numId="30">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4F6"/>
    <w:rsid w:val="00000F6A"/>
    <w:rsid w:val="0000144F"/>
    <w:rsid w:val="000027E4"/>
    <w:rsid w:val="0000559F"/>
    <w:rsid w:val="00007942"/>
    <w:rsid w:val="00011E08"/>
    <w:rsid w:val="000133E9"/>
    <w:rsid w:val="0001392A"/>
    <w:rsid w:val="00013A79"/>
    <w:rsid w:val="000147F4"/>
    <w:rsid w:val="00014902"/>
    <w:rsid w:val="00016F3D"/>
    <w:rsid w:val="00020103"/>
    <w:rsid w:val="000203FE"/>
    <w:rsid w:val="00020464"/>
    <w:rsid w:val="00020577"/>
    <w:rsid w:val="00021F78"/>
    <w:rsid w:val="000229C9"/>
    <w:rsid w:val="000243B4"/>
    <w:rsid w:val="000244B0"/>
    <w:rsid w:val="00024CF6"/>
    <w:rsid w:val="0003177E"/>
    <w:rsid w:val="0003346F"/>
    <w:rsid w:val="000346B6"/>
    <w:rsid w:val="00035B5B"/>
    <w:rsid w:val="00036486"/>
    <w:rsid w:val="00041AE4"/>
    <w:rsid w:val="00042563"/>
    <w:rsid w:val="00042E3C"/>
    <w:rsid w:val="00044C39"/>
    <w:rsid w:val="00044F50"/>
    <w:rsid w:val="00045135"/>
    <w:rsid w:val="00050B59"/>
    <w:rsid w:val="00055488"/>
    <w:rsid w:val="0005632C"/>
    <w:rsid w:val="00063963"/>
    <w:rsid w:val="0006508A"/>
    <w:rsid w:val="00065C00"/>
    <w:rsid w:val="00067326"/>
    <w:rsid w:val="00067B36"/>
    <w:rsid w:val="0007115A"/>
    <w:rsid w:val="00071215"/>
    <w:rsid w:val="00073D15"/>
    <w:rsid w:val="00075ACB"/>
    <w:rsid w:val="00077CB2"/>
    <w:rsid w:val="00081F6C"/>
    <w:rsid w:val="00094462"/>
    <w:rsid w:val="0009555A"/>
    <w:rsid w:val="000970B0"/>
    <w:rsid w:val="000973C8"/>
    <w:rsid w:val="000A10CF"/>
    <w:rsid w:val="000A2AA9"/>
    <w:rsid w:val="000A301B"/>
    <w:rsid w:val="000A34EA"/>
    <w:rsid w:val="000A3B5D"/>
    <w:rsid w:val="000A527F"/>
    <w:rsid w:val="000A56F2"/>
    <w:rsid w:val="000A634C"/>
    <w:rsid w:val="000A668F"/>
    <w:rsid w:val="000A6E05"/>
    <w:rsid w:val="000B05EB"/>
    <w:rsid w:val="000B0D22"/>
    <w:rsid w:val="000B12FA"/>
    <w:rsid w:val="000B1740"/>
    <w:rsid w:val="000B1B29"/>
    <w:rsid w:val="000B213A"/>
    <w:rsid w:val="000B5E58"/>
    <w:rsid w:val="000B66A3"/>
    <w:rsid w:val="000C06DB"/>
    <w:rsid w:val="000C08BF"/>
    <w:rsid w:val="000C09A3"/>
    <w:rsid w:val="000C3B9A"/>
    <w:rsid w:val="000C4C26"/>
    <w:rsid w:val="000C56CA"/>
    <w:rsid w:val="000C65E1"/>
    <w:rsid w:val="000C6DFB"/>
    <w:rsid w:val="000D0D2E"/>
    <w:rsid w:val="000D25A8"/>
    <w:rsid w:val="000D67AE"/>
    <w:rsid w:val="000D6FD1"/>
    <w:rsid w:val="000E270A"/>
    <w:rsid w:val="000E4C53"/>
    <w:rsid w:val="000F2CD8"/>
    <w:rsid w:val="000F4713"/>
    <w:rsid w:val="000F6224"/>
    <w:rsid w:val="000F6239"/>
    <w:rsid w:val="000F6809"/>
    <w:rsid w:val="00101729"/>
    <w:rsid w:val="00102255"/>
    <w:rsid w:val="00103CCF"/>
    <w:rsid w:val="00105A82"/>
    <w:rsid w:val="00105C67"/>
    <w:rsid w:val="00111638"/>
    <w:rsid w:val="00111D3B"/>
    <w:rsid w:val="00114012"/>
    <w:rsid w:val="00114AE6"/>
    <w:rsid w:val="00117168"/>
    <w:rsid w:val="00121089"/>
    <w:rsid w:val="00124E77"/>
    <w:rsid w:val="00126572"/>
    <w:rsid w:val="001265F1"/>
    <w:rsid w:val="00127C89"/>
    <w:rsid w:val="00130EA2"/>
    <w:rsid w:val="00133118"/>
    <w:rsid w:val="00134E14"/>
    <w:rsid w:val="001355B8"/>
    <w:rsid w:val="00135D4F"/>
    <w:rsid w:val="00135E45"/>
    <w:rsid w:val="00136006"/>
    <w:rsid w:val="00136D5D"/>
    <w:rsid w:val="00137450"/>
    <w:rsid w:val="00137750"/>
    <w:rsid w:val="001464EB"/>
    <w:rsid w:val="00146998"/>
    <w:rsid w:val="00146A7E"/>
    <w:rsid w:val="00146FD9"/>
    <w:rsid w:val="0014763D"/>
    <w:rsid w:val="00150284"/>
    <w:rsid w:val="00150850"/>
    <w:rsid w:val="00150A62"/>
    <w:rsid w:val="00151418"/>
    <w:rsid w:val="00151B79"/>
    <w:rsid w:val="001522B8"/>
    <w:rsid w:val="00153E26"/>
    <w:rsid w:val="001574CE"/>
    <w:rsid w:val="0016090C"/>
    <w:rsid w:val="00161864"/>
    <w:rsid w:val="00163F48"/>
    <w:rsid w:val="00170A83"/>
    <w:rsid w:val="00172902"/>
    <w:rsid w:val="00173113"/>
    <w:rsid w:val="00176821"/>
    <w:rsid w:val="00180153"/>
    <w:rsid w:val="001803B7"/>
    <w:rsid w:val="00181DB9"/>
    <w:rsid w:val="00186796"/>
    <w:rsid w:val="00190C58"/>
    <w:rsid w:val="001922C8"/>
    <w:rsid w:val="00192F91"/>
    <w:rsid w:val="001930B8"/>
    <w:rsid w:val="00193947"/>
    <w:rsid w:val="001939D4"/>
    <w:rsid w:val="001948E1"/>
    <w:rsid w:val="001A0478"/>
    <w:rsid w:val="001A344C"/>
    <w:rsid w:val="001A3E99"/>
    <w:rsid w:val="001A5D36"/>
    <w:rsid w:val="001B0FB5"/>
    <w:rsid w:val="001B1380"/>
    <w:rsid w:val="001B293B"/>
    <w:rsid w:val="001B29B5"/>
    <w:rsid w:val="001B2C9E"/>
    <w:rsid w:val="001C13A2"/>
    <w:rsid w:val="001C1F81"/>
    <w:rsid w:val="001C363F"/>
    <w:rsid w:val="001C42E0"/>
    <w:rsid w:val="001C4C17"/>
    <w:rsid w:val="001C576D"/>
    <w:rsid w:val="001C5CAD"/>
    <w:rsid w:val="001C5D76"/>
    <w:rsid w:val="001D0217"/>
    <w:rsid w:val="001D098E"/>
    <w:rsid w:val="001D28E1"/>
    <w:rsid w:val="001D30F3"/>
    <w:rsid w:val="001D3C2C"/>
    <w:rsid w:val="001D3FAC"/>
    <w:rsid w:val="001D4313"/>
    <w:rsid w:val="001D5964"/>
    <w:rsid w:val="001D5D27"/>
    <w:rsid w:val="001D6D1C"/>
    <w:rsid w:val="001E1527"/>
    <w:rsid w:val="001E2A62"/>
    <w:rsid w:val="001E3BCA"/>
    <w:rsid w:val="001E6653"/>
    <w:rsid w:val="001E7B42"/>
    <w:rsid w:val="001F24CD"/>
    <w:rsid w:val="001F2819"/>
    <w:rsid w:val="001F3AC0"/>
    <w:rsid w:val="001F40FC"/>
    <w:rsid w:val="001F4408"/>
    <w:rsid w:val="001F551B"/>
    <w:rsid w:val="00200ABA"/>
    <w:rsid w:val="00200EC3"/>
    <w:rsid w:val="002043EC"/>
    <w:rsid w:val="00204B17"/>
    <w:rsid w:val="002075B6"/>
    <w:rsid w:val="00207690"/>
    <w:rsid w:val="0021636D"/>
    <w:rsid w:val="00217A9D"/>
    <w:rsid w:val="002305DB"/>
    <w:rsid w:val="00230CC3"/>
    <w:rsid w:val="00231291"/>
    <w:rsid w:val="00231E40"/>
    <w:rsid w:val="00233EA9"/>
    <w:rsid w:val="0023422A"/>
    <w:rsid w:val="002342E9"/>
    <w:rsid w:val="00235ADA"/>
    <w:rsid w:val="002378F2"/>
    <w:rsid w:val="0023794F"/>
    <w:rsid w:val="002433B6"/>
    <w:rsid w:val="00243C81"/>
    <w:rsid w:val="00243DC0"/>
    <w:rsid w:val="00244EC1"/>
    <w:rsid w:val="00245B70"/>
    <w:rsid w:val="00247477"/>
    <w:rsid w:val="00251444"/>
    <w:rsid w:val="00253488"/>
    <w:rsid w:val="00255EC4"/>
    <w:rsid w:val="002604EA"/>
    <w:rsid w:val="0026333C"/>
    <w:rsid w:val="00266BE9"/>
    <w:rsid w:val="00270440"/>
    <w:rsid w:val="00271581"/>
    <w:rsid w:val="00272AE1"/>
    <w:rsid w:val="002734AE"/>
    <w:rsid w:val="002765FA"/>
    <w:rsid w:val="002807DA"/>
    <w:rsid w:val="00281570"/>
    <w:rsid w:val="002829DE"/>
    <w:rsid w:val="00286B20"/>
    <w:rsid w:val="00287BC5"/>
    <w:rsid w:val="00287C99"/>
    <w:rsid w:val="00293DEE"/>
    <w:rsid w:val="00294E1B"/>
    <w:rsid w:val="00295094"/>
    <w:rsid w:val="002A0B5D"/>
    <w:rsid w:val="002A2AA4"/>
    <w:rsid w:val="002A372C"/>
    <w:rsid w:val="002A3AB3"/>
    <w:rsid w:val="002A59E3"/>
    <w:rsid w:val="002A6483"/>
    <w:rsid w:val="002A781B"/>
    <w:rsid w:val="002B157D"/>
    <w:rsid w:val="002B30CE"/>
    <w:rsid w:val="002B398C"/>
    <w:rsid w:val="002C07D7"/>
    <w:rsid w:val="002C08FE"/>
    <w:rsid w:val="002C10D8"/>
    <w:rsid w:val="002C2C8D"/>
    <w:rsid w:val="002C2DC9"/>
    <w:rsid w:val="002C465C"/>
    <w:rsid w:val="002C6018"/>
    <w:rsid w:val="002C7FE9"/>
    <w:rsid w:val="002D0DC5"/>
    <w:rsid w:val="002D2A07"/>
    <w:rsid w:val="002D4EFD"/>
    <w:rsid w:val="002D798E"/>
    <w:rsid w:val="002E0C2C"/>
    <w:rsid w:val="002E247D"/>
    <w:rsid w:val="002E3638"/>
    <w:rsid w:val="002E36B3"/>
    <w:rsid w:val="002E5359"/>
    <w:rsid w:val="002E6220"/>
    <w:rsid w:val="002F0BD8"/>
    <w:rsid w:val="002F4F07"/>
    <w:rsid w:val="002F7312"/>
    <w:rsid w:val="00304A75"/>
    <w:rsid w:val="00305F33"/>
    <w:rsid w:val="00307326"/>
    <w:rsid w:val="0031114F"/>
    <w:rsid w:val="003131B9"/>
    <w:rsid w:val="00313A93"/>
    <w:rsid w:val="00313E80"/>
    <w:rsid w:val="003141BF"/>
    <w:rsid w:val="00315A97"/>
    <w:rsid w:val="00316071"/>
    <w:rsid w:val="00317667"/>
    <w:rsid w:val="00317CB0"/>
    <w:rsid w:val="0031C713"/>
    <w:rsid w:val="00320C09"/>
    <w:rsid w:val="00321581"/>
    <w:rsid w:val="00323428"/>
    <w:rsid w:val="00323CE1"/>
    <w:rsid w:val="0032446C"/>
    <w:rsid w:val="00326C69"/>
    <w:rsid w:val="00327593"/>
    <w:rsid w:val="003302E7"/>
    <w:rsid w:val="003319AE"/>
    <w:rsid w:val="00331BE1"/>
    <w:rsid w:val="00332A93"/>
    <w:rsid w:val="00332AD6"/>
    <w:rsid w:val="00342830"/>
    <w:rsid w:val="00343E5C"/>
    <w:rsid w:val="00344FB8"/>
    <w:rsid w:val="003463E8"/>
    <w:rsid w:val="0035074E"/>
    <w:rsid w:val="003525F6"/>
    <w:rsid w:val="00352C01"/>
    <w:rsid w:val="00353714"/>
    <w:rsid w:val="00354B9E"/>
    <w:rsid w:val="0036017B"/>
    <w:rsid w:val="00360AB5"/>
    <w:rsid w:val="003615B5"/>
    <w:rsid w:val="00361946"/>
    <w:rsid w:val="00362755"/>
    <w:rsid w:val="0036503A"/>
    <w:rsid w:val="00365299"/>
    <w:rsid w:val="0036572C"/>
    <w:rsid w:val="00366821"/>
    <w:rsid w:val="003668EF"/>
    <w:rsid w:val="00367827"/>
    <w:rsid w:val="0036788A"/>
    <w:rsid w:val="003703F4"/>
    <w:rsid w:val="00373B93"/>
    <w:rsid w:val="00380272"/>
    <w:rsid w:val="00380CD1"/>
    <w:rsid w:val="00384A2B"/>
    <w:rsid w:val="00386832"/>
    <w:rsid w:val="00387F6F"/>
    <w:rsid w:val="0039143B"/>
    <w:rsid w:val="00395603"/>
    <w:rsid w:val="00396EA0"/>
    <w:rsid w:val="00397659"/>
    <w:rsid w:val="003A38F0"/>
    <w:rsid w:val="003A4295"/>
    <w:rsid w:val="003A4BAF"/>
    <w:rsid w:val="003B0BAC"/>
    <w:rsid w:val="003B10BE"/>
    <w:rsid w:val="003B28E7"/>
    <w:rsid w:val="003B7E62"/>
    <w:rsid w:val="003C0437"/>
    <w:rsid w:val="003C0DE0"/>
    <w:rsid w:val="003C1041"/>
    <w:rsid w:val="003C1F30"/>
    <w:rsid w:val="003C6C2A"/>
    <w:rsid w:val="003C77C2"/>
    <w:rsid w:val="003D0BA9"/>
    <w:rsid w:val="003D3891"/>
    <w:rsid w:val="003D649E"/>
    <w:rsid w:val="003E0305"/>
    <w:rsid w:val="003E0B3D"/>
    <w:rsid w:val="003E41D6"/>
    <w:rsid w:val="003E4F3E"/>
    <w:rsid w:val="003E632F"/>
    <w:rsid w:val="003F069A"/>
    <w:rsid w:val="003F09E0"/>
    <w:rsid w:val="003F24F6"/>
    <w:rsid w:val="003F3114"/>
    <w:rsid w:val="003F358D"/>
    <w:rsid w:val="003F40FF"/>
    <w:rsid w:val="003F4329"/>
    <w:rsid w:val="003F7B66"/>
    <w:rsid w:val="00403010"/>
    <w:rsid w:val="0040467A"/>
    <w:rsid w:val="004054FF"/>
    <w:rsid w:val="00410DB2"/>
    <w:rsid w:val="00412534"/>
    <w:rsid w:val="00412C83"/>
    <w:rsid w:val="00414273"/>
    <w:rsid w:val="004157BE"/>
    <w:rsid w:val="00420C46"/>
    <w:rsid w:val="00423F59"/>
    <w:rsid w:val="00426014"/>
    <w:rsid w:val="004261C3"/>
    <w:rsid w:val="00430DC0"/>
    <w:rsid w:val="00432B6B"/>
    <w:rsid w:val="004346AD"/>
    <w:rsid w:val="00435EC2"/>
    <w:rsid w:val="00436C0C"/>
    <w:rsid w:val="00437AFA"/>
    <w:rsid w:val="0043D716"/>
    <w:rsid w:val="00442231"/>
    <w:rsid w:val="004422E3"/>
    <w:rsid w:val="0044617E"/>
    <w:rsid w:val="00446A4E"/>
    <w:rsid w:val="004470AB"/>
    <w:rsid w:val="00448A77"/>
    <w:rsid w:val="004525E2"/>
    <w:rsid w:val="00454C8F"/>
    <w:rsid w:val="00454DE3"/>
    <w:rsid w:val="00457606"/>
    <w:rsid w:val="00457715"/>
    <w:rsid w:val="00460B7D"/>
    <w:rsid w:val="0046606F"/>
    <w:rsid w:val="00466AEE"/>
    <w:rsid w:val="004722FD"/>
    <w:rsid w:val="00472341"/>
    <w:rsid w:val="004730F5"/>
    <w:rsid w:val="004746CC"/>
    <w:rsid w:val="0047538D"/>
    <w:rsid w:val="00480B2E"/>
    <w:rsid w:val="00480CB0"/>
    <w:rsid w:val="00482B69"/>
    <w:rsid w:val="00483266"/>
    <w:rsid w:val="00483783"/>
    <w:rsid w:val="00485B73"/>
    <w:rsid w:val="00485F5C"/>
    <w:rsid w:val="00490618"/>
    <w:rsid w:val="00491B1D"/>
    <w:rsid w:val="00494102"/>
    <w:rsid w:val="00494623"/>
    <w:rsid w:val="004A0949"/>
    <w:rsid w:val="004A0CF7"/>
    <w:rsid w:val="004A2059"/>
    <w:rsid w:val="004A4E9A"/>
    <w:rsid w:val="004A5E73"/>
    <w:rsid w:val="004A7FD9"/>
    <w:rsid w:val="004B34EA"/>
    <w:rsid w:val="004B5494"/>
    <w:rsid w:val="004B5DE1"/>
    <w:rsid w:val="004B6C38"/>
    <w:rsid w:val="004C07C9"/>
    <w:rsid w:val="004C1CC5"/>
    <w:rsid w:val="004C21CA"/>
    <w:rsid w:val="004C3BEF"/>
    <w:rsid w:val="004C4B27"/>
    <w:rsid w:val="004C4CAE"/>
    <w:rsid w:val="004C6299"/>
    <w:rsid w:val="004C7932"/>
    <w:rsid w:val="004C7A2B"/>
    <w:rsid w:val="004C7D3A"/>
    <w:rsid w:val="004D1BC5"/>
    <w:rsid w:val="004D3425"/>
    <w:rsid w:val="004D4DDD"/>
    <w:rsid w:val="004D77EB"/>
    <w:rsid w:val="004E15BD"/>
    <w:rsid w:val="004E6A19"/>
    <w:rsid w:val="004E6EF2"/>
    <w:rsid w:val="004F0E6A"/>
    <w:rsid w:val="004F1E06"/>
    <w:rsid w:val="004F6258"/>
    <w:rsid w:val="004F6725"/>
    <w:rsid w:val="005018A8"/>
    <w:rsid w:val="00501A2C"/>
    <w:rsid w:val="00501EBD"/>
    <w:rsid w:val="005033DA"/>
    <w:rsid w:val="00505A39"/>
    <w:rsid w:val="0050641D"/>
    <w:rsid w:val="00506E61"/>
    <w:rsid w:val="0051448D"/>
    <w:rsid w:val="005173C8"/>
    <w:rsid w:val="00520296"/>
    <w:rsid w:val="00521C6C"/>
    <w:rsid w:val="00523C82"/>
    <w:rsid w:val="005240BF"/>
    <w:rsid w:val="005257A2"/>
    <w:rsid w:val="0052617C"/>
    <w:rsid w:val="00533225"/>
    <w:rsid w:val="00535C3A"/>
    <w:rsid w:val="00536A97"/>
    <w:rsid w:val="0053EA5B"/>
    <w:rsid w:val="005403DB"/>
    <w:rsid w:val="00543C0A"/>
    <w:rsid w:val="0054654D"/>
    <w:rsid w:val="005473F1"/>
    <w:rsid w:val="00547A93"/>
    <w:rsid w:val="005515C2"/>
    <w:rsid w:val="00551DB8"/>
    <w:rsid w:val="00552D69"/>
    <w:rsid w:val="005532FA"/>
    <w:rsid w:val="00554420"/>
    <w:rsid w:val="00555AE7"/>
    <w:rsid w:val="005571FF"/>
    <w:rsid w:val="0056184F"/>
    <w:rsid w:val="005632A2"/>
    <w:rsid w:val="00563305"/>
    <w:rsid w:val="005653F4"/>
    <w:rsid w:val="00565605"/>
    <w:rsid w:val="005666D8"/>
    <w:rsid w:val="005669C7"/>
    <w:rsid w:val="00571633"/>
    <w:rsid w:val="00573C9C"/>
    <w:rsid w:val="00573E04"/>
    <w:rsid w:val="00574116"/>
    <w:rsid w:val="0057540E"/>
    <w:rsid w:val="0057551D"/>
    <w:rsid w:val="00580FA5"/>
    <w:rsid w:val="00582693"/>
    <w:rsid w:val="0058334F"/>
    <w:rsid w:val="00585390"/>
    <w:rsid w:val="00587B0F"/>
    <w:rsid w:val="0059295C"/>
    <w:rsid w:val="00592A45"/>
    <w:rsid w:val="005939A5"/>
    <w:rsid w:val="005942D2"/>
    <w:rsid w:val="00597A11"/>
    <w:rsid w:val="005A148C"/>
    <w:rsid w:val="005A4314"/>
    <w:rsid w:val="005B322B"/>
    <w:rsid w:val="005B3BFA"/>
    <w:rsid w:val="005B3E4A"/>
    <w:rsid w:val="005B44B7"/>
    <w:rsid w:val="005C14DA"/>
    <w:rsid w:val="005C3DF4"/>
    <w:rsid w:val="005C58FA"/>
    <w:rsid w:val="005C7544"/>
    <w:rsid w:val="005D1762"/>
    <w:rsid w:val="005D2C16"/>
    <w:rsid w:val="005D3074"/>
    <w:rsid w:val="005D3627"/>
    <w:rsid w:val="005D4BA1"/>
    <w:rsid w:val="005D6ED8"/>
    <w:rsid w:val="005D7B87"/>
    <w:rsid w:val="005E51F8"/>
    <w:rsid w:val="005F0BB8"/>
    <w:rsid w:val="005F3682"/>
    <w:rsid w:val="005F3993"/>
    <w:rsid w:val="005F547F"/>
    <w:rsid w:val="00603884"/>
    <w:rsid w:val="00605941"/>
    <w:rsid w:val="00606181"/>
    <w:rsid w:val="0061096E"/>
    <w:rsid w:val="0061391F"/>
    <w:rsid w:val="00616E88"/>
    <w:rsid w:val="00621DAE"/>
    <w:rsid w:val="00623C04"/>
    <w:rsid w:val="0062743B"/>
    <w:rsid w:val="00632207"/>
    <w:rsid w:val="00632D71"/>
    <w:rsid w:val="00633B20"/>
    <w:rsid w:val="0063491C"/>
    <w:rsid w:val="0063610E"/>
    <w:rsid w:val="0064193F"/>
    <w:rsid w:val="00642D6F"/>
    <w:rsid w:val="006444F3"/>
    <w:rsid w:val="00645571"/>
    <w:rsid w:val="00647953"/>
    <w:rsid w:val="00660E71"/>
    <w:rsid w:val="0066198F"/>
    <w:rsid w:val="00661AFE"/>
    <w:rsid w:val="00661FF8"/>
    <w:rsid w:val="00662942"/>
    <w:rsid w:val="0066381E"/>
    <w:rsid w:val="00664805"/>
    <w:rsid w:val="00666609"/>
    <w:rsid w:val="006673A9"/>
    <w:rsid w:val="00670DAF"/>
    <w:rsid w:val="0067173E"/>
    <w:rsid w:val="00671D88"/>
    <w:rsid w:val="00672E5A"/>
    <w:rsid w:val="00674729"/>
    <w:rsid w:val="0067631B"/>
    <w:rsid w:val="00676868"/>
    <w:rsid w:val="00676E42"/>
    <w:rsid w:val="0067701E"/>
    <w:rsid w:val="006774DC"/>
    <w:rsid w:val="00680F19"/>
    <w:rsid w:val="0068426C"/>
    <w:rsid w:val="00684F3E"/>
    <w:rsid w:val="00685981"/>
    <w:rsid w:val="006871CD"/>
    <w:rsid w:val="0069516F"/>
    <w:rsid w:val="006957DB"/>
    <w:rsid w:val="00696258"/>
    <w:rsid w:val="006A010F"/>
    <w:rsid w:val="006A13C8"/>
    <w:rsid w:val="006A2171"/>
    <w:rsid w:val="006A37D9"/>
    <w:rsid w:val="006B5093"/>
    <w:rsid w:val="006B61FA"/>
    <w:rsid w:val="006B6E6B"/>
    <w:rsid w:val="006B6FB8"/>
    <w:rsid w:val="006B7090"/>
    <w:rsid w:val="006C1F10"/>
    <w:rsid w:val="006C261A"/>
    <w:rsid w:val="006C2924"/>
    <w:rsid w:val="006C4162"/>
    <w:rsid w:val="006C5155"/>
    <w:rsid w:val="006D0F8C"/>
    <w:rsid w:val="006D1CA3"/>
    <w:rsid w:val="006D489A"/>
    <w:rsid w:val="006E2FC2"/>
    <w:rsid w:val="006E5E28"/>
    <w:rsid w:val="006E6574"/>
    <w:rsid w:val="006F1514"/>
    <w:rsid w:val="006F3AEC"/>
    <w:rsid w:val="006F476A"/>
    <w:rsid w:val="006F4E76"/>
    <w:rsid w:val="006F5F1A"/>
    <w:rsid w:val="0070300A"/>
    <w:rsid w:val="00703957"/>
    <w:rsid w:val="00704C66"/>
    <w:rsid w:val="00707D7D"/>
    <w:rsid w:val="007101B8"/>
    <w:rsid w:val="007136E0"/>
    <w:rsid w:val="007136F9"/>
    <w:rsid w:val="007149E8"/>
    <w:rsid w:val="00714CF2"/>
    <w:rsid w:val="00715473"/>
    <w:rsid w:val="007156B9"/>
    <w:rsid w:val="0071670E"/>
    <w:rsid w:val="00720817"/>
    <w:rsid w:val="00721A39"/>
    <w:rsid w:val="00722850"/>
    <w:rsid w:val="00722999"/>
    <w:rsid w:val="00722E39"/>
    <w:rsid w:val="007231FF"/>
    <w:rsid w:val="00724D0D"/>
    <w:rsid w:val="00726007"/>
    <w:rsid w:val="00732F28"/>
    <w:rsid w:val="0073353F"/>
    <w:rsid w:val="0073412B"/>
    <w:rsid w:val="00734133"/>
    <w:rsid w:val="00734934"/>
    <w:rsid w:val="007351B3"/>
    <w:rsid w:val="0073538E"/>
    <w:rsid w:val="00735A91"/>
    <w:rsid w:val="00736D23"/>
    <w:rsid w:val="0073725A"/>
    <w:rsid w:val="007375CD"/>
    <w:rsid w:val="00741859"/>
    <w:rsid w:val="0074188E"/>
    <w:rsid w:val="00741C46"/>
    <w:rsid w:val="007421D7"/>
    <w:rsid w:val="00742819"/>
    <w:rsid w:val="00742E45"/>
    <w:rsid w:val="007447AF"/>
    <w:rsid w:val="00744A27"/>
    <w:rsid w:val="0074789C"/>
    <w:rsid w:val="00747FAB"/>
    <w:rsid w:val="007505A8"/>
    <w:rsid w:val="00750816"/>
    <w:rsid w:val="0075229A"/>
    <w:rsid w:val="00754625"/>
    <w:rsid w:val="00755B94"/>
    <w:rsid w:val="00760656"/>
    <w:rsid w:val="00761B8B"/>
    <w:rsid w:val="00761EB1"/>
    <w:rsid w:val="00761F23"/>
    <w:rsid w:val="007629BD"/>
    <w:rsid w:val="0076379A"/>
    <w:rsid w:val="007645AF"/>
    <w:rsid w:val="007657C1"/>
    <w:rsid w:val="00766547"/>
    <w:rsid w:val="0076683A"/>
    <w:rsid w:val="0076752B"/>
    <w:rsid w:val="00767DA9"/>
    <w:rsid w:val="00771136"/>
    <w:rsid w:val="00772166"/>
    <w:rsid w:val="00773FDF"/>
    <w:rsid w:val="00774D8D"/>
    <w:rsid w:val="007753A4"/>
    <w:rsid w:val="00775D60"/>
    <w:rsid w:val="007762A2"/>
    <w:rsid w:val="007770FA"/>
    <w:rsid w:val="0077755F"/>
    <w:rsid w:val="00780814"/>
    <w:rsid w:val="00780CA5"/>
    <w:rsid w:val="00786076"/>
    <w:rsid w:val="0078607F"/>
    <w:rsid w:val="00786276"/>
    <w:rsid w:val="0078777C"/>
    <w:rsid w:val="00791276"/>
    <w:rsid w:val="007914F8"/>
    <w:rsid w:val="00793079"/>
    <w:rsid w:val="007940E5"/>
    <w:rsid w:val="0079424B"/>
    <w:rsid w:val="007962AC"/>
    <w:rsid w:val="007A00A6"/>
    <w:rsid w:val="007A09EE"/>
    <w:rsid w:val="007A1859"/>
    <w:rsid w:val="007A3407"/>
    <w:rsid w:val="007A3E2C"/>
    <w:rsid w:val="007A406D"/>
    <w:rsid w:val="007A62B0"/>
    <w:rsid w:val="007A63A8"/>
    <w:rsid w:val="007B0677"/>
    <w:rsid w:val="007B0B01"/>
    <w:rsid w:val="007B24CA"/>
    <w:rsid w:val="007B3FC6"/>
    <w:rsid w:val="007B4FD1"/>
    <w:rsid w:val="007B507C"/>
    <w:rsid w:val="007B5F23"/>
    <w:rsid w:val="007B7AB0"/>
    <w:rsid w:val="007C1AE5"/>
    <w:rsid w:val="007C35B8"/>
    <w:rsid w:val="007C50A3"/>
    <w:rsid w:val="007C5A0C"/>
    <w:rsid w:val="007C5A21"/>
    <w:rsid w:val="007C791E"/>
    <w:rsid w:val="007C7D9F"/>
    <w:rsid w:val="007D0D0C"/>
    <w:rsid w:val="007D208E"/>
    <w:rsid w:val="007D47F5"/>
    <w:rsid w:val="007E04E6"/>
    <w:rsid w:val="007E0FEE"/>
    <w:rsid w:val="007E4E51"/>
    <w:rsid w:val="007E6091"/>
    <w:rsid w:val="007F0213"/>
    <w:rsid w:val="007F0710"/>
    <w:rsid w:val="007F1A8F"/>
    <w:rsid w:val="007F2017"/>
    <w:rsid w:val="007F43FB"/>
    <w:rsid w:val="007F44B0"/>
    <w:rsid w:val="007F71A0"/>
    <w:rsid w:val="007F720A"/>
    <w:rsid w:val="007F7BA7"/>
    <w:rsid w:val="008013F0"/>
    <w:rsid w:val="00806698"/>
    <w:rsid w:val="00807578"/>
    <w:rsid w:val="00810544"/>
    <w:rsid w:val="008112EB"/>
    <w:rsid w:val="008159CF"/>
    <w:rsid w:val="00816E05"/>
    <w:rsid w:val="008171CB"/>
    <w:rsid w:val="0082087A"/>
    <w:rsid w:val="008220C8"/>
    <w:rsid w:val="00822448"/>
    <w:rsid w:val="008229F7"/>
    <w:rsid w:val="00824552"/>
    <w:rsid w:val="008245CB"/>
    <w:rsid w:val="0082486C"/>
    <w:rsid w:val="0083058C"/>
    <w:rsid w:val="00830EFA"/>
    <w:rsid w:val="00831F99"/>
    <w:rsid w:val="008339BB"/>
    <w:rsid w:val="00834815"/>
    <w:rsid w:val="00834918"/>
    <w:rsid w:val="008349F0"/>
    <w:rsid w:val="00836D99"/>
    <w:rsid w:val="00836DFF"/>
    <w:rsid w:val="00837A0C"/>
    <w:rsid w:val="00841F70"/>
    <w:rsid w:val="0084246A"/>
    <w:rsid w:val="0084275F"/>
    <w:rsid w:val="00842C9D"/>
    <w:rsid w:val="00844415"/>
    <w:rsid w:val="00844DA6"/>
    <w:rsid w:val="00850F9A"/>
    <w:rsid w:val="008524E2"/>
    <w:rsid w:val="00852B30"/>
    <w:rsid w:val="00857083"/>
    <w:rsid w:val="00860288"/>
    <w:rsid w:val="0086419A"/>
    <w:rsid w:val="00867280"/>
    <w:rsid w:val="0087023B"/>
    <w:rsid w:val="00871268"/>
    <w:rsid w:val="008714C9"/>
    <w:rsid w:val="008770B6"/>
    <w:rsid w:val="0087712F"/>
    <w:rsid w:val="00880175"/>
    <w:rsid w:val="008834FB"/>
    <w:rsid w:val="00884FB4"/>
    <w:rsid w:val="00886B47"/>
    <w:rsid w:val="00887B1A"/>
    <w:rsid w:val="00887E78"/>
    <w:rsid w:val="00890DCC"/>
    <w:rsid w:val="00890F98"/>
    <w:rsid w:val="008968DA"/>
    <w:rsid w:val="00897C4A"/>
    <w:rsid w:val="008A0DCD"/>
    <w:rsid w:val="008A0E6E"/>
    <w:rsid w:val="008A179F"/>
    <w:rsid w:val="008A20A4"/>
    <w:rsid w:val="008A45CC"/>
    <w:rsid w:val="008A4FC9"/>
    <w:rsid w:val="008B0864"/>
    <w:rsid w:val="008B0A59"/>
    <w:rsid w:val="008B4D0B"/>
    <w:rsid w:val="008B5217"/>
    <w:rsid w:val="008C07F1"/>
    <w:rsid w:val="008C1143"/>
    <w:rsid w:val="008C188B"/>
    <w:rsid w:val="008C2FC4"/>
    <w:rsid w:val="008C4688"/>
    <w:rsid w:val="008C7413"/>
    <w:rsid w:val="008D16B7"/>
    <w:rsid w:val="008D51BB"/>
    <w:rsid w:val="008D536C"/>
    <w:rsid w:val="008D6244"/>
    <w:rsid w:val="008D7781"/>
    <w:rsid w:val="008E0A26"/>
    <w:rsid w:val="008E4AF5"/>
    <w:rsid w:val="008E6AE6"/>
    <w:rsid w:val="008E78DA"/>
    <w:rsid w:val="008F0116"/>
    <w:rsid w:val="008F143D"/>
    <w:rsid w:val="008F1E23"/>
    <w:rsid w:val="008F383C"/>
    <w:rsid w:val="008F4DD8"/>
    <w:rsid w:val="008F58E4"/>
    <w:rsid w:val="008F68C9"/>
    <w:rsid w:val="0090359C"/>
    <w:rsid w:val="00905D59"/>
    <w:rsid w:val="009064F3"/>
    <w:rsid w:val="00911BCA"/>
    <w:rsid w:val="00912AC0"/>
    <w:rsid w:val="00914AB0"/>
    <w:rsid w:val="00914AF7"/>
    <w:rsid w:val="00920BA1"/>
    <w:rsid w:val="0092268E"/>
    <w:rsid w:val="00922E05"/>
    <w:rsid w:val="00925BFA"/>
    <w:rsid w:val="00927603"/>
    <w:rsid w:val="00930668"/>
    <w:rsid w:val="009308EC"/>
    <w:rsid w:val="00931FD8"/>
    <w:rsid w:val="00932865"/>
    <w:rsid w:val="00932E8B"/>
    <w:rsid w:val="0093381D"/>
    <w:rsid w:val="00933DE6"/>
    <w:rsid w:val="00934C19"/>
    <w:rsid w:val="00936CE6"/>
    <w:rsid w:val="00936F54"/>
    <w:rsid w:val="009371D2"/>
    <w:rsid w:val="009404C3"/>
    <w:rsid w:val="00941884"/>
    <w:rsid w:val="00944D62"/>
    <w:rsid w:val="00946714"/>
    <w:rsid w:val="00946F17"/>
    <w:rsid w:val="00947C0F"/>
    <w:rsid w:val="00955249"/>
    <w:rsid w:val="0096631D"/>
    <w:rsid w:val="00967925"/>
    <w:rsid w:val="0096C75E"/>
    <w:rsid w:val="009709DD"/>
    <w:rsid w:val="00972291"/>
    <w:rsid w:val="00973197"/>
    <w:rsid w:val="00973B58"/>
    <w:rsid w:val="0097770F"/>
    <w:rsid w:val="00980CD5"/>
    <w:rsid w:val="0098138E"/>
    <w:rsid w:val="00981D1B"/>
    <w:rsid w:val="009829E9"/>
    <w:rsid w:val="009849AB"/>
    <w:rsid w:val="00985619"/>
    <w:rsid w:val="0098655A"/>
    <w:rsid w:val="00986600"/>
    <w:rsid w:val="00991B18"/>
    <w:rsid w:val="00991FFC"/>
    <w:rsid w:val="00992A9A"/>
    <w:rsid w:val="009946D1"/>
    <w:rsid w:val="009973C6"/>
    <w:rsid w:val="009976B1"/>
    <w:rsid w:val="009A6A6D"/>
    <w:rsid w:val="009A6E36"/>
    <w:rsid w:val="009A7626"/>
    <w:rsid w:val="009B126C"/>
    <w:rsid w:val="009B1F55"/>
    <w:rsid w:val="009B330E"/>
    <w:rsid w:val="009B3BEE"/>
    <w:rsid w:val="009B544E"/>
    <w:rsid w:val="009B5F94"/>
    <w:rsid w:val="009C0E7F"/>
    <w:rsid w:val="009C15FA"/>
    <w:rsid w:val="009C1F81"/>
    <w:rsid w:val="009C425E"/>
    <w:rsid w:val="009C7D19"/>
    <w:rsid w:val="009C7E8F"/>
    <w:rsid w:val="009D1A4F"/>
    <w:rsid w:val="009D3AF5"/>
    <w:rsid w:val="009E0247"/>
    <w:rsid w:val="009E3634"/>
    <w:rsid w:val="009E6052"/>
    <w:rsid w:val="009E7C7F"/>
    <w:rsid w:val="009F23FF"/>
    <w:rsid w:val="009F3910"/>
    <w:rsid w:val="009F5BEA"/>
    <w:rsid w:val="009F6DF7"/>
    <w:rsid w:val="009F7E56"/>
    <w:rsid w:val="00A016AE"/>
    <w:rsid w:val="00A01FF3"/>
    <w:rsid w:val="00A021F1"/>
    <w:rsid w:val="00A02291"/>
    <w:rsid w:val="00A03F1F"/>
    <w:rsid w:val="00A043CD"/>
    <w:rsid w:val="00A0482E"/>
    <w:rsid w:val="00A05114"/>
    <w:rsid w:val="00A07D1F"/>
    <w:rsid w:val="00A1103F"/>
    <w:rsid w:val="00A13B31"/>
    <w:rsid w:val="00A17CE0"/>
    <w:rsid w:val="00A2346B"/>
    <w:rsid w:val="00A23D48"/>
    <w:rsid w:val="00A26E3C"/>
    <w:rsid w:val="00A33C1A"/>
    <w:rsid w:val="00A3404B"/>
    <w:rsid w:val="00A34D2A"/>
    <w:rsid w:val="00A34E13"/>
    <w:rsid w:val="00A35AC0"/>
    <w:rsid w:val="00A37203"/>
    <w:rsid w:val="00A40806"/>
    <w:rsid w:val="00A42306"/>
    <w:rsid w:val="00A42EE0"/>
    <w:rsid w:val="00A44E8D"/>
    <w:rsid w:val="00A45326"/>
    <w:rsid w:val="00A46EA8"/>
    <w:rsid w:val="00A51D45"/>
    <w:rsid w:val="00A52EF5"/>
    <w:rsid w:val="00A53CE9"/>
    <w:rsid w:val="00A54F2A"/>
    <w:rsid w:val="00A55ACD"/>
    <w:rsid w:val="00A606DC"/>
    <w:rsid w:val="00A62455"/>
    <w:rsid w:val="00A644C1"/>
    <w:rsid w:val="00A64B65"/>
    <w:rsid w:val="00A668AA"/>
    <w:rsid w:val="00A67A81"/>
    <w:rsid w:val="00A7040F"/>
    <w:rsid w:val="00A71884"/>
    <w:rsid w:val="00A73EC3"/>
    <w:rsid w:val="00A744CA"/>
    <w:rsid w:val="00A74BEA"/>
    <w:rsid w:val="00A76DED"/>
    <w:rsid w:val="00A85D27"/>
    <w:rsid w:val="00A8692D"/>
    <w:rsid w:val="00A91F07"/>
    <w:rsid w:val="00A922C3"/>
    <w:rsid w:val="00A92AF6"/>
    <w:rsid w:val="00A94CBB"/>
    <w:rsid w:val="00A94F58"/>
    <w:rsid w:val="00A952A1"/>
    <w:rsid w:val="00AA2258"/>
    <w:rsid w:val="00AA27FA"/>
    <w:rsid w:val="00AA3B30"/>
    <w:rsid w:val="00AA5DD5"/>
    <w:rsid w:val="00AA6750"/>
    <w:rsid w:val="00AB0267"/>
    <w:rsid w:val="00AB1FF4"/>
    <w:rsid w:val="00AB38BE"/>
    <w:rsid w:val="00AB4392"/>
    <w:rsid w:val="00AB4993"/>
    <w:rsid w:val="00AB7079"/>
    <w:rsid w:val="00AB7875"/>
    <w:rsid w:val="00AC14C8"/>
    <w:rsid w:val="00AC1603"/>
    <w:rsid w:val="00AC68EE"/>
    <w:rsid w:val="00AD07D0"/>
    <w:rsid w:val="00AD459B"/>
    <w:rsid w:val="00AE192B"/>
    <w:rsid w:val="00AE3A9E"/>
    <w:rsid w:val="00AE4052"/>
    <w:rsid w:val="00AE772C"/>
    <w:rsid w:val="00AE7B4A"/>
    <w:rsid w:val="00AE7BF1"/>
    <w:rsid w:val="00AF3F9B"/>
    <w:rsid w:val="00AF4821"/>
    <w:rsid w:val="00AF5146"/>
    <w:rsid w:val="00AF688D"/>
    <w:rsid w:val="00AF6B77"/>
    <w:rsid w:val="00B00DD5"/>
    <w:rsid w:val="00B01F7E"/>
    <w:rsid w:val="00B0372A"/>
    <w:rsid w:val="00B040A9"/>
    <w:rsid w:val="00B04964"/>
    <w:rsid w:val="00B05049"/>
    <w:rsid w:val="00B06555"/>
    <w:rsid w:val="00B0677F"/>
    <w:rsid w:val="00B12B68"/>
    <w:rsid w:val="00B1529C"/>
    <w:rsid w:val="00B163CE"/>
    <w:rsid w:val="00B167D4"/>
    <w:rsid w:val="00B16C2A"/>
    <w:rsid w:val="00B213C0"/>
    <w:rsid w:val="00B226D1"/>
    <w:rsid w:val="00B22F6F"/>
    <w:rsid w:val="00B23912"/>
    <w:rsid w:val="00B2505A"/>
    <w:rsid w:val="00B2695D"/>
    <w:rsid w:val="00B27F4F"/>
    <w:rsid w:val="00B3087D"/>
    <w:rsid w:val="00B3183B"/>
    <w:rsid w:val="00B33D70"/>
    <w:rsid w:val="00B34794"/>
    <w:rsid w:val="00B351B1"/>
    <w:rsid w:val="00B37144"/>
    <w:rsid w:val="00B43FE5"/>
    <w:rsid w:val="00B44536"/>
    <w:rsid w:val="00B50161"/>
    <w:rsid w:val="00B5044A"/>
    <w:rsid w:val="00B52C03"/>
    <w:rsid w:val="00B60421"/>
    <w:rsid w:val="00B60422"/>
    <w:rsid w:val="00B61D99"/>
    <w:rsid w:val="00B63B7B"/>
    <w:rsid w:val="00B67868"/>
    <w:rsid w:val="00B67A98"/>
    <w:rsid w:val="00B67FEB"/>
    <w:rsid w:val="00B7168D"/>
    <w:rsid w:val="00B75022"/>
    <w:rsid w:val="00B75C00"/>
    <w:rsid w:val="00B766F8"/>
    <w:rsid w:val="00B76BFE"/>
    <w:rsid w:val="00B77CDC"/>
    <w:rsid w:val="00B8060B"/>
    <w:rsid w:val="00B80C3C"/>
    <w:rsid w:val="00B81773"/>
    <w:rsid w:val="00B81EB6"/>
    <w:rsid w:val="00B8350E"/>
    <w:rsid w:val="00B85E42"/>
    <w:rsid w:val="00B87139"/>
    <w:rsid w:val="00B91993"/>
    <w:rsid w:val="00B9351C"/>
    <w:rsid w:val="00B954B2"/>
    <w:rsid w:val="00BA2810"/>
    <w:rsid w:val="00BA40FF"/>
    <w:rsid w:val="00BA4413"/>
    <w:rsid w:val="00BA484D"/>
    <w:rsid w:val="00BA59D2"/>
    <w:rsid w:val="00BA5F08"/>
    <w:rsid w:val="00BB0243"/>
    <w:rsid w:val="00BB087C"/>
    <w:rsid w:val="00BB4389"/>
    <w:rsid w:val="00BB4720"/>
    <w:rsid w:val="00BD038F"/>
    <w:rsid w:val="00BD1835"/>
    <w:rsid w:val="00BD3D75"/>
    <w:rsid w:val="00BD4701"/>
    <w:rsid w:val="00BD4D5E"/>
    <w:rsid w:val="00BD581E"/>
    <w:rsid w:val="00BE0176"/>
    <w:rsid w:val="00BE1941"/>
    <w:rsid w:val="00BE613B"/>
    <w:rsid w:val="00BE6ABA"/>
    <w:rsid w:val="00BE6EF8"/>
    <w:rsid w:val="00BE7373"/>
    <w:rsid w:val="00BF031E"/>
    <w:rsid w:val="00BF2B7B"/>
    <w:rsid w:val="00BF360C"/>
    <w:rsid w:val="00BF40F2"/>
    <w:rsid w:val="00BF6441"/>
    <w:rsid w:val="00BF6A93"/>
    <w:rsid w:val="00C03841"/>
    <w:rsid w:val="00C050A9"/>
    <w:rsid w:val="00C07F9D"/>
    <w:rsid w:val="00C102C6"/>
    <w:rsid w:val="00C103E4"/>
    <w:rsid w:val="00C10B5F"/>
    <w:rsid w:val="00C12732"/>
    <w:rsid w:val="00C15EF1"/>
    <w:rsid w:val="00C17015"/>
    <w:rsid w:val="00C17CE9"/>
    <w:rsid w:val="00C2025A"/>
    <w:rsid w:val="00C20ADB"/>
    <w:rsid w:val="00C246FC"/>
    <w:rsid w:val="00C26D61"/>
    <w:rsid w:val="00C26DFD"/>
    <w:rsid w:val="00C319A8"/>
    <w:rsid w:val="00C3617B"/>
    <w:rsid w:val="00C37430"/>
    <w:rsid w:val="00C40869"/>
    <w:rsid w:val="00C411B3"/>
    <w:rsid w:val="00C42CA3"/>
    <w:rsid w:val="00C43474"/>
    <w:rsid w:val="00C4583A"/>
    <w:rsid w:val="00C472DD"/>
    <w:rsid w:val="00C475E1"/>
    <w:rsid w:val="00C47B58"/>
    <w:rsid w:val="00C52971"/>
    <w:rsid w:val="00C52D90"/>
    <w:rsid w:val="00C56930"/>
    <w:rsid w:val="00C57EE5"/>
    <w:rsid w:val="00C609F0"/>
    <w:rsid w:val="00C6214B"/>
    <w:rsid w:val="00C631F2"/>
    <w:rsid w:val="00C63B00"/>
    <w:rsid w:val="00C67121"/>
    <w:rsid w:val="00C700CF"/>
    <w:rsid w:val="00C70E0B"/>
    <w:rsid w:val="00C72B3F"/>
    <w:rsid w:val="00C75EA6"/>
    <w:rsid w:val="00C75EBB"/>
    <w:rsid w:val="00C76B19"/>
    <w:rsid w:val="00C76F01"/>
    <w:rsid w:val="00C8096C"/>
    <w:rsid w:val="00C80BA7"/>
    <w:rsid w:val="00C828A2"/>
    <w:rsid w:val="00C849F6"/>
    <w:rsid w:val="00C85DD4"/>
    <w:rsid w:val="00C86679"/>
    <w:rsid w:val="00C86BFA"/>
    <w:rsid w:val="00C878D5"/>
    <w:rsid w:val="00C9033B"/>
    <w:rsid w:val="00C913A1"/>
    <w:rsid w:val="00C92419"/>
    <w:rsid w:val="00C9289E"/>
    <w:rsid w:val="00C932A2"/>
    <w:rsid w:val="00C934CA"/>
    <w:rsid w:val="00C94939"/>
    <w:rsid w:val="00C94C37"/>
    <w:rsid w:val="00CA06D6"/>
    <w:rsid w:val="00CA0ECD"/>
    <w:rsid w:val="00CA2668"/>
    <w:rsid w:val="00CA31D1"/>
    <w:rsid w:val="00CA50B4"/>
    <w:rsid w:val="00CA5A02"/>
    <w:rsid w:val="00CA604E"/>
    <w:rsid w:val="00CA625B"/>
    <w:rsid w:val="00CA77DC"/>
    <w:rsid w:val="00CA7957"/>
    <w:rsid w:val="00CB17F6"/>
    <w:rsid w:val="00CB4388"/>
    <w:rsid w:val="00CB454D"/>
    <w:rsid w:val="00CB4592"/>
    <w:rsid w:val="00CB6C37"/>
    <w:rsid w:val="00CC136B"/>
    <w:rsid w:val="00CC31B9"/>
    <w:rsid w:val="00CC3C40"/>
    <w:rsid w:val="00CC4DCB"/>
    <w:rsid w:val="00CC6A99"/>
    <w:rsid w:val="00CC78DA"/>
    <w:rsid w:val="00CD2333"/>
    <w:rsid w:val="00CD5A80"/>
    <w:rsid w:val="00CD6CB9"/>
    <w:rsid w:val="00CE14B9"/>
    <w:rsid w:val="00CE30C3"/>
    <w:rsid w:val="00CE3585"/>
    <w:rsid w:val="00CE3ADC"/>
    <w:rsid w:val="00CE3D17"/>
    <w:rsid w:val="00CE5B1C"/>
    <w:rsid w:val="00CE6932"/>
    <w:rsid w:val="00CF0085"/>
    <w:rsid w:val="00CF110E"/>
    <w:rsid w:val="00CF234B"/>
    <w:rsid w:val="00CF3409"/>
    <w:rsid w:val="00CF3DEB"/>
    <w:rsid w:val="00CF42F3"/>
    <w:rsid w:val="00CF51FF"/>
    <w:rsid w:val="00D00939"/>
    <w:rsid w:val="00D00AA3"/>
    <w:rsid w:val="00D01C40"/>
    <w:rsid w:val="00D02529"/>
    <w:rsid w:val="00D041A3"/>
    <w:rsid w:val="00D049ED"/>
    <w:rsid w:val="00D0504E"/>
    <w:rsid w:val="00D07F73"/>
    <w:rsid w:val="00D1179C"/>
    <w:rsid w:val="00D1219D"/>
    <w:rsid w:val="00D12E69"/>
    <w:rsid w:val="00D139D3"/>
    <w:rsid w:val="00D1420A"/>
    <w:rsid w:val="00D147C7"/>
    <w:rsid w:val="00D14844"/>
    <w:rsid w:val="00D16C5A"/>
    <w:rsid w:val="00D2041C"/>
    <w:rsid w:val="00D24DD3"/>
    <w:rsid w:val="00D25296"/>
    <w:rsid w:val="00D25ADE"/>
    <w:rsid w:val="00D27911"/>
    <w:rsid w:val="00D32162"/>
    <w:rsid w:val="00D366BD"/>
    <w:rsid w:val="00D43297"/>
    <w:rsid w:val="00D43F20"/>
    <w:rsid w:val="00D44DB6"/>
    <w:rsid w:val="00D44DF6"/>
    <w:rsid w:val="00D450F5"/>
    <w:rsid w:val="00D45D26"/>
    <w:rsid w:val="00D45D7A"/>
    <w:rsid w:val="00D461D8"/>
    <w:rsid w:val="00D50016"/>
    <w:rsid w:val="00D50119"/>
    <w:rsid w:val="00D53182"/>
    <w:rsid w:val="00D5327F"/>
    <w:rsid w:val="00D53E16"/>
    <w:rsid w:val="00D54E9B"/>
    <w:rsid w:val="00D56670"/>
    <w:rsid w:val="00D57A6F"/>
    <w:rsid w:val="00D57CAA"/>
    <w:rsid w:val="00D57EBF"/>
    <w:rsid w:val="00D61874"/>
    <w:rsid w:val="00D6371C"/>
    <w:rsid w:val="00D642D6"/>
    <w:rsid w:val="00D65269"/>
    <w:rsid w:val="00D65301"/>
    <w:rsid w:val="00D675AA"/>
    <w:rsid w:val="00D7064A"/>
    <w:rsid w:val="00D70D33"/>
    <w:rsid w:val="00D70DBD"/>
    <w:rsid w:val="00D7114D"/>
    <w:rsid w:val="00D7185E"/>
    <w:rsid w:val="00D7266A"/>
    <w:rsid w:val="00D74284"/>
    <w:rsid w:val="00D744D5"/>
    <w:rsid w:val="00D748AE"/>
    <w:rsid w:val="00D7775A"/>
    <w:rsid w:val="00D80B1B"/>
    <w:rsid w:val="00D81589"/>
    <w:rsid w:val="00D829E0"/>
    <w:rsid w:val="00D82A43"/>
    <w:rsid w:val="00D83B1E"/>
    <w:rsid w:val="00D8401E"/>
    <w:rsid w:val="00D84261"/>
    <w:rsid w:val="00D84617"/>
    <w:rsid w:val="00D84B26"/>
    <w:rsid w:val="00D84DC2"/>
    <w:rsid w:val="00D859CB"/>
    <w:rsid w:val="00D864E1"/>
    <w:rsid w:val="00D8652A"/>
    <w:rsid w:val="00D869B7"/>
    <w:rsid w:val="00D86C92"/>
    <w:rsid w:val="00D87D9E"/>
    <w:rsid w:val="00D92452"/>
    <w:rsid w:val="00D9279C"/>
    <w:rsid w:val="00D94671"/>
    <w:rsid w:val="00D959AB"/>
    <w:rsid w:val="00D95C80"/>
    <w:rsid w:val="00D974C3"/>
    <w:rsid w:val="00D97624"/>
    <w:rsid w:val="00DA0082"/>
    <w:rsid w:val="00DA4C6E"/>
    <w:rsid w:val="00DA7B5D"/>
    <w:rsid w:val="00DB0A00"/>
    <w:rsid w:val="00DB57EA"/>
    <w:rsid w:val="00DB5A9B"/>
    <w:rsid w:val="00DC0B47"/>
    <w:rsid w:val="00DC1784"/>
    <w:rsid w:val="00DC182A"/>
    <w:rsid w:val="00DC4152"/>
    <w:rsid w:val="00DC4B20"/>
    <w:rsid w:val="00DC5DC0"/>
    <w:rsid w:val="00DC5EBD"/>
    <w:rsid w:val="00DC6B5D"/>
    <w:rsid w:val="00DC6FED"/>
    <w:rsid w:val="00DD0C67"/>
    <w:rsid w:val="00DD0D84"/>
    <w:rsid w:val="00DD48BB"/>
    <w:rsid w:val="00DD4F07"/>
    <w:rsid w:val="00DD58AE"/>
    <w:rsid w:val="00DD64A3"/>
    <w:rsid w:val="00DD6F16"/>
    <w:rsid w:val="00DE0BFE"/>
    <w:rsid w:val="00DE130F"/>
    <w:rsid w:val="00DE2388"/>
    <w:rsid w:val="00DE2C0A"/>
    <w:rsid w:val="00DE5628"/>
    <w:rsid w:val="00DE583E"/>
    <w:rsid w:val="00DE5F56"/>
    <w:rsid w:val="00DE65A1"/>
    <w:rsid w:val="00DF00C6"/>
    <w:rsid w:val="00DF0F33"/>
    <w:rsid w:val="00DF0FD8"/>
    <w:rsid w:val="00DF188C"/>
    <w:rsid w:val="00DF1995"/>
    <w:rsid w:val="00DF228A"/>
    <w:rsid w:val="00DF46A1"/>
    <w:rsid w:val="00DF58E7"/>
    <w:rsid w:val="00E004A7"/>
    <w:rsid w:val="00E01C87"/>
    <w:rsid w:val="00E035DE"/>
    <w:rsid w:val="00E04A43"/>
    <w:rsid w:val="00E11876"/>
    <w:rsid w:val="00E1413F"/>
    <w:rsid w:val="00E15714"/>
    <w:rsid w:val="00E174FB"/>
    <w:rsid w:val="00E17995"/>
    <w:rsid w:val="00E17E1C"/>
    <w:rsid w:val="00E200ED"/>
    <w:rsid w:val="00E21FED"/>
    <w:rsid w:val="00E23CBB"/>
    <w:rsid w:val="00E244CD"/>
    <w:rsid w:val="00E2463F"/>
    <w:rsid w:val="00E26F3A"/>
    <w:rsid w:val="00E319CC"/>
    <w:rsid w:val="00E31C9F"/>
    <w:rsid w:val="00E32323"/>
    <w:rsid w:val="00E32C03"/>
    <w:rsid w:val="00E33518"/>
    <w:rsid w:val="00E34E85"/>
    <w:rsid w:val="00E37010"/>
    <w:rsid w:val="00E37187"/>
    <w:rsid w:val="00E3757C"/>
    <w:rsid w:val="00E37B59"/>
    <w:rsid w:val="00E37FC7"/>
    <w:rsid w:val="00E41043"/>
    <w:rsid w:val="00E4148A"/>
    <w:rsid w:val="00E414F7"/>
    <w:rsid w:val="00E41FF5"/>
    <w:rsid w:val="00E4477F"/>
    <w:rsid w:val="00E44CE4"/>
    <w:rsid w:val="00E460AF"/>
    <w:rsid w:val="00E47FF5"/>
    <w:rsid w:val="00E50173"/>
    <w:rsid w:val="00E501E3"/>
    <w:rsid w:val="00E52974"/>
    <w:rsid w:val="00E52C4D"/>
    <w:rsid w:val="00E53438"/>
    <w:rsid w:val="00E53FED"/>
    <w:rsid w:val="00E5561D"/>
    <w:rsid w:val="00E56D6F"/>
    <w:rsid w:val="00E605A1"/>
    <w:rsid w:val="00E615EB"/>
    <w:rsid w:val="00E67635"/>
    <w:rsid w:val="00E725FC"/>
    <w:rsid w:val="00E7603D"/>
    <w:rsid w:val="00E76362"/>
    <w:rsid w:val="00E808B1"/>
    <w:rsid w:val="00E81215"/>
    <w:rsid w:val="00E82FA9"/>
    <w:rsid w:val="00E86D8A"/>
    <w:rsid w:val="00E93DEE"/>
    <w:rsid w:val="00E94942"/>
    <w:rsid w:val="00E959C0"/>
    <w:rsid w:val="00E96944"/>
    <w:rsid w:val="00EA1192"/>
    <w:rsid w:val="00EA36C6"/>
    <w:rsid w:val="00EA4085"/>
    <w:rsid w:val="00EA6D37"/>
    <w:rsid w:val="00EA7A0C"/>
    <w:rsid w:val="00EB0438"/>
    <w:rsid w:val="00EB1988"/>
    <w:rsid w:val="00EB2240"/>
    <w:rsid w:val="00EB4470"/>
    <w:rsid w:val="00EB5E59"/>
    <w:rsid w:val="00EB7C8B"/>
    <w:rsid w:val="00EC1090"/>
    <w:rsid w:val="00EC2171"/>
    <w:rsid w:val="00EC28D9"/>
    <w:rsid w:val="00EC2F77"/>
    <w:rsid w:val="00EC30E8"/>
    <w:rsid w:val="00EC30F9"/>
    <w:rsid w:val="00EC3DE8"/>
    <w:rsid w:val="00EC4AE3"/>
    <w:rsid w:val="00EC619D"/>
    <w:rsid w:val="00EC695B"/>
    <w:rsid w:val="00EC7F83"/>
    <w:rsid w:val="00ED22FF"/>
    <w:rsid w:val="00ED4AA8"/>
    <w:rsid w:val="00ED544E"/>
    <w:rsid w:val="00ED5725"/>
    <w:rsid w:val="00ED7031"/>
    <w:rsid w:val="00ED71A5"/>
    <w:rsid w:val="00ED7AE2"/>
    <w:rsid w:val="00EE0D05"/>
    <w:rsid w:val="00EE3060"/>
    <w:rsid w:val="00EE3F59"/>
    <w:rsid w:val="00EE4315"/>
    <w:rsid w:val="00EE4FC9"/>
    <w:rsid w:val="00EE505A"/>
    <w:rsid w:val="00EE551A"/>
    <w:rsid w:val="00EE6ACB"/>
    <w:rsid w:val="00EE7AA1"/>
    <w:rsid w:val="00EF1B3F"/>
    <w:rsid w:val="00EF4982"/>
    <w:rsid w:val="00EF4CC0"/>
    <w:rsid w:val="00EF4F0B"/>
    <w:rsid w:val="00EF5727"/>
    <w:rsid w:val="00EF6925"/>
    <w:rsid w:val="00EF784D"/>
    <w:rsid w:val="00EF7DB8"/>
    <w:rsid w:val="00F009C1"/>
    <w:rsid w:val="00F04E69"/>
    <w:rsid w:val="00F102C4"/>
    <w:rsid w:val="00F112F7"/>
    <w:rsid w:val="00F11CBE"/>
    <w:rsid w:val="00F1204D"/>
    <w:rsid w:val="00F14F11"/>
    <w:rsid w:val="00F16B1F"/>
    <w:rsid w:val="00F223F0"/>
    <w:rsid w:val="00F23ED7"/>
    <w:rsid w:val="00F26ED3"/>
    <w:rsid w:val="00F26FC8"/>
    <w:rsid w:val="00F27EC8"/>
    <w:rsid w:val="00F30B37"/>
    <w:rsid w:val="00F34F38"/>
    <w:rsid w:val="00F36E6C"/>
    <w:rsid w:val="00F37605"/>
    <w:rsid w:val="00F37AAA"/>
    <w:rsid w:val="00F4070E"/>
    <w:rsid w:val="00F42BB3"/>
    <w:rsid w:val="00F4498D"/>
    <w:rsid w:val="00F4500C"/>
    <w:rsid w:val="00F45070"/>
    <w:rsid w:val="00F476E6"/>
    <w:rsid w:val="00F502CD"/>
    <w:rsid w:val="00F527A1"/>
    <w:rsid w:val="00F52DC2"/>
    <w:rsid w:val="00F56422"/>
    <w:rsid w:val="00F56E59"/>
    <w:rsid w:val="00F57339"/>
    <w:rsid w:val="00F57644"/>
    <w:rsid w:val="00F57E22"/>
    <w:rsid w:val="00F60651"/>
    <w:rsid w:val="00F62B7A"/>
    <w:rsid w:val="00F6397D"/>
    <w:rsid w:val="00F63C9F"/>
    <w:rsid w:val="00F6497E"/>
    <w:rsid w:val="00F65FBB"/>
    <w:rsid w:val="00F67FBD"/>
    <w:rsid w:val="00F71430"/>
    <w:rsid w:val="00F71A6D"/>
    <w:rsid w:val="00F71D81"/>
    <w:rsid w:val="00F71FE3"/>
    <w:rsid w:val="00F72405"/>
    <w:rsid w:val="00F7293E"/>
    <w:rsid w:val="00F7384A"/>
    <w:rsid w:val="00F73DD7"/>
    <w:rsid w:val="00F742E0"/>
    <w:rsid w:val="00F74396"/>
    <w:rsid w:val="00F747CF"/>
    <w:rsid w:val="00F74E3F"/>
    <w:rsid w:val="00F74EA0"/>
    <w:rsid w:val="00F76650"/>
    <w:rsid w:val="00F7739F"/>
    <w:rsid w:val="00F80EF2"/>
    <w:rsid w:val="00F82931"/>
    <w:rsid w:val="00F8316F"/>
    <w:rsid w:val="00F83BFB"/>
    <w:rsid w:val="00F87E43"/>
    <w:rsid w:val="00F90807"/>
    <w:rsid w:val="00F90DFF"/>
    <w:rsid w:val="00F914B8"/>
    <w:rsid w:val="00F9187B"/>
    <w:rsid w:val="00F920F1"/>
    <w:rsid w:val="00F92385"/>
    <w:rsid w:val="00F92E98"/>
    <w:rsid w:val="00F93623"/>
    <w:rsid w:val="00F95D66"/>
    <w:rsid w:val="00F96293"/>
    <w:rsid w:val="00FA1B4F"/>
    <w:rsid w:val="00FA25C1"/>
    <w:rsid w:val="00FA3CE7"/>
    <w:rsid w:val="00FA4C46"/>
    <w:rsid w:val="00FA5923"/>
    <w:rsid w:val="00FA5F7D"/>
    <w:rsid w:val="00FA78ED"/>
    <w:rsid w:val="00FB3825"/>
    <w:rsid w:val="00FB3D51"/>
    <w:rsid w:val="00FB3D7D"/>
    <w:rsid w:val="00FB4C9E"/>
    <w:rsid w:val="00FB5491"/>
    <w:rsid w:val="00FB6821"/>
    <w:rsid w:val="00FB6D0D"/>
    <w:rsid w:val="00FB7A40"/>
    <w:rsid w:val="00FB7C0C"/>
    <w:rsid w:val="00FC10B9"/>
    <w:rsid w:val="00FC47F9"/>
    <w:rsid w:val="00FD1A47"/>
    <w:rsid w:val="00FD53E3"/>
    <w:rsid w:val="00FE012E"/>
    <w:rsid w:val="00FE01EC"/>
    <w:rsid w:val="00FE2351"/>
    <w:rsid w:val="00FE337D"/>
    <w:rsid w:val="00FE3496"/>
    <w:rsid w:val="00FE3849"/>
    <w:rsid w:val="00FE4B1B"/>
    <w:rsid w:val="00FE5580"/>
    <w:rsid w:val="00FF110C"/>
    <w:rsid w:val="00FF13FD"/>
    <w:rsid w:val="00FF1CB3"/>
    <w:rsid w:val="00FF4CB4"/>
    <w:rsid w:val="00FF53DD"/>
    <w:rsid w:val="00FF6F81"/>
    <w:rsid w:val="00FF7225"/>
    <w:rsid w:val="011199C8"/>
    <w:rsid w:val="011F66D5"/>
    <w:rsid w:val="012899A2"/>
    <w:rsid w:val="01638E50"/>
    <w:rsid w:val="0172FD9B"/>
    <w:rsid w:val="017E5CD8"/>
    <w:rsid w:val="01D8B98B"/>
    <w:rsid w:val="01E7CA75"/>
    <w:rsid w:val="01F93619"/>
    <w:rsid w:val="0204DF89"/>
    <w:rsid w:val="0222DA15"/>
    <w:rsid w:val="022B61A3"/>
    <w:rsid w:val="022F86BC"/>
    <w:rsid w:val="0246B9B5"/>
    <w:rsid w:val="02525D40"/>
    <w:rsid w:val="025FA4EB"/>
    <w:rsid w:val="02BDF313"/>
    <w:rsid w:val="02BEAB63"/>
    <w:rsid w:val="02CB6EC7"/>
    <w:rsid w:val="03097CA5"/>
    <w:rsid w:val="0341703E"/>
    <w:rsid w:val="03473DC6"/>
    <w:rsid w:val="036765C0"/>
    <w:rsid w:val="03677655"/>
    <w:rsid w:val="038B4A02"/>
    <w:rsid w:val="03C9F55C"/>
    <w:rsid w:val="03FD39A3"/>
    <w:rsid w:val="0419184B"/>
    <w:rsid w:val="0425E999"/>
    <w:rsid w:val="044EB56A"/>
    <w:rsid w:val="04E37552"/>
    <w:rsid w:val="04EA92F1"/>
    <w:rsid w:val="04F92E21"/>
    <w:rsid w:val="052CA0A1"/>
    <w:rsid w:val="053B2EAE"/>
    <w:rsid w:val="05D356A7"/>
    <w:rsid w:val="05E62F86"/>
    <w:rsid w:val="05EEFA04"/>
    <w:rsid w:val="066BC76D"/>
    <w:rsid w:val="0670A000"/>
    <w:rsid w:val="06745C67"/>
    <w:rsid w:val="0698021C"/>
    <w:rsid w:val="069D50AF"/>
    <w:rsid w:val="069F728B"/>
    <w:rsid w:val="06AD71C5"/>
    <w:rsid w:val="06D40FBC"/>
    <w:rsid w:val="0708B95B"/>
    <w:rsid w:val="070E18FA"/>
    <w:rsid w:val="073F94A9"/>
    <w:rsid w:val="0773F54E"/>
    <w:rsid w:val="077CF0B5"/>
    <w:rsid w:val="07B73137"/>
    <w:rsid w:val="07C1FECF"/>
    <w:rsid w:val="07CC36DB"/>
    <w:rsid w:val="0800A762"/>
    <w:rsid w:val="08047763"/>
    <w:rsid w:val="081EB4C3"/>
    <w:rsid w:val="083BF823"/>
    <w:rsid w:val="085A4BC3"/>
    <w:rsid w:val="086EB40D"/>
    <w:rsid w:val="087F2AEA"/>
    <w:rsid w:val="08AA15BC"/>
    <w:rsid w:val="08BA2549"/>
    <w:rsid w:val="08F32CE0"/>
    <w:rsid w:val="09039D2B"/>
    <w:rsid w:val="0905670D"/>
    <w:rsid w:val="0924AEA5"/>
    <w:rsid w:val="097718F2"/>
    <w:rsid w:val="09A2606F"/>
    <w:rsid w:val="09D1319E"/>
    <w:rsid w:val="09DEC4CA"/>
    <w:rsid w:val="09F88F08"/>
    <w:rsid w:val="0A186FA4"/>
    <w:rsid w:val="0A4CADA0"/>
    <w:rsid w:val="0A89E0F9"/>
    <w:rsid w:val="0AA57817"/>
    <w:rsid w:val="0ACBC390"/>
    <w:rsid w:val="0B01829A"/>
    <w:rsid w:val="0B1ABB60"/>
    <w:rsid w:val="0B9AD749"/>
    <w:rsid w:val="0B9E2CCD"/>
    <w:rsid w:val="0BA0484C"/>
    <w:rsid w:val="0BA59F06"/>
    <w:rsid w:val="0BE20CDA"/>
    <w:rsid w:val="0BEAB499"/>
    <w:rsid w:val="0C0A3F19"/>
    <w:rsid w:val="0C27AEEA"/>
    <w:rsid w:val="0C7C00BC"/>
    <w:rsid w:val="0C8DF674"/>
    <w:rsid w:val="0C99E09A"/>
    <w:rsid w:val="0CAA7FE1"/>
    <w:rsid w:val="0CCB2448"/>
    <w:rsid w:val="0D14A91C"/>
    <w:rsid w:val="0D473AC4"/>
    <w:rsid w:val="0D8C5772"/>
    <w:rsid w:val="0DC61602"/>
    <w:rsid w:val="0DCB0577"/>
    <w:rsid w:val="0DD616A2"/>
    <w:rsid w:val="0E3CB005"/>
    <w:rsid w:val="0E4E958C"/>
    <w:rsid w:val="0E6D9C87"/>
    <w:rsid w:val="0E948EE4"/>
    <w:rsid w:val="0EA4FB2C"/>
    <w:rsid w:val="0EAA8964"/>
    <w:rsid w:val="0EF5A246"/>
    <w:rsid w:val="0F22AA8F"/>
    <w:rsid w:val="0F5A2757"/>
    <w:rsid w:val="0F7C1A03"/>
    <w:rsid w:val="0F7FFA69"/>
    <w:rsid w:val="0F93345F"/>
    <w:rsid w:val="0FC6785A"/>
    <w:rsid w:val="0FF2EE72"/>
    <w:rsid w:val="1018C03B"/>
    <w:rsid w:val="10549443"/>
    <w:rsid w:val="105CFE43"/>
    <w:rsid w:val="10852C16"/>
    <w:rsid w:val="1093113A"/>
    <w:rsid w:val="1099ADA5"/>
    <w:rsid w:val="10F4DA86"/>
    <w:rsid w:val="1107A4DC"/>
    <w:rsid w:val="113CDD11"/>
    <w:rsid w:val="1141D7E0"/>
    <w:rsid w:val="114F6CB3"/>
    <w:rsid w:val="11508059"/>
    <w:rsid w:val="1154B0BF"/>
    <w:rsid w:val="117A7966"/>
    <w:rsid w:val="11B656C7"/>
    <w:rsid w:val="11EFC3A0"/>
    <w:rsid w:val="122234ED"/>
    <w:rsid w:val="12288349"/>
    <w:rsid w:val="1240CDC0"/>
    <w:rsid w:val="125DBC29"/>
    <w:rsid w:val="1268430F"/>
    <w:rsid w:val="12A7AAA8"/>
    <w:rsid w:val="12FF656F"/>
    <w:rsid w:val="132382FE"/>
    <w:rsid w:val="132D26B9"/>
    <w:rsid w:val="132E87A3"/>
    <w:rsid w:val="135CF976"/>
    <w:rsid w:val="136BF64E"/>
    <w:rsid w:val="13789F20"/>
    <w:rsid w:val="13C2C2FB"/>
    <w:rsid w:val="13C31142"/>
    <w:rsid w:val="13D3F36C"/>
    <w:rsid w:val="14105473"/>
    <w:rsid w:val="141E2106"/>
    <w:rsid w:val="14602DDF"/>
    <w:rsid w:val="1541832F"/>
    <w:rsid w:val="154A530C"/>
    <w:rsid w:val="154F6057"/>
    <w:rsid w:val="15744A7B"/>
    <w:rsid w:val="15786E82"/>
    <w:rsid w:val="1587D3D2"/>
    <w:rsid w:val="158DF66E"/>
    <w:rsid w:val="15A4C1B5"/>
    <w:rsid w:val="15D77919"/>
    <w:rsid w:val="15DEC617"/>
    <w:rsid w:val="15E36D33"/>
    <w:rsid w:val="1633EDEA"/>
    <w:rsid w:val="166DA878"/>
    <w:rsid w:val="167B1456"/>
    <w:rsid w:val="16D50AAE"/>
    <w:rsid w:val="16DECDB8"/>
    <w:rsid w:val="16F715EB"/>
    <w:rsid w:val="16F7FB5D"/>
    <w:rsid w:val="172924BF"/>
    <w:rsid w:val="17675713"/>
    <w:rsid w:val="18CC3DAB"/>
    <w:rsid w:val="18EB0236"/>
    <w:rsid w:val="1901B01B"/>
    <w:rsid w:val="1909792D"/>
    <w:rsid w:val="198C5C0B"/>
    <w:rsid w:val="198CB6F3"/>
    <w:rsid w:val="19A96ED2"/>
    <w:rsid w:val="19D3FF07"/>
    <w:rsid w:val="19ED58FD"/>
    <w:rsid w:val="19F36768"/>
    <w:rsid w:val="1A2FA783"/>
    <w:rsid w:val="1A85E154"/>
    <w:rsid w:val="1ABCD542"/>
    <w:rsid w:val="1ACF5FC9"/>
    <w:rsid w:val="1AD9AA5E"/>
    <w:rsid w:val="1AF99C86"/>
    <w:rsid w:val="1B48D24F"/>
    <w:rsid w:val="1BAD8A2A"/>
    <w:rsid w:val="1BDD1491"/>
    <w:rsid w:val="1C31DA27"/>
    <w:rsid w:val="1CA7AE6D"/>
    <w:rsid w:val="1CABC0FF"/>
    <w:rsid w:val="1CD9A032"/>
    <w:rsid w:val="1CDCAEFC"/>
    <w:rsid w:val="1CE334F5"/>
    <w:rsid w:val="1CE56048"/>
    <w:rsid w:val="1D71460E"/>
    <w:rsid w:val="1D7EAA3A"/>
    <w:rsid w:val="1DA55070"/>
    <w:rsid w:val="1DE4192E"/>
    <w:rsid w:val="1DECDE6E"/>
    <w:rsid w:val="1DFDC497"/>
    <w:rsid w:val="1E8485B0"/>
    <w:rsid w:val="1F1F50C8"/>
    <w:rsid w:val="1F45B912"/>
    <w:rsid w:val="1FB2E8CD"/>
    <w:rsid w:val="20AEA0FA"/>
    <w:rsid w:val="216DA945"/>
    <w:rsid w:val="21748EA8"/>
    <w:rsid w:val="2188E038"/>
    <w:rsid w:val="218C5EC4"/>
    <w:rsid w:val="218F1B37"/>
    <w:rsid w:val="21AA0636"/>
    <w:rsid w:val="21DA3B32"/>
    <w:rsid w:val="224D66D7"/>
    <w:rsid w:val="22780999"/>
    <w:rsid w:val="227CC25C"/>
    <w:rsid w:val="2350F8AE"/>
    <w:rsid w:val="23DFD48C"/>
    <w:rsid w:val="23F8AAD6"/>
    <w:rsid w:val="2444BC91"/>
    <w:rsid w:val="244D0DAE"/>
    <w:rsid w:val="246C5C4E"/>
    <w:rsid w:val="249959D0"/>
    <w:rsid w:val="24AEB916"/>
    <w:rsid w:val="24D3A926"/>
    <w:rsid w:val="250448F9"/>
    <w:rsid w:val="2513D4A2"/>
    <w:rsid w:val="2536960D"/>
    <w:rsid w:val="254688DE"/>
    <w:rsid w:val="256D4AEF"/>
    <w:rsid w:val="25FB1918"/>
    <w:rsid w:val="26082966"/>
    <w:rsid w:val="2617A511"/>
    <w:rsid w:val="265D6789"/>
    <w:rsid w:val="2672F5A4"/>
    <w:rsid w:val="268EEA00"/>
    <w:rsid w:val="26A0195A"/>
    <w:rsid w:val="26DAEFC0"/>
    <w:rsid w:val="26F43F42"/>
    <w:rsid w:val="270D366C"/>
    <w:rsid w:val="271FE6AF"/>
    <w:rsid w:val="274B95CA"/>
    <w:rsid w:val="2777FFA0"/>
    <w:rsid w:val="277845CE"/>
    <w:rsid w:val="279983F8"/>
    <w:rsid w:val="27BE8E02"/>
    <w:rsid w:val="27E5690E"/>
    <w:rsid w:val="27EAAB06"/>
    <w:rsid w:val="2802661C"/>
    <w:rsid w:val="2822027B"/>
    <w:rsid w:val="28376AEA"/>
    <w:rsid w:val="28DC6DDA"/>
    <w:rsid w:val="29027312"/>
    <w:rsid w:val="290BE60D"/>
    <w:rsid w:val="292C5FAE"/>
    <w:rsid w:val="2938458D"/>
    <w:rsid w:val="2948486B"/>
    <w:rsid w:val="2A28F644"/>
    <w:rsid w:val="2A4F6199"/>
    <w:rsid w:val="2A5C2C4E"/>
    <w:rsid w:val="2B20D08D"/>
    <w:rsid w:val="2B2C4114"/>
    <w:rsid w:val="2B69E35B"/>
    <w:rsid w:val="2B85461B"/>
    <w:rsid w:val="2B94DCE8"/>
    <w:rsid w:val="2BA368A5"/>
    <w:rsid w:val="2C004BF8"/>
    <w:rsid w:val="2C08E5F6"/>
    <w:rsid w:val="2D025C23"/>
    <w:rsid w:val="2D69C762"/>
    <w:rsid w:val="2D7566D1"/>
    <w:rsid w:val="2D7E90F2"/>
    <w:rsid w:val="2D8FC776"/>
    <w:rsid w:val="2DF155ED"/>
    <w:rsid w:val="2E087689"/>
    <w:rsid w:val="2E263A75"/>
    <w:rsid w:val="2E56714C"/>
    <w:rsid w:val="2E817BFC"/>
    <w:rsid w:val="2EF25E53"/>
    <w:rsid w:val="2F0798FF"/>
    <w:rsid w:val="2F087A40"/>
    <w:rsid w:val="2FAFEF4F"/>
    <w:rsid w:val="2FB19FE4"/>
    <w:rsid w:val="2FC804A8"/>
    <w:rsid w:val="2FEFF0B2"/>
    <w:rsid w:val="302C97F7"/>
    <w:rsid w:val="304E36B1"/>
    <w:rsid w:val="30790C80"/>
    <w:rsid w:val="30B50A17"/>
    <w:rsid w:val="30F01DFC"/>
    <w:rsid w:val="3128E420"/>
    <w:rsid w:val="31399A06"/>
    <w:rsid w:val="313B0817"/>
    <w:rsid w:val="316A1951"/>
    <w:rsid w:val="31F67FA3"/>
    <w:rsid w:val="31F7FAE3"/>
    <w:rsid w:val="322631E1"/>
    <w:rsid w:val="322BF757"/>
    <w:rsid w:val="32823899"/>
    <w:rsid w:val="32BD3F2C"/>
    <w:rsid w:val="32DA8ED6"/>
    <w:rsid w:val="32EA37C1"/>
    <w:rsid w:val="32FA1613"/>
    <w:rsid w:val="33C0849F"/>
    <w:rsid w:val="341DEFDF"/>
    <w:rsid w:val="3427C61B"/>
    <w:rsid w:val="343EC6DF"/>
    <w:rsid w:val="34544FE1"/>
    <w:rsid w:val="3472FE97"/>
    <w:rsid w:val="34A6C6C6"/>
    <w:rsid w:val="34F0DE43"/>
    <w:rsid w:val="3550731B"/>
    <w:rsid w:val="355E2140"/>
    <w:rsid w:val="355F32B7"/>
    <w:rsid w:val="35744AF4"/>
    <w:rsid w:val="35856796"/>
    <w:rsid w:val="358B3326"/>
    <w:rsid w:val="35D89334"/>
    <w:rsid w:val="361FC332"/>
    <w:rsid w:val="3632F109"/>
    <w:rsid w:val="368B4169"/>
    <w:rsid w:val="371953A0"/>
    <w:rsid w:val="374CE1E3"/>
    <w:rsid w:val="3759A613"/>
    <w:rsid w:val="3792B5F6"/>
    <w:rsid w:val="3798D921"/>
    <w:rsid w:val="37BAE7A4"/>
    <w:rsid w:val="37FA49BD"/>
    <w:rsid w:val="3808B5D7"/>
    <w:rsid w:val="383136EB"/>
    <w:rsid w:val="3835F832"/>
    <w:rsid w:val="385BA184"/>
    <w:rsid w:val="389DE163"/>
    <w:rsid w:val="390F6231"/>
    <w:rsid w:val="394AC043"/>
    <w:rsid w:val="39D9173D"/>
    <w:rsid w:val="39E18EC4"/>
    <w:rsid w:val="39EF3FAD"/>
    <w:rsid w:val="3A1B603B"/>
    <w:rsid w:val="3A32165A"/>
    <w:rsid w:val="3A443A6B"/>
    <w:rsid w:val="3A548CA6"/>
    <w:rsid w:val="3A763FF7"/>
    <w:rsid w:val="3AF59D4F"/>
    <w:rsid w:val="3B439E66"/>
    <w:rsid w:val="3B4C0F47"/>
    <w:rsid w:val="3B7123A2"/>
    <w:rsid w:val="3B79E583"/>
    <w:rsid w:val="3B87F786"/>
    <w:rsid w:val="3B908C0E"/>
    <w:rsid w:val="3BF06699"/>
    <w:rsid w:val="3C02BCC3"/>
    <w:rsid w:val="3C2AB8A4"/>
    <w:rsid w:val="3C3B358B"/>
    <w:rsid w:val="3C4FF11C"/>
    <w:rsid w:val="3C5016DB"/>
    <w:rsid w:val="3C51E981"/>
    <w:rsid w:val="3C5CB7B4"/>
    <w:rsid w:val="3CA80D87"/>
    <w:rsid w:val="3CAE809A"/>
    <w:rsid w:val="3CD58903"/>
    <w:rsid w:val="3CD6C152"/>
    <w:rsid w:val="3D4F7AD1"/>
    <w:rsid w:val="3D70A076"/>
    <w:rsid w:val="3DDE323F"/>
    <w:rsid w:val="3E0F346C"/>
    <w:rsid w:val="3E106E81"/>
    <w:rsid w:val="3E2BC065"/>
    <w:rsid w:val="3E850673"/>
    <w:rsid w:val="3EAF5FE7"/>
    <w:rsid w:val="3EC8D37C"/>
    <w:rsid w:val="3F0C70D7"/>
    <w:rsid w:val="3F65E73D"/>
    <w:rsid w:val="3F6F50C4"/>
    <w:rsid w:val="3F77A03F"/>
    <w:rsid w:val="3F964754"/>
    <w:rsid w:val="3FC79B5E"/>
    <w:rsid w:val="3FFB9F0E"/>
    <w:rsid w:val="4020F349"/>
    <w:rsid w:val="40762B62"/>
    <w:rsid w:val="4085AAC7"/>
    <w:rsid w:val="409E02C1"/>
    <w:rsid w:val="40E2CC2D"/>
    <w:rsid w:val="411AE891"/>
    <w:rsid w:val="4126E444"/>
    <w:rsid w:val="417B2B92"/>
    <w:rsid w:val="41DAFF76"/>
    <w:rsid w:val="41E19403"/>
    <w:rsid w:val="426C6C13"/>
    <w:rsid w:val="428250DB"/>
    <w:rsid w:val="42909710"/>
    <w:rsid w:val="4294D709"/>
    <w:rsid w:val="42CCD911"/>
    <w:rsid w:val="43579BDF"/>
    <w:rsid w:val="43FB13D7"/>
    <w:rsid w:val="440119DD"/>
    <w:rsid w:val="443688C6"/>
    <w:rsid w:val="44801882"/>
    <w:rsid w:val="44AA4706"/>
    <w:rsid w:val="44B01B47"/>
    <w:rsid w:val="44C30061"/>
    <w:rsid w:val="44E651CC"/>
    <w:rsid w:val="45396510"/>
    <w:rsid w:val="45998157"/>
    <w:rsid w:val="45BBFFF4"/>
    <w:rsid w:val="45F9FAB7"/>
    <w:rsid w:val="461167FD"/>
    <w:rsid w:val="463A3B44"/>
    <w:rsid w:val="466D5B81"/>
    <w:rsid w:val="46735AD2"/>
    <w:rsid w:val="46756F8B"/>
    <w:rsid w:val="469605CF"/>
    <w:rsid w:val="469D61FC"/>
    <w:rsid w:val="46A30EB5"/>
    <w:rsid w:val="47042EE4"/>
    <w:rsid w:val="4705F02D"/>
    <w:rsid w:val="475EE7D2"/>
    <w:rsid w:val="477F374E"/>
    <w:rsid w:val="47BE7255"/>
    <w:rsid w:val="47E888E9"/>
    <w:rsid w:val="4800CF1D"/>
    <w:rsid w:val="4826A803"/>
    <w:rsid w:val="4839325D"/>
    <w:rsid w:val="48645E00"/>
    <w:rsid w:val="488BF683"/>
    <w:rsid w:val="48924522"/>
    <w:rsid w:val="48CC6CA2"/>
    <w:rsid w:val="490B5B69"/>
    <w:rsid w:val="491DDB1A"/>
    <w:rsid w:val="49397ED1"/>
    <w:rsid w:val="495821FC"/>
    <w:rsid w:val="49AA8056"/>
    <w:rsid w:val="4A0F5EBD"/>
    <w:rsid w:val="4A5D7CD2"/>
    <w:rsid w:val="4A9DABD1"/>
    <w:rsid w:val="4AE314DD"/>
    <w:rsid w:val="4B4D0112"/>
    <w:rsid w:val="4B54CCF4"/>
    <w:rsid w:val="4B6F9197"/>
    <w:rsid w:val="4B901BB9"/>
    <w:rsid w:val="4BA59636"/>
    <w:rsid w:val="4C2AEB1D"/>
    <w:rsid w:val="4C71CAAF"/>
    <w:rsid w:val="4C819693"/>
    <w:rsid w:val="4CA3AC87"/>
    <w:rsid w:val="4CB5FEC6"/>
    <w:rsid w:val="4D13433E"/>
    <w:rsid w:val="4D2D6625"/>
    <w:rsid w:val="4D6C2715"/>
    <w:rsid w:val="4D90F0B5"/>
    <w:rsid w:val="4D98E6A8"/>
    <w:rsid w:val="4D9C68BC"/>
    <w:rsid w:val="4DAE4255"/>
    <w:rsid w:val="4DB8156A"/>
    <w:rsid w:val="4DD0228F"/>
    <w:rsid w:val="4E2604FD"/>
    <w:rsid w:val="4E28A9F6"/>
    <w:rsid w:val="4E51D590"/>
    <w:rsid w:val="4E8334AA"/>
    <w:rsid w:val="4E86A8EB"/>
    <w:rsid w:val="4E961DFA"/>
    <w:rsid w:val="4EA207F6"/>
    <w:rsid w:val="4EFDD47F"/>
    <w:rsid w:val="4F2EC97B"/>
    <w:rsid w:val="4F4BA90A"/>
    <w:rsid w:val="4F5261FF"/>
    <w:rsid w:val="4FB5637F"/>
    <w:rsid w:val="4FBD9E98"/>
    <w:rsid w:val="4FF9BB1F"/>
    <w:rsid w:val="50341C03"/>
    <w:rsid w:val="5054722A"/>
    <w:rsid w:val="50A56696"/>
    <w:rsid w:val="50B5B237"/>
    <w:rsid w:val="50E6965E"/>
    <w:rsid w:val="50F56A9D"/>
    <w:rsid w:val="50F862AD"/>
    <w:rsid w:val="510B9576"/>
    <w:rsid w:val="512BA09B"/>
    <w:rsid w:val="515021A8"/>
    <w:rsid w:val="51A424FB"/>
    <w:rsid w:val="51D39203"/>
    <w:rsid w:val="51E0AC9E"/>
    <w:rsid w:val="51EF7F9F"/>
    <w:rsid w:val="520E94EC"/>
    <w:rsid w:val="521756D2"/>
    <w:rsid w:val="524E4EDF"/>
    <w:rsid w:val="52D4FF81"/>
    <w:rsid w:val="531A1AAF"/>
    <w:rsid w:val="536F5056"/>
    <w:rsid w:val="53A65F56"/>
    <w:rsid w:val="5417A66C"/>
    <w:rsid w:val="541F9BFD"/>
    <w:rsid w:val="544484A2"/>
    <w:rsid w:val="544722B0"/>
    <w:rsid w:val="54BD350A"/>
    <w:rsid w:val="55025F26"/>
    <w:rsid w:val="55095E1B"/>
    <w:rsid w:val="55470AC5"/>
    <w:rsid w:val="559B8700"/>
    <w:rsid w:val="55A45BC6"/>
    <w:rsid w:val="55B7E8FB"/>
    <w:rsid w:val="55F79588"/>
    <w:rsid w:val="5699F3B6"/>
    <w:rsid w:val="56B4B6BC"/>
    <w:rsid w:val="56B856E7"/>
    <w:rsid w:val="56F2D873"/>
    <w:rsid w:val="5734465E"/>
    <w:rsid w:val="576C2D5A"/>
    <w:rsid w:val="57A2F8C2"/>
    <w:rsid w:val="57D76ADB"/>
    <w:rsid w:val="57DE20AB"/>
    <w:rsid w:val="57DF41DD"/>
    <w:rsid w:val="57E1DE58"/>
    <w:rsid w:val="582857B5"/>
    <w:rsid w:val="5858F103"/>
    <w:rsid w:val="5868750B"/>
    <w:rsid w:val="586C35F7"/>
    <w:rsid w:val="589A1CFC"/>
    <w:rsid w:val="5929981F"/>
    <w:rsid w:val="594A3A22"/>
    <w:rsid w:val="597774E1"/>
    <w:rsid w:val="59A2E696"/>
    <w:rsid w:val="59CC9086"/>
    <w:rsid w:val="5A339F1B"/>
    <w:rsid w:val="5A5000E1"/>
    <w:rsid w:val="5A6BEE7D"/>
    <w:rsid w:val="5A781EB3"/>
    <w:rsid w:val="5A9F409C"/>
    <w:rsid w:val="5AB281DB"/>
    <w:rsid w:val="5ACF00B7"/>
    <w:rsid w:val="5AEAEF28"/>
    <w:rsid w:val="5B226F78"/>
    <w:rsid w:val="5B248FDB"/>
    <w:rsid w:val="5B9251A9"/>
    <w:rsid w:val="5BA6362B"/>
    <w:rsid w:val="5BD3DD8A"/>
    <w:rsid w:val="5BDF81C3"/>
    <w:rsid w:val="5BE4E0D6"/>
    <w:rsid w:val="5BEFC0A3"/>
    <w:rsid w:val="5C1C4E00"/>
    <w:rsid w:val="5C5F28CB"/>
    <w:rsid w:val="5C6D183B"/>
    <w:rsid w:val="5C7F559A"/>
    <w:rsid w:val="5C887DAA"/>
    <w:rsid w:val="5C8E4946"/>
    <w:rsid w:val="5C9C9693"/>
    <w:rsid w:val="5CAEC8FE"/>
    <w:rsid w:val="5CBEA2E1"/>
    <w:rsid w:val="5CBEACC4"/>
    <w:rsid w:val="5CC4C60C"/>
    <w:rsid w:val="5CE1B64B"/>
    <w:rsid w:val="5D1A3B94"/>
    <w:rsid w:val="5D44B156"/>
    <w:rsid w:val="5D593AD1"/>
    <w:rsid w:val="5D5E00D8"/>
    <w:rsid w:val="5DCD50CD"/>
    <w:rsid w:val="5DCF637F"/>
    <w:rsid w:val="5E545717"/>
    <w:rsid w:val="5E6ECFD5"/>
    <w:rsid w:val="5E86A383"/>
    <w:rsid w:val="5E95B46D"/>
    <w:rsid w:val="5E9B82C9"/>
    <w:rsid w:val="5EB505BE"/>
    <w:rsid w:val="5EE8E47F"/>
    <w:rsid w:val="5EFEFA42"/>
    <w:rsid w:val="5F1B3403"/>
    <w:rsid w:val="5F2434D7"/>
    <w:rsid w:val="5FB43E40"/>
    <w:rsid w:val="5FB9A9BC"/>
    <w:rsid w:val="6008A1A5"/>
    <w:rsid w:val="600969B6"/>
    <w:rsid w:val="602144F4"/>
    <w:rsid w:val="603BCC0B"/>
    <w:rsid w:val="6048710A"/>
    <w:rsid w:val="6077DF54"/>
    <w:rsid w:val="607D2B79"/>
    <w:rsid w:val="60861429"/>
    <w:rsid w:val="60BF6328"/>
    <w:rsid w:val="60D2FBFA"/>
    <w:rsid w:val="61119591"/>
    <w:rsid w:val="614F5632"/>
    <w:rsid w:val="61AE3A1D"/>
    <w:rsid w:val="61BC4BCC"/>
    <w:rsid w:val="61C3DB23"/>
    <w:rsid w:val="61D28431"/>
    <w:rsid w:val="622DB09D"/>
    <w:rsid w:val="6248FF64"/>
    <w:rsid w:val="62559184"/>
    <w:rsid w:val="6296D7B6"/>
    <w:rsid w:val="62CFB2F2"/>
    <w:rsid w:val="62D0EF32"/>
    <w:rsid w:val="62EF4A4E"/>
    <w:rsid w:val="6311725B"/>
    <w:rsid w:val="6323DD9B"/>
    <w:rsid w:val="6328D60C"/>
    <w:rsid w:val="633F8E0C"/>
    <w:rsid w:val="6347EADA"/>
    <w:rsid w:val="63594FB2"/>
    <w:rsid w:val="63AC54F5"/>
    <w:rsid w:val="64061F0F"/>
    <w:rsid w:val="646FE8C7"/>
    <w:rsid w:val="64901A08"/>
    <w:rsid w:val="64C0A528"/>
    <w:rsid w:val="64C2405D"/>
    <w:rsid w:val="64E1498C"/>
    <w:rsid w:val="651384A0"/>
    <w:rsid w:val="652BA470"/>
    <w:rsid w:val="65A116D8"/>
    <w:rsid w:val="65B04E65"/>
    <w:rsid w:val="65E9C9B0"/>
    <w:rsid w:val="66144723"/>
    <w:rsid w:val="66679257"/>
    <w:rsid w:val="66B4379C"/>
    <w:rsid w:val="66B9796D"/>
    <w:rsid w:val="66CECB08"/>
    <w:rsid w:val="66F531CA"/>
    <w:rsid w:val="66F6AAA0"/>
    <w:rsid w:val="671EACD5"/>
    <w:rsid w:val="6773BB12"/>
    <w:rsid w:val="67ACBE5B"/>
    <w:rsid w:val="67D35BE7"/>
    <w:rsid w:val="67E23A70"/>
    <w:rsid w:val="67E8531C"/>
    <w:rsid w:val="687B0D2D"/>
    <w:rsid w:val="68C931E3"/>
    <w:rsid w:val="68F1BEB7"/>
    <w:rsid w:val="690D73D5"/>
    <w:rsid w:val="69116905"/>
    <w:rsid w:val="691431F0"/>
    <w:rsid w:val="69425CC2"/>
    <w:rsid w:val="69428138"/>
    <w:rsid w:val="6947F317"/>
    <w:rsid w:val="69790E40"/>
    <w:rsid w:val="698662C9"/>
    <w:rsid w:val="6992B00A"/>
    <w:rsid w:val="69BF7188"/>
    <w:rsid w:val="69DB1A16"/>
    <w:rsid w:val="69F524BC"/>
    <w:rsid w:val="6A95DAF3"/>
    <w:rsid w:val="6AC56E42"/>
    <w:rsid w:val="6AD20062"/>
    <w:rsid w:val="6AE5C618"/>
    <w:rsid w:val="6AF5ABA5"/>
    <w:rsid w:val="6AF8B4AE"/>
    <w:rsid w:val="6B10885C"/>
    <w:rsid w:val="6B427544"/>
    <w:rsid w:val="6B4E1E2D"/>
    <w:rsid w:val="6B5CC847"/>
    <w:rsid w:val="6BBA1EDE"/>
    <w:rsid w:val="6BDE0C8A"/>
    <w:rsid w:val="6C59DB09"/>
    <w:rsid w:val="6C66A1D7"/>
    <w:rsid w:val="6C9F929F"/>
    <w:rsid w:val="6CCFCBAC"/>
    <w:rsid w:val="6CD8A6C4"/>
    <w:rsid w:val="6CE23BD3"/>
    <w:rsid w:val="6CFF3084"/>
    <w:rsid w:val="6D184090"/>
    <w:rsid w:val="6D1B39AD"/>
    <w:rsid w:val="6D28CAA5"/>
    <w:rsid w:val="6D5699D9"/>
    <w:rsid w:val="6D5E592A"/>
    <w:rsid w:val="6D6AA4CF"/>
    <w:rsid w:val="6D96E169"/>
    <w:rsid w:val="6DA14C67"/>
    <w:rsid w:val="6DC81B8D"/>
    <w:rsid w:val="6DE4F8CE"/>
    <w:rsid w:val="6DE9AD68"/>
    <w:rsid w:val="6E029AB7"/>
    <w:rsid w:val="6E30FCF2"/>
    <w:rsid w:val="6ECCB945"/>
    <w:rsid w:val="6ED5F45A"/>
    <w:rsid w:val="6EEF6936"/>
    <w:rsid w:val="6F76690D"/>
    <w:rsid w:val="6F7BCDEF"/>
    <w:rsid w:val="6F9C9348"/>
    <w:rsid w:val="6FB74391"/>
    <w:rsid w:val="6FEC203D"/>
    <w:rsid w:val="702FF18F"/>
    <w:rsid w:val="703DCF96"/>
    <w:rsid w:val="7094C1B4"/>
    <w:rsid w:val="70A16F28"/>
    <w:rsid w:val="70CB5097"/>
    <w:rsid w:val="70D66303"/>
    <w:rsid w:val="70FD9D10"/>
    <w:rsid w:val="70FF4843"/>
    <w:rsid w:val="71143325"/>
    <w:rsid w:val="71223896"/>
    <w:rsid w:val="7160C5C4"/>
    <w:rsid w:val="720265A3"/>
    <w:rsid w:val="72913779"/>
    <w:rsid w:val="72CE83F6"/>
    <w:rsid w:val="72D243D5"/>
    <w:rsid w:val="72DB0CA0"/>
    <w:rsid w:val="73147F3D"/>
    <w:rsid w:val="7341DD20"/>
    <w:rsid w:val="735291BE"/>
    <w:rsid w:val="7382F4A6"/>
    <w:rsid w:val="7398A284"/>
    <w:rsid w:val="73BDE92B"/>
    <w:rsid w:val="73F9B217"/>
    <w:rsid w:val="74A237AF"/>
    <w:rsid w:val="74A54742"/>
    <w:rsid w:val="7525A80A"/>
    <w:rsid w:val="752F1E92"/>
    <w:rsid w:val="7560AAF3"/>
    <w:rsid w:val="7598EC2E"/>
    <w:rsid w:val="75A01543"/>
    <w:rsid w:val="75ADBD72"/>
    <w:rsid w:val="75BDFC2A"/>
    <w:rsid w:val="75DA2748"/>
    <w:rsid w:val="75E7874A"/>
    <w:rsid w:val="7628D317"/>
    <w:rsid w:val="765E6A04"/>
    <w:rsid w:val="766C30B6"/>
    <w:rsid w:val="76A100AE"/>
    <w:rsid w:val="76DCF1C1"/>
    <w:rsid w:val="76F262BF"/>
    <w:rsid w:val="76F9142F"/>
    <w:rsid w:val="77065D4C"/>
    <w:rsid w:val="773D7CD9"/>
    <w:rsid w:val="77879456"/>
    <w:rsid w:val="77944A0A"/>
    <w:rsid w:val="77BB484B"/>
    <w:rsid w:val="77C4B75A"/>
    <w:rsid w:val="77E88F3D"/>
    <w:rsid w:val="780B33D8"/>
    <w:rsid w:val="7833A801"/>
    <w:rsid w:val="783E4CE5"/>
    <w:rsid w:val="785B7422"/>
    <w:rsid w:val="7862DA27"/>
    <w:rsid w:val="78789EF0"/>
    <w:rsid w:val="788D0958"/>
    <w:rsid w:val="78AE8407"/>
    <w:rsid w:val="78BE1DBE"/>
    <w:rsid w:val="78C8B6EB"/>
    <w:rsid w:val="78E03430"/>
    <w:rsid w:val="78F1C366"/>
    <w:rsid w:val="7919844F"/>
    <w:rsid w:val="79236F4F"/>
    <w:rsid w:val="795E25D7"/>
    <w:rsid w:val="79F02F43"/>
    <w:rsid w:val="7A4A1C01"/>
    <w:rsid w:val="7A5D1AB8"/>
    <w:rsid w:val="7AB6F2F3"/>
    <w:rsid w:val="7AB8D929"/>
    <w:rsid w:val="7AC5146E"/>
    <w:rsid w:val="7AEB0776"/>
    <w:rsid w:val="7B4355F7"/>
    <w:rsid w:val="7B4D867D"/>
    <w:rsid w:val="7B4DB94E"/>
    <w:rsid w:val="7BF0A86F"/>
    <w:rsid w:val="7BF5646F"/>
    <w:rsid w:val="7BF5E985"/>
    <w:rsid w:val="7C187702"/>
    <w:rsid w:val="7C24D922"/>
    <w:rsid w:val="7C537D95"/>
    <w:rsid w:val="7C92C265"/>
    <w:rsid w:val="7CB06DF1"/>
    <w:rsid w:val="7CCFE371"/>
    <w:rsid w:val="7D1EA68D"/>
    <w:rsid w:val="7D2D739A"/>
    <w:rsid w:val="7D6EE135"/>
    <w:rsid w:val="7D9A5C57"/>
    <w:rsid w:val="7DA0E3AF"/>
    <w:rsid w:val="7DBA7899"/>
    <w:rsid w:val="7DF80F0E"/>
    <w:rsid w:val="7E0F65AD"/>
    <w:rsid w:val="7E2AF12F"/>
    <w:rsid w:val="7E57F02E"/>
    <w:rsid w:val="7E75A794"/>
    <w:rsid w:val="7E94B388"/>
    <w:rsid w:val="7EEB952F"/>
    <w:rsid w:val="7EFB4700"/>
    <w:rsid w:val="7F251F34"/>
    <w:rsid w:val="7F458FF0"/>
    <w:rsid w:val="7F82CC2A"/>
    <w:rsid w:val="7FE637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B5366"/>
  <w15:chartTrackingRefBased/>
  <w15:docId w15:val="{82CC8398-107A-E94C-BA2E-97761DE3312F}"/>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4"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0" w:qFormat="1"/>
    <w:lsdException w:name="heading 8" w:semiHidden="1" w:uiPriority="0" w:qFormat="1"/>
    <w:lsdException w:name="heading 9" w:semiHidden="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61AFE"/>
    <w:pPr>
      <w:spacing w:after="0" w:line="360" w:lineRule="auto"/>
      <w:ind w:firstLine="720"/>
    </w:pPr>
    <w:rPr>
      <w:rFonts w:ascii="Book Antiqua" w:hAnsi="Book Antiqua"/>
      <w:sz w:val="26"/>
    </w:rPr>
  </w:style>
  <w:style w:type="paragraph" w:styleId="Heading1">
    <w:name w:val="heading 1"/>
    <w:basedOn w:val="Dummy"/>
    <w:next w:val="Standard"/>
    <w:link w:val="Heading1Char"/>
    <w:uiPriority w:val="4"/>
    <w:qFormat/>
    <w:rsid w:val="000E270A"/>
    <w:pPr>
      <w:ind w:right="2160"/>
    </w:pPr>
    <w:rPr>
      <w:rFonts w:eastAsiaTheme="majorEastAsia" w:cstheme="majorBidi"/>
      <w:szCs w:val="32"/>
    </w:rPr>
  </w:style>
  <w:style w:type="paragraph" w:styleId="Heading2">
    <w:name w:val="heading 2"/>
    <w:basedOn w:val="Dummy"/>
    <w:next w:val="Standard"/>
    <w:link w:val="Heading2Char"/>
    <w:uiPriority w:val="4"/>
    <w:qFormat/>
    <w:rsid w:val="000E270A"/>
    <w:pPr>
      <w:ind w:right="2160"/>
      <w:outlineLvl w:val="1"/>
    </w:pPr>
  </w:style>
  <w:style w:type="paragraph" w:styleId="Heading3">
    <w:name w:val="heading 3"/>
    <w:basedOn w:val="Dummy"/>
    <w:next w:val="Standard"/>
    <w:link w:val="Heading3Char"/>
    <w:qFormat/>
    <w:rsid w:val="000E270A"/>
    <w:pPr>
      <w:ind w:right="2160"/>
      <w:outlineLvl w:val="2"/>
    </w:pPr>
    <w:rPr>
      <w:rFonts w:eastAsiaTheme="majorEastAsia" w:cstheme="majorBidi"/>
      <w:szCs w:val="24"/>
    </w:rPr>
  </w:style>
  <w:style w:type="paragraph" w:styleId="Heading4">
    <w:name w:val="heading 4"/>
    <w:basedOn w:val="Dummy"/>
    <w:next w:val="Standard"/>
    <w:link w:val="Heading4Char"/>
    <w:qFormat/>
    <w:rsid w:val="000E270A"/>
    <w:pPr>
      <w:ind w:right="2160"/>
      <w:outlineLvl w:val="3"/>
    </w:pPr>
    <w:rPr>
      <w:rFonts w:eastAsiaTheme="majorEastAsia" w:cstheme="majorBidi"/>
      <w:iCs/>
    </w:rPr>
  </w:style>
  <w:style w:type="paragraph" w:styleId="Heading5">
    <w:name w:val="heading 5"/>
    <w:basedOn w:val="Dummy"/>
    <w:next w:val="Standard"/>
    <w:link w:val="Heading5Char"/>
    <w:qFormat/>
    <w:rsid w:val="000E270A"/>
    <w:pPr>
      <w:ind w:right="2160"/>
      <w:outlineLvl w:val="4"/>
    </w:pPr>
    <w:rPr>
      <w:rFonts w:eastAsiaTheme="majorEastAsia" w:cstheme="majorBidi"/>
    </w:rPr>
  </w:style>
  <w:style w:type="paragraph" w:styleId="Heading6">
    <w:name w:val="heading 6"/>
    <w:basedOn w:val="Dummy"/>
    <w:next w:val="Standard"/>
    <w:link w:val="Heading6Char"/>
    <w:qFormat/>
    <w:rsid w:val="000E270A"/>
    <w:pPr>
      <w:spacing w:before="40"/>
      <w:ind w:right="2160"/>
      <w:outlineLvl w:val="5"/>
    </w:pPr>
    <w:rPr>
      <w:rFonts w:eastAsiaTheme="majorEastAsia" w:cstheme="majorBidi"/>
    </w:rPr>
  </w:style>
  <w:style w:type="paragraph" w:styleId="Heading7">
    <w:name w:val="heading 7"/>
    <w:basedOn w:val="Normal"/>
    <w:next w:val="Normal"/>
    <w:link w:val="Heading7Char"/>
    <w:qFormat/>
    <w:rsid w:val="00490618"/>
    <w:pPr>
      <w:numPr>
        <w:ilvl w:val="6"/>
        <w:numId w:val="11"/>
      </w:numPr>
      <w:tabs>
        <w:tab w:val="left" w:pos="2520"/>
      </w:tabs>
      <w:spacing w:before="120" w:after="120" w:line="240" w:lineRule="auto"/>
      <w:outlineLvl w:val="6"/>
    </w:pPr>
    <w:rPr>
      <w:rFonts w:ascii="Helvetica" w:eastAsia="Times New Roman" w:hAnsi="Helvetica" w:cs="Times New Roman"/>
      <w:b/>
      <w:szCs w:val="24"/>
    </w:rPr>
  </w:style>
  <w:style w:type="paragraph" w:styleId="Heading8">
    <w:name w:val="heading 8"/>
    <w:basedOn w:val="Normal"/>
    <w:next w:val="Normal"/>
    <w:link w:val="Heading8Char"/>
    <w:qFormat/>
    <w:rsid w:val="00490618"/>
    <w:pPr>
      <w:numPr>
        <w:ilvl w:val="7"/>
        <w:numId w:val="11"/>
      </w:numPr>
      <w:spacing w:before="120" w:after="120" w:line="240" w:lineRule="auto"/>
      <w:outlineLvl w:val="7"/>
    </w:pPr>
    <w:rPr>
      <w:rFonts w:ascii="Helvetica" w:eastAsia="Times New Roman" w:hAnsi="Helvetica" w:cs="Times New Roman"/>
      <w:b/>
      <w:iCs/>
      <w:sz w:val="24"/>
      <w:szCs w:val="24"/>
    </w:rPr>
  </w:style>
  <w:style w:type="paragraph" w:styleId="Heading9">
    <w:name w:val="heading 9"/>
    <w:basedOn w:val="Normal"/>
    <w:next w:val="Normal"/>
    <w:link w:val="Heading9Char"/>
    <w:qFormat/>
    <w:rsid w:val="00490618"/>
    <w:pPr>
      <w:numPr>
        <w:ilvl w:val="8"/>
        <w:numId w:val="11"/>
      </w:numPr>
      <w:spacing w:before="240" w:after="60" w:line="240" w:lineRule="auto"/>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287BC5"/>
    <w:rPr>
      <w:rFonts w:ascii="Arial" w:eastAsiaTheme="majorEastAsia" w:hAnsi="Arial" w:cstheme="majorBidi"/>
      <w:b/>
      <w:sz w:val="26"/>
      <w:szCs w:val="32"/>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287BC5"/>
    <w:rPr>
      <w:rFonts w:ascii="Arial" w:hAnsi="Arial" w:cs="Arial"/>
      <w:b/>
      <w:sz w:val="26"/>
      <w:szCs w:val="26"/>
    </w:rPr>
  </w:style>
  <w:style w:type="character" w:customStyle="1" w:styleId="Heading3Char">
    <w:name w:val="Heading 3 Char"/>
    <w:basedOn w:val="DefaultParagraphFont"/>
    <w:link w:val="Heading3"/>
    <w:rsid w:val="00287BC5"/>
    <w:rPr>
      <w:rFonts w:ascii="Arial" w:eastAsiaTheme="majorEastAsia" w:hAnsi="Arial" w:cstheme="majorBidi"/>
      <w:b/>
      <w:sz w:val="26"/>
      <w:szCs w:val="24"/>
    </w:rPr>
  </w:style>
  <w:style w:type="character" w:customStyle="1" w:styleId="Heading4Char">
    <w:name w:val="Heading 4 Char"/>
    <w:basedOn w:val="DefaultParagraphFont"/>
    <w:link w:val="Heading4"/>
    <w:rsid w:val="00287BC5"/>
    <w:rPr>
      <w:rFonts w:ascii="Arial" w:eastAsiaTheme="majorEastAsia" w:hAnsi="Arial" w:cstheme="majorBidi"/>
      <w:b/>
      <w:iCs/>
      <w:sz w:val="26"/>
      <w:szCs w:val="26"/>
    </w:rPr>
  </w:style>
  <w:style w:type="character" w:customStyle="1" w:styleId="Heading5Char">
    <w:name w:val="Heading 5 Char"/>
    <w:basedOn w:val="DefaultParagraphFont"/>
    <w:link w:val="Heading5"/>
    <w:rsid w:val="00287BC5"/>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spacing w:line="240" w:lineRule="auto"/>
      <w:ind w:left="864" w:hanging="648"/>
    </w:pPr>
    <w:rPr>
      <w:rFonts w:eastAsiaTheme="minorEastAsia" w:cs="Times New Roman"/>
    </w:rPr>
  </w:style>
  <w:style w:type="paragraph" w:styleId="TOC1">
    <w:name w:val="toc 1"/>
    <w:basedOn w:val="Normal"/>
    <w:next w:val="Normal"/>
    <w:uiPriority w:val="39"/>
    <w:unhideWhenUsed/>
    <w:rsid w:val="00ED5725"/>
    <w:pPr>
      <w:spacing w:line="240" w:lineRule="auto"/>
      <w:ind w:left="432" w:hanging="432"/>
    </w:pPr>
    <w:rPr>
      <w:rFonts w:eastAsiaTheme="minorEastAsia" w:cs="Times New Roman"/>
    </w:rPr>
  </w:style>
  <w:style w:type="paragraph" w:styleId="TOC3">
    <w:name w:val="toc 3"/>
    <w:basedOn w:val="Normal"/>
    <w:next w:val="Normal"/>
    <w:uiPriority w:val="39"/>
    <w:unhideWhenUsed/>
    <w:rsid w:val="008C7413"/>
    <w:pPr>
      <w:spacing w:line="240" w:lineRule="auto"/>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semiHidden/>
    <w:rsid w:val="0098138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A56F2"/>
    <w:rPr>
      <w:rFonts w:ascii="Book Antiqua" w:hAnsi="Book Antiqua"/>
      <w:sz w:val="26"/>
    </w:rPr>
  </w:style>
  <w:style w:type="paragraph" w:styleId="Footer">
    <w:name w:val="footer"/>
    <w:basedOn w:val="Normal"/>
    <w:link w:val="FooterChar"/>
    <w:uiPriority w:val="99"/>
    <w:semiHidden/>
    <w:rsid w:val="00EE306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657C1"/>
    <w:rPr>
      <w:rFonts w:ascii="Book Antiqua" w:hAnsi="Book Antiqua"/>
      <w:sz w:val="26"/>
    </w:rPr>
  </w:style>
  <w:style w:type="paragraph" w:customStyle="1" w:styleId="BlockQuote">
    <w:name w:val="Block Quote"/>
    <w:basedOn w:val="Standard"/>
    <w:uiPriority w:val="5"/>
    <w:qFormat/>
    <w:rsid w:val="00EA36C6"/>
    <w:pPr>
      <w:spacing w:after="120" w:line="240" w:lineRule="auto"/>
      <w:ind w:left="720" w:right="720" w:firstLine="0"/>
    </w:pPr>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
    <w:basedOn w:val="Normal"/>
    <w:link w:val="FootnoteTextChar"/>
    <w:uiPriority w:val="99"/>
    <w:rsid w:val="00B01F7E"/>
    <w:pPr>
      <w:spacing w:after="120" w:line="240" w:lineRule="auto"/>
      <w:ind w:firstLine="0"/>
    </w:pPr>
    <w:rPr>
      <w:sz w:val="22"/>
      <w:szCs w:val="20"/>
    </w:rPr>
  </w:style>
  <w:style w:type="character" w:customStyle="1" w:styleId="FootnoteTextChar">
    <w:name w:val="Footnote Text Char"/>
    <w:aliases w:val="Footnote Text Char1 Char1,Footnote Text Char Char Char2,Footnote Text Char2 Char Char1,Footnote Text Char Char Char Char1,Footnote Text Char2 Char Char Char Char1,Footnote Text Char Char Char Char Char Char1,fn Char1"/>
    <w:basedOn w:val="DefaultParagraphFont"/>
    <w:link w:val="FootnoteText"/>
    <w:uiPriority w:val="40"/>
    <w:rsid w:val="007657C1"/>
    <w:rPr>
      <w:rFonts w:ascii="Book Antiqua" w:hAnsi="Book Antiqua"/>
      <w:szCs w:val="20"/>
    </w:rPr>
  </w:style>
  <w:style w:type="character" w:styleId="FootnoteReference">
    <w:name w:val="footnote reference"/>
    <w:aliases w:val="o,fr,o1,o2,o3,o4,o5,o6,o11,o21,o7,Style 3"/>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ind w:firstLine="540"/>
    </w:pPr>
  </w:style>
  <w:style w:type="paragraph" w:customStyle="1" w:styleId="CoL">
    <w:name w:val="CoL"/>
    <w:basedOn w:val="Standard"/>
    <w:uiPriority w:val="7"/>
    <w:qFormat/>
    <w:rsid w:val="001E2A62"/>
    <w:pPr>
      <w:ind w:firstLine="547"/>
    </w:pPr>
  </w:style>
  <w:style w:type="paragraph" w:styleId="NoSpacing">
    <w:name w:val="No Spacing"/>
    <w:basedOn w:val="Standard"/>
    <w:uiPriority w:val="1"/>
    <w:rsid w:val="00287BC5"/>
    <w:pPr>
      <w:spacing w:after="120" w:line="240" w:lineRule="auto"/>
      <w:ind w:firstLine="0"/>
      <w:contextualSpacing/>
    </w:pPr>
  </w:style>
  <w:style w:type="paragraph" w:customStyle="1" w:styleId="OP">
    <w:name w:val="OP"/>
    <w:basedOn w:val="FoF"/>
    <w:uiPriority w:val="8"/>
    <w:qFormat/>
    <w:rsid w:val="004E6EF2"/>
    <w:pPr>
      <w:numPr>
        <w:ilvl w:val="6"/>
        <w:numId w:val="1"/>
      </w:numPr>
      <w:tabs>
        <w:tab w:val="num" w:pos="1080"/>
      </w:tabs>
      <w:ind w:left="0" w:firstLine="720"/>
    </w:pPr>
  </w:style>
  <w:style w:type="paragraph" w:styleId="BalloonText">
    <w:name w:val="Balloon Text"/>
    <w:basedOn w:val="Normal"/>
    <w:link w:val="BalloonTextChar"/>
    <w:uiPriority w:val="99"/>
    <w:semiHidden/>
    <w:unhideWhenUsed/>
    <w:rsid w:val="004C7D3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0E270A"/>
    <w:pPr>
      <w:numPr>
        <w:numId w:val="5"/>
      </w:numPr>
    </w:pPr>
  </w:style>
  <w:style w:type="paragraph" w:customStyle="1" w:styleId="Standard">
    <w:name w:val="Standard"/>
    <w:basedOn w:val="Normal"/>
    <w:qFormat/>
    <w:rsid w:val="007A406D"/>
  </w:style>
  <w:style w:type="paragraph" w:customStyle="1" w:styleId="ListAlpha">
    <w:name w:val="List Alpha"/>
    <w:basedOn w:val="Standard"/>
    <w:uiPriority w:val="4"/>
    <w:qFormat/>
    <w:rsid w:val="00660E71"/>
    <w:pPr>
      <w:numPr>
        <w:numId w:val="30"/>
      </w:numPr>
      <w:spacing w:after="120" w:line="240" w:lineRule="auto"/>
      <w:ind w:right="1440"/>
    </w:pPr>
  </w:style>
  <w:style w:type="paragraph" w:styleId="ListBullet">
    <w:name w:val="List Bullet"/>
    <w:basedOn w:val="Standard"/>
    <w:uiPriority w:val="4"/>
    <w:qFormat/>
    <w:rsid w:val="001F2819"/>
    <w:pPr>
      <w:numPr>
        <w:numId w:val="6"/>
      </w:numPr>
      <w:tabs>
        <w:tab w:val="clear" w:pos="360"/>
      </w:tabs>
      <w:spacing w:after="120" w:line="240" w:lineRule="auto"/>
      <w:ind w:left="1080"/>
    </w:pPr>
  </w:style>
  <w:style w:type="character" w:customStyle="1" w:styleId="Heading6Char">
    <w:name w:val="Heading 6 Char"/>
    <w:basedOn w:val="DefaultParagraphFont"/>
    <w:link w:val="Heading6"/>
    <w:rsid w:val="00287BC5"/>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spacing w:line="240" w:lineRule="auto"/>
      <w:ind w:left="1728" w:hanging="1080"/>
    </w:pPr>
  </w:style>
  <w:style w:type="paragraph" w:styleId="TOC5">
    <w:name w:val="toc 5"/>
    <w:basedOn w:val="Normal"/>
    <w:next w:val="Normal"/>
    <w:autoRedefine/>
    <w:uiPriority w:val="39"/>
    <w:unhideWhenUsed/>
    <w:rsid w:val="008C7413"/>
    <w:pPr>
      <w:spacing w:line="240" w:lineRule="auto"/>
      <w:ind w:left="2160" w:hanging="1296"/>
    </w:pPr>
  </w:style>
  <w:style w:type="paragraph" w:styleId="TOC6">
    <w:name w:val="toc 6"/>
    <w:basedOn w:val="Normal"/>
    <w:next w:val="Normal"/>
    <w:autoRedefine/>
    <w:uiPriority w:val="39"/>
    <w:unhideWhenUsed/>
    <w:rsid w:val="008C7413"/>
    <w:pPr>
      <w:spacing w:line="240" w:lineRule="auto"/>
      <w:ind w:left="2592" w:hanging="1512"/>
    </w:pPr>
  </w:style>
  <w:style w:type="paragraph" w:customStyle="1" w:styleId="TableText">
    <w:name w:val="Table Text"/>
    <w:basedOn w:val="NoSpacing"/>
    <w:uiPriority w:val="5"/>
    <w:rsid w:val="00E53438"/>
    <w:pPr>
      <w:spacing w:after="0"/>
    </w:pPr>
    <w:rPr>
      <w:sz w:val="22"/>
    </w:rPr>
  </w:style>
  <w:style w:type="paragraph" w:customStyle="1" w:styleId="ListNum">
    <w:name w:val="List Num"/>
    <w:basedOn w:val="Standard"/>
    <w:uiPriority w:val="4"/>
    <w:rsid w:val="000E270A"/>
    <w:pPr>
      <w:spacing w:after="120" w:line="240" w:lineRule="auto"/>
      <w:ind w:firstLine="0"/>
    </w:pPr>
  </w:style>
  <w:style w:type="paragraph" w:customStyle="1" w:styleId="main0">
    <w:name w:val="main"/>
    <w:basedOn w:val="Normal"/>
    <w:link w:val="mainChar"/>
    <w:rsid w:val="00B766F8"/>
    <w:pPr>
      <w:spacing w:line="240" w:lineRule="auto"/>
      <w:ind w:firstLine="0"/>
      <w:jc w:val="center"/>
    </w:pPr>
    <w:rPr>
      <w:rFonts w:ascii="Helvetica" w:eastAsia="Times New Roman" w:hAnsi="Helvetica" w:cs="Times New Roman"/>
      <w:b/>
      <w:szCs w:val="20"/>
    </w:rPr>
  </w:style>
  <w:style w:type="character" w:customStyle="1" w:styleId="mainChar">
    <w:name w:val="main Char"/>
    <w:link w:val="main0"/>
    <w:rsid w:val="00B766F8"/>
    <w:rPr>
      <w:rFonts w:ascii="Helvetica" w:eastAsia="Times New Roman" w:hAnsi="Helvetica" w:cs="Times New Roman"/>
      <w:b/>
      <w:sz w:val="26"/>
      <w:szCs w:val="20"/>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uiPriority w:val="99"/>
    <w:rsid w:val="00FA3CE7"/>
    <w:rPr>
      <w:rFonts w:ascii="Palatino" w:hAnsi="Palatino"/>
      <w:sz w:val="24"/>
      <w:lang w:val="en-US" w:eastAsia="en-US" w:bidi="ar-SA"/>
    </w:rPr>
  </w:style>
  <w:style w:type="character" w:styleId="CommentReference">
    <w:name w:val="annotation reference"/>
    <w:basedOn w:val="DefaultParagraphFont"/>
    <w:rsid w:val="00FA3CE7"/>
    <w:rPr>
      <w:sz w:val="16"/>
      <w:szCs w:val="16"/>
    </w:rPr>
  </w:style>
  <w:style w:type="paragraph" w:styleId="CommentText">
    <w:name w:val="annotation text"/>
    <w:basedOn w:val="Normal"/>
    <w:link w:val="CommentTextChar"/>
    <w:rsid w:val="00FA3CE7"/>
    <w:pPr>
      <w:spacing w:line="240" w:lineRule="auto"/>
      <w:ind w:firstLine="0"/>
    </w:pPr>
    <w:rPr>
      <w:rFonts w:ascii="Palatino" w:eastAsia="Times New Roman" w:hAnsi="Palatino" w:cs="Times New Roman"/>
      <w:sz w:val="20"/>
      <w:szCs w:val="20"/>
    </w:rPr>
  </w:style>
  <w:style w:type="character" w:customStyle="1" w:styleId="CommentTextChar">
    <w:name w:val="Comment Text Char"/>
    <w:basedOn w:val="DefaultParagraphFont"/>
    <w:link w:val="CommentText"/>
    <w:rsid w:val="00FA3CE7"/>
    <w:rPr>
      <w:rFonts w:ascii="Palatino" w:eastAsia="Times New Roman" w:hAnsi="Palatino" w:cs="Times New Roman"/>
      <w:sz w:val="20"/>
      <w:szCs w:val="20"/>
    </w:rPr>
  </w:style>
  <w:style w:type="character" w:styleId="Mention">
    <w:name w:val="Mention"/>
    <w:basedOn w:val="DefaultParagraphFont"/>
    <w:uiPriority w:val="99"/>
    <w:unhideWhenUsed/>
    <w:rsid w:val="00FA3CE7"/>
    <w:rPr>
      <w:color w:val="2B579A"/>
      <w:shd w:val="clear" w:color="auto" w:fill="E1DFDD"/>
    </w:rPr>
  </w:style>
  <w:style w:type="paragraph" w:styleId="ListParagraph">
    <w:name w:val="List Paragraph"/>
    <w:basedOn w:val="Normal"/>
    <w:uiPriority w:val="34"/>
    <w:qFormat/>
    <w:rsid w:val="00081F6C"/>
    <w:pPr>
      <w:ind w:left="720"/>
      <w:contextualSpacing/>
    </w:pPr>
  </w:style>
  <w:style w:type="paragraph" w:customStyle="1" w:styleId="xl27">
    <w:name w:val="xl27"/>
    <w:basedOn w:val="Normal"/>
    <w:rsid w:val="001B1380"/>
    <w:pPr>
      <w:spacing w:before="100" w:beforeAutospacing="1" w:after="100" w:afterAutospacing="1" w:line="240" w:lineRule="auto"/>
      <w:ind w:firstLine="0"/>
      <w:jc w:val="center"/>
    </w:pPr>
    <w:rPr>
      <w:rFonts w:ascii="Arial" w:eastAsia="Arial Unicode MS" w:hAnsi="Arial" w:cs="Arial"/>
      <w:b/>
      <w:bCs/>
      <w:sz w:val="24"/>
      <w:szCs w:val="24"/>
    </w:rPr>
  </w:style>
  <w:style w:type="paragraph" w:customStyle="1" w:styleId="Footnote">
    <w:name w:val="Footnote"/>
    <w:basedOn w:val="FootnoteText"/>
    <w:rsid w:val="001B1380"/>
  </w:style>
  <w:style w:type="paragraph" w:customStyle="1" w:styleId="sub1">
    <w:name w:val="sub1"/>
    <w:basedOn w:val="Normal"/>
    <w:uiPriority w:val="99"/>
    <w:rsid w:val="00D7064A"/>
    <w:rPr>
      <w:rFonts w:ascii="Palatino" w:eastAsia="Times New Roman" w:hAnsi="Palatino" w:cs="Times New Roman"/>
      <w:szCs w:val="20"/>
    </w:rPr>
  </w:style>
  <w:style w:type="character" w:styleId="SubtleEmphasis">
    <w:name w:val="Subtle Emphasis"/>
    <w:basedOn w:val="DefaultParagraphFont"/>
    <w:uiPriority w:val="19"/>
    <w:qFormat/>
    <w:rsid w:val="00D7064A"/>
    <w:rPr>
      <w:i/>
      <w:iCs/>
      <w:color w:val="404040" w:themeColor="text1" w:themeTint="BF"/>
    </w:rPr>
  </w:style>
  <w:style w:type="paragraph" w:customStyle="1" w:styleId="standard0">
    <w:name w:val="standard"/>
    <w:basedOn w:val="Normal"/>
    <w:link w:val="standardChar"/>
    <w:uiPriority w:val="99"/>
    <w:rsid w:val="00D7064A"/>
    <w:rPr>
      <w:rFonts w:ascii="Palatino" w:eastAsia="Times New Roman" w:hAnsi="Palatino" w:cs="Times New Roman"/>
      <w:szCs w:val="20"/>
    </w:rPr>
  </w:style>
  <w:style w:type="paragraph" w:customStyle="1" w:styleId="sub4">
    <w:name w:val="sub4"/>
    <w:basedOn w:val="Normal"/>
    <w:rsid w:val="00D7064A"/>
    <w:rPr>
      <w:rFonts w:ascii="Palatino" w:eastAsia="Times New Roman" w:hAnsi="Palatino" w:cs="Times New Roman"/>
      <w:szCs w:val="20"/>
    </w:rPr>
  </w:style>
  <w:style w:type="paragraph" w:styleId="BodyText">
    <w:name w:val="Body Text"/>
    <w:basedOn w:val="Normal"/>
    <w:link w:val="BodyTextChar"/>
    <w:rsid w:val="00D7064A"/>
    <w:pPr>
      <w:tabs>
        <w:tab w:val="left" w:pos="2160"/>
        <w:tab w:val="left" w:pos="3600"/>
      </w:tabs>
      <w:spacing w:line="240" w:lineRule="auto"/>
      <w:ind w:firstLine="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7064A"/>
    <w:rPr>
      <w:rFonts w:ascii="Times New Roman" w:eastAsia="Times New Roman" w:hAnsi="Times New Roman" w:cs="Times New Roman"/>
      <w:sz w:val="24"/>
      <w:szCs w:val="20"/>
    </w:rPr>
  </w:style>
  <w:style w:type="character" w:customStyle="1" w:styleId="standardChar">
    <w:name w:val="standard Char"/>
    <w:link w:val="standard0"/>
    <w:uiPriority w:val="99"/>
    <w:rsid w:val="00D7064A"/>
    <w:rPr>
      <w:rFonts w:ascii="Palatino" w:eastAsia="Times New Roman" w:hAnsi="Palatino" w:cs="Times New Roman"/>
      <w:sz w:val="26"/>
      <w:szCs w:val="20"/>
    </w:rPr>
  </w:style>
  <w:style w:type="paragraph" w:customStyle="1" w:styleId="Default">
    <w:name w:val="Default"/>
    <w:rsid w:val="00D7064A"/>
    <w:pPr>
      <w:autoSpaceDE w:val="0"/>
      <w:autoSpaceDN w:val="0"/>
      <w:adjustRightInd w:val="0"/>
      <w:spacing w:after="0" w:line="240" w:lineRule="auto"/>
    </w:pPr>
    <w:rPr>
      <w:rFonts w:ascii="Tahoma" w:eastAsia="Times New Roman" w:hAnsi="Tahoma" w:cs="Tahoma"/>
      <w:color w:val="000000"/>
      <w:sz w:val="24"/>
      <w:szCs w:val="24"/>
    </w:rPr>
  </w:style>
  <w:style w:type="paragraph" w:styleId="Caption">
    <w:name w:val="caption"/>
    <w:basedOn w:val="BodyText"/>
    <w:uiPriority w:val="35"/>
    <w:qFormat/>
    <w:rsid w:val="00D7064A"/>
    <w:pPr>
      <w:tabs>
        <w:tab w:val="clear" w:pos="2160"/>
        <w:tab w:val="clear" w:pos="3600"/>
        <w:tab w:val="left" w:pos="4320"/>
        <w:tab w:val="left" w:pos="5040"/>
      </w:tabs>
      <w:overflowPunct w:val="0"/>
      <w:autoSpaceDE w:val="0"/>
      <w:autoSpaceDN w:val="0"/>
      <w:adjustRightInd w:val="0"/>
      <w:textAlignment w:val="baseline"/>
    </w:pPr>
    <w:rPr>
      <w:sz w:val="26"/>
      <w:szCs w:val="24"/>
    </w:rPr>
  </w:style>
  <w:style w:type="table" w:styleId="GridTable4">
    <w:name w:val="Grid Table 4"/>
    <w:basedOn w:val="TableNormal"/>
    <w:uiPriority w:val="49"/>
    <w:rsid w:val="00D7064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36503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D3C2C"/>
    <w:pPr>
      <w:ind w:firstLine="720"/>
    </w:pPr>
    <w:rPr>
      <w:rFonts w:ascii="Book Antiqua" w:eastAsiaTheme="minorHAnsi" w:hAnsi="Book Antiqua" w:cstheme="minorBidi"/>
      <w:b/>
      <w:bCs/>
    </w:rPr>
  </w:style>
  <w:style w:type="character" w:customStyle="1" w:styleId="CommentSubjectChar">
    <w:name w:val="Comment Subject Char"/>
    <w:basedOn w:val="CommentTextChar"/>
    <w:link w:val="CommentSubject"/>
    <w:uiPriority w:val="99"/>
    <w:semiHidden/>
    <w:rsid w:val="001D3C2C"/>
    <w:rPr>
      <w:rFonts w:ascii="Book Antiqua" w:eastAsia="Times New Roman" w:hAnsi="Book Antiqua" w:cs="Times New Roman"/>
      <w:b/>
      <w:bCs/>
      <w:sz w:val="20"/>
      <w:szCs w:val="20"/>
    </w:rPr>
  </w:style>
  <w:style w:type="paragraph" w:customStyle="1" w:styleId="paragraph">
    <w:name w:val="paragraph"/>
    <w:basedOn w:val="Normal"/>
    <w:rsid w:val="00936F54"/>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customStyle="1" w:styleId="normaltextrun">
    <w:name w:val="normaltextrun"/>
    <w:basedOn w:val="DefaultParagraphFont"/>
    <w:rsid w:val="00936F54"/>
  </w:style>
  <w:style w:type="character" w:customStyle="1" w:styleId="eop">
    <w:name w:val="eop"/>
    <w:basedOn w:val="DefaultParagraphFont"/>
    <w:rsid w:val="00936F54"/>
  </w:style>
  <w:style w:type="character" w:customStyle="1" w:styleId="scxw84102089">
    <w:name w:val="scxw84102089"/>
    <w:basedOn w:val="DefaultParagraphFont"/>
    <w:rsid w:val="00936F54"/>
  </w:style>
  <w:style w:type="character" w:customStyle="1" w:styleId="Heading7Char">
    <w:name w:val="Heading 7 Char"/>
    <w:basedOn w:val="DefaultParagraphFont"/>
    <w:link w:val="Heading7"/>
    <w:rsid w:val="00490618"/>
    <w:rPr>
      <w:rFonts w:ascii="Helvetica" w:eastAsia="Times New Roman" w:hAnsi="Helvetica" w:cs="Times New Roman"/>
      <w:b/>
      <w:sz w:val="26"/>
      <w:szCs w:val="24"/>
    </w:rPr>
  </w:style>
  <w:style w:type="character" w:customStyle="1" w:styleId="Heading8Char">
    <w:name w:val="Heading 8 Char"/>
    <w:basedOn w:val="DefaultParagraphFont"/>
    <w:link w:val="Heading8"/>
    <w:rsid w:val="00490618"/>
    <w:rPr>
      <w:rFonts w:ascii="Helvetica" w:eastAsia="Times New Roman" w:hAnsi="Helvetica" w:cs="Times New Roman"/>
      <w:b/>
      <w:iCs/>
      <w:sz w:val="24"/>
      <w:szCs w:val="24"/>
    </w:rPr>
  </w:style>
  <w:style w:type="character" w:customStyle="1" w:styleId="Heading9Char">
    <w:name w:val="Heading 9 Char"/>
    <w:basedOn w:val="DefaultParagraphFont"/>
    <w:link w:val="Heading9"/>
    <w:rsid w:val="00490618"/>
    <w:rPr>
      <w:rFonts w:ascii="Arial" w:eastAsia="Times New Roman" w:hAnsi="Arial" w:cs="Arial"/>
    </w:rPr>
  </w:style>
  <w:style w:type="paragraph" w:customStyle="1" w:styleId="num1">
    <w:name w:val="num1"/>
    <w:basedOn w:val="Normal"/>
    <w:rsid w:val="00EE4FC9"/>
    <w:pPr>
      <w:tabs>
        <w:tab w:val="left" w:pos="-720"/>
      </w:tabs>
      <w:suppressAutoHyphens/>
      <w:ind w:firstLine="360"/>
    </w:pPr>
    <w:rPr>
      <w:rFonts w:ascii="Palatino" w:eastAsia="Times New Roman" w:hAnsi="Palatino" w:cs="Times New Roman"/>
      <w:szCs w:val="20"/>
    </w:rPr>
  </w:style>
  <w:style w:type="character" w:styleId="UnresolvedMention">
    <w:name w:val="Unresolved Mention"/>
    <w:basedOn w:val="DefaultParagraphFont"/>
    <w:uiPriority w:val="99"/>
    <w:unhideWhenUsed/>
    <w:rsid w:val="00871268"/>
    <w:rPr>
      <w:color w:val="605E5C"/>
      <w:shd w:val="clear" w:color="auto" w:fill="E1DFDD"/>
    </w:rPr>
  </w:style>
  <w:style w:type="paragraph" w:customStyle="1" w:styleId="xxmsonormal">
    <w:name w:val="x_x_msonormal"/>
    <w:basedOn w:val="Normal"/>
    <w:rsid w:val="003D0BA9"/>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Revision">
    <w:name w:val="Revision"/>
    <w:hidden/>
    <w:uiPriority w:val="99"/>
    <w:semiHidden/>
    <w:rsid w:val="00B351B1"/>
    <w:pPr>
      <w:spacing w:after="0" w:line="240" w:lineRule="auto"/>
    </w:pPr>
    <w:rPr>
      <w:rFonts w:ascii="Book Antiqua" w:hAnsi="Book Antiqua"/>
      <w:sz w:val="26"/>
    </w:rPr>
  </w:style>
  <w:style w:type="paragraph" w:customStyle="1" w:styleId="xmsonormal">
    <w:name w:val="x_msonormal"/>
    <w:basedOn w:val="Normal"/>
    <w:rsid w:val="0069516F"/>
    <w:pPr>
      <w:spacing w:before="100" w:beforeAutospacing="1" w:after="100" w:afterAutospacing="1" w:line="240" w:lineRule="auto"/>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442">
      <w:bodyDiv w:val="1"/>
      <w:marLeft w:val="0"/>
      <w:marRight w:val="0"/>
      <w:marTop w:val="0"/>
      <w:marBottom w:val="0"/>
      <w:divBdr>
        <w:top w:val="none" w:sz="0" w:space="0" w:color="auto"/>
        <w:left w:val="none" w:sz="0" w:space="0" w:color="auto"/>
        <w:bottom w:val="none" w:sz="0" w:space="0" w:color="auto"/>
        <w:right w:val="none" w:sz="0" w:space="0" w:color="auto"/>
      </w:divBdr>
    </w:div>
    <w:div w:id="135880745">
      <w:bodyDiv w:val="1"/>
      <w:marLeft w:val="0"/>
      <w:marRight w:val="0"/>
      <w:marTop w:val="0"/>
      <w:marBottom w:val="0"/>
      <w:divBdr>
        <w:top w:val="none" w:sz="0" w:space="0" w:color="auto"/>
        <w:left w:val="none" w:sz="0" w:space="0" w:color="auto"/>
        <w:bottom w:val="none" w:sz="0" w:space="0" w:color="auto"/>
        <w:right w:val="none" w:sz="0" w:space="0" w:color="auto"/>
      </w:divBdr>
    </w:div>
    <w:div w:id="180095606">
      <w:bodyDiv w:val="1"/>
      <w:marLeft w:val="0"/>
      <w:marRight w:val="0"/>
      <w:marTop w:val="0"/>
      <w:marBottom w:val="0"/>
      <w:divBdr>
        <w:top w:val="none" w:sz="0" w:space="0" w:color="auto"/>
        <w:left w:val="none" w:sz="0" w:space="0" w:color="auto"/>
        <w:bottom w:val="none" w:sz="0" w:space="0" w:color="auto"/>
        <w:right w:val="none" w:sz="0" w:space="0" w:color="auto"/>
      </w:divBdr>
    </w:div>
    <w:div w:id="287663825">
      <w:bodyDiv w:val="1"/>
      <w:marLeft w:val="0"/>
      <w:marRight w:val="0"/>
      <w:marTop w:val="0"/>
      <w:marBottom w:val="0"/>
      <w:divBdr>
        <w:top w:val="none" w:sz="0" w:space="0" w:color="auto"/>
        <w:left w:val="none" w:sz="0" w:space="0" w:color="auto"/>
        <w:bottom w:val="none" w:sz="0" w:space="0" w:color="auto"/>
        <w:right w:val="none" w:sz="0" w:space="0" w:color="auto"/>
      </w:divBdr>
      <w:divsChild>
        <w:div w:id="408235317">
          <w:marLeft w:val="0"/>
          <w:marRight w:val="0"/>
          <w:marTop w:val="0"/>
          <w:marBottom w:val="0"/>
          <w:divBdr>
            <w:top w:val="none" w:sz="0" w:space="0" w:color="auto"/>
            <w:left w:val="none" w:sz="0" w:space="0" w:color="auto"/>
            <w:bottom w:val="none" w:sz="0" w:space="0" w:color="auto"/>
            <w:right w:val="none" w:sz="0" w:space="0" w:color="auto"/>
          </w:divBdr>
        </w:div>
        <w:div w:id="1640190365">
          <w:marLeft w:val="0"/>
          <w:marRight w:val="0"/>
          <w:marTop w:val="0"/>
          <w:marBottom w:val="0"/>
          <w:divBdr>
            <w:top w:val="none" w:sz="0" w:space="0" w:color="auto"/>
            <w:left w:val="none" w:sz="0" w:space="0" w:color="auto"/>
            <w:bottom w:val="none" w:sz="0" w:space="0" w:color="auto"/>
            <w:right w:val="none" w:sz="0" w:space="0" w:color="auto"/>
          </w:divBdr>
        </w:div>
      </w:divsChild>
    </w:div>
    <w:div w:id="317342862">
      <w:bodyDiv w:val="1"/>
      <w:marLeft w:val="0"/>
      <w:marRight w:val="0"/>
      <w:marTop w:val="0"/>
      <w:marBottom w:val="0"/>
      <w:divBdr>
        <w:top w:val="none" w:sz="0" w:space="0" w:color="auto"/>
        <w:left w:val="none" w:sz="0" w:space="0" w:color="auto"/>
        <w:bottom w:val="none" w:sz="0" w:space="0" w:color="auto"/>
        <w:right w:val="none" w:sz="0" w:space="0" w:color="auto"/>
      </w:divBdr>
    </w:div>
    <w:div w:id="348916212">
      <w:bodyDiv w:val="1"/>
      <w:marLeft w:val="0"/>
      <w:marRight w:val="0"/>
      <w:marTop w:val="0"/>
      <w:marBottom w:val="0"/>
      <w:divBdr>
        <w:top w:val="none" w:sz="0" w:space="0" w:color="auto"/>
        <w:left w:val="none" w:sz="0" w:space="0" w:color="auto"/>
        <w:bottom w:val="none" w:sz="0" w:space="0" w:color="auto"/>
        <w:right w:val="none" w:sz="0" w:space="0" w:color="auto"/>
      </w:divBdr>
    </w:div>
    <w:div w:id="356778481">
      <w:bodyDiv w:val="1"/>
      <w:marLeft w:val="0"/>
      <w:marRight w:val="0"/>
      <w:marTop w:val="0"/>
      <w:marBottom w:val="0"/>
      <w:divBdr>
        <w:top w:val="none" w:sz="0" w:space="0" w:color="auto"/>
        <w:left w:val="none" w:sz="0" w:space="0" w:color="auto"/>
        <w:bottom w:val="none" w:sz="0" w:space="0" w:color="auto"/>
        <w:right w:val="none" w:sz="0" w:space="0" w:color="auto"/>
      </w:divBdr>
    </w:div>
    <w:div w:id="357433408">
      <w:bodyDiv w:val="1"/>
      <w:marLeft w:val="0"/>
      <w:marRight w:val="0"/>
      <w:marTop w:val="0"/>
      <w:marBottom w:val="0"/>
      <w:divBdr>
        <w:top w:val="none" w:sz="0" w:space="0" w:color="auto"/>
        <w:left w:val="none" w:sz="0" w:space="0" w:color="auto"/>
        <w:bottom w:val="none" w:sz="0" w:space="0" w:color="auto"/>
        <w:right w:val="none" w:sz="0" w:space="0" w:color="auto"/>
      </w:divBdr>
      <w:divsChild>
        <w:div w:id="2076852339">
          <w:marLeft w:val="0"/>
          <w:marRight w:val="0"/>
          <w:marTop w:val="0"/>
          <w:marBottom w:val="0"/>
          <w:divBdr>
            <w:top w:val="none" w:sz="0" w:space="0" w:color="auto"/>
            <w:left w:val="none" w:sz="0" w:space="0" w:color="auto"/>
            <w:bottom w:val="none" w:sz="0" w:space="0" w:color="auto"/>
            <w:right w:val="none" w:sz="0" w:space="0" w:color="auto"/>
          </w:divBdr>
        </w:div>
      </w:divsChild>
    </w:div>
    <w:div w:id="369569182">
      <w:bodyDiv w:val="1"/>
      <w:marLeft w:val="0"/>
      <w:marRight w:val="0"/>
      <w:marTop w:val="0"/>
      <w:marBottom w:val="0"/>
      <w:divBdr>
        <w:top w:val="none" w:sz="0" w:space="0" w:color="auto"/>
        <w:left w:val="none" w:sz="0" w:space="0" w:color="auto"/>
        <w:bottom w:val="none" w:sz="0" w:space="0" w:color="auto"/>
        <w:right w:val="none" w:sz="0" w:space="0" w:color="auto"/>
      </w:divBdr>
    </w:div>
    <w:div w:id="370618413">
      <w:bodyDiv w:val="1"/>
      <w:marLeft w:val="0"/>
      <w:marRight w:val="0"/>
      <w:marTop w:val="0"/>
      <w:marBottom w:val="0"/>
      <w:divBdr>
        <w:top w:val="none" w:sz="0" w:space="0" w:color="auto"/>
        <w:left w:val="none" w:sz="0" w:space="0" w:color="auto"/>
        <w:bottom w:val="none" w:sz="0" w:space="0" w:color="auto"/>
        <w:right w:val="none" w:sz="0" w:space="0" w:color="auto"/>
      </w:divBdr>
    </w:div>
    <w:div w:id="440296884">
      <w:bodyDiv w:val="1"/>
      <w:marLeft w:val="0"/>
      <w:marRight w:val="0"/>
      <w:marTop w:val="0"/>
      <w:marBottom w:val="0"/>
      <w:divBdr>
        <w:top w:val="none" w:sz="0" w:space="0" w:color="auto"/>
        <w:left w:val="none" w:sz="0" w:space="0" w:color="auto"/>
        <w:bottom w:val="none" w:sz="0" w:space="0" w:color="auto"/>
        <w:right w:val="none" w:sz="0" w:space="0" w:color="auto"/>
      </w:divBdr>
    </w:div>
    <w:div w:id="613437945">
      <w:bodyDiv w:val="1"/>
      <w:marLeft w:val="0"/>
      <w:marRight w:val="0"/>
      <w:marTop w:val="0"/>
      <w:marBottom w:val="0"/>
      <w:divBdr>
        <w:top w:val="none" w:sz="0" w:space="0" w:color="auto"/>
        <w:left w:val="none" w:sz="0" w:space="0" w:color="auto"/>
        <w:bottom w:val="none" w:sz="0" w:space="0" w:color="auto"/>
        <w:right w:val="none" w:sz="0" w:space="0" w:color="auto"/>
      </w:divBdr>
    </w:div>
    <w:div w:id="623778102">
      <w:bodyDiv w:val="1"/>
      <w:marLeft w:val="0"/>
      <w:marRight w:val="0"/>
      <w:marTop w:val="0"/>
      <w:marBottom w:val="0"/>
      <w:divBdr>
        <w:top w:val="none" w:sz="0" w:space="0" w:color="auto"/>
        <w:left w:val="none" w:sz="0" w:space="0" w:color="auto"/>
        <w:bottom w:val="none" w:sz="0" w:space="0" w:color="auto"/>
        <w:right w:val="none" w:sz="0" w:space="0" w:color="auto"/>
      </w:divBdr>
    </w:div>
    <w:div w:id="735862405">
      <w:bodyDiv w:val="1"/>
      <w:marLeft w:val="0"/>
      <w:marRight w:val="0"/>
      <w:marTop w:val="0"/>
      <w:marBottom w:val="0"/>
      <w:divBdr>
        <w:top w:val="none" w:sz="0" w:space="0" w:color="auto"/>
        <w:left w:val="none" w:sz="0" w:space="0" w:color="auto"/>
        <w:bottom w:val="none" w:sz="0" w:space="0" w:color="auto"/>
        <w:right w:val="none" w:sz="0" w:space="0" w:color="auto"/>
      </w:divBdr>
    </w:div>
    <w:div w:id="753210367">
      <w:bodyDiv w:val="1"/>
      <w:marLeft w:val="0"/>
      <w:marRight w:val="0"/>
      <w:marTop w:val="0"/>
      <w:marBottom w:val="0"/>
      <w:divBdr>
        <w:top w:val="none" w:sz="0" w:space="0" w:color="auto"/>
        <w:left w:val="none" w:sz="0" w:space="0" w:color="auto"/>
        <w:bottom w:val="none" w:sz="0" w:space="0" w:color="auto"/>
        <w:right w:val="none" w:sz="0" w:space="0" w:color="auto"/>
      </w:divBdr>
    </w:div>
    <w:div w:id="818544641">
      <w:bodyDiv w:val="1"/>
      <w:marLeft w:val="0"/>
      <w:marRight w:val="0"/>
      <w:marTop w:val="0"/>
      <w:marBottom w:val="0"/>
      <w:divBdr>
        <w:top w:val="none" w:sz="0" w:space="0" w:color="auto"/>
        <w:left w:val="none" w:sz="0" w:space="0" w:color="auto"/>
        <w:bottom w:val="none" w:sz="0" w:space="0" w:color="auto"/>
        <w:right w:val="none" w:sz="0" w:space="0" w:color="auto"/>
      </w:divBdr>
    </w:div>
    <w:div w:id="818955593">
      <w:bodyDiv w:val="1"/>
      <w:marLeft w:val="0"/>
      <w:marRight w:val="0"/>
      <w:marTop w:val="0"/>
      <w:marBottom w:val="0"/>
      <w:divBdr>
        <w:top w:val="none" w:sz="0" w:space="0" w:color="auto"/>
        <w:left w:val="none" w:sz="0" w:space="0" w:color="auto"/>
        <w:bottom w:val="none" w:sz="0" w:space="0" w:color="auto"/>
        <w:right w:val="none" w:sz="0" w:space="0" w:color="auto"/>
      </w:divBdr>
    </w:div>
    <w:div w:id="824972262">
      <w:bodyDiv w:val="1"/>
      <w:marLeft w:val="0"/>
      <w:marRight w:val="0"/>
      <w:marTop w:val="0"/>
      <w:marBottom w:val="0"/>
      <w:divBdr>
        <w:top w:val="none" w:sz="0" w:space="0" w:color="auto"/>
        <w:left w:val="none" w:sz="0" w:space="0" w:color="auto"/>
        <w:bottom w:val="none" w:sz="0" w:space="0" w:color="auto"/>
        <w:right w:val="none" w:sz="0" w:space="0" w:color="auto"/>
      </w:divBdr>
    </w:div>
    <w:div w:id="861361635">
      <w:bodyDiv w:val="1"/>
      <w:marLeft w:val="0"/>
      <w:marRight w:val="0"/>
      <w:marTop w:val="0"/>
      <w:marBottom w:val="0"/>
      <w:divBdr>
        <w:top w:val="none" w:sz="0" w:space="0" w:color="auto"/>
        <w:left w:val="none" w:sz="0" w:space="0" w:color="auto"/>
        <w:bottom w:val="none" w:sz="0" w:space="0" w:color="auto"/>
        <w:right w:val="none" w:sz="0" w:space="0" w:color="auto"/>
      </w:divBdr>
    </w:div>
    <w:div w:id="884752705">
      <w:bodyDiv w:val="1"/>
      <w:marLeft w:val="0"/>
      <w:marRight w:val="0"/>
      <w:marTop w:val="0"/>
      <w:marBottom w:val="0"/>
      <w:divBdr>
        <w:top w:val="none" w:sz="0" w:space="0" w:color="auto"/>
        <w:left w:val="none" w:sz="0" w:space="0" w:color="auto"/>
        <w:bottom w:val="none" w:sz="0" w:space="0" w:color="auto"/>
        <w:right w:val="none" w:sz="0" w:space="0" w:color="auto"/>
      </w:divBdr>
    </w:div>
    <w:div w:id="888154296">
      <w:bodyDiv w:val="1"/>
      <w:marLeft w:val="0"/>
      <w:marRight w:val="0"/>
      <w:marTop w:val="0"/>
      <w:marBottom w:val="0"/>
      <w:divBdr>
        <w:top w:val="none" w:sz="0" w:space="0" w:color="auto"/>
        <w:left w:val="none" w:sz="0" w:space="0" w:color="auto"/>
        <w:bottom w:val="none" w:sz="0" w:space="0" w:color="auto"/>
        <w:right w:val="none" w:sz="0" w:space="0" w:color="auto"/>
      </w:divBdr>
    </w:div>
    <w:div w:id="912205710">
      <w:bodyDiv w:val="1"/>
      <w:marLeft w:val="0"/>
      <w:marRight w:val="0"/>
      <w:marTop w:val="0"/>
      <w:marBottom w:val="0"/>
      <w:divBdr>
        <w:top w:val="none" w:sz="0" w:space="0" w:color="auto"/>
        <w:left w:val="none" w:sz="0" w:space="0" w:color="auto"/>
        <w:bottom w:val="none" w:sz="0" w:space="0" w:color="auto"/>
        <w:right w:val="none" w:sz="0" w:space="0" w:color="auto"/>
      </w:divBdr>
      <w:divsChild>
        <w:div w:id="261034450">
          <w:marLeft w:val="0"/>
          <w:marRight w:val="0"/>
          <w:marTop w:val="0"/>
          <w:marBottom w:val="0"/>
          <w:divBdr>
            <w:top w:val="none" w:sz="0" w:space="0" w:color="auto"/>
            <w:left w:val="none" w:sz="0" w:space="0" w:color="auto"/>
            <w:bottom w:val="none" w:sz="0" w:space="0" w:color="auto"/>
            <w:right w:val="none" w:sz="0" w:space="0" w:color="auto"/>
          </w:divBdr>
        </w:div>
        <w:div w:id="843587808">
          <w:marLeft w:val="0"/>
          <w:marRight w:val="0"/>
          <w:marTop w:val="0"/>
          <w:marBottom w:val="0"/>
          <w:divBdr>
            <w:top w:val="none" w:sz="0" w:space="0" w:color="auto"/>
            <w:left w:val="none" w:sz="0" w:space="0" w:color="auto"/>
            <w:bottom w:val="none" w:sz="0" w:space="0" w:color="auto"/>
            <w:right w:val="none" w:sz="0" w:space="0" w:color="auto"/>
          </w:divBdr>
        </w:div>
      </w:divsChild>
    </w:div>
    <w:div w:id="920286449">
      <w:bodyDiv w:val="1"/>
      <w:marLeft w:val="0"/>
      <w:marRight w:val="0"/>
      <w:marTop w:val="0"/>
      <w:marBottom w:val="0"/>
      <w:divBdr>
        <w:top w:val="none" w:sz="0" w:space="0" w:color="auto"/>
        <w:left w:val="none" w:sz="0" w:space="0" w:color="auto"/>
        <w:bottom w:val="none" w:sz="0" w:space="0" w:color="auto"/>
        <w:right w:val="none" w:sz="0" w:space="0" w:color="auto"/>
      </w:divBdr>
    </w:div>
    <w:div w:id="946738232">
      <w:bodyDiv w:val="1"/>
      <w:marLeft w:val="0"/>
      <w:marRight w:val="0"/>
      <w:marTop w:val="0"/>
      <w:marBottom w:val="0"/>
      <w:divBdr>
        <w:top w:val="none" w:sz="0" w:space="0" w:color="auto"/>
        <w:left w:val="none" w:sz="0" w:space="0" w:color="auto"/>
        <w:bottom w:val="none" w:sz="0" w:space="0" w:color="auto"/>
        <w:right w:val="none" w:sz="0" w:space="0" w:color="auto"/>
      </w:divBdr>
    </w:div>
    <w:div w:id="950403728">
      <w:bodyDiv w:val="1"/>
      <w:marLeft w:val="0"/>
      <w:marRight w:val="0"/>
      <w:marTop w:val="0"/>
      <w:marBottom w:val="0"/>
      <w:divBdr>
        <w:top w:val="none" w:sz="0" w:space="0" w:color="auto"/>
        <w:left w:val="none" w:sz="0" w:space="0" w:color="auto"/>
        <w:bottom w:val="none" w:sz="0" w:space="0" w:color="auto"/>
        <w:right w:val="none" w:sz="0" w:space="0" w:color="auto"/>
      </w:divBdr>
    </w:div>
    <w:div w:id="959411989">
      <w:bodyDiv w:val="1"/>
      <w:marLeft w:val="0"/>
      <w:marRight w:val="0"/>
      <w:marTop w:val="0"/>
      <w:marBottom w:val="0"/>
      <w:divBdr>
        <w:top w:val="none" w:sz="0" w:space="0" w:color="auto"/>
        <w:left w:val="none" w:sz="0" w:space="0" w:color="auto"/>
        <w:bottom w:val="none" w:sz="0" w:space="0" w:color="auto"/>
        <w:right w:val="none" w:sz="0" w:space="0" w:color="auto"/>
      </w:divBdr>
    </w:div>
    <w:div w:id="969671454">
      <w:bodyDiv w:val="1"/>
      <w:marLeft w:val="0"/>
      <w:marRight w:val="0"/>
      <w:marTop w:val="0"/>
      <w:marBottom w:val="0"/>
      <w:divBdr>
        <w:top w:val="none" w:sz="0" w:space="0" w:color="auto"/>
        <w:left w:val="none" w:sz="0" w:space="0" w:color="auto"/>
        <w:bottom w:val="none" w:sz="0" w:space="0" w:color="auto"/>
        <w:right w:val="none" w:sz="0" w:space="0" w:color="auto"/>
      </w:divBdr>
    </w:div>
    <w:div w:id="1175002296">
      <w:bodyDiv w:val="1"/>
      <w:marLeft w:val="0"/>
      <w:marRight w:val="0"/>
      <w:marTop w:val="0"/>
      <w:marBottom w:val="0"/>
      <w:divBdr>
        <w:top w:val="none" w:sz="0" w:space="0" w:color="auto"/>
        <w:left w:val="none" w:sz="0" w:space="0" w:color="auto"/>
        <w:bottom w:val="none" w:sz="0" w:space="0" w:color="auto"/>
        <w:right w:val="none" w:sz="0" w:space="0" w:color="auto"/>
      </w:divBdr>
      <w:divsChild>
        <w:div w:id="779225351">
          <w:marLeft w:val="0"/>
          <w:marRight w:val="0"/>
          <w:marTop w:val="0"/>
          <w:marBottom w:val="0"/>
          <w:divBdr>
            <w:top w:val="none" w:sz="0" w:space="0" w:color="auto"/>
            <w:left w:val="none" w:sz="0" w:space="0" w:color="auto"/>
            <w:bottom w:val="none" w:sz="0" w:space="0" w:color="auto"/>
            <w:right w:val="none" w:sz="0" w:space="0" w:color="auto"/>
          </w:divBdr>
        </w:div>
        <w:div w:id="1289970933">
          <w:marLeft w:val="0"/>
          <w:marRight w:val="0"/>
          <w:marTop w:val="0"/>
          <w:marBottom w:val="0"/>
          <w:divBdr>
            <w:top w:val="none" w:sz="0" w:space="0" w:color="auto"/>
            <w:left w:val="none" w:sz="0" w:space="0" w:color="auto"/>
            <w:bottom w:val="none" w:sz="0" w:space="0" w:color="auto"/>
            <w:right w:val="none" w:sz="0" w:space="0" w:color="auto"/>
          </w:divBdr>
        </w:div>
        <w:div w:id="1818571741">
          <w:marLeft w:val="0"/>
          <w:marRight w:val="0"/>
          <w:marTop w:val="0"/>
          <w:marBottom w:val="0"/>
          <w:divBdr>
            <w:top w:val="none" w:sz="0" w:space="0" w:color="auto"/>
            <w:left w:val="none" w:sz="0" w:space="0" w:color="auto"/>
            <w:bottom w:val="none" w:sz="0" w:space="0" w:color="auto"/>
            <w:right w:val="none" w:sz="0" w:space="0" w:color="auto"/>
          </w:divBdr>
        </w:div>
      </w:divsChild>
    </w:div>
    <w:div w:id="1176965123">
      <w:bodyDiv w:val="1"/>
      <w:marLeft w:val="0"/>
      <w:marRight w:val="0"/>
      <w:marTop w:val="0"/>
      <w:marBottom w:val="0"/>
      <w:divBdr>
        <w:top w:val="none" w:sz="0" w:space="0" w:color="auto"/>
        <w:left w:val="none" w:sz="0" w:space="0" w:color="auto"/>
        <w:bottom w:val="none" w:sz="0" w:space="0" w:color="auto"/>
        <w:right w:val="none" w:sz="0" w:space="0" w:color="auto"/>
      </w:divBdr>
    </w:div>
    <w:div w:id="1310161789">
      <w:bodyDiv w:val="1"/>
      <w:marLeft w:val="0"/>
      <w:marRight w:val="0"/>
      <w:marTop w:val="0"/>
      <w:marBottom w:val="0"/>
      <w:divBdr>
        <w:top w:val="none" w:sz="0" w:space="0" w:color="auto"/>
        <w:left w:val="none" w:sz="0" w:space="0" w:color="auto"/>
        <w:bottom w:val="none" w:sz="0" w:space="0" w:color="auto"/>
        <w:right w:val="none" w:sz="0" w:space="0" w:color="auto"/>
      </w:divBdr>
    </w:div>
    <w:div w:id="1376005976">
      <w:bodyDiv w:val="1"/>
      <w:marLeft w:val="0"/>
      <w:marRight w:val="0"/>
      <w:marTop w:val="0"/>
      <w:marBottom w:val="0"/>
      <w:divBdr>
        <w:top w:val="none" w:sz="0" w:space="0" w:color="auto"/>
        <w:left w:val="none" w:sz="0" w:space="0" w:color="auto"/>
        <w:bottom w:val="none" w:sz="0" w:space="0" w:color="auto"/>
        <w:right w:val="none" w:sz="0" w:space="0" w:color="auto"/>
      </w:divBdr>
    </w:div>
    <w:div w:id="1519268648">
      <w:bodyDiv w:val="1"/>
      <w:marLeft w:val="0"/>
      <w:marRight w:val="0"/>
      <w:marTop w:val="0"/>
      <w:marBottom w:val="0"/>
      <w:divBdr>
        <w:top w:val="none" w:sz="0" w:space="0" w:color="auto"/>
        <w:left w:val="none" w:sz="0" w:space="0" w:color="auto"/>
        <w:bottom w:val="none" w:sz="0" w:space="0" w:color="auto"/>
        <w:right w:val="none" w:sz="0" w:space="0" w:color="auto"/>
      </w:divBdr>
    </w:div>
    <w:div w:id="1525556893">
      <w:bodyDiv w:val="1"/>
      <w:marLeft w:val="0"/>
      <w:marRight w:val="0"/>
      <w:marTop w:val="0"/>
      <w:marBottom w:val="0"/>
      <w:divBdr>
        <w:top w:val="none" w:sz="0" w:space="0" w:color="auto"/>
        <w:left w:val="none" w:sz="0" w:space="0" w:color="auto"/>
        <w:bottom w:val="none" w:sz="0" w:space="0" w:color="auto"/>
        <w:right w:val="none" w:sz="0" w:space="0" w:color="auto"/>
      </w:divBdr>
    </w:div>
    <w:div w:id="1790734911">
      <w:bodyDiv w:val="1"/>
      <w:marLeft w:val="0"/>
      <w:marRight w:val="0"/>
      <w:marTop w:val="0"/>
      <w:marBottom w:val="0"/>
      <w:divBdr>
        <w:top w:val="none" w:sz="0" w:space="0" w:color="auto"/>
        <w:left w:val="none" w:sz="0" w:space="0" w:color="auto"/>
        <w:bottom w:val="none" w:sz="0" w:space="0" w:color="auto"/>
        <w:right w:val="none" w:sz="0" w:space="0" w:color="auto"/>
      </w:divBdr>
    </w:div>
    <w:div w:id="1836339039">
      <w:bodyDiv w:val="1"/>
      <w:marLeft w:val="0"/>
      <w:marRight w:val="0"/>
      <w:marTop w:val="0"/>
      <w:marBottom w:val="0"/>
      <w:divBdr>
        <w:top w:val="none" w:sz="0" w:space="0" w:color="auto"/>
        <w:left w:val="none" w:sz="0" w:space="0" w:color="auto"/>
        <w:bottom w:val="none" w:sz="0" w:space="0" w:color="auto"/>
        <w:right w:val="none" w:sz="0" w:space="0" w:color="auto"/>
      </w:divBdr>
    </w:div>
    <w:div w:id="1872645159">
      <w:bodyDiv w:val="1"/>
      <w:marLeft w:val="0"/>
      <w:marRight w:val="0"/>
      <w:marTop w:val="0"/>
      <w:marBottom w:val="0"/>
      <w:divBdr>
        <w:top w:val="none" w:sz="0" w:space="0" w:color="auto"/>
        <w:left w:val="none" w:sz="0" w:space="0" w:color="auto"/>
        <w:bottom w:val="none" w:sz="0" w:space="0" w:color="auto"/>
        <w:right w:val="none" w:sz="0" w:space="0" w:color="auto"/>
      </w:divBdr>
    </w:div>
    <w:div w:id="1985575770">
      <w:bodyDiv w:val="1"/>
      <w:marLeft w:val="0"/>
      <w:marRight w:val="0"/>
      <w:marTop w:val="0"/>
      <w:marBottom w:val="0"/>
      <w:divBdr>
        <w:top w:val="none" w:sz="0" w:space="0" w:color="auto"/>
        <w:left w:val="none" w:sz="0" w:space="0" w:color="auto"/>
        <w:bottom w:val="none" w:sz="0" w:space="0" w:color="auto"/>
        <w:right w:val="none" w:sz="0" w:space="0" w:color="auto"/>
      </w:divBdr>
      <w:divsChild>
        <w:div w:id="10182751">
          <w:marLeft w:val="0"/>
          <w:marRight w:val="0"/>
          <w:marTop w:val="0"/>
          <w:marBottom w:val="240"/>
          <w:divBdr>
            <w:top w:val="none" w:sz="0" w:space="0" w:color="auto"/>
            <w:left w:val="none" w:sz="0" w:space="0" w:color="auto"/>
            <w:bottom w:val="none" w:sz="0" w:space="0" w:color="auto"/>
            <w:right w:val="none" w:sz="0" w:space="0" w:color="auto"/>
          </w:divBdr>
        </w:div>
        <w:div w:id="330255634">
          <w:marLeft w:val="0"/>
          <w:marRight w:val="0"/>
          <w:marTop w:val="0"/>
          <w:marBottom w:val="240"/>
          <w:divBdr>
            <w:top w:val="none" w:sz="0" w:space="0" w:color="auto"/>
            <w:left w:val="none" w:sz="0" w:space="0" w:color="auto"/>
            <w:bottom w:val="none" w:sz="0" w:space="0" w:color="auto"/>
            <w:right w:val="none" w:sz="0" w:space="0" w:color="auto"/>
          </w:divBdr>
        </w:div>
        <w:div w:id="857159651">
          <w:marLeft w:val="0"/>
          <w:marRight w:val="0"/>
          <w:marTop w:val="0"/>
          <w:marBottom w:val="240"/>
          <w:divBdr>
            <w:top w:val="none" w:sz="0" w:space="0" w:color="auto"/>
            <w:left w:val="none" w:sz="0" w:space="0" w:color="auto"/>
            <w:bottom w:val="none" w:sz="0" w:space="0" w:color="auto"/>
            <w:right w:val="none" w:sz="0" w:space="0" w:color="auto"/>
          </w:divBdr>
        </w:div>
        <w:div w:id="1164200401">
          <w:marLeft w:val="0"/>
          <w:marRight w:val="0"/>
          <w:marTop w:val="0"/>
          <w:marBottom w:val="240"/>
          <w:divBdr>
            <w:top w:val="none" w:sz="0" w:space="0" w:color="auto"/>
            <w:left w:val="none" w:sz="0" w:space="0" w:color="auto"/>
            <w:bottom w:val="none" w:sz="0" w:space="0" w:color="auto"/>
            <w:right w:val="none" w:sz="0" w:space="0" w:color="auto"/>
          </w:divBdr>
        </w:div>
        <w:div w:id="1386179389">
          <w:marLeft w:val="0"/>
          <w:marRight w:val="0"/>
          <w:marTop w:val="0"/>
          <w:marBottom w:val="240"/>
          <w:divBdr>
            <w:top w:val="none" w:sz="0" w:space="0" w:color="auto"/>
            <w:left w:val="none" w:sz="0" w:space="0" w:color="auto"/>
            <w:bottom w:val="none" w:sz="0" w:space="0" w:color="auto"/>
            <w:right w:val="none" w:sz="0" w:space="0" w:color="auto"/>
          </w:divBdr>
        </w:div>
      </w:divsChild>
    </w:div>
    <w:div w:id="2060471054">
      <w:bodyDiv w:val="1"/>
      <w:marLeft w:val="0"/>
      <w:marRight w:val="0"/>
      <w:marTop w:val="0"/>
      <w:marBottom w:val="0"/>
      <w:divBdr>
        <w:top w:val="none" w:sz="0" w:space="0" w:color="auto"/>
        <w:left w:val="none" w:sz="0" w:space="0" w:color="auto"/>
        <w:bottom w:val="none" w:sz="0" w:space="0" w:color="auto"/>
        <w:right w:val="none" w:sz="0" w:space="0" w:color="auto"/>
      </w:divBdr>
      <w:divsChild>
        <w:div w:id="48963802">
          <w:marLeft w:val="0"/>
          <w:marRight w:val="0"/>
          <w:marTop w:val="0"/>
          <w:marBottom w:val="0"/>
          <w:divBdr>
            <w:top w:val="none" w:sz="0" w:space="0" w:color="auto"/>
            <w:left w:val="none" w:sz="0" w:space="0" w:color="auto"/>
            <w:bottom w:val="none" w:sz="0" w:space="0" w:color="auto"/>
            <w:right w:val="none" w:sz="0" w:space="0" w:color="auto"/>
          </w:divBdr>
        </w:div>
        <w:div w:id="567887213">
          <w:marLeft w:val="0"/>
          <w:marRight w:val="0"/>
          <w:marTop w:val="0"/>
          <w:marBottom w:val="0"/>
          <w:divBdr>
            <w:top w:val="none" w:sz="0" w:space="0" w:color="auto"/>
            <w:left w:val="none" w:sz="0" w:space="0" w:color="auto"/>
            <w:bottom w:val="none" w:sz="0" w:space="0" w:color="auto"/>
            <w:right w:val="none" w:sz="0" w:space="0" w:color="auto"/>
          </w:divBdr>
        </w:div>
        <w:div w:id="711417005">
          <w:marLeft w:val="0"/>
          <w:marRight w:val="0"/>
          <w:marTop w:val="0"/>
          <w:marBottom w:val="0"/>
          <w:divBdr>
            <w:top w:val="none" w:sz="0" w:space="0" w:color="auto"/>
            <w:left w:val="none" w:sz="0" w:space="0" w:color="auto"/>
            <w:bottom w:val="none" w:sz="0" w:space="0" w:color="auto"/>
            <w:right w:val="none" w:sz="0" w:space="0" w:color="auto"/>
          </w:divBdr>
        </w:div>
        <w:div w:id="1206067904">
          <w:marLeft w:val="0"/>
          <w:marRight w:val="0"/>
          <w:marTop w:val="0"/>
          <w:marBottom w:val="0"/>
          <w:divBdr>
            <w:top w:val="none" w:sz="0" w:space="0" w:color="auto"/>
            <w:left w:val="none" w:sz="0" w:space="0" w:color="auto"/>
            <w:bottom w:val="none" w:sz="0" w:space="0" w:color="auto"/>
            <w:right w:val="none" w:sz="0" w:space="0" w:color="auto"/>
          </w:divBdr>
          <w:divsChild>
            <w:div w:id="6761570">
              <w:marLeft w:val="-75"/>
              <w:marRight w:val="0"/>
              <w:marTop w:val="30"/>
              <w:marBottom w:val="30"/>
              <w:divBdr>
                <w:top w:val="none" w:sz="0" w:space="0" w:color="auto"/>
                <w:left w:val="none" w:sz="0" w:space="0" w:color="auto"/>
                <w:bottom w:val="none" w:sz="0" w:space="0" w:color="auto"/>
                <w:right w:val="none" w:sz="0" w:space="0" w:color="auto"/>
              </w:divBdr>
              <w:divsChild>
                <w:div w:id="26688590">
                  <w:marLeft w:val="0"/>
                  <w:marRight w:val="0"/>
                  <w:marTop w:val="0"/>
                  <w:marBottom w:val="0"/>
                  <w:divBdr>
                    <w:top w:val="none" w:sz="0" w:space="0" w:color="auto"/>
                    <w:left w:val="none" w:sz="0" w:space="0" w:color="auto"/>
                    <w:bottom w:val="none" w:sz="0" w:space="0" w:color="auto"/>
                    <w:right w:val="none" w:sz="0" w:space="0" w:color="auto"/>
                  </w:divBdr>
                  <w:divsChild>
                    <w:div w:id="189073976">
                      <w:marLeft w:val="0"/>
                      <w:marRight w:val="0"/>
                      <w:marTop w:val="0"/>
                      <w:marBottom w:val="0"/>
                      <w:divBdr>
                        <w:top w:val="none" w:sz="0" w:space="0" w:color="auto"/>
                        <w:left w:val="none" w:sz="0" w:space="0" w:color="auto"/>
                        <w:bottom w:val="none" w:sz="0" w:space="0" w:color="auto"/>
                        <w:right w:val="none" w:sz="0" w:space="0" w:color="auto"/>
                      </w:divBdr>
                    </w:div>
                  </w:divsChild>
                </w:div>
                <w:div w:id="111941371">
                  <w:marLeft w:val="0"/>
                  <w:marRight w:val="0"/>
                  <w:marTop w:val="0"/>
                  <w:marBottom w:val="0"/>
                  <w:divBdr>
                    <w:top w:val="none" w:sz="0" w:space="0" w:color="auto"/>
                    <w:left w:val="none" w:sz="0" w:space="0" w:color="auto"/>
                    <w:bottom w:val="none" w:sz="0" w:space="0" w:color="auto"/>
                    <w:right w:val="none" w:sz="0" w:space="0" w:color="auto"/>
                  </w:divBdr>
                  <w:divsChild>
                    <w:div w:id="405223171">
                      <w:marLeft w:val="0"/>
                      <w:marRight w:val="0"/>
                      <w:marTop w:val="0"/>
                      <w:marBottom w:val="0"/>
                      <w:divBdr>
                        <w:top w:val="none" w:sz="0" w:space="0" w:color="auto"/>
                        <w:left w:val="none" w:sz="0" w:space="0" w:color="auto"/>
                        <w:bottom w:val="none" w:sz="0" w:space="0" w:color="auto"/>
                        <w:right w:val="none" w:sz="0" w:space="0" w:color="auto"/>
                      </w:divBdr>
                    </w:div>
                  </w:divsChild>
                </w:div>
                <w:div w:id="137110311">
                  <w:marLeft w:val="0"/>
                  <w:marRight w:val="0"/>
                  <w:marTop w:val="0"/>
                  <w:marBottom w:val="0"/>
                  <w:divBdr>
                    <w:top w:val="none" w:sz="0" w:space="0" w:color="auto"/>
                    <w:left w:val="none" w:sz="0" w:space="0" w:color="auto"/>
                    <w:bottom w:val="none" w:sz="0" w:space="0" w:color="auto"/>
                    <w:right w:val="none" w:sz="0" w:space="0" w:color="auto"/>
                  </w:divBdr>
                  <w:divsChild>
                    <w:div w:id="284584904">
                      <w:marLeft w:val="0"/>
                      <w:marRight w:val="0"/>
                      <w:marTop w:val="0"/>
                      <w:marBottom w:val="0"/>
                      <w:divBdr>
                        <w:top w:val="none" w:sz="0" w:space="0" w:color="auto"/>
                        <w:left w:val="none" w:sz="0" w:space="0" w:color="auto"/>
                        <w:bottom w:val="none" w:sz="0" w:space="0" w:color="auto"/>
                        <w:right w:val="none" w:sz="0" w:space="0" w:color="auto"/>
                      </w:divBdr>
                    </w:div>
                  </w:divsChild>
                </w:div>
                <w:div w:id="238947883">
                  <w:marLeft w:val="0"/>
                  <w:marRight w:val="0"/>
                  <w:marTop w:val="0"/>
                  <w:marBottom w:val="0"/>
                  <w:divBdr>
                    <w:top w:val="none" w:sz="0" w:space="0" w:color="auto"/>
                    <w:left w:val="none" w:sz="0" w:space="0" w:color="auto"/>
                    <w:bottom w:val="none" w:sz="0" w:space="0" w:color="auto"/>
                    <w:right w:val="none" w:sz="0" w:space="0" w:color="auto"/>
                  </w:divBdr>
                  <w:divsChild>
                    <w:div w:id="739868241">
                      <w:marLeft w:val="0"/>
                      <w:marRight w:val="0"/>
                      <w:marTop w:val="0"/>
                      <w:marBottom w:val="0"/>
                      <w:divBdr>
                        <w:top w:val="none" w:sz="0" w:space="0" w:color="auto"/>
                        <w:left w:val="none" w:sz="0" w:space="0" w:color="auto"/>
                        <w:bottom w:val="none" w:sz="0" w:space="0" w:color="auto"/>
                        <w:right w:val="none" w:sz="0" w:space="0" w:color="auto"/>
                      </w:divBdr>
                    </w:div>
                  </w:divsChild>
                </w:div>
                <w:div w:id="458687250">
                  <w:marLeft w:val="0"/>
                  <w:marRight w:val="0"/>
                  <w:marTop w:val="0"/>
                  <w:marBottom w:val="0"/>
                  <w:divBdr>
                    <w:top w:val="none" w:sz="0" w:space="0" w:color="auto"/>
                    <w:left w:val="none" w:sz="0" w:space="0" w:color="auto"/>
                    <w:bottom w:val="none" w:sz="0" w:space="0" w:color="auto"/>
                    <w:right w:val="none" w:sz="0" w:space="0" w:color="auto"/>
                  </w:divBdr>
                  <w:divsChild>
                    <w:div w:id="533546550">
                      <w:marLeft w:val="0"/>
                      <w:marRight w:val="0"/>
                      <w:marTop w:val="0"/>
                      <w:marBottom w:val="0"/>
                      <w:divBdr>
                        <w:top w:val="none" w:sz="0" w:space="0" w:color="auto"/>
                        <w:left w:val="none" w:sz="0" w:space="0" w:color="auto"/>
                        <w:bottom w:val="none" w:sz="0" w:space="0" w:color="auto"/>
                        <w:right w:val="none" w:sz="0" w:space="0" w:color="auto"/>
                      </w:divBdr>
                    </w:div>
                  </w:divsChild>
                </w:div>
                <w:div w:id="495802732">
                  <w:marLeft w:val="0"/>
                  <w:marRight w:val="0"/>
                  <w:marTop w:val="0"/>
                  <w:marBottom w:val="0"/>
                  <w:divBdr>
                    <w:top w:val="none" w:sz="0" w:space="0" w:color="auto"/>
                    <w:left w:val="none" w:sz="0" w:space="0" w:color="auto"/>
                    <w:bottom w:val="none" w:sz="0" w:space="0" w:color="auto"/>
                    <w:right w:val="none" w:sz="0" w:space="0" w:color="auto"/>
                  </w:divBdr>
                  <w:divsChild>
                    <w:div w:id="1408114714">
                      <w:marLeft w:val="0"/>
                      <w:marRight w:val="0"/>
                      <w:marTop w:val="0"/>
                      <w:marBottom w:val="0"/>
                      <w:divBdr>
                        <w:top w:val="none" w:sz="0" w:space="0" w:color="auto"/>
                        <w:left w:val="none" w:sz="0" w:space="0" w:color="auto"/>
                        <w:bottom w:val="none" w:sz="0" w:space="0" w:color="auto"/>
                        <w:right w:val="none" w:sz="0" w:space="0" w:color="auto"/>
                      </w:divBdr>
                    </w:div>
                  </w:divsChild>
                </w:div>
                <w:div w:id="500897697">
                  <w:marLeft w:val="0"/>
                  <w:marRight w:val="0"/>
                  <w:marTop w:val="0"/>
                  <w:marBottom w:val="0"/>
                  <w:divBdr>
                    <w:top w:val="none" w:sz="0" w:space="0" w:color="auto"/>
                    <w:left w:val="none" w:sz="0" w:space="0" w:color="auto"/>
                    <w:bottom w:val="none" w:sz="0" w:space="0" w:color="auto"/>
                    <w:right w:val="none" w:sz="0" w:space="0" w:color="auto"/>
                  </w:divBdr>
                  <w:divsChild>
                    <w:div w:id="600918212">
                      <w:marLeft w:val="0"/>
                      <w:marRight w:val="0"/>
                      <w:marTop w:val="0"/>
                      <w:marBottom w:val="0"/>
                      <w:divBdr>
                        <w:top w:val="none" w:sz="0" w:space="0" w:color="auto"/>
                        <w:left w:val="none" w:sz="0" w:space="0" w:color="auto"/>
                        <w:bottom w:val="none" w:sz="0" w:space="0" w:color="auto"/>
                        <w:right w:val="none" w:sz="0" w:space="0" w:color="auto"/>
                      </w:divBdr>
                    </w:div>
                  </w:divsChild>
                </w:div>
                <w:div w:id="641034327">
                  <w:marLeft w:val="0"/>
                  <w:marRight w:val="0"/>
                  <w:marTop w:val="0"/>
                  <w:marBottom w:val="0"/>
                  <w:divBdr>
                    <w:top w:val="none" w:sz="0" w:space="0" w:color="auto"/>
                    <w:left w:val="none" w:sz="0" w:space="0" w:color="auto"/>
                    <w:bottom w:val="none" w:sz="0" w:space="0" w:color="auto"/>
                    <w:right w:val="none" w:sz="0" w:space="0" w:color="auto"/>
                  </w:divBdr>
                  <w:divsChild>
                    <w:div w:id="619839762">
                      <w:marLeft w:val="0"/>
                      <w:marRight w:val="0"/>
                      <w:marTop w:val="0"/>
                      <w:marBottom w:val="0"/>
                      <w:divBdr>
                        <w:top w:val="none" w:sz="0" w:space="0" w:color="auto"/>
                        <w:left w:val="none" w:sz="0" w:space="0" w:color="auto"/>
                        <w:bottom w:val="none" w:sz="0" w:space="0" w:color="auto"/>
                        <w:right w:val="none" w:sz="0" w:space="0" w:color="auto"/>
                      </w:divBdr>
                    </w:div>
                  </w:divsChild>
                </w:div>
                <w:div w:id="791828239">
                  <w:marLeft w:val="0"/>
                  <w:marRight w:val="0"/>
                  <w:marTop w:val="0"/>
                  <w:marBottom w:val="0"/>
                  <w:divBdr>
                    <w:top w:val="none" w:sz="0" w:space="0" w:color="auto"/>
                    <w:left w:val="none" w:sz="0" w:space="0" w:color="auto"/>
                    <w:bottom w:val="none" w:sz="0" w:space="0" w:color="auto"/>
                    <w:right w:val="none" w:sz="0" w:space="0" w:color="auto"/>
                  </w:divBdr>
                  <w:divsChild>
                    <w:div w:id="877743064">
                      <w:marLeft w:val="0"/>
                      <w:marRight w:val="0"/>
                      <w:marTop w:val="0"/>
                      <w:marBottom w:val="0"/>
                      <w:divBdr>
                        <w:top w:val="none" w:sz="0" w:space="0" w:color="auto"/>
                        <w:left w:val="none" w:sz="0" w:space="0" w:color="auto"/>
                        <w:bottom w:val="none" w:sz="0" w:space="0" w:color="auto"/>
                        <w:right w:val="none" w:sz="0" w:space="0" w:color="auto"/>
                      </w:divBdr>
                    </w:div>
                  </w:divsChild>
                </w:div>
                <w:div w:id="807281521">
                  <w:marLeft w:val="0"/>
                  <w:marRight w:val="0"/>
                  <w:marTop w:val="0"/>
                  <w:marBottom w:val="0"/>
                  <w:divBdr>
                    <w:top w:val="none" w:sz="0" w:space="0" w:color="auto"/>
                    <w:left w:val="none" w:sz="0" w:space="0" w:color="auto"/>
                    <w:bottom w:val="none" w:sz="0" w:space="0" w:color="auto"/>
                    <w:right w:val="none" w:sz="0" w:space="0" w:color="auto"/>
                  </w:divBdr>
                  <w:divsChild>
                    <w:div w:id="1011374801">
                      <w:marLeft w:val="0"/>
                      <w:marRight w:val="0"/>
                      <w:marTop w:val="0"/>
                      <w:marBottom w:val="0"/>
                      <w:divBdr>
                        <w:top w:val="none" w:sz="0" w:space="0" w:color="auto"/>
                        <w:left w:val="none" w:sz="0" w:space="0" w:color="auto"/>
                        <w:bottom w:val="none" w:sz="0" w:space="0" w:color="auto"/>
                        <w:right w:val="none" w:sz="0" w:space="0" w:color="auto"/>
                      </w:divBdr>
                    </w:div>
                  </w:divsChild>
                </w:div>
                <w:div w:id="867641071">
                  <w:marLeft w:val="0"/>
                  <w:marRight w:val="0"/>
                  <w:marTop w:val="0"/>
                  <w:marBottom w:val="0"/>
                  <w:divBdr>
                    <w:top w:val="none" w:sz="0" w:space="0" w:color="auto"/>
                    <w:left w:val="none" w:sz="0" w:space="0" w:color="auto"/>
                    <w:bottom w:val="none" w:sz="0" w:space="0" w:color="auto"/>
                    <w:right w:val="none" w:sz="0" w:space="0" w:color="auto"/>
                  </w:divBdr>
                  <w:divsChild>
                    <w:div w:id="170920528">
                      <w:marLeft w:val="0"/>
                      <w:marRight w:val="0"/>
                      <w:marTop w:val="0"/>
                      <w:marBottom w:val="0"/>
                      <w:divBdr>
                        <w:top w:val="none" w:sz="0" w:space="0" w:color="auto"/>
                        <w:left w:val="none" w:sz="0" w:space="0" w:color="auto"/>
                        <w:bottom w:val="none" w:sz="0" w:space="0" w:color="auto"/>
                        <w:right w:val="none" w:sz="0" w:space="0" w:color="auto"/>
                      </w:divBdr>
                    </w:div>
                  </w:divsChild>
                </w:div>
                <w:div w:id="991181219">
                  <w:marLeft w:val="0"/>
                  <w:marRight w:val="0"/>
                  <w:marTop w:val="0"/>
                  <w:marBottom w:val="0"/>
                  <w:divBdr>
                    <w:top w:val="none" w:sz="0" w:space="0" w:color="auto"/>
                    <w:left w:val="none" w:sz="0" w:space="0" w:color="auto"/>
                    <w:bottom w:val="none" w:sz="0" w:space="0" w:color="auto"/>
                    <w:right w:val="none" w:sz="0" w:space="0" w:color="auto"/>
                  </w:divBdr>
                  <w:divsChild>
                    <w:div w:id="1046174891">
                      <w:marLeft w:val="0"/>
                      <w:marRight w:val="0"/>
                      <w:marTop w:val="0"/>
                      <w:marBottom w:val="0"/>
                      <w:divBdr>
                        <w:top w:val="none" w:sz="0" w:space="0" w:color="auto"/>
                        <w:left w:val="none" w:sz="0" w:space="0" w:color="auto"/>
                        <w:bottom w:val="none" w:sz="0" w:space="0" w:color="auto"/>
                        <w:right w:val="none" w:sz="0" w:space="0" w:color="auto"/>
                      </w:divBdr>
                    </w:div>
                  </w:divsChild>
                </w:div>
                <w:div w:id="1001277230">
                  <w:marLeft w:val="0"/>
                  <w:marRight w:val="0"/>
                  <w:marTop w:val="0"/>
                  <w:marBottom w:val="0"/>
                  <w:divBdr>
                    <w:top w:val="none" w:sz="0" w:space="0" w:color="auto"/>
                    <w:left w:val="none" w:sz="0" w:space="0" w:color="auto"/>
                    <w:bottom w:val="none" w:sz="0" w:space="0" w:color="auto"/>
                    <w:right w:val="none" w:sz="0" w:space="0" w:color="auto"/>
                  </w:divBdr>
                  <w:divsChild>
                    <w:div w:id="1094327416">
                      <w:marLeft w:val="0"/>
                      <w:marRight w:val="0"/>
                      <w:marTop w:val="0"/>
                      <w:marBottom w:val="0"/>
                      <w:divBdr>
                        <w:top w:val="none" w:sz="0" w:space="0" w:color="auto"/>
                        <w:left w:val="none" w:sz="0" w:space="0" w:color="auto"/>
                        <w:bottom w:val="none" w:sz="0" w:space="0" w:color="auto"/>
                        <w:right w:val="none" w:sz="0" w:space="0" w:color="auto"/>
                      </w:divBdr>
                    </w:div>
                  </w:divsChild>
                </w:div>
                <w:div w:id="1100177562">
                  <w:marLeft w:val="0"/>
                  <w:marRight w:val="0"/>
                  <w:marTop w:val="0"/>
                  <w:marBottom w:val="0"/>
                  <w:divBdr>
                    <w:top w:val="none" w:sz="0" w:space="0" w:color="auto"/>
                    <w:left w:val="none" w:sz="0" w:space="0" w:color="auto"/>
                    <w:bottom w:val="none" w:sz="0" w:space="0" w:color="auto"/>
                    <w:right w:val="none" w:sz="0" w:space="0" w:color="auto"/>
                  </w:divBdr>
                  <w:divsChild>
                    <w:div w:id="1238400280">
                      <w:marLeft w:val="0"/>
                      <w:marRight w:val="0"/>
                      <w:marTop w:val="0"/>
                      <w:marBottom w:val="0"/>
                      <w:divBdr>
                        <w:top w:val="none" w:sz="0" w:space="0" w:color="auto"/>
                        <w:left w:val="none" w:sz="0" w:space="0" w:color="auto"/>
                        <w:bottom w:val="none" w:sz="0" w:space="0" w:color="auto"/>
                        <w:right w:val="none" w:sz="0" w:space="0" w:color="auto"/>
                      </w:divBdr>
                    </w:div>
                  </w:divsChild>
                </w:div>
                <w:div w:id="1132215569">
                  <w:marLeft w:val="0"/>
                  <w:marRight w:val="0"/>
                  <w:marTop w:val="0"/>
                  <w:marBottom w:val="0"/>
                  <w:divBdr>
                    <w:top w:val="none" w:sz="0" w:space="0" w:color="auto"/>
                    <w:left w:val="none" w:sz="0" w:space="0" w:color="auto"/>
                    <w:bottom w:val="none" w:sz="0" w:space="0" w:color="auto"/>
                    <w:right w:val="none" w:sz="0" w:space="0" w:color="auto"/>
                  </w:divBdr>
                  <w:divsChild>
                    <w:div w:id="279843096">
                      <w:marLeft w:val="0"/>
                      <w:marRight w:val="0"/>
                      <w:marTop w:val="0"/>
                      <w:marBottom w:val="0"/>
                      <w:divBdr>
                        <w:top w:val="none" w:sz="0" w:space="0" w:color="auto"/>
                        <w:left w:val="none" w:sz="0" w:space="0" w:color="auto"/>
                        <w:bottom w:val="none" w:sz="0" w:space="0" w:color="auto"/>
                        <w:right w:val="none" w:sz="0" w:space="0" w:color="auto"/>
                      </w:divBdr>
                    </w:div>
                  </w:divsChild>
                </w:div>
                <w:div w:id="1203059667">
                  <w:marLeft w:val="0"/>
                  <w:marRight w:val="0"/>
                  <w:marTop w:val="0"/>
                  <w:marBottom w:val="0"/>
                  <w:divBdr>
                    <w:top w:val="none" w:sz="0" w:space="0" w:color="auto"/>
                    <w:left w:val="none" w:sz="0" w:space="0" w:color="auto"/>
                    <w:bottom w:val="none" w:sz="0" w:space="0" w:color="auto"/>
                    <w:right w:val="none" w:sz="0" w:space="0" w:color="auto"/>
                  </w:divBdr>
                  <w:divsChild>
                    <w:div w:id="962880891">
                      <w:marLeft w:val="0"/>
                      <w:marRight w:val="0"/>
                      <w:marTop w:val="0"/>
                      <w:marBottom w:val="0"/>
                      <w:divBdr>
                        <w:top w:val="none" w:sz="0" w:space="0" w:color="auto"/>
                        <w:left w:val="none" w:sz="0" w:space="0" w:color="auto"/>
                        <w:bottom w:val="none" w:sz="0" w:space="0" w:color="auto"/>
                        <w:right w:val="none" w:sz="0" w:space="0" w:color="auto"/>
                      </w:divBdr>
                    </w:div>
                  </w:divsChild>
                </w:div>
                <w:div w:id="1279600674">
                  <w:marLeft w:val="0"/>
                  <w:marRight w:val="0"/>
                  <w:marTop w:val="0"/>
                  <w:marBottom w:val="0"/>
                  <w:divBdr>
                    <w:top w:val="none" w:sz="0" w:space="0" w:color="auto"/>
                    <w:left w:val="none" w:sz="0" w:space="0" w:color="auto"/>
                    <w:bottom w:val="none" w:sz="0" w:space="0" w:color="auto"/>
                    <w:right w:val="none" w:sz="0" w:space="0" w:color="auto"/>
                  </w:divBdr>
                  <w:divsChild>
                    <w:div w:id="1641886542">
                      <w:marLeft w:val="0"/>
                      <w:marRight w:val="0"/>
                      <w:marTop w:val="0"/>
                      <w:marBottom w:val="0"/>
                      <w:divBdr>
                        <w:top w:val="none" w:sz="0" w:space="0" w:color="auto"/>
                        <w:left w:val="none" w:sz="0" w:space="0" w:color="auto"/>
                        <w:bottom w:val="none" w:sz="0" w:space="0" w:color="auto"/>
                        <w:right w:val="none" w:sz="0" w:space="0" w:color="auto"/>
                      </w:divBdr>
                    </w:div>
                  </w:divsChild>
                </w:div>
                <w:div w:id="1411124621">
                  <w:marLeft w:val="0"/>
                  <w:marRight w:val="0"/>
                  <w:marTop w:val="0"/>
                  <w:marBottom w:val="0"/>
                  <w:divBdr>
                    <w:top w:val="none" w:sz="0" w:space="0" w:color="auto"/>
                    <w:left w:val="none" w:sz="0" w:space="0" w:color="auto"/>
                    <w:bottom w:val="none" w:sz="0" w:space="0" w:color="auto"/>
                    <w:right w:val="none" w:sz="0" w:space="0" w:color="auto"/>
                  </w:divBdr>
                  <w:divsChild>
                    <w:div w:id="1123420123">
                      <w:marLeft w:val="0"/>
                      <w:marRight w:val="0"/>
                      <w:marTop w:val="0"/>
                      <w:marBottom w:val="0"/>
                      <w:divBdr>
                        <w:top w:val="none" w:sz="0" w:space="0" w:color="auto"/>
                        <w:left w:val="none" w:sz="0" w:space="0" w:color="auto"/>
                        <w:bottom w:val="none" w:sz="0" w:space="0" w:color="auto"/>
                        <w:right w:val="none" w:sz="0" w:space="0" w:color="auto"/>
                      </w:divBdr>
                    </w:div>
                  </w:divsChild>
                </w:div>
                <w:div w:id="1452748289">
                  <w:marLeft w:val="0"/>
                  <w:marRight w:val="0"/>
                  <w:marTop w:val="0"/>
                  <w:marBottom w:val="0"/>
                  <w:divBdr>
                    <w:top w:val="none" w:sz="0" w:space="0" w:color="auto"/>
                    <w:left w:val="none" w:sz="0" w:space="0" w:color="auto"/>
                    <w:bottom w:val="none" w:sz="0" w:space="0" w:color="auto"/>
                    <w:right w:val="none" w:sz="0" w:space="0" w:color="auto"/>
                  </w:divBdr>
                  <w:divsChild>
                    <w:div w:id="2058821136">
                      <w:marLeft w:val="0"/>
                      <w:marRight w:val="0"/>
                      <w:marTop w:val="0"/>
                      <w:marBottom w:val="0"/>
                      <w:divBdr>
                        <w:top w:val="none" w:sz="0" w:space="0" w:color="auto"/>
                        <w:left w:val="none" w:sz="0" w:space="0" w:color="auto"/>
                        <w:bottom w:val="none" w:sz="0" w:space="0" w:color="auto"/>
                        <w:right w:val="none" w:sz="0" w:space="0" w:color="auto"/>
                      </w:divBdr>
                    </w:div>
                  </w:divsChild>
                </w:div>
                <w:div w:id="1528059871">
                  <w:marLeft w:val="0"/>
                  <w:marRight w:val="0"/>
                  <w:marTop w:val="0"/>
                  <w:marBottom w:val="0"/>
                  <w:divBdr>
                    <w:top w:val="none" w:sz="0" w:space="0" w:color="auto"/>
                    <w:left w:val="none" w:sz="0" w:space="0" w:color="auto"/>
                    <w:bottom w:val="none" w:sz="0" w:space="0" w:color="auto"/>
                    <w:right w:val="none" w:sz="0" w:space="0" w:color="auto"/>
                  </w:divBdr>
                  <w:divsChild>
                    <w:div w:id="898247832">
                      <w:marLeft w:val="0"/>
                      <w:marRight w:val="0"/>
                      <w:marTop w:val="0"/>
                      <w:marBottom w:val="0"/>
                      <w:divBdr>
                        <w:top w:val="none" w:sz="0" w:space="0" w:color="auto"/>
                        <w:left w:val="none" w:sz="0" w:space="0" w:color="auto"/>
                        <w:bottom w:val="none" w:sz="0" w:space="0" w:color="auto"/>
                        <w:right w:val="none" w:sz="0" w:space="0" w:color="auto"/>
                      </w:divBdr>
                    </w:div>
                  </w:divsChild>
                </w:div>
                <w:div w:id="1691298985">
                  <w:marLeft w:val="0"/>
                  <w:marRight w:val="0"/>
                  <w:marTop w:val="0"/>
                  <w:marBottom w:val="0"/>
                  <w:divBdr>
                    <w:top w:val="none" w:sz="0" w:space="0" w:color="auto"/>
                    <w:left w:val="none" w:sz="0" w:space="0" w:color="auto"/>
                    <w:bottom w:val="none" w:sz="0" w:space="0" w:color="auto"/>
                    <w:right w:val="none" w:sz="0" w:space="0" w:color="auto"/>
                  </w:divBdr>
                  <w:divsChild>
                    <w:div w:id="574973161">
                      <w:marLeft w:val="0"/>
                      <w:marRight w:val="0"/>
                      <w:marTop w:val="0"/>
                      <w:marBottom w:val="0"/>
                      <w:divBdr>
                        <w:top w:val="none" w:sz="0" w:space="0" w:color="auto"/>
                        <w:left w:val="none" w:sz="0" w:space="0" w:color="auto"/>
                        <w:bottom w:val="none" w:sz="0" w:space="0" w:color="auto"/>
                        <w:right w:val="none" w:sz="0" w:space="0" w:color="auto"/>
                      </w:divBdr>
                    </w:div>
                  </w:divsChild>
                </w:div>
                <w:div w:id="2067948972">
                  <w:marLeft w:val="0"/>
                  <w:marRight w:val="0"/>
                  <w:marTop w:val="0"/>
                  <w:marBottom w:val="0"/>
                  <w:divBdr>
                    <w:top w:val="none" w:sz="0" w:space="0" w:color="auto"/>
                    <w:left w:val="none" w:sz="0" w:space="0" w:color="auto"/>
                    <w:bottom w:val="none" w:sz="0" w:space="0" w:color="auto"/>
                    <w:right w:val="none" w:sz="0" w:space="0" w:color="auto"/>
                  </w:divBdr>
                  <w:divsChild>
                    <w:div w:id="1852447636">
                      <w:marLeft w:val="0"/>
                      <w:marRight w:val="0"/>
                      <w:marTop w:val="0"/>
                      <w:marBottom w:val="0"/>
                      <w:divBdr>
                        <w:top w:val="none" w:sz="0" w:space="0" w:color="auto"/>
                        <w:left w:val="none" w:sz="0" w:space="0" w:color="auto"/>
                        <w:bottom w:val="none" w:sz="0" w:space="0" w:color="auto"/>
                        <w:right w:val="none" w:sz="0" w:space="0" w:color="auto"/>
                      </w:divBdr>
                    </w:div>
                  </w:divsChild>
                </w:div>
                <w:div w:id="2122987175">
                  <w:marLeft w:val="0"/>
                  <w:marRight w:val="0"/>
                  <w:marTop w:val="0"/>
                  <w:marBottom w:val="0"/>
                  <w:divBdr>
                    <w:top w:val="none" w:sz="0" w:space="0" w:color="auto"/>
                    <w:left w:val="none" w:sz="0" w:space="0" w:color="auto"/>
                    <w:bottom w:val="none" w:sz="0" w:space="0" w:color="auto"/>
                    <w:right w:val="none" w:sz="0" w:space="0" w:color="auto"/>
                  </w:divBdr>
                  <w:divsChild>
                    <w:div w:id="352272765">
                      <w:marLeft w:val="0"/>
                      <w:marRight w:val="0"/>
                      <w:marTop w:val="0"/>
                      <w:marBottom w:val="0"/>
                      <w:divBdr>
                        <w:top w:val="none" w:sz="0" w:space="0" w:color="auto"/>
                        <w:left w:val="none" w:sz="0" w:space="0" w:color="auto"/>
                        <w:bottom w:val="none" w:sz="0" w:space="0" w:color="auto"/>
                        <w:right w:val="none" w:sz="0" w:space="0" w:color="auto"/>
                      </w:divBdr>
                    </w:div>
                  </w:divsChild>
                </w:div>
                <w:div w:id="2128962732">
                  <w:marLeft w:val="0"/>
                  <w:marRight w:val="0"/>
                  <w:marTop w:val="0"/>
                  <w:marBottom w:val="0"/>
                  <w:divBdr>
                    <w:top w:val="none" w:sz="0" w:space="0" w:color="auto"/>
                    <w:left w:val="none" w:sz="0" w:space="0" w:color="auto"/>
                    <w:bottom w:val="none" w:sz="0" w:space="0" w:color="auto"/>
                    <w:right w:val="none" w:sz="0" w:space="0" w:color="auto"/>
                  </w:divBdr>
                  <w:divsChild>
                    <w:div w:id="5433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9456">
          <w:marLeft w:val="0"/>
          <w:marRight w:val="0"/>
          <w:marTop w:val="0"/>
          <w:marBottom w:val="0"/>
          <w:divBdr>
            <w:top w:val="none" w:sz="0" w:space="0" w:color="auto"/>
            <w:left w:val="none" w:sz="0" w:space="0" w:color="auto"/>
            <w:bottom w:val="none" w:sz="0" w:space="0" w:color="auto"/>
            <w:right w:val="none" w:sz="0" w:space="0" w:color="auto"/>
          </w:divBdr>
        </w:div>
        <w:div w:id="1468738037">
          <w:marLeft w:val="0"/>
          <w:marRight w:val="0"/>
          <w:marTop w:val="0"/>
          <w:marBottom w:val="0"/>
          <w:divBdr>
            <w:top w:val="none" w:sz="0" w:space="0" w:color="auto"/>
            <w:left w:val="none" w:sz="0" w:space="0" w:color="auto"/>
            <w:bottom w:val="none" w:sz="0" w:space="0" w:color="auto"/>
            <w:right w:val="none" w:sz="0" w:space="0" w:color="auto"/>
          </w:divBdr>
        </w:div>
      </w:divsChild>
    </w:div>
    <w:div w:id="214153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ubscribecpuc.cpuc.ca.gov/"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ess_office@cpuc.ca.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ublic.advisor@cpuc.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yft.com/blog/posts/leading-the-transition-to-zero-emissions" TargetMode="External"/><Relationship Id="rId2" Type="http://schemas.openxmlformats.org/officeDocument/2006/relationships/hyperlink" Target="https://ww2.arb.ca.gov/sites/default/files/2019-12/SB%201014%20-%20Base%20year%20Emissions%20Inventory_December_2019.pdf" TargetMode="External"/><Relationship Id="rId1" Type="http://schemas.openxmlformats.org/officeDocument/2006/relationships/hyperlink" Target="https://ww2.arb.ca.gov/rulemaking/2021/cleanmilesstandard" TargetMode="External"/><Relationship Id="rId4" Type="http://schemas.openxmlformats.org/officeDocument/2006/relationships/hyperlink" Target="https://www.uber.com/newsroom/driving-a-green-recovery/" TargetMode="External"/></Relationships>
</file>

<file path=word/documenttasks/documenttasks1.xml><?xml version="1.0" encoding="utf-8"?>
<t:Tasks xmlns:t="http://schemas.microsoft.com/office/tasks/2019/documenttasks" xmlns:oel="http://schemas.microsoft.com/office/2019/extlst">
  <t:Task id="{28AE7184-F756-4EB4-A8AD-289257CC8244}">
    <t:Anchor>
      <t:Comment id="618778689"/>
    </t:Anchor>
    <t:History>
      <t:Event id="{2D5538C0-D4C3-4581-83FD-2C1697C9F89B}" time="2021-09-07T22:03:44.116Z">
        <t:Attribution userId="S::stephanie.wang@cpuc.ca.gov::03e85a3f-3c80-4fe7-b44b-0d4457483638" userProvider="AD" userName="Wang, Stephanie"/>
        <t:Anchor>
          <t:Comment id="1493435855"/>
        </t:Anchor>
        <t:Create/>
      </t:Event>
      <t:Event id="{4AB2608E-7ECA-498D-B069-5A4DEFCC78EA}" time="2021-09-07T22:03:44.116Z">
        <t:Attribution userId="S::stephanie.wang@cpuc.ca.gov::03e85a3f-3c80-4fe7-b44b-0d4457483638" userProvider="AD" userName="Wang, Stephanie"/>
        <t:Anchor>
          <t:Comment id="1493435855"/>
        </t:Anchor>
        <t:Assign userId="S::Syche.Cai@cpuc.ca.gov::bafc7307-a8f7-4945-9f94-ec5020757c24" userProvider="AD" userName="Cai, Syche"/>
      </t:Event>
      <t:Event id="{E84869DC-8E08-4AC6-957B-DF00B7EAFC20}" time="2021-09-07T22:03:44.116Z">
        <t:Attribution userId="S::stephanie.wang@cpuc.ca.gov::03e85a3f-3c80-4fe7-b44b-0d4457483638" userProvider="AD" userName="Wang, Stephanie"/>
        <t:Anchor>
          <t:Comment id="1493435855"/>
        </t:Anchor>
        <t:SetTitle title="@Cai, Syche"/>
      </t:Event>
      <t:Event id="{112AACA9-E416-421A-8399-D89BFFD5A491}" time="2021-09-10T16:11:13.408Z">
        <t:Attribution userId="S::stephanie.wang@cpuc.ca.gov::03e85a3f-3c80-4fe7-b44b-0d4457483638" userProvider="AD" userName="Wang, Stephanie"/>
        <t:Progress percentComplete="100"/>
      </t:Event>
    </t:History>
  </t:Task>
  <t:Task id="{0C0CA815-462D-4FBA-9E3A-AB0C13243F10}">
    <t:Anchor>
      <t:Comment id="621472262"/>
    </t:Anchor>
    <t:History>
      <t:Event id="{4AA98B33-CDB5-4085-9962-3A99E1996A4C}" time="2021-10-08T23:36:50.98Z">
        <t:Attribution userId="S::stephanie.wang@cpuc.ca.gov::03e85a3f-3c80-4fe7-b44b-0d4457483638" userProvider="AD" userName="Wang, Stephanie"/>
        <t:Anchor>
          <t:Comment id="111166763"/>
        </t:Anchor>
        <t:Create/>
      </t:Event>
      <t:Event id="{2FF2F6A8-5FC2-4225-8C74-0B99EDBB313E}" time="2021-10-08T23:36:50.98Z">
        <t:Attribution userId="S::stephanie.wang@cpuc.ca.gov::03e85a3f-3c80-4fe7-b44b-0d4457483638" userProvider="AD" userName="Wang, Stephanie"/>
        <t:Anchor>
          <t:Comment id="111166763"/>
        </t:Anchor>
        <t:Assign userId="S::Syche.Cai@cpuc.ca.gov::bafc7307-a8f7-4945-9f94-ec5020757c24" userProvider="AD" userName="Cai, Syche"/>
      </t:Event>
      <t:Event id="{FAF2B562-31B8-4441-8EAC-E6D45A1573A6}" time="2021-10-08T23:36:50.98Z">
        <t:Attribution userId="S::stephanie.wang@cpuc.ca.gov::03e85a3f-3c80-4fe7-b44b-0d4457483638" userProvider="AD" userName="Wang, Stephanie"/>
        <t:Anchor>
          <t:Comment id="111166763"/>
        </t:Anchor>
        <t:SetTitle title="@Cai, Syche please clarify"/>
      </t:Event>
    </t:History>
  </t:Task>
  <t:Task id="{71F0D622-BE7E-47A4-B3DF-E27DBA243629}">
    <t:Anchor>
      <t:Comment id="618789563"/>
    </t:Anchor>
    <t:History>
      <t:Event id="{797C8EEF-1558-488D-963E-0A1592703AA2}" time="2021-09-07T22:03:52.22Z">
        <t:Attribution userId="S::stephanie.wang@cpuc.ca.gov::03e85a3f-3c80-4fe7-b44b-0d4457483638" userProvider="AD" userName="Wang, Stephanie"/>
        <t:Anchor>
          <t:Comment id="636854289"/>
        </t:Anchor>
        <t:Create/>
      </t:Event>
      <t:Event id="{EA5895CA-1896-44E4-91EA-2E1CCADD6E32}" time="2021-09-07T22:03:52.22Z">
        <t:Attribution userId="S::stephanie.wang@cpuc.ca.gov::03e85a3f-3c80-4fe7-b44b-0d4457483638" userProvider="AD" userName="Wang, Stephanie"/>
        <t:Anchor>
          <t:Comment id="636854289"/>
        </t:Anchor>
        <t:Assign userId="S::Syche.Cai@cpuc.ca.gov::bafc7307-a8f7-4945-9f94-ec5020757c24" userProvider="AD" userName="Cai, Syche"/>
      </t:Event>
      <t:Event id="{64535FFC-8BD3-4D92-8710-1DDFF8906BAE}" time="2021-09-07T22:03:52.22Z">
        <t:Attribution userId="S::stephanie.wang@cpuc.ca.gov::03e85a3f-3c80-4fe7-b44b-0d4457483638" userProvider="AD" userName="Wang, Stephanie"/>
        <t:Anchor>
          <t:Comment id="636854289"/>
        </t:Anchor>
        <t:SetTitle title="@Cai, Syche"/>
      </t:Event>
    </t:History>
  </t:Task>
  <t:Task id="{555B8067-F275-485E-B85C-8F833732D204}">
    <t:Anchor>
      <t:Comment id="117543407"/>
    </t:Anchor>
    <t:History>
      <t:Event id="{57F5F87A-C0BF-436D-A08B-D46FD75F8E6B}" time="2021-09-10T16:20:16.226Z">
        <t:Attribution userId="S::stephanie.wang@cpuc.ca.gov::03e85a3f-3c80-4fe7-b44b-0d4457483638" userProvider="AD" userName="Wang, Stephanie"/>
        <t:Anchor>
          <t:Comment id="117543407"/>
        </t:Anchor>
        <t:Create/>
      </t:Event>
      <t:Event id="{638F96FB-3573-4F83-8E92-BD86953863BA}" time="2021-09-10T16:20:16.226Z">
        <t:Attribution userId="S::stephanie.wang@cpuc.ca.gov::03e85a3f-3c80-4fe7-b44b-0d4457483638" userProvider="AD" userName="Wang, Stephanie"/>
        <t:Anchor>
          <t:Comment id="117543407"/>
        </t:Anchor>
        <t:Assign userId="S::Syche.Cai@cpuc.ca.gov::bafc7307-a8f7-4945-9f94-ec5020757c24" userProvider="AD" userName="Cai, Syche"/>
      </t:Event>
      <t:Event id="{D3CAFE8A-DF23-46B8-AAE0-CE816BE8826B}" time="2021-09-10T16:20:16.226Z">
        <t:Attribution userId="S::stephanie.wang@cpuc.ca.gov::03e85a3f-3c80-4fe7-b44b-0d4457483638" userProvider="AD" userName="Wang, Stephanie"/>
        <t:Anchor>
          <t:Comment id="117543407"/>
        </t:Anchor>
        <t:SetTitle title="@Cai, Syche Please clarify - do you mean negatively impact? Not sure about use of disproportionately"/>
      </t:Event>
    </t:History>
  </t:Task>
  <t:Task id="{FB6F126D-5B12-45DC-8718-A8586A9BA3CB}">
    <t:Anchor>
      <t:Comment id="1777563923"/>
    </t:Anchor>
    <t:History>
      <t:Event id="{0EAA1EAD-EDAA-4891-8C98-EB09C0340056}" time="2021-09-27T17:48:46.461Z">
        <t:Attribution userId="S::stephanie.wang@cpuc.ca.gov::03e85a3f-3c80-4fe7-b44b-0d4457483638" userProvider="AD" userName="Wang, Stephanie"/>
        <t:Anchor>
          <t:Comment id="1777563923"/>
        </t:Anchor>
        <t:Create/>
      </t:Event>
      <t:Event id="{398629C3-66E9-4035-80D1-2F277A8C3512}" time="2021-09-27T17:48:46.461Z">
        <t:Attribution userId="S::stephanie.wang@cpuc.ca.gov::03e85a3f-3c80-4fe7-b44b-0d4457483638" userProvider="AD" userName="Wang, Stephanie"/>
        <t:Anchor>
          <t:Comment id="1777563923"/>
        </t:Anchor>
        <t:Assign userId="S::Syche.Cai@cpuc.ca.gov::bafc7307-a8f7-4945-9f94-ec5020757c24" userProvider="AD" userName="Cai, Syche"/>
      </t:Event>
      <t:Event id="{8B1A3D76-E9D0-40C9-AD07-D8F8D92E0FB6}" time="2021-09-27T17:48:46.461Z">
        <t:Attribution userId="S::stephanie.wang@cpuc.ca.gov::03e85a3f-3c80-4fe7-b44b-0d4457483638" userProvider="AD" userName="Wang, Stephanie"/>
        <t:Anchor>
          <t:Comment id="1777563923"/>
        </t:Anchor>
        <t:SetTitle title="@Cai, Syche Are any of the autonomous vehicle companies licensed for purposes incompatible with operating as a TNC, e.g. for freight transport? If so, should they be included as a respondent?"/>
      </t:Event>
    </t:History>
  </t:Task>
  <t:Task id="{B6E083A6-ED74-47B9-9B35-F274027251B5}">
    <t:Anchor>
      <t:Comment id="32639277"/>
    </t:Anchor>
    <t:History>
      <t:Event id="{8757BDEB-01D9-4C95-A67D-E1498A5B6332}" time="2021-09-20T19:52:36.11Z">
        <t:Attribution userId="S::stephanie.wang@cpuc.ca.gov::03e85a3f-3c80-4fe7-b44b-0d4457483638" userProvider="AD" userName="Wang, Stephanie"/>
        <t:Anchor>
          <t:Comment id="32639277"/>
        </t:Anchor>
        <t:Create/>
      </t:Event>
      <t:Event id="{1E9A7958-4745-4051-8529-81D8D844D124}" time="2021-09-20T19:52:36.11Z">
        <t:Attribution userId="S::stephanie.wang@cpuc.ca.gov::03e85a3f-3c80-4fe7-b44b-0d4457483638" userProvider="AD" userName="Wang, Stephanie"/>
        <t:Anchor>
          <t:Comment id="32639277"/>
        </t:Anchor>
        <t:Assign userId="S::Syche.Cai@cpuc.ca.gov::bafc7307-a8f7-4945-9f94-ec5020757c24" userProvider="AD" userName="Cai, Syche"/>
      </t:Event>
      <t:Event id="{406BF105-794B-47F5-8073-BA08A797802B}" time="2021-09-20T19:52:36.11Z">
        <t:Attribution userId="S::stephanie.wang@cpuc.ca.gov::03e85a3f-3c80-4fe7-b44b-0d4457483638" userProvider="AD" userName="Wang, Stephanie"/>
        <t:Anchor>
          <t:Comment id="32639277"/>
        </t:Anchor>
        <t:SetTitle title="@Cai, Syche Please add page references to CARB regulation in footnotes throughout."/>
      </t:Event>
    </t:History>
  </t:Task>
  <t:Task id="{7A253C0D-A8D1-430D-AE92-C4D6DBBF9609}">
    <t:Anchor>
      <t:Comment id="1781488946"/>
    </t:Anchor>
    <t:History>
      <t:Event id="{0D8ABFA3-E945-448F-9F78-B22CC8E92615}" time="2021-10-07T17:12:58.647Z">
        <t:Attribution userId="S::stephanie.wang@cpuc.ca.gov::03e85a3f-3c80-4fe7-b44b-0d4457483638" userProvider="AD" userName="Wang, Stephanie"/>
        <t:Anchor>
          <t:Comment id="1781488946"/>
        </t:Anchor>
        <t:Create/>
      </t:Event>
      <t:Event id="{11AC2561-5216-4C2C-B9FF-7A38D6C743FD}" time="2021-10-07T17:12:58.647Z">
        <t:Attribution userId="S::stephanie.wang@cpuc.ca.gov::03e85a3f-3c80-4fe7-b44b-0d4457483638" userProvider="AD" userName="Wang, Stephanie"/>
        <t:Anchor>
          <t:Comment id="1781488946"/>
        </t:Anchor>
        <t:Assign userId="S::Tony.Manzo@cpuc.ca.gov::6b44e6f2-dfb3-49aa-8a59-c2093b94ece2" userProvider="AD" userName="Manzo, Tony"/>
      </t:Event>
      <t:Event id="{8E0E31A9-2047-4283-A9F5-695F6AF284A1}" time="2021-10-07T17:12:58.647Z">
        <t:Attribution userId="S::stephanie.wang@cpuc.ca.gov::03e85a3f-3c80-4fe7-b44b-0d4457483638" userProvider="AD" userName="Wang, Stephanie"/>
        <t:Anchor>
          <t:Comment id="1781488946"/>
        </t:Anchor>
        <t:SetTitle title="@Manzo, Tony CARB requested that we change this question, so Terra and Syche suggested these revisions. Please let us know if you have any concerns."/>
      </t:Event>
    </t:History>
  </t:Task>
  <t:Task id="{2D2BC240-AAFB-48F2-9F73-8B08CE1E935A}">
    <t:Anchor>
      <t:Comment id="621471952"/>
    </t:Anchor>
    <t:History>
      <t:Event id="{FB73C959-9E57-4F3A-BBDF-74873D6E10A4}" time="2021-10-08T23:38:05.715Z">
        <t:Attribution userId="S::stephanie.wang@cpuc.ca.gov::03e85a3f-3c80-4fe7-b44b-0d4457483638" userProvider="AD" userName="Wang, Stephanie"/>
        <t:Anchor>
          <t:Comment id="1230649425"/>
        </t:Anchor>
        <t:Create/>
      </t:Event>
      <t:Event id="{B6F33829-BC07-4B28-9D47-185416F1137D}" time="2021-10-08T23:38:05.715Z">
        <t:Attribution userId="S::stephanie.wang@cpuc.ca.gov::03e85a3f-3c80-4fe7-b44b-0d4457483638" userProvider="AD" userName="Wang, Stephanie"/>
        <t:Anchor>
          <t:Comment id="1230649425"/>
        </t:Anchor>
        <t:Assign userId="S::Syche.Cai@cpuc.ca.gov::bafc7307-a8f7-4945-9f94-ec5020757c24" userProvider="AD" userName="Cai, Syche"/>
      </t:Event>
      <t:Event id="{FF10160D-BBCC-4DBE-9734-0F744D4A875A}" time="2021-10-08T23:38:05.715Z">
        <t:Attribution userId="S::stephanie.wang@cpuc.ca.gov::03e85a3f-3c80-4fe7-b44b-0d4457483638" userProvider="AD" userName="Wang, Stephanie"/>
        <t:Anchor>
          <t:Comment id="1230649425"/>
        </t:Anchor>
        <t:SetTitle title="@Cai, Syche"/>
      </t:Event>
    </t:History>
  </t:Task>
  <t:Task id="{317BA796-9899-4334-AD03-1397EE925E9B}">
    <t:Anchor>
      <t:Comment id="1860615880"/>
    </t:Anchor>
    <t:History>
      <t:Event id="{EE38BF47-1E83-495C-871F-DAE7099D94D9}" time="2021-10-08T23:41:15.925Z">
        <t:Attribution userId="S::stephanie.wang@cpuc.ca.gov::03e85a3f-3c80-4fe7-b44b-0d4457483638" userProvider="AD" userName="Wang, Stephanie"/>
        <t:Anchor>
          <t:Comment id="1860615880"/>
        </t:Anchor>
        <t:Create/>
      </t:Event>
      <t:Event id="{004B3E90-D218-4685-BBDB-FDA7450E691A}" time="2021-10-08T23:41:15.925Z">
        <t:Attribution userId="S::stephanie.wang@cpuc.ca.gov::03e85a3f-3c80-4fe7-b44b-0d4457483638" userProvider="AD" userName="Wang, Stephanie"/>
        <t:Anchor>
          <t:Comment id="1860615880"/>
        </t:Anchor>
        <t:Assign userId="S::Syche.Cai@cpuc.ca.gov::bafc7307-a8f7-4945-9f94-ec5020757c24" userProvider="AD" userName="Cai, Syche"/>
      </t:Event>
      <t:Event id="{EBD96C18-1ADA-47AA-A742-BBE57F4D02A6}" time="2021-10-08T23:41:15.925Z">
        <t:Attribution userId="S::stephanie.wang@cpuc.ca.gov::03e85a3f-3c80-4fe7-b44b-0d4457483638" userProvider="AD" userName="Wang, Stephanie"/>
        <t:Anchor>
          <t:Comment id="1860615880"/>
        </t:Anchor>
        <t:SetTitle title="@Cai, Syche Tony added this point, but I think this list actually includes automated vehicle companies that may not yet be TNCs but could potentially become TNCs, right?"/>
      </t:Event>
      <t:Event id="{682BDACE-63B5-47DA-953E-90FE842571A4}" time="2021-10-14T16:26:17.514Z">
        <t:Attribution userId="S::stephanie.wang@cpuc.ca.gov::03e85a3f-3c80-4fe7-b44b-0d4457483638" userProvider="AD" userName="Wang, Stephanie"/>
        <t:Anchor>
          <t:Comment id="1895523929"/>
        </t:Anchor>
        <t:UnassignAll/>
      </t:Event>
      <t:Event id="{2AEBDDDF-7E52-427C-8EB4-F2EC49A0BA58}" time="2021-10-14T16:26:17.514Z">
        <t:Attribution userId="S::stephanie.wang@cpuc.ca.gov::03e85a3f-3c80-4fe7-b44b-0d4457483638" userProvider="AD" userName="Wang, Stephanie"/>
        <t:Anchor>
          <t:Comment id="1895523929"/>
        </t:Anchor>
        <t:Assign userId="S::Terra.Curtis@cpuc.ca.gov::c54ab65b-48a2-4a2e-bfad-67a2e13bed4f" userProvider="AD" userName="Curtis, Terra M."/>
      </t:Event>
    </t:History>
  </t:Task>
  <t:Task id="{B338513D-1DF0-4F96-AEA6-7CDFE91DFE1D}">
    <t:Anchor>
      <t:Comment id="621473433"/>
    </t:Anchor>
    <t:History>
      <t:Event id="{650E01DB-72AF-4538-839F-FC7B3399C11A}" time="2021-10-11T18:02:17.912Z">
        <t:Attribution userId="S::stephanie.wang@cpuc.ca.gov::03e85a3f-3c80-4fe7-b44b-0d4457483638" userProvider="AD" userName="Wang, Stephanie"/>
        <t:Anchor>
          <t:Comment id="633604277"/>
        </t:Anchor>
        <t:Create/>
      </t:Event>
      <t:Event id="{9CB63A24-8221-4C3D-9D0C-348BD38F86F4}" time="2021-10-11T18:02:17.912Z">
        <t:Attribution userId="S::stephanie.wang@cpuc.ca.gov::03e85a3f-3c80-4fe7-b44b-0d4457483638" userProvider="AD" userName="Wang, Stephanie"/>
        <t:Anchor>
          <t:Comment id="633604277"/>
        </t:Anchor>
        <t:Assign userId="S::Terra.Curtis@cpuc.ca.gov::c54ab65b-48a2-4a2e-bfad-67a2e13bed4f" userProvider="AD" userName="Curtis, Terra M."/>
      </t:Event>
      <t:Event id="{B05F1CAE-BA0F-4852-893F-0A4CD2DAED3A}" time="2021-10-11T18:02:17.912Z">
        <t:Attribution userId="S::stephanie.wang@cpuc.ca.gov::03e85a3f-3c80-4fe7-b44b-0d4457483638" userProvider="AD" userName="Wang, Stephanie"/>
        <t:Anchor>
          <t:Comment id="633604277"/>
        </t:Anchor>
        <t:SetTitle title="@Curtis, Terra M."/>
      </t:Event>
      <t:Event id="{BECCEC6B-AAD6-4F2B-B0AE-9F6041F5901E}" time="2021-10-11T18:19:10.458Z">
        <t:Attribution userId="S::terra.curtis@cpuc.ca.gov::c54ab65b-48a2-4a2e-bfad-67a2e13bed4f" userProvider="AD" userName="Curtis, Terra M."/>
        <t:Progress percentComplete="100"/>
      </t:Event>
      <t:Event id="{D42A55CE-F400-42F6-A4A9-A22382B995E2}" time="2021-10-11T18:43:50.697Z">
        <t:Attribution userId="S::stephanie.wang@cpuc.ca.gov::03e85a3f-3c80-4fe7-b44b-0d4457483638" userProvider="AD" userName="Wang, Stephanie"/>
        <t:Progress percentComplete="100"/>
      </t:Event>
      <t:Event id="{1ED4F01A-8F71-4909-8C5A-8CA3E997EB76}" time="2021-10-14T16:25:43.296Z">
        <t:Attribution userId="S::stephanie.wang@cpuc.ca.gov::03e85a3f-3c80-4fe7-b44b-0d4457483638" userProvider="AD" userName="Wang, Stephanie"/>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B8BADF2214F6448E5045310EA9B796" ma:contentTypeVersion="5" ma:contentTypeDescription="Create a new document." ma:contentTypeScope="" ma:versionID="f79ad246ab878486694261c74abe0742">
  <xsd:schema xmlns:xsd="http://www.w3.org/2001/XMLSchema" xmlns:xs="http://www.w3.org/2001/XMLSchema" xmlns:p="http://schemas.microsoft.com/office/2006/metadata/properties" xmlns:ns2="40c2bee6-72d2-4c4b-bbf2-19a975248824" xmlns:ns3="ef7e321c-44a6-4cb5-81f0-0bfd95ece253" targetNamespace="http://schemas.microsoft.com/office/2006/metadata/properties" ma:root="true" ma:fieldsID="8cbaf630a629c3c1bb3ef5a543db145c" ns2:_="" ns3:_="">
    <xsd:import namespace="40c2bee6-72d2-4c4b-bbf2-19a975248824"/>
    <xsd:import namespace="ef7e321c-44a6-4cb5-81f0-0bfd95ece25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c2bee6-72d2-4c4b-bbf2-19a9752488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e321c-44a6-4cb5-81f0-0bfd95ece25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0c2bee6-72d2-4c4b-bbf2-19a975248824">
      <UserInfo>
        <DisplayName>Doherty, Patrick</DisplayName>
        <AccountId>53</AccountId>
        <AccountType/>
      </UserInfo>
      <UserInfo>
        <DisplayName>McKinney, Jeanne</DisplayName>
        <AccountId>29</AccountId>
        <AccountType/>
      </UserInfo>
    </SharedWithUsers>
  </documentManagement>
</p:properties>
</file>

<file path=customXml/itemProps1.xml><?xml version="1.0" encoding="utf-8"?>
<ds:datastoreItem xmlns:ds="http://schemas.openxmlformats.org/officeDocument/2006/customXml" ds:itemID="{B930DE7C-9577-4EA8-AC89-8E2B6CC952CB}">
  <ds:schemaRefs>
    <ds:schemaRef ds:uri="http://schemas.microsoft.com/sharepoint/v3/contenttype/forms"/>
  </ds:schemaRefs>
</ds:datastoreItem>
</file>

<file path=customXml/itemProps2.xml><?xml version="1.0" encoding="utf-8"?>
<ds:datastoreItem xmlns:ds="http://schemas.openxmlformats.org/officeDocument/2006/customXml" ds:itemID="{42692CBF-97EE-47CC-813F-1B66EA5AD97B}">
  <ds:schemaRefs>
    <ds:schemaRef ds:uri="http://schemas.openxmlformats.org/officeDocument/2006/bibliography"/>
  </ds:schemaRefs>
</ds:datastoreItem>
</file>

<file path=customXml/itemProps3.xml><?xml version="1.0" encoding="utf-8"?>
<ds:datastoreItem xmlns:ds="http://schemas.openxmlformats.org/officeDocument/2006/customXml" ds:itemID="{1B53B1BB-0678-4C6F-92D9-6E5EE465D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c2bee6-72d2-4c4b-bbf2-19a975248824"/>
    <ds:schemaRef ds:uri="ef7e321c-44a6-4cb5-81f0-0bfd95ece2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0E4752-B270-4867-90BA-5719077E84AA}">
  <ds:schemaRefs>
    <ds:schemaRef ds:uri="http://schemas.microsoft.com/office/2006/metadata/properties"/>
    <ds:schemaRef ds:uri="http://schemas.microsoft.com/office/infopath/2007/PartnerControls"/>
    <ds:schemaRef ds:uri="40c2bee6-72d2-4c4b-bbf2-19a975248824"/>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25</ap:Pages>
  <ap:Words>5258</ap:Words>
  <ap:Characters>29976</ap:Characters>
  <ap:Application>Microsoft Office Word</ap:Application>
  <ap:DocSecurity>4</ap:DocSecurity>
  <ap:Lines>249</ap:Lines>
  <ap:Paragraphs>70</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35164</ap:CharactersWithSpaces>
  <ap:SharedDoc>false</ap:SharedDoc>
  <ap:HLinks>
    <vt:vector baseType="variant" size="42">
      <vt:variant>
        <vt:i4>2359320</vt:i4>
      </vt:variant>
      <vt:variant>
        <vt:i4>6</vt:i4>
      </vt:variant>
      <vt:variant>
        <vt:i4>0</vt:i4>
      </vt:variant>
      <vt:variant>
        <vt:i4>5</vt:i4>
      </vt:variant>
      <vt:variant>
        <vt:lpwstr>mailto:public.advisor@cpuc.ca.gov</vt:lpwstr>
      </vt:variant>
      <vt:variant>
        <vt:lpwstr/>
      </vt:variant>
      <vt:variant>
        <vt:i4>917526</vt:i4>
      </vt:variant>
      <vt:variant>
        <vt:i4>3</vt:i4>
      </vt:variant>
      <vt:variant>
        <vt:i4>0</vt:i4>
      </vt:variant>
      <vt:variant>
        <vt:i4>5</vt:i4>
      </vt:variant>
      <vt:variant>
        <vt:lpwstr>http://subscribecpuc.cpuc.ca.gov/</vt:lpwstr>
      </vt:variant>
      <vt:variant>
        <vt:lpwstr/>
      </vt:variant>
      <vt:variant>
        <vt:i4>7340067</vt:i4>
      </vt:variant>
      <vt:variant>
        <vt:i4>0</vt:i4>
      </vt:variant>
      <vt:variant>
        <vt:i4>0</vt:i4>
      </vt:variant>
      <vt:variant>
        <vt:i4>5</vt:i4>
      </vt:variant>
      <vt:variant>
        <vt:lpwstr>mailto:process_office@cpuc.ca.gov</vt:lpwstr>
      </vt:variant>
      <vt:variant>
        <vt:lpwstr/>
      </vt:variant>
      <vt:variant>
        <vt:i4>3866673</vt:i4>
      </vt:variant>
      <vt:variant>
        <vt:i4>9</vt:i4>
      </vt:variant>
      <vt:variant>
        <vt:i4>0</vt:i4>
      </vt:variant>
      <vt:variant>
        <vt:i4>5</vt:i4>
      </vt:variant>
      <vt:variant>
        <vt:lpwstr>https://www.uber.com/newsroom/driving-a-green-recovery/</vt:lpwstr>
      </vt:variant>
      <vt:variant>
        <vt:lpwstr/>
      </vt:variant>
      <vt:variant>
        <vt:i4>1572942</vt:i4>
      </vt:variant>
      <vt:variant>
        <vt:i4>6</vt:i4>
      </vt:variant>
      <vt:variant>
        <vt:i4>0</vt:i4>
      </vt:variant>
      <vt:variant>
        <vt:i4>5</vt:i4>
      </vt:variant>
      <vt:variant>
        <vt:lpwstr>https://www.lyft.com/blog/posts/leading-the-transition-to-zero-emissions</vt:lpwstr>
      </vt:variant>
      <vt:variant>
        <vt:lpwstr/>
      </vt:variant>
      <vt:variant>
        <vt:i4>6357047</vt:i4>
      </vt:variant>
      <vt:variant>
        <vt:i4>3</vt:i4>
      </vt:variant>
      <vt:variant>
        <vt:i4>0</vt:i4>
      </vt:variant>
      <vt:variant>
        <vt:i4>5</vt:i4>
      </vt:variant>
      <vt:variant>
        <vt:lpwstr>https://ww2.arb.ca.gov/sites/default/files/2019-12/SB 1014 - Base year Emissions Inventory_December_2019.pdf</vt:lpwstr>
      </vt:variant>
      <vt:variant>
        <vt:lpwstr/>
      </vt:variant>
      <vt:variant>
        <vt:i4>6029407</vt:i4>
      </vt:variant>
      <vt:variant>
        <vt:i4>0</vt:i4>
      </vt:variant>
      <vt:variant>
        <vt:i4>0</vt:i4>
      </vt:variant>
      <vt:variant>
        <vt:i4>5</vt:i4>
      </vt:variant>
      <vt:variant>
        <vt:lpwstr>https://ww2.arb.ca.gov/rulemaking/2021/cleanmilesstandard</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2019-07-03T22:18:00Z</cp:lastPrinted>
  <dcterms:created xsi:type="dcterms:W3CDTF">2021-11-23T16:06:16Z</dcterms:created>
  <dcterms:modified xsi:type="dcterms:W3CDTF">2021-11-23T16:06:16Z</dcterms:modified>
</cp:coreProperties>
</file>