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C67045" w:rsidRDefault="00124CBA" w14:paraId="7677642B" w14:textId="1473BF9E">
      <w:pPr>
        <w:tabs>
          <w:tab w:val="center" w:pos="4410"/>
          <w:tab w:val="right" w:pos="9360"/>
        </w:tabs>
        <w:spacing w:line="240" w:lineRule="auto"/>
        <w:ind w:firstLine="0"/>
      </w:pPr>
      <w:r>
        <w:t>ALJ/EC2/mph</w:t>
      </w:r>
      <w:r w:rsidR="007E0FEE">
        <w:tab/>
      </w:r>
      <w:r w:rsidRPr="00C67045" w:rsidR="00DA7B5D">
        <w:rPr>
          <w:rFonts w:ascii="Arial" w:hAnsi="Arial" w:cs="Arial"/>
          <w:b/>
          <w:sz w:val="28"/>
          <w:szCs w:val="28"/>
        </w:rPr>
        <w:t>PROPOSED DECISION</w:t>
      </w:r>
      <w:r w:rsidR="00DA7B5D">
        <w:tab/>
      </w:r>
      <w:r w:rsidRPr="00EE4315" w:rsidR="00DA7B5D">
        <w:rPr>
          <w:b/>
        </w:rPr>
        <w:t>Agenda ID #</w:t>
      </w:r>
      <w:r w:rsidR="0055279D">
        <w:rPr>
          <w:b/>
        </w:rPr>
        <w:t>20010</w:t>
      </w:r>
      <w:r w:rsidR="006B108A">
        <w:rPr>
          <w:b/>
        </w:rPr>
        <w:t xml:space="preserve"> (Rev. 1)</w:t>
      </w:r>
    </w:p>
    <w:p w:rsidR="00DA7B5D" w:rsidP="00632207" w:rsidRDefault="00124CBA" w14:paraId="5D4ABE54" w14:textId="506ADBB8">
      <w:pPr>
        <w:spacing w:line="240" w:lineRule="auto"/>
        <w:jc w:val="right"/>
        <w:rPr>
          <w:b/>
        </w:rPr>
      </w:pPr>
      <w:proofErr w:type="spellStart"/>
      <w:r>
        <w:rPr>
          <w:b/>
        </w:rPr>
        <w:t>Ratesetting</w:t>
      </w:r>
      <w:proofErr w:type="spellEnd"/>
    </w:p>
    <w:p w:rsidRPr="00EE4315" w:rsidR="00C67045" w:rsidP="00632207" w:rsidRDefault="00C67045" w14:paraId="2E7C04AD" w14:textId="00EBBD66">
      <w:pPr>
        <w:spacing w:line="240" w:lineRule="auto"/>
        <w:jc w:val="right"/>
        <w:rPr>
          <w:b/>
        </w:rPr>
      </w:pPr>
      <w:r>
        <w:rPr>
          <w:b/>
        </w:rPr>
        <w:t>12/2/2021 Item #6</w:t>
      </w:r>
    </w:p>
    <w:p w:rsidR="00DA7B5D" w:rsidP="008F0116" w:rsidRDefault="00DA7B5D" w14:paraId="17748E56" w14:textId="77777777">
      <w:pPr>
        <w:ind w:firstLine="0"/>
      </w:pPr>
    </w:p>
    <w:p w:rsidRPr="00EE3060" w:rsidR="00DA7B5D" w:rsidP="0098655A" w:rsidRDefault="00DA7B5D" w14:paraId="6D852958" w14:textId="0AE60336">
      <w:pPr>
        <w:ind w:left="1080" w:hanging="1080"/>
      </w:pPr>
      <w:r>
        <w:t xml:space="preserve">Decision </w:t>
      </w:r>
      <w:r w:rsidRPr="00C218BB" w:rsidR="00C218BB">
        <w:rPr>
          <w:b/>
          <w:bCs/>
          <w:u w:val="single"/>
        </w:rPr>
        <w:t>PROPOSED DECISION OF ALJ LAU</w:t>
      </w:r>
      <w:r w:rsidRPr="00C218BB" w:rsidR="00C218BB">
        <w:rPr>
          <w:b/>
          <w:bCs/>
        </w:rPr>
        <w:t xml:space="preserve"> (Mailed </w:t>
      </w:r>
      <w:r w:rsidR="00124BC9">
        <w:rPr>
          <w:b/>
          <w:bCs/>
        </w:rPr>
        <w:t>10/27/2021</w:t>
      </w:r>
      <w:r w:rsidRPr="00C218BB" w:rsidR="00C218BB">
        <w:rPr>
          <w:b/>
          <w:bCs/>
        </w:rPr>
        <w:t>)</w:t>
      </w:r>
    </w:p>
    <w:p w:rsidR="00DA7B5D" w:rsidP="00BB0243" w:rsidRDefault="00DA7B5D" w14:paraId="28900656" w14:textId="77777777">
      <w:pPr>
        <w:spacing w:line="240" w:lineRule="auto"/>
        <w:jc w:val="center"/>
        <w:rPr>
          <w:u w:val="single"/>
        </w:rPr>
      </w:pPr>
    </w:p>
    <w:p w:rsidR="00DA7B5D" w:rsidP="00BB0243" w:rsidRDefault="00DA7B5D" w14:paraId="384FE457"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BF7A1F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5220"/>
        <w:gridCol w:w="4140"/>
      </w:tblGrid>
      <w:tr w:rsidR="00DA7B5D" w:rsidTr="005F2CC3" w14:paraId="51BFD681" w14:textId="77777777">
        <w:trPr>
          <w:jc w:val="center"/>
        </w:trPr>
        <w:tc>
          <w:tcPr>
            <w:tcW w:w="5220" w:type="dxa"/>
            <w:tcBorders>
              <w:top w:val="nil"/>
              <w:left w:val="nil"/>
              <w:bottom w:val="single" w:color="auto" w:sz="4" w:space="0"/>
              <w:right w:val="single" w:color="auto" w:sz="4" w:space="0"/>
            </w:tcBorders>
          </w:tcPr>
          <w:p w:rsidRPr="00DA7B5D" w:rsidR="00DA7B5D" w:rsidP="00B345F1" w:rsidRDefault="00B345F1" w14:paraId="160C6735" w14:textId="2D659DEE">
            <w:pPr>
              <w:pStyle w:val="ALJBodyText"/>
              <w:spacing w:line="240" w:lineRule="auto"/>
              <w:ind w:firstLine="0"/>
              <w:rPr>
                <w:rFonts w:cs="Arial"/>
                <w:szCs w:val="26"/>
              </w:rPr>
            </w:pPr>
            <w:r w:rsidRPr="00580C0F">
              <w:t>Application of San Diego Gas &amp; Electric Company (U902M) for Authority to Implement Rate Relief and Increase Spend in Support of the San Diego Unified Port District’s Energy Management Plan</w:t>
            </w:r>
            <w:r>
              <w:t>.</w:t>
            </w:r>
            <w:r w:rsidRPr="00DA7B5D" w:rsidR="00DA7B5D">
              <w:rPr>
                <w:rFonts w:cs="Arial"/>
                <w:szCs w:val="26"/>
              </w:rPr>
              <w:br/>
            </w:r>
          </w:p>
        </w:tc>
        <w:tc>
          <w:tcPr>
            <w:tcW w:w="4140" w:type="dxa"/>
            <w:tcBorders>
              <w:top w:val="nil"/>
              <w:left w:val="single" w:color="auto" w:sz="4" w:space="0"/>
              <w:bottom w:val="nil"/>
              <w:right w:val="nil"/>
            </w:tcBorders>
            <w:vAlign w:val="center"/>
          </w:tcPr>
          <w:p w:rsidRPr="00DA7B5D" w:rsidR="00DA7B5D" w:rsidP="00BC12B6" w:rsidRDefault="00B345F1" w14:paraId="74E008D5" w14:textId="3CEDB409">
            <w:pPr>
              <w:rPr>
                <w:rFonts w:cs="Arial"/>
                <w:szCs w:val="26"/>
              </w:rPr>
            </w:pPr>
            <w:r>
              <w:t>Application 17-09-005</w:t>
            </w:r>
          </w:p>
        </w:tc>
      </w:tr>
    </w:tbl>
    <w:p w:rsidR="00DA7B5D" w:rsidP="008F0116" w:rsidRDefault="00DA7B5D" w14:paraId="4794E7E8" w14:textId="77777777">
      <w:pPr>
        <w:spacing w:line="240" w:lineRule="auto"/>
        <w:ind w:firstLine="0"/>
        <w:rPr>
          <w:rFonts w:ascii="Arial" w:hAnsi="Arial" w:cs="Arial"/>
          <w:sz w:val="24"/>
          <w:szCs w:val="24"/>
        </w:rPr>
      </w:pPr>
    </w:p>
    <w:p w:rsidR="00DA7B5D" w:rsidP="008F0116" w:rsidRDefault="00DA7B5D" w14:paraId="36918F57" w14:textId="77777777">
      <w:pPr>
        <w:spacing w:line="240" w:lineRule="auto"/>
        <w:ind w:firstLine="0"/>
        <w:rPr>
          <w:rFonts w:ascii="Arial" w:hAnsi="Arial" w:cs="Arial"/>
          <w:sz w:val="24"/>
          <w:szCs w:val="24"/>
        </w:rPr>
      </w:pPr>
    </w:p>
    <w:p w:rsidRPr="00E368A2" w:rsidR="00B345F1" w:rsidP="00B345F1" w:rsidRDefault="00B345F1" w14:paraId="0F25E724" w14:textId="77777777">
      <w:pPr>
        <w:pStyle w:val="ALJTitle"/>
      </w:pPr>
      <w:r>
        <w:t xml:space="preserve">DECISION MODIFYING DECISION 19-12-022 TO EXTEND THE SAN DIEGO UNIFIED PORT DISTRICT’S CURRENT LEVEL OF RATE DISCOUNT </w:t>
      </w:r>
    </w:p>
    <w:p w:rsidR="008E05B5" w:rsidP="008E05B5" w:rsidRDefault="008E05B5" w14:paraId="552BF0C7" w14:textId="77777777"/>
    <w:p w:rsidRPr="008E05B5" w:rsidR="008E05B5" w:rsidP="008E05B5" w:rsidRDefault="008E05B5" w14:paraId="0934D134" w14:textId="626198B3">
      <w:pPr>
        <w:sectPr w:rsidRPr="008E05B5" w:rsidR="008E05B5" w:rsidSect="00CA2F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005A148C" w:rsidP="005A148C" w:rsidRDefault="005A148C" w14:paraId="081400C5" w14:textId="77777777">
      <w:pPr>
        <w:pStyle w:val="Dummy"/>
      </w:pPr>
      <w:bookmarkStart w:name="_Toc8123714" w:id="0"/>
      <w:bookmarkStart w:name="_Toc12866683" w:id="1"/>
      <w:r>
        <w:lastRenderedPageBreak/>
        <w:t>Summary</w:t>
      </w:r>
      <w:bookmarkEnd w:id="0"/>
      <w:bookmarkEnd w:id="1"/>
    </w:p>
    <w:p w:rsidR="00B345F1" w:rsidP="00AC414F" w:rsidRDefault="00B345F1" w14:paraId="5F86F031" w14:textId="77777777">
      <w:pPr>
        <w:pStyle w:val="Standard"/>
      </w:pPr>
      <w:r>
        <w:t xml:space="preserve">This decision grants in part and denies in part the Petition for Modification of Decision (D.) 19-12-022.  </w:t>
      </w:r>
    </w:p>
    <w:p w:rsidR="00B345F1" w:rsidP="00AC414F" w:rsidRDefault="00B345F1" w14:paraId="56B972DF" w14:textId="6395F52E">
      <w:pPr>
        <w:pStyle w:val="Standard"/>
      </w:pPr>
      <w:r>
        <w:t xml:space="preserve">This decision grants an extension of the discount the San Diego Unified Port District (Port) currently receives on its non-coincident demand charge until either June 1, 2022, or the </w:t>
      </w:r>
      <w:r w:rsidR="00131943">
        <w:t>implementation of the Maritime Rate that San Diego Gas &amp; Electric Company (SDG&amp;E) is requesting in</w:t>
      </w:r>
      <w:r>
        <w:t xml:space="preserve"> Application (A.)20-12-009, whichever is sooner</w:t>
      </w:r>
      <w:proofErr w:type="gramStart"/>
      <w:r>
        <w:t xml:space="preserve">.  </w:t>
      </w:r>
      <w:proofErr w:type="gramEnd"/>
      <w:r>
        <w:t xml:space="preserve">The Port currently receives an 80 percent discount on it non-coincident demand charge.  The 80 percent discount is set to decrease to </w:t>
      </w:r>
      <w:r w:rsidR="00A60EF1">
        <w:br/>
      </w:r>
      <w:r>
        <w:t xml:space="preserve">70 percent on January 1, 2022, pursuant to D.19-12-022. </w:t>
      </w:r>
    </w:p>
    <w:p w:rsidR="00B345F1" w:rsidP="002308F4" w:rsidRDefault="00B345F1" w14:paraId="2378C482" w14:textId="556DFF12">
      <w:pPr>
        <w:pStyle w:val="Standard"/>
      </w:pPr>
      <w:r>
        <w:t xml:space="preserve">An extension of the Port’s current level of discount gives the Port rate stability within the short period of time between January 1, 2022, when the Port’s discount is set to decrease, and when the Maritime Rate is implemented.  The Maritime Rate, which the Commission is reviewing in A.20-12-009, is a long-term electric rate for the Port that more closely aligns with its costs of service than its current electric rate.  The extension of </w:t>
      </w:r>
      <w:r w:rsidR="00E54249">
        <w:t xml:space="preserve">the </w:t>
      </w:r>
      <w:r>
        <w:t>discount is only for a short period of time, approximately six months, to limit the amount of costs that SDG&amp;E ratepayers will have to pay to subsidize the Port for the discount.</w:t>
      </w:r>
    </w:p>
    <w:p w:rsidR="00B345F1" w:rsidP="002308F4" w:rsidRDefault="00B345F1" w14:paraId="6B176D7D" w14:textId="77777777">
      <w:pPr>
        <w:pStyle w:val="Standard"/>
      </w:pPr>
      <w:r>
        <w:t>This decision denies without prejudice the request in the Petition for Modification to authorize a one-time bill adjustment related to the implementation of the Maritime Rate for the Port.  Because the record in this current proceeding does not contain any data or evidence related to the Maritime Rate, this proceeding is not the appropriate forum to address the requested bill adjustment.</w:t>
      </w:r>
    </w:p>
    <w:p w:rsidR="00B345F1" w:rsidP="002308F4" w:rsidRDefault="00B345F1" w14:paraId="7CD05270" w14:textId="77777777">
      <w:pPr>
        <w:pStyle w:val="Standard"/>
      </w:pPr>
      <w:r>
        <w:t xml:space="preserve">This proceeding is closed. </w:t>
      </w:r>
    </w:p>
    <w:p w:rsidR="00B345F1" w:rsidP="002308F4" w:rsidRDefault="00B345F1" w14:paraId="5EF7809B" w14:textId="77777777">
      <w:pPr>
        <w:pStyle w:val="ALJHeading1"/>
      </w:pPr>
      <w:bookmarkStart w:name="_Toc2517038" w:id="2"/>
      <w:bookmarkStart w:name="_Toc2523436" w:id="3"/>
      <w:r w:rsidRPr="002308F4">
        <w:lastRenderedPageBreak/>
        <w:t>Background</w:t>
      </w:r>
      <w:bookmarkEnd w:id="2"/>
      <w:bookmarkEnd w:id="3"/>
    </w:p>
    <w:p w:rsidR="00B345F1" w:rsidP="002308F4" w:rsidRDefault="00B345F1" w14:paraId="580DA621" w14:textId="12BF78E5">
      <w:pPr>
        <w:pStyle w:val="Standard"/>
      </w:pPr>
      <w:r w:rsidRPr="00E8416B">
        <w:t xml:space="preserve">On April 14, 2021, San Diego Gas &amp; Electric Company (SDG&amp;E), the </w:t>
      </w:r>
      <w:r w:rsidR="0084034F">
        <w:br/>
      </w:r>
      <w:r w:rsidRPr="00E8416B">
        <w:t>San Diego Unified Port District (Port), and the Public Advocates Office (Cal Advocates) filed a Joint Petition for Modification</w:t>
      </w:r>
      <w:r>
        <w:t xml:space="preserve"> (PFM)</w:t>
      </w:r>
      <w:r w:rsidRPr="00E8416B">
        <w:t xml:space="preserve"> of Decision </w:t>
      </w:r>
      <w:r w:rsidR="002308F4">
        <w:br/>
      </w:r>
      <w:r w:rsidRPr="00E8416B">
        <w:t>(D.) 19-12-022</w:t>
      </w:r>
      <w:proofErr w:type="gramStart"/>
      <w:r w:rsidRPr="00E8416B">
        <w:t xml:space="preserve">.  </w:t>
      </w:r>
      <w:proofErr w:type="gramEnd"/>
      <w:r w:rsidRPr="00E8416B">
        <w:t xml:space="preserve">In the </w:t>
      </w:r>
      <w:r>
        <w:t>PFM</w:t>
      </w:r>
      <w:r w:rsidRPr="00E8416B">
        <w:t>, the Petitioner</w:t>
      </w:r>
      <w:r w:rsidR="00A30D26">
        <w:t>s</w:t>
      </w:r>
      <w:r w:rsidRPr="00E8416B">
        <w:t xml:space="preserve"> request that the Commission suspend the Five-Year Rate Plan</w:t>
      </w:r>
      <w:r>
        <w:t xml:space="preserve"> approved in D.19-12-022</w:t>
      </w:r>
      <w:r w:rsidRPr="00E8416B">
        <w:t xml:space="preserve"> s</w:t>
      </w:r>
      <w:r>
        <w:t>uch</w:t>
      </w:r>
      <w:r w:rsidRPr="00E8416B">
        <w:t xml:space="preserve"> that the Port can continue to receive its </w:t>
      </w:r>
      <w:r>
        <w:t>80 percent non-coincident</w:t>
      </w:r>
      <w:r w:rsidRPr="00E8416B">
        <w:t xml:space="preserve"> demand charge discount until the Commission approves a Maritime Rate for the Port in Application (A.)20-12-009.  </w:t>
      </w:r>
      <w:r>
        <w:t>The Petitioners also request a one-time bill adjustment for the difference between the Port’s bills since January 1, 2022, and the bills that would be charged under the Maritime Rate, if the Port’s discounted rate is higher than the adopted Maritime Rate.</w:t>
      </w:r>
      <w:r w:rsidRPr="00DA2DFD">
        <w:t xml:space="preserve"> </w:t>
      </w:r>
    </w:p>
    <w:p w:rsidR="00B345F1" w:rsidP="002308F4" w:rsidRDefault="00B345F1" w14:paraId="1EAB2871" w14:textId="77777777">
      <w:pPr>
        <w:pStyle w:val="Standard"/>
      </w:pPr>
      <w:r>
        <w:t>No protests or responses were submitted to the PFM.</w:t>
      </w:r>
    </w:p>
    <w:p w:rsidR="00B345F1" w:rsidP="002308F4" w:rsidRDefault="00B345F1" w14:paraId="273B3279" w14:textId="77777777">
      <w:pPr>
        <w:pStyle w:val="ALJHeading2"/>
      </w:pPr>
      <w:r>
        <w:t>Decision 19-12-022</w:t>
      </w:r>
    </w:p>
    <w:p w:rsidR="00B345F1" w:rsidP="002308F4" w:rsidRDefault="00B345F1" w14:paraId="250C0102" w14:textId="77777777">
      <w:pPr>
        <w:pStyle w:val="Standard"/>
      </w:pPr>
      <w:r>
        <w:t xml:space="preserve">D.19-12-022 adopted a Five-Year Rate Plan to help the Port gradually transition from the Small Commercial customer rate to a Medium and Large Commercial and Industrial customer rate by providing a discount to the Port’s non-coincident demand changes.  The discount gradually declines after each year, over the five-year term of the Rate Plan.  Currently, for the year 2021, the Port is in Year 2 of the Rate Plan and is receiving a discount of 80 percent on its non-coincident demand charge.  On January 1, 2022, the Port will enter Year 3 of the Rate Plan, during which its non-coincident demand charge discount will decrease to 70 percent.  </w:t>
      </w:r>
    </w:p>
    <w:p w:rsidR="00B345F1" w:rsidP="002308F4" w:rsidRDefault="00B345F1" w14:paraId="588F7447" w14:textId="77777777">
      <w:pPr>
        <w:pStyle w:val="Standard"/>
      </w:pPr>
      <w:r>
        <w:t xml:space="preserve">D.19-12-022 also directed SDG&amp;E to coordinate with parties to develop a long-term Maritime Rate for the Port.    </w:t>
      </w:r>
    </w:p>
    <w:p w:rsidR="00B345F1" w:rsidP="002308F4" w:rsidRDefault="00B345F1" w14:paraId="126CBDBC" w14:textId="3943A70F">
      <w:pPr>
        <w:pStyle w:val="ALJHeading2"/>
      </w:pPr>
      <w:r>
        <w:lastRenderedPageBreak/>
        <w:t xml:space="preserve">A.20-12-009 </w:t>
      </w:r>
      <w:r w:rsidR="00A30D26">
        <w:t>S</w:t>
      </w:r>
      <w:r w:rsidRPr="002308F4">
        <w:t>eeks</w:t>
      </w:r>
      <w:r>
        <w:t xml:space="preserve"> </w:t>
      </w:r>
      <w:r w:rsidR="00A30D26">
        <w:t>A</w:t>
      </w:r>
      <w:r>
        <w:t>pproval of a Maritime Rate</w:t>
      </w:r>
    </w:p>
    <w:p w:rsidR="00B345F1" w:rsidP="002308F4" w:rsidRDefault="00B345F1" w14:paraId="70B78506" w14:textId="77777777">
      <w:pPr>
        <w:pStyle w:val="Standard"/>
      </w:pPr>
      <w:r>
        <w:t>On December 18, 2020, SDG&amp;E filed A.20-12-009 to seek approval of a long-term Maritime Rate for the Port.  The Maritime Rate that SDG&amp;E proposed seeks to set specific transmission rates for the Port.  Transmission rates, however, are under the jurisdiction of the Federal Energy Regulatory Commission (FERC).</w:t>
      </w:r>
    </w:p>
    <w:p w:rsidR="00B345F1" w:rsidP="00B345F1" w:rsidRDefault="00B345F1" w14:paraId="4B772C11" w14:textId="2D31EDE3">
      <w:pPr>
        <w:pStyle w:val="ALJBodyText"/>
      </w:pPr>
      <w:bookmarkStart w:name="_Hlk84594374" w:id="4"/>
      <w:r>
        <w:t xml:space="preserve">On May 26, 2021, the assigned Administrative Law Judge (ALJ) issued an email ruling to suspend the procedural schedule for A.20-12-009.  The </w:t>
      </w:r>
      <w:r w:rsidR="00A30D26">
        <w:t>r</w:t>
      </w:r>
      <w:r>
        <w:t>uling also directed SDG&amp;E to seek approval of the Maritime Rate from FERC first before seeking approval</w:t>
      </w:r>
      <w:r w:rsidRPr="00E30753">
        <w:t xml:space="preserve"> </w:t>
      </w:r>
      <w:r>
        <w:t>from the Commission.</w:t>
      </w:r>
    </w:p>
    <w:bookmarkEnd w:id="4"/>
    <w:p w:rsidR="00B345F1" w:rsidP="002308F4" w:rsidRDefault="00B345F1" w14:paraId="35E26FCD" w14:textId="77777777">
      <w:pPr>
        <w:pStyle w:val="ALJHeading2"/>
      </w:pPr>
      <w:r>
        <w:t xml:space="preserve">Submission of </w:t>
      </w:r>
      <w:r w:rsidRPr="002308F4">
        <w:t>the</w:t>
      </w:r>
      <w:r>
        <w:t xml:space="preserve"> FERC filing</w:t>
      </w:r>
    </w:p>
    <w:p w:rsidR="00B345F1" w:rsidP="002308F4" w:rsidRDefault="00B345F1" w14:paraId="4AE7ED54" w14:textId="77777777">
      <w:pPr>
        <w:pStyle w:val="Standard"/>
      </w:pPr>
      <w:bookmarkStart w:name="_Hlk84594387" w:id="5"/>
      <w:r>
        <w:t>On July 29, 2021, SDG&amp;E submitted to FERC a filing (ER21-2540-000) seeking approval to amend its Transmission Owner Tariff so that a Port-specific Maritime Rate can be created.  In the filing, SDG&amp;E requested an effective date of January 1, 2022.</w:t>
      </w:r>
    </w:p>
    <w:bookmarkEnd w:id="5"/>
    <w:p w:rsidR="00B345F1" w:rsidP="002308F4" w:rsidRDefault="00B345F1" w14:paraId="3E8891E6" w14:textId="77777777">
      <w:pPr>
        <w:pStyle w:val="ALJHeading1"/>
      </w:pPr>
      <w:r>
        <w:t xml:space="preserve">Cal Advocates’ </w:t>
      </w:r>
      <w:r w:rsidRPr="002308F4">
        <w:t>Motion</w:t>
      </w:r>
      <w:r>
        <w:t xml:space="preserve"> to Strike its Name from the PFM</w:t>
      </w:r>
    </w:p>
    <w:p w:rsidR="00B345F1" w:rsidP="002308F4" w:rsidRDefault="00B345F1" w14:paraId="1851EAFD" w14:textId="77777777">
      <w:pPr>
        <w:pStyle w:val="Standard"/>
      </w:pPr>
      <w:bookmarkStart w:name="_Hlk84594411" w:id="6"/>
      <w:r>
        <w:t>On June 24, 2021, Cal Advocates filed a motion to strike its name from the Joint Petition for Modification.  Cal Advocates states that, because the proceeding in A.20-12-009 was suspended, it no longer supports the requests in the PFM.  Cal Advocates is concerned about the uncertainty of the length of time the discount would be extended.</w:t>
      </w:r>
    </w:p>
    <w:p w:rsidR="00B345F1" w:rsidP="002308F4" w:rsidRDefault="00B345F1" w14:paraId="19B0BBDC" w14:textId="77777777">
      <w:pPr>
        <w:pStyle w:val="Standard"/>
      </w:pPr>
      <w:bookmarkStart w:name="_Hlk84594424" w:id="7"/>
      <w:bookmarkEnd w:id="6"/>
      <w:r>
        <w:t>No parties filed a response to Cal Advocates’ motion.</w:t>
      </w:r>
    </w:p>
    <w:p w:rsidR="00B345F1" w:rsidP="002308F4" w:rsidRDefault="00B345F1" w14:paraId="2C23B97F" w14:textId="77777777">
      <w:pPr>
        <w:pStyle w:val="Standard"/>
      </w:pPr>
      <w:bookmarkStart w:name="_Hlk84594443" w:id="8"/>
      <w:bookmarkEnd w:id="7"/>
      <w:r>
        <w:t>Cal Advocates’ motion to strike its name from the PFM is granted.  From hereafter, the Petitioners in the PFM shall consist only of SDG&amp;E and the Port and shall no longer include Cal Advocates.</w:t>
      </w:r>
    </w:p>
    <w:bookmarkEnd w:id="8"/>
    <w:p w:rsidR="00B345F1" w:rsidP="002308F4" w:rsidRDefault="00B345F1" w14:paraId="718FF70E" w14:textId="77777777">
      <w:pPr>
        <w:pStyle w:val="ALJHeading1"/>
      </w:pPr>
      <w:r>
        <w:lastRenderedPageBreak/>
        <w:t>Parties’ Updated Position on the Petition for Modification</w:t>
      </w:r>
    </w:p>
    <w:p w:rsidR="00B345F1" w:rsidP="002308F4" w:rsidRDefault="00B345F1" w14:paraId="3B05BD96" w14:textId="61600972">
      <w:pPr>
        <w:pStyle w:val="Standard"/>
      </w:pPr>
      <w:r>
        <w:t xml:space="preserve">On July 14, 2021, the assigned Administrative Law Judge issued an </w:t>
      </w:r>
      <w:r w:rsidR="00A30D26">
        <w:t>e</w:t>
      </w:r>
      <w:r w:rsidR="00174536">
        <w:t>-</w:t>
      </w:r>
      <w:r>
        <w:t xml:space="preserve">mail </w:t>
      </w:r>
      <w:r w:rsidR="00A30D26">
        <w:t>r</w:t>
      </w:r>
      <w:r>
        <w:t>uling directing parties to provide clarification on their respective positions on the PFM.</w:t>
      </w:r>
    </w:p>
    <w:p w:rsidR="00B345F1" w:rsidP="002308F4" w:rsidRDefault="00B345F1" w14:paraId="6646F3BD" w14:textId="77777777">
      <w:pPr>
        <w:pStyle w:val="Standard"/>
      </w:pPr>
      <w:r>
        <w:t>On August 2, 2021, Cal Advocates filed a response, indicating that they now oppose the PFM.  They request that the Commission deny the requests in the PFM, arguing that the requests are no longer necessary because FERC should have sufficient time to approve the Maritime Rate before January 1, 2022.</w:t>
      </w:r>
    </w:p>
    <w:p w:rsidR="00B345F1" w:rsidP="002308F4" w:rsidRDefault="00B345F1" w14:paraId="4B01881B" w14:textId="27946A66">
      <w:pPr>
        <w:pStyle w:val="Standard"/>
      </w:pPr>
      <w:r>
        <w:t>On the same day</w:t>
      </w:r>
      <w:bookmarkStart w:name="_Hlk84594520" w:id="9"/>
      <w:r>
        <w:t xml:space="preserve">, SDG&amp;E and the Port also filed a response (Joint Response), in which they argue that, even though the proceeding is suspended, the relief requested in the PFM </w:t>
      </w:r>
      <w:r w:rsidR="00D129E7">
        <w:t>is</w:t>
      </w:r>
      <w:r>
        <w:t xml:space="preserve"> still necessary unless the Maritime Rate is approved by FERC and the Commission by January 1, 2022.  SDG&amp;E and the Port assert that, absent the relief requested, the Port would experience a significant bill increase on January 1, 2022.  The bill increase, according to SDG&amp;E and the Port, would exacerbate the economic hardship the current COVID-19 pandemic</w:t>
      </w:r>
      <w:r w:rsidR="00D129E7">
        <w:t xml:space="preserve"> brought to</w:t>
      </w:r>
      <w:r>
        <w:t xml:space="preserve"> the Port, the cruise business, and the overall economy in San Diego.  SDG&amp;E and the Port also argue that denial of the suspension request will give the Port rate volatility, because the Maritime Rate is expected to be approved before or shortly after the January 1, </w:t>
      </w:r>
      <w:proofErr w:type="gramStart"/>
      <w:r w:rsidR="00D129E7">
        <w:t>2022</w:t>
      </w:r>
      <w:proofErr w:type="gramEnd"/>
      <w:r>
        <w:t xml:space="preserve"> rate increase.  </w:t>
      </w:r>
    </w:p>
    <w:bookmarkEnd w:id="9"/>
    <w:p w:rsidR="00B345F1" w:rsidP="002308F4" w:rsidRDefault="00B345F1" w14:paraId="14CF439C" w14:textId="77777777">
      <w:pPr>
        <w:pStyle w:val="ALJHeading2"/>
      </w:pPr>
      <w:r>
        <w:t xml:space="preserve">Revisions to the </w:t>
      </w:r>
      <w:r w:rsidRPr="002308F4">
        <w:t>Requested</w:t>
      </w:r>
      <w:r>
        <w:t xml:space="preserve"> Modifications</w:t>
      </w:r>
    </w:p>
    <w:p w:rsidR="00B345F1" w:rsidP="002308F4" w:rsidRDefault="00B345F1" w14:paraId="6E617C4E" w14:textId="01E4559A">
      <w:pPr>
        <w:pStyle w:val="Standard"/>
      </w:pPr>
      <w:r>
        <w:t>In their Joint Response, SDG&amp;E and the Port revised the requested modifications to D.19-12-022 to reflect the current circumstances, in which SDG&amp;E has submitted a filing to FERC to seek approval of the Maritime Rate</w:t>
      </w:r>
      <w:r w:rsidR="00D129E7">
        <w:t xml:space="preserve"> </w:t>
      </w:r>
      <w:r w:rsidR="00D129E7">
        <w:lastRenderedPageBreak/>
        <w:t>since July 2021</w:t>
      </w:r>
      <w:r>
        <w:t>.  Below are the revised ordering paragraphs that SDG&amp;E and the Port request to add in D.19-12-022:</w:t>
      </w:r>
      <w:r>
        <w:rPr>
          <w:rStyle w:val="FootnoteReference"/>
        </w:rPr>
        <w:footnoteReference w:id="2"/>
      </w:r>
    </w:p>
    <w:p w:rsidR="00B345F1" w:rsidP="002308F4" w:rsidRDefault="00B345F1" w14:paraId="2CEAA4DD" w14:textId="77777777">
      <w:pPr>
        <w:pStyle w:val="ALJBodyText"/>
        <w:numPr>
          <w:ilvl w:val="0"/>
          <w:numId w:val="21"/>
        </w:numPr>
        <w:spacing w:after="120" w:line="240" w:lineRule="auto"/>
        <w:ind w:right="1440"/>
      </w:pPr>
      <w:r>
        <w:t xml:space="preserve">The Adopted 5-Year Rate Plan Table on page 20 of Decision 19-12- 022 shall be suspended, and the discount rate set to 80% when the Commission issues a Scoping Memo in Application 20-12-009.  The 80% discount rate shall remain in effect until San Diego Gas &amp; Electric Company receives any necessary approval from the Federal Energy Regulatory Commission to implement the new long-term Maritime Rate and such rate is implemented. </w:t>
      </w:r>
    </w:p>
    <w:p w:rsidRPr="00051DBF" w:rsidR="00B345F1" w:rsidP="002308F4" w:rsidRDefault="00B345F1" w14:paraId="40C374BF" w14:textId="797967E7">
      <w:pPr>
        <w:pStyle w:val="ALJBodyText"/>
        <w:numPr>
          <w:ilvl w:val="0"/>
          <w:numId w:val="21"/>
        </w:numPr>
        <w:spacing w:after="120" w:line="240" w:lineRule="auto"/>
        <w:ind w:right="1440"/>
      </w:pPr>
      <w:proofErr w:type="gramStart"/>
      <w:r>
        <w:t>In the event that</w:t>
      </w:r>
      <w:proofErr w:type="gramEnd"/>
      <w:r>
        <w:t xml:space="preserve"> the Maritime Rate is approved and implemented by FERC after January 1, 2022, SDG&amp;E will indicate in a Tier 1 Advice Letter submitted to implement the adopted Maritime Rate whether a one-time bill credit equal to the difference between Port bills based on the </w:t>
      </w:r>
      <w:r w:rsidR="00174536">
        <w:br/>
      </w:r>
      <w:r>
        <w:t xml:space="preserve">80% non-coincident demand charge discount and the adopted Maritime Rate, assuming this difference is positive, will be provided to the Port.  The one-time bill credit difference will be calculated from the period </w:t>
      </w:r>
      <w:r w:rsidR="00174536">
        <w:br/>
      </w:r>
      <w:r>
        <w:t xml:space="preserve">January 1, </w:t>
      </w:r>
      <w:proofErr w:type="gramStart"/>
      <w:r>
        <w:t>2022</w:t>
      </w:r>
      <w:proofErr w:type="gramEnd"/>
      <w:r>
        <w:t xml:space="preserve"> until the adopted Maritime Rate is implemented, billed and provided to the Port.</w:t>
      </w:r>
    </w:p>
    <w:p w:rsidR="00B345F1" w:rsidP="002308F4" w:rsidRDefault="00B345F1" w14:paraId="2562A1A6" w14:textId="77777777">
      <w:pPr>
        <w:pStyle w:val="ALJHeading1"/>
      </w:pPr>
      <w:r>
        <w:t xml:space="preserve">Procedural </w:t>
      </w:r>
      <w:r w:rsidRPr="002308F4">
        <w:t>Requirements</w:t>
      </w:r>
      <w:r>
        <w:t xml:space="preserve"> Under Rule 16.4</w:t>
      </w:r>
    </w:p>
    <w:p w:rsidR="00B345F1" w:rsidP="002308F4" w:rsidRDefault="00B345F1" w14:paraId="53E0241C" w14:textId="1C2BF280">
      <w:pPr>
        <w:pStyle w:val="Standard"/>
      </w:pPr>
      <w:r>
        <w:t xml:space="preserve">Rule 16.4 of the </w:t>
      </w:r>
      <w:r w:rsidRPr="002308F4">
        <w:t>Commission’s</w:t>
      </w:r>
      <w:r>
        <w:t xml:space="preserve"> Rules of Practice and Procedure governs the process for filing and consideration of </w:t>
      </w:r>
      <w:r w:rsidR="00A30D26">
        <w:t>a petition for modification</w:t>
      </w:r>
      <w:r>
        <w:t xml:space="preserve">.  </w:t>
      </w:r>
    </w:p>
    <w:p w:rsidR="00B345F1" w:rsidP="002308F4" w:rsidRDefault="00B345F1" w14:paraId="58D638F6" w14:textId="47058A68">
      <w:pPr>
        <w:pStyle w:val="Standard"/>
      </w:pPr>
      <w:r w:rsidRPr="00E45C1D">
        <w:t xml:space="preserve">Rule 16.4(b) requires that a </w:t>
      </w:r>
      <w:r w:rsidR="00A30D26">
        <w:t>petition for modification</w:t>
      </w:r>
      <w:r w:rsidRPr="00E45C1D">
        <w:t xml:space="preserve"> concisely state the justification for the proposed relief and propose specific wording for all requested modifications.</w:t>
      </w:r>
      <w:r>
        <w:t xml:space="preserve">  The Petitioners assert that the extension of the discount is necessary to avert financial harm of a bill increase for the Port on </w:t>
      </w:r>
      <w:r w:rsidR="005A5B7B">
        <w:br/>
      </w:r>
      <w:r>
        <w:t xml:space="preserve">January 1, 2022, particularly since the expected rate increase would exacerbate </w:t>
      </w:r>
      <w:r>
        <w:lastRenderedPageBreak/>
        <w:t xml:space="preserve">the </w:t>
      </w:r>
      <w:r w:rsidRPr="00A838BB">
        <w:t>devastating economic impacts</w:t>
      </w:r>
      <w:r w:rsidRPr="00563BCC">
        <w:t xml:space="preserve"> </w:t>
      </w:r>
      <w:r w:rsidRPr="00A838BB">
        <w:t>the COVID-19 pandemic has brought</w:t>
      </w:r>
      <w:r>
        <w:t xml:space="preserve"> to</w:t>
      </w:r>
      <w:r w:rsidRPr="00A838BB">
        <w:t xml:space="preserve"> the Port, the cruise industry, and the San Diego region</w:t>
      </w:r>
      <w:proofErr w:type="gramStart"/>
      <w:r w:rsidRPr="00A838BB">
        <w:t xml:space="preserve">.  </w:t>
      </w:r>
      <w:proofErr w:type="gramEnd"/>
      <w:r>
        <w:t>The Petitioners also argue</w:t>
      </w:r>
      <w:r w:rsidRPr="00A838BB">
        <w:t xml:space="preserve"> that the suspension of the discount is necessary to give the Port rate stability until the approval of the Maritime Rate.</w:t>
      </w:r>
      <w:r>
        <w:t xml:space="preserve">  The Petitioners proposed specific wording for the requested modifications, which </w:t>
      </w:r>
      <w:r w:rsidR="00D129E7">
        <w:t>they</w:t>
      </w:r>
      <w:r>
        <w:t xml:space="preserve"> later updated in a Joint Response by SDG&amp;E and the Port.  (</w:t>
      </w:r>
      <w:r>
        <w:rPr>
          <w:i/>
          <w:iCs/>
        </w:rPr>
        <w:t>See</w:t>
      </w:r>
      <w:r>
        <w:t xml:space="preserve"> Section 3.1, Revisions to the Requested Modifications.)</w:t>
      </w:r>
    </w:p>
    <w:p w:rsidR="00B345F1" w:rsidP="002308F4" w:rsidRDefault="00B345F1" w14:paraId="2D5419B3" w14:textId="3D6CE6D4">
      <w:pPr>
        <w:pStyle w:val="Standard"/>
      </w:pPr>
      <w:r>
        <w:t xml:space="preserve">  </w:t>
      </w:r>
      <w:bookmarkStart w:name="_Hlk84594636" w:id="10"/>
      <w:r>
        <w:t xml:space="preserve">Rule 16.4(d) requires petitioners to file and serve </w:t>
      </w:r>
      <w:r w:rsidR="00A30D26">
        <w:t xml:space="preserve">petitions for modification </w:t>
      </w:r>
      <w:r>
        <w:t xml:space="preserve">within one year of the effective date of a decision.  </w:t>
      </w:r>
      <w:bookmarkEnd w:id="10"/>
      <w:r>
        <w:t xml:space="preserve">If more than </w:t>
      </w:r>
      <w:r w:rsidR="005A5B7B">
        <w:br/>
      </w:r>
      <w:proofErr w:type="gramStart"/>
      <w:r>
        <w:t>one year</w:t>
      </w:r>
      <w:proofErr w:type="gramEnd"/>
      <w:r>
        <w:t xml:space="preserve"> elapses before a petitioner files a PFM, the petitioner must explain why the PFM could not have been presented within one year of the effective date of the decision.</w:t>
      </w:r>
    </w:p>
    <w:p w:rsidR="00B345F1" w:rsidP="002308F4" w:rsidRDefault="00B345F1" w14:paraId="0E6AA3D3" w14:textId="3EE89585">
      <w:pPr>
        <w:pStyle w:val="Standard"/>
      </w:pPr>
      <w:bookmarkStart w:name="_Hlk84594650" w:id="11"/>
      <w:r w:rsidRPr="006F1D1A">
        <w:t xml:space="preserve">In the PFM, the Petitioners explain that the need for a suspension of the discount became </w:t>
      </w:r>
      <w:r>
        <w:t>apparent</w:t>
      </w:r>
      <w:r w:rsidRPr="006F1D1A">
        <w:t xml:space="preserve"> only after A.20-12-009 was filed</w:t>
      </w:r>
      <w:r w:rsidRPr="000945C1">
        <w:t>.  In A.20-12-009, SDG&amp;E requested that the Maritime Rate be implemented b</w:t>
      </w:r>
      <w:r>
        <w:t>y</w:t>
      </w:r>
      <w:r w:rsidRPr="000945C1">
        <w:t xml:space="preserve"> January 1, 2022, before the Port’s 80 percent non-coincident demand </w:t>
      </w:r>
      <w:r>
        <w:t xml:space="preserve">charge </w:t>
      </w:r>
      <w:r w:rsidRPr="000945C1">
        <w:t xml:space="preserve">discount drops to </w:t>
      </w:r>
      <w:r w:rsidR="002308F4">
        <w:br/>
      </w:r>
      <w:r w:rsidRPr="000945C1">
        <w:t>70 percent.</w:t>
      </w:r>
      <w:r w:rsidRPr="000945C1">
        <w:rPr>
          <w:rStyle w:val="FootnoteReference"/>
        </w:rPr>
        <w:footnoteReference w:id="3"/>
      </w:r>
      <w:r w:rsidRPr="000945C1">
        <w:t xml:space="preserve">  After discussions at the</w:t>
      </w:r>
      <w:r>
        <w:t xml:space="preserve"> prehearing conference for A.20-12-009, the Petitioners determined that the Maritime Rate may not be approved by </w:t>
      </w:r>
      <w:r w:rsidR="002308F4">
        <w:br/>
      </w:r>
      <w:r>
        <w:t>January 1, 2022, and that a PFM to suspend the Port’s current level of discount</w:t>
      </w:r>
      <w:r w:rsidRPr="00F65BE1">
        <w:t xml:space="preserve"> </w:t>
      </w:r>
      <w:r>
        <w:t xml:space="preserve">was necessary.  </w:t>
      </w:r>
    </w:p>
    <w:p w:rsidR="00B345F1" w:rsidP="002308F4" w:rsidRDefault="00B345F1" w14:paraId="2C1B872E" w14:textId="2F34ED7A">
      <w:pPr>
        <w:pStyle w:val="Standard"/>
      </w:pPr>
      <w:bookmarkStart w:name="_Hlk84594618" w:id="12"/>
      <w:bookmarkEnd w:id="11"/>
      <w:r>
        <w:t xml:space="preserve">We find that the Petitioners provided adequate justifications as to why the PFM was filed </w:t>
      </w:r>
      <w:r w:rsidR="00A30D26">
        <w:t xml:space="preserve">more than </w:t>
      </w:r>
      <w:r>
        <w:t xml:space="preserve">one year after the issuance of D.19-12-022, and that the PFM </w:t>
      </w:r>
      <w:proofErr w:type="gramStart"/>
      <w:r>
        <w:t>is in compliance with</w:t>
      </w:r>
      <w:proofErr w:type="gramEnd"/>
      <w:r>
        <w:t xml:space="preserve"> Rule 16.4.</w:t>
      </w:r>
    </w:p>
    <w:bookmarkEnd w:id="12"/>
    <w:p w:rsidR="00B345F1" w:rsidP="002308F4" w:rsidRDefault="00B345F1" w14:paraId="371DCC06" w14:textId="77777777">
      <w:pPr>
        <w:pStyle w:val="ALJHeading1"/>
      </w:pPr>
      <w:r w:rsidRPr="002308F4">
        <w:lastRenderedPageBreak/>
        <w:t>Discussion</w:t>
      </w:r>
    </w:p>
    <w:p w:rsidR="00B345F1" w:rsidP="002308F4" w:rsidRDefault="00B345F1" w14:paraId="0D28D3A1" w14:textId="77777777">
      <w:pPr>
        <w:pStyle w:val="Standard"/>
      </w:pPr>
      <w:r w:rsidRPr="003F7B87">
        <w:t>We grant in part and deny in part the Petitioners’ requested modifications to D.19-12-022.</w:t>
      </w:r>
      <w:r>
        <w:t xml:space="preserve">  </w:t>
      </w:r>
    </w:p>
    <w:p w:rsidR="00B345F1" w:rsidP="002308F4" w:rsidRDefault="00B345F1" w14:paraId="724B8BF8" w14:textId="15E0224B">
      <w:pPr>
        <w:pStyle w:val="Standard"/>
      </w:pPr>
      <w:r>
        <w:t xml:space="preserve">We grant the suspension of the Five-Year Rate Plan such that the Port will continue to receive an 80 percent discount on its non-coincident demand charge until June 1, 2022, or the </w:t>
      </w:r>
      <w:r w:rsidR="00A8599E">
        <w:t>implementation of the Maritime Rate</w:t>
      </w:r>
      <w:r>
        <w:t>, whichever is sooner</w:t>
      </w:r>
      <w:proofErr w:type="gramStart"/>
      <w:r>
        <w:t xml:space="preserve">.  </w:t>
      </w:r>
      <w:proofErr w:type="gramEnd"/>
      <w:r>
        <w:t xml:space="preserve">We deny without prejudice the request for a one-time adjustment on the Port’s electric bill equal to the difference between the Port’s bills since </w:t>
      </w:r>
      <w:r w:rsidR="005A5B7B">
        <w:br/>
      </w:r>
      <w:r>
        <w:t>January 1, 2022</w:t>
      </w:r>
      <w:r w:rsidR="00D129E7">
        <w:t>, and the bills the Port would be charged under the Maritime Rate for this same period</w:t>
      </w:r>
      <w:r>
        <w:t>, if th</w:t>
      </w:r>
      <w:r w:rsidR="00D129E7">
        <w:t>is</w:t>
      </w:r>
      <w:r>
        <w:t xml:space="preserve"> difference is positive. </w:t>
      </w:r>
    </w:p>
    <w:p w:rsidR="00B345F1" w:rsidP="002308F4" w:rsidRDefault="00B345F1" w14:paraId="5745AA0B" w14:textId="77777777">
      <w:pPr>
        <w:pStyle w:val="ALJHeading2"/>
      </w:pPr>
      <w:r>
        <w:t xml:space="preserve">The </w:t>
      </w:r>
      <w:r w:rsidRPr="002308F4">
        <w:t>Port</w:t>
      </w:r>
      <w:r>
        <w:t xml:space="preserve"> should have rate stability until the approval of its Maritime Rate.</w:t>
      </w:r>
    </w:p>
    <w:p w:rsidR="00B345F1" w:rsidP="002308F4" w:rsidRDefault="00B345F1" w14:paraId="26995911" w14:textId="1C872CDA">
      <w:pPr>
        <w:pStyle w:val="Standard"/>
      </w:pPr>
      <w:r>
        <w:t xml:space="preserve">The Petitioners assert that, absent the rate relief requested, the Port would experience significant financial harm from the rate increase on January 1, 2022, which would further exacerbate the economic damages the Port has been experiencing because of the current COVID-19 pandemic.  In July 2021, SDG&amp;E submitted a filing </w:t>
      </w:r>
      <w:r w:rsidRPr="00850552">
        <w:t>(ER21-2540-000)</w:t>
      </w:r>
      <w:r>
        <w:t xml:space="preserve"> to </w:t>
      </w:r>
      <w:r w:rsidRPr="000945C1">
        <w:t xml:space="preserve">FERC to </w:t>
      </w:r>
      <w:r>
        <w:t xml:space="preserve">seek transmission </w:t>
      </w:r>
      <w:r w:rsidRPr="000945C1">
        <w:t>rate design change</w:t>
      </w:r>
      <w:r>
        <w:t>s</w:t>
      </w:r>
      <w:r w:rsidRPr="000945C1">
        <w:t xml:space="preserve"> </w:t>
      </w:r>
      <w:proofErr w:type="gramStart"/>
      <w:r>
        <w:t>in order to</w:t>
      </w:r>
      <w:proofErr w:type="gramEnd"/>
      <w:r>
        <w:t xml:space="preserve"> implement</w:t>
      </w:r>
      <w:r w:rsidRPr="000945C1">
        <w:t xml:space="preserve"> the Maritime Rate.  </w:t>
      </w:r>
      <w:bookmarkStart w:name="_Hlk84599452" w:id="13"/>
      <w:r w:rsidRPr="000945C1">
        <w:t xml:space="preserve">SDG&amp;E and the Port expect FERC to approve the </w:t>
      </w:r>
      <w:r>
        <w:t xml:space="preserve">filing </w:t>
      </w:r>
      <w:r w:rsidRPr="000945C1">
        <w:t xml:space="preserve">soon, </w:t>
      </w:r>
      <w:proofErr w:type="gramStart"/>
      <w:r w:rsidRPr="000945C1">
        <w:t>before</w:t>
      </w:r>
      <w:proofErr w:type="gramEnd"/>
      <w:r w:rsidRPr="000945C1">
        <w:t xml:space="preserve"> or shortly after January 1, 2022.</w:t>
      </w:r>
      <w:r w:rsidRPr="000945C1">
        <w:rPr>
          <w:rStyle w:val="FootnoteReference"/>
        </w:rPr>
        <w:footnoteReference w:id="4"/>
      </w:r>
      <w:r>
        <w:t xml:space="preserve">  </w:t>
      </w:r>
      <w:bookmarkEnd w:id="13"/>
    </w:p>
    <w:p w:rsidR="00B345F1" w:rsidP="002308F4" w:rsidRDefault="00B345F1" w14:paraId="63FA9852" w14:textId="252B6124">
      <w:pPr>
        <w:pStyle w:val="Standard"/>
      </w:pPr>
      <w:bookmarkStart w:name="_Hlk84610274" w:id="14"/>
      <w:bookmarkStart w:name="_Hlk84599534" w:id="15"/>
      <w:r>
        <w:t xml:space="preserve">If the Maritime Rate is </w:t>
      </w:r>
      <w:r w:rsidR="006D3E0C">
        <w:t xml:space="preserve">implemented </w:t>
      </w:r>
      <w:r>
        <w:t xml:space="preserve">shortly after January 1, 2022, the Port would experience significant rate volatility </w:t>
      </w:r>
      <w:bookmarkStart w:name="_Hlk84931213" w:id="16"/>
      <w:r>
        <w:t xml:space="preserve">over the short period of time between January 1, 2022, when the Port’s discount </w:t>
      </w:r>
      <w:r w:rsidR="009C395A">
        <w:t xml:space="preserve">is set to </w:t>
      </w:r>
      <w:r>
        <w:t>decrease, and when the Maritime Rate is implemented</w:t>
      </w:r>
      <w:proofErr w:type="gramStart"/>
      <w:r>
        <w:t xml:space="preserve">. </w:t>
      </w:r>
      <w:bookmarkEnd w:id="14"/>
      <w:r>
        <w:t xml:space="preserve"> </w:t>
      </w:r>
      <w:bookmarkEnd w:id="16"/>
      <w:proofErr w:type="gramEnd"/>
      <w:r>
        <w:t xml:space="preserve">Extending the Port’s current level of discount over </w:t>
      </w:r>
      <w:r w:rsidR="009C395A">
        <w:t>this</w:t>
      </w:r>
      <w:r>
        <w:t xml:space="preserve"> short period of time will </w:t>
      </w:r>
      <w:bookmarkStart w:name="_Hlk84610563" w:id="17"/>
      <w:r>
        <w:t>give the Port</w:t>
      </w:r>
      <w:r w:rsidR="009C395A">
        <w:t xml:space="preserve"> the</w:t>
      </w:r>
      <w:r>
        <w:t xml:space="preserve"> rate stability </w:t>
      </w:r>
      <w:bookmarkStart w:name="_Hlk84863036" w:id="18"/>
      <w:r>
        <w:t xml:space="preserve">that it needs, </w:t>
      </w:r>
      <w:r>
        <w:lastRenderedPageBreak/>
        <w:t>particularly since the Port has been experiencing economic challenges resulting from the COVID-19 pandemic.</w:t>
      </w:r>
      <w:bookmarkEnd w:id="18"/>
      <w:r>
        <w:t xml:space="preserve"> </w:t>
      </w:r>
      <w:bookmarkEnd w:id="17"/>
    </w:p>
    <w:p w:rsidR="00B345F1" w:rsidP="002308F4" w:rsidRDefault="00B345F1" w14:paraId="1FB27601" w14:textId="77777777">
      <w:pPr>
        <w:pStyle w:val="Standard"/>
      </w:pPr>
      <w:r>
        <w:t xml:space="preserve">But </w:t>
      </w:r>
      <w:bookmarkStart w:name="_Hlk84863062" w:id="19"/>
      <w:r>
        <w:t xml:space="preserve">the extension of the Port’s discount comes at a cost to </w:t>
      </w:r>
      <w:r w:rsidRPr="0031645B">
        <w:t xml:space="preserve">the rest of </w:t>
      </w:r>
      <w:r>
        <w:t>SDG&amp;E’s</w:t>
      </w:r>
      <w:r w:rsidRPr="0031645B">
        <w:t xml:space="preserve"> ratepayers who are providing the Port a subsidy for the discount.  </w:t>
      </w:r>
      <w:bookmarkEnd w:id="19"/>
      <w:r w:rsidRPr="0031645B">
        <w:t>Th</w:t>
      </w:r>
      <w:r>
        <w:t>is</w:t>
      </w:r>
      <w:r w:rsidRPr="0031645B">
        <w:t xml:space="preserve"> rate subsidy issue has been considered in D.19-12-022 in which the Commission had to balance </w:t>
      </w:r>
      <w:r>
        <w:t xml:space="preserve">between </w:t>
      </w:r>
      <w:r w:rsidRPr="0031645B">
        <w:t xml:space="preserve">the Port’s rate stability </w:t>
      </w:r>
      <w:r>
        <w:t>and</w:t>
      </w:r>
      <w:r w:rsidRPr="0031645B">
        <w:t xml:space="preserve"> the costs to ratepayers who are paying for the Port’s discounts.</w:t>
      </w:r>
      <w:r w:rsidRPr="0031645B">
        <w:rPr>
          <w:rStyle w:val="FootnoteReference"/>
        </w:rPr>
        <w:footnoteReference w:id="5"/>
      </w:r>
      <w:r w:rsidRPr="0031645B">
        <w:t xml:space="preserve">  We share Cal Advocates’ concerns that, </w:t>
      </w:r>
      <w:bookmarkStart w:name="_Hlk84599567" w:id="20"/>
      <w:r w:rsidRPr="0031645B">
        <w:t>without knowing how long FERC will take to resolve the filing, there is uncertainty in how long</w:t>
      </w:r>
      <w:r>
        <w:t xml:space="preserve"> </w:t>
      </w:r>
      <w:bookmarkStart w:name="_Hlk84610674" w:id="21"/>
      <w:r>
        <w:t>the 80 percent discount will be extended</w:t>
      </w:r>
      <w:bookmarkEnd w:id="21"/>
      <w:r>
        <w:t>.</w:t>
      </w:r>
      <w:bookmarkEnd w:id="20"/>
      <w:r>
        <w:t xml:space="preserve">  </w:t>
      </w:r>
    </w:p>
    <w:p w:rsidR="00B345F1" w:rsidP="002308F4" w:rsidRDefault="00B345F1" w14:paraId="1C65D3A4" w14:textId="0C3A60DF">
      <w:pPr>
        <w:pStyle w:val="Standard"/>
      </w:pPr>
      <w:bookmarkStart w:name="_Hlk84863266" w:id="22"/>
      <w:bookmarkStart w:name="_Hlk84599588" w:id="23"/>
      <w:bookmarkEnd w:id="15"/>
      <w:r>
        <w:t xml:space="preserve">To give the Port rate stability, while limiting the amount of subsidy that ratepayers will provide the Port, we </w:t>
      </w:r>
      <w:bookmarkStart w:name="_Hlk84610535" w:id="24"/>
      <w:r>
        <w:t>extend the Port’s current level of discount, which is 80 percent off its non-coincidental demand, for a short period of time</w:t>
      </w:r>
      <w:bookmarkEnd w:id="24"/>
      <w:r>
        <w:t xml:space="preserve">. </w:t>
      </w:r>
      <w:bookmarkEnd w:id="22"/>
      <w:r>
        <w:t xml:space="preserve"> Because SDG&amp;E expects FERC to approve the Port’s Maritime Rate by </w:t>
      </w:r>
      <w:r w:rsidR="002308F4">
        <w:br/>
      </w:r>
      <w:r>
        <w:t xml:space="preserve">January 1, 2022, we expect that </w:t>
      </w:r>
      <w:bookmarkStart w:name="_Hlk84863188" w:id="25"/>
      <w:r>
        <w:t xml:space="preserve">A.20-12-009 would be resolved shortly </w:t>
      </w:r>
      <w:bookmarkEnd w:id="25"/>
      <w:r>
        <w:t xml:space="preserve">thereafter, or within a few months following the approval of the FERC filing.  </w:t>
      </w:r>
      <w:bookmarkStart w:name="_Hlk84863308" w:id="26"/>
      <w:r>
        <w:t xml:space="preserve">It is therefore reasonable to set the end date for the Port’s current 80 percent discount to </w:t>
      </w:r>
      <w:r w:rsidR="002308F4">
        <w:br/>
      </w:r>
      <w:r>
        <w:t xml:space="preserve">June 1, 2022, approximately 18 months after A.20-12-009 was filed, or </w:t>
      </w:r>
      <w:r w:rsidR="006D3E0C">
        <w:t>when the Maritime Rate is implemented</w:t>
      </w:r>
      <w:r>
        <w:t>, whichever is sooner.</w:t>
      </w:r>
    </w:p>
    <w:bookmarkEnd w:id="23"/>
    <w:bookmarkEnd w:id="26"/>
    <w:p w:rsidR="00B345F1" w:rsidP="002308F4" w:rsidRDefault="00B345F1" w14:paraId="0974F4CD" w14:textId="77777777">
      <w:pPr>
        <w:pStyle w:val="ALJHeading2"/>
      </w:pPr>
      <w:r>
        <w:t>A Petition for Modification of D.19-12-022 is not an appropriate forum to address the request for one-time bill credit for the Port.</w:t>
      </w:r>
    </w:p>
    <w:p w:rsidR="00B345F1" w:rsidP="002308F4" w:rsidRDefault="00B345F1" w14:paraId="66E0151E" w14:textId="52905177">
      <w:pPr>
        <w:pStyle w:val="Standard"/>
      </w:pPr>
      <w:r>
        <w:t xml:space="preserve">The Petitioners request that D.19-12-022 be modified to give the Port a one-time bill </w:t>
      </w:r>
      <w:r w:rsidR="009C395A">
        <w:t>adjustment</w:t>
      </w:r>
      <w:r>
        <w:t xml:space="preserve"> of the difference between the Port’s bills since </w:t>
      </w:r>
      <w:r w:rsidR="005A5B7B">
        <w:br/>
      </w:r>
      <w:r>
        <w:t>January 1, 2022, and the bills the Port would have been charged under the Maritime Rate</w:t>
      </w:r>
      <w:r w:rsidR="009C395A">
        <w:t xml:space="preserve"> during this period</w:t>
      </w:r>
      <w:r>
        <w:t xml:space="preserve">, if the Port’s current electric rate is higher than </w:t>
      </w:r>
      <w:r>
        <w:lastRenderedPageBreak/>
        <w:t>the adopted Maritime Rate</w:t>
      </w:r>
      <w:proofErr w:type="gramStart"/>
      <w:r>
        <w:t xml:space="preserve">.  </w:t>
      </w:r>
      <w:proofErr w:type="gramEnd"/>
      <w:r>
        <w:t xml:space="preserve">Because </w:t>
      </w:r>
      <w:bookmarkStart w:name="_Hlk84599627" w:id="27"/>
      <w:r>
        <w:t xml:space="preserve">the record of this proceeding does not contain any data or evidence related to the Maritime Rate, and </w:t>
      </w:r>
      <w:r w:rsidRPr="000D0967">
        <w:t xml:space="preserve">the </w:t>
      </w:r>
      <w:r w:rsidRPr="002308F4">
        <w:t>requested</w:t>
      </w:r>
      <w:r>
        <w:t xml:space="preserve"> bill </w:t>
      </w:r>
      <w:r w:rsidRPr="000D0967">
        <w:t>adjustment is related to the implementation of the Maritime Rate</w:t>
      </w:r>
      <w:r>
        <w:t xml:space="preserve">, a </w:t>
      </w:r>
      <w:r w:rsidR="00A30D26">
        <w:t>p</w:t>
      </w:r>
      <w:r>
        <w:t xml:space="preserve">etition for </w:t>
      </w:r>
      <w:r w:rsidR="00A30D26">
        <w:t>m</w:t>
      </w:r>
      <w:r>
        <w:t>odification of D.19-12-022 is not the appropriate forum for such a request</w:t>
      </w:r>
      <w:r w:rsidRPr="000D0967">
        <w:t xml:space="preserve">.  </w:t>
      </w:r>
      <w:bookmarkStart w:name="_Hlk84599662" w:id="28"/>
      <w:bookmarkEnd w:id="27"/>
    </w:p>
    <w:p w:rsidR="00B345F1" w:rsidP="002308F4" w:rsidRDefault="00B345F1" w14:paraId="3D970607" w14:textId="77777777">
      <w:pPr>
        <w:pStyle w:val="Standard"/>
      </w:pPr>
      <w:r w:rsidRPr="000D0967">
        <w:t>The</w:t>
      </w:r>
      <w:r>
        <w:t xml:space="preserve">refore, the request to modify D.19-12-022 to give the Port a one-time bill adjustment related to the Maritime Rate is denied without prejudice.  </w:t>
      </w:r>
      <w:bookmarkEnd w:id="28"/>
      <w:r>
        <w:t>The Petitioners may consider seeking such a request in the currently open proceeding, A.20-12-009, in which SDG&amp;E is seeking approval to implement the Maritime Rate.</w:t>
      </w:r>
    </w:p>
    <w:p w:rsidR="00B345F1" w:rsidP="002308F4" w:rsidRDefault="00B345F1" w14:paraId="65CF041F" w14:textId="77777777">
      <w:pPr>
        <w:pStyle w:val="ALJHeading1"/>
      </w:pPr>
      <w:r>
        <w:t xml:space="preserve">Adopted </w:t>
      </w:r>
      <w:r w:rsidRPr="002308F4">
        <w:t>Modifications</w:t>
      </w:r>
      <w:r>
        <w:t xml:space="preserve"> to D.19-12-022</w:t>
      </w:r>
    </w:p>
    <w:p w:rsidR="00B345F1" w:rsidP="002308F4" w:rsidRDefault="00B345F1" w14:paraId="51DE0156" w14:textId="77777777">
      <w:pPr>
        <w:pStyle w:val="Standard"/>
      </w:pPr>
      <w:r>
        <w:t xml:space="preserve">Based on the discussions above, </w:t>
      </w:r>
      <w:bookmarkStart w:name="_Hlk84599682" w:id="29"/>
      <w:r>
        <w:t>the following new ordering paragraph shall be added to D.19-12-022:</w:t>
      </w:r>
    </w:p>
    <w:p w:rsidR="00B345F1" w:rsidP="00467F67" w:rsidRDefault="00B345F1" w14:paraId="4CE6258B" w14:textId="493554C5">
      <w:pPr>
        <w:pStyle w:val="ALJBodyText"/>
        <w:spacing w:after="120" w:line="240" w:lineRule="auto"/>
        <w:ind w:left="1080" w:right="1440" w:firstLine="0"/>
      </w:pPr>
      <w:r w:rsidRPr="0026754A">
        <w:t xml:space="preserve">The </w:t>
      </w:r>
      <w:bookmarkStart w:name="_Hlk85635411" w:id="30"/>
      <w:r w:rsidRPr="0026754A">
        <w:t>“Adopted Five-Year Rate Plan” set</w:t>
      </w:r>
      <w:r w:rsidR="00467F67">
        <w:t xml:space="preserve"> forth</w:t>
      </w:r>
      <w:r w:rsidRPr="0026754A">
        <w:t xml:space="preserve"> in section 4.2 of this decision is suspended</w:t>
      </w:r>
      <w:r w:rsidR="00467F67">
        <w:t xml:space="preserve"> effective January 1, </w:t>
      </w:r>
      <w:proofErr w:type="gramStart"/>
      <w:r w:rsidR="00467F67">
        <w:t>2022</w:t>
      </w:r>
      <w:proofErr w:type="gramEnd"/>
      <w:r w:rsidR="00467F67">
        <w:t xml:space="preserve"> until the earlier of June 1, 2022</w:t>
      </w:r>
      <w:r w:rsidR="006D3E0C">
        <w:t>,</w:t>
      </w:r>
      <w:r w:rsidR="00467F67">
        <w:t xml:space="preserve"> or the </w:t>
      </w:r>
      <w:r w:rsidR="006D3E0C">
        <w:t>implementation of the Maritime Rate,</w:t>
      </w:r>
      <w:r w:rsidR="00467F67">
        <w:t xml:space="preserve"> whichever is sooner</w:t>
      </w:r>
      <w:r w:rsidRPr="0026754A">
        <w:t>.  The San Diego Unified Port District shall continue to receive an 80 percent discount on it</w:t>
      </w:r>
      <w:r w:rsidR="000A51B1">
        <w:t>s</w:t>
      </w:r>
      <w:r w:rsidRPr="0026754A">
        <w:t xml:space="preserve"> non-coincident demand charge</w:t>
      </w:r>
      <w:r w:rsidR="00407D58">
        <w:t>s</w:t>
      </w:r>
      <w:r w:rsidRPr="0026754A">
        <w:t xml:space="preserve"> until </w:t>
      </w:r>
      <w:r w:rsidR="00467F67">
        <w:t>the end of this suspension period</w:t>
      </w:r>
      <w:bookmarkEnd w:id="30"/>
      <w:r w:rsidRPr="0026754A">
        <w:t>.</w:t>
      </w:r>
    </w:p>
    <w:p w:rsidR="00B345F1" w:rsidP="002308F4" w:rsidRDefault="00B345F1" w14:paraId="343B3584" w14:textId="77777777">
      <w:pPr>
        <w:pStyle w:val="ALJHeading1"/>
      </w:pPr>
      <w:bookmarkStart w:name="_Toc2523441" w:id="31"/>
      <w:bookmarkEnd w:id="29"/>
      <w:r>
        <w:t xml:space="preserve">Comments on </w:t>
      </w:r>
      <w:r w:rsidRPr="002308F4">
        <w:t>Proposed</w:t>
      </w:r>
      <w:r>
        <w:t xml:space="preserve"> Decision</w:t>
      </w:r>
      <w:bookmarkEnd w:id="31"/>
    </w:p>
    <w:p w:rsidR="00B345F1" w:rsidP="002308F4" w:rsidRDefault="002308F4" w14:paraId="5E80D1A2" w14:textId="21D6D4F4">
      <w:pPr>
        <w:pStyle w:val="Standard"/>
      </w:pPr>
      <w:r>
        <w:t xml:space="preserve">The proposed decision of the ALJ in this matter was mailed to the parties in accordance with Section 311 of the Public Utilities Code and comments were allowed under Rule 14.3 of the Commission’s Rules of Practice and Procedure.  </w:t>
      </w:r>
      <w:r w:rsidR="00034BF6">
        <w:t>SDG&amp;E filed comments on November 16, 2021.  No parties filed reply comments.  The proposed decision was modified to reflect the Applicant’s comments where it was appropriate.</w:t>
      </w:r>
    </w:p>
    <w:p w:rsidR="00B345F1" w:rsidP="002308F4" w:rsidRDefault="00B345F1" w14:paraId="0EF71509" w14:textId="77777777">
      <w:pPr>
        <w:pStyle w:val="ALJHeading1"/>
      </w:pPr>
      <w:bookmarkStart w:name="_Toc2523442" w:id="32"/>
      <w:r>
        <w:lastRenderedPageBreak/>
        <w:t xml:space="preserve">Assignment of </w:t>
      </w:r>
      <w:r w:rsidRPr="002308F4">
        <w:t>Proceeding</w:t>
      </w:r>
      <w:bookmarkEnd w:id="32"/>
    </w:p>
    <w:p w:rsidR="00B345F1" w:rsidP="002308F4" w:rsidRDefault="00B345F1" w14:paraId="37EEC44D" w14:textId="02ECC1CF">
      <w:pPr>
        <w:pStyle w:val="Standard"/>
      </w:pPr>
      <w:r w:rsidRPr="00B57934">
        <w:t>Marybel Batjer</w:t>
      </w:r>
      <w:r>
        <w:t xml:space="preserve"> is the assigned Commissioner and Elaine Lau is the assigned A</w:t>
      </w:r>
      <w:r w:rsidR="002308F4">
        <w:t xml:space="preserve">dministrative </w:t>
      </w:r>
      <w:r>
        <w:t>L</w:t>
      </w:r>
      <w:r w:rsidR="002308F4">
        <w:t xml:space="preserve">aw </w:t>
      </w:r>
      <w:r>
        <w:t>J</w:t>
      </w:r>
      <w:r w:rsidR="002308F4">
        <w:t>udge</w:t>
      </w:r>
      <w:r>
        <w:t xml:space="preserve"> in this proceeding.</w:t>
      </w:r>
    </w:p>
    <w:p w:rsidR="00B345F1" w:rsidP="0081441A" w:rsidRDefault="00B345F1" w14:paraId="5DED8321" w14:textId="77777777">
      <w:pPr>
        <w:pStyle w:val="Dummy"/>
      </w:pPr>
      <w:bookmarkStart w:name="_Toc2523443" w:id="33"/>
      <w:r>
        <w:t>Findings of Fact</w:t>
      </w:r>
      <w:bookmarkEnd w:id="33"/>
    </w:p>
    <w:p w:rsidR="00B345F1" w:rsidP="0081441A" w:rsidRDefault="00B345F1" w14:paraId="7BCC7BED" w14:textId="77777777">
      <w:pPr>
        <w:pStyle w:val="FoF"/>
      </w:pPr>
      <w:r>
        <w:t>D.19-12-022 adopted a Five-Year Rate Plan to help the Port gradually transition from the Small Commercial customer rate to a Medium and Large Commercial and Industrial customer rate by providing a discount on the Port’s non-coincident demand charges.  This discount gradually decreases each year over the five-year period of the Rate Plan.</w:t>
      </w:r>
    </w:p>
    <w:p w:rsidR="00B345F1" w:rsidP="0081441A" w:rsidRDefault="00B345F1" w14:paraId="6EBB255C" w14:textId="63E00C7A">
      <w:pPr>
        <w:pStyle w:val="FoF"/>
      </w:pPr>
      <w:r>
        <w:t xml:space="preserve">On January 1, 2022, the Port’s discount will decrease from 80 percent to </w:t>
      </w:r>
      <w:r w:rsidR="004154C9">
        <w:br/>
      </w:r>
      <w:r>
        <w:t xml:space="preserve">70 percent, </w:t>
      </w:r>
      <w:r w:rsidR="009C395A">
        <w:t>which will</w:t>
      </w:r>
      <w:r>
        <w:t xml:space="preserve"> increase </w:t>
      </w:r>
      <w:r w:rsidR="009C395A">
        <w:t>the Port’s</w:t>
      </w:r>
      <w:r>
        <w:t xml:space="preserve"> electric bill</w:t>
      </w:r>
      <w:r w:rsidR="009C395A">
        <w:t>s</w:t>
      </w:r>
      <w:r>
        <w:t>.</w:t>
      </w:r>
    </w:p>
    <w:p w:rsidR="00B345F1" w:rsidP="0081441A" w:rsidRDefault="00B345F1" w14:paraId="1C953AC7" w14:textId="77777777">
      <w:pPr>
        <w:pStyle w:val="FoF"/>
      </w:pPr>
      <w:r>
        <w:t xml:space="preserve">An increase in the Port’s electric bill would exacerbate the financial hardship it is currently experiencing from the COVID-19 pandemic.  </w:t>
      </w:r>
    </w:p>
    <w:p w:rsidR="00B345F1" w:rsidP="0081441A" w:rsidRDefault="00B345F1" w14:paraId="23FC9D9D" w14:textId="4FBF53AC">
      <w:pPr>
        <w:pStyle w:val="FoF"/>
      </w:pPr>
      <w:r>
        <w:t xml:space="preserve">On December 18, 2020, pursuant to D.19-12-022, SDG&amp;E filed </w:t>
      </w:r>
      <w:r w:rsidR="0081441A">
        <w:br/>
      </w:r>
      <w:r>
        <w:t xml:space="preserve">A.20-12-009 to seek approval of a long-term Maritime Rate for the Port.  </w:t>
      </w:r>
    </w:p>
    <w:p w:rsidR="00B345F1" w:rsidP="0081441A" w:rsidRDefault="00B345F1" w14:paraId="2D376827" w14:textId="77777777">
      <w:pPr>
        <w:pStyle w:val="FoF"/>
      </w:pPr>
      <w:r>
        <w:t>To implement the proposed Maritime Rate, SDG&amp;E seeks to set specific transmission rates for the Port.  Rate designs for transmission rates are under the jurisdiction of FERC.</w:t>
      </w:r>
    </w:p>
    <w:p w:rsidR="00B345F1" w:rsidP="0081441A" w:rsidRDefault="00B345F1" w14:paraId="41A36B06" w14:textId="77777777">
      <w:pPr>
        <w:pStyle w:val="FoF"/>
      </w:pPr>
      <w:r>
        <w:t>On May 26, 2021, the assigned ALJ issued an email ruling that suspended the procedural schedule for A.20-12-009 and directed SDG&amp;E to seek approval of the Maritime Rate from FERC first before seeking approval from the Commission.</w:t>
      </w:r>
    </w:p>
    <w:p w:rsidR="00B345F1" w:rsidP="0081441A" w:rsidRDefault="00B345F1" w14:paraId="354D8A44" w14:textId="254B989C">
      <w:pPr>
        <w:pStyle w:val="FoF"/>
      </w:pPr>
      <w:r>
        <w:t xml:space="preserve">On July 29, 2021, SDG&amp;E submitted a filing (ER21-2540-000) to FERC to seek approval of the Maritime Rate and requested an effective date of </w:t>
      </w:r>
      <w:r w:rsidR="004154C9">
        <w:br/>
      </w:r>
      <w:r>
        <w:t>January 1, 2022.</w:t>
      </w:r>
    </w:p>
    <w:p w:rsidR="00B345F1" w:rsidP="0081441A" w:rsidRDefault="00B345F1" w14:paraId="7ABE184F" w14:textId="77777777">
      <w:pPr>
        <w:pStyle w:val="FoF"/>
      </w:pPr>
      <w:r>
        <w:lastRenderedPageBreak/>
        <w:t xml:space="preserve">SDG&amp;E and the Port expect FERC to approve the Maritime Rate soon, </w:t>
      </w:r>
      <w:proofErr w:type="gramStart"/>
      <w:r>
        <w:t>before</w:t>
      </w:r>
      <w:proofErr w:type="gramEnd"/>
      <w:r>
        <w:t xml:space="preserve"> or shortly after January 1, 2022.  </w:t>
      </w:r>
    </w:p>
    <w:p w:rsidR="00B345F1" w:rsidP="0081441A" w:rsidRDefault="00B345F1" w14:paraId="69B78515" w14:textId="49B4688F">
      <w:pPr>
        <w:pStyle w:val="FoF"/>
      </w:pPr>
      <w:r>
        <w:t xml:space="preserve">If the Maritime Rate is </w:t>
      </w:r>
      <w:r w:rsidR="00381E75">
        <w:t>implemente</w:t>
      </w:r>
      <w:r>
        <w:t>d shortly after January 1, 2022, the Port would experience significant rate volatility over the short period of time between January 1, 2022, when the Port’s discount</w:t>
      </w:r>
      <w:r w:rsidR="009C395A">
        <w:t xml:space="preserve"> is set to</w:t>
      </w:r>
      <w:r>
        <w:t xml:space="preserve"> decrease, and when the Maritime Rate is implemented</w:t>
      </w:r>
      <w:proofErr w:type="gramStart"/>
      <w:r>
        <w:t xml:space="preserve">.  </w:t>
      </w:r>
      <w:proofErr w:type="gramEnd"/>
    </w:p>
    <w:p w:rsidR="00B345F1" w:rsidP="0081441A" w:rsidRDefault="00B345F1" w14:paraId="40797688" w14:textId="602A6EEA">
      <w:pPr>
        <w:pStyle w:val="FoF"/>
      </w:pPr>
      <w:r>
        <w:t>Extending the Port’s current level of discount</w:t>
      </w:r>
      <w:r w:rsidR="00467F67">
        <w:t xml:space="preserve"> (</w:t>
      </w:r>
      <w:r>
        <w:t>80 percent</w:t>
      </w:r>
      <w:r w:rsidR="00467F67">
        <w:t>),</w:t>
      </w:r>
      <w:r>
        <w:t xml:space="preserve"> over a short period of time will give the Port the rate stability that it needs, particularly since the Port has been experiencing economic challenges resulting from the </w:t>
      </w:r>
      <w:r w:rsidR="004154C9">
        <w:br/>
      </w:r>
      <w:r>
        <w:t>COVID-19 pandemic.</w:t>
      </w:r>
    </w:p>
    <w:p w:rsidR="00B345F1" w:rsidP="0081441A" w:rsidRDefault="00B345F1" w14:paraId="0EC51B92" w14:textId="77777777">
      <w:pPr>
        <w:pStyle w:val="FoF"/>
      </w:pPr>
      <w:r>
        <w:t xml:space="preserve">The extension of the Port’s discount comes at a cost to the rest of SDG&amp;E ratepayers who are providing the Port a subsidy for the discount.  </w:t>
      </w:r>
    </w:p>
    <w:p w:rsidR="00B345F1" w:rsidP="0081441A" w:rsidRDefault="00B345F1" w14:paraId="3ABF738D" w14:textId="77777777">
      <w:pPr>
        <w:pStyle w:val="FoF"/>
      </w:pPr>
      <w:r>
        <w:t>A.20-12-009 is expected to be resolved shortly, or within a few months following FERC’s approval of the Maritime Rate.</w:t>
      </w:r>
    </w:p>
    <w:p w:rsidR="00B345F1" w:rsidP="0081441A" w:rsidRDefault="00B345F1" w14:paraId="5DC0B4F3" w14:textId="77777777">
      <w:pPr>
        <w:pStyle w:val="FoF"/>
      </w:pPr>
      <w:r>
        <w:t xml:space="preserve">The record of this proceeding does not contain any data or evidence related to the Maritime Rate. </w:t>
      </w:r>
    </w:p>
    <w:p w:rsidR="00B345F1" w:rsidP="0081441A" w:rsidRDefault="00B345F1" w14:paraId="44EAA81E" w14:textId="77777777">
      <w:pPr>
        <w:pStyle w:val="FoF"/>
      </w:pPr>
      <w:r>
        <w:t xml:space="preserve">The requested bill adjustment is related to the implementation of the Maritime Rate.  </w:t>
      </w:r>
    </w:p>
    <w:p w:rsidR="00B345F1" w:rsidP="0081441A" w:rsidRDefault="00B345F1" w14:paraId="3492B26E" w14:textId="77777777">
      <w:pPr>
        <w:pStyle w:val="FoF"/>
      </w:pPr>
      <w:r>
        <w:t>On June 24, 2021, Cal Advocates filed a motion to strike its name from the Joint Petition for Modification, stating that Cal Advocates no longer supports the PFM because the proceeding in A.20-12-009 was suspended and it is concerned about the uncertainty of the length of time the discount would be extended.</w:t>
      </w:r>
    </w:p>
    <w:p w:rsidR="00B345F1" w:rsidP="00856C36" w:rsidRDefault="00B345F1" w14:paraId="304E8110" w14:textId="61ACD12B">
      <w:pPr>
        <w:pStyle w:val="FoF"/>
      </w:pPr>
      <w:r>
        <w:t>No parties filed a response to Cal Advocates’ motion.</w:t>
      </w:r>
    </w:p>
    <w:p w:rsidR="00816070" w:rsidP="0081441A" w:rsidRDefault="00816070" w14:paraId="7FF3096D" w14:textId="697B9578">
      <w:pPr>
        <w:pStyle w:val="FoF"/>
      </w:pPr>
      <w:r>
        <w:t>T</w:t>
      </w:r>
      <w:r w:rsidR="00B345F1">
        <w:t xml:space="preserve">he Petitioners </w:t>
      </w:r>
      <w:r>
        <w:t xml:space="preserve">did not file the PFM within one year of the effective date of the decision because </w:t>
      </w:r>
      <w:r w:rsidR="00B345F1">
        <w:t xml:space="preserve">the need for a suspension of the discount became apparent only after A.20-12-009 was filed and </w:t>
      </w:r>
      <w:r w:rsidR="00942C50">
        <w:t xml:space="preserve">it was determined </w:t>
      </w:r>
      <w:r w:rsidR="00B345F1">
        <w:t xml:space="preserve">that the Maritime Rate </w:t>
      </w:r>
      <w:r>
        <w:lastRenderedPageBreak/>
        <w:t>application may not be resolved</w:t>
      </w:r>
      <w:r w:rsidR="00B345F1">
        <w:t xml:space="preserve"> by January 1, 2022, when the Port’s discount </w:t>
      </w:r>
      <w:r w:rsidR="009C395A">
        <w:t>is set to</w:t>
      </w:r>
      <w:r w:rsidR="00B345F1">
        <w:t xml:space="preserve"> decrease. </w:t>
      </w:r>
    </w:p>
    <w:p w:rsidR="00B345F1" w:rsidP="0081441A" w:rsidRDefault="00816070" w14:paraId="4EBA0AAB" w14:textId="291C2093">
      <w:pPr>
        <w:pStyle w:val="FoF"/>
      </w:pPr>
      <w:r>
        <w:t xml:space="preserve">Without the PFM, the Port’s bill would increase on January 1, 2022, and the Port would experience significant rate volatility over a short period of time if the Maritime Rate </w:t>
      </w:r>
      <w:proofErr w:type="gramStart"/>
      <w:r>
        <w:t>is</w:t>
      </w:r>
      <w:proofErr w:type="gramEnd"/>
      <w:r>
        <w:t xml:space="preserve"> </w:t>
      </w:r>
      <w:r w:rsidR="008103FC">
        <w:t xml:space="preserve">implemented </w:t>
      </w:r>
      <w:r>
        <w:t>shortly after January 1, 2022.</w:t>
      </w:r>
    </w:p>
    <w:p w:rsidR="00B345F1" w:rsidP="0081441A" w:rsidRDefault="00B345F1" w14:paraId="4EB2113C" w14:textId="77777777">
      <w:pPr>
        <w:pStyle w:val="Dummy"/>
      </w:pPr>
      <w:bookmarkStart w:name="_Toc2523444" w:id="34"/>
      <w:r>
        <w:t>Conclusions of Law</w:t>
      </w:r>
      <w:bookmarkEnd w:id="34"/>
    </w:p>
    <w:p w:rsidR="00B345F1" w:rsidP="0081441A" w:rsidRDefault="00B345F1" w14:paraId="204C1233" w14:textId="642EF51F">
      <w:pPr>
        <w:pStyle w:val="CoL"/>
      </w:pPr>
      <w:r>
        <w:t>To give the Port rate stability, while limiting the amount of subsidy that ratepayers will provide the Port, it is reasonable to extend the Port’s current level of discount, which is 80 percent off its non-coincidental demand charges, for a short period of time.</w:t>
      </w:r>
    </w:p>
    <w:p w:rsidR="00B345F1" w:rsidP="0081441A" w:rsidRDefault="00B345F1" w14:paraId="2162FB7B" w14:textId="0BD7BBFD">
      <w:pPr>
        <w:pStyle w:val="CoL"/>
      </w:pPr>
      <w:r>
        <w:t xml:space="preserve">It is reasonable to set the end date for the Port’s current 80 percent discount to June 1, 2022, approximately 18 months after A.20-12-009 was filed, or </w:t>
      </w:r>
      <w:r w:rsidR="00131943">
        <w:t>the implementation of the Maritime Rate</w:t>
      </w:r>
      <w:r>
        <w:t>, whichever is sooner.</w:t>
      </w:r>
    </w:p>
    <w:p w:rsidR="009C395A" w:rsidP="009C395A" w:rsidRDefault="009C395A" w14:paraId="56B705B2" w14:textId="22270B0E">
      <w:pPr>
        <w:pStyle w:val="CoL"/>
      </w:pPr>
      <w:r>
        <w:t xml:space="preserve">A </w:t>
      </w:r>
      <w:r w:rsidR="00860A20">
        <w:t>PFM</w:t>
      </w:r>
      <w:r>
        <w:t xml:space="preserve"> of D.19-12-022 is not the appropriate forum to request a bill adjustment for the Port related to the Maritime Rate.</w:t>
      </w:r>
    </w:p>
    <w:p w:rsidR="00B345F1" w:rsidP="0081441A" w:rsidRDefault="00B345F1" w14:paraId="6D566610" w14:textId="6A3F7B05">
      <w:pPr>
        <w:pStyle w:val="CoL"/>
      </w:pPr>
      <w:r>
        <w:t xml:space="preserve">The request to modify D.19-12-022 to authorize a bill adjustment </w:t>
      </w:r>
      <w:r w:rsidR="009C395A">
        <w:t xml:space="preserve">for the Port </w:t>
      </w:r>
      <w:r>
        <w:t xml:space="preserve">related to the Maritime Rate should be denied without prejudice.  </w:t>
      </w:r>
    </w:p>
    <w:p w:rsidR="00B345F1" w:rsidP="0081441A" w:rsidRDefault="00B345F1" w14:paraId="26965F7D" w14:textId="77777777">
      <w:pPr>
        <w:pStyle w:val="CoL"/>
      </w:pPr>
      <w:r>
        <w:t xml:space="preserve">Cal Advocates’ motion to strike its name from the PFM should be granted.  </w:t>
      </w:r>
    </w:p>
    <w:p w:rsidR="00B345F1" w:rsidP="0081441A" w:rsidRDefault="00B345F1" w14:paraId="71D9F2A2" w14:textId="4EDFD7B3">
      <w:pPr>
        <w:pStyle w:val="CoL"/>
      </w:pPr>
      <w:r>
        <w:t xml:space="preserve">Rule 16.4(d) requires petitioners to file and serve </w:t>
      </w:r>
      <w:r w:rsidR="00856C36">
        <w:t xml:space="preserve">petitions for modification </w:t>
      </w:r>
      <w:r>
        <w:t>within one year of the effective date of a decision</w:t>
      </w:r>
      <w:r w:rsidR="00856C36">
        <w:t xml:space="preserve"> or explain why the petition for modification could not be filed within the one-year period</w:t>
      </w:r>
      <w:r>
        <w:t xml:space="preserve">.  </w:t>
      </w:r>
    </w:p>
    <w:p w:rsidR="00B345F1" w:rsidP="0081441A" w:rsidRDefault="00B345F1" w14:paraId="513E21D8" w14:textId="26C08BB3">
      <w:pPr>
        <w:pStyle w:val="CoL"/>
      </w:pPr>
      <w:r>
        <w:t>The Petitioners provided adequate justifications as to why the PFM was filed</w:t>
      </w:r>
      <w:r w:rsidR="004F50B8">
        <w:t xml:space="preserve"> more than</w:t>
      </w:r>
      <w:r>
        <w:t xml:space="preserve"> one year after the issuance of D.19-12-022.</w:t>
      </w:r>
    </w:p>
    <w:p w:rsidR="00B345F1" w:rsidP="0081441A" w:rsidRDefault="00B345F1" w14:paraId="57A53203" w14:textId="77777777">
      <w:pPr>
        <w:pStyle w:val="CoL"/>
      </w:pPr>
      <w:r>
        <w:t xml:space="preserve">The PFM </w:t>
      </w:r>
      <w:proofErr w:type="gramStart"/>
      <w:r>
        <w:t>is in compliance with</w:t>
      </w:r>
      <w:proofErr w:type="gramEnd"/>
      <w:r>
        <w:t xml:space="preserve"> Rule 16.4.</w:t>
      </w:r>
    </w:p>
    <w:p w:rsidR="00B345F1" w:rsidP="0081441A" w:rsidRDefault="00B345F1" w14:paraId="7BBD87B5" w14:textId="04A61827">
      <w:pPr>
        <w:pStyle w:val="Mainex"/>
      </w:pPr>
      <w:r>
        <w:lastRenderedPageBreak/>
        <w:t>ORDER</w:t>
      </w:r>
    </w:p>
    <w:p w:rsidR="00B345F1" w:rsidP="00B345F1" w:rsidRDefault="00B345F1" w14:paraId="310C354C" w14:textId="77777777">
      <w:pPr>
        <w:pStyle w:val="ALJBodyText"/>
        <w:keepNext/>
      </w:pPr>
      <w:r w:rsidRPr="0081441A">
        <w:rPr>
          <w:b/>
          <w:bCs/>
        </w:rPr>
        <w:t>IT IS ORDERED</w:t>
      </w:r>
      <w:r>
        <w:t xml:space="preserve"> that:</w:t>
      </w:r>
    </w:p>
    <w:p w:rsidR="00B345F1" w:rsidP="0081441A" w:rsidRDefault="00B345F1" w14:paraId="3C6578E7" w14:textId="7F1D151D">
      <w:pPr>
        <w:pStyle w:val="OP"/>
      </w:pPr>
      <w:r>
        <w:t>The following ordering paragraph shall be added to D.19-12-022</w:t>
      </w:r>
      <w:r w:rsidR="00856C36">
        <w:t xml:space="preserve"> as Ordering Paragraph 10</w:t>
      </w:r>
      <w:r>
        <w:t>:</w:t>
      </w:r>
    </w:p>
    <w:p w:rsidR="00B345F1" w:rsidP="0081441A" w:rsidRDefault="00856C36" w14:paraId="1BDC1D06" w14:textId="6E5387F6">
      <w:pPr>
        <w:pStyle w:val="ALJOP"/>
        <w:numPr>
          <w:ilvl w:val="0"/>
          <w:numId w:val="0"/>
        </w:numPr>
        <w:spacing w:after="120" w:line="240" w:lineRule="auto"/>
        <w:ind w:left="720" w:right="1440"/>
      </w:pPr>
      <w:r>
        <w:t xml:space="preserve">The </w:t>
      </w:r>
      <w:r w:rsidR="00942C50">
        <w:t>“</w:t>
      </w:r>
      <w:r w:rsidRPr="00856C36">
        <w:t xml:space="preserve">Adopted Five-Year Rate Plan” set forth in section 4.2 of this decision is suspended effective January 1, </w:t>
      </w:r>
      <w:proofErr w:type="gramStart"/>
      <w:r w:rsidRPr="00856C36">
        <w:t>2022</w:t>
      </w:r>
      <w:proofErr w:type="gramEnd"/>
      <w:r w:rsidRPr="00856C36">
        <w:t xml:space="preserve"> until the earlier of June 1, 2022 or the </w:t>
      </w:r>
      <w:r w:rsidR="004E5678">
        <w:t>implementation of the Maritime Rate</w:t>
      </w:r>
      <w:r w:rsidRPr="00856C36">
        <w:t>, whichever is sooner.  The San Diego Unified Port District shall continue to receive an 80 percent discount on its non-coincident demand charge</w:t>
      </w:r>
      <w:r w:rsidR="00407D58">
        <w:t>s</w:t>
      </w:r>
      <w:r w:rsidRPr="00856C36">
        <w:t xml:space="preserve"> until the end of this suspension period</w:t>
      </w:r>
      <w:r>
        <w:t>.</w:t>
      </w:r>
    </w:p>
    <w:p w:rsidR="00B345F1" w:rsidP="0081441A" w:rsidRDefault="00B345F1" w14:paraId="66522041" w14:textId="77777777">
      <w:pPr>
        <w:pStyle w:val="OP"/>
      </w:pPr>
      <w:r>
        <w:t xml:space="preserve">The motion of the Public Advocates Office to strike its name from the Petition for Modification of Decision 19-12-022 is granted.  </w:t>
      </w:r>
    </w:p>
    <w:p w:rsidR="00B345F1" w:rsidP="0081441A" w:rsidRDefault="00B345F1" w14:paraId="77AC5CD7" w14:textId="1AFE9BDF">
      <w:pPr>
        <w:pStyle w:val="OP"/>
      </w:pPr>
      <w:r>
        <w:t>The request in the Petition for Modification of Decision 19-12-022 to authorize a one-time bill adjustment for the San Diego Unified Port District is denied with</w:t>
      </w:r>
      <w:r w:rsidR="00856C36">
        <w:t>out</w:t>
      </w:r>
      <w:r>
        <w:t xml:space="preserve"> prejudice.</w:t>
      </w:r>
    </w:p>
    <w:p w:rsidR="00B345F1" w:rsidP="0081441A" w:rsidRDefault="00B345F1" w14:paraId="2A728E48" w14:textId="77777777">
      <w:pPr>
        <w:pStyle w:val="OP"/>
      </w:pPr>
      <w:r>
        <w:t>Application 17-09-005 is closed.</w:t>
      </w:r>
    </w:p>
    <w:p w:rsidR="00B345F1" w:rsidP="0081441A" w:rsidRDefault="00B345F1" w14:paraId="4A3C25EB" w14:textId="77777777">
      <w:pPr>
        <w:pStyle w:val="Standard"/>
      </w:pPr>
      <w:r>
        <w:t>This order is effective today.</w:t>
      </w:r>
    </w:p>
    <w:p w:rsidR="00B345F1" w:rsidP="0081441A" w:rsidRDefault="00B345F1" w14:paraId="0087776D" w14:textId="77777777">
      <w:pPr>
        <w:pStyle w:val="Standard"/>
      </w:pPr>
      <w:r w:rsidRPr="002D46C4">
        <w:t xml:space="preserve">Dated </w:t>
      </w:r>
      <w:r>
        <w:t>_________________</w:t>
      </w:r>
      <w:r w:rsidRPr="002D46C4">
        <w:t xml:space="preserve">, at </w:t>
      </w:r>
      <w:r>
        <w:t>San Francisco</w:t>
      </w:r>
      <w:r w:rsidRPr="002D46C4">
        <w:t>, California.</w:t>
      </w:r>
    </w:p>
    <w:sectPr w:rsidR="00B345F1" w:rsidSect="00EA6A32">
      <w:headerReference w:type="default" r:id="rId14"/>
      <w:footerReference w:type="default" r:id="rId15"/>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0437" w14:textId="77777777" w:rsidR="001C7A41" w:rsidRDefault="001C7A41" w:rsidP="0098138E">
      <w:pPr>
        <w:spacing w:line="240" w:lineRule="auto"/>
      </w:pPr>
      <w:r>
        <w:separator/>
      </w:r>
    </w:p>
  </w:endnote>
  <w:endnote w:type="continuationSeparator" w:id="0">
    <w:p w14:paraId="7D246068" w14:textId="77777777" w:rsidR="001C7A41" w:rsidRDefault="001C7A41"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FDD9" w14:textId="77777777" w:rsidR="00F35372" w:rsidRDefault="00F35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6414" w14:textId="77777777" w:rsidR="00F35372" w:rsidRDefault="00F35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26B8" w14:textId="1E9B5A1B" w:rsidR="006044F1" w:rsidRDefault="001C7A41" w:rsidP="007E0FEE">
    <w:pPr>
      <w:tabs>
        <w:tab w:val="center" w:pos="4680"/>
      </w:tabs>
      <w:ind w:firstLine="0"/>
      <w:rPr>
        <w:noProof/>
      </w:rPr>
    </w:pPr>
    <w:sdt>
      <w:sdtPr>
        <w:id w:val="104084328"/>
        <w:docPartObj>
          <w:docPartGallery w:val="Page Numbers (Bottom of Page)"/>
          <w:docPartUnique/>
        </w:docPartObj>
      </w:sdtPr>
      <w:sdtEndPr>
        <w:rPr>
          <w:noProof/>
        </w:rPr>
      </w:sdtEndPr>
      <w:sdtContent>
        <w:r w:rsidR="006B108A" w:rsidRPr="006B108A">
          <w:rPr>
            <w:sz w:val="16"/>
            <w:szCs w:val="16"/>
          </w:rPr>
          <w:t>425838286</w:t>
        </w:r>
        <w:r w:rsidR="006044F1">
          <w:rPr>
            <w:rFonts w:ascii="Arial" w:hAnsi="Arial" w:cs="Arial"/>
            <w:sz w:val="16"/>
            <w:szCs w:val="16"/>
          </w:rPr>
          <w:tab/>
        </w:r>
        <w:r w:rsidR="006044F1">
          <w:t xml:space="preserve">- </w:t>
        </w:r>
        <w:r w:rsidR="006044F1">
          <w:fldChar w:fldCharType="begin"/>
        </w:r>
        <w:r w:rsidR="006044F1">
          <w:instrText xml:space="preserve"> PAGE   \* MERGEFORMAT </w:instrText>
        </w:r>
        <w:r w:rsidR="006044F1">
          <w:fldChar w:fldCharType="separate"/>
        </w:r>
        <w:r w:rsidR="006044F1">
          <w:rPr>
            <w:noProof/>
          </w:rPr>
          <w:t>2</w:t>
        </w:r>
        <w:r w:rsidR="006044F1">
          <w:rPr>
            <w:noProof/>
          </w:rPr>
          <w:fldChar w:fldCharType="end"/>
        </w:r>
      </w:sdtContent>
    </w:sdt>
    <w:r w:rsidR="006044F1">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4BA"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F6D8" w14:textId="77777777" w:rsidR="001C7A41" w:rsidRDefault="001C7A41" w:rsidP="00DF58E7">
      <w:pPr>
        <w:spacing w:line="240" w:lineRule="auto"/>
        <w:ind w:firstLine="0"/>
      </w:pPr>
      <w:r>
        <w:separator/>
      </w:r>
    </w:p>
  </w:footnote>
  <w:footnote w:type="continuationSeparator" w:id="0">
    <w:p w14:paraId="7DF166A0" w14:textId="77777777" w:rsidR="001C7A41" w:rsidRDefault="001C7A41" w:rsidP="00DF58E7">
      <w:pPr>
        <w:spacing w:line="240" w:lineRule="auto"/>
        <w:ind w:firstLine="0"/>
      </w:pPr>
      <w:r>
        <w:continuationSeparator/>
      </w:r>
    </w:p>
  </w:footnote>
  <w:footnote w:type="continuationNotice" w:id="1">
    <w:p w14:paraId="2AA642D0" w14:textId="77777777" w:rsidR="001C7A41" w:rsidRPr="00DF58E7" w:rsidRDefault="001C7A41"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780A1704" w14:textId="77777777" w:rsidR="00B345F1" w:rsidRDefault="00B345F1" w:rsidP="00B345F1">
      <w:pPr>
        <w:pStyle w:val="FootnoteText"/>
      </w:pPr>
      <w:r w:rsidRPr="000945C1">
        <w:rPr>
          <w:rStyle w:val="FootnoteReference"/>
        </w:rPr>
        <w:footnoteRef/>
      </w:r>
      <w:r w:rsidRPr="000945C1">
        <w:t xml:space="preserve"> Response of San Diego Unified Port District and San Diego Gas &amp; Electric Company to ALJ Ruling Directing Parties to Provide Clarification on the Petition for Modification, Appendix A.</w:t>
      </w:r>
    </w:p>
  </w:footnote>
  <w:footnote w:id="3">
    <w:p w14:paraId="3621E4EC" w14:textId="77777777" w:rsidR="00B345F1" w:rsidRDefault="00B345F1" w:rsidP="00B345F1">
      <w:pPr>
        <w:pStyle w:val="FootnoteText"/>
      </w:pPr>
      <w:r>
        <w:rPr>
          <w:rStyle w:val="FootnoteReference"/>
        </w:rPr>
        <w:footnoteRef/>
      </w:r>
      <w:r>
        <w:t xml:space="preserve"> Application 20-12-009 at 9.</w:t>
      </w:r>
    </w:p>
  </w:footnote>
  <w:footnote w:id="4">
    <w:p w14:paraId="4D57FDF0" w14:textId="77777777" w:rsidR="00B345F1" w:rsidRDefault="00B345F1" w:rsidP="00B345F1">
      <w:pPr>
        <w:pStyle w:val="FootnoteText"/>
      </w:pPr>
      <w:r w:rsidRPr="000945C1">
        <w:rPr>
          <w:rStyle w:val="FootnoteReference"/>
        </w:rPr>
        <w:footnoteRef/>
      </w:r>
      <w:r w:rsidRPr="000945C1">
        <w:t xml:space="preserve"> Response of San Diego Unified Port District and San Diego Gas &amp; Electric Company to ALJ Ruling Directing Parties to Provide Clarification on the Petition for Modification at 3.</w:t>
      </w:r>
    </w:p>
  </w:footnote>
  <w:footnote w:id="5">
    <w:p w14:paraId="43B5AF9D" w14:textId="77777777" w:rsidR="00B345F1" w:rsidRDefault="00B345F1" w:rsidP="00B345F1">
      <w:pPr>
        <w:pStyle w:val="FootnoteText"/>
      </w:pPr>
      <w:r>
        <w:rPr>
          <w:rStyle w:val="FootnoteReference"/>
        </w:rPr>
        <w:footnoteRef/>
      </w:r>
      <w:r>
        <w:t xml:space="preserve"> D.19-12-022 at 18-19, Finding of Facts 11, 12, and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FE82" w14:textId="77777777" w:rsidR="00F35372" w:rsidRDefault="00F35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326C" w14:textId="77777777" w:rsidR="00F35372" w:rsidRDefault="00F35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BC2B" w14:textId="77777777" w:rsidR="00F35372" w:rsidRDefault="00F353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56C1" w14:textId="0CFC1FA5" w:rsidR="00FE2351" w:rsidRDefault="006044F1" w:rsidP="00EE4315">
    <w:pPr>
      <w:pStyle w:val="Header"/>
      <w:tabs>
        <w:tab w:val="clear" w:pos="4680"/>
      </w:tabs>
      <w:ind w:firstLine="0"/>
      <w:rPr>
        <w:b/>
      </w:rPr>
    </w:pPr>
    <w:r>
      <w:t>A.17-09-</w:t>
    </w:r>
    <w:proofErr w:type="gramStart"/>
    <w:r>
      <w:t>005  ALJ</w:t>
    </w:r>
    <w:proofErr w:type="gramEnd"/>
    <w:r>
      <w:t>/EC2/mph</w:t>
    </w:r>
    <w:r w:rsidR="00FE2351">
      <w:tab/>
    </w:r>
    <w:r w:rsidR="00FE2351">
      <w:rPr>
        <w:b/>
      </w:rPr>
      <w:t>PROPOSED DECISION</w:t>
    </w:r>
    <w:r w:rsidR="00F35372">
      <w:rPr>
        <w:b/>
      </w:rPr>
      <w:t xml:space="preserve"> (Rev. 1)</w:t>
    </w:r>
  </w:p>
  <w:p w14:paraId="1B77A83E" w14:textId="77777777" w:rsidR="00B345F1" w:rsidRPr="00B3087D" w:rsidRDefault="00B345F1"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21FB58FE"/>
    <w:multiLevelType w:val="multilevel"/>
    <w:tmpl w:val="3C526EDE"/>
    <w:numStyleLink w:val="Headings"/>
  </w:abstractNum>
  <w:abstractNum w:abstractNumId="7" w15:restartNumberingAfterBreak="0">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3663A0"/>
    <w:multiLevelType w:val="multilevel"/>
    <w:tmpl w:val="3C526EDE"/>
    <w:numStyleLink w:val="Headings"/>
  </w:abstractNum>
  <w:abstractNum w:abstractNumId="9" w15:restartNumberingAfterBreak="0">
    <w:nsid w:val="2B8124D7"/>
    <w:multiLevelType w:val="multilevel"/>
    <w:tmpl w:val="3C526EDE"/>
    <w:numStyleLink w:val="Headings"/>
  </w:abstractNum>
  <w:abstractNum w:abstractNumId="10"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015C3"/>
    <w:multiLevelType w:val="hybridMultilevel"/>
    <w:tmpl w:val="59E2A7DA"/>
    <w:lvl w:ilvl="0" w:tplc="7646C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653053"/>
    <w:multiLevelType w:val="hybridMultilevel"/>
    <w:tmpl w:val="59E2A7DA"/>
    <w:lvl w:ilvl="0" w:tplc="7646C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D042D7"/>
    <w:multiLevelType w:val="multilevel"/>
    <w:tmpl w:val="18F4A5AC"/>
    <w:numStyleLink w:val="FoFCoLOP"/>
  </w:abstractNum>
  <w:abstractNum w:abstractNumId="16" w15:restartNumberingAfterBreak="0">
    <w:nsid w:val="5A9E2171"/>
    <w:multiLevelType w:val="multilevel"/>
    <w:tmpl w:val="3C526EDE"/>
    <w:numStyleLink w:val="Headings"/>
  </w:abstractNum>
  <w:abstractNum w:abstractNumId="17" w15:restartNumberingAfterBreak="0">
    <w:nsid w:val="61A25780"/>
    <w:multiLevelType w:val="multilevel"/>
    <w:tmpl w:val="3C526EDE"/>
    <w:numStyleLink w:val="Headings"/>
  </w:abstractNum>
  <w:abstractNum w:abstractNumId="1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A0AFE"/>
    <w:multiLevelType w:val="multilevel"/>
    <w:tmpl w:val="18F4A5AC"/>
    <w:numStyleLink w:val="FoFCoLOP"/>
  </w:abstractNum>
  <w:abstractNum w:abstractNumId="20" w15:restartNumberingAfterBreak="0">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
  </w:num>
  <w:num w:numId="3">
    <w:abstractNumId w:val="15"/>
  </w:num>
  <w:num w:numId="4">
    <w:abstractNumId w:val="2"/>
  </w:num>
  <w:num w:numId="5">
    <w:abstractNumId w:val="19"/>
  </w:num>
  <w:num w:numId="6">
    <w:abstractNumId w:val="10"/>
  </w:num>
  <w:num w:numId="7">
    <w:abstractNumId w:val="5"/>
  </w:num>
  <w:num w:numId="8">
    <w:abstractNumId w:val="18"/>
  </w:num>
  <w:num w:numId="9">
    <w:abstractNumId w:val="0"/>
  </w:num>
  <w:num w:numId="10">
    <w:abstractNumId w:val="4"/>
  </w:num>
  <w:num w:numId="11">
    <w:abstractNumId w:val="6"/>
  </w:num>
  <w:num w:numId="12">
    <w:abstractNumId w:val="3"/>
  </w:num>
  <w:num w:numId="13">
    <w:abstractNumId w:val="8"/>
  </w:num>
  <w:num w:numId="14">
    <w:abstractNumId w:val="9"/>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7"/>
  </w:num>
  <w:num w:numId="20">
    <w:abstractNumId w:val="11"/>
  </w:num>
  <w:num w:numId="21">
    <w:abstractNumId w:val="12"/>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95"/>
    <w:rsid w:val="00000F6A"/>
    <w:rsid w:val="00034BF6"/>
    <w:rsid w:val="0007115A"/>
    <w:rsid w:val="000973C8"/>
    <w:rsid w:val="000A1102"/>
    <w:rsid w:val="000A2AA9"/>
    <w:rsid w:val="000A51B1"/>
    <w:rsid w:val="000A56F2"/>
    <w:rsid w:val="000A6E05"/>
    <w:rsid w:val="000A7215"/>
    <w:rsid w:val="000B12FA"/>
    <w:rsid w:val="000C08BF"/>
    <w:rsid w:val="000C3B9A"/>
    <w:rsid w:val="000D25A8"/>
    <w:rsid w:val="000E270A"/>
    <w:rsid w:val="000E4C53"/>
    <w:rsid w:val="00121089"/>
    <w:rsid w:val="00124BC9"/>
    <w:rsid w:val="00124CBA"/>
    <w:rsid w:val="00131943"/>
    <w:rsid w:val="00174536"/>
    <w:rsid w:val="001778A0"/>
    <w:rsid w:val="001C363F"/>
    <w:rsid w:val="001C7A41"/>
    <w:rsid w:val="001E2A62"/>
    <w:rsid w:val="001F2819"/>
    <w:rsid w:val="002043EC"/>
    <w:rsid w:val="00226539"/>
    <w:rsid w:val="002308F4"/>
    <w:rsid w:val="00243DC0"/>
    <w:rsid w:val="00247477"/>
    <w:rsid w:val="00270440"/>
    <w:rsid w:val="00287BC5"/>
    <w:rsid w:val="00293DEE"/>
    <w:rsid w:val="002A0B5D"/>
    <w:rsid w:val="002C7FE9"/>
    <w:rsid w:val="002D0DC5"/>
    <w:rsid w:val="002D3909"/>
    <w:rsid w:val="002D4EFD"/>
    <w:rsid w:val="00315A97"/>
    <w:rsid w:val="00316071"/>
    <w:rsid w:val="003435EB"/>
    <w:rsid w:val="00343E5C"/>
    <w:rsid w:val="003443D2"/>
    <w:rsid w:val="00344FB8"/>
    <w:rsid w:val="0036017B"/>
    <w:rsid w:val="00360D68"/>
    <w:rsid w:val="00362755"/>
    <w:rsid w:val="00373B93"/>
    <w:rsid w:val="00377645"/>
    <w:rsid w:val="00380CD1"/>
    <w:rsid w:val="00381E75"/>
    <w:rsid w:val="003A38F0"/>
    <w:rsid w:val="003F069A"/>
    <w:rsid w:val="003F4329"/>
    <w:rsid w:val="00407D58"/>
    <w:rsid w:val="00412534"/>
    <w:rsid w:val="00412C83"/>
    <w:rsid w:val="004154C9"/>
    <w:rsid w:val="004211DC"/>
    <w:rsid w:val="00426014"/>
    <w:rsid w:val="0044617E"/>
    <w:rsid w:val="00460B7D"/>
    <w:rsid w:val="00467F67"/>
    <w:rsid w:val="00480CB0"/>
    <w:rsid w:val="004B18D1"/>
    <w:rsid w:val="004B34EA"/>
    <w:rsid w:val="004B5494"/>
    <w:rsid w:val="004C7A2B"/>
    <w:rsid w:val="004C7D3A"/>
    <w:rsid w:val="004D540F"/>
    <w:rsid w:val="004E5678"/>
    <w:rsid w:val="004F3084"/>
    <w:rsid w:val="004F50B8"/>
    <w:rsid w:val="005018A8"/>
    <w:rsid w:val="00505A39"/>
    <w:rsid w:val="00523541"/>
    <w:rsid w:val="005240BF"/>
    <w:rsid w:val="005255B3"/>
    <w:rsid w:val="0055279D"/>
    <w:rsid w:val="00585390"/>
    <w:rsid w:val="005939A5"/>
    <w:rsid w:val="005A148C"/>
    <w:rsid w:val="005A5B7B"/>
    <w:rsid w:val="005C58FA"/>
    <w:rsid w:val="005F2CC3"/>
    <w:rsid w:val="006044F1"/>
    <w:rsid w:val="00632207"/>
    <w:rsid w:val="0063491C"/>
    <w:rsid w:val="00661AFE"/>
    <w:rsid w:val="00680F19"/>
    <w:rsid w:val="006B108A"/>
    <w:rsid w:val="006C1F10"/>
    <w:rsid w:val="006D3E0C"/>
    <w:rsid w:val="006E5E28"/>
    <w:rsid w:val="006E6574"/>
    <w:rsid w:val="00714CF2"/>
    <w:rsid w:val="007156B9"/>
    <w:rsid w:val="00720817"/>
    <w:rsid w:val="00722850"/>
    <w:rsid w:val="0073353F"/>
    <w:rsid w:val="00735A91"/>
    <w:rsid w:val="00742E45"/>
    <w:rsid w:val="007447AF"/>
    <w:rsid w:val="00750816"/>
    <w:rsid w:val="007657C1"/>
    <w:rsid w:val="0077755F"/>
    <w:rsid w:val="00786849"/>
    <w:rsid w:val="007A406D"/>
    <w:rsid w:val="007A62B0"/>
    <w:rsid w:val="007C5A0C"/>
    <w:rsid w:val="007D0806"/>
    <w:rsid w:val="007E0FEE"/>
    <w:rsid w:val="007F2017"/>
    <w:rsid w:val="008103FC"/>
    <w:rsid w:val="0081441A"/>
    <w:rsid w:val="008159CF"/>
    <w:rsid w:val="00816070"/>
    <w:rsid w:val="00816E05"/>
    <w:rsid w:val="008339BB"/>
    <w:rsid w:val="0084034F"/>
    <w:rsid w:val="00856C36"/>
    <w:rsid w:val="00860A20"/>
    <w:rsid w:val="0086419A"/>
    <w:rsid w:val="0087023B"/>
    <w:rsid w:val="008974A3"/>
    <w:rsid w:val="008A179F"/>
    <w:rsid w:val="008A73B6"/>
    <w:rsid w:val="008B0864"/>
    <w:rsid w:val="008C7413"/>
    <w:rsid w:val="008D16B7"/>
    <w:rsid w:val="008E05B5"/>
    <w:rsid w:val="008E5C74"/>
    <w:rsid w:val="008E6AE6"/>
    <w:rsid w:val="008F0116"/>
    <w:rsid w:val="008F143D"/>
    <w:rsid w:val="00914E90"/>
    <w:rsid w:val="00932865"/>
    <w:rsid w:val="00942C50"/>
    <w:rsid w:val="00964430"/>
    <w:rsid w:val="0098138E"/>
    <w:rsid w:val="0098655A"/>
    <w:rsid w:val="009C395A"/>
    <w:rsid w:val="009E6052"/>
    <w:rsid w:val="009E7C7F"/>
    <w:rsid w:val="00A17CE0"/>
    <w:rsid w:val="00A23D48"/>
    <w:rsid w:val="00A30D26"/>
    <w:rsid w:val="00A42306"/>
    <w:rsid w:val="00A44E8D"/>
    <w:rsid w:val="00A46EA8"/>
    <w:rsid w:val="00A55ACD"/>
    <w:rsid w:val="00A60EF1"/>
    <w:rsid w:val="00A82F3E"/>
    <w:rsid w:val="00A8599E"/>
    <w:rsid w:val="00A85D27"/>
    <w:rsid w:val="00AB7875"/>
    <w:rsid w:val="00AC414F"/>
    <w:rsid w:val="00AC68EE"/>
    <w:rsid w:val="00AE116C"/>
    <w:rsid w:val="00B01F7E"/>
    <w:rsid w:val="00B16C2A"/>
    <w:rsid w:val="00B2224B"/>
    <w:rsid w:val="00B3087D"/>
    <w:rsid w:val="00B345F1"/>
    <w:rsid w:val="00B34794"/>
    <w:rsid w:val="00B418B5"/>
    <w:rsid w:val="00B561B1"/>
    <w:rsid w:val="00B60421"/>
    <w:rsid w:val="00B81EB6"/>
    <w:rsid w:val="00BA7495"/>
    <w:rsid w:val="00BB0243"/>
    <w:rsid w:val="00BC12B6"/>
    <w:rsid w:val="00BD06B6"/>
    <w:rsid w:val="00C10B5F"/>
    <w:rsid w:val="00C218BB"/>
    <w:rsid w:val="00C67045"/>
    <w:rsid w:val="00C878D5"/>
    <w:rsid w:val="00C9033B"/>
    <w:rsid w:val="00C913A1"/>
    <w:rsid w:val="00CA2FFD"/>
    <w:rsid w:val="00CC6A99"/>
    <w:rsid w:val="00D00AA3"/>
    <w:rsid w:val="00D0504E"/>
    <w:rsid w:val="00D05E25"/>
    <w:rsid w:val="00D07F73"/>
    <w:rsid w:val="00D129E7"/>
    <w:rsid w:val="00D14844"/>
    <w:rsid w:val="00D2041C"/>
    <w:rsid w:val="00D244CF"/>
    <w:rsid w:val="00D25ADE"/>
    <w:rsid w:val="00D3144B"/>
    <w:rsid w:val="00D316AD"/>
    <w:rsid w:val="00D343E9"/>
    <w:rsid w:val="00D43297"/>
    <w:rsid w:val="00D44DB6"/>
    <w:rsid w:val="00D45B6C"/>
    <w:rsid w:val="00D50119"/>
    <w:rsid w:val="00D82A43"/>
    <w:rsid w:val="00DA7B5D"/>
    <w:rsid w:val="00DF58E7"/>
    <w:rsid w:val="00E11876"/>
    <w:rsid w:val="00E23CBB"/>
    <w:rsid w:val="00E37B59"/>
    <w:rsid w:val="00E47FF5"/>
    <w:rsid w:val="00E53438"/>
    <w:rsid w:val="00E534AA"/>
    <w:rsid w:val="00E54249"/>
    <w:rsid w:val="00E725FC"/>
    <w:rsid w:val="00E84768"/>
    <w:rsid w:val="00EA36C6"/>
    <w:rsid w:val="00EA6A32"/>
    <w:rsid w:val="00EC30F9"/>
    <w:rsid w:val="00ED5725"/>
    <w:rsid w:val="00ED7031"/>
    <w:rsid w:val="00EE3060"/>
    <w:rsid w:val="00EE4315"/>
    <w:rsid w:val="00EF6925"/>
    <w:rsid w:val="00F26ED3"/>
    <w:rsid w:val="00F35372"/>
    <w:rsid w:val="00F36EA1"/>
    <w:rsid w:val="00F56FB1"/>
    <w:rsid w:val="00F62B7A"/>
    <w:rsid w:val="00F6397D"/>
    <w:rsid w:val="00F63A45"/>
    <w:rsid w:val="00F7293E"/>
    <w:rsid w:val="00F73B6A"/>
    <w:rsid w:val="00F76650"/>
    <w:rsid w:val="00F9187B"/>
    <w:rsid w:val="00F92385"/>
    <w:rsid w:val="00FA1B4F"/>
    <w:rsid w:val="00FC47F9"/>
    <w:rsid w:val="00FE049A"/>
    <w:rsid w:val="00FE2351"/>
    <w:rsid w:val="00FE337D"/>
    <w:rsid w:val="00FE558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5153"/>
  <w15:chartTrackingRefBased/>
  <w15:docId w15:val="{BF2DBEC1-F53C-4ED8-ACBD-0E04F94F965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customStyle="1" w:styleId="ALJBodyText">
    <w:name w:val="ALJ Body Text"/>
    <w:basedOn w:val="Normal"/>
    <w:link w:val="ALJBodyTextChar"/>
    <w:qFormat/>
    <w:rsid w:val="00B345F1"/>
    <w:rPr>
      <w:rFonts w:cs="Times New Roman"/>
      <w:szCs w:val="20"/>
    </w:rPr>
  </w:style>
  <w:style w:type="character" w:customStyle="1" w:styleId="ALJBodyTextChar">
    <w:name w:val="ALJ Body Text Char"/>
    <w:basedOn w:val="DefaultParagraphFont"/>
    <w:link w:val="ALJBodyText"/>
    <w:rsid w:val="00B345F1"/>
    <w:rPr>
      <w:rFonts w:ascii="Book Antiqua" w:hAnsi="Book Antiqua" w:cs="Times New Roman"/>
      <w:sz w:val="26"/>
      <w:szCs w:val="20"/>
    </w:rPr>
  </w:style>
  <w:style w:type="paragraph" w:customStyle="1" w:styleId="ALJTitle">
    <w:name w:val="ALJ Title"/>
    <w:basedOn w:val="ALJBodyText"/>
    <w:next w:val="ALJBodyText"/>
    <w:link w:val="ALJTitleChar"/>
    <w:qFormat/>
    <w:rsid w:val="00B345F1"/>
    <w:pPr>
      <w:spacing w:after="240" w:line="240" w:lineRule="auto"/>
      <w:ind w:firstLine="0"/>
      <w:jc w:val="center"/>
    </w:pPr>
    <w:rPr>
      <w:rFonts w:ascii="Arial" w:hAnsi="Arial" w:cs="Arial"/>
      <w:b/>
    </w:rPr>
  </w:style>
  <w:style w:type="character" w:customStyle="1" w:styleId="ALJTitleChar">
    <w:name w:val="ALJ Title Char"/>
    <w:basedOn w:val="ALJBodyTextChar"/>
    <w:link w:val="ALJTitle"/>
    <w:rsid w:val="00B345F1"/>
    <w:rPr>
      <w:rFonts w:ascii="Arial" w:hAnsi="Arial" w:cs="Arial"/>
      <w:b/>
      <w:sz w:val="26"/>
      <w:szCs w:val="20"/>
    </w:rPr>
  </w:style>
  <w:style w:type="paragraph" w:customStyle="1" w:styleId="ALJHeading1">
    <w:name w:val="ALJ Heading 1"/>
    <w:basedOn w:val="ALJBodyText"/>
    <w:next w:val="ALJBodyText"/>
    <w:link w:val="ALJHeading1Char"/>
    <w:qFormat/>
    <w:rsid w:val="00B345F1"/>
    <w:pPr>
      <w:keepNext/>
      <w:numPr>
        <w:numId w:val="17"/>
      </w:numPr>
      <w:spacing w:before="120" w:after="120" w:line="240" w:lineRule="auto"/>
      <w:ind w:right="720"/>
    </w:pPr>
    <w:rPr>
      <w:rFonts w:ascii="Arial" w:hAnsi="Arial" w:cs="Arial"/>
      <w:b/>
    </w:rPr>
  </w:style>
  <w:style w:type="paragraph" w:customStyle="1" w:styleId="ALJHeading2">
    <w:name w:val="ALJ Heading 2"/>
    <w:basedOn w:val="ALJBodyText"/>
    <w:next w:val="ALJBodyText"/>
    <w:link w:val="ALJHeading2Char"/>
    <w:qFormat/>
    <w:rsid w:val="00B345F1"/>
    <w:pPr>
      <w:keepNext/>
      <w:numPr>
        <w:ilvl w:val="1"/>
        <w:numId w:val="17"/>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B345F1"/>
    <w:rPr>
      <w:rFonts w:ascii="Arial" w:hAnsi="Arial" w:cs="Arial"/>
      <w:b/>
      <w:sz w:val="26"/>
      <w:szCs w:val="20"/>
    </w:rPr>
  </w:style>
  <w:style w:type="paragraph" w:customStyle="1" w:styleId="ALJHeading3">
    <w:name w:val="ALJ Heading 3"/>
    <w:basedOn w:val="ALJBodyText"/>
    <w:next w:val="ALJBodyText"/>
    <w:qFormat/>
    <w:rsid w:val="00B345F1"/>
    <w:pPr>
      <w:keepNext/>
      <w:numPr>
        <w:ilvl w:val="2"/>
        <w:numId w:val="17"/>
      </w:numPr>
      <w:spacing w:before="120" w:after="120" w:line="240" w:lineRule="auto"/>
    </w:pPr>
    <w:rPr>
      <w:rFonts w:ascii="Arial" w:hAnsi="Arial" w:cs="Arial"/>
      <w:b/>
    </w:rPr>
  </w:style>
  <w:style w:type="character" w:customStyle="1" w:styleId="ALJHeading2Char">
    <w:name w:val="ALJ Heading 2 Char"/>
    <w:basedOn w:val="ALJBodyTextChar"/>
    <w:link w:val="ALJHeading2"/>
    <w:rsid w:val="00B345F1"/>
    <w:rPr>
      <w:rFonts w:ascii="Arial" w:hAnsi="Arial" w:cs="Arial"/>
      <w:b/>
      <w:sz w:val="26"/>
      <w:szCs w:val="20"/>
    </w:rPr>
  </w:style>
  <w:style w:type="paragraph" w:customStyle="1" w:styleId="ALJHeadingNo">
    <w:name w:val="ALJ Heading No #"/>
    <w:basedOn w:val="ALJBodyText"/>
    <w:next w:val="ALJBodyText"/>
    <w:link w:val="ALJHeadingNoChar"/>
    <w:qFormat/>
    <w:rsid w:val="00B345F1"/>
    <w:pPr>
      <w:keepNext/>
      <w:spacing w:before="120" w:after="120" w:line="240" w:lineRule="auto"/>
      <w:ind w:firstLine="0"/>
    </w:pPr>
    <w:rPr>
      <w:rFonts w:ascii="Arial" w:hAnsi="Arial" w:cs="Arial"/>
      <w:b/>
    </w:rPr>
  </w:style>
  <w:style w:type="character" w:customStyle="1" w:styleId="ALJHeadingNoChar">
    <w:name w:val="ALJ Heading No # Char"/>
    <w:basedOn w:val="ALJBodyTextChar"/>
    <w:link w:val="ALJHeadingNo"/>
    <w:rsid w:val="00B345F1"/>
    <w:rPr>
      <w:rFonts w:ascii="Arial" w:hAnsi="Arial" w:cs="Arial"/>
      <w:b/>
      <w:sz w:val="26"/>
      <w:szCs w:val="20"/>
    </w:rPr>
  </w:style>
  <w:style w:type="paragraph" w:customStyle="1" w:styleId="FindingofFAct">
    <w:name w:val="Finding of FAct"/>
    <w:basedOn w:val="ALJBodyText"/>
    <w:link w:val="FindingofFActChar"/>
    <w:qFormat/>
    <w:rsid w:val="00B345F1"/>
    <w:pPr>
      <w:numPr>
        <w:numId w:val="18"/>
      </w:numPr>
      <w:ind w:left="0" w:firstLine="720"/>
    </w:pPr>
  </w:style>
  <w:style w:type="paragraph" w:customStyle="1" w:styleId="conclusionoflaw">
    <w:name w:val="conclusion of law"/>
    <w:basedOn w:val="ALJBodyText"/>
    <w:link w:val="conclusionoflawChar"/>
    <w:qFormat/>
    <w:rsid w:val="00B345F1"/>
    <w:pPr>
      <w:numPr>
        <w:numId w:val="19"/>
      </w:numPr>
      <w:ind w:left="0" w:firstLine="720"/>
    </w:pPr>
  </w:style>
  <w:style w:type="character" w:customStyle="1" w:styleId="FindingofFActChar">
    <w:name w:val="Finding of FAct Char"/>
    <w:basedOn w:val="ALJBodyTextChar"/>
    <w:link w:val="FindingofFAct"/>
    <w:rsid w:val="00B345F1"/>
    <w:rPr>
      <w:rFonts w:ascii="Book Antiqua" w:hAnsi="Book Antiqua" w:cs="Times New Roman"/>
      <w:sz w:val="26"/>
      <w:szCs w:val="20"/>
    </w:rPr>
  </w:style>
  <w:style w:type="character" w:customStyle="1" w:styleId="conclusionoflawChar">
    <w:name w:val="conclusion of law Char"/>
    <w:basedOn w:val="ALJBodyTextChar"/>
    <w:link w:val="conclusionoflaw"/>
    <w:rsid w:val="00B345F1"/>
    <w:rPr>
      <w:rFonts w:ascii="Book Antiqua" w:hAnsi="Book Antiqua" w:cs="Times New Roman"/>
      <w:sz w:val="26"/>
      <w:szCs w:val="20"/>
    </w:rPr>
  </w:style>
  <w:style w:type="paragraph" w:customStyle="1" w:styleId="ALJOP">
    <w:name w:val="ALJ OP"/>
    <w:basedOn w:val="ALJBodyText"/>
    <w:link w:val="ALJOPChar"/>
    <w:qFormat/>
    <w:rsid w:val="00B345F1"/>
    <w:pPr>
      <w:numPr>
        <w:numId w:val="20"/>
      </w:numPr>
      <w:ind w:left="0" w:firstLine="720"/>
    </w:pPr>
  </w:style>
  <w:style w:type="character" w:customStyle="1" w:styleId="ALJOPChar">
    <w:name w:val="ALJ OP Char"/>
    <w:basedOn w:val="ALJBodyTextChar"/>
    <w:link w:val="ALJOP"/>
    <w:rsid w:val="00B345F1"/>
    <w:rPr>
      <w:rFonts w:ascii="Book Antiqua" w:hAnsi="Book Antiqua" w:cs="Times New Roman"/>
      <w:sz w:val="26"/>
      <w:szCs w:val="20"/>
    </w:rPr>
  </w:style>
  <w:style w:type="paragraph" w:styleId="Revision">
    <w:name w:val="Revision"/>
    <w:hidden/>
    <w:uiPriority w:val="99"/>
    <w:semiHidden/>
    <w:rsid w:val="007D0806"/>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3113</ap:Words>
  <ap:Characters>17748</ap:Characters>
  <ap:Application>Microsoft Office Word</ap:Application>
  <ap:DocSecurity>0</ap:DocSecurity>
  <ap:Lines>147</ap:Lines>
  <ap:Paragraphs>41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20820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2021-11-24T21:55:00Z</cp:lastPrinted>
  <dcterms:created xsi:type="dcterms:W3CDTF">2021-11-29T09:18:38Z</dcterms:created>
  <dcterms:modified xsi:type="dcterms:W3CDTF">2021-11-29T09:18:38Z</dcterms:modified>
</cp:coreProperties>
</file>