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6F94" w:rsidR="003C21A8" w:rsidP="002E3D1C" w:rsidRDefault="003C21A8" w14:paraId="45474BFF" w14:textId="77777777">
      <w:pPr>
        <w:pStyle w:val="titlebar"/>
        <w:rPr>
          <w:rFonts w:ascii="Times New Roman" w:hAnsi="Times New Roman"/>
          <w:b w:val="0"/>
          <w:bCs/>
          <w:szCs w:val="26"/>
        </w:rPr>
      </w:pPr>
      <w:r w:rsidRPr="007C6F94">
        <w:rPr>
          <w:rFonts w:ascii="Times New Roman" w:hAnsi="Times New Roman"/>
          <w:b w:val="0"/>
          <w:bCs/>
          <w:szCs w:val="26"/>
        </w:rPr>
        <w:t>PUBLIC UTILITIES COMMISSION OF THE STATE OF CALIFORNIA</w:t>
      </w:r>
    </w:p>
    <w:p w:rsidRPr="007C6F94" w:rsidR="003C21A8" w:rsidP="002E3D1C" w:rsidRDefault="003C21A8" w14:paraId="5B3B473B" w14:textId="77777777">
      <w:pPr>
        <w:suppressAutoHyphens/>
        <w:rPr>
          <w:rFonts w:ascii="Times New Roman" w:hAnsi="Times New Roman"/>
          <w:szCs w:val="26"/>
        </w:rPr>
      </w:pPr>
    </w:p>
    <w:p w:rsidRPr="007C6F94" w:rsidR="003C21A8" w:rsidP="002E3D1C" w:rsidRDefault="003C21A8" w14:paraId="0C289B39" w14:textId="77777777">
      <w:pPr>
        <w:pStyle w:val="NormalWeb"/>
        <w:spacing w:before="0" w:beforeAutospacing="0" w:after="0" w:afterAutospacing="0"/>
        <w:rPr>
          <w:rFonts w:ascii="Times New Roman" w:hAnsi="Times New Roman"/>
          <w:sz w:val="26"/>
          <w:szCs w:val="26"/>
        </w:rPr>
      </w:pPr>
      <w:r w:rsidRPr="007C6F94">
        <w:rPr>
          <w:rFonts w:ascii="Times New Roman" w:hAnsi="Times New Roman"/>
          <w:bCs/>
          <w:sz w:val="26"/>
          <w:szCs w:val="26"/>
        </w:rPr>
        <w:t>Legal Division</w:t>
      </w:r>
      <w:r w:rsidRPr="007C6F94">
        <w:rPr>
          <w:rFonts w:ascii="Times New Roman" w:hAnsi="Times New Roman"/>
          <w:bCs/>
          <w:sz w:val="26"/>
          <w:szCs w:val="26"/>
        </w:rPr>
        <w:tab/>
      </w:r>
      <w:r w:rsidRPr="007C6F94">
        <w:rPr>
          <w:rFonts w:ascii="Times New Roman" w:hAnsi="Times New Roman"/>
          <w:b/>
          <w:sz w:val="26"/>
          <w:szCs w:val="26"/>
        </w:rPr>
        <w:tab/>
      </w:r>
      <w:r w:rsidRPr="007C6F94">
        <w:rPr>
          <w:rFonts w:ascii="Times New Roman" w:hAnsi="Times New Roman"/>
          <w:b/>
          <w:sz w:val="26"/>
          <w:szCs w:val="26"/>
        </w:rPr>
        <w:tab/>
      </w:r>
      <w:r w:rsidRPr="007C6F94">
        <w:rPr>
          <w:rFonts w:ascii="Times New Roman" w:hAnsi="Times New Roman"/>
          <w:b/>
          <w:sz w:val="26"/>
          <w:szCs w:val="26"/>
        </w:rPr>
        <w:tab/>
      </w:r>
      <w:r w:rsidRPr="007C6F94">
        <w:rPr>
          <w:rFonts w:ascii="Times New Roman" w:hAnsi="Times New Roman"/>
          <w:b/>
          <w:sz w:val="26"/>
          <w:szCs w:val="26"/>
        </w:rPr>
        <w:tab/>
      </w:r>
      <w:r w:rsidRPr="007C6F94">
        <w:rPr>
          <w:rFonts w:ascii="Times New Roman" w:hAnsi="Times New Roman"/>
          <w:b/>
          <w:sz w:val="26"/>
          <w:szCs w:val="26"/>
        </w:rPr>
        <w:tab/>
      </w:r>
      <w:r w:rsidRPr="007C6F94">
        <w:rPr>
          <w:rFonts w:ascii="Times New Roman" w:hAnsi="Times New Roman"/>
          <w:sz w:val="26"/>
          <w:szCs w:val="26"/>
        </w:rPr>
        <w:t>San Francisco, California</w:t>
      </w:r>
    </w:p>
    <w:p w:rsidRPr="007C6F94" w:rsidR="003C21A8" w:rsidP="002E3D1C" w:rsidRDefault="003C21A8" w14:paraId="0CD785B2" w14:textId="0D10B1BE">
      <w:pPr>
        <w:pStyle w:val="NormalWeb"/>
        <w:spacing w:before="0" w:beforeAutospacing="0" w:after="0" w:afterAutospacing="0"/>
        <w:ind w:left="5040" w:firstLine="720"/>
        <w:rPr>
          <w:rFonts w:ascii="Times New Roman" w:hAnsi="Times New Roman"/>
          <w:sz w:val="26"/>
          <w:szCs w:val="26"/>
        </w:rPr>
      </w:pPr>
      <w:r w:rsidRPr="00AA2CC7">
        <w:rPr>
          <w:rFonts w:ascii="Times New Roman" w:hAnsi="Times New Roman"/>
          <w:sz w:val="26"/>
          <w:szCs w:val="26"/>
        </w:rPr>
        <w:t>Date:</w:t>
      </w:r>
      <w:r w:rsidRPr="00AA2CC7" w:rsidR="00966A8E">
        <w:rPr>
          <w:rFonts w:ascii="Times New Roman" w:hAnsi="Times New Roman"/>
          <w:sz w:val="26"/>
          <w:szCs w:val="26"/>
        </w:rPr>
        <w:t xml:space="preserve"> </w:t>
      </w:r>
      <w:r w:rsidR="00AA2CC7">
        <w:rPr>
          <w:rFonts w:ascii="Times New Roman" w:hAnsi="Times New Roman"/>
          <w:sz w:val="26"/>
          <w:szCs w:val="26"/>
        </w:rPr>
        <w:t>December 2</w:t>
      </w:r>
      <w:r w:rsidRPr="00AA2CC7" w:rsidR="006F1BC8">
        <w:rPr>
          <w:rFonts w:ascii="Times New Roman" w:hAnsi="Times New Roman"/>
          <w:sz w:val="26"/>
          <w:szCs w:val="26"/>
        </w:rPr>
        <w:t>,</w:t>
      </w:r>
      <w:r w:rsidRPr="00AA2CC7">
        <w:rPr>
          <w:rFonts w:ascii="Times New Roman" w:hAnsi="Times New Roman"/>
          <w:sz w:val="26"/>
          <w:szCs w:val="26"/>
        </w:rPr>
        <w:t xml:space="preserve"> 20</w:t>
      </w:r>
      <w:r w:rsidRPr="00AA2CC7" w:rsidR="002E3D1C">
        <w:rPr>
          <w:rFonts w:ascii="Times New Roman" w:hAnsi="Times New Roman"/>
          <w:sz w:val="26"/>
          <w:szCs w:val="26"/>
        </w:rPr>
        <w:t>21</w:t>
      </w:r>
      <w:r w:rsidRPr="007C6F94">
        <w:rPr>
          <w:rFonts w:ascii="Times New Roman" w:hAnsi="Times New Roman"/>
          <w:sz w:val="26"/>
          <w:szCs w:val="26"/>
        </w:rPr>
        <w:t xml:space="preserve"> </w:t>
      </w:r>
    </w:p>
    <w:p w:rsidRPr="007C6F94" w:rsidR="003C21A8" w:rsidP="002E3D1C" w:rsidRDefault="003C21A8" w14:paraId="4330A2AE" w14:textId="43711FE3">
      <w:pPr>
        <w:pStyle w:val="NormalWeb"/>
        <w:spacing w:before="0" w:beforeAutospacing="0" w:after="0" w:afterAutospacing="0"/>
        <w:ind w:left="5040" w:firstLine="720"/>
        <w:rPr>
          <w:rFonts w:ascii="Times New Roman" w:hAnsi="Times New Roman"/>
          <w:sz w:val="26"/>
          <w:szCs w:val="26"/>
        </w:rPr>
      </w:pPr>
      <w:r w:rsidRPr="007C6F94">
        <w:rPr>
          <w:rFonts w:ascii="Times New Roman" w:hAnsi="Times New Roman"/>
          <w:sz w:val="26"/>
          <w:szCs w:val="26"/>
        </w:rPr>
        <w:t>Resolution No.: L</w:t>
      </w:r>
      <w:r w:rsidRPr="007C6F94" w:rsidR="007124AE">
        <w:rPr>
          <w:rFonts w:ascii="Times New Roman" w:hAnsi="Times New Roman"/>
          <w:sz w:val="26"/>
          <w:szCs w:val="26"/>
        </w:rPr>
        <w:t>-</w:t>
      </w:r>
      <w:r w:rsidR="00AA2CC7">
        <w:rPr>
          <w:rFonts w:ascii="Times New Roman" w:hAnsi="Times New Roman"/>
          <w:sz w:val="26"/>
          <w:szCs w:val="26"/>
        </w:rPr>
        <w:t>613</w:t>
      </w:r>
    </w:p>
    <w:p w:rsidRPr="007C6F94" w:rsidR="003C21A8" w:rsidP="002E3D1C" w:rsidRDefault="003C21A8" w14:paraId="3BDDBCB6" w14:textId="77777777">
      <w:pPr>
        <w:rPr>
          <w:rFonts w:ascii="Times New Roman" w:hAnsi="Times New Roman"/>
          <w:b/>
          <w:szCs w:val="26"/>
        </w:rPr>
      </w:pPr>
    </w:p>
    <w:p w:rsidRPr="007C6F94" w:rsidR="003C21A8" w:rsidP="002E3D1C" w:rsidRDefault="003C21A8" w14:paraId="449D613E" w14:textId="77777777">
      <w:pPr>
        <w:pStyle w:val="mainex"/>
        <w:rPr>
          <w:rFonts w:ascii="Times New Roman" w:hAnsi="Times New Roman"/>
          <w:szCs w:val="26"/>
          <w:u w:val="single"/>
        </w:rPr>
      </w:pPr>
      <w:bookmarkStart w:name="_Ref404993683" w:id="0"/>
      <w:r w:rsidRPr="007C6F94">
        <w:rPr>
          <w:rFonts w:ascii="Times New Roman" w:hAnsi="Times New Roman"/>
          <w:szCs w:val="26"/>
          <w:u w:val="single"/>
        </w:rPr>
        <w:t>RESOLUTION</w:t>
      </w:r>
    </w:p>
    <w:p w:rsidRPr="007C6F94" w:rsidR="003C21A8" w:rsidP="002E3D1C" w:rsidRDefault="003C21A8" w14:paraId="64A85A2B" w14:textId="77777777">
      <w:pPr>
        <w:rPr>
          <w:rFonts w:ascii="Times New Roman" w:hAnsi="Times New Roman"/>
          <w:szCs w:val="26"/>
        </w:rPr>
      </w:pPr>
    </w:p>
    <w:p w:rsidRPr="004C313D" w:rsidR="00684B6E" w:rsidP="002E3D1C" w:rsidRDefault="003C21A8" w14:paraId="4100DCF3" w14:textId="2377ED27">
      <w:pPr>
        <w:pStyle w:val="Res-Caption"/>
        <w:ind w:left="360" w:right="90"/>
        <w:rPr>
          <w:rFonts w:ascii="Times New Roman" w:hAnsi="Times New Roman"/>
          <w:b/>
          <w:bCs/>
          <w:szCs w:val="26"/>
        </w:rPr>
      </w:pPr>
      <w:r w:rsidRPr="004C313D">
        <w:rPr>
          <w:rFonts w:ascii="Times New Roman" w:hAnsi="Times New Roman"/>
          <w:b/>
          <w:bCs/>
          <w:szCs w:val="26"/>
        </w:rPr>
        <w:t xml:space="preserve">RESOLUTION DENYING </w:t>
      </w:r>
      <w:r w:rsidRPr="004C313D" w:rsidR="00684B6E">
        <w:rPr>
          <w:rFonts w:ascii="Times New Roman" w:hAnsi="Times New Roman"/>
          <w:b/>
          <w:bCs/>
          <w:szCs w:val="26"/>
        </w:rPr>
        <w:t>BRANDON RITTIMAN’S APPEAL OF THE COMMISSION’S DETERMINATION THAT RECORDS SOUGHT UNDER CALIFORNIA PUBLIC RECORD ACT REQUEST 20-</w:t>
      </w:r>
      <w:r w:rsidRPr="004C313D" w:rsidR="001A1EA1">
        <w:rPr>
          <w:rFonts w:ascii="Times New Roman" w:hAnsi="Times New Roman"/>
          <w:b/>
          <w:bCs/>
          <w:szCs w:val="26"/>
        </w:rPr>
        <w:t xml:space="preserve">619 </w:t>
      </w:r>
      <w:r w:rsidRPr="004C313D" w:rsidR="00684B6E">
        <w:rPr>
          <w:rFonts w:ascii="Times New Roman" w:hAnsi="Times New Roman"/>
          <w:b/>
          <w:bCs/>
          <w:szCs w:val="26"/>
        </w:rPr>
        <w:t>ARE EXEMPT FROM DISCLOSURE</w:t>
      </w:r>
    </w:p>
    <w:p w:rsidR="003C21A8" w:rsidP="002E3D1C" w:rsidRDefault="003C21A8" w14:paraId="48E5F264" w14:textId="4ACABC84">
      <w:pPr>
        <w:rPr>
          <w:rFonts w:ascii="Times New Roman" w:hAnsi="Times New Roman"/>
          <w:szCs w:val="26"/>
        </w:rPr>
      </w:pPr>
    </w:p>
    <w:p w:rsidRPr="007C6F94" w:rsidR="003C21A8" w:rsidP="00EE003F" w:rsidRDefault="003C21A8" w14:paraId="3890B6F4" w14:textId="77777777">
      <w:pPr>
        <w:rPr>
          <w:rFonts w:ascii="Times New Roman" w:hAnsi="Times New Roman"/>
          <w:b/>
          <w:bCs/>
          <w:szCs w:val="26"/>
          <w:u w:val="single"/>
        </w:rPr>
      </w:pPr>
      <w:r w:rsidRPr="007C6F94">
        <w:rPr>
          <w:rFonts w:ascii="Times New Roman" w:hAnsi="Times New Roman"/>
          <w:b/>
          <w:bCs/>
          <w:szCs w:val="26"/>
          <w:u w:val="single"/>
        </w:rPr>
        <w:t>SUMMARY</w:t>
      </w:r>
      <w:bookmarkEnd w:id="0"/>
    </w:p>
    <w:p w:rsidRPr="007C6F94" w:rsidR="003C21A8" w:rsidP="002E3D1C" w:rsidRDefault="003C21A8" w14:paraId="22C77334" w14:textId="77777777">
      <w:pPr>
        <w:rPr>
          <w:rFonts w:ascii="Times New Roman" w:hAnsi="Times New Roman"/>
          <w:szCs w:val="26"/>
        </w:rPr>
      </w:pPr>
    </w:p>
    <w:p w:rsidRPr="007C6F94" w:rsidR="00F935EF" w:rsidP="002E3D1C" w:rsidRDefault="00F935EF" w14:paraId="6427B2E6" w14:textId="37C9B345">
      <w:pPr>
        <w:pStyle w:val="Body"/>
        <w:spacing w:after="0" w:line="240" w:lineRule="auto"/>
        <w:rPr>
          <w:rFonts w:ascii="Times New Roman" w:hAnsi="Times New Roman" w:cs="Times New Roman"/>
          <w:sz w:val="26"/>
          <w:szCs w:val="26"/>
        </w:rPr>
      </w:pPr>
      <w:r w:rsidRPr="007C6F94">
        <w:rPr>
          <w:rFonts w:ascii="Times New Roman" w:hAnsi="Times New Roman" w:cs="Times New Roman"/>
          <w:sz w:val="26"/>
          <w:szCs w:val="26"/>
        </w:rPr>
        <w:t xml:space="preserve">The California Public Records Act </w:t>
      </w:r>
      <w:r w:rsidRPr="007C6F94" w:rsidR="00201D4E">
        <w:rPr>
          <w:rFonts w:ascii="Times New Roman" w:hAnsi="Times New Roman" w:cs="Times New Roman"/>
          <w:sz w:val="26"/>
          <w:szCs w:val="26"/>
        </w:rPr>
        <w:t xml:space="preserve">codifies </w:t>
      </w:r>
      <w:r w:rsidRPr="007C6F94">
        <w:rPr>
          <w:rFonts w:ascii="Times New Roman" w:hAnsi="Times New Roman" w:cs="Times New Roman"/>
          <w:sz w:val="26"/>
          <w:szCs w:val="26"/>
        </w:rPr>
        <w:t xml:space="preserve">the public’s right to access information concerning the conduct of the people’s business, </w:t>
      </w:r>
      <w:r w:rsidRPr="007C6F94" w:rsidR="00201D4E">
        <w:rPr>
          <w:rFonts w:ascii="Times New Roman" w:hAnsi="Times New Roman" w:cs="Times New Roman"/>
          <w:sz w:val="26"/>
          <w:szCs w:val="26"/>
        </w:rPr>
        <w:t>but it</w:t>
      </w:r>
      <w:r w:rsidRPr="007C6F94">
        <w:rPr>
          <w:rFonts w:ascii="Times New Roman" w:hAnsi="Times New Roman" w:cs="Times New Roman"/>
          <w:sz w:val="26"/>
          <w:szCs w:val="26"/>
        </w:rPr>
        <w:t xml:space="preserve"> also </w:t>
      </w:r>
      <w:r w:rsidRPr="007C6F94" w:rsidR="000C25A0">
        <w:rPr>
          <w:rFonts w:ascii="Times New Roman" w:hAnsi="Times New Roman" w:cs="Times New Roman"/>
          <w:sz w:val="26"/>
          <w:szCs w:val="26"/>
        </w:rPr>
        <w:t>establish</w:t>
      </w:r>
      <w:r w:rsidRPr="007C6F94" w:rsidR="00201D4E">
        <w:rPr>
          <w:rFonts w:ascii="Times New Roman" w:hAnsi="Times New Roman" w:cs="Times New Roman"/>
          <w:sz w:val="26"/>
          <w:szCs w:val="26"/>
        </w:rPr>
        <w:t>es</w:t>
      </w:r>
      <w:r w:rsidRPr="007C6F94">
        <w:rPr>
          <w:rFonts w:ascii="Times New Roman" w:hAnsi="Times New Roman" w:cs="Times New Roman"/>
          <w:sz w:val="26"/>
          <w:szCs w:val="26"/>
        </w:rPr>
        <w:t xml:space="preserve"> </w:t>
      </w:r>
      <w:r w:rsidRPr="007C6F94" w:rsidR="000C25A0">
        <w:rPr>
          <w:rFonts w:ascii="Times New Roman" w:hAnsi="Times New Roman" w:cs="Times New Roman"/>
          <w:sz w:val="26"/>
          <w:szCs w:val="26"/>
        </w:rPr>
        <w:t>numerous categories of documents that</w:t>
      </w:r>
      <w:r w:rsidRPr="007C6F94">
        <w:rPr>
          <w:rFonts w:ascii="Times New Roman" w:hAnsi="Times New Roman" w:cs="Times New Roman"/>
          <w:sz w:val="26"/>
          <w:szCs w:val="26"/>
        </w:rPr>
        <w:t xml:space="preserve"> </w:t>
      </w:r>
      <w:r w:rsidRPr="007C6F94" w:rsidR="000C25A0">
        <w:rPr>
          <w:rFonts w:ascii="Times New Roman" w:hAnsi="Times New Roman" w:cs="Times New Roman"/>
          <w:sz w:val="26"/>
          <w:szCs w:val="26"/>
        </w:rPr>
        <w:t xml:space="preserve">are </w:t>
      </w:r>
      <w:r w:rsidRPr="007C6F94">
        <w:rPr>
          <w:rFonts w:ascii="Times New Roman" w:hAnsi="Times New Roman" w:cs="Times New Roman"/>
          <w:sz w:val="26"/>
          <w:szCs w:val="26"/>
        </w:rPr>
        <w:t>exempt</w:t>
      </w:r>
      <w:r w:rsidRPr="007C6F94" w:rsidR="000C25A0">
        <w:rPr>
          <w:rFonts w:ascii="Times New Roman" w:hAnsi="Times New Roman" w:cs="Times New Roman"/>
          <w:sz w:val="26"/>
          <w:szCs w:val="26"/>
        </w:rPr>
        <w:t xml:space="preserve"> from</w:t>
      </w:r>
      <w:r w:rsidRPr="007C6F94">
        <w:rPr>
          <w:rFonts w:ascii="Times New Roman" w:hAnsi="Times New Roman" w:cs="Times New Roman"/>
          <w:sz w:val="26"/>
          <w:szCs w:val="26"/>
        </w:rPr>
        <w:t xml:space="preserve"> disclos</w:t>
      </w:r>
      <w:r w:rsidRPr="007C6F94" w:rsidR="000C25A0">
        <w:rPr>
          <w:rFonts w:ascii="Times New Roman" w:hAnsi="Times New Roman" w:cs="Times New Roman"/>
          <w:sz w:val="26"/>
          <w:szCs w:val="26"/>
        </w:rPr>
        <w:t>ure</w:t>
      </w:r>
      <w:r w:rsidRPr="007C6F94">
        <w:rPr>
          <w:rFonts w:ascii="Times New Roman" w:hAnsi="Times New Roman" w:cs="Times New Roman"/>
          <w:sz w:val="26"/>
          <w:szCs w:val="26"/>
        </w:rPr>
        <w:t xml:space="preserve">. </w:t>
      </w:r>
      <w:r w:rsidR="004C313D">
        <w:rPr>
          <w:rFonts w:ascii="Times New Roman" w:hAnsi="Times New Roman" w:cs="Times New Roman"/>
          <w:sz w:val="26"/>
          <w:szCs w:val="26"/>
        </w:rPr>
        <w:t xml:space="preserve"> </w:t>
      </w:r>
      <w:r w:rsidRPr="007C6F94">
        <w:rPr>
          <w:rFonts w:ascii="Times New Roman" w:hAnsi="Times New Roman" w:cs="Times New Roman"/>
          <w:sz w:val="26"/>
          <w:szCs w:val="26"/>
        </w:rPr>
        <w:t xml:space="preserve">On </w:t>
      </w:r>
      <w:r w:rsidRPr="007C6F94" w:rsidR="00ED04EE">
        <w:rPr>
          <w:rFonts w:ascii="Times New Roman" w:hAnsi="Times New Roman" w:cs="Times New Roman"/>
          <w:sz w:val="26"/>
          <w:szCs w:val="26"/>
        </w:rPr>
        <w:t xml:space="preserve">November </w:t>
      </w:r>
      <w:r w:rsidRPr="007C6F94" w:rsidR="00244481">
        <w:rPr>
          <w:rFonts w:ascii="Times New Roman" w:hAnsi="Times New Roman" w:cs="Times New Roman"/>
          <w:sz w:val="26"/>
          <w:szCs w:val="26"/>
        </w:rPr>
        <w:t>24</w:t>
      </w:r>
      <w:r w:rsidRPr="007C6F94" w:rsidR="00ED04EE">
        <w:rPr>
          <w:rFonts w:ascii="Times New Roman" w:hAnsi="Times New Roman" w:cs="Times New Roman"/>
          <w:sz w:val="26"/>
          <w:szCs w:val="26"/>
        </w:rPr>
        <w:t xml:space="preserve">, </w:t>
      </w:r>
      <w:r w:rsidRPr="007C6F94">
        <w:rPr>
          <w:rFonts w:ascii="Times New Roman" w:hAnsi="Times New Roman" w:cs="Times New Roman"/>
          <w:sz w:val="26"/>
          <w:szCs w:val="26"/>
        </w:rPr>
        <w:t>20</w:t>
      </w:r>
      <w:r w:rsidRPr="007C6F94" w:rsidR="00ED04EE">
        <w:rPr>
          <w:rFonts w:ascii="Times New Roman" w:hAnsi="Times New Roman" w:cs="Times New Roman"/>
          <w:sz w:val="26"/>
          <w:szCs w:val="26"/>
        </w:rPr>
        <w:t>20</w:t>
      </w:r>
      <w:r w:rsidRPr="007C6F94">
        <w:rPr>
          <w:rFonts w:ascii="Times New Roman" w:hAnsi="Times New Roman" w:cs="Times New Roman"/>
          <w:sz w:val="26"/>
          <w:szCs w:val="26"/>
        </w:rPr>
        <w:t xml:space="preserve">, </w:t>
      </w:r>
      <w:r w:rsidRPr="007C6F94" w:rsidR="00ED04EE">
        <w:rPr>
          <w:rFonts w:ascii="Times New Roman" w:hAnsi="Times New Roman" w:cs="Times New Roman"/>
          <w:sz w:val="26"/>
          <w:szCs w:val="26"/>
        </w:rPr>
        <w:t>Brandon Rittiman r</w:t>
      </w:r>
      <w:r w:rsidRPr="007C6F94">
        <w:rPr>
          <w:rFonts w:ascii="Times New Roman" w:hAnsi="Times New Roman" w:cs="Times New Roman"/>
          <w:sz w:val="26"/>
          <w:szCs w:val="26"/>
        </w:rPr>
        <w:t>equested</w:t>
      </w:r>
      <w:r w:rsidRPr="007C6F94" w:rsidR="00400B3B">
        <w:rPr>
          <w:rFonts w:ascii="Times New Roman" w:hAnsi="Times New Roman" w:cs="Times New Roman"/>
          <w:sz w:val="26"/>
          <w:szCs w:val="26"/>
        </w:rPr>
        <w:t xml:space="preserve"> such</w:t>
      </w:r>
      <w:r w:rsidRPr="007C6F94" w:rsidR="000C25A0">
        <w:rPr>
          <w:rFonts w:ascii="Times New Roman" w:hAnsi="Times New Roman" w:cs="Times New Roman"/>
          <w:sz w:val="26"/>
          <w:szCs w:val="26"/>
        </w:rPr>
        <w:t xml:space="preserve"> </w:t>
      </w:r>
      <w:r w:rsidRPr="007C6F94">
        <w:rPr>
          <w:rFonts w:ascii="Times New Roman" w:hAnsi="Times New Roman" w:cs="Times New Roman"/>
          <w:sz w:val="26"/>
          <w:szCs w:val="26"/>
        </w:rPr>
        <w:t xml:space="preserve">records from the </w:t>
      </w:r>
      <w:r w:rsidRPr="007C6F94" w:rsidR="00400B3B">
        <w:rPr>
          <w:rFonts w:ascii="Times New Roman" w:hAnsi="Times New Roman" w:cs="Times New Roman"/>
          <w:sz w:val="26"/>
          <w:szCs w:val="26"/>
        </w:rPr>
        <w:t xml:space="preserve">California Public Utilities Commission (“Commission”) </w:t>
      </w:r>
      <w:r w:rsidRPr="007C6F94">
        <w:rPr>
          <w:rFonts w:ascii="Times New Roman" w:hAnsi="Times New Roman" w:cs="Times New Roman"/>
          <w:sz w:val="26"/>
          <w:szCs w:val="26"/>
        </w:rPr>
        <w:t xml:space="preserve">pursuant to the California Public Records Act (“CPRA” or “PRA”). </w:t>
      </w:r>
      <w:r w:rsidR="004C313D">
        <w:rPr>
          <w:rFonts w:ascii="Times New Roman" w:hAnsi="Times New Roman" w:cs="Times New Roman"/>
          <w:sz w:val="26"/>
          <w:szCs w:val="26"/>
        </w:rPr>
        <w:t xml:space="preserve"> </w:t>
      </w:r>
      <w:r w:rsidRPr="007C6F94">
        <w:rPr>
          <w:rFonts w:ascii="Times New Roman" w:hAnsi="Times New Roman" w:cs="Times New Roman"/>
          <w:sz w:val="26"/>
          <w:szCs w:val="26"/>
        </w:rPr>
        <w:t xml:space="preserve">On </w:t>
      </w:r>
      <w:r w:rsidRPr="007C6F94" w:rsidR="00244481">
        <w:rPr>
          <w:rFonts w:ascii="Times New Roman" w:hAnsi="Times New Roman" w:cs="Times New Roman"/>
          <w:sz w:val="26"/>
          <w:szCs w:val="26"/>
        </w:rPr>
        <w:t xml:space="preserve">December </w:t>
      </w:r>
      <w:r w:rsidRPr="007C6F94" w:rsidR="000C25A0">
        <w:rPr>
          <w:rFonts w:ascii="Times New Roman" w:hAnsi="Times New Roman" w:cs="Times New Roman"/>
          <w:sz w:val="26"/>
          <w:szCs w:val="26"/>
        </w:rPr>
        <w:t>30</w:t>
      </w:r>
      <w:r w:rsidRPr="007C6F94">
        <w:rPr>
          <w:rFonts w:ascii="Times New Roman" w:hAnsi="Times New Roman" w:cs="Times New Roman"/>
          <w:sz w:val="26"/>
          <w:szCs w:val="26"/>
        </w:rPr>
        <w:t>, 20</w:t>
      </w:r>
      <w:r w:rsidRPr="007C6F94" w:rsidR="000C25A0">
        <w:rPr>
          <w:rFonts w:ascii="Times New Roman" w:hAnsi="Times New Roman" w:cs="Times New Roman"/>
          <w:sz w:val="26"/>
          <w:szCs w:val="26"/>
        </w:rPr>
        <w:t>20</w:t>
      </w:r>
      <w:r w:rsidRPr="007C6F94" w:rsidR="00EB647F">
        <w:rPr>
          <w:rFonts w:ascii="Times New Roman" w:hAnsi="Times New Roman" w:cs="Times New Roman"/>
          <w:sz w:val="26"/>
          <w:szCs w:val="26"/>
        </w:rPr>
        <w:t>, staff for</w:t>
      </w:r>
      <w:r w:rsidRPr="007C6F94">
        <w:rPr>
          <w:rFonts w:ascii="Times New Roman" w:hAnsi="Times New Roman" w:cs="Times New Roman"/>
          <w:sz w:val="26"/>
          <w:szCs w:val="26"/>
        </w:rPr>
        <w:t xml:space="preserve"> the Legal Division of the </w:t>
      </w:r>
      <w:r w:rsidRPr="007C6F94" w:rsidR="00400B3B">
        <w:rPr>
          <w:rFonts w:ascii="Times New Roman" w:hAnsi="Times New Roman" w:cs="Times New Roman"/>
          <w:sz w:val="26"/>
          <w:szCs w:val="26"/>
        </w:rPr>
        <w:t xml:space="preserve">Commission </w:t>
      </w:r>
      <w:r w:rsidRPr="007C6F94" w:rsidR="000C25A0">
        <w:rPr>
          <w:rFonts w:ascii="Times New Roman" w:hAnsi="Times New Roman" w:cs="Times New Roman"/>
          <w:sz w:val="26"/>
          <w:szCs w:val="26"/>
        </w:rPr>
        <w:t xml:space="preserve">informed Mr. Rittiman of its determination </w:t>
      </w:r>
      <w:r w:rsidRPr="007C6F94">
        <w:rPr>
          <w:rFonts w:ascii="Times New Roman" w:hAnsi="Times New Roman" w:cs="Times New Roman"/>
          <w:sz w:val="26"/>
          <w:szCs w:val="26"/>
        </w:rPr>
        <w:t>that the requested records were exempt from disclosure</w:t>
      </w:r>
      <w:r w:rsidRPr="007C6F94" w:rsidR="000C25A0">
        <w:rPr>
          <w:rFonts w:ascii="Times New Roman" w:hAnsi="Times New Roman" w:cs="Times New Roman"/>
          <w:sz w:val="26"/>
          <w:szCs w:val="26"/>
        </w:rPr>
        <w:t xml:space="preserve"> pursuant to </w:t>
      </w:r>
      <w:r w:rsidRPr="007C6F94" w:rsidR="00F56967">
        <w:rPr>
          <w:rFonts w:ascii="Times New Roman" w:hAnsi="Times New Roman" w:cs="Times New Roman"/>
          <w:sz w:val="26"/>
          <w:szCs w:val="26"/>
        </w:rPr>
        <w:t xml:space="preserve">the Governor’s Correspondence Exemption under </w:t>
      </w:r>
      <w:r w:rsidRPr="007C6F94" w:rsidR="000C25A0">
        <w:rPr>
          <w:rFonts w:ascii="Times New Roman" w:hAnsi="Times New Roman" w:cs="Times New Roman"/>
          <w:sz w:val="26"/>
          <w:szCs w:val="26"/>
        </w:rPr>
        <w:t xml:space="preserve">California Government Code </w:t>
      </w:r>
      <w:r w:rsidR="004C313D">
        <w:rPr>
          <w:rFonts w:ascii="Times New Roman" w:hAnsi="Times New Roman" w:cs="Times New Roman"/>
          <w:sz w:val="26"/>
          <w:szCs w:val="26"/>
        </w:rPr>
        <w:t>S</w:t>
      </w:r>
      <w:r w:rsidRPr="007C6F94" w:rsidR="000C25A0">
        <w:rPr>
          <w:rFonts w:ascii="Times New Roman" w:hAnsi="Times New Roman" w:cs="Times New Roman"/>
          <w:sz w:val="26"/>
          <w:szCs w:val="26"/>
        </w:rPr>
        <w:t>ection 6254(l)</w:t>
      </w:r>
      <w:r w:rsidRPr="007C6F94" w:rsidR="00F56967">
        <w:rPr>
          <w:rFonts w:ascii="Times New Roman" w:hAnsi="Times New Roman" w:cs="Times New Roman"/>
          <w:sz w:val="26"/>
          <w:szCs w:val="26"/>
        </w:rPr>
        <w:t>;</w:t>
      </w:r>
      <w:r w:rsidRPr="007C6F94" w:rsidR="00244481">
        <w:rPr>
          <w:rFonts w:ascii="Times New Roman" w:hAnsi="Times New Roman" w:cs="Times New Roman"/>
          <w:sz w:val="26"/>
          <w:szCs w:val="26"/>
        </w:rPr>
        <w:t xml:space="preserve"> </w:t>
      </w:r>
      <w:r w:rsidRPr="007C6F94" w:rsidR="00F56967">
        <w:rPr>
          <w:rFonts w:ascii="Times New Roman" w:hAnsi="Times New Roman" w:cs="Times New Roman"/>
          <w:sz w:val="26"/>
          <w:szCs w:val="26"/>
        </w:rPr>
        <w:t xml:space="preserve">the lawyer-client privilege under </w:t>
      </w:r>
      <w:r w:rsidRPr="007C6F94" w:rsidR="00244481">
        <w:rPr>
          <w:rFonts w:ascii="Times New Roman" w:hAnsi="Times New Roman" w:cs="Times New Roman"/>
          <w:sz w:val="26"/>
          <w:szCs w:val="26"/>
        </w:rPr>
        <w:t xml:space="preserve">California Evidence Code </w:t>
      </w:r>
      <w:r w:rsidR="004C313D">
        <w:rPr>
          <w:rFonts w:ascii="Times New Roman" w:hAnsi="Times New Roman" w:cs="Times New Roman"/>
          <w:sz w:val="26"/>
          <w:szCs w:val="26"/>
        </w:rPr>
        <w:t>S</w:t>
      </w:r>
      <w:r w:rsidRPr="007C6F94" w:rsidR="00244481">
        <w:rPr>
          <w:rFonts w:ascii="Times New Roman" w:hAnsi="Times New Roman" w:cs="Times New Roman"/>
          <w:sz w:val="26"/>
          <w:szCs w:val="26"/>
        </w:rPr>
        <w:t xml:space="preserve">ection 950, </w:t>
      </w:r>
      <w:r w:rsidRPr="007C6F94" w:rsidR="00244481">
        <w:rPr>
          <w:rFonts w:ascii="Times New Roman" w:hAnsi="Times New Roman" w:cs="Times New Roman"/>
          <w:i/>
          <w:iCs/>
          <w:sz w:val="26"/>
          <w:szCs w:val="26"/>
        </w:rPr>
        <w:t>et seq.</w:t>
      </w:r>
      <w:r w:rsidRPr="007C6F94" w:rsidR="00F56967">
        <w:rPr>
          <w:rFonts w:ascii="Times New Roman" w:hAnsi="Times New Roman" w:cs="Times New Roman"/>
          <w:sz w:val="26"/>
          <w:szCs w:val="26"/>
        </w:rPr>
        <w:t>;</w:t>
      </w:r>
      <w:r w:rsidRPr="007C6F94" w:rsidR="00244481">
        <w:rPr>
          <w:rFonts w:ascii="Times New Roman" w:hAnsi="Times New Roman" w:cs="Times New Roman"/>
          <w:sz w:val="26"/>
          <w:szCs w:val="26"/>
        </w:rPr>
        <w:t xml:space="preserve"> </w:t>
      </w:r>
      <w:r w:rsidRPr="007C6F94" w:rsidR="00F56967">
        <w:rPr>
          <w:rFonts w:ascii="Times New Roman" w:hAnsi="Times New Roman" w:cs="Times New Roman"/>
          <w:sz w:val="26"/>
          <w:szCs w:val="26"/>
        </w:rPr>
        <w:t xml:space="preserve">the attorney work product doctrine under </w:t>
      </w:r>
      <w:r w:rsidRPr="007C6F94" w:rsidR="00244481">
        <w:rPr>
          <w:rFonts w:ascii="Times New Roman" w:hAnsi="Times New Roman" w:cs="Times New Roman"/>
          <w:sz w:val="26"/>
          <w:szCs w:val="26"/>
        </w:rPr>
        <w:t xml:space="preserve">California Code of Civil Procedure </w:t>
      </w:r>
      <w:r w:rsidR="004C313D">
        <w:rPr>
          <w:rFonts w:ascii="Times New Roman" w:hAnsi="Times New Roman" w:cs="Times New Roman"/>
          <w:sz w:val="26"/>
          <w:szCs w:val="26"/>
        </w:rPr>
        <w:t>S</w:t>
      </w:r>
      <w:r w:rsidRPr="007C6F94" w:rsidR="00244481">
        <w:rPr>
          <w:rFonts w:ascii="Times New Roman" w:hAnsi="Times New Roman" w:cs="Times New Roman"/>
          <w:sz w:val="26"/>
          <w:szCs w:val="26"/>
        </w:rPr>
        <w:t xml:space="preserve">ection 2018.010, </w:t>
      </w:r>
      <w:r w:rsidRPr="007C6F94" w:rsidR="00244481">
        <w:rPr>
          <w:rFonts w:ascii="Times New Roman" w:hAnsi="Times New Roman" w:cs="Times New Roman"/>
          <w:i/>
          <w:iCs/>
          <w:sz w:val="26"/>
          <w:szCs w:val="26"/>
        </w:rPr>
        <w:t>et seq.</w:t>
      </w:r>
      <w:r w:rsidRPr="007C6F94" w:rsidR="00244481">
        <w:rPr>
          <w:rFonts w:ascii="Times New Roman" w:hAnsi="Times New Roman" w:cs="Times New Roman"/>
          <w:sz w:val="26"/>
          <w:szCs w:val="26"/>
        </w:rPr>
        <w:t>, and</w:t>
      </w:r>
      <w:r w:rsidRPr="007C6F94" w:rsidR="0056779A">
        <w:rPr>
          <w:rFonts w:ascii="Times New Roman" w:hAnsi="Times New Roman" w:cs="Times New Roman"/>
          <w:sz w:val="26"/>
          <w:szCs w:val="26"/>
        </w:rPr>
        <w:t>/or</w:t>
      </w:r>
      <w:r w:rsidRPr="007C6F94" w:rsidR="00244481">
        <w:rPr>
          <w:rFonts w:ascii="Times New Roman" w:hAnsi="Times New Roman" w:cs="Times New Roman"/>
          <w:sz w:val="26"/>
          <w:szCs w:val="26"/>
        </w:rPr>
        <w:t xml:space="preserve"> the deliberative process privilege (</w:t>
      </w:r>
      <w:r w:rsidR="00BA163C">
        <w:rPr>
          <w:rFonts w:ascii="Times New Roman" w:hAnsi="Times New Roman" w:cs="Times New Roman"/>
          <w:i/>
          <w:iCs/>
          <w:sz w:val="26"/>
          <w:szCs w:val="26"/>
        </w:rPr>
        <w:t>s</w:t>
      </w:r>
      <w:r w:rsidRPr="007C6F94" w:rsidR="00244481">
        <w:rPr>
          <w:rFonts w:ascii="Times New Roman" w:hAnsi="Times New Roman" w:cs="Times New Roman"/>
          <w:i/>
          <w:iCs/>
          <w:sz w:val="26"/>
          <w:szCs w:val="26"/>
        </w:rPr>
        <w:t>ee, e.g., Times Mirror Co. v. Superior Court</w:t>
      </w:r>
      <w:r w:rsidRPr="007C6F94" w:rsidR="00D46A8B">
        <w:rPr>
          <w:rFonts w:ascii="Times New Roman" w:hAnsi="Times New Roman" w:cs="Times New Roman"/>
          <w:sz w:val="26"/>
          <w:szCs w:val="26"/>
        </w:rPr>
        <w:t>,</w:t>
      </w:r>
      <w:r w:rsidRPr="007C6F94" w:rsidR="00244481">
        <w:rPr>
          <w:rFonts w:ascii="Times New Roman" w:hAnsi="Times New Roman" w:cs="Times New Roman"/>
          <w:sz w:val="26"/>
          <w:szCs w:val="26"/>
        </w:rPr>
        <w:t xml:space="preserve"> 53 Cal.3d 1325</w:t>
      </w:r>
      <w:r w:rsidRPr="007C6F94" w:rsidR="00D46A8B">
        <w:rPr>
          <w:rFonts w:ascii="Times New Roman" w:hAnsi="Times New Roman" w:cs="Times New Roman"/>
          <w:sz w:val="26"/>
          <w:szCs w:val="26"/>
        </w:rPr>
        <w:t xml:space="preserve"> (1991</w:t>
      </w:r>
      <w:r w:rsidRPr="007C6F94" w:rsidR="00244481">
        <w:rPr>
          <w:rFonts w:ascii="Times New Roman" w:hAnsi="Times New Roman" w:cs="Times New Roman"/>
          <w:sz w:val="26"/>
          <w:szCs w:val="26"/>
        </w:rPr>
        <w:t>).</w:t>
      </w:r>
    </w:p>
    <w:p w:rsidRPr="007C6F94" w:rsidR="002E3D1C" w:rsidP="002E3D1C" w:rsidRDefault="002E3D1C" w14:paraId="3106C1B9" w14:textId="77777777">
      <w:pPr>
        <w:pStyle w:val="Body"/>
        <w:spacing w:after="0" w:line="240" w:lineRule="auto"/>
        <w:rPr>
          <w:rFonts w:ascii="Times New Roman" w:hAnsi="Times New Roman" w:cs="Times New Roman"/>
          <w:sz w:val="26"/>
          <w:szCs w:val="26"/>
        </w:rPr>
      </w:pPr>
    </w:p>
    <w:p w:rsidRPr="007C6F94" w:rsidR="003C21A8" w:rsidP="002E3D1C" w:rsidRDefault="002D71EB" w14:paraId="47954B52" w14:textId="6CA22A6A">
      <w:pPr>
        <w:pStyle w:val="Body"/>
        <w:spacing w:after="0" w:line="240" w:lineRule="auto"/>
        <w:rPr>
          <w:rFonts w:ascii="Times New Roman" w:hAnsi="Times New Roman" w:cs="Times New Roman"/>
          <w:sz w:val="26"/>
          <w:szCs w:val="26"/>
        </w:rPr>
      </w:pPr>
      <w:r w:rsidRPr="007C6F94">
        <w:rPr>
          <w:rFonts w:ascii="Times New Roman" w:hAnsi="Times New Roman" w:cs="Times New Roman"/>
          <w:sz w:val="26"/>
          <w:szCs w:val="26"/>
        </w:rPr>
        <w:t>This resolution denies Mr. Rittiman’s subsequent appeal</w:t>
      </w:r>
      <w:r w:rsidRPr="007C6F94" w:rsidR="002009A6">
        <w:rPr>
          <w:rFonts w:ascii="Times New Roman" w:hAnsi="Times New Roman" w:cs="Times New Roman"/>
          <w:sz w:val="26"/>
          <w:szCs w:val="26"/>
        </w:rPr>
        <w:t xml:space="preserve"> </w:t>
      </w:r>
      <w:r w:rsidRPr="007C6F94">
        <w:rPr>
          <w:rFonts w:ascii="Times New Roman" w:hAnsi="Times New Roman" w:cs="Times New Roman"/>
          <w:sz w:val="26"/>
          <w:szCs w:val="26"/>
        </w:rPr>
        <w:t>of the Commission</w:t>
      </w:r>
      <w:r w:rsidRPr="007C6F94" w:rsidR="00D72B23">
        <w:rPr>
          <w:rFonts w:ascii="Times New Roman" w:hAnsi="Times New Roman" w:cs="Times New Roman"/>
          <w:sz w:val="26"/>
          <w:szCs w:val="26"/>
        </w:rPr>
        <w:t xml:space="preserve"> Staff</w:t>
      </w:r>
      <w:r w:rsidRPr="007C6F94">
        <w:rPr>
          <w:rFonts w:ascii="Times New Roman" w:hAnsi="Times New Roman" w:cs="Times New Roman"/>
          <w:sz w:val="26"/>
          <w:szCs w:val="26"/>
        </w:rPr>
        <w:t xml:space="preserve"> determination that the records sought are exempt from disclosure. </w:t>
      </w:r>
      <w:r w:rsidR="004C313D">
        <w:rPr>
          <w:rFonts w:ascii="Times New Roman" w:hAnsi="Times New Roman" w:cs="Times New Roman"/>
          <w:sz w:val="26"/>
          <w:szCs w:val="26"/>
        </w:rPr>
        <w:t xml:space="preserve"> </w:t>
      </w:r>
      <w:r w:rsidRPr="007C6F94">
        <w:rPr>
          <w:rFonts w:ascii="Times New Roman" w:hAnsi="Times New Roman" w:cs="Times New Roman"/>
          <w:sz w:val="26"/>
          <w:szCs w:val="26"/>
        </w:rPr>
        <w:t>Having reviewed the request,</w:t>
      </w:r>
      <w:r w:rsidRPr="007C6F94" w:rsidR="00F56967">
        <w:rPr>
          <w:rFonts w:ascii="Times New Roman" w:hAnsi="Times New Roman" w:cs="Times New Roman"/>
          <w:sz w:val="26"/>
          <w:szCs w:val="26"/>
        </w:rPr>
        <w:t xml:space="preserve"> the responsive documents clearly fall within one or more of the privileges or exemptions identified above</w:t>
      </w:r>
      <w:r w:rsidRPr="007C6F94" w:rsidR="009D34CC">
        <w:rPr>
          <w:rFonts w:ascii="Times New Roman" w:hAnsi="Times New Roman" w:cs="Times New Roman"/>
          <w:sz w:val="26"/>
          <w:szCs w:val="26"/>
        </w:rPr>
        <w:t>, and the Commission continues to invoke the protections afforded therein.</w:t>
      </w:r>
    </w:p>
    <w:p w:rsidRPr="007C6F94" w:rsidR="00F56967" w:rsidP="002E3D1C" w:rsidRDefault="00F56967" w14:paraId="432E18D7" w14:textId="77777777">
      <w:pPr>
        <w:pStyle w:val="Body"/>
        <w:spacing w:after="0" w:line="240" w:lineRule="auto"/>
        <w:rPr>
          <w:rFonts w:ascii="Times New Roman" w:hAnsi="Times New Roman" w:cs="Times New Roman"/>
          <w:sz w:val="26"/>
          <w:szCs w:val="26"/>
        </w:rPr>
      </w:pPr>
    </w:p>
    <w:p w:rsidRPr="007C6F94" w:rsidR="003C21A8" w:rsidP="002E3D1C" w:rsidRDefault="003C21A8" w14:paraId="45776985" w14:textId="77777777">
      <w:pPr>
        <w:rPr>
          <w:rFonts w:ascii="Times New Roman" w:hAnsi="Times New Roman"/>
          <w:b/>
          <w:bCs/>
          <w:szCs w:val="26"/>
          <w:u w:val="single"/>
        </w:rPr>
      </w:pPr>
      <w:r w:rsidRPr="007C6F94">
        <w:rPr>
          <w:rFonts w:ascii="Times New Roman" w:hAnsi="Times New Roman"/>
          <w:b/>
          <w:bCs/>
          <w:szCs w:val="26"/>
          <w:u w:val="single"/>
        </w:rPr>
        <w:t>BACKGROUND</w:t>
      </w:r>
    </w:p>
    <w:p w:rsidRPr="007C6F94" w:rsidR="003C21A8" w:rsidP="002E3D1C" w:rsidRDefault="003C21A8" w14:paraId="11180044" w14:textId="77777777">
      <w:pPr>
        <w:rPr>
          <w:rFonts w:ascii="Times New Roman" w:hAnsi="Times New Roman"/>
          <w:szCs w:val="26"/>
        </w:rPr>
      </w:pPr>
    </w:p>
    <w:p w:rsidRPr="007C6F94" w:rsidR="00EB647F" w:rsidP="002E3D1C" w:rsidRDefault="00EB647F" w14:paraId="4502E27E" w14:textId="0AFF4572">
      <w:pPr>
        <w:rPr>
          <w:rFonts w:ascii="Times New Roman" w:hAnsi="Times New Roman" w:eastAsia="Palatino Linotype"/>
          <w:szCs w:val="26"/>
        </w:rPr>
      </w:pPr>
      <w:r w:rsidRPr="007C6F94">
        <w:rPr>
          <w:rFonts w:ascii="Times New Roman" w:hAnsi="Times New Roman" w:eastAsia="Palatino Linotype"/>
          <w:szCs w:val="26"/>
        </w:rPr>
        <w:t xml:space="preserve">The Commission has exercised its discretion under Public Utilities Code </w:t>
      </w:r>
      <w:r w:rsidR="004C313D">
        <w:rPr>
          <w:rFonts w:ascii="Times New Roman" w:hAnsi="Times New Roman" w:eastAsia="Palatino Linotype"/>
          <w:szCs w:val="26"/>
        </w:rPr>
        <w:t>S</w:t>
      </w:r>
      <w:r w:rsidRPr="007C6F94" w:rsidR="00400B3B">
        <w:rPr>
          <w:rFonts w:ascii="Times New Roman" w:hAnsi="Times New Roman" w:eastAsia="Palatino Linotype"/>
          <w:szCs w:val="26"/>
        </w:rPr>
        <w:t>ection</w:t>
      </w:r>
      <w:r w:rsidRPr="007C6F94">
        <w:rPr>
          <w:rFonts w:ascii="Times New Roman" w:hAnsi="Times New Roman" w:eastAsia="Palatino Linotype"/>
          <w:szCs w:val="26"/>
        </w:rPr>
        <w:t xml:space="preserve"> 583, and implemented its responsibility under Government Code </w:t>
      </w:r>
      <w:r w:rsidR="004C313D">
        <w:rPr>
          <w:rFonts w:ascii="Times New Roman" w:hAnsi="Times New Roman" w:eastAsia="Palatino Linotype"/>
          <w:szCs w:val="26"/>
        </w:rPr>
        <w:t>S</w:t>
      </w:r>
      <w:r w:rsidRPr="007C6F94" w:rsidR="00400B3B">
        <w:rPr>
          <w:rFonts w:ascii="Times New Roman" w:hAnsi="Times New Roman" w:eastAsia="Palatino Linotype"/>
          <w:szCs w:val="26"/>
        </w:rPr>
        <w:t>ection</w:t>
      </w:r>
      <w:r w:rsidRPr="007C6F94">
        <w:rPr>
          <w:rFonts w:ascii="Times New Roman" w:hAnsi="Times New Roman" w:eastAsia="Palatino Linotype"/>
          <w:szCs w:val="26"/>
        </w:rPr>
        <w:t xml:space="preserve"> 6253.4(a), by adopting the guidelines for public access to Commission records embodied in </w:t>
      </w:r>
      <w:r w:rsidRPr="007C6F94" w:rsidR="00400B3B">
        <w:rPr>
          <w:rFonts w:ascii="Times New Roman" w:hAnsi="Times New Roman" w:eastAsia="Palatino Linotype"/>
          <w:szCs w:val="26"/>
        </w:rPr>
        <w:t>General Order (“</w:t>
      </w:r>
      <w:r w:rsidRPr="007C6F94">
        <w:rPr>
          <w:rFonts w:ascii="Times New Roman" w:hAnsi="Times New Roman" w:eastAsia="Palatino Linotype"/>
          <w:szCs w:val="26"/>
        </w:rPr>
        <w:t>G.O.</w:t>
      </w:r>
      <w:r w:rsidRPr="007C6F94" w:rsidR="00400B3B">
        <w:rPr>
          <w:rFonts w:ascii="Times New Roman" w:hAnsi="Times New Roman" w:eastAsia="Palatino Linotype"/>
          <w:szCs w:val="26"/>
        </w:rPr>
        <w:t>”)</w:t>
      </w:r>
      <w:r w:rsidRPr="007C6F94">
        <w:rPr>
          <w:rFonts w:ascii="Times New Roman" w:hAnsi="Times New Roman" w:eastAsia="Palatino Linotype"/>
          <w:szCs w:val="26"/>
        </w:rPr>
        <w:t xml:space="preserve"> 66-D.</w:t>
      </w:r>
      <w:r w:rsidR="00384EAC">
        <w:rPr>
          <w:rFonts w:ascii="Times New Roman" w:hAnsi="Times New Roman" w:eastAsia="Palatino Linotype"/>
          <w:szCs w:val="26"/>
        </w:rPr>
        <w:t xml:space="preserve"> </w:t>
      </w:r>
      <w:r w:rsidRPr="007C6F94">
        <w:rPr>
          <w:rFonts w:ascii="Times New Roman" w:hAnsi="Times New Roman" w:eastAsia="Palatino Linotype"/>
          <w:szCs w:val="26"/>
        </w:rPr>
        <w:t xml:space="preserve"> (</w:t>
      </w:r>
      <w:r w:rsidRPr="00F113D1" w:rsidR="00562A0A">
        <w:rPr>
          <w:rFonts w:ascii="Times New Roman" w:hAnsi="Times New Roman" w:eastAsia="Palatino Linotype"/>
          <w:i/>
          <w:iCs/>
          <w:szCs w:val="26"/>
        </w:rPr>
        <w:t>See</w:t>
      </w:r>
      <w:r w:rsidRPr="007C6F94" w:rsidR="00562A0A">
        <w:rPr>
          <w:rFonts w:ascii="Times New Roman" w:hAnsi="Times New Roman" w:eastAsia="Palatino Linotype"/>
          <w:szCs w:val="26"/>
        </w:rPr>
        <w:t xml:space="preserve"> Order Instituting Rulemaking to Improve Public Access to Public Records Pursuant to the California Public Records Act (R.14-11-001), last amended by Decision 20-08-031</w:t>
      </w:r>
      <w:r w:rsidRPr="007C6F94">
        <w:rPr>
          <w:rFonts w:ascii="Times New Roman" w:hAnsi="Times New Roman" w:eastAsia="Palatino Linotype"/>
          <w:szCs w:val="26"/>
        </w:rPr>
        <w:t>)</w:t>
      </w:r>
      <w:r w:rsidRPr="007C6F94" w:rsidR="00562A0A">
        <w:rPr>
          <w:rFonts w:ascii="Times New Roman" w:hAnsi="Times New Roman" w:eastAsia="Palatino Linotype"/>
          <w:szCs w:val="26"/>
        </w:rPr>
        <w:t>.</w:t>
      </w:r>
    </w:p>
    <w:p w:rsidRPr="007C6F94" w:rsidR="00EB647F" w:rsidP="002E3D1C" w:rsidRDefault="00EB647F" w14:paraId="1AB7CB46" w14:textId="2A617AC3">
      <w:pPr>
        <w:rPr>
          <w:rFonts w:ascii="Times New Roman" w:hAnsi="Times New Roman" w:eastAsia="Palatino Linotype"/>
          <w:szCs w:val="26"/>
        </w:rPr>
      </w:pPr>
    </w:p>
    <w:p w:rsidRPr="007C6F94" w:rsidR="00EB647F" w:rsidP="002E3D1C" w:rsidRDefault="00EB647F" w14:paraId="17FE0B8F" w14:textId="4FE9A94C">
      <w:pPr>
        <w:rPr>
          <w:rFonts w:ascii="Times New Roman" w:hAnsi="Times New Roman" w:eastAsia="Palatino Linotype"/>
          <w:szCs w:val="26"/>
        </w:rPr>
      </w:pPr>
      <w:r w:rsidRPr="007C6F94">
        <w:rPr>
          <w:rFonts w:ascii="Times New Roman" w:hAnsi="Times New Roman" w:eastAsia="Palatino Linotype"/>
          <w:szCs w:val="26"/>
        </w:rPr>
        <w:lastRenderedPageBreak/>
        <w:t xml:space="preserve">When the Commission receives a </w:t>
      </w:r>
      <w:r w:rsidRPr="007C6F94" w:rsidR="00562A0A">
        <w:rPr>
          <w:rFonts w:ascii="Times New Roman" w:hAnsi="Times New Roman" w:eastAsia="Palatino Linotype"/>
          <w:szCs w:val="26"/>
        </w:rPr>
        <w:t xml:space="preserve">CPRA </w:t>
      </w:r>
      <w:r w:rsidRPr="007C6F94">
        <w:rPr>
          <w:rFonts w:ascii="Times New Roman" w:hAnsi="Times New Roman" w:eastAsia="Palatino Linotype"/>
          <w:szCs w:val="26"/>
        </w:rPr>
        <w:t>request</w:t>
      </w:r>
      <w:r w:rsidRPr="007C6F94" w:rsidR="00562A0A">
        <w:rPr>
          <w:rFonts w:ascii="Times New Roman" w:hAnsi="Times New Roman" w:eastAsia="Palatino Linotype"/>
          <w:szCs w:val="26"/>
        </w:rPr>
        <w:t xml:space="preserve">, </w:t>
      </w:r>
      <w:r w:rsidRPr="007C6F94">
        <w:rPr>
          <w:rFonts w:ascii="Times New Roman" w:hAnsi="Times New Roman" w:eastAsia="Palatino Linotype"/>
          <w:szCs w:val="26"/>
        </w:rPr>
        <w:t>the Commission</w:t>
      </w:r>
      <w:r w:rsidRPr="007C6F94" w:rsidR="00562A0A">
        <w:rPr>
          <w:rFonts w:ascii="Times New Roman" w:hAnsi="Times New Roman" w:eastAsia="Palatino Linotype"/>
          <w:szCs w:val="26"/>
        </w:rPr>
        <w:t>’s</w:t>
      </w:r>
      <w:r w:rsidRPr="007C6F94">
        <w:rPr>
          <w:rFonts w:ascii="Times New Roman" w:hAnsi="Times New Roman" w:eastAsia="Palatino Linotype"/>
          <w:szCs w:val="26"/>
        </w:rPr>
        <w:t xml:space="preserve"> Legal Division determine</w:t>
      </w:r>
      <w:r w:rsidRPr="007C6F94" w:rsidR="00562A0A">
        <w:rPr>
          <w:rFonts w:ascii="Times New Roman" w:hAnsi="Times New Roman" w:eastAsia="Palatino Linotype"/>
          <w:szCs w:val="26"/>
        </w:rPr>
        <w:t>s</w:t>
      </w:r>
      <w:r w:rsidRPr="007C6F94">
        <w:rPr>
          <w:rFonts w:ascii="Times New Roman" w:hAnsi="Times New Roman" w:eastAsia="Palatino Linotype"/>
          <w:szCs w:val="26"/>
        </w:rPr>
        <w:t xml:space="preserve"> if the information should be released or withheld</w:t>
      </w:r>
      <w:r w:rsidRPr="007C6F94" w:rsidR="00562A0A">
        <w:rPr>
          <w:rFonts w:ascii="Times New Roman" w:hAnsi="Times New Roman" w:eastAsia="Palatino Linotype"/>
          <w:szCs w:val="26"/>
        </w:rPr>
        <w:t xml:space="preserve"> pursuant to statutory exemptions or other applicable privileges</w:t>
      </w:r>
      <w:r w:rsidRPr="007C6F94">
        <w:rPr>
          <w:rFonts w:ascii="Times New Roman" w:hAnsi="Times New Roman" w:eastAsia="Palatino Linotype"/>
          <w:szCs w:val="26"/>
        </w:rPr>
        <w:t>.</w:t>
      </w:r>
      <w:r w:rsidR="00F113D1">
        <w:rPr>
          <w:rFonts w:ascii="Times New Roman" w:hAnsi="Times New Roman" w:eastAsia="Palatino Linotype"/>
          <w:szCs w:val="26"/>
        </w:rPr>
        <w:t xml:space="preserve"> </w:t>
      </w:r>
      <w:r w:rsidRPr="007C6F94">
        <w:rPr>
          <w:rFonts w:ascii="Times New Roman" w:hAnsi="Times New Roman" w:eastAsia="Palatino Linotype"/>
          <w:szCs w:val="26"/>
        </w:rPr>
        <w:t xml:space="preserve"> If </w:t>
      </w:r>
      <w:r w:rsidRPr="007C6F94" w:rsidR="00562A0A">
        <w:rPr>
          <w:rFonts w:ascii="Times New Roman" w:hAnsi="Times New Roman" w:eastAsia="Palatino Linotype"/>
          <w:szCs w:val="26"/>
        </w:rPr>
        <w:t>documents are withheld</w:t>
      </w:r>
      <w:r w:rsidRPr="007C6F94">
        <w:rPr>
          <w:rFonts w:ascii="Times New Roman" w:hAnsi="Times New Roman" w:eastAsia="Palatino Linotype"/>
          <w:szCs w:val="26"/>
        </w:rPr>
        <w:t xml:space="preserve">, the Legal Division will inform the CPRA requestor and not release the information. </w:t>
      </w:r>
      <w:r w:rsidR="00384EAC">
        <w:rPr>
          <w:rFonts w:ascii="Times New Roman" w:hAnsi="Times New Roman" w:eastAsia="Palatino Linotype"/>
          <w:szCs w:val="26"/>
        </w:rPr>
        <w:t xml:space="preserve"> </w:t>
      </w:r>
      <w:r w:rsidRPr="007C6F94">
        <w:rPr>
          <w:rFonts w:ascii="Times New Roman" w:hAnsi="Times New Roman" w:eastAsia="Palatino Linotype"/>
          <w:szCs w:val="26"/>
        </w:rPr>
        <w:t>(</w:t>
      </w:r>
      <w:r w:rsidRPr="00F113D1">
        <w:rPr>
          <w:rFonts w:ascii="Times New Roman" w:hAnsi="Times New Roman" w:eastAsia="Palatino Linotype"/>
          <w:i/>
          <w:iCs/>
          <w:szCs w:val="26"/>
        </w:rPr>
        <w:t>See</w:t>
      </w:r>
      <w:r w:rsidRPr="007C6F94">
        <w:rPr>
          <w:rFonts w:ascii="Times New Roman" w:hAnsi="Times New Roman" w:eastAsia="Palatino Linotype"/>
          <w:szCs w:val="26"/>
        </w:rPr>
        <w:t xml:space="preserve"> G.O. 66-D, </w:t>
      </w:r>
      <w:r w:rsidR="00F113D1">
        <w:rPr>
          <w:rFonts w:ascii="Times New Roman" w:hAnsi="Times New Roman" w:eastAsia="Palatino Linotype"/>
          <w:szCs w:val="26"/>
        </w:rPr>
        <w:br/>
      </w:r>
      <w:r w:rsidRPr="007C6F94">
        <w:rPr>
          <w:rFonts w:ascii="Times New Roman" w:hAnsi="Times New Roman" w:eastAsia="Palatino Linotype"/>
          <w:szCs w:val="26"/>
        </w:rPr>
        <w:t xml:space="preserve">§ 5.5(d).) </w:t>
      </w:r>
      <w:r w:rsidR="00F113D1">
        <w:rPr>
          <w:rFonts w:ascii="Times New Roman" w:hAnsi="Times New Roman" w:eastAsia="Palatino Linotype"/>
          <w:szCs w:val="26"/>
        </w:rPr>
        <w:t xml:space="preserve"> </w:t>
      </w:r>
      <w:r w:rsidRPr="007C6F94">
        <w:rPr>
          <w:rFonts w:ascii="Times New Roman" w:hAnsi="Times New Roman" w:eastAsia="Palatino Linotype"/>
          <w:szCs w:val="26"/>
        </w:rPr>
        <w:t xml:space="preserve">The requestor may seek reconsideration of the matter by the full Commission by submitting a “Public Information Appeal Form” within ten days </w:t>
      </w:r>
      <w:r w:rsidRPr="007C6F94" w:rsidR="00562A0A">
        <w:rPr>
          <w:rFonts w:ascii="Times New Roman" w:hAnsi="Times New Roman" w:eastAsia="Palatino Linotype"/>
          <w:szCs w:val="26"/>
        </w:rPr>
        <w:t xml:space="preserve">of </w:t>
      </w:r>
      <w:r w:rsidRPr="007C6F94">
        <w:rPr>
          <w:rFonts w:ascii="Times New Roman" w:hAnsi="Times New Roman" w:eastAsia="Palatino Linotype"/>
          <w:szCs w:val="26"/>
        </w:rPr>
        <w:t>receiving notice that the request has been denied.</w:t>
      </w:r>
      <w:r w:rsidR="00384EAC">
        <w:rPr>
          <w:rFonts w:ascii="Times New Roman" w:hAnsi="Times New Roman" w:eastAsia="Palatino Linotype"/>
          <w:szCs w:val="26"/>
        </w:rPr>
        <w:t xml:space="preserve"> </w:t>
      </w:r>
      <w:r w:rsidRPr="007C6F94">
        <w:rPr>
          <w:rFonts w:ascii="Times New Roman" w:hAnsi="Times New Roman" w:eastAsia="Palatino Linotype"/>
          <w:szCs w:val="26"/>
        </w:rPr>
        <w:t xml:space="preserve"> (</w:t>
      </w:r>
      <w:r w:rsidRPr="00F113D1">
        <w:rPr>
          <w:rFonts w:ascii="Times New Roman" w:hAnsi="Times New Roman" w:eastAsia="Palatino Linotype"/>
          <w:i/>
          <w:iCs/>
          <w:szCs w:val="26"/>
        </w:rPr>
        <w:t>See id</w:t>
      </w:r>
      <w:r w:rsidRPr="007C6F94">
        <w:rPr>
          <w:rFonts w:ascii="Times New Roman" w:hAnsi="Times New Roman" w:eastAsia="Palatino Linotype"/>
          <w:szCs w:val="26"/>
        </w:rPr>
        <w:t>.)</w:t>
      </w:r>
      <w:r w:rsidRPr="007C6F94" w:rsidR="00562A0A">
        <w:rPr>
          <w:rFonts w:ascii="Times New Roman" w:hAnsi="Times New Roman" w:eastAsia="Palatino Linotype"/>
          <w:szCs w:val="26"/>
        </w:rPr>
        <w:t xml:space="preserve">. </w:t>
      </w:r>
      <w:r w:rsidR="00384EAC">
        <w:rPr>
          <w:rFonts w:ascii="Times New Roman" w:hAnsi="Times New Roman" w:eastAsia="Palatino Linotype"/>
          <w:szCs w:val="26"/>
        </w:rPr>
        <w:t xml:space="preserve"> </w:t>
      </w:r>
      <w:r w:rsidRPr="007C6F94" w:rsidR="00562A0A">
        <w:rPr>
          <w:rFonts w:ascii="Times New Roman" w:hAnsi="Times New Roman" w:eastAsia="Palatino Linotype"/>
          <w:szCs w:val="26"/>
        </w:rPr>
        <w:t>The Commission will then reexamine the request and issue a Resolution on the matter.</w:t>
      </w:r>
    </w:p>
    <w:p w:rsidRPr="007C6F94" w:rsidR="00EB647F" w:rsidP="002E3D1C" w:rsidRDefault="00EB647F" w14:paraId="080E193C" w14:textId="77777777">
      <w:pPr>
        <w:rPr>
          <w:rFonts w:ascii="Times New Roman" w:hAnsi="Times New Roman" w:eastAsia="Palatino Linotype"/>
          <w:szCs w:val="26"/>
        </w:rPr>
      </w:pPr>
    </w:p>
    <w:p w:rsidR="000D0763" w:rsidP="00F113D1" w:rsidRDefault="006A2AF9" w14:paraId="4B2B57D1" w14:textId="5210A658">
      <w:pPr>
        <w:rPr>
          <w:rFonts w:ascii="Times New Roman" w:hAnsi="Times New Roman"/>
          <w:szCs w:val="26"/>
        </w:rPr>
      </w:pPr>
      <w:r w:rsidRPr="007C6F94">
        <w:rPr>
          <w:rFonts w:ascii="Times New Roman" w:hAnsi="Times New Roman"/>
          <w:szCs w:val="26"/>
        </w:rPr>
        <w:t xml:space="preserve">On November </w:t>
      </w:r>
      <w:r w:rsidRPr="007C6F94" w:rsidR="009D34CC">
        <w:rPr>
          <w:rFonts w:ascii="Times New Roman" w:hAnsi="Times New Roman"/>
          <w:szCs w:val="26"/>
        </w:rPr>
        <w:t>24</w:t>
      </w:r>
      <w:r w:rsidRPr="007C6F94">
        <w:rPr>
          <w:rFonts w:ascii="Times New Roman" w:hAnsi="Times New Roman"/>
          <w:szCs w:val="26"/>
        </w:rPr>
        <w:t xml:space="preserve">, 2020, Brandon Rittiman made </w:t>
      </w:r>
      <w:r w:rsidRPr="007C6F94" w:rsidR="009D34CC">
        <w:rPr>
          <w:rFonts w:ascii="Times New Roman" w:hAnsi="Times New Roman"/>
          <w:szCs w:val="26"/>
        </w:rPr>
        <w:t>the</w:t>
      </w:r>
      <w:r w:rsidRPr="007C6F94">
        <w:rPr>
          <w:rFonts w:ascii="Times New Roman" w:hAnsi="Times New Roman"/>
          <w:szCs w:val="26"/>
        </w:rPr>
        <w:t xml:space="preserve"> </w:t>
      </w:r>
      <w:r w:rsidRPr="007C6F94" w:rsidR="00562A0A">
        <w:rPr>
          <w:rFonts w:ascii="Times New Roman" w:hAnsi="Times New Roman"/>
          <w:szCs w:val="26"/>
        </w:rPr>
        <w:t>C</w:t>
      </w:r>
      <w:r w:rsidRPr="007C6F94">
        <w:rPr>
          <w:rFonts w:ascii="Times New Roman" w:hAnsi="Times New Roman"/>
          <w:szCs w:val="26"/>
        </w:rPr>
        <w:t xml:space="preserve">PRA request to the Commission at issue in this Resolution, and </w:t>
      </w:r>
      <w:r w:rsidRPr="007C6F94" w:rsidR="009D34CC">
        <w:rPr>
          <w:rFonts w:ascii="Times New Roman" w:hAnsi="Times New Roman"/>
          <w:szCs w:val="26"/>
        </w:rPr>
        <w:t>it was</w:t>
      </w:r>
      <w:r w:rsidRPr="007C6F94">
        <w:rPr>
          <w:rFonts w:ascii="Times New Roman" w:hAnsi="Times New Roman"/>
          <w:szCs w:val="26"/>
        </w:rPr>
        <w:t xml:space="preserve"> subsequently identified as PRA</w:t>
      </w:r>
      <w:r w:rsidRPr="007C6F94" w:rsidR="00566854">
        <w:rPr>
          <w:rFonts w:ascii="Times New Roman" w:hAnsi="Times New Roman"/>
          <w:szCs w:val="26"/>
        </w:rPr>
        <w:t xml:space="preserve"> 20</w:t>
      </w:r>
      <w:r w:rsidRPr="007C6F94" w:rsidR="009D34CC">
        <w:rPr>
          <w:rFonts w:ascii="Times New Roman" w:hAnsi="Times New Roman"/>
          <w:szCs w:val="26"/>
        </w:rPr>
        <w:t>-619</w:t>
      </w:r>
      <w:r w:rsidRPr="007C6F94">
        <w:rPr>
          <w:rFonts w:ascii="Times New Roman" w:hAnsi="Times New Roman"/>
          <w:szCs w:val="26"/>
        </w:rPr>
        <w:t xml:space="preserve">. </w:t>
      </w:r>
      <w:r w:rsidR="00384EAC">
        <w:rPr>
          <w:rFonts w:ascii="Times New Roman" w:hAnsi="Times New Roman"/>
          <w:szCs w:val="26"/>
        </w:rPr>
        <w:t xml:space="preserve"> </w:t>
      </w:r>
      <w:r w:rsidRPr="007C6F94">
        <w:rPr>
          <w:rFonts w:ascii="Times New Roman" w:hAnsi="Times New Roman"/>
          <w:szCs w:val="26"/>
        </w:rPr>
        <w:t xml:space="preserve">Specifically, the request </w:t>
      </w:r>
      <w:r w:rsidRPr="007C6F94" w:rsidR="009D34CC">
        <w:rPr>
          <w:rFonts w:ascii="Times New Roman" w:hAnsi="Times New Roman"/>
          <w:szCs w:val="26"/>
        </w:rPr>
        <w:t xml:space="preserve">read as follows: </w:t>
      </w:r>
    </w:p>
    <w:p w:rsidRPr="007C6F94" w:rsidR="00F113D1" w:rsidP="00F113D1" w:rsidRDefault="00F113D1" w14:paraId="237943B9" w14:textId="77777777">
      <w:pPr>
        <w:rPr>
          <w:rFonts w:ascii="Times New Roman" w:hAnsi="Times New Roman"/>
          <w:szCs w:val="26"/>
        </w:rPr>
      </w:pPr>
    </w:p>
    <w:p w:rsidRPr="007C6F94" w:rsidR="009D34CC" w:rsidP="00C235EF" w:rsidRDefault="009D34CC" w14:paraId="6BE24308" w14:textId="329AC624">
      <w:pPr>
        <w:widowControl w:val="0"/>
        <w:autoSpaceDE w:val="0"/>
        <w:autoSpaceDN w:val="0"/>
        <w:spacing w:before="1"/>
        <w:ind w:left="720" w:right="1080"/>
        <w:rPr>
          <w:rFonts w:ascii="Times New Roman" w:hAnsi="Times New Roman"/>
          <w:szCs w:val="26"/>
        </w:rPr>
      </w:pPr>
      <w:bookmarkStart w:name="_Hlk84834311" w:id="1"/>
      <w:r w:rsidRPr="007C6F94">
        <w:rPr>
          <w:rFonts w:ascii="Times New Roman" w:hAnsi="Times New Roman"/>
          <w:szCs w:val="26"/>
        </w:rPr>
        <w:t>“Please refer below this letter to emails sent to me by Terrie Prosper on 11/18 (EMAIL A) and 11/23 (EMAIL B,) which I refer to collectively as “the email responses” for purposes of this request.</w:t>
      </w:r>
    </w:p>
    <w:p w:rsidRPr="007C6F94" w:rsidR="009D34CC" w:rsidP="00BA163C" w:rsidRDefault="009D34CC" w14:paraId="62328A55" w14:textId="77777777">
      <w:pPr>
        <w:widowControl w:val="0"/>
        <w:autoSpaceDE w:val="0"/>
        <w:autoSpaceDN w:val="0"/>
        <w:ind w:left="720" w:right="1080"/>
        <w:rPr>
          <w:rFonts w:ascii="Times New Roman" w:hAnsi="Times New Roman"/>
          <w:szCs w:val="26"/>
        </w:rPr>
      </w:pPr>
    </w:p>
    <w:p w:rsidRPr="007C6F94" w:rsidR="009D34CC" w:rsidP="00C235EF" w:rsidRDefault="009D34CC" w14:paraId="47F1C59B" w14:textId="77777777">
      <w:pPr>
        <w:widowControl w:val="0"/>
        <w:autoSpaceDE w:val="0"/>
        <w:autoSpaceDN w:val="0"/>
        <w:ind w:left="720" w:right="1080"/>
        <w:rPr>
          <w:rFonts w:ascii="Times New Roman" w:hAnsi="Times New Roman"/>
          <w:szCs w:val="26"/>
        </w:rPr>
      </w:pPr>
      <w:r w:rsidRPr="007C6F94">
        <w:rPr>
          <w:rFonts w:ascii="Times New Roman" w:hAnsi="Times New Roman"/>
          <w:szCs w:val="26"/>
        </w:rPr>
        <w:t>Pursuant to my rights under the California Public Records Act (Government Code Section 6250 et seq.), please provide me records of the following:</w:t>
      </w:r>
    </w:p>
    <w:p w:rsidRPr="007C6F94" w:rsidR="009D34CC" w:rsidP="00BA163C" w:rsidRDefault="009D34CC" w14:paraId="2136A646" w14:textId="77777777">
      <w:pPr>
        <w:widowControl w:val="0"/>
        <w:autoSpaceDE w:val="0"/>
        <w:autoSpaceDN w:val="0"/>
        <w:spacing w:before="10"/>
        <w:ind w:left="720" w:right="1080"/>
        <w:rPr>
          <w:rFonts w:ascii="Times New Roman" w:hAnsi="Times New Roman"/>
          <w:szCs w:val="26"/>
        </w:rPr>
      </w:pPr>
    </w:p>
    <w:p w:rsidRPr="007C6F94" w:rsidR="009D34CC" w:rsidP="00BA163C" w:rsidRDefault="009D34CC" w14:paraId="48959289" w14:textId="77777777">
      <w:pPr>
        <w:widowControl w:val="0"/>
        <w:numPr>
          <w:ilvl w:val="0"/>
          <w:numId w:val="26"/>
        </w:numPr>
        <w:autoSpaceDE w:val="0"/>
        <w:autoSpaceDN w:val="0"/>
        <w:ind w:left="1080" w:right="1080"/>
        <w:rPr>
          <w:rFonts w:ascii="Times New Roman" w:hAnsi="Times New Roman"/>
          <w:szCs w:val="26"/>
        </w:rPr>
      </w:pPr>
      <w:r w:rsidRPr="007C6F94">
        <w:rPr>
          <w:rFonts w:ascii="Times New Roman" w:hAnsi="Times New Roman"/>
          <w:szCs w:val="26"/>
        </w:rPr>
        <w:t>Any record or communication regarding the email responses between Terrie Prosper and Marybel Batjer or her principal executive staff.</w:t>
      </w:r>
    </w:p>
    <w:p w:rsidRPr="007C6F94" w:rsidR="009D34CC" w:rsidP="00BA163C" w:rsidRDefault="009D34CC" w14:paraId="2D237A12" w14:textId="77777777">
      <w:pPr>
        <w:widowControl w:val="0"/>
        <w:autoSpaceDE w:val="0"/>
        <w:autoSpaceDN w:val="0"/>
        <w:spacing w:before="10"/>
        <w:ind w:left="1080" w:right="1080"/>
        <w:rPr>
          <w:rFonts w:ascii="Times New Roman" w:hAnsi="Times New Roman"/>
          <w:szCs w:val="26"/>
        </w:rPr>
      </w:pPr>
    </w:p>
    <w:p w:rsidRPr="007C6F94" w:rsidR="009D34CC" w:rsidP="00BA163C" w:rsidRDefault="009D34CC" w14:paraId="450ED862" w14:textId="77777777">
      <w:pPr>
        <w:widowControl w:val="0"/>
        <w:numPr>
          <w:ilvl w:val="0"/>
          <w:numId w:val="26"/>
        </w:numPr>
        <w:autoSpaceDE w:val="0"/>
        <w:autoSpaceDN w:val="0"/>
        <w:ind w:left="1080" w:right="1080"/>
        <w:rPr>
          <w:rFonts w:ascii="Times New Roman" w:hAnsi="Times New Roman"/>
          <w:szCs w:val="26"/>
        </w:rPr>
      </w:pPr>
      <w:r w:rsidRPr="007C6F94">
        <w:rPr>
          <w:rFonts w:ascii="Times New Roman" w:hAnsi="Times New Roman"/>
          <w:szCs w:val="26"/>
        </w:rPr>
        <w:t>Any record or communication regarding the email responses between any CPUC employee and any agent or employee of the governor’s office.</w:t>
      </w:r>
    </w:p>
    <w:p w:rsidRPr="007C6F94" w:rsidR="009D34CC" w:rsidP="00BA163C" w:rsidRDefault="009D34CC" w14:paraId="65900B41" w14:textId="77777777">
      <w:pPr>
        <w:widowControl w:val="0"/>
        <w:autoSpaceDE w:val="0"/>
        <w:autoSpaceDN w:val="0"/>
        <w:spacing w:before="10"/>
        <w:ind w:left="1080" w:right="1080"/>
        <w:rPr>
          <w:rFonts w:ascii="Times New Roman" w:hAnsi="Times New Roman"/>
          <w:szCs w:val="26"/>
        </w:rPr>
      </w:pPr>
    </w:p>
    <w:p w:rsidR="009D34CC" w:rsidP="00BA163C" w:rsidRDefault="009D34CC" w14:paraId="620CACC7" w14:textId="2FA3E563">
      <w:pPr>
        <w:widowControl w:val="0"/>
        <w:autoSpaceDE w:val="0"/>
        <w:autoSpaceDN w:val="0"/>
        <w:ind w:left="720" w:right="1080"/>
        <w:outlineLvl w:val="0"/>
        <w:rPr>
          <w:rFonts w:ascii="Times New Roman" w:hAnsi="Times New Roman"/>
          <w:szCs w:val="26"/>
        </w:rPr>
      </w:pPr>
      <w:r w:rsidRPr="007C6F94">
        <w:rPr>
          <w:rFonts w:ascii="Times New Roman" w:hAnsi="Times New Roman"/>
          <w:szCs w:val="26"/>
        </w:rPr>
        <w:t>EMAIL A:</w:t>
      </w:r>
    </w:p>
    <w:p w:rsidRPr="007C6F94" w:rsidR="00323F5C" w:rsidP="00BA163C" w:rsidRDefault="00323F5C" w14:paraId="46E7ADCF" w14:textId="77777777">
      <w:pPr>
        <w:widowControl w:val="0"/>
        <w:autoSpaceDE w:val="0"/>
        <w:autoSpaceDN w:val="0"/>
        <w:ind w:left="720" w:right="1080"/>
        <w:outlineLvl w:val="0"/>
        <w:rPr>
          <w:rFonts w:ascii="Times New Roman" w:hAnsi="Times New Roman"/>
          <w:szCs w:val="26"/>
        </w:rPr>
      </w:pPr>
    </w:p>
    <w:p w:rsidRPr="007C6F94" w:rsidR="009D34CC" w:rsidP="00BA163C" w:rsidRDefault="009D34CC" w14:paraId="1B4D4B47" w14:textId="77777777">
      <w:pPr>
        <w:widowControl w:val="0"/>
        <w:autoSpaceDE w:val="0"/>
        <w:autoSpaceDN w:val="0"/>
        <w:ind w:left="720" w:right="1080"/>
        <w:rPr>
          <w:rFonts w:ascii="Times New Roman" w:hAnsi="Times New Roman"/>
          <w:szCs w:val="26"/>
        </w:rPr>
      </w:pPr>
      <w:r w:rsidRPr="007C6F94">
        <w:rPr>
          <w:rFonts w:ascii="Times New Roman" w:hAnsi="Times New Roman"/>
          <w:szCs w:val="26"/>
        </w:rPr>
        <w:t>Prosper, Terrie D. &lt;</w:t>
      </w:r>
      <w:hyperlink r:id="rId8">
        <w:r w:rsidRPr="007C6F94">
          <w:rPr>
            <w:rFonts w:ascii="Times New Roman" w:hAnsi="Times New Roman"/>
            <w:szCs w:val="26"/>
          </w:rPr>
          <w:t>terrie.prosper@cpuc.ca.gov&gt;</w:t>
        </w:r>
      </w:hyperlink>
      <w:r w:rsidRPr="007C6F94">
        <w:rPr>
          <w:rFonts w:ascii="Times New Roman" w:hAnsi="Times New Roman"/>
          <w:szCs w:val="26"/>
        </w:rPr>
        <w:t xml:space="preserve"> Wed 11/18/2020 10:57 AM</w:t>
      </w:r>
    </w:p>
    <w:p w:rsidRPr="007C6F94" w:rsidR="009D34CC" w:rsidP="00BA163C" w:rsidRDefault="009D34CC" w14:paraId="7F4D955E" w14:textId="77777777">
      <w:pPr>
        <w:widowControl w:val="0"/>
        <w:autoSpaceDE w:val="0"/>
        <w:autoSpaceDN w:val="0"/>
        <w:ind w:left="720" w:right="1080"/>
        <w:rPr>
          <w:rFonts w:ascii="Times New Roman" w:hAnsi="Times New Roman"/>
          <w:szCs w:val="26"/>
        </w:rPr>
      </w:pPr>
    </w:p>
    <w:p w:rsidRPr="007C6F94" w:rsidR="009D34CC" w:rsidP="00BA163C" w:rsidRDefault="009D34CC" w14:paraId="5E68284A" w14:textId="77777777">
      <w:pPr>
        <w:widowControl w:val="0"/>
        <w:autoSpaceDE w:val="0"/>
        <w:autoSpaceDN w:val="0"/>
        <w:ind w:left="720" w:right="1080"/>
        <w:rPr>
          <w:rFonts w:ascii="Times New Roman" w:hAnsi="Times New Roman"/>
          <w:szCs w:val="26"/>
        </w:rPr>
      </w:pPr>
      <w:r w:rsidRPr="007C6F94">
        <w:rPr>
          <w:rFonts w:ascii="Times New Roman" w:hAnsi="Times New Roman"/>
          <w:szCs w:val="26"/>
        </w:rPr>
        <w:t>Hi Brandon,</w:t>
      </w:r>
    </w:p>
    <w:p w:rsidRPr="007C6F94" w:rsidR="009D34CC" w:rsidP="00BA163C" w:rsidRDefault="009D34CC" w14:paraId="5CDE8383" w14:textId="77777777">
      <w:pPr>
        <w:widowControl w:val="0"/>
        <w:autoSpaceDE w:val="0"/>
        <w:autoSpaceDN w:val="0"/>
        <w:spacing w:before="1"/>
        <w:ind w:left="720" w:right="1080"/>
        <w:rPr>
          <w:rFonts w:ascii="Times New Roman" w:hAnsi="Times New Roman"/>
          <w:szCs w:val="26"/>
        </w:rPr>
      </w:pPr>
    </w:p>
    <w:p w:rsidRPr="007C6F94" w:rsidR="009D34CC" w:rsidP="00BA163C" w:rsidRDefault="009D34CC" w14:paraId="5F681041" w14:textId="60135A55">
      <w:pPr>
        <w:widowControl w:val="0"/>
        <w:autoSpaceDE w:val="0"/>
        <w:autoSpaceDN w:val="0"/>
        <w:ind w:left="720" w:right="1080"/>
        <w:rPr>
          <w:rFonts w:ascii="Times New Roman" w:hAnsi="Times New Roman"/>
          <w:szCs w:val="26"/>
        </w:rPr>
      </w:pPr>
      <w:r w:rsidRPr="007C6F94">
        <w:rPr>
          <w:rFonts w:ascii="Times New Roman" w:hAnsi="Times New Roman"/>
          <w:szCs w:val="26"/>
        </w:rPr>
        <w:t xml:space="preserve">We are disappointed by the characterization you shared of the CPUC’s interactions with Butte County. </w:t>
      </w:r>
      <w:r w:rsidR="00323F5C">
        <w:rPr>
          <w:rFonts w:ascii="Times New Roman" w:hAnsi="Times New Roman"/>
          <w:szCs w:val="26"/>
        </w:rPr>
        <w:t xml:space="preserve"> </w:t>
      </w:r>
      <w:r w:rsidRPr="007C6F94">
        <w:rPr>
          <w:rFonts w:ascii="Times New Roman" w:hAnsi="Times New Roman"/>
          <w:szCs w:val="26"/>
        </w:rPr>
        <w:t xml:space="preserve">We cooperated fully with the Butte County District Attorney’s Office and provided the information they needed within the requirements of Public Utilities Code </w:t>
      </w:r>
      <w:r w:rsidR="004C313D">
        <w:rPr>
          <w:rFonts w:ascii="Times New Roman" w:hAnsi="Times New Roman"/>
          <w:szCs w:val="26"/>
        </w:rPr>
        <w:t>S</w:t>
      </w:r>
      <w:r w:rsidRPr="007C6F94">
        <w:rPr>
          <w:rFonts w:ascii="Times New Roman" w:hAnsi="Times New Roman"/>
          <w:szCs w:val="26"/>
        </w:rPr>
        <w:t>ection 583, while maintaining the integrity of our own investigation.</w:t>
      </w:r>
    </w:p>
    <w:p w:rsidRPr="007C6F94" w:rsidR="009D34CC" w:rsidP="00323F5C" w:rsidRDefault="009D34CC" w14:paraId="36447B62" w14:textId="77777777">
      <w:pPr>
        <w:widowControl w:val="0"/>
        <w:autoSpaceDE w:val="0"/>
        <w:autoSpaceDN w:val="0"/>
        <w:ind w:left="720" w:right="1440"/>
        <w:rPr>
          <w:rFonts w:ascii="Times New Roman" w:hAnsi="Times New Roman"/>
          <w:szCs w:val="26"/>
        </w:rPr>
      </w:pPr>
    </w:p>
    <w:p w:rsidR="00BA163C" w:rsidP="00323F5C" w:rsidRDefault="009D34CC" w14:paraId="15489AC8" w14:textId="77777777">
      <w:pPr>
        <w:widowControl w:val="0"/>
        <w:autoSpaceDE w:val="0"/>
        <w:autoSpaceDN w:val="0"/>
        <w:ind w:left="720" w:right="1440"/>
        <w:rPr>
          <w:rFonts w:ascii="Times New Roman" w:hAnsi="Times New Roman"/>
          <w:szCs w:val="26"/>
        </w:rPr>
      </w:pPr>
      <w:r w:rsidRPr="007C6F94">
        <w:rPr>
          <w:rFonts w:ascii="Times New Roman" w:hAnsi="Times New Roman"/>
          <w:szCs w:val="26"/>
        </w:rPr>
        <w:t xml:space="preserve">(Here is information on our investigation: </w:t>
      </w:r>
    </w:p>
    <w:p w:rsidR="009D34CC" w:rsidP="00323F5C" w:rsidRDefault="00575E32" w14:paraId="7C3E3C69" w14:textId="3B83AE6D">
      <w:pPr>
        <w:widowControl w:val="0"/>
        <w:autoSpaceDE w:val="0"/>
        <w:autoSpaceDN w:val="0"/>
        <w:ind w:left="720" w:right="1440"/>
        <w:rPr>
          <w:rFonts w:ascii="Times New Roman" w:hAnsi="Times New Roman"/>
          <w:szCs w:val="26"/>
        </w:rPr>
      </w:pPr>
      <w:hyperlink w:history="1" r:id="rId9">
        <w:r w:rsidRPr="0021425B" w:rsidR="00BA163C">
          <w:rPr>
            <w:rStyle w:val="Hyperlink"/>
            <w:rFonts w:ascii="Times New Roman" w:hAnsi="Times New Roman"/>
            <w:szCs w:val="26"/>
          </w:rPr>
          <w:t>https://docs.cpuc.ca.gov/PublishedDocs/Published/G000/M337/K016/337016958.PDF</w:t>
        </w:r>
      </w:hyperlink>
      <w:r w:rsidRPr="007C6F94" w:rsidR="009D34CC">
        <w:rPr>
          <w:rFonts w:ascii="Times New Roman" w:hAnsi="Times New Roman"/>
          <w:szCs w:val="26"/>
        </w:rPr>
        <w:t>.)</w:t>
      </w:r>
    </w:p>
    <w:p w:rsidRPr="007C6F94" w:rsidR="009D34CC" w:rsidP="00323F5C" w:rsidRDefault="009D34CC" w14:paraId="7AA071DD" w14:textId="77777777">
      <w:pPr>
        <w:widowControl w:val="0"/>
        <w:autoSpaceDE w:val="0"/>
        <w:autoSpaceDN w:val="0"/>
        <w:ind w:left="720" w:right="1440"/>
        <w:rPr>
          <w:rFonts w:ascii="Times New Roman" w:hAnsi="Times New Roman"/>
          <w:szCs w:val="26"/>
        </w:rPr>
      </w:pPr>
    </w:p>
    <w:p w:rsidRPr="007C6F94" w:rsidR="009D34CC" w:rsidP="00323F5C" w:rsidRDefault="009D34CC" w14:paraId="783D36E0" w14:textId="77777777">
      <w:pPr>
        <w:widowControl w:val="0"/>
        <w:autoSpaceDE w:val="0"/>
        <w:autoSpaceDN w:val="0"/>
        <w:ind w:left="720"/>
        <w:rPr>
          <w:rFonts w:ascii="Times New Roman" w:hAnsi="Times New Roman"/>
          <w:szCs w:val="26"/>
        </w:rPr>
      </w:pPr>
      <w:r w:rsidRPr="007C6F94">
        <w:rPr>
          <w:rFonts w:ascii="Times New Roman" w:hAnsi="Times New Roman"/>
          <w:szCs w:val="26"/>
        </w:rPr>
        <w:t>Terrie</w:t>
      </w:r>
    </w:p>
    <w:p w:rsidRPr="007C6F94" w:rsidR="009D34CC" w:rsidP="00323F5C" w:rsidRDefault="009D34CC" w14:paraId="5F6F187F" w14:textId="77777777">
      <w:pPr>
        <w:widowControl w:val="0"/>
        <w:autoSpaceDE w:val="0"/>
        <w:autoSpaceDN w:val="0"/>
        <w:ind w:left="720"/>
        <w:rPr>
          <w:rFonts w:ascii="Times New Roman" w:hAnsi="Times New Roman"/>
          <w:szCs w:val="26"/>
        </w:rPr>
      </w:pPr>
    </w:p>
    <w:p w:rsidR="009D34CC" w:rsidP="00323F5C" w:rsidRDefault="009D34CC" w14:paraId="440BBA58" w14:textId="4103C12E">
      <w:pPr>
        <w:widowControl w:val="0"/>
        <w:autoSpaceDE w:val="0"/>
        <w:autoSpaceDN w:val="0"/>
        <w:ind w:left="720"/>
        <w:outlineLvl w:val="0"/>
        <w:rPr>
          <w:rFonts w:ascii="Times New Roman" w:hAnsi="Times New Roman"/>
          <w:szCs w:val="26"/>
        </w:rPr>
      </w:pPr>
      <w:r w:rsidRPr="007C6F94">
        <w:rPr>
          <w:rFonts w:ascii="Times New Roman" w:hAnsi="Times New Roman"/>
          <w:szCs w:val="26"/>
        </w:rPr>
        <w:t>EMAIL B:</w:t>
      </w:r>
    </w:p>
    <w:p w:rsidRPr="007C6F94" w:rsidR="00323F5C" w:rsidP="00323F5C" w:rsidRDefault="00323F5C" w14:paraId="4816D987" w14:textId="77777777">
      <w:pPr>
        <w:widowControl w:val="0"/>
        <w:autoSpaceDE w:val="0"/>
        <w:autoSpaceDN w:val="0"/>
        <w:ind w:left="720"/>
        <w:outlineLvl w:val="0"/>
        <w:rPr>
          <w:rFonts w:ascii="Times New Roman" w:hAnsi="Times New Roman"/>
          <w:szCs w:val="26"/>
        </w:rPr>
      </w:pPr>
    </w:p>
    <w:p w:rsidRPr="007C6F94" w:rsidR="009D34CC" w:rsidP="00323F5C" w:rsidRDefault="009D34CC" w14:paraId="10F8A5A0" w14:textId="77777777">
      <w:pPr>
        <w:widowControl w:val="0"/>
        <w:autoSpaceDE w:val="0"/>
        <w:autoSpaceDN w:val="0"/>
        <w:spacing w:before="1"/>
        <w:ind w:left="720" w:right="5030"/>
        <w:rPr>
          <w:rFonts w:ascii="Times New Roman" w:hAnsi="Times New Roman"/>
          <w:szCs w:val="26"/>
        </w:rPr>
      </w:pPr>
      <w:r w:rsidRPr="007C6F94">
        <w:rPr>
          <w:rFonts w:ascii="Times New Roman" w:hAnsi="Times New Roman"/>
          <w:szCs w:val="26"/>
        </w:rPr>
        <w:t>Prosper, Terrie D. &lt;</w:t>
      </w:r>
      <w:hyperlink r:id="rId10">
        <w:r w:rsidRPr="007C6F94">
          <w:rPr>
            <w:rFonts w:ascii="Times New Roman" w:hAnsi="Times New Roman"/>
            <w:szCs w:val="26"/>
          </w:rPr>
          <w:t>terrie.prosper@cpuc.ca.gov&gt;</w:t>
        </w:r>
      </w:hyperlink>
      <w:r w:rsidRPr="007C6F94">
        <w:rPr>
          <w:rFonts w:ascii="Times New Roman" w:hAnsi="Times New Roman"/>
          <w:szCs w:val="26"/>
        </w:rPr>
        <w:t xml:space="preserve"> Mon 11/23/2020 11:11 AM</w:t>
      </w:r>
    </w:p>
    <w:p w:rsidRPr="007C6F94" w:rsidR="009D34CC" w:rsidP="009D34CC" w:rsidRDefault="009D34CC" w14:paraId="2DF6B4EE" w14:textId="77777777">
      <w:pPr>
        <w:widowControl w:val="0"/>
        <w:autoSpaceDE w:val="0"/>
        <w:autoSpaceDN w:val="0"/>
        <w:spacing w:before="11"/>
        <w:ind w:left="720"/>
        <w:rPr>
          <w:rFonts w:ascii="Times New Roman" w:hAnsi="Times New Roman"/>
          <w:szCs w:val="26"/>
        </w:rPr>
      </w:pPr>
    </w:p>
    <w:p w:rsidRPr="007C6F94" w:rsidR="009D34CC" w:rsidP="00323F5C" w:rsidRDefault="009D34CC" w14:paraId="6C87E513" w14:textId="77777777">
      <w:pPr>
        <w:widowControl w:val="0"/>
        <w:autoSpaceDE w:val="0"/>
        <w:autoSpaceDN w:val="0"/>
        <w:ind w:left="720"/>
        <w:rPr>
          <w:rFonts w:ascii="Times New Roman" w:hAnsi="Times New Roman"/>
          <w:szCs w:val="26"/>
        </w:rPr>
      </w:pPr>
      <w:r w:rsidRPr="007C6F94">
        <w:rPr>
          <w:rFonts w:ascii="Times New Roman" w:hAnsi="Times New Roman"/>
          <w:szCs w:val="26"/>
        </w:rPr>
        <w:t>Brandon,</w:t>
      </w:r>
    </w:p>
    <w:p w:rsidRPr="007C6F94" w:rsidR="009D34CC" w:rsidP="009D34CC" w:rsidRDefault="009D34CC" w14:paraId="346C0935" w14:textId="77777777">
      <w:pPr>
        <w:widowControl w:val="0"/>
        <w:autoSpaceDE w:val="0"/>
        <w:autoSpaceDN w:val="0"/>
        <w:ind w:left="720"/>
        <w:rPr>
          <w:rFonts w:ascii="Times New Roman" w:hAnsi="Times New Roman"/>
          <w:szCs w:val="26"/>
        </w:rPr>
      </w:pPr>
    </w:p>
    <w:p w:rsidRPr="007C6F94" w:rsidR="009D34CC" w:rsidP="00BA163C" w:rsidRDefault="009D34CC" w14:paraId="2FAA011C" w14:textId="79D0F2C5">
      <w:pPr>
        <w:widowControl w:val="0"/>
        <w:tabs>
          <w:tab w:val="left" w:pos="8280"/>
        </w:tabs>
        <w:autoSpaceDE w:val="0"/>
        <w:autoSpaceDN w:val="0"/>
        <w:ind w:left="720" w:right="1080"/>
        <w:rPr>
          <w:rFonts w:ascii="Times New Roman" w:hAnsi="Times New Roman"/>
          <w:szCs w:val="26"/>
        </w:rPr>
      </w:pPr>
      <w:r w:rsidRPr="007C6F94">
        <w:rPr>
          <w:rFonts w:ascii="Times New Roman" w:hAnsi="Times New Roman"/>
          <w:szCs w:val="26"/>
        </w:rPr>
        <w:t xml:space="preserve">We share Butte County's goal of holding PG&amp;E accountable, and that is why at the end of our investigation we penalized PG&amp;E $1.937 billion, the largest penalty ever assessed by the CPUC, for PG&amp;E's role in the catastrophic 2017 and 2018 wildfires. </w:t>
      </w:r>
      <w:r w:rsidR="00384EAC">
        <w:rPr>
          <w:rFonts w:ascii="Times New Roman" w:hAnsi="Times New Roman"/>
          <w:szCs w:val="26"/>
        </w:rPr>
        <w:t xml:space="preserve"> </w:t>
      </w:r>
      <w:r w:rsidRPr="007C6F94">
        <w:rPr>
          <w:rFonts w:ascii="Times New Roman" w:hAnsi="Times New Roman"/>
          <w:szCs w:val="26"/>
        </w:rPr>
        <w:t>Unfortunately, it seems that steps we are required by law to take with information in our possession was misinterpreted.</w:t>
      </w:r>
      <w:r w:rsidR="00323F5C">
        <w:rPr>
          <w:rFonts w:ascii="Times New Roman" w:hAnsi="Times New Roman"/>
          <w:szCs w:val="26"/>
        </w:rPr>
        <w:t xml:space="preserve">  </w:t>
      </w:r>
      <w:r w:rsidRPr="007C6F94">
        <w:rPr>
          <w:rFonts w:ascii="Times New Roman" w:hAnsi="Times New Roman"/>
          <w:szCs w:val="26"/>
        </w:rPr>
        <w:t>We cooperated with the Butte County District Attorney’s Office, however there is a process that the CPUC must follow by law to release information.</w:t>
      </w:r>
      <w:r w:rsidR="00384EAC">
        <w:rPr>
          <w:rFonts w:ascii="Times New Roman" w:hAnsi="Times New Roman"/>
          <w:szCs w:val="26"/>
        </w:rPr>
        <w:t xml:space="preserve"> </w:t>
      </w:r>
      <w:r w:rsidRPr="007C6F94">
        <w:rPr>
          <w:rFonts w:ascii="Times New Roman" w:hAnsi="Times New Roman"/>
          <w:szCs w:val="26"/>
        </w:rPr>
        <w:t xml:space="preserve"> The Legislature adopted Public Utilities Code </w:t>
      </w:r>
      <w:r w:rsidR="004C313D">
        <w:rPr>
          <w:rFonts w:ascii="Times New Roman" w:hAnsi="Times New Roman"/>
          <w:szCs w:val="26"/>
        </w:rPr>
        <w:t>S</w:t>
      </w:r>
      <w:r w:rsidRPr="007C6F94">
        <w:rPr>
          <w:rFonts w:ascii="Times New Roman" w:hAnsi="Times New Roman"/>
          <w:szCs w:val="26"/>
        </w:rPr>
        <w:t xml:space="preserve">ection 583, a CPUC-specific statute, that prevents some types information from being disclosed to the public. </w:t>
      </w:r>
      <w:r w:rsidR="00323F5C">
        <w:rPr>
          <w:rFonts w:ascii="Times New Roman" w:hAnsi="Times New Roman"/>
          <w:szCs w:val="26"/>
        </w:rPr>
        <w:t xml:space="preserve"> </w:t>
      </w:r>
      <w:r w:rsidRPr="007C6F94">
        <w:rPr>
          <w:rFonts w:ascii="Times New Roman" w:hAnsi="Times New Roman"/>
          <w:szCs w:val="26"/>
        </w:rPr>
        <w:t xml:space="preserve">Any CPUC employee who discloses confidential information is “guilty of a misdemeanor.” In recent years, the CPUC has proposed to alter this provision but, to date, the Legislature has declined to adopt any changes. </w:t>
      </w:r>
      <w:r w:rsidR="00384EAC">
        <w:rPr>
          <w:rFonts w:ascii="Times New Roman" w:hAnsi="Times New Roman"/>
          <w:szCs w:val="26"/>
        </w:rPr>
        <w:t xml:space="preserve"> </w:t>
      </w:r>
      <w:r w:rsidRPr="007C6F94">
        <w:rPr>
          <w:rFonts w:ascii="Times New Roman" w:hAnsi="Times New Roman"/>
          <w:szCs w:val="26"/>
        </w:rPr>
        <w:t xml:space="preserve">Because this confidentiality statute carries a severe penalty, the CPUC has adopted General Order 66, which contains clear guidelines on how confidential information is released. </w:t>
      </w:r>
      <w:r w:rsidR="00323F5C">
        <w:rPr>
          <w:rFonts w:ascii="Times New Roman" w:hAnsi="Times New Roman"/>
          <w:szCs w:val="26"/>
        </w:rPr>
        <w:t xml:space="preserve"> </w:t>
      </w:r>
      <w:r w:rsidRPr="007C6F94">
        <w:rPr>
          <w:rFonts w:ascii="Times New Roman" w:hAnsi="Times New Roman"/>
          <w:szCs w:val="26"/>
        </w:rPr>
        <w:t xml:space="preserve">Before information is released on order of the CPUC, a proposal is circulated for 30-day public comment before being brought for a vote by the CPUC at a public Voting Meeting. </w:t>
      </w:r>
      <w:r w:rsidR="00384EAC">
        <w:rPr>
          <w:rFonts w:ascii="Times New Roman" w:hAnsi="Times New Roman"/>
          <w:szCs w:val="26"/>
        </w:rPr>
        <w:t xml:space="preserve"> </w:t>
      </w:r>
      <w:r w:rsidRPr="007C6F94">
        <w:rPr>
          <w:rFonts w:ascii="Times New Roman" w:hAnsi="Times New Roman"/>
          <w:szCs w:val="26"/>
        </w:rPr>
        <w:t>Given the limitations of this statute, CPUC staff, who were potentially subject to criminal sanctions under the statute, co-operated as fully as they could with Butte County, and it must be recognized that staff was responsive within the legal structures that control their actions and which the CPUC does not have the authority to change or ignore.</w:t>
      </w:r>
    </w:p>
    <w:p w:rsidRPr="007C6F94" w:rsidR="009D34CC" w:rsidP="009D34CC" w:rsidRDefault="009D34CC" w14:paraId="27F95442" w14:textId="77777777">
      <w:pPr>
        <w:widowControl w:val="0"/>
        <w:autoSpaceDE w:val="0"/>
        <w:autoSpaceDN w:val="0"/>
        <w:spacing w:before="1"/>
        <w:ind w:left="720"/>
        <w:rPr>
          <w:rFonts w:ascii="Times New Roman" w:hAnsi="Times New Roman"/>
          <w:szCs w:val="26"/>
        </w:rPr>
      </w:pPr>
    </w:p>
    <w:p w:rsidRPr="007C6F94" w:rsidR="009D34CC" w:rsidP="00BA163C" w:rsidRDefault="009D34CC" w14:paraId="23222D96" w14:textId="39BE5538">
      <w:pPr>
        <w:widowControl w:val="0"/>
        <w:autoSpaceDE w:val="0"/>
        <w:autoSpaceDN w:val="0"/>
        <w:ind w:left="720"/>
        <w:rPr>
          <w:rFonts w:ascii="Times New Roman" w:hAnsi="Times New Roman"/>
          <w:szCs w:val="26"/>
        </w:rPr>
      </w:pPr>
      <w:r w:rsidRPr="007C6F94">
        <w:rPr>
          <w:rFonts w:ascii="Times New Roman" w:hAnsi="Times New Roman"/>
          <w:szCs w:val="26"/>
        </w:rPr>
        <w:t>Terrie”</w:t>
      </w:r>
    </w:p>
    <w:p w:rsidRPr="007C6F94" w:rsidR="009D34CC" w:rsidP="009D34CC" w:rsidRDefault="009D34CC" w14:paraId="2EA2F148" w14:textId="77777777">
      <w:pPr>
        <w:ind w:left="720"/>
        <w:rPr>
          <w:rFonts w:ascii="Times New Roman" w:hAnsi="Times New Roman"/>
          <w:szCs w:val="26"/>
        </w:rPr>
      </w:pPr>
    </w:p>
    <w:bookmarkEnd w:id="1"/>
    <w:p w:rsidRPr="007C6F94" w:rsidR="009D34CC" w:rsidP="005029B7" w:rsidRDefault="005029B7" w14:paraId="2B4535ED" w14:textId="78891D48">
      <w:pPr>
        <w:rPr>
          <w:rFonts w:ascii="Times New Roman" w:hAnsi="Times New Roman" w:eastAsia="Palatino Linotype"/>
          <w:szCs w:val="26"/>
        </w:rPr>
      </w:pPr>
      <w:r w:rsidRPr="007C6F94">
        <w:rPr>
          <w:rFonts w:ascii="Times New Roman" w:hAnsi="Times New Roman" w:eastAsia="Palatino Linotype"/>
          <w:szCs w:val="26"/>
        </w:rPr>
        <w:t xml:space="preserve">Marybel Batjer is the President of the Commission and was sworn into office on </w:t>
      </w:r>
      <w:r w:rsidR="00BA163C">
        <w:rPr>
          <w:rFonts w:ascii="Times New Roman" w:hAnsi="Times New Roman" w:eastAsia="Palatino Linotype"/>
          <w:szCs w:val="26"/>
        </w:rPr>
        <w:br/>
      </w:r>
      <w:r w:rsidRPr="007C6F94">
        <w:rPr>
          <w:rFonts w:ascii="Times New Roman" w:hAnsi="Times New Roman" w:eastAsia="Palatino Linotype"/>
          <w:szCs w:val="26"/>
        </w:rPr>
        <w:t>August 16, 2019.  Terrie D. Prosper is the Director of the Commission’s News and Outreach Office.</w:t>
      </w:r>
    </w:p>
    <w:p w:rsidRPr="007C6F94" w:rsidR="00B0424D" w:rsidP="002E3D1C" w:rsidRDefault="00B0424D" w14:paraId="610E91E5" w14:textId="77777777">
      <w:pPr>
        <w:rPr>
          <w:rFonts w:ascii="Times New Roman" w:hAnsi="Times New Roman" w:eastAsia="Palatino Linotype"/>
          <w:szCs w:val="26"/>
        </w:rPr>
      </w:pPr>
    </w:p>
    <w:p w:rsidRPr="007C6F94" w:rsidR="001B7C58" w:rsidP="002E3D1C" w:rsidRDefault="001B7C58" w14:paraId="1674481A" w14:textId="5FFE649A">
      <w:pPr>
        <w:rPr>
          <w:rFonts w:ascii="Times New Roman" w:hAnsi="Times New Roman" w:eastAsia="Palatino Linotype"/>
          <w:szCs w:val="26"/>
        </w:rPr>
      </w:pPr>
      <w:r w:rsidRPr="007C6F94">
        <w:rPr>
          <w:rFonts w:ascii="Times New Roman" w:hAnsi="Times New Roman" w:eastAsia="Palatino Linotype"/>
          <w:szCs w:val="26"/>
        </w:rPr>
        <w:t xml:space="preserve">On </w:t>
      </w:r>
      <w:r w:rsidRPr="007C6F94" w:rsidR="009D34CC">
        <w:rPr>
          <w:rFonts w:ascii="Times New Roman" w:hAnsi="Times New Roman" w:eastAsia="Palatino Linotype"/>
          <w:szCs w:val="26"/>
        </w:rPr>
        <w:t>December</w:t>
      </w:r>
      <w:r w:rsidRPr="007C6F94">
        <w:rPr>
          <w:rFonts w:ascii="Times New Roman" w:hAnsi="Times New Roman" w:eastAsia="Palatino Linotype"/>
          <w:szCs w:val="26"/>
        </w:rPr>
        <w:t xml:space="preserve"> </w:t>
      </w:r>
      <w:r w:rsidRPr="007C6F94" w:rsidR="00B0424D">
        <w:rPr>
          <w:rFonts w:ascii="Times New Roman" w:hAnsi="Times New Roman" w:eastAsia="Palatino Linotype"/>
          <w:szCs w:val="26"/>
        </w:rPr>
        <w:t>4</w:t>
      </w:r>
      <w:r w:rsidRPr="007C6F94">
        <w:rPr>
          <w:rFonts w:ascii="Times New Roman" w:hAnsi="Times New Roman" w:eastAsia="Palatino Linotype"/>
          <w:szCs w:val="26"/>
        </w:rPr>
        <w:t xml:space="preserve">, 2020, via a letter sent by electronic mail, Commission legal staff informed Mr. Rittiman of its determination that the communications sought </w:t>
      </w:r>
      <w:r w:rsidRPr="007C6F94" w:rsidR="00B0424D">
        <w:rPr>
          <w:rFonts w:ascii="Times New Roman" w:hAnsi="Times New Roman" w:eastAsia="Palatino Linotype"/>
          <w:szCs w:val="26"/>
        </w:rPr>
        <w:t xml:space="preserve">under Item 2 </w:t>
      </w:r>
      <w:r w:rsidRPr="007C6F94">
        <w:rPr>
          <w:rFonts w:ascii="Times New Roman" w:hAnsi="Times New Roman" w:eastAsia="Palatino Linotype"/>
          <w:szCs w:val="26"/>
        </w:rPr>
        <w:t xml:space="preserve">were exempt from disclosure pursuant to California Government Code </w:t>
      </w:r>
      <w:r w:rsidR="004C313D">
        <w:rPr>
          <w:rFonts w:ascii="Times New Roman" w:hAnsi="Times New Roman" w:eastAsia="Palatino Linotype"/>
          <w:szCs w:val="26"/>
        </w:rPr>
        <w:t>S</w:t>
      </w:r>
      <w:r w:rsidRPr="007C6F94">
        <w:rPr>
          <w:rFonts w:ascii="Times New Roman" w:hAnsi="Times New Roman" w:eastAsia="Palatino Linotype"/>
          <w:szCs w:val="26"/>
        </w:rPr>
        <w:t xml:space="preserve">ection 6254(l), which explicitly exempts from </w:t>
      </w:r>
      <w:r w:rsidRPr="007C6F94" w:rsidR="0076182C">
        <w:rPr>
          <w:rFonts w:ascii="Times New Roman" w:hAnsi="Times New Roman" w:eastAsia="Palatino Linotype"/>
          <w:szCs w:val="26"/>
        </w:rPr>
        <w:t xml:space="preserve">public </w:t>
      </w:r>
      <w:r w:rsidRPr="007C6F94">
        <w:rPr>
          <w:rFonts w:ascii="Times New Roman" w:hAnsi="Times New Roman" w:eastAsia="Palatino Linotype"/>
          <w:szCs w:val="26"/>
        </w:rPr>
        <w:t xml:space="preserve">disclosure “[c]orrespondence of and to the Governor or employees of the Governor's office or in the custody of or maintained by the Governor's Legal Affairs Secretary. </w:t>
      </w:r>
      <w:r w:rsidR="00384EAC">
        <w:rPr>
          <w:rFonts w:ascii="Times New Roman" w:hAnsi="Times New Roman" w:eastAsia="Palatino Linotype"/>
          <w:szCs w:val="26"/>
        </w:rPr>
        <w:t xml:space="preserve"> </w:t>
      </w:r>
      <w:r w:rsidRPr="007C6F94">
        <w:rPr>
          <w:rFonts w:ascii="Times New Roman" w:hAnsi="Times New Roman" w:eastAsia="Palatino Linotype"/>
          <w:szCs w:val="26"/>
        </w:rPr>
        <w:t>However, public records shall not be transferred to the custody of the Governor's Legal Affairs Secretary to evade the disclosure provisions of this chapter.”</w:t>
      </w:r>
      <w:r w:rsidRPr="007C6F94" w:rsidR="00562A0A">
        <w:rPr>
          <w:rFonts w:ascii="Times New Roman" w:hAnsi="Times New Roman" w:eastAsia="Palatino Linotype"/>
          <w:szCs w:val="26"/>
        </w:rPr>
        <w:t xml:space="preserve"> (the “Correspondence Exemption”).</w:t>
      </w:r>
    </w:p>
    <w:p w:rsidRPr="007C6F94" w:rsidR="001B7C58" w:rsidP="002E3D1C" w:rsidRDefault="001B7C58" w14:paraId="07E7720D" w14:textId="550F1E22">
      <w:pPr>
        <w:rPr>
          <w:rFonts w:ascii="Times New Roman" w:hAnsi="Times New Roman" w:eastAsia="Palatino Linotype"/>
          <w:szCs w:val="26"/>
        </w:rPr>
      </w:pPr>
    </w:p>
    <w:p w:rsidRPr="007C6F94" w:rsidR="001B7C58" w:rsidP="002E3D1C" w:rsidRDefault="001B7C58" w14:paraId="4003EE25" w14:textId="41A4CA6D">
      <w:pPr>
        <w:rPr>
          <w:rFonts w:ascii="Times New Roman" w:hAnsi="Times New Roman" w:eastAsia="Palatino Linotype"/>
          <w:szCs w:val="26"/>
        </w:rPr>
      </w:pPr>
      <w:r w:rsidRPr="007C6F94">
        <w:rPr>
          <w:rFonts w:ascii="Times New Roman" w:hAnsi="Times New Roman" w:eastAsia="Palatino Linotype"/>
          <w:szCs w:val="26"/>
        </w:rPr>
        <w:t>On December 4, 2020, Mr. Rittiman emailed Commission legal staff to appeal the determination that the communications sought in PRA</w:t>
      </w:r>
      <w:r w:rsidRPr="007C6F94" w:rsidR="00664A0A">
        <w:rPr>
          <w:rFonts w:ascii="Times New Roman" w:hAnsi="Times New Roman" w:eastAsia="Palatino Linotype"/>
          <w:szCs w:val="26"/>
        </w:rPr>
        <w:t xml:space="preserve"> 20</w:t>
      </w:r>
      <w:r w:rsidRPr="007C6F94">
        <w:rPr>
          <w:rFonts w:ascii="Times New Roman" w:hAnsi="Times New Roman" w:eastAsia="Palatino Linotype"/>
          <w:szCs w:val="26"/>
        </w:rPr>
        <w:t>-</w:t>
      </w:r>
      <w:r w:rsidRPr="007C6F94" w:rsidR="00B0424D">
        <w:rPr>
          <w:rFonts w:ascii="Times New Roman" w:hAnsi="Times New Roman" w:eastAsia="Palatino Linotype"/>
          <w:szCs w:val="26"/>
        </w:rPr>
        <w:t xml:space="preserve">619, Item 2 </w:t>
      </w:r>
      <w:r w:rsidRPr="007C6F94">
        <w:rPr>
          <w:rFonts w:ascii="Times New Roman" w:hAnsi="Times New Roman" w:eastAsia="Palatino Linotype"/>
          <w:szCs w:val="26"/>
        </w:rPr>
        <w:t>were exempt fr</w:t>
      </w:r>
      <w:r w:rsidRPr="007C6F94" w:rsidR="00765999">
        <w:rPr>
          <w:rFonts w:ascii="Times New Roman" w:hAnsi="Times New Roman" w:eastAsia="Palatino Linotype"/>
          <w:szCs w:val="26"/>
        </w:rPr>
        <w:t>om</w:t>
      </w:r>
      <w:r w:rsidRPr="007C6F94">
        <w:rPr>
          <w:rFonts w:ascii="Times New Roman" w:hAnsi="Times New Roman" w:eastAsia="Palatino Linotype"/>
          <w:szCs w:val="26"/>
        </w:rPr>
        <w:t xml:space="preserve"> disclosure.</w:t>
      </w:r>
      <w:r w:rsidRPr="007C6F94" w:rsidR="002E3D1C">
        <w:rPr>
          <w:rStyle w:val="FootnoteReference"/>
          <w:rFonts w:ascii="Times New Roman" w:hAnsi="Times New Roman" w:eastAsia="Palatino Linotype"/>
          <w:b/>
          <w:bCs/>
          <w:szCs w:val="26"/>
          <w:u w:val="single"/>
        </w:rPr>
        <w:footnoteReference w:id="2"/>
      </w:r>
      <w:r w:rsidR="00BA163C">
        <w:rPr>
          <w:rFonts w:ascii="Times New Roman" w:hAnsi="Times New Roman" w:eastAsia="Palatino Linotype"/>
          <w:szCs w:val="26"/>
        </w:rPr>
        <w:t xml:space="preserve"> </w:t>
      </w:r>
      <w:r w:rsidRPr="007C6F94">
        <w:rPr>
          <w:rFonts w:ascii="Times New Roman" w:hAnsi="Times New Roman" w:eastAsia="Palatino Linotype"/>
          <w:szCs w:val="26"/>
        </w:rPr>
        <w:t xml:space="preserve"> </w:t>
      </w:r>
      <w:r w:rsidRPr="007C6F94" w:rsidR="00D576EF">
        <w:rPr>
          <w:rFonts w:ascii="Times New Roman" w:hAnsi="Times New Roman" w:eastAsia="Palatino Linotype"/>
          <w:szCs w:val="26"/>
        </w:rPr>
        <w:t xml:space="preserve">Mr. Rittiman argued that the Commission should interpret the term “correspondence” as used in Government Code </w:t>
      </w:r>
      <w:r w:rsidR="004C313D">
        <w:rPr>
          <w:rFonts w:ascii="Times New Roman" w:hAnsi="Times New Roman" w:eastAsia="Palatino Linotype"/>
          <w:szCs w:val="26"/>
        </w:rPr>
        <w:t>S</w:t>
      </w:r>
      <w:r w:rsidRPr="007C6F94" w:rsidR="00D576EF">
        <w:rPr>
          <w:rFonts w:ascii="Times New Roman" w:hAnsi="Times New Roman" w:eastAsia="Palatino Linotype"/>
          <w:szCs w:val="26"/>
        </w:rPr>
        <w:t xml:space="preserve">ection 6254(l) narrowly, that the term applies only to communications by (presumably physical) letter, citing </w:t>
      </w:r>
      <w:r w:rsidRPr="007C6F94" w:rsidR="00D576EF">
        <w:rPr>
          <w:rFonts w:ascii="Times New Roman" w:hAnsi="Times New Roman" w:eastAsia="Palatino Linotype"/>
          <w:i/>
          <w:iCs/>
          <w:szCs w:val="26"/>
        </w:rPr>
        <w:t>Times Mirror Co. v. Superior Court</w:t>
      </w:r>
      <w:r w:rsidRPr="007C6F94" w:rsidR="00D576EF">
        <w:rPr>
          <w:rFonts w:ascii="Times New Roman" w:hAnsi="Times New Roman" w:eastAsia="Palatino Linotype"/>
          <w:szCs w:val="26"/>
        </w:rPr>
        <w:t xml:space="preserve">, 53 Cal.3d 1325, 1337 (1991), and that the Commission should still produce any responsive text messages, emails, and calendar entries. </w:t>
      </w:r>
      <w:r w:rsidR="00BA163C">
        <w:rPr>
          <w:rFonts w:ascii="Times New Roman" w:hAnsi="Times New Roman" w:eastAsia="Palatino Linotype"/>
          <w:szCs w:val="26"/>
        </w:rPr>
        <w:t xml:space="preserve"> </w:t>
      </w:r>
      <w:r w:rsidRPr="007C6F94" w:rsidR="00D576EF">
        <w:rPr>
          <w:rFonts w:ascii="Times New Roman" w:hAnsi="Times New Roman" w:eastAsia="Palatino Linotype"/>
          <w:szCs w:val="26"/>
        </w:rPr>
        <w:t>The Commission acknowledged Mr. Rittiman’s appeal the same day.</w:t>
      </w:r>
      <w:r w:rsidRPr="007C6F94" w:rsidR="008F74F6">
        <w:rPr>
          <w:rStyle w:val="FootnoteReference"/>
          <w:rFonts w:ascii="Times New Roman" w:hAnsi="Times New Roman" w:eastAsia="Palatino Linotype"/>
          <w:b/>
          <w:bCs/>
          <w:szCs w:val="26"/>
          <w:u w:val="single"/>
        </w:rPr>
        <w:footnoteReference w:id="3"/>
      </w:r>
      <w:r w:rsidRPr="007C6F94" w:rsidR="00904BD0">
        <w:rPr>
          <w:rFonts w:ascii="Times New Roman" w:hAnsi="Times New Roman" w:eastAsia="Palatino Linotype"/>
          <w:szCs w:val="26"/>
        </w:rPr>
        <w:t xml:space="preserve"> </w:t>
      </w:r>
      <w:r w:rsidR="00BA163C">
        <w:rPr>
          <w:rFonts w:ascii="Times New Roman" w:hAnsi="Times New Roman" w:eastAsia="Palatino Linotype"/>
          <w:szCs w:val="26"/>
        </w:rPr>
        <w:t xml:space="preserve"> </w:t>
      </w:r>
      <w:r w:rsidRPr="007C6F94" w:rsidR="00904BD0">
        <w:rPr>
          <w:rFonts w:ascii="Times New Roman" w:hAnsi="Times New Roman" w:eastAsia="Palatino Linotype"/>
          <w:szCs w:val="26"/>
        </w:rPr>
        <w:t xml:space="preserve">In subsequent correspondence, counsel for Mr. Rittiman has argued that the </w:t>
      </w:r>
      <w:r w:rsidRPr="007C6F94" w:rsidR="00763AA1">
        <w:rPr>
          <w:rFonts w:ascii="Times New Roman" w:hAnsi="Times New Roman" w:eastAsia="Palatino Linotype"/>
          <w:szCs w:val="26"/>
        </w:rPr>
        <w:t>Correspondence E</w:t>
      </w:r>
      <w:r w:rsidRPr="007C6F94" w:rsidR="00904BD0">
        <w:rPr>
          <w:rFonts w:ascii="Times New Roman" w:hAnsi="Times New Roman" w:eastAsia="Palatino Linotype"/>
          <w:szCs w:val="26"/>
        </w:rPr>
        <w:t xml:space="preserve">xemption contained in Government Code </w:t>
      </w:r>
      <w:r w:rsidR="004C313D">
        <w:rPr>
          <w:rFonts w:ascii="Times New Roman" w:hAnsi="Times New Roman" w:eastAsia="Palatino Linotype"/>
          <w:szCs w:val="26"/>
        </w:rPr>
        <w:t>S</w:t>
      </w:r>
      <w:r w:rsidRPr="007C6F94" w:rsidR="00904BD0">
        <w:rPr>
          <w:rFonts w:ascii="Times New Roman" w:hAnsi="Times New Roman" w:eastAsia="Palatino Linotype"/>
          <w:szCs w:val="26"/>
        </w:rPr>
        <w:t xml:space="preserve">ection 6254(l) should apply only </w:t>
      </w:r>
      <w:r w:rsidRPr="007C6F94" w:rsidR="00EB647F">
        <w:rPr>
          <w:rFonts w:ascii="Times New Roman" w:hAnsi="Times New Roman" w:eastAsia="Palatino Linotype"/>
          <w:szCs w:val="26"/>
        </w:rPr>
        <w:t xml:space="preserve">to </w:t>
      </w:r>
      <w:r w:rsidRPr="007C6F94" w:rsidR="00904BD0">
        <w:rPr>
          <w:rFonts w:ascii="Times New Roman" w:hAnsi="Times New Roman" w:eastAsia="Palatino Linotype"/>
          <w:szCs w:val="26"/>
        </w:rPr>
        <w:t xml:space="preserve">correspondence “sent from individuals, companies, and/or groups who are outside of the government,” citing </w:t>
      </w:r>
      <w:r w:rsidRPr="007C6F94" w:rsidR="00904BD0">
        <w:rPr>
          <w:rFonts w:ascii="Times New Roman" w:hAnsi="Times New Roman" w:eastAsia="Palatino Linotype"/>
          <w:i/>
          <w:iCs/>
          <w:szCs w:val="26"/>
        </w:rPr>
        <w:t>California First Amendment Coalition v. Superior Court</w:t>
      </w:r>
      <w:r w:rsidRPr="007C6F94" w:rsidR="00904BD0">
        <w:rPr>
          <w:rFonts w:ascii="Times New Roman" w:hAnsi="Times New Roman" w:eastAsia="Palatino Linotype"/>
          <w:szCs w:val="26"/>
        </w:rPr>
        <w:t>, 67 Cal. App. 4th 159, 168 (3d Dist. 1998).</w:t>
      </w:r>
      <w:r w:rsidRPr="007C6F94" w:rsidR="00EB647F">
        <w:rPr>
          <w:rStyle w:val="FootnoteReference"/>
          <w:rFonts w:ascii="Times New Roman" w:hAnsi="Times New Roman" w:eastAsia="Palatino Linotype"/>
          <w:b/>
          <w:bCs/>
          <w:szCs w:val="26"/>
          <w:u w:val="single"/>
        </w:rPr>
        <w:footnoteReference w:id="4"/>
      </w:r>
    </w:p>
    <w:p w:rsidRPr="007C6F94" w:rsidR="00B4546C" w:rsidP="002E3D1C" w:rsidRDefault="00B4546C" w14:paraId="17BA6BBC" w14:textId="77D7F390">
      <w:pPr>
        <w:rPr>
          <w:rFonts w:ascii="Times New Roman" w:hAnsi="Times New Roman"/>
          <w:szCs w:val="26"/>
        </w:rPr>
      </w:pPr>
    </w:p>
    <w:p w:rsidRPr="007C6F94" w:rsidR="00977723" w:rsidP="002E3D1C" w:rsidRDefault="00977723" w14:paraId="32A7DA8B" w14:textId="062D0FAC">
      <w:pPr>
        <w:rPr>
          <w:rFonts w:ascii="Times New Roman" w:hAnsi="Times New Roman" w:eastAsia="Palatino Linotype"/>
          <w:szCs w:val="26"/>
        </w:rPr>
      </w:pPr>
      <w:r w:rsidRPr="007C6F94">
        <w:rPr>
          <w:rFonts w:ascii="Times New Roman" w:hAnsi="Times New Roman" w:eastAsia="Palatino Linotype"/>
          <w:szCs w:val="26"/>
        </w:rPr>
        <w:t xml:space="preserve">On December 30, 2020, via a letter sent by electronic mail, Commission legal staff </w:t>
      </w:r>
      <w:r w:rsidRPr="007C6F94" w:rsidR="0056779A">
        <w:rPr>
          <w:rFonts w:ascii="Times New Roman" w:hAnsi="Times New Roman" w:eastAsia="Palatino Linotype"/>
          <w:szCs w:val="26"/>
        </w:rPr>
        <w:t xml:space="preserve">reiterated its conclusion that documents sought under Item 2 were exempt under the Correspondence Exemption.  Staff then </w:t>
      </w:r>
      <w:r w:rsidRPr="007C6F94">
        <w:rPr>
          <w:rFonts w:ascii="Times New Roman" w:hAnsi="Times New Roman" w:eastAsia="Palatino Linotype"/>
          <w:szCs w:val="26"/>
        </w:rPr>
        <w:t xml:space="preserve">informed Mr. Rittiman of its determination that the communications sought under Item 1 were exempt from disclosure pursuant to the lawyer-client privilege (Cal. Evid. Code </w:t>
      </w:r>
      <w:r w:rsidRPr="007C6F94" w:rsidR="004146B6">
        <w:rPr>
          <w:rFonts w:ascii="Times New Roman" w:hAnsi="Times New Roman" w:eastAsia="Palatino Linotype"/>
          <w:szCs w:val="26"/>
        </w:rPr>
        <w:t xml:space="preserve">§ 950, </w:t>
      </w:r>
      <w:r w:rsidRPr="007C6F94" w:rsidR="004146B6">
        <w:rPr>
          <w:rFonts w:ascii="Times New Roman" w:hAnsi="Times New Roman" w:eastAsia="Palatino Linotype"/>
          <w:i/>
          <w:iCs/>
          <w:szCs w:val="26"/>
        </w:rPr>
        <w:t>et seq.)</w:t>
      </w:r>
      <w:r w:rsidRPr="007C6F94" w:rsidR="004146B6">
        <w:rPr>
          <w:rFonts w:ascii="Times New Roman" w:hAnsi="Times New Roman" w:eastAsia="Palatino Linotype"/>
          <w:szCs w:val="26"/>
        </w:rPr>
        <w:t>; attorney work product</w:t>
      </w:r>
      <w:r w:rsidRPr="007C6F94" w:rsidR="0056779A">
        <w:rPr>
          <w:rFonts w:ascii="Times New Roman" w:hAnsi="Times New Roman" w:eastAsia="Palatino Linotype"/>
          <w:szCs w:val="26"/>
        </w:rPr>
        <w:t xml:space="preserve"> doctrine </w:t>
      </w:r>
      <w:r w:rsidRPr="007C6F94" w:rsidR="0056779A">
        <w:rPr>
          <w:rFonts w:ascii="Times New Roman" w:hAnsi="Times New Roman" w:eastAsia="Palatino Linotype"/>
          <w:szCs w:val="26"/>
        </w:rPr>
        <w:lastRenderedPageBreak/>
        <w:t xml:space="preserve">(Cal. Code Civ. Proc. § 2018.010 </w:t>
      </w:r>
      <w:r w:rsidRPr="007C6F94" w:rsidR="0056779A">
        <w:rPr>
          <w:rFonts w:ascii="Times New Roman" w:hAnsi="Times New Roman" w:eastAsia="Palatino Linotype"/>
          <w:i/>
          <w:iCs/>
          <w:szCs w:val="26"/>
        </w:rPr>
        <w:t>et seq.</w:t>
      </w:r>
      <w:r w:rsidRPr="007C6F94" w:rsidR="0056779A">
        <w:rPr>
          <w:rFonts w:ascii="Times New Roman" w:hAnsi="Times New Roman" w:eastAsia="Palatino Linotype"/>
          <w:szCs w:val="26"/>
        </w:rPr>
        <w:t>) and/or the deliberative process privilege (</w:t>
      </w:r>
      <w:r w:rsidRPr="007C6F94" w:rsidR="0056779A">
        <w:rPr>
          <w:rFonts w:ascii="Times New Roman" w:hAnsi="Times New Roman" w:eastAsia="Palatino Linotype"/>
          <w:i/>
          <w:iCs/>
          <w:szCs w:val="26"/>
        </w:rPr>
        <w:t>see, e.g., Times Mirror Co. v Superior Court</w:t>
      </w:r>
      <w:r w:rsidRPr="007C6F94" w:rsidR="0056779A">
        <w:rPr>
          <w:rFonts w:ascii="Times New Roman" w:hAnsi="Times New Roman" w:eastAsia="Palatino Linotype"/>
          <w:szCs w:val="26"/>
        </w:rPr>
        <w:t xml:space="preserve"> (1991) 53 Cal.3d 1325). </w:t>
      </w:r>
    </w:p>
    <w:p w:rsidRPr="007C6F94" w:rsidR="0056779A" w:rsidP="002E3D1C" w:rsidRDefault="0056779A" w14:paraId="09BEDC54" w14:textId="7A1747BF">
      <w:pPr>
        <w:rPr>
          <w:rFonts w:ascii="Times New Roman" w:hAnsi="Times New Roman" w:eastAsia="Palatino Linotype"/>
          <w:szCs w:val="26"/>
        </w:rPr>
      </w:pPr>
    </w:p>
    <w:p w:rsidRPr="007C6F94" w:rsidR="0056779A" w:rsidP="002E3D1C" w:rsidRDefault="0056779A" w14:paraId="6A28644B" w14:textId="10EC9A72">
      <w:pPr>
        <w:rPr>
          <w:rFonts w:ascii="Times New Roman" w:hAnsi="Times New Roman"/>
          <w:szCs w:val="26"/>
        </w:rPr>
      </w:pPr>
      <w:r w:rsidRPr="007C6F94">
        <w:rPr>
          <w:rFonts w:ascii="Times New Roman" w:hAnsi="Times New Roman" w:eastAsia="Palatino Linotype"/>
          <w:szCs w:val="26"/>
        </w:rPr>
        <w:t>On January 7, 2021</w:t>
      </w:r>
      <w:r w:rsidRPr="007C6F94" w:rsidR="004C4A28">
        <w:rPr>
          <w:rFonts w:ascii="Times New Roman" w:hAnsi="Times New Roman" w:eastAsia="Palatino Linotype"/>
          <w:szCs w:val="26"/>
        </w:rPr>
        <w:t xml:space="preserve">, Mr. Rittiman emailed Commission legal staff to appeal the determination that documents under Item 1 were exempt from disclosure, requesting a “Vaughn Index for the claimed privileged or exempt records you assert.”  The Commission </w:t>
      </w:r>
      <w:r w:rsidR="005E0F93">
        <w:rPr>
          <w:rFonts w:ascii="Times New Roman" w:hAnsi="Times New Roman" w:eastAsia="Palatino Linotype"/>
          <w:szCs w:val="26"/>
        </w:rPr>
        <w:t xml:space="preserve">legal staff </w:t>
      </w:r>
      <w:r w:rsidRPr="007C6F94" w:rsidR="004C4A28">
        <w:rPr>
          <w:rFonts w:ascii="Times New Roman" w:hAnsi="Times New Roman" w:eastAsia="Palatino Linotype"/>
          <w:szCs w:val="26"/>
        </w:rPr>
        <w:t>acknowledged Mr. Rittiman’s appeal the same day</w:t>
      </w:r>
      <w:r w:rsidRPr="007C6F94" w:rsidR="007F25EE">
        <w:rPr>
          <w:rFonts w:ascii="Times New Roman" w:hAnsi="Times New Roman" w:eastAsia="Palatino Linotype"/>
          <w:szCs w:val="26"/>
        </w:rPr>
        <w:t xml:space="preserve">, but denied the request for a “Vaughn Index.”  Staff noted that </w:t>
      </w:r>
      <w:r w:rsidRPr="007C6F94" w:rsidR="00166AAC">
        <w:rPr>
          <w:rFonts w:ascii="Times New Roman" w:hAnsi="Times New Roman" w:eastAsia="Palatino Linotype"/>
          <w:szCs w:val="26"/>
        </w:rPr>
        <w:t>“</w:t>
      </w:r>
      <w:r w:rsidRPr="007C6F94" w:rsidR="007F25EE">
        <w:rPr>
          <w:rFonts w:ascii="Times New Roman" w:hAnsi="Times New Roman" w:eastAsia="Palatino Linotype"/>
          <w:szCs w:val="26"/>
        </w:rPr>
        <w:t>Vaughn Index”</w:t>
      </w:r>
      <w:r w:rsidRPr="007C6F94" w:rsidR="00166AAC">
        <w:rPr>
          <w:rFonts w:ascii="Times New Roman" w:hAnsi="Times New Roman" w:eastAsia="Palatino Linotype"/>
          <w:szCs w:val="26"/>
        </w:rPr>
        <w:t xml:space="preserve"> is a term used in </w:t>
      </w:r>
      <w:r w:rsidRPr="007C6F94" w:rsidR="007F25EE">
        <w:rPr>
          <w:rFonts w:ascii="Times New Roman" w:hAnsi="Times New Roman" w:eastAsia="Palatino Linotype"/>
          <w:szCs w:val="26"/>
        </w:rPr>
        <w:t>cases under the federal Freedom of Information Act</w:t>
      </w:r>
      <w:r w:rsidRPr="007C6F94" w:rsidR="00166AAC">
        <w:rPr>
          <w:rFonts w:ascii="Times New Roman" w:hAnsi="Times New Roman" w:eastAsia="Palatino Linotype"/>
          <w:szCs w:val="26"/>
        </w:rPr>
        <w:t>, but is not applicable to cases under California law</w:t>
      </w:r>
      <w:r w:rsidRPr="007C6F94" w:rsidR="007F25EE">
        <w:rPr>
          <w:rFonts w:ascii="Times New Roman" w:hAnsi="Times New Roman" w:eastAsia="Palatino Linotype"/>
          <w:szCs w:val="26"/>
        </w:rPr>
        <w:t xml:space="preserve">.  </w:t>
      </w:r>
      <w:r w:rsidRPr="007C6F94" w:rsidR="00166AAC">
        <w:rPr>
          <w:rFonts w:ascii="Times New Roman" w:hAnsi="Times New Roman" w:eastAsia="Palatino Linotype"/>
          <w:szCs w:val="26"/>
        </w:rPr>
        <w:t xml:space="preserve">Staff stated that in California, a “privilege log” serves a comparable function as a Vaughn Index, but the Public Records Act does not require that an agency create a privilege log. </w:t>
      </w:r>
      <w:r w:rsidRPr="007C6F94" w:rsidR="00166AAC">
        <w:rPr>
          <w:rFonts w:ascii="Times New Roman" w:hAnsi="Times New Roman" w:eastAsia="Palatino Linotype"/>
          <w:i/>
          <w:iCs/>
          <w:szCs w:val="26"/>
        </w:rPr>
        <w:t xml:space="preserve">Haynie v Superior </w:t>
      </w:r>
      <w:r w:rsidRPr="007C6F94" w:rsidR="00430A76">
        <w:rPr>
          <w:rFonts w:ascii="Times New Roman" w:hAnsi="Times New Roman" w:eastAsia="Palatino Linotype"/>
          <w:i/>
          <w:iCs/>
          <w:szCs w:val="26"/>
        </w:rPr>
        <w:t>Court</w:t>
      </w:r>
      <w:r w:rsidRPr="007C6F94" w:rsidR="00430A76">
        <w:rPr>
          <w:rFonts w:ascii="Times New Roman" w:hAnsi="Times New Roman" w:eastAsia="Palatino Linotype"/>
          <w:szCs w:val="26"/>
        </w:rPr>
        <w:t>, 26</w:t>
      </w:r>
      <w:r w:rsidRPr="007C6F94" w:rsidR="00166AAC">
        <w:rPr>
          <w:rFonts w:ascii="Times New Roman" w:hAnsi="Times New Roman" w:eastAsia="Palatino Linotype"/>
          <w:szCs w:val="26"/>
        </w:rPr>
        <w:t xml:space="preserve"> Cal.4th 1061, 1075</w:t>
      </w:r>
      <w:r w:rsidRPr="007C6F94" w:rsidR="0086425B">
        <w:rPr>
          <w:rFonts w:ascii="Times New Roman" w:hAnsi="Times New Roman" w:eastAsia="Palatino Linotype"/>
          <w:szCs w:val="26"/>
        </w:rPr>
        <w:t xml:space="preserve"> (2001)</w:t>
      </w:r>
      <w:r w:rsidRPr="007C6F94" w:rsidR="00166AAC">
        <w:rPr>
          <w:rFonts w:ascii="Times New Roman" w:hAnsi="Times New Roman" w:eastAsia="Palatino Linotype"/>
          <w:szCs w:val="26"/>
        </w:rPr>
        <w:t xml:space="preserve">. </w:t>
      </w:r>
    </w:p>
    <w:p w:rsidRPr="007C6F94" w:rsidR="00977723" w:rsidP="002E3D1C" w:rsidRDefault="00977723" w14:paraId="42792D3E" w14:textId="77777777">
      <w:pPr>
        <w:rPr>
          <w:rFonts w:ascii="Times New Roman" w:hAnsi="Times New Roman"/>
          <w:szCs w:val="26"/>
        </w:rPr>
      </w:pPr>
    </w:p>
    <w:p w:rsidRPr="007C6F94" w:rsidR="00B4546C" w:rsidP="002E3D1C" w:rsidRDefault="00B4546C" w14:paraId="65C3BF85" w14:textId="77777777">
      <w:pPr>
        <w:rPr>
          <w:rFonts w:ascii="Times New Roman" w:hAnsi="Times New Roman"/>
          <w:b/>
          <w:szCs w:val="26"/>
          <w:u w:val="single"/>
        </w:rPr>
      </w:pPr>
      <w:r w:rsidRPr="007C6F94">
        <w:rPr>
          <w:rFonts w:ascii="Times New Roman" w:hAnsi="Times New Roman"/>
          <w:b/>
          <w:szCs w:val="26"/>
          <w:u w:val="single"/>
        </w:rPr>
        <w:t>DISCUSSION</w:t>
      </w:r>
    </w:p>
    <w:p w:rsidRPr="007C6F94" w:rsidR="00B4546C" w:rsidP="002E3D1C" w:rsidRDefault="00B4546C" w14:paraId="2197424F" w14:textId="77777777">
      <w:pPr>
        <w:rPr>
          <w:rFonts w:ascii="Times New Roman" w:hAnsi="Times New Roman"/>
          <w:b/>
          <w:szCs w:val="26"/>
        </w:rPr>
      </w:pPr>
    </w:p>
    <w:p w:rsidRPr="007C6F94" w:rsidR="00E83247" w:rsidP="002E3D1C" w:rsidRDefault="00F935EF" w14:paraId="2F5C35AC" w14:textId="4FD95E21">
      <w:pPr>
        <w:rPr>
          <w:rFonts w:ascii="Times New Roman" w:hAnsi="Times New Roman"/>
          <w:szCs w:val="26"/>
        </w:rPr>
      </w:pPr>
      <w:r w:rsidRPr="007C6F94">
        <w:rPr>
          <w:rFonts w:ascii="Times New Roman" w:hAnsi="Times New Roman" w:eastAsia="Palatino Linotype"/>
          <w:szCs w:val="26"/>
        </w:rPr>
        <w:t>The California Constitution</w:t>
      </w:r>
      <w:r w:rsidRPr="007C6F94" w:rsidR="00765999">
        <w:rPr>
          <w:rFonts w:ascii="Times New Roman" w:hAnsi="Times New Roman" w:eastAsia="Palatino Linotype"/>
          <w:szCs w:val="26"/>
        </w:rPr>
        <w:t xml:space="preserve"> and</w:t>
      </w:r>
      <w:r w:rsidRPr="007C6F94">
        <w:rPr>
          <w:rFonts w:ascii="Times New Roman" w:hAnsi="Times New Roman" w:eastAsia="Palatino Linotype"/>
          <w:szCs w:val="26"/>
        </w:rPr>
        <w:t xml:space="preserve"> the CPRA</w:t>
      </w:r>
      <w:r w:rsidRPr="007C6F94" w:rsidR="00765999">
        <w:rPr>
          <w:rFonts w:ascii="Times New Roman" w:hAnsi="Times New Roman" w:eastAsia="Palatino Linotype"/>
          <w:szCs w:val="26"/>
        </w:rPr>
        <w:t xml:space="preserve"> confer </w:t>
      </w:r>
      <w:r w:rsidRPr="007C6F94" w:rsidR="00696849">
        <w:rPr>
          <w:rFonts w:ascii="Times New Roman" w:hAnsi="Times New Roman" w:eastAsia="Palatino Linotype"/>
          <w:szCs w:val="26"/>
        </w:rPr>
        <w:t xml:space="preserve">a </w:t>
      </w:r>
      <w:r w:rsidRPr="007C6F94">
        <w:rPr>
          <w:rFonts w:ascii="Times New Roman" w:hAnsi="Times New Roman" w:eastAsia="Palatino Linotype"/>
          <w:szCs w:val="26"/>
        </w:rPr>
        <w:t>public</w:t>
      </w:r>
      <w:r w:rsidRPr="007C6F94" w:rsidR="00E83247">
        <w:rPr>
          <w:rFonts w:ascii="Times New Roman" w:hAnsi="Times New Roman" w:eastAsia="Palatino Linotype"/>
          <w:szCs w:val="26"/>
        </w:rPr>
        <w:t xml:space="preserve"> </w:t>
      </w:r>
      <w:r w:rsidRPr="007C6F94">
        <w:rPr>
          <w:rFonts w:ascii="Times New Roman" w:hAnsi="Times New Roman" w:eastAsia="Palatino Linotype"/>
          <w:szCs w:val="26"/>
        </w:rPr>
        <w:t xml:space="preserve">right to access </w:t>
      </w:r>
      <w:r w:rsidRPr="007C6F94" w:rsidR="00E83247">
        <w:rPr>
          <w:rFonts w:ascii="Times New Roman" w:hAnsi="Times New Roman" w:eastAsia="Palatino Linotype"/>
          <w:szCs w:val="26"/>
        </w:rPr>
        <w:t>a substantial amount of</w:t>
      </w:r>
      <w:r w:rsidRPr="007C6F94">
        <w:rPr>
          <w:rFonts w:ascii="Times New Roman" w:hAnsi="Times New Roman" w:eastAsia="Palatino Linotype"/>
          <w:szCs w:val="26"/>
        </w:rPr>
        <w:t xml:space="preserve"> government information. </w:t>
      </w:r>
      <w:r w:rsidR="00BA163C">
        <w:rPr>
          <w:rFonts w:ascii="Times New Roman" w:hAnsi="Times New Roman" w:eastAsia="Palatino Linotype"/>
          <w:szCs w:val="26"/>
        </w:rPr>
        <w:t xml:space="preserve"> </w:t>
      </w:r>
      <w:r w:rsidRPr="007C6F94" w:rsidR="00E83247">
        <w:rPr>
          <w:rFonts w:ascii="Times New Roman" w:hAnsi="Times New Roman" w:eastAsia="Palatino Linotype"/>
          <w:szCs w:val="26"/>
        </w:rPr>
        <w:t xml:space="preserve">The preamble to the CPRA declares “that access to information concerning the conduct of the people’s business is a fundamental and necessary right of every person in this state.”  Cal. Gov. Code § 6250. </w:t>
      </w:r>
      <w:r w:rsidR="00A83855">
        <w:rPr>
          <w:rFonts w:ascii="Times New Roman" w:hAnsi="Times New Roman" w:eastAsia="Palatino Linotype"/>
          <w:szCs w:val="26"/>
        </w:rPr>
        <w:t xml:space="preserve"> </w:t>
      </w:r>
      <w:r w:rsidRPr="007C6F94" w:rsidR="00E83247">
        <w:rPr>
          <w:rFonts w:ascii="Times New Roman" w:hAnsi="Times New Roman" w:eastAsia="Palatino Linotype"/>
          <w:szCs w:val="26"/>
        </w:rPr>
        <w:t xml:space="preserve">However, </w:t>
      </w:r>
      <w:r w:rsidRPr="007C6F94" w:rsidR="00E83247">
        <w:rPr>
          <w:rFonts w:ascii="Times New Roman" w:hAnsi="Times New Roman"/>
          <w:szCs w:val="26"/>
        </w:rPr>
        <w:t xml:space="preserve">“[t]he right of access to public records under the </w:t>
      </w:r>
      <w:r w:rsidRPr="007C6F94" w:rsidR="00C97618">
        <w:rPr>
          <w:rFonts w:ascii="Times New Roman" w:hAnsi="Times New Roman"/>
          <w:szCs w:val="26"/>
        </w:rPr>
        <w:t>CPRA</w:t>
      </w:r>
      <w:r w:rsidRPr="007C6F94" w:rsidR="00E83247">
        <w:rPr>
          <w:rFonts w:ascii="Times New Roman" w:hAnsi="Times New Roman"/>
          <w:szCs w:val="26"/>
        </w:rPr>
        <w:t xml:space="preserve"> is not absolute.” </w:t>
      </w:r>
      <w:r w:rsidRPr="007C6F94" w:rsidR="00E83247">
        <w:rPr>
          <w:rFonts w:ascii="Times New Roman" w:hAnsi="Times New Roman"/>
          <w:i/>
          <w:iCs/>
          <w:szCs w:val="26"/>
        </w:rPr>
        <w:t>Copley Press, Inc. v. Superior Court</w:t>
      </w:r>
      <w:r w:rsidRPr="007C6F94" w:rsidR="00E83247">
        <w:rPr>
          <w:rFonts w:ascii="Times New Roman" w:hAnsi="Times New Roman"/>
          <w:szCs w:val="26"/>
        </w:rPr>
        <w:t>, 39 Cal.</w:t>
      </w:r>
      <w:r w:rsidRPr="007C6F94" w:rsidR="007F1311">
        <w:rPr>
          <w:rFonts w:ascii="Times New Roman" w:hAnsi="Times New Roman"/>
          <w:szCs w:val="26"/>
        </w:rPr>
        <w:t xml:space="preserve"> </w:t>
      </w:r>
      <w:r w:rsidRPr="007C6F94" w:rsidR="00E83247">
        <w:rPr>
          <w:rFonts w:ascii="Times New Roman" w:hAnsi="Times New Roman"/>
          <w:szCs w:val="26"/>
        </w:rPr>
        <w:t>4th 1272, 1282</w:t>
      </w:r>
      <w:r w:rsidRPr="007C6F94" w:rsidR="00696849">
        <w:rPr>
          <w:rFonts w:ascii="Times New Roman" w:hAnsi="Times New Roman"/>
          <w:szCs w:val="26"/>
        </w:rPr>
        <w:t xml:space="preserve"> </w:t>
      </w:r>
      <w:r w:rsidRPr="007C6F94" w:rsidR="00E83247">
        <w:rPr>
          <w:rFonts w:ascii="Times New Roman" w:hAnsi="Times New Roman"/>
          <w:szCs w:val="26"/>
        </w:rPr>
        <w:t xml:space="preserve">(2006). </w:t>
      </w:r>
      <w:r w:rsidR="00BA163C">
        <w:rPr>
          <w:rFonts w:ascii="Times New Roman" w:hAnsi="Times New Roman"/>
          <w:szCs w:val="26"/>
        </w:rPr>
        <w:t xml:space="preserve"> </w:t>
      </w:r>
      <w:r w:rsidRPr="007C6F94" w:rsidR="00E83247">
        <w:rPr>
          <w:rFonts w:ascii="Times New Roman" w:hAnsi="Times New Roman"/>
          <w:szCs w:val="26"/>
        </w:rPr>
        <w:t xml:space="preserve">There are numerous </w:t>
      </w:r>
      <w:r w:rsidRPr="007C6F94" w:rsidR="00B82989">
        <w:rPr>
          <w:rFonts w:ascii="Times New Roman" w:hAnsi="Times New Roman"/>
          <w:szCs w:val="26"/>
        </w:rPr>
        <w:t>statutory</w:t>
      </w:r>
      <w:r w:rsidRPr="007C6F94" w:rsidR="00E83247">
        <w:rPr>
          <w:rFonts w:ascii="Times New Roman" w:hAnsi="Times New Roman"/>
          <w:szCs w:val="26"/>
        </w:rPr>
        <w:t xml:space="preserve"> exemptions for documents that the California Legislature has deemed inappropriate for general public disclosure</w:t>
      </w:r>
      <w:r w:rsidRPr="007C6F94" w:rsidR="00696849">
        <w:rPr>
          <w:rFonts w:ascii="Times New Roman" w:hAnsi="Times New Roman"/>
          <w:szCs w:val="26"/>
        </w:rPr>
        <w:t>.</w:t>
      </w:r>
    </w:p>
    <w:p w:rsidRPr="007C6F94" w:rsidR="005E08FE" w:rsidRDefault="005E08FE" w14:paraId="631BABC0" w14:textId="77777777">
      <w:pPr>
        <w:rPr>
          <w:rFonts w:ascii="Times New Roman" w:hAnsi="Times New Roman"/>
          <w:b/>
          <w:bCs/>
          <w:szCs w:val="26"/>
        </w:rPr>
      </w:pPr>
    </w:p>
    <w:p w:rsidRPr="007C6F94" w:rsidR="00EE09C7" w:rsidP="00EE09C7" w:rsidRDefault="00EE09C7" w14:paraId="4473662D" w14:textId="185EC802">
      <w:pPr>
        <w:rPr>
          <w:rFonts w:ascii="Times New Roman" w:hAnsi="Times New Roman"/>
          <w:b/>
          <w:bCs/>
          <w:szCs w:val="26"/>
        </w:rPr>
      </w:pPr>
      <w:r w:rsidRPr="007C6F94">
        <w:rPr>
          <w:rFonts w:ascii="Times New Roman" w:hAnsi="Times New Roman"/>
          <w:b/>
          <w:bCs/>
          <w:szCs w:val="26"/>
        </w:rPr>
        <w:t>Item 1:</w:t>
      </w:r>
    </w:p>
    <w:p w:rsidRPr="007C6F94" w:rsidR="00EE09C7" w:rsidP="00D347DC" w:rsidRDefault="00EE09C7" w14:paraId="65CDA40C" w14:textId="77777777">
      <w:pPr>
        <w:jc w:val="center"/>
        <w:rPr>
          <w:rFonts w:ascii="Times New Roman" w:hAnsi="Times New Roman"/>
          <w:b/>
          <w:bCs/>
          <w:szCs w:val="26"/>
        </w:rPr>
      </w:pPr>
    </w:p>
    <w:p w:rsidR="007868A6" w:rsidP="00D347DC" w:rsidRDefault="00D347DC" w14:paraId="79EEB870" w14:textId="77777777">
      <w:pPr>
        <w:jc w:val="center"/>
        <w:rPr>
          <w:rFonts w:ascii="Times New Roman" w:hAnsi="Times New Roman"/>
          <w:b/>
          <w:bCs/>
          <w:szCs w:val="26"/>
        </w:rPr>
      </w:pPr>
      <w:r w:rsidRPr="007C6F94">
        <w:rPr>
          <w:rFonts w:ascii="Times New Roman" w:hAnsi="Times New Roman"/>
          <w:b/>
          <w:bCs/>
          <w:szCs w:val="26"/>
        </w:rPr>
        <w:t>A</w:t>
      </w:r>
      <w:r w:rsidRPr="007C6F94" w:rsidR="00742A1D">
        <w:rPr>
          <w:rFonts w:ascii="Times New Roman" w:hAnsi="Times New Roman"/>
          <w:b/>
          <w:bCs/>
          <w:szCs w:val="26"/>
        </w:rPr>
        <w:t xml:space="preserve">TTORNEY-CLIENT </w:t>
      </w:r>
      <w:r w:rsidRPr="007C6F94" w:rsidR="007E4654">
        <w:rPr>
          <w:rFonts w:ascii="Times New Roman" w:hAnsi="Times New Roman"/>
          <w:b/>
          <w:bCs/>
          <w:szCs w:val="26"/>
        </w:rPr>
        <w:t xml:space="preserve">PRIVILEGE </w:t>
      </w:r>
    </w:p>
    <w:p w:rsidRPr="007C6F94" w:rsidR="00742A1D" w:rsidP="00D347DC" w:rsidRDefault="007E4654" w14:paraId="59CF2211" w14:textId="5618367A">
      <w:pPr>
        <w:jc w:val="center"/>
        <w:rPr>
          <w:rFonts w:ascii="Times New Roman" w:hAnsi="Times New Roman"/>
          <w:b/>
          <w:bCs/>
          <w:szCs w:val="26"/>
        </w:rPr>
      </w:pPr>
      <w:r w:rsidRPr="007C6F94">
        <w:rPr>
          <w:rFonts w:ascii="Times New Roman" w:hAnsi="Times New Roman"/>
          <w:b/>
          <w:bCs/>
          <w:szCs w:val="26"/>
        </w:rPr>
        <w:t>AND ATTORNEY WORK PRODUCT DOCTRINE</w:t>
      </w:r>
    </w:p>
    <w:p w:rsidRPr="007C6F94" w:rsidR="00742A1D" w:rsidP="00742A1D" w:rsidRDefault="00742A1D" w14:paraId="1C9232D2" w14:textId="77777777">
      <w:pPr>
        <w:rPr>
          <w:rFonts w:ascii="Times New Roman" w:hAnsi="Times New Roman"/>
          <w:szCs w:val="26"/>
        </w:rPr>
      </w:pPr>
    </w:p>
    <w:p w:rsidRPr="007C6F94" w:rsidR="009632EC" w:rsidP="00742A1D" w:rsidRDefault="009632EC" w14:paraId="5BED5332" w14:textId="2F387BA8">
      <w:pPr>
        <w:rPr>
          <w:rFonts w:ascii="Times New Roman" w:hAnsi="Times New Roman"/>
          <w:szCs w:val="26"/>
        </w:rPr>
      </w:pPr>
      <w:r w:rsidRPr="007C6F94">
        <w:rPr>
          <w:rFonts w:ascii="Times New Roman" w:hAnsi="Times New Roman"/>
          <w:szCs w:val="26"/>
        </w:rPr>
        <w:t xml:space="preserve">Government Code </w:t>
      </w:r>
      <w:r w:rsidR="004C313D">
        <w:rPr>
          <w:rFonts w:ascii="Times New Roman" w:hAnsi="Times New Roman"/>
          <w:szCs w:val="26"/>
        </w:rPr>
        <w:t>S</w:t>
      </w:r>
      <w:r w:rsidRPr="007C6F94">
        <w:rPr>
          <w:rFonts w:ascii="Times New Roman" w:hAnsi="Times New Roman"/>
          <w:szCs w:val="26"/>
        </w:rPr>
        <w:t>ection 6254(k) exempts from disclosure “[r]ecords, the disclosure of which is exempted or prohibited pursuant to federal or state law, including, but not limited to, provisions of the Evidence Code relating to privilege.”</w:t>
      </w:r>
    </w:p>
    <w:p w:rsidRPr="007C6F94" w:rsidR="009632EC" w:rsidP="00742A1D" w:rsidRDefault="009632EC" w14:paraId="488E0A7B" w14:textId="77777777">
      <w:pPr>
        <w:rPr>
          <w:rFonts w:ascii="Times New Roman" w:hAnsi="Times New Roman"/>
          <w:szCs w:val="26"/>
        </w:rPr>
      </w:pPr>
    </w:p>
    <w:p w:rsidRPr="007C6F94" w:rsidR="00742A1D" w:rsidP="00742A1D" w:rsidRDefault="00742A1D" w14:paraId="2FB45F95" w14:textId="5A3249BF">
      <w:pPr>
        <w:rPr>
          <w:rFonts w:ascii="Times New Roman" w:hAnsi="Times New Roman"/>
          <w:szCs w:val="26"/>
        </w:rPr>
      </w:pPr>
      <w:r w:rsidRPr="007C6F94">
        <w:rPr>
          <w:rFonts w:ascii="Times New Roman" w:hAnsi="Times New Roman"/>
          <w:szCs w:val="26"/>
        </w:rPr>
        <w:t xml:space="preserve">In the case of the attorney-client privilege, an assertion of the privilege requires:  </w:t>
      </w:r>
      <w:r w:rsidRPr="007C6F94">
        <w:rPr>
          <w:rFonts w:ascii="Times New Roman" w:hAnsi="Times New Roman"/>
          <w:szCs w:val="26"/>
        </w:rPr>
        <w:br/>
        <w:t xml:space="preserve">1) an attorney-client relationship (Cal. Evid. Code </w:t>
      </w:r>
      <w:r w:rsidR="00BA163C">
        <w:rPr>
          <w:rFonts w:ascii="Times New Roman" w:hAnsi="Times New Roman"/>
          <w:szCs w:val="26"/>
        </w:rPr>
        <w:t>Sections</w:t>
      </w:r>
      <w:r w:rsidRPr="007C6F94">
        <w:rPr>
          <w:rFonts w:ascii="Times New Roman" w:hAnsi="Times New Roman"/>
          <w:szCs w:val="26"/>
        </w:rPr>
        <w:t xml:space="preserve"> 951, 954); 2) a confidential communication between client and lawyer, as defined in Cal</w:t>
      </w:r>
      <w:r w:rsidRPr="007C6F94" w:rsidR="0086425B">
        <w:rPr>
          <w:rFonts w:ascii="Times New Roman" w:hAnsi="Times New Roman"/>
          <w:szCs w:val="26"/>
        </w:rPr>
        <w:t xml:space="preserve">ifornia </w:t>
      </w:r>
      <w:r w:rsidRPr="007C6F94">
        <w:rPr>
          <w:rFonts w:ascii="Times New Roman" w:hAnsi="Times New Roman"/>
          <w:szCs w:val="26"/>
        </w:rPr>
        <w:t>Evid</w:t>
      </w:r>
      <w:r w:rsidRPr="007C6F94" w:rsidR="0086425B">
        <w:rPr>
          <w:rFonts w:ascii="Times New Roman" w:hAnsi="Times New Roman"/>
          <w:szCs w:val="26"/>
        </w:rPr>
        <w:t>ence</w:t>
      </w:r>
      <w:r w:rsidRPr="007C6F94">
        <w:rPr>
          <w:rFonts w:ascii="Times New Roman" w:hAnsi="Times New Roman"/>
          <w:szCs w:val="26"/>
        </w:rPr>
        <w:t xml:space="preserve"> Code </w:t>
      </w:r>
      <w:r w:rsidR="004C313D">
        <w:rPr>
          <w:rFonts w:ascii="Times New Roman" w:hAnsi="Times New Roman"/>
          <w:szCs w:val="26"/>
        </w:rPr>
        <w:t>S</w:t>
      </w:r>
      <w:r w:rsidRPr="007C6F94" w:rsidR="00201D4E">
        <w:rPr>
          <w:rFonts w:ascii="Times New Roman" w:hAnsi="Times New Roman"/>
          <w:szCs w:val="26"/>
        </w:rPr>
        <w:t xml:space="preserve">ection </w:t>
      </w:r>
      <w:r w:rsidRPr="007C6F94">
        <w:rPr>
          <w:rFonts w:ascii="Times New Roman" w:hAnsi="Times New Roman"/>
          <w:szCs w:val="26"/>
        </w:rPr>
        <w:t xml:space="preserve">952, during the course of the attorney-client relationship; and 3) a privilege claim by the holder of the privilege, or by a person who is authorized to claim the privilege by the holder of the privilege (Cal. Evid. Code </w:t>
      </w:r>
      <w:r w:rsidR="00BA163C">
        <w:rPr>
          <w:rFonts w:ascii="Times New Roman" w:hAnsi="Times New Roman"/>
          <w:szCs w:val="26"/>
        </w:rPr>
        <w:t>Section</w:t>
      </w:r>
      <w:r w:rsidRPr="007C6F94">
        <w:rPr>
          <w:rFonts w:ascii="Times New Roman" w:hAnsi="Times New Roman"/>
          <w:szCs w:val="26"/>
        </w:rPr>
        <w:t xml:space="preserve"> 954).</w:t>
      </w:r>
    </w:p>
    <w:p w:rsidRPr="007C6F94" w:rsidR="00742A1D" w:rsidP="00742A1D" w:rsidRDefault="00742A1D" w14:paraId="35C3A0EF" w14:textId="77777777">
      <w:pPr>
        <w:rPr>
          <w:rFonts w:ascii="Times New Roman" w:hAnsi="Times New Roman"/>
          <w:szCs w:val="26"/>
        </w:rPr>
      </w:pPr>
    </w:p>
    <w:p w:rsidRPr="007C6F94" w:rsidR="00742A1D" w:rsidP="00742A1D" w:rsidRDefault="00742A1D" w14:paraId="2D01C771" w14:textId="591BA96F">
      <w:pPr>
        <w:rPr>
          <w:rFonts w:ascii="Times New Roman" w:hAnsi="Times New Roman"/>
          <w:szCs w:val="26"/>
        </w:rPr>
      </w:pPr>
      <w:r w:rsidRPr="007C6F94">
        <w:rPr>
          <w:rFonts w:ascii="Times New Roman" w:hAnsi="Times New Roman"/>
          <w:szCs w:val="26"/>
        </w:rPr>
        <w:t>Cal</w:t>
      </w:r>
      <w:r w:rsidRPr="007C6F94" w:rsidR="00ED11E1">
        <w:rPr>
          <w:rFonts w:ascii="Times New Roman" w:hAnsi="Times New Roman"/>
          <w:szCs w:val="26"/>
        </w:rPr>
        <w:t>ifornia</w:t>
      </w:r>
      <w:r w:rsidRPr="007C6F94">
        <w:rPr>
          <w:rFonts w:ascii="Times New Roman" w:hAnsi="Times New Roman"/>
          <w:szCs w:val="26"/>
        </w:rPr>
        <w:t xml:space="preserve"> Evid</w:t>
      </w:r>
      <w:r w:rsidRPr="007C6F94" w:rsidR="00ED11E1">
        <w:rPr>
          <w:rFonts w:ascii="Times New Roman" w:hAnsi="Times New Roman"/>
          <w:szCs w:val="26"/>
        </w:rPr>
        <w:t>ence</w:t>
      </w:r>
      <w:r w:rsidRPr="007C6F94">
        <w:rPr>
          <w:rFonts w:ascii="Times New Roman" w:hAnsi="Times New Roman"/>
          <w:szCs w:val="26"/>
        </w:rPr>
        <w:t xml:space="preserve"> Code </w:t>
      </w:r>
      <w:r w:rsidR="004C313D">
        <w:rPr>
          <w:rFonts w:ascii="Times New Roman" w:hAnsi="Times New Roman"/>
          <w:szCs w:val="26"/>
        </w:rPr>
        <w:t>S</w:t>
      </w:r>
      <w:r w:rsidRPr="007C6F94" w:rsidR="00201D4E">
        <w:rPr>
          <w:rFonts w:ascii="Times New Roman" w:hAnsi="Times New Roman"/>
          <w:szCs w:val="26"/>
        </w:rPr>
        <w:t xml:space="preserve">ection </w:t>
      </w:r>
      <w:r w:rsidRPr="007C6F94">
        <w:rPr>
          <w:rFonts w:ascii="Times New Roman" w:hAnsi="Times New Roman"/>
          <w:szCs w:val="26"/>
        </w:rPr>
        <w:t>952 defines “Confidential Communication Between Client and Lawyer” as follows:</w:t>
      </w:r>
    </w:p>
    <w:p w:rsidRPr="007C6F94" w:rsidR="00742A1D" w:rsidP="00742A1D" w:rsidRDefault="00742A1D" w14:paraId="306D4DC6" w14:textId="77777777">
      <w:pPr>
        <w:rPr>
          <w:rFonts w:ascii="Times New Roman" w:hAnsi="Times New Roman"/>
          <w:szCs w:val="26"/>
        </w:rPr>
      </w:pPr>
    </w:p>
    <w:p w:rsidRPr="007C6F94" w:rsidR="00742A1D" w:rsidP="00BA163C" w:rsidRDefault="00742A1D" w14:paraId="384D12FE" w14:textId="4B8B0C8D">
      <w:pPr>
        <w:ind w:left="720" w:right="1440"/>
        <w:rPr>
          <w:rFonts w:ascii="Times New Roman" w:hAnsi="Times New Roman"/>
          <w:szCs w:val="26"/>
        </w:rPr>
      </w:pPr>
      <w:r w:rsidRPr="007C6F94">
        <w:rPr>
          <w:rFonts w:ascii="Times New Roman" w:hAnsi="Times New Roman"/>
          <w:szCs w:val="26"/>
        </w:rPr>
        <w:lastRenderedPageBreak/>
        <w:t>As used in this article, “confidential communication between client and lawyer” means information transmitted between a client and his or her lawyer in the course of that relationship and in confidence by a means which, so far as the client is aware, discloses the information to no third persons other than those who are present to further the interest of the client in the consultation or to those to whom disclosure is reasonably necessary for the transmission of the information or the accomplishment of the purposes for which the lawyer is consulted, and includes a legal opinion formed and the advice given by the lawyer in the course of that relationship.</w:t>
      </w:r>
    </w:p>
    <w:p w:rsidRPr="007C6F94" w:rsidR="007E4654" w:rsidP="00742A1D" w:rsidRDefault="007E4654" w14:paraId="54DB1B0C" w14:textId="77777777">
      <w:pPr>
        <w:rPr>
          <w:rFonts w:ascii="Times New Roman" w:hAnsi="Times New Roman"/>
          <w:szCs w:val="26"/>
        </w:rPr>
      </w:pPr>
    </w:p>
    <w:p w:rsidRPr="007C6F94" w:rsidR="00742A1D" w:rsidP="00742A1D" w:rsidRDefault="00742A1D" w14:paraId="1490FCB3" w14:textId="3FB43CA7">
      <w:pPr>
        <w:rPr>
          <w:rFonts w:ascii="Times New Roman" w:hAnsi="Times New Roman"/>
          <w:szCs w:val="26"/>
        </w:rPr>
      </w:pPr>
      <w:r w:rsidRPr="007C6F94">
        <w:rPr>
          <w:rFonts w:ascii="Times New Roman" w:hAnsi="Times New Roman"/>
          <w:szCs w:val="26"/>
        </w:rPr>
        <w:t>As the privilege holder, the Commission bears the burden of proving its right to assert the attorney-client privilege.</w:t>
      </w:r>
      <w:r w:rsidRPr="007C6F94">
        <w:rPr>
          <w:rFonts w:ascii="Times New Roman" w:hAnsi="Times New Roman"/>
          <w:b/>
          <w:szCs w:val="26"/>
          <w:u w:val="single"/>
          <w:vertAlign w:val="superscript"/>
        </w:rPr>
        <w:footnoteReference w:id="5"/>
      </w:r>
      <w:r w:rsidRPr="007C6F94">
        <w:rPr>
          <w:rFonts w:ascii="Times New Roman" w:hAnsi="Times New Roman"/>
          <w:szCs w:val="26"/>
        </w:rPr>
        <w:t xml:space="preserve">  As the California Supreme Court noted in </w:t>
      </w:r>
      <w:r w:rsidRPr="007C6F94">
        <w:rPr>
          <w:rFonts w:ascii="Times New Roman" w:hAnsi="Times New Roman"/>
          <w:i/>
          <w:szCs w:val="26"/>
        </w:rPr>
        <w:t>Costco</w:t>
      </w:r>
      <w:r w:rsidRPr="007C6F94">
        <w:rPr>
          <w:rFonts w:ascii="Times New Roman" w:hAnsi="Times New Roman"/>
          <w:szCs w:val="26"/>
        </w:rPr>
        <w:t xml:space="preserve"> </w:t>
      </w:r>
      <w:r w:rsidRPr="007C6F94">
        <w:rPr>
          <w:rFonts w:ascii="Times New Roman" w:hAnsi="Times New Roman"/>
          <w:i/>
          <w:szCs w:val="26"/>
        </w:rPr>
        <w:t>Wholesale Corp. v. Superior Court</w:t>
      </w:r>
      <w:r w:rsidRPr="007C6F94" w:rsidR="00ED11E1">
        <w:rPr>
          <w:rFonts w:ascii="Times New Roman" w:hAnsi="Times New Roman"/>
          <w:iCs/>
          <w:szCs w:val="26"/>
        </w:rPr>
        <w:t>,</w:t>
      </w:r>
      <w:r w:rsidRPr="007C6F94">
        <w:rPr>
          <w:rFonts w:ascii="Times New Roman" w:hAnsi="Times New Roman"/>
          <w:i/>
          <w:szCs w:val="26"/>
        </w:rPr>
        <w:t xml:space="preserve"> </w:t>
      </w:r>
      <w:r w:rsidRPr="007C6F94">
        <w:rPr>
          <w:rFonts w:ascii="Times New Roman" w:hAnsi="Times New Roman"/>
          <w:szCs w:val="26"/>
        </w:rPr>
        <w:t>(“</w:t>
      </w:r>
      <w:r w:rsidRPr="007C6F94">
        <w:rPr>
          <w:rFonts w:ascii="Times New Roman" w:hAnsi="Times New Roman"/>
          <w:i/>
          <w:szCs w:val="26"/>
        </w:rPr>
        <w:t>Costco</w:t>
      </w:r>
      <w:r w:rsidRPr="007C6F94">
        <w:rPr>
          <w:rFonts w:ascii="Times New Roman" w:hAnsi="Times New Roman"/>
          <w:szCs w:val="26"/>
        </w:rPr>
        <w:t>”)</w:t>
      </w:r>
      <w:r w:rsidRPr="007C6F94">
        <w:rPr>
          <w:rFonts w:ascii="Times New Roman" w:hAnsi="Times New Roman"/>
          <w:i/>
          <w:szCs w:val="26"/>
        </w:rPr>
        <w:t xml:space="preserve"> </w:t>
      </w:r>
      <w:r w:rsidRPr="007C6F94">
        <w:rPr>
          <w:rFonts w:ascii="Times New Roman" w:hAnsi="Times New Roman"/>
          <w:szCs w:val="26"/>
        </w:rPr>
        <w:t>47 Cal.4th 725, 733</w:t>
      </w:r>
      <w:r w:rsidRPr="007C6F94" w:rsidR="00ED11E1">
        <w:rPr>
          <w:rFonts w:ascii="Times New Roman" w:hAnsi="Times New Roman"/>
          <w:szCs w:val="26"/>
        </w:rPr>
        <w:t xml:space="preserve"> (2009</w:t>
      </w:r>
      <w:r w:rsidRPr="007C6F94" w:rsidR="00430A76">
        <w:rPr>
          <w:rFonts w:ascii="Times New Roman" w:hAnsi="Times New Roman"/>
          <w:szCs w:val="26"/>
        </w:rPr>
        <w:t>):</w:t>
      </w:r>
      <w:r w:rsidRPr="007C6F94">
        <w:rPr>
          <w:rFonts w:ascii="Times New Roman" w:hAnsi="Times New Roman"/>
          <w:szCs w:val="26"/>
        </w:rPr>
        <w:t xml:space="preserve"> </w:t>
      </w:r>
    </w:p>
    <w:p w:rsidRPr="007C6F94" w:rsidR="00742A1D" w:rsidP="00742A1D" w:rsidRDefault="00742A1D" w14:paraId="5BBA60F3" w14:textId="77777777">
      <w:pPr>
        <w:rPr>
          <w:rFonts w:ascii="Times New Roman" w:hAnsi="Times New Roman"/>
          <w:szCs w:val="26"/>
        </w:rPr>
      </w:pPr>
    </w:p>
    <w:p w:rsidRPr="007C6F94" w:rsidR="00742A1D" w:rsidP="00BA163C" w:rsidRDefault="00742A1D" w14:paraId="193B0F49" w14:textId="5644092A">
      <w:pPr>
        <w:ind w:left="720" w:right="1440"/>
        <w:rPr>
          <w:rFonts w:ascii="Times New Roman" w:hAnsi="Times New Roman"/>
          <w:szCs w:val="26"/>
        </w:rPr>
      </w:pPr>
      <w:r w:rsidRPr="007C6F94">
        <w:rPr>
          <w:rFonts w:ascii="Times New Roman" w:hAnsi="Times New Roman"/>
          <w:szCs w:val="26"/>
        </w:rPr>
        <w:t xml:space="preserve">The party claiming the privilege has the burden of establishing the preliminary facts necessary to support its exercise, </w:t>
      </w:r>
      <w:r w:rsidRPr="007C6F94">
        <w:rPr>
          <w:rFonts w:ascii="Times New Roman" w:hAnsi="Times New Roman"/>
          <w:iCs/>
          <w:szCs w:val="26"/>
        </w:rPr>
        <w:t>i.e</w:t>
      </w:r>
      <w:r w:rsidRPr="007C6F94">
        <w:rPr>
          <w:rFonts w:ascii="Times New Roman" w:hAnsi="Times New Roman"/>
          <w:i/>
          <w:iCs/>
          <w:szCs w:val="26"/>
        </w:rPr>
        <w:t>.</w:t>
      </w:r>
      <w:r w:rsidRPr="007C6F94">
        <w:rPr>
          <w:rFonts w:ascii="Times New Roman" w:hAnsi="Times New Roman"/>
          <w:szCs w:val="26"/>
        </w:rPr>
        <w:t xml:space="preserve">, a communication made in the course of an attorney-client relationship. …  Once that party establishes facts necessary to support a </w:t>
      </w:r>
      <w:r w:rsidRPr="007C6F94">
        <w:rPr>
          <w:rFonts w:ascii="Times New Roman" w:hAnsi="Times New Roman"/>
          <w:iCs/>
          <w:szCs w:val="26"/>
        </w:rPr>
        <w:t>prima facie</w:t>
      </w:r>
      <w:r w:rsidRPr="007C6F94">
        <w:rPr>
          <w:rFonts w:ascii="Times New Roman" w:hAnsi="Times New Roman"/>
          <w:szCs w:val="26"/>
        </w:rPr>
        <w:t xml:space="preserve"> claim of privilege, the communication is presumed to have been made in confidence and the opponent of the claim of privilege has the burden of proof to establish the communication was not confidential or that the privilege does not for other reasons apply.</w:t>
      </w:r>
      <w:r w:rsidRPr="007C6F94">
        <w:rPr>
          <w:rFonts w:ascii="Times New Roman" w:hAnsi="Times New Roman"/>
          <w:b/>
          <w:szCs w:val="26"/>
          <w:u w:val="single"/>
          <w:vertAlign w:val="superscript"/>
        </w:rPr>
        <w:footnoteReference w:id="6"/>
      </w:r>
    </w:p>
    <w:p w:rsidRPr="007C6F94" w:rsidR="00742A1D" w:rsidP="00742A1D" w:rsidRDefault="00742A1D" w14:paraId="7752AC69" w14:textId="37597B01">
      <w:pPr>
        <w:rPr>
          <w:rFonts w:ascii="Times New Roman" w:hAnsi="Times New Roman"/>
          <w:szCs w:val="26"/>
        </w:rPr>
      </w:pPr>
    </w:p>
    <w:p w:rsidRPr="007C6F94" w:rsidR="007E4654" w:rsidP="00742A1D" w:rsidRDefault="00D65C2B" w14:paraId="063EC5CA" w14:textId="30C01B07">
      <w:pPr>
        <w:rPr>
          <w:rFonts w:ascii="Times New Roman" w:hAnsi="Times New Roman"/>
          <w:szCs w:val="26"/>
        </w:rPr>
      </w:pPr>
      <w:r w:rsidRPr="007C6F94">
        <w:rPr>
          <w:rFonts w:ascii="Times New Roman" w:hAnsi="Times New Roman"/>
          <w:szCs w:val="26"/>
        </w:rPr>
        <w:t xml:space="preserve">While the Commission holds and claims the attorney-client privilege in this case, the attorney work product doctrine is held by the Commission attorneys.  Under the attorney work product doctrine, “a writing that reflects an attorney’s impressions, conclusions, opinions or legal research or theories” is absolutely protected from disclosure. </w:t>
      </w:r>
      <w:r w:rsidRPr="007C6F94" w:rsidR="00AB3217">
        <w:rPr>
          <w:rFonts w:ascii="Times New Roman" w:hAnsi="Times New Roman"/>
          <w:szCs w:val="26"/>
        </w:rPr>
        <w:t>(</w:t>
      </w:r>
      <w:r w:rsidRPr="007C6F94">
        <w:rPr>
          <w:rFonts w:ascii="Times New Roman" w:hAnsi="Times New Roman"/>
          <w:szCs w:val="26"/>
        </w:rPr>
        <w:t>C</w:t>
      </w:r>
      <w:r w:rsidRPr="007C6F94" w:rsidR="00201D4E">
        <w:rPr>
          <w:rFonts w:ascii="Times New Roman" w:hAnsi="Times New Roman"/>
          <w:szCs w:val="26"/>
        </w:rPr>
        <w:t xml:space="preserve">ode Civ. </w:t>
      </w:r>
      <w:r w:rsidRPr="007C6F94">
        <w:rPr>
          <w:rFonts w:ascii="Times New Roman" w:hAnsi="Times New Roman"/>
          <w:szCs w:val="26"/>
        </w:rPr>
        <w:t>P</w:t>
      </w:r>
      <w:r w:rsidRPr="007C6F94" w:rsidR="00201D4E">
        <w:rPr>
          <w:rFonts w:ascii="Times New Roman" w:hAnsi="Times New Roman"/>
          <w:szCs w:val="26"/>
        </w:rPr>
        <w:t>roc.</w:t>
      </w:r>
      <w:r w:rsidRPr="007C6F94">
        <w:rPr>
          <w:rFonts w:ascii="Times New Roman" w:hAnsi="Times New Roman"/>
          <w:szCs w:val="26"/>
        </w:rPr>
        <w:t xml:space="preserve"> § 2018.030(a); </w:t>
      </w:r>
      <w:r w:rsidRPr="007C6F94" w:rsidR="00C21504">
        <w:rPr>
          <w:rFonts w:ascii="Times New Roman" w:hAnsi="Times New Roman"/>
          <w:i/>
          <w:iCs/>
          <w:szCs w:val="26"/>
        </w:rPr>
        <w:t>Rico v. Mitsubishi Motors Corp.</w:t>
      </w:r>
      <w:r w:rsidRPr="007C6F94" w:rsidR="00AB3217">
        <w:rPr>
          <w:rFonts w:ascii="Times New Roman" w:hAnsi="Times New Roman"/>
          <w:szCs w:val="26"/>
        </w:rPr>
        <w:t>,</w:t>
      </w:r>
      <w:r w:rsidRPr="007C6F94" w:rsidR="00C21504">
        <w:rPr>
          <w:rFonts w:ascii="Times New Roman" w:hAnsi="Times New Roman"/>
          <w:szCs w:val="26"/>
        </w:rPr>
        <w:t xml:space="preserve"> 42 Cal.4</w:t>
      </w:r>
      <w:r w:rsidRPr="007C6F94" w:rsidR="00C21504">
        <w:rPr>
          <w:rFonts w:ascii="Times New Roman" w:hAnsi="Times New Roman"/>
          <w:szCs w:val="26"/>
          <w:vertAlign w:val="superscript"/>
        </w:rPr>
        <w:t>th</w:t>
      </w:r>
      <w:r w:rsidRPr="007C6F94" w:rsidR="00C21504">
        <w:rPr>
          <w:rFonts w:ascii="Times New Roman" w:hAnsi="Times New Roman"/>
          <w:szCs w:val="26"/>
        </w:rPr>
        <w:t xml:space="preserve"> 807, 814</w:t>
      </w:r>
      <w:r w:rsidRPr="007C6F94" w:rsidR="00AB3217">
        <w:rPr>
          <w:rFonts w:ascii="Times New Roman" w:hAnsi="Times New Roman"/>
          <w:szCs w:val="26"/>
        </w:rPr>
        <w:t xml:space="preserve"> (2007)</w:t>
      </w:r>
      <w:r w:rsidRPr="007C6F94" w:rsidR="00C21504">
        <w:rPr>
          <w:rFonts w:ascii="Times New Roman" w:hAnsi="Times New Roman"/>
          <w:szCs w:val="26"/>
        </w:rPr>
        <w:t>.</w:t>
      </w:r>
      <w:r w:rsidRPr="007C6F94" w:rsidR="00AB3217">
        <w:rPr>
          <w:rFonts w:ascii="Times New Roman" w:hAnsi="Times New Roman"/>
          <w:szCs w:val="26"/>
        </w:rPr>
        <w:t>)</w:t>
      </w:r>
    </w:p>
    <w:p w:rsidRPr="007C6F94" w:rsidR="007E4654" w:rsidP="00742A1D" w:rsidRDefault="007E4654" w14:paraId="1492CBC0" w14:textId="77777777">
      <w:pPr>
        <w:rPr>
          <w:rFonts w:ascii="Times New Roman" w:hAnsi="Times New Roman"/>
          <w:szCs w:val="26"/>
        </w:rPr>
      </w:pPr>
    </w:p>
    <w:p w:rsidRPr="007C6F94" w:rsidR="008B779F" w:rsidP="00742A1D" w:rsidRDefault="00742A1D" w14:paraId="3D6CA691" w14:textId="5567E951">
      <w:pPr>
        <w:rPr>
          <w:rFonts w:ascii="Times New Roman" w:hAnsi="Times New Roman"/>
          <w:szCs w:val="26"/>
        </w:rPr>
      </w:pPr>
      <w:r w:rsidRPr="007C6F94">
        <w:rPr>
          <w:rFonts w:ascii="Times New Roman" w:hAnsi="Times New Roman"/>
          <w:szCs w:val="26"/>
        </w:rPr>
        <w:t>The communications reflected in the documents subject to the Commission’s current assertion that they are subject to the attorney-client privilege</w:t>
      </w:r>
      <w:r w:rsidRPr="007C6F94" w:rsidR="00C21504">
        <w:rPr>
          <w:rFonts w:ascii="Times New Roman" w:hAnsi="Times New Roman"/>
          <w:szCs w:val="26"/>
        </w:rPr>
        <w:t xml:space="preserve"> and/or the attorney work product doctrine </w:t>
      </w:r>
      <w:r w:rsidRPr="007C6F94">
        <w:rPr>
          <w:rFonts w:ascii="Times New Roman" w:hAnsi="Times New Roman"/>
          <w:szCs w:val="26"/>
        </w:rPr>
        <w:t>were communications between Commission lawyers, Commissioners</w:t>
      </w:r>
      <w:r w:rsidRPr="007C6F94" w:rsidR="00A702E0">
        <w:rPr>
          <w:rFonts w:ascii="Times New Roman" w:hAnsi="Times New Roman"/>
          <w:szCs w:val="26"/>
        </w:rPr>
        <w:t>,</w:t>
      </w:r>
      <w:r w:rsidRPr="007C6F94">
        <w:rPr>
          <w:rFonts w:ascii="Times New Roman" w:hAnsi="Times New Roman"/>
          <w:szCs w:val="26"/>
        </w:rPr>
        <w:t xml:space="preserve"> and other Commission employees made in confidence during the course of the Commission’s attorney-client relationships.  They involve legal consultation and the provision of attorney work product, in the form of legal opinions and advice</w:t>
      </w:r>
      <w:r w:rsidRPr="007C6F94" w:rsidR="008B779F">
        <w:rPr>
          <w:rFonts w:ascii="Times New Roman" w:hAnsi="Times New Roman"/>
          <w:szCs w:val="26"/>
        </w:rPr>
        <w:t xml:space="preserve"> regarding the </w:t>
      </w:r>
      <w:r w:rsidRPr="007C6F94" w:rsidR="00C21504">
        <w:rPr>
          <w:rFonts w:ascii="Times New Roman" w:hAnsi="Times New Roman"/>
          <w:szCs w:val="26"/>
        </w:rPr>
        <w:t>email entitled: “CPUC comment on Camp Fire reporting”</w:t>
      </w:r>
      <w:r w:rsidRPr="007C6F94" w:rsidR="007E4654">
        <w:rPr>
          <w:rFonts w:ascii="Times New Roman" w:hAnsi="Times New Roman"/>
          <w:szCs w:val="26"/>
        </w:rPr>
        <w:t xml:space="preserve"> sent to Terrie Prosper, </w:t>
      </w:r>
      <w:r w:rsidRPr="007C6F94" w:rsidR="007E4654">
        <w:rPr>
          <w:rFonts w:ascii="Times New Roman" w:hAnsi="Times New Roman"/>
          <w:szCs w:val="26"/>
        </w:rPr>
        <w:lastRenderedPageBreak/>
        <w:t>Director of the Commission’s News and Outreach Office</w:t>
      </w:r>
      <w:r w:rsidRPr="007C6F94" w:rsidR="00C21504">
        <w:rPr>
          <w:rFonts w:ascii="Times New Roman" w:hAnsi="Times New Roman"/>
          <w:szCs w:val="26"/>
        </w:rPr>
        <w:t xml:space="preserve"> from </w:t>
      </w:r>
      <w:r w:rsidR="00BA163C">
        <w:rPr>
          <w:rFonts w:ascii="Times New Roman" w:hAnsi="Times New Roman"/>
          <w:szCs w:val="26"/>
        </w:rPr>
        <w:br/>
      </w:r>
      <w:r w:rsidRPr="007C6F94" w:rsidR="00C21504">
        <w:rPr>
          <w:rFonts w:ascii="Times New Roman" w:hAnsi="Times New Roman"/>
          <w:szCs w:val="26"/>
        </w:rPr>
        <w:t>Mr. Rittiman on November 17, 2020.</w:t>
      </w:r>
    </w:p>
    <w:p w:rsidRPr="007C6F94" w:rsidR="008B779F" w:rsidP="00742A1D" w:rsidRDefault="008B779F" w14:paraId="62795FA7" w14:textId="77777777">
      <w:pPr>
        <w:rPr>
          <w:rFonts w:ascii="Times New Roman" w:hAnsi="Times New Roman"/>
          <w:szCs w:val="26"/>
        </w:rPr>
      </w:pPr>
    </w:p>
    <w:p w:rsidRPr="007C6F94" w:rsidR="00742A1D" w:rsidP="00742A1D" w:rsidRDefault="00742A1D" w14:paraId="09C6161A" w14:textId="627ECAB0">
      <w:pPr>
        <w:rPr>
          <w:rFonts w:ascii="Times New Roman" w:hAnsi="Times New Roman"/>
          <w:szCs w:val="26"/>
        </w:rPr>
      </w:pPr>
      <w:r w:rsidRPr="007C6F94">
        <w:rPr>
          <w:rFonts w:ascii="Times New Roman" w:hAnsi="Times New Roman"/>
          <w:szCs w:val="26"/>
        </w:rPr>
        <w:t xml:space="preserve">The Commission, through its Commissioners and other employees, routinely consults with its lawyers for the purposes of securing confidential legal services or advice.  The privileged communications were not with utilities or individuals outside the Commission.  The privileged communications did not involve communications between Commission attorneys and utility employees regarding the planning of, or holding of, </w:t>
      </w:r>
      <w:r w:rsidRPr="00250BBC">
        <w:rPr>
          <w:rFonts w:ascii="Times New Roman" w:hAnsi="Times New Roman"/>
          <w:szCs w:val="26"/>
        </w:rPr>
        <w:t>ex parte</w:t>
      </w:r>
      <w:r w:rsidRPr="007C6F94">
        <w:rPr>
          <w:rFonts w:ascii="Times New Roman" w:hAnsi="Times New Roman"/>
          <w:szCs w:val="26"/>
        </w:rPr>
        <w:t xml:space="preserve"> meetings, or communications between Commission attorneys and Commissioners or other Commission employees regarding the planning of, or holding of, such meetings.</w:t>
      </w:r>
    </w:p>
    <w:p w:rsidRPr="007C6F94" w:rsidR="008B779F" w:rsidP="00742A1D" w:rsidRDefault="008B779F" w14:paraId="2B28AF0D" w14:textId="2DCB7F04">
      <w:pPr>
        <w:rPr>
          <w:rFonts w:ascii="Times New Roman" w:hAnsi="Times New Roman"/>
          <w:szCs w:val="26"/>
        </w:rPr>
      </w:pPr>
    </w:p>
    <w:p w:rsidRPr="007C6F94" w:rsidR="008B779F" w:rsidP="00742A1D" w:rsidRDefault="00185683" w14:paraId="1B12157A" w14:textId="52B721B2">
      <w:pPr>
        <w:rPr>
          <w:rFonts w:ascii="Times New Roman" w:hAnsi="Times New Roman"/>
          <w:szCs w:val="26"/>
        </w:rPr>
      </w:pPr>
      <w:r w:rsidRPr="007C6F94">
        <w:rPr>
          <w:rFonts w:ascii="Times New Roman" w:hAnsi="Times New Roman"/>
          <w:szCs w:val="26"/>
        </w:rPr>
        <w:t xml:space="preserve">Rather, these emails involve legal opinion and advice from Commission attorneys to their Commission clients regarding allegations set forth by Mr. Rittiman on the Commission’s interactions with the Butte County District Attorney’s Camp Fire investigation and prosecution. </w:t>
      </w:r>
    </w:p>
    <w:p w:rsidRPr="007C6F94" w:rsidR="00EE09C7" w:rsidP="00EE09C7" w:rsidRDefault="00EE09C7" w14:paraId="78108EEF" w14:textId="77777777">
      <w:pPr>
        <w:jc w:val="center"/>
        <w:rPr>
          <w:rFonts w:ascii="Times New Roman" w:hAnsi="Times New Roman"/>
          <w:b/>
          <w:bCs/>
          <w:szCs w:val="26"/>
        </w:rPr>
      </w:pPr>
    </w:p>
    <w:p w:rsidRPr="007C6F94" w:rsidR="00EE09C7" w:rsidP="00EE09C7" w:rsidRDefault="00EE09C7" w14:paraId="2E9C07B4" w14:textId="59283F48">
      <w:pPr>
        <w:jc w:val="center"/>
        <w:rPr>
          <w:rFonts w:ascii="Times New Roman" w:hAnsi="Times New Roman"/>
          <w:b/>
          <w:bCs/>
          <w:szCs w:val="26"/>
        </w:rPr>
      </w:pPr>
      <w:r w:rsidRPr="007C6F94">
        <w:rPr>
          <w:rFonts w:ascii="Times New Roman" w:hAnsi="Times New Roman"/>
          <w:b/>
          <w:bCs/>
          <w:szCs w:val="26"/>
        </w:rPr>
        <w:t>THE DELIBERATIVE PROCESS PRIVILEGE</w:t>
      </w:r>
    </w:p>
    <w:p w:rsidRPr="007C6F94" w:rsidR="00EE09C7" w:rsidP="00EE09C7" w:rsidRDefault="00EE09C7" w14:paraId="32E03F10" w14:textId="77777777">
      <w:pPr>
        <w:rPr>
          <w:rFonts w:ascii="Times New Roman" w:hAnsi="Times New Roman"/>
          <w:szCs w:val="26"/>
        </w:rPr>
      </w:pPr>
    </w:p>
    <w:p w:rsidRPr="007C6F94" w:rsidR="00AB3217" w:rsidP="00EE09C7" w:rsidRDefault="00AE2B4A" w14:paraId="7F6139A1" w14:textId="5C2117F4">
      <w:pPr>
        <w:rPr>
          <w:rFonts w:ascii="Times New Roman" w:hAnsi="Times New Roman"/>
          <w:szCs w:val="26"/>
        </w:rPr>
      </w:pPr>
      <w:r w:rsidRPr="007C6F94">
        <w:rPr>
          <w:rFonts w:ascii="Times New Roman" w:hAnsi="Times New Roman"/>
          <w:szCs w:val="26"/>
        </w:rPr>
        <w:t>In addition to the attorney-client privilege and the attorney work product doctrine, t</w:t>
      </w:r>
      <w:r w:rsidRPr="007C6F94" w:rsidR="00AB3217">
        <w:rPr>
          <w:rFonts w:ascii="Times New Roman" w:hAnsi="Times New Roman"/>
          <w:szCs w:val="26"/>
        </w:rPr>
        <w:t>he Commission withheld</w:t>
      </w:r>
      <w:r w:rsidRPr="007C6F94">
        <w:rPr>
          <w:rFonts w:ascii="Times New Roman" w:hAnsi="Times New Roman"/>
          <w:szCs w:val="26"/>
        </w:rPr>
        <w:t xml:space="preserve"> some documents under Item 1 under the deliberative process privilege</w:t>
      </w:r>
      <w:r w:rsidRPr="007C6F94" w:rsidR="00E4116F">
        <w:rPr>
          <w:rFonts w:ascii="Times New Roman" w:hAnsi="Times New Roman"/>
          <w:szCs w:val="26"/>
        </w:rPr>
        <w:t xml:space="preserve">.  This privilege protects confidential, deliberative advice given to agency decisionmakers, and the confidential information used to develop such advice. </w:t>
      </w:r>
      <w:r w:rsidR="00384EAC">
        <w:rPr>
          <w:rFonts w:ascii="Times New Roman" w:hAnsi="Times New Roman"/>
          <w:szCs w:val="26"/>
        </w:rPr>
        <w:t xml:space="preserve"> </w:t>
      </w:r>
      <w:r w:rsidRPr="007C6F94" w:rsidR="00E4116F">
        <w:rPr>
          <w:rFonts w:ascii="Times New Roman" w:hAnsi="Times New Roman"/>
          <w:szCs w:val="26"/>
        </w:rPr>
        <w:t>(</w:t>
      </w:r>
      <w:r w:rsidRPr="007C6F94" w:rsidR="00E4116F">
        <w:rPr>
          <w:rFonts w:ascii="Times New Roman" w:hAnsi="Times New Roman"/>
          <w:i/>
          <w:iCs/>
          <w:szCs w:val="26"/>
        </w:rPr>
        <w:t>Times Mirror Co. v. Superior Court, supra</w:t>
      </w:r>
      <w:r w:rsidRPr="007C6F94" w:rsidR="00E4116F">
        <w:rPr>
          <w:rFonts w:ascii="Times New Roman" w:hAnsi="Times New Roman"/>
          <w:szCs w:val="26"/>
        </w:rPr>
        <w:t>, 53 Cal.3d at 1339-1346.)</w:t>
      </w:r>
      <w:r w:rsidRPr="007C6F94">
        <w:rPr>
          <w:rFonts w:ascii="Times New Roman" w:hAnsi="Times New Roman"/>
          <w:szCs w:val="26"/>
        </w:rPr>
        <w:t xml:space="preserve"> </w:t>
      </w:r>
    </w:p>
    <w:p w:rsidRPr="007C6F94" w:rsidR="00AB3217" w:rsidP="00EE09C7" w:rsidRDefault="00AB3217" w14:paraId="39776952" w14:textId="77777777">
      <w:pPr>
        <w:rPr>
          <w:rFonts w:ascii="Times New Roman" w:hAnsi="Times New Roman"/>
          <w:szCs w:val="26"/>
        </w:rPr>
      </w:pPr>
    </w:p>
    <w:p w:rsidRPr="007C6F94" w:rsidR="002119D8" w:rsidP="00EE09C7" w:rsidRDefault="00E84784" w14:paraId="543D46AA" w14:textId="4B6A49AF">
      <w:pPr>
        <w:rPr>
          <w:rFonts w:ascii="Times New Roman" w:hAnsi="Times New Roman"/>
          <w:szCs w:val="26"/>
        </w:rPr>
      </w:pPr>
      <w:r w:rsidRPr="007C6F94">
        <w:rPr>
          <w:rFonts w:ascii="Times New Roman" w:hAnsi="Times New Roman"/>
          <w:szCs w:val="26"/>
        </w:rPr>
        <w:t xml:space="preserve">Upon further reflection, the Commission </w:t>
      </w:r>
      <w:r w:rsidRPr="007C6F94" w:rsidR="00891C4B">
        <w:rPr>
          <w:rFonts w:ascii="Times New Roman" w:hAnsi="Times New Roman"/>
          <w:szCs w:val="26"/>
        </w:rPr>
        <w:t>will not</w:t>
      </w:r>
      <w:r w:rsidRPr="007C6F94">
        <w:rPr>
          <w:rFonts w:ascii="Times New Roman" w:hAnsi="Times New Roman"/>
          <w:szCs w:val="26"/>
        </w:rPr>
        <w:t xml:space="preserve"> assert the </w:t>
      </w:r>
      <w:r w:rsidRPr="007C6F94" w:rsidR="00E4116F">
        <w:rPr>
          <w:rFonts w:ascii="Times New Roman" w:hAnsi="Times New Roman"/>
          <w:szCs w:val="26"/>
        </w:rPr>
        <w:t>deliberative process privilege</w:t>
      </w:r>
      <w:r w:rsidRPr="007C6F94" w:rsidR="002119D8">
        <w:rPr>
          <w:rFonts w:ascii="Times New Roman" w:hAnsi="Times New Roman"/>
          <w:szCs w:val="26"/>
        </w:rPr>
        <w:t xml:space="preserve"> </w:t>
      </w:r>
      <w:r w:rsidRPr="007C6F94">
        <w:rPr>
          <w:rFonts w:ascii="Times New Roman" w:hAnsi="Times New Roman"/>
          <w:szCs w:val="26"/>
        </w:rPr>
        <w:t xml:space="preserve">for </w:t>
      </w:r>
      <w:r w:rsidRPr="007C6F94" w:rsidR="004C40BA">
        <w:rPr>
          <w:rFonts w:ascii="Times New Roman" w:hAnsi="Times New Roman"/>
          <w:szCs w:val="26"/>
        </w:rPr>
        <w:t xml:space="preserve">the </w:t>
      </w:r>
      <w:r w:rsidRPr="007C6F94">
        <w:rPr>
          <w:rFonts w:ascii="Times New Roman" w:hAnsi="Times New Roman"/>
          <w:szCs w:val="26"/>
        </w:rPr>
        <w:t>documents</w:t>
      </w:r>
      <w:r w:rsidRPr="007C6F94" w:rsidR="004C40BA">
        <w:rPr>
          <w:rFonts w:ascii="Times New Roman" w:hAnsi="Times New Roman"/>
          <w:szCs w:val="26"/>
        </w:rPr>
        <w:t xml:space="preserve"> responsive to Item 1. </w:t>
      </w:r>
      <w:r w:rsidRPr="007C6F94" w:rsidR="002119D8">
        <w:rPr>
          <w:rFonts w:ascii="Times New Roman" w:hAnsi="Times New Roman"/>
          <w:szCs w:val="26"/>
        </w:rPr>
        <w:t xml:space="preserve"> </w:t>
      </w:r>
      <w:r w:rsidRPr="007C6F94" w:rsidR="004C40BA">
        <w:rPr>
          <w:rFonts w:ascii="Times New Roman" w:hAnsi="Times New Roman"/>
          <w:szCs w:val="26"/>
        </w:rPr>
        <w:t xml:space="preserve">However, all of these documents remain confidential under the attorney-client privilege and attorney work product doctrine as described above. </w:t>
      </w:r>
    </w:p>
    <w:p w:rsidRPr="007C6F94" w:rsidR="00EE09C7" w:rsidP="00EE09C7" w:rsidRDefault="00EE09C7" w14:paraId="20B34F7C" w14:textId="66F1CB13">
      <w:pPr>
        <w:rPr>
          <w:rFonts w:ascii="Times New Roman" w:hAnsi="Times New Roman"/>
          <w:szCs w:val="26"/>
        </w:rPr>
      </w:pPr>
    </w:p>
    <w:p w:rsidRPr="007C6F94" w:rsidR="000933B1" w:rsidP="000933B1" w:rsidRDefault="000933B1" w14:paraId="685C1B2B" w14:textId="7A32F8BB">
      <w:pPr>
        <w:jc w:val="center"/>
        <w:rPr>
          <w:rFonts w:ascii="Times New Roman" w:hAnsi="Times New Roman"/>
          <w:b/>
          <w:bCs/>
          <w:szCs w:val="26"/>
        </w:rPr>
      </w:pPr>
      <w:r w:rsidRPr="007C6F94">
        <w:rPr>
          <w:rFonts w:ascii="Times New Roman" w:hAnsi="Times New Roman"/>
          <w:b/>
          <w:bCs/>
          <w:szCs w:val="26"/>
        </w:rPr>
        <w:t>THE CORRESPONDENCE EXEMPTION</w:t>
      </w:r>
    </w:p>
    <w:p w:rsidRPr="007C6F94" w:rsidR="000933B1" w:rsidP="000933B1" w:rsidRDefault="000933B1" w14:paraId="107D0902" w14:textId="2817B329">
      <w:pPr>
        <w:rPr>
          <w:rFonts w:ascii="Times New Roman" w:hAnsi="Times New Roman"/>
          <w:b/>
          <w:bCs/>
          <w:szCs w:val="26"/>
        </w:rPr>
      </w:pPr>
    </w:p>
    <w:p w:rsidRPr="007C6F94" w:rsidR="000933B1" w:rsidP="000933B1" w:rsidRDefault="000933B1" w14:paraId="30410104" w14:textId="1361E139">
      <w:pPr>
        <w:rPr>
          <w:rFonts w:ascii="Times New Roman" w:hAnsi="Times New Roman"/>
          <w:szCs w:val="26"/>
        </w:rPr>
      </w:pPr>
      <w:r w:rsidRPr="007C6F94">
        <w:rPr>
          <w:rFonts w:ascii="Times New Roman" w:hAnsi="Times New Roman"/>
          <w:szCs w:val="26"/>
        </w:rPr>
        <w:t xml:space="preserve">After further review, the Commission also asserts the Governor’s Correspondence Exemption for one email responsive to Item 1.  </w:t>
      </w:r>
      <w:r w:rsidRPr="00250BBC">
        <w:rPr>
          <w:rFonts w:ascii="Times New Roman" w:hAnsi="Times New Roman"/>
          <w:i/>
          <w:iCs/>
          <w:szCs w:val="26"/>
        </w:rPr>
        <w:t>See</w:t>
      </w:r>
      <w:r w:rsidRPr="007C6F94">
        <w:rPr>
          <w:rFonts w:ascii="Times New Roman" w:hAnsi="Times New Roman"/>
          <w:szCs w:val="26"/>
        </w:rPr>
        <w:t xml:space="preserve"> discussion of this Exemption under Item 2 below. </w:t>
      </w:r>
    </w:p>
    <w:p w:rsidRPr="007C6F94" w:rsidR="000933B1" w:rsidP="00742A1D" w:rsidRDefault="000933B1" w14:paraId="65FB5616" w14:textId="77777777">
      <w:pPr>
        <w:rPr>
          <w:rFonts w:ascii="Times New Roman" w:hAnsi="Times New Roman"/>
          <w:b/>
          <w:bCs/>
          <w:szCs w:val="26"/>
        </w:rPr>
      </w:pPr>
    </w:p>
    <w:p w:rsidRPr="007C6F94" w:rsidR="000933B1" w:rsidP="00742A1D" w:rsidRDefault="000933B1" w14:paraId="2267DC84" w14:textId="77777777">
      <w:pPr>
        <w:rPr>
          <w:rFonts w:ascii="Times New Roman" w:hAnsi="Times New Roman"/>
          <w:b/>
          <w:bCs/>
          <w:szCs w:val="26"/>
        </w:rPr>
      </w:pPr>
    </w:p>
    <w:p w:rsidR="00250BBC" w:rsidRDefault="00250BBC" w14:paraId="431C866F" w14:textId="77777777">
      <w:pPr>
        <w:rPr>
          <w:rFonts w:ascii="Times New Roman" w:hAnsi="Times New Roman"/>
          <w:b/>
          <w:bCs/>
          <w:szCs w:val="26"/>
        </w:rPr>
      </w:pPr>
      <w:r>
        <w:rPr>
          <w:rFonts w:ascii="Times New Roman" w:hAnsi="Times New Roman"/>
          <w:b/>
          <w:bCs/>
          <w:szCs w:val="26"/>
        </w:rPr>
        <w:br w:type="page"/>
      </w:r>
    </w:p>
    <w:p w:rsidRPr="007C6F94" w:rsidR="002E3D1C" w:rsidP="00742A1D" w:rsidRDefault="00EE09C7" w14:paraId="2737BBAD" w14:textId="4D33464B">
      <w:pPr>
        <w:rPr>
          <w:rFonts w:ascii="Times New Roman" w:hAnsi="Times New Roman"/>
          <w:b/>
          <w:bCs/>
          <w:szCs w:val="26"/>
        </w:rPr>
      </w:pPr>
      <w:r w:rsidRPr="007C6F94">
        <w:rPr>
          <w:rFonts w:ascii="Times New Roman" w:hAnsi="Times New Roman"/>
          <w:b/>
          <w:bCs/>
          <w:szCs w:val="26"/>
        </w:rPr>
        <w:lastRenderedPageBreak/>
        <w:t xml:space="preserve">Item 2: </w:t>
      </w:r>
    </w:p>
    <w:p w:rsidRPr="007C6F94" w:rsidR="00EE09C7" w:rsidP="00742A1D" w:rsidRDefault="00EE09C7" w14:paraId="27820F2F" w14:textId="77777777">
      <w:pPr>
        <w:rPr>
          <w:rFonts w:ascii="Times New Roman" w:hAnsi="Times New Roman"/>
          <w:b/>
          <w:bCs/>
          <w:szCs w:val="26"/>
        </w:rPr>
      </w:pPr>
    </w:p>
    <w:p w:rsidRPr="007C6F94" w:rsidR="004231DD" w:rsidP="002E3D1C" w:rsidRDefault="00BC447E" w14:paraId="2D20E2A6" w14:textId="34A7DF8C">
      <w:pPr>
        <w:jc w:val="center"/>
        <w:rPr>
          <w:rFonts w:ascii="Times New Roman" w:hAnsi="Times New Roman"/>
          <w:b/>
          <w:bCs/>
          <w:szCs w:val="26"/>
        </w:rPr>
      </w:pPr>
      <w:r w:rsidRPr="007C6F94">
        <w:rPr>
          <w:rFonts w:ascii="Times New Roman" w:hAnsi="Times New Roman"/>
          <w:b/>
          <w:bCs/>
          <w:szCs w:val="26"/>
        </w:rPr>
        <w:t>THE CORRESPONDENCE EXEMPTION</w:t>
      </w:r>
    </w:p>
    <w:p w:rsidRPr="007C6F94" w:rsidR="002E3D1C" w:rsidP="002E3D1C" w:rsidRDefault="002E3D1C" w14:paraId="548A5747" w14:textId="77777777">
      <w:pPr>
        <w:rPr>
          <w:rFonts w:ascii="Times New Roman" w:hAnsi="Times New Roman"/>
          <w:szCs w:val="26"/>
        </w:rPr>
      </w:pPr>
    </w:p>
    <w:p w:rsidRPr="007C6F94" w:rsidR="004231DD" w:rsidP="002E3D1C" w:rsidRDefault="00EE09C7" w14:paraId="0DB02565" w14:textId="385E2C56">
      <w:pPr>
        <w:rPr>
          <w:rFonts w:ascii="Times New Roman" w:hAnsi="Times New Roman"/>
          <w:szCs w:val="26"/>
        </w:rPr>
      </w:pPr>
      <w:r w:rsidRPr="007C6F94">
        <w:rPr>
          <w:rFonts w:ascii="Times New Roman" w:hAnsi="Times New Roman"/>
          <w:szCs w:val="26"/>
        </w:rPr>
        <w:t>Item 2 of this CPRA</w:t>
      </w:r>
      <w:r w:rsidRPr="007C6F94" w:rsidR="005F0A33">
        <w:rPr>
          <w:rFonts w:ascii="Times New Roman" w:hAnsi="Times New Roman"/>
          <w:szCs w:val="26"/>
        </w:rPr>
        <w:t xml:space="preserve"> request</w:t>
      </w:r>
      <w:r w:rsidRPr="007C6F94" w:rsidR="00C73592">
        <w:rPr>
          <w:rFonts w:ascii="Times New Roman" w:hAnsi="Times New Roman"/>
          <w:szCs w:val="26"/>
        </w:rPr>
        <w:t xml:space="preserve"> seeks “[A]ny record or communication regarding the [above-referenced] email responses between any CPUC employee and any agent or employee of the governor’s office.” </w:t>
      </w:r>
      <w:r w:rsidRPr="007C6F94" w:rsidR="002F78FF">
        <w:rPr>
          <w:rFonts w:ascii="Times New Roman" w:hAnsi="Times New Roman"/>
          <w:szCs w:val="26"/>
        </w:rPr>
        <w:t xml:space="preserve"> Any such communications or correspondence are facially exempt from disclosure under </w:t>
      </w:r>
      <w:r w:rsidRPr="007C6F94" w:rsidR="0000407A">
        <w:rPr>
          <w:rFonts w:ascii="Times New Roman" w:hAnsi="Times New Roman"/>
          <w:szCs w:val="26"/>
        </w:rPr>
        <w:t>the clear terms of</w:t>
      </w:r>
      <w:r w:rsidRPr="007C6F94" w:rsidR="002F78FF">
        <w:rPr>
          <w:rFonts w:ascii="Times New Roman" w:hAnsi="Times New Roman"/>
          <w:szCs w:val="26"/>
        </w:rPr>
        <w:t xml:space="preserve"> Government Code </w:t>
      </w:r>
      <w:r w:rsidR="004C313D">
        <w:rPr>
          <w:rFonts w:ascii="Times New Roman" w:hAnsi="Times New Roman"/>
          <w:szCs w:val="26"/>
        </w:rPr>
        <w:t>S</w:t>
      </w:r>
      <w:r w:rsidRPr="007C6F94" w:rsidR="002F78FF">
        <w:rPr>
          <w:rFonts w:ascii="Times New Roman" w:hAnsi="Times New Roman"/>
          <w:szCs w:val="26"/>
        </w:rPr>
        <w:t xml:space="preserve">ection 6254(l), which exempts from public disclosure </w:t>
      </w:r>
      <w:r w:rsidRPr="007C6F94" w:rsidR="004231DD">
        <w:rPr>
          <w:rFonts w:ascii="Times New Roman" w:hAnsi="Times New Roman"/>
          <w:szCs w:val="26"/>
        </w:rPr>
        <w:t>“[c]orrespondence of and to the Governor or employees of the Governor’s office</w:t>
      </w:r>
      <w:r w:rsidRPr="007C6F94" w:rsidR="009321B5">
        <w:rPr>
          <w:rFonts w:ascii="Times New Roman" w:hAnsi="Times New Roman"/>
          <w:szCs w:val="26"/>
        </w:rPr>
        <w:t>. . ..</w:t>
      </w:r>
      <w:r w:rsidRPr="007C6F94" w:rsidR="004231DD">
        <w:rPr>
          <w:rFonts w:ascii="Times New Roman" w:hAnsi="Times New Roman"/>
          <w:szCs w:val="26"/>
        </w:rPr>
        <w:t>”</w:t>
      </w:r>
    </w:p>
    <w:p w:rsidRPr="007C6F94" w:rsidR="004231DD" w:rsidP="002E3D1C" w:rsidRDefault="004231DD" w14:paraId="7E4CB9E3" w14:textId="60844461">
      <w:pPr>
        <w:rPr>
          <w:rFonts w:ascii="Times New Roman" w:hAnsi="Times New Roman"/>
          <w:szCs w:val="26"/>
        </w:rPr>
      </w:pPr>
    </w:p>
    <w:p w:rsidRPr="007C6F94" w:rsidR="004231DD" w:rsidP="002E3D1C" w:rsidRDefault="004231DD" w14:paraId="4D403473" w14:textId="0FD7BB2F">
      <w:pPr>
        <w:rPr>
          <w:rFonts w:ascii="Times New Roman" w:hAnsi="Times New Roman"/>
          <w:szCs w:val="26"/>
        </w:rPr>
      </w:pPr>
      <w:r w:rsidRPr="007C6F94">
        <w:rPr>
          <w:rFonts w:ascii="Times New Roman" w:hAnsi="Times New Roman"/>
          <w:szCs w:val="26"/>
        </w:rPr>
        <w:t xml:space="preserve">Mr. Rittiman argues, however, that the term “correspondence” should be interpreted narrowly and “must be confined to communications by letter,” citing </w:t>
      </w:r>
      <w:r w:rsidRPr="007C6F94">
        <w:rPr>
          <w:rFonts w:ascii="Times New Roman" w:hAnsi="Times New Roman"/>
          <w:i/>
          <w:iCs/>
          <w:szCs w:val="26"/>
        </w:rPr>
        <w:t>Times Mirror Co. v. Superior Court</w:t>
      </w:r>
      <w:r w:rsidRPr="007C6F94">
        <w:rPr>
          <w:rFonts w:ascii="Times New Roman" w:hAnsi="Times New Roman"/>
          <w:szCs w:val="26"/>
        </w:rPr>
        <w:t>, 53 Cal.</w:t>
      </w:r>
      <w:r w:rsidRPr="007C6F94" w:rsidR="007F1311">
        <w:rPr>
          <w:rFonts w:ascii="Times New Roman" w:hAnsi="Times New Roman"/>
          <w:szCs w:val="26"/>
        </w:rPr>
        <w:t xml:space="preserve"> </w:t>
      </w:r>
      <w:r w:rsidRPr="007C6F94">
        <w:rPr>
          <w:rFonts w:ascii="Times New Roman" w:hAnsi="Times New Roman"/>
          <w:szCs w:val="26"/>
        </w:rPr>
        <w:t xml:space="preserve">3d </w:t>
      </w:r>
      <w:r w:rsidRPr="007C6F94" w:rsidR="005F0A33">
        <w:rPr>
          <w:rFonts w:ascii="Times New Roman" w:hAnsi="Times New Roman"/>
          <w:szCs w:val="26"/>
        </w:rPr>
        <w:t>at</w:t>
      </w:r>
      <w:r w:rsidRPr="007C6F94">
        <w:rPr>
          <w:rFonts w:ascii="Times New Roman" w:hAnsi="Times New Roman"/>
          <w:szCs w:val="26"/>
        </w:rPr>
        <w:t xml:space="preserve"> 1337. </w:t>
      </w:r>
      <w:r w:rsidR="00250BBC">
        <w:rPr>
          <w:rFonts w:ascii="Times New Roman" w:hAnsi="Times New Roman"/>
          <w:szCs w:val="26"/>
        </w:rPr>
        <w:t xml:space="preserve"> </w:t>
      </w:r>
      <w:r w:rsidRPr="007C6F94">
        <w:rPr>
          <w:rFonts w:ascii="Times New Roman" w:hAnsi="Times New Roman"/>
          <w:szCs w:val="26"/>
        </w:rPr>
        <w:t xml:space="preserve">We believe Mr. Rittiman’s interpretation of </w:t>
      </w:r>
      <w:r w:rsidRPr="007C6F94">
        <w:rPr>
          <w:rFonts w:ascii="Times New Roman" w:hAnsi="Times New Roman"/>
          <w:i/>
          <w:iCs/>
          <w:szCs w:val="26"/>
        </w:rPr>
        <w:t>Times Mirror</w:t>
      </w:r>
      <w:r w:rsidRPr="007C6F94">
        <w:rPr>
          <w:rFonts w:ascii="Times New Roman" w:hAnsi="Times New Roman"/>
          <w:szCs w:val="26"/>
        </w:rPr>
        <w:t xml:space="preserve"> is </w:t>
      </w:r>
      <w:r w:rsidRPr="007C6F94" w:rsidR="005F0A33">
        <w:rPr>
          <w:rFonts w:ascii="Times New Roman" w:hAnsi="Times New Roman"/>
          <w:szCs w:val="26"/>
        </w:rPr>
        <w:t>incorrect</w:t>
      </w:r>
      <w:r w:rsidRPr="007C6F94">
        <w:rPr>
          <w:rFonts w:ascii="Times New Roman" w:hAnsi="Times New Roman"/>
          <w:szCs w:val="26"/>
        </w:rPr>
        <w:t>.</w:t>
      </w:r>
    </w:p>
    <w:p w:rsidRPr="007C6F94" w:rsidR="004231DD" w:rsidP="002E3D1C" w:rsidRDefault="004231DD" w14:paraId="58C9858A" w14:textId="4614EC27">
      <w:pPr>
        <w:rPr>
          <w:rFonts w:ascii="Times New Roman" w:hAnsi="Times New Roman"/>
          <w:szCs w:val="26"/>
        </w:rPr>
      </w:pPr>
    </w:p>
    <w:p w:rsidRPr="007C6F94" w:rsidR="004231DD" w:rsidP="002E3D1C" w:rsidRDefault="004231DD" w14:paraId="2BB47906" w14:textId="12A406B1">
      <w:pPr>
        <w:rPr>
          <w:rFonts w:ascii="Times New Roman" w:hAnsi="Times New Roman"/>
          <w:szCs w:val="26"/>
        </w:rPr>
      </w:pPr>
      <w:r w:rsidRPr="007C6F94">
        <w:rPr>
          <w:rFonts w:ascii="Times New Roman" w:hAnsi="Times New Roman"/>
          <w:szCs w:val="26"/>
        </w:rPr>
        <w:t xml:space="preserve">In </w:t>
      </w:r>
      <w:r w:rsidRPr="007C6F94">
        <w:rPr>
          <w:rFonts w:ascii="Times New Roman" w:hAnsi="Times New Roman"/>
          <w:i/>
          <w:iCs/>
          <w:szCs w:val="26"/>
        </w:rPr>
        <w:t>Times Mirror</w:t>
      </w:r>
      <w:r w:rsidRPr="007C6F94">
        <w:rPr>
          <w:rFonts w:ascii="Times New Roman" w:hAnsi="Times New Roman"/>
          <w:szCs w:val="26"/>
        </w:rPr>
        <w:t xml:space="preserve">, a newspaper sought the “appointment schedules, calendars, notebooks and any other documents that would list [the Governor’s] daily activities as governor from [his] inauguration in 1983 to the present.” </w:t>
      </w:r>
      <w:r w:rsidR="00250BBC">
        <w:rPr>
          <w:rFonts w:ascii="Times New Roman" w:hAnsi="Times New Roman"/>
          <w:szCs w:val="26"/>
        </w:rPr>
        <w:t xml:space="preserve"> </w:t>
      </w:r>
      <w:r w:rsidRPr="007C6F94">
        <w:rPr>
          <w:rFonts w:ascii="Times New Roman" w:hAnsi="Times New Roman"/>
          <w:i/>
          <w:iCs/>
          <w:szCs w:val="26"/>
        </w:rPr>
        <w:t>Id</w:t>
      </w:r>
      <w:r w:rsidRPr="007C6F94">
        <w:rPr>
          <w:rFonts w:ascii="Times New Roman" w:hAnsi="Times New Roman"/>
          <w:szCs w:val="26"/>
        </w:rPr>
        <w:t xml:space="preserve">. at 1329. In determining whether such a request implicated </w:t>
      </w:r>
      <w:r w:rsidRPr="007C6F94" w:rsidR="00A012B3">
        <w:rPr>
          <w:rFonts w:ascii="Times New Roman" w:hAnsi="Times New Roman"/>
          <w:szCs w:val="26"/>
        </w:rPr>
        <w:t xml:space="preserve">the Correspondence Exemption in </w:t>
      </w:r>
      <w:r w:rsidRPr="007C6F94">
        <w:rPr>
          <w:rFonts w:ascii="Times New Roman" w:hAnsi="Times New Roman"/>
          <w:szCs w:val="26"/>
        </w:rPr>
        <w:t xml:space="preserve">Government Code </w:t>
      </w:r>
      <w:r w:rsidR="004C313D">
        <w:rPr>
          <w:rFonts w:ascii="Times New Roman" w:hAnsi="Times New Roman"/>
          <w:szCs w:val="26"/>
        </w:rPr>
        <w:t>S</w:t>
      </w:r>
      <w:r w:rsidRPr="007C6F94">
        <w:rPr>
          <w:rFonts w:ascii="Times New Roman" w:hAnsi="Times New Roman"/>
          <w:szCs w:val="26"/>
        </w:rPr>
        <w:t xml:space="preserve">ection 6254(l), the California Supreme Court relied on Webster’s definition of </w:t>
      </w:r>
      <w:r w:rsidRPr="007C6F94" w:rsidR="000C2010">
        <w:rPr>
          <w:rFonts w:ascii="Times New Roman" w:hAnsi="Times New Roman"/>
          <w:szCs w:val="26"/>
        </w:rPr>
        <w:t>“correspondence” as “communication by letters.”</w:t>
      </w:r>
      <w:r w:rsidR="00250BBC">
        <w:rPr>
          <w:rFonts w:ascii="Times New Roman" w:hAnsi="Times New Roman"/>
          <w:szCs w:val="26"/>
        </w:rPr>
        <w:t xml:space="preserve"> </w:t>
      </w:r>
      <w:r w:rsidRPr="007C6F94" w:rsidR="000C2010">
        <w:rPr>
          <w:rFonts w:ascii="Times New Roman" w:hAnsi="Times New Roman"/>
          <w:szCs w:val="26"/>
        </w:rPr>
        <w:t xml:space="preserve"> </w:t>
      </w:r>
      <w:r w:rsidRPr="007C6F94" w:rsidR="000C2010">
        <w:rPr>
          <w:rFonts w:ascii="Times New Roman" w:hAnsi="Times New Roman"/>
          <w:i/>
          <w:iCs/>
          <w:szCs w:val="26"/>
        </w:rPr>
        <w:t>Id</w:t>
      </w:r>
      <w:r w:rsidRPr="007C6F94" w:rsidR="000C2010">
        <w:rPr>
          <w:rFonts w:ascii="Times New Roman" w:hAnsi="Times New Roman"/>
          <w:szCs w:val="26"/>
        </w:rPr>
        <w:t>. at 1337. Because all that was sought by the newspaper were internal</w:t>
      </w:r>
      <w:r w:rsidRPr="007C6F94" w:rsidR="0000407A">
        <w:rPr>
          <w:rFonts w:ascii="Times New Roman" w:hAnsi="Times New Roman"/>
          <w:szCs w:val="26"/>
        </w:rPr>
        <w:t>ly generated</w:t>
      </w:r>
      <w:r w:rsidRPr="007C6F94" w:rsidR="000C2010">
        <w:rPr>
          <w:rFonts w:ascii="Times New Roman" w:hAnsi="Times New Roman"/>
          <w:szCs w:val="26"/>
        </w:rPr>
        <w:t xml:space="preserve"> appointment schedules, calendars, and notebooks, the Court did not consider these to </w:t>
      </w:r>
      <w:r w:rsidRPr="007C6F94" w:rsidR="0000407A">
        <w:rPr>
          <w:rFonts w:ascii="Times New Roman" w:hAnsi="Times New Roman"/>
          <w:szCs w:val="26"/>
        </w:rPr>
        <w:t>meet the definition of</w:t>
      </w:r>
      <w:r w:rsidRPr="007C6F94" w:rsidR="000C2010">
        <w:rPr>
          <w:rFonts w:ascii="Times New Roman" w:hAnsi="Times New Roman"/>
          <w:szCs w:val="26"/>
        </w:rPr>
        <w:t xml:space="preserve"> “correspondence”</w:t>
      </w:r>
      <w:r w:rsidRPr="007C6F94" w:rsidR="0000407A">
        <w:rPr>
          <w:rFonts w:ascii="Times New Roman" w:hAnsi="Times New Roman"/>
          <w:szCs w:val="26"/>
        </w:rPr>
        <w:t xml:space="preserve"> under Government Code </w:t>
      </w:r>
      <w:r w:rsidR="004C313D">
        <w:rPr>
          <w:rFonts w:ascii="Times New Roman" w:hAnsi="Times New Roman"/>
          <w:szCs w:val="26"/>
        </w:rPr>
        <w:t>S</w:t>
      </w:r>
      <w:r w:rsidRPr="007C6F94" w:rsidR="0000407A">
        <w:rPr>
          <w:rFonts w:ascii="Times New Roman" w:hAnsi="Times New Roman"/>
          <w:szCs w:val="26"/>
        </w:rPr>
        <w:t>ection 6254(l).</w:t>
      </w:r>
      <w:r w:rsidR="00250BBC">
        <w:rPr>
          <w:rFonts w:ascii="Times New Roman" w:hAnsi="Times New Roman"/>
          <w:szCs w:val="26"/>
        </w:rPr>
        <w:t xml:space="preserve"> </w:t>
      </w:r>
      <w:r w:rsidRPr="007C6F94" w:rsidR="000C2010">
        <w:rPr>
          <w:rFonts w:ascii="Times New Roman" w:hAnsi="Times New Roman"/>
          <w:szCs w:val="26"/>
        </w:rPr>
        <w:t xml:space="preserve"> </w:t>
      </w:r>
      <w:r w:rsidRPr="007C6F94" w:rsidR="000C2010">
        <w:rPr>
          <w:rFonts w:ascii="Times New Roman" w:hAnsi="Times New Roman"/>
          <w:i/>
          <w:iCs/>
          <w:szCs w:val="26"/>
        </w:rPr>
        <w:t>Id</w:t>
      </w:r>
      <w:r w:rsidRPr="007C6F94" w:rsidR="000C2010">
        <w:rPr>
          <w:rFonts w:ascii="Times New Roman" w:hAnsi="Times New Roman"/>
          <w:szCs w:val="26"/>
        </w:rPr>
        <w:t>.</w:t>
      </w:r>
    </w:p>
    <w:p w:rsidRPr="007C6F94" w:rsidR="000C2010" w:rsidP="002E3D1C" w:rsidRDefault="000C2010" w14:paraId="05CEB559" w14:textId="660FC4F6">
      <w:pPr>
        <w:rPr>
          <w:rFonts w:ascii="Times New Roman" w:hAnsi="Times New Roman"/>
          <w:szCs w:val="26"/>
        </w:rPr>
      </w:pPr>
    </w:p>
    <w:p w:rsidRPr="007C6F94" w:rsidR="000C2010" w:rsidP="002E3D1C" w:rsidRDefault="000C2010" w14:paraId="060402F6" w14:textId="21E42514">
      <w:pPr>
        <w:rPr>
          <w:rFonts w:ascii="Times New Roman" w:hAnsi="Times New Roman"/>
          <w:szCs w:val="26"/>
        </w:rPr>
      </w:pPr>
      <w:r w:rsidRPr="007C6F94">
        <w:rPr>
          <w:rFonts w:ascii="Times New Roman" w:hAnsi="Times New Roman"/>
          <w:szCs w:val="26"/>
        </w:rPr>
        <w:t>By contrast, Mr. Rittiman is asking for “</w:t>
      </w:r>
      <w:r w:rsidRPr="007C6F94" w:rsidR="00C73592">
        <w:rPr>
          <w:rFonts w:ascii="Times New Roman" w:hAnsi="Times New Roman"/>
          <w:szCs w:val="26"/>
        </w:rPr>
        <w:t xml:space="preserve">any record or communication” between Commission employees and </w:t>
      </w:r>
      <w:r w:rsidRPr="007C6F94">
        <w:rPr>
          <w:rFonts w:ascii="Times New Roman" w:hAnsi="Times New Roman"/>
          <w:szCs w:val="26"/>
        </w:rPr>
        <w:t>employees of the Governor’s office</w:t>
      </w:r>
      <w:r w:rsidRPr="007C6F94" w:rsidR="00C73592">
        <w:rPr>
          <w:rFonts w:ascii="Times New Roman" w:hAnsi="Times New Roman"/>
          <w:szCs w:val="26"/>
        </w:rPr>
        <w:t xml:space="preserve"> on the Rittiman/Prosper emails at issue, </w:t>
      </w:r>
      <w:r w:rsidRPr="007C6F94">
        <w:rPr>
          <w:rFonts w:ascii="Times New Roman" w:hAnsi="Times New Roman"/>
          <w:szCs w:val="26"/>
        </w:rPr>
        <w:t xml:space="preserve">a much broader request that </w:t>
      </w:r>
      <w:r w:rsidRPr="007C6F94" w:rsidR="0000407A">
        <w:rPr>
          <w:rFonts w:ascii="Times New Roman" w:hAnsi="Times New Roman"/>
          <w:szCs w:val="26"/>
        </w:rPr>
        <w:t>squarely</w:t>
      </w:r>
      <w:r w:rsidRPr="007C6F94">
        <w:rPr>
          <w:rFonts w:ascii="Times New Roman" w:hAnsi="Times New Roman"/>
          <w:szCs w:val="26"/>
        </w:rPr>
        <w:t xml:space="preserve"> implicate</w:t>
      </w:r>
      <w:r w:rsidRPr="007C6F94" w:rsidR="0000407A">
        <w:rPr>
          <w:rFonts w:ascii="Times New Roman" w:hAnsi="Times New Roman"/>
          <w:szCs w:val="26"/>
        </w:rPr>
        <w:t>s</w:t>
      </w:r>
      <w:r w:rsidRPr="007C6F94">
        <w:rPr>
          <w:rFonts w:ascii="Times New Roman" w:hAnsi="Times New Roman"/>
          <w:szCs w:val="26"/>
        </w:rPr>
        <w:t xml:space="preserve"> Government Code </w:t>
      </w:r>
      <w:r w:rsidR="004C313D">
        <w:rPr>
          <w:rFonts w:ascii="Times New Roman" w:hAnsi="Times New Roman"/>
          <w:szCs w:val="26"/>
        </w:rPr>
        <w:t>S</w:t>
      </w:r>
      <w:r w:rsidRPr="007C6F94">
        <w:rPr>
          <w:rFonts w:ascii="Times New Roman" w:hAnsi="Times New Roman"/>
          <w:szCs w:val="26"/>
        </w:rPr>
        <w:t>ection 6254(l).</w:t>
      </w:r>
      <w:r w:rsidR="00250BBC">
        <w:rPr>
          <w:rFonts w:ascii="Times New Roman" w:hAnsi="Times New Roman"/>
          <w:szCs w:val="26"/>
        </w:rPr>
        <w:t xml:space="preserve"> </w:t>
      </w:r>
      <w:r w:rsidRPr="007C6F94">
        <w:rPr>
          <w:rFonts w:ascii="Times New Roman" w:hAnsi="Times New Roman"/>
          <w:szCs w:val="26"/>
        </w:rPr>
        <w:t xml:space="preserve"> To the extent that Mr. Rittiman argues that the term “correspondence” should be limited to communications by (paper or physical) letter, pursuant </w:t>
      </w:r>
      <w:r w:rsidRPr="007C6F94" w:rsidR="00906102">
        <w:rPr>
          <w:rFonts w:ascii="Times New Roman" w:hAnsi="Times New Roman"/>
          <w:szCs w:val="26"/>
        </w:rPr>
        <w:t>to</w:t>
      </w:r>
      <w:r w:rsidRPr="007C6F94">
        <w:rPr>
          <w:rFonts w:ascii="Times New Roman" w:hAnsi="Times New Roman"/>
          <w:szCs w:val="26"/>
        </w:rPr>
        <w:t xml:space="preserve"> the Court’s reliance on Webster’s definition of “correspondence” in </w:t>
      </w:r>
      <w:r w:rsidRPr="007C6F94">
        <w:rPr>
          <w:rFonts w:ascii="Times New Roman" w:hAnsi="Times New Roman"/>
          <w:i/>
          <w:iCs/>
          <w:szCs w:val="26"/>
        </w:rPr>
        <w:t>Times Mirror</w:t>
      </w:r>
      <w:r w:rsidRPr="007C6F94">
        <w:rPr>
          <w:rFonts w:ascii="Times New Roman" w:hAnsi="Times New Roman"/>
          <w:szCs w:val="26"/>
        </w:rPr>
        <w:t xml:space="preserve">, that argument is unavailing. </w:t>
      </w:r>
      <w:r w:rsidRPr="007C6F94">
        <w:rPr>
          <w:rFonts w:ascii="Times New Roman" w:hAnsi="Times New Roman"/>
          <w:i/>
          <w:iCs/>
          <w:szCs w:val="26"/>
        </w:rPr>
        <w:t>Times Mirror</w:t>
      </w:r>
      <w:r w:rsidRPr="007C6F94">
        <w:rPr>
          <w:rFonts w:ascii="Times New Roman" w:hAnsi="Times New Roman"/>
          <w:szCs w:val="26"/>
        </w:rPr>
        <w:t xml:space="preserve"> was published in 1991 and involved a request for records created between 1983 and 1988, largely before the advent of electronic communication. Webster’s </w:t>
      </w:r>
      <w:r w:rsidRPr="007C6F94" w:rsidR="00906102">
        <w:rPr>
          <w:rFonts w:ascii="Times New Roman" w:hAnsi="Times New Roman"/>
          <w:szCs w:val="26"/>
        </w:rPr>
        <w:t xml:space="preserve">current </w:t>
      </w:r>
      <w:r w:rsidRPr="007C6F94">
        <w:rPr>
          <w:rFonts w:ascii="Times New Roman" w:hAnsi="Times New Roman"/>
          <w:szCs w:val="26"/>
        </w:rPr>
        <w:t xml:space="preserve">definition of correspondence, for example, is “communication by letters </w:t>
      </w:r>
      <w:r w:rsidRPr="007C6F94">
        <w:rPr>
          <w:rFonts w:ascii="Times New Roman" w:hAnsi="Times New Roman"/>
          <w:i/>
          <w:iCs/>
          <w:szCs w:val="26"/>
        </w:rPr>
        <w:t>or email</w:t>
      </w:r>
      <w:r w:rsidRPr="007C6F94">
        <w:rPr>
          <w:rFonts w:ascii="Times New Roman" w:hAnsi="Times New Roman"/>
          <w:szCs w:val="26"/>
        </w:rPr>
        <w:t>” (emphasis added).</w:t>
      </w:r>
      <w:r w:rsidRPr="007C6F94">
        <w:rPr>
          <w:rStyle w:val="FootnoteReference"/>
          <w:rFonts w:ascii="Times New Roman" w:hAnsi="Times New Roman"/>
          <w:b/>
          <w:bCs/>
          <w:szCs w:val="26"/>
          <w:u w:val="single"/>
        </w:rPr>
        <w:footnoteReference w:id="7"/>
      </w:r>
      <w:r w:rsidRPr="007C6F94">
        <w:rPr>
          <w:rFonts w:ascii="Times New Roman" w:hAnsi="Times New Roman"/>
          <w:szCs w:val="26"/>
        </w:rPr>
        <w:t xml:space="preserve"> </w:t>
      </w:r>
      <w:r w:rsidR="00100936">
        <w:rPr>
          <w:rFonts w:ascii="Times New Roman" w:hAnsi="Times New Roman"/>
          <w:szCs w:val="26"/>
        </w:rPr>
        <w:t xml:space="preserve"> </w:t>
      </w:r>
      <w:r w:rsidRPr="007C6F94" w:rsidR="00906102">
        <w:rPr>
          <w:rFonts w:ascii="Times New Roman" w:hAnsi="Times New Roman"/>
          <w:szCs w:val="26"/>
        </w:rPr>
        <w:t>T</w:t>
      </w:r>
      <w:r w:rsidRPr="007C6F94">
        <w:rPr>
          <w:rFonts w:ascii="Times New Roman" w:hAnsi="Times New Roman"/>
          <w:szCs w:val="26"/>
        </w:rPr>
        <w:t xml:space="preserve">here is no logical distinction to be made between an email and </w:t>
      </w:r>
      <w:r w:rsidRPr="007C6F94" w:rsidR="008E1414">
        <w:rPr>
          <w:rFonts w:ascii="Times New Roman" w:hAnsi="Times New Roman"/>
          <w:szCs w:val="26"/>
        </w:rPr>
        <w:t>a text message</w:t>
      </w:r>
      <w:r w:rsidRPr="007C6F94" w:rsidR="0000407A">
        <w:rPr>
          <w:rFonts w:ascii="Times New Roman" w:hAnsi="Times New Roman"/>
          <w:szCs w:val="26"/>
        </w:rPr>
        <w:t xml:space="preserve"> and an electronically communicated calendar entry</w:t>
      </w:r>
      <w:r w:rsidRPr="007C6F94" w:rsidR="007F1311">
        <w:rPr>
          <w:rFonts w:ascii="Times New Roman" w:hAnsi="Times New Roman"/>
          <w:szCs w:val="26"/>
        </w:rPr>
        <w:t>, which often contains messaging elements</w:t>
      </w:r>
      <w:r w:rsidRPr="007C6F94" w:rsidR="008E1414">
        <w:rPr>
          <w:rFonts w:ascii="Times New Roman" w:hAnsi="Times New Roman"/>
          <w:szCs w:val="26"/>
        </w:rPr>
        <w:t xml:space="preserve">. </w:t>
      </w:r>
      <w:r w:rsidR="00100936">
        <w:rPr>
          <w:rFonts w:ascii="Times New Roman" w:hAnsi="Times New Roman"/>
          <w:szCs w:val="26"/>
        </w:rPr>
        <w:t xml:space="preserve"> </w:t>
      </w:r>
      <w:r w:rsidRPr="007C6F94" w:rsidR="008E1414">
        <w:rPr>
          <w:rFonts w:ascii="Times New Roman" w:hAnsi="Times New Roman"/>
          <w:szCs w:val="26"/>
        </w:rPr>
        <w:t xml:space="preserve">The statutory prohibition on disclosure of “[c]orrespondence of and to the Governor or employees of the Governor’s office” should not hinge on what type of computer or phone application a correspondent uses. </w:t>
      </w:r>
      <w:r w:rsidR="00100936">
        <w:rPr>
          <w:rFonts w:ascii="Times New Roman" w:hAnsi="Times New Roman"/>
          <w:szCs w:val="26"/>
        </w:rPr>
        <w:t xml:space="preserve"> </w:t>
      </w:r>
      <w:r w:rsidRPr="007C6F94" w:rsidR="005F0A33">
        <w:rPr>
          <w:rFonts w:ascii="Times New Roman" w:hAnsi="Times New Roman"/>
          <w:szCs w:val="26"/>
        </w:rPr>
        <w:t xml:space="preserve">The documents sought by </w:t>
      </w:r>
      <w:r w:rsidRPr="007C6F94" w:rsidR="008E1414">
        <w:rPr>
          <w:rFonts w:ascii="Times New Roman" w:hAnsi="Times New Roman"/>
          <w:szCs w:val="26"/>
        </w:rPr>
        <w:t>Mr. Rittiman</w:t>
      </w:r>
      <w:r w:rsidRPr="007C6F94" w:rsidR="005F0A33">
        <w:rPr>
          <w:rFonts w:ascii="Times New Roman" w:hAnsi="Times New Roman"/>
          <w:szCs w:val="26"/>
        </w:rPr>
        <w:t xml:space="preserve"> in his</w:t>
      </w:r>
      <w:r w:rsidRPr="007C6F94" w:rsidR="008E1414">
        <w:rPr>
          <w:rFonts w:ascii="Times New Roman" w:hAnsi="Times New Roman"/>
          <w:szCs w:val="26"/>
        </w:rPr>
        <w:t xml:space="preserve"> CPRA request</w:t>
      </w:r>
      <w:r w:rsidRPr="007C6F94" w:rsidR="0000407A">
        <w:rPr>
          <w:rFonts w:ascii="Times New Roman" w:hAnsi="Times New Roman"/>
          <w:szCs w:val="26"/>
        </w:rPr>
        <w:t xml:space="preserve"> </w:t>
      </w:r>
      <w:r w:rsidRPr="007C6F94" w:rsidR="005F0A33">
        <w:rPr>
          <w:rFonts w:ascii="Times New Roman" w:hAnsi="Times New Roman"/>
          <w:szCs w:val="26"/>
        </w:rPr>
        <w:t>(</w:t>
      </w:r>
      <w:r w:rsidRPr="007C6F94" w:rsidR="0000407A">
        <w:rPr>
          <w:rFonts w:ascii="Times New Roman" w:hAnsi="Times New Roman"/>
          <w:szCs w:val="26"/>
        </w:rPr>
        <w:t>“</w:t>
      </w:r>
      <w:r w:rsidRPr="007C6F94" w:rsidR="00C73592">
        <w:rPr>
          <w:rFonts w:ascii="Times New Roman" w:hAnsi="Times New Roman"/>
          <w:szCs w:val="26"/>
        </w:rPr>
        <w:t xml:space="preserve">any record or </w:t>
      </w:r>
      <w:r w:rsidRPr="007C6F94" w:rsidR="0000407A">
        <w:rPr>
          <w:rFonts w:ascii="Times New Roman" w:hAnsi="Times New Roman"/>
          <w:szCs w:val="26"/>
        </w:rPr>
        <w:lastRenderedPageBreak/>
        <w:t>communications”</w:t>
      </w:r>
      <w:r w:rsidRPr="007C6F94" w:rsidR="005F0A33">
        <w:rPr>
          <w:rFonts w:ascii="Times New Roman" w:hAnsi="Times New Roman"/>
          <w:szCs w:val="26"/>
        </w:rPr>
        <w:t>)</w:t>
      </w:r>
      <w:r w:rsidRPr="007C6F94" w:rsidR="008E1414">
        <w:rPr>
          <w:rFonts w:ascii="Times New Roman" w:hAnsi="Times New Roman"/>
          <w:szCs w:val="26"/>
        </w:rPr>
        <w:t xml:space="preserve"> </w:t>
      </w:r>
      <w:r w:rsidRPr="007C6F94" w:rsidR="005F0A33">
        <w:rPr>
          <w:rFonts w:ascii="Times New Roman" w:hAnsi="Times New Roman"/>
          <w:szCs w:val="26"/>
        </w:rPr>
        <w:t xml:space="preserve">are </w:t>
      </w:r>
      <w:r w:rsidRPr="007C6F94" w:rsidR="008E1414">
        <w:rPr>
          <w:rFonts w:ascii="Times New Roman" w:hAnsi="Times New Roman"/>
          <w:szCs w:val="26"/>
        </w:rPr>
        <w:t xml:space="preserve">by definition exempt from disclosure pursuant to California Government Code </w:t>
      </w:r>
      <w:r w:rsidR="004C313D">
        <w:rPr>
          <w:rFonts w:ascii="Times New Roman" w:hAnsi="Times New Roman"/>
          <w:szCs w:val="26"/>
        </w:rPr>
        <w:t>S</w:t>
      </w:r>
      <w:r w:rsidRPr="007C6F94" w:rsidR="008E1414">
        <w:rPr>
          <w:rFonts w:ascii="Times New Roman" w:hAnsi="Times New Roman"/>
          <w:szCs w:val="26"/>
        </w:rPr>
        <w:t>ection 6254(l).</w:t>
      </w:r>
    </w:p>
    <w:p w:rsidRPr="007C6F94" w:rsidR="007008ED" w:rsidP="002E3D1C" w:rsidRDefault="007008ED" w14:paraId="20FC247D" w14:textId="04109FAA">
      <w:pPr>
        <w:rPr>
          <w:rFonts w:ascii="Times New Roman" w:hAnsi="Times New Roman"/>
          <w:szCs w:val="26"/>
        </w:rPr>
      </w:pPr>
    </w:p>
    <w:p w:rsidRPr="007C6F94" w:rsidR="007008ED" w:rsidP="002E3D1C" w:rsidRDefault="007008ED" w14:paraId="0CC9DE7B" w14:textId="486F2BFC">
      <w:pPr>
        <w:rPr>
          <w:rFonts w:ascii="Times New Roman" w:hAnsi="Times New Roman"/>
          <w:szCs w:val="26"/>
        </w:rPr>
      </w:pPr>
      <w:r w:rsidRPr="007C6F94">
        <w:rPr>
          <w:rFonts w:ascii="Times New Roman" w:hAnsi="Times New Roman"/>
          <w:szCs w:val="26"/>
        </w:rPr>
        <w:t xml:space="preserve">Mr. Rittiman also seizes on a piece of dicta in </w:t>
      </w:r>
      <w:r w:rsidRPr="007C6F94" w:rsidR="00AB02B5">
        <w:rPr>
          <w:rFonts w:ascii="Times New Roman" w:hAnsi="Times New Roman"/>
          <w:i/>
          <w:iCs/>
          <w:szCs w:val="26"/>
        </w:rPr>
        <w:t>California First Amendment Coalition v. Superior Court</w:t>
      </w:r>
      <w:r w:rsidRPr="007C6F94" w:rsidR="00AB02B5">
        <w:rPr>
          <w:rFonts w:ascii="Times New Roman" w:hAnsi="Times New Roman"/>
          <w:szCs w:val="26"/>
        </w:rPr>
        <w:t xml:space="preserve">, 67 Cal. App. 4th 159 (3d Dist. 1998) to argue that the Correspondence Exemption contained in Government Code </w:t>
      </w:r>
      <w:r w:rsidR="004C313D">
        <w:rPr>
          <w:rFonts w:ascii="Times New Roman" w:hAnsi="Times New Roman"/>
          <w:szCs w:val="26"/>
        </w:rPr>
        <w:t>S</w:t>
      </w:r>
      <w:r w:rsidRPr="007C6F94" w:rsidR="00AB02B5">
        <w:rPr>
          <w:rFonts w:ascii="Times New Roman" w:hAnsi="Times New Roman"/>
          <w:szCs w:val="26"/>
        </w:rPr>
        <w:t xml:space="preserve">ection 6254(l) applies only to communications coming “to” the Governor’s Office from “outside of government.” </w:t>
      </w:r>
      <w:r w:rsidR="00100936">
        <w:rPr>
          <w:rFonts w:ascii="Times New Roman" w:hAnsi="Times New Roman"/>
          <w:szCs w:val="26"/>
        </w:rPr>
        <w:t xml:space="preserve"> </w:t>
      </w:r>
      <w:r w:rsidRPr="007C6F94" w:rsidR="00AB02B5">
        <w:rPr>
          <w:rFonts w:ascii="Times New Roman" w:hAnsi="Times New Roman"/>
          <w:szCs w:val="26"/>
        </w:rPr>
        <w:t>This argument ignores the statute and misreads the case.</w:t>
      </w:r>
    </w:p>
    <w:p w:rsidRPr="007C6F94" w:rsidR="00AB02B5" w:rsidP="002E3D1C" w:rsidRDefault="00AB02B5" w14:paraId="3FD87726" w14:textId="6E5FC24C">
      <w:pPr>
        <w:rPr>
          <w:rFonts w:ascii="Times New Roman" w:hAnsi="Times New Roman"/>
          <w:szCs w:val="26"/>
        </w:rPr>
      </w:pPr>
    </w:p>
    <w:p w:rsidRPr="007C6F94" w:rsidR="00AB02B5" w:rsidP="002E3D1C" w:rsidRDefault="00AB02B5" w14:paraId="53BDA744" w14:textId="1C805014">
      <w:pPr>
        <w:rPr>
          <w:rFonts w:ascii="Times New Roman" w:hAnsi="Times New Roman"/>
          <w:szCs w:val="26"/>
        </w:rPr>
      </w:pPr>
      <w:r w:rsidRPr="007C6F94">
        <w:rPr>
          <w:rFonts w:ascii="Times New Roman" w:hAnsi="Times New Roman"/>
          <w:szCs w:val="26"/>
        </w:rPr>
        <w:t xml:space="preserve">In </w:t>
      </w:r>
      <w:r w:rsidRPr="007C6F94">
        <w:rPr>
          <w:rFonts w:ascii="Times New Roman" w:hAnsi="Times New Roman"/>
          <w:i/>
          <w:iCs/>
          <w:szCs w:val="26"/>
        </w:rPr>
        <w:t>California First Amendment Coalition</w:t>
      </w:r>
      <w:r w:rsidRPr="007C6F94">
        <w:rPr>
          <w:rFonts w:ascii="Times New Roman" w:hAnsi="Times New Roman"/>
          <w:szCs w:val="26"/>
        </w:rPr>
        <w:t xml:space="preserve">, the Court of Appeal was deciding whether or not application materials sent to the Governor’s </w:t>
      </w:r>
      <w:r w:rsidRPr="007C6F94" w:rsidR="0000407A">
        <w:rPr>
          <w:rFonts w:ascii="Times New Roman" w:hAnsi="Times New Roman"/>
          <w:szCs w:val="26"/>
        </w:rPr>
        <w:t>o</w:t>
      </w:r>
      <w:r w:rsidRPr="007C6F94">
        <w:rPr>
          <w:rFonts w:ascii="Times New Roman" w:hAnsi="Times New Roman"/>
          <w:szCs w:val="26"/>
        </w:rPr>
        <w:t xml:space="preserve">ffice for appointment to an open county supervisor position were “correspondence” and thus exempt from disclosure under Government Code </w:t>
      </w:r>
      <w:r w:rsidR="004C313D">
        <w:rPr>
          <w:rFonts w:ascii="Times New Roman" w:hAnsi="Times New Roman"/>
          <w:szCs w:val="26"/>
        </w:rPr>
        <w:t>S</w:t>
      </w:r>
      <w:r w:rsidRPr="007C6F94">
        <w:rPr>
          <w:rFonts w:ascii="Times New Roman" w:hAnsi="Times New Roman"/>
          <w:szCs w:val="26"/>
        </w:rPr>
        <w:t>ection 6254(l).</w:t>
      </w:r>
      <w:r w:rsidR="00100936">
        <w:rPr>
          <w:rFonts w:ascii="Times New Roman" w:hAnsi="Times New Roman"/>
          <w:szCs w:val="26"/>
        </w:rPr>
        <w:t xml:space="preserve"> </w:t>
      </w:r>
      <w:r w:rsidRPr="007C6F94">
        <w:rPr>
          <w:rFonts w:ascii="Times New Roman" w:hAnsi="Times New Roman"/>
          <w:szCs w:val="26"/>
        </w:rPr>
        <w:t xml:space="preserve"> In its discussion, the Court of Appeal examined the </w:t>
      </w:r>
      <w:r w:rsidRPr="007C6F94">
        <w:rPr>
          <w:rFonts w:ascii="Times New Roman" w:hAnsi="Times New Roman"/>
          <w:i/>
          <w:iCs/>
          <w:szCs w:val="26"/>
        </w:rPr>
        <w:t>Times Mirror</w:t>
      </w:r>
      <w:r w:rsidRPr="007C6F94">
        <w:rPr>
          <w:rFonts w:ascii="Times New Roman" w:hAnsi="Times New Roman"/>
          <w:szCs w:val="26"/>
        </w:rPr>
        <w:t xml:space="preserve"> case for precedent, noting that, “[i]n </w:t>
      </w:r>
      <w:r w:rsidRPr="007C6F94">
        <w:rPr>
          <w:rFonts w:ascii="Times New Roman" w:hAnsi="Times New Roman"/>
          <w:i/>
          <w:iCs/>
          <w:szCs w:val="26"/>
        </w:rPr>
        <w:t>Times Mirror</w:t>
      </w:r>
      <w:r w:rsidRPr="007C6F94">
        <w:rPr>
          <w:rFonts w:ascii="Times New Roman" w:hAnsi="Times New Roman"/>
          <w:szCs w:val="26"/>
        </w:rPr>
        <w:t xml:space="preserve">, the Supreme Court feared that treating internally generated documents as correspondence would create an exemption so broad that all records in the custody of the Governor or employees of the Governor’s would be exempt from disclosure.” </w:t>
      </w:r>
      <w:r w:rsidRPr="007C6F94">
        <w:rPr>
          <w:rFonts w:ascii="Times New Roman" w:hAnsi="Times New Roman"/>
          <w:i/>
          <w:iCs/>
          <w:szCs w:val="26"/>
        </w:rPr>
        <w:t>California First Amendment Coalition</w:t>
      </w:r>
      <w:r w:rsidRPr="007C6F94">
        <w:rPr>
          <w:rFonts w:ascii="Times New Roman" w:hAnsi="Times New Roman"/>
          <w:szCs w:val="26"/>
        </w:rPr>
        <w:t xml:space="preserve">, </w:t>
      </w:r>
      <w:r w:rsidR="00C235EF">
        <w:rPr>
          <w:rFonts w:ascii="Times New Roman" w:hAnsi="Times New Roman"/>
          <w:szCs w:val="26"/>
        </w:rPr>
        <w:br/>
      </w:r>
      <w:r w:rsidRPr="007C6F94">
        <w:rPr>
          <w:rFonts w:ascii="Times New Roman" w:hAnsi="Times New Roman"/>
          <w:szCs w:val="26"/>
        </w:rPr>
        <w:t>67 Cal. App. 4th at 168.</w:t>
      </w:r>
    </w:p>
    <w:p w:rsidRPr="007C6F94" w:rsidR="00E27FBD" w:rsidP="002E3D1C" w:rsidRDefault="00E27FBD" w14:paraId="1495E234" w14:textId="5513AB79">
      <w:pPr>
        <w:rPr>
          <w:rFonts w:ascii="Times New Roman" w:hAnsi="Times New Roman"/>
          <w:szCs w:val="26"/>
        </w:rPr>
      </w:pPr>
    </w:p>
    <w:p w:rsidRPr="007C6F94" w:rsidR="00E27FBD" w:rsidP="002E3D1C" w:rsidRDefault="00A27830" w14:paraId="6EA61ED7" w14:textId="62EC42BA">
      <w:pPr>
        <w:rPr>
          <w:rFonts w:ascii="Times New Roman" w:hAnsi="Times New Roman"/>
          <w:szCs w:val="26"/>
        </w:rPr>
      </w:pPr>
      <w:r w:rsidRPr="007C6F94">
        <w:rPr>
          <w:rFonts w:ascii="Times New Roman" w:hAnsi="Times New Roman"/>
          <w:szCs w:val="26"/>
        </w:rPr>
        <w:t>T</w:t>
      </w:r>
      <w:r w:rsidRPr="007C6F94" w:rsidR="00E27FBD">
        <w:rPr>
          <w:rFonts w:ascii="Times New Roman" w:hAnsi="Times New Roman"/>
          <w:szCs w:val="26"/>
        </w:rPr>
        <w:t xml:space="preserve">he Court of Appeal </w:t>
      </w:r>
      <w:r w:rsidRPr="007C6F94" w:rsidR="00906102">
        <w:rPr>
          <w:rFonts w:ascii="Times New Roman" w:hAnsi="Times New Roman"/>
          <w:szCs w:val="26"/>
        </w:rPr>
        <w:t xml:space="preserve">then </w:t>
      </w:r>
      <w:r w:rsidRPr="007C6F94" w:rsidR="00E27FBD">
        <w:rPr>
          <w:rFonts w:ascii="Times New Roman" w:hAnsi="Times New Roman"/>
          <w:szCs w:val="26"/>
        </w:rPr>
        <w:t xml:space="preserve">distinguished the </w:t>
      </w:r>
      <w:r w:rsidRPr="007C6F94">
        <w:rPr>
          <w:rFonts w:ascii="Times New Roman" w:hAnsi="Times New Roman"/>
          <w:szCs w:val="26"/>
        </w:rPr>
        <w:t xml:space="preserve">internally generated </w:t>
      </w:r>
      <w:r w:rsidRPr="007C6F94" w:rsidR="00E27FBD">
        <w:rPr>
          <w:rFonts w:ascii="Times New Roman" w:hAnsi="Times New Roman"/>
          <w:szCs w:val="26"/>
        </w:rPr>
        <w:t xml:space="preserve">“Governor’s calendar and schedule” at issue in </w:t>
      </w:r>
      <w:r w:rsidRPr="007C6F94" w:rsidR="00E27FBD">
        <w:rPr>
          <w:rFonts w:ascii="Times New Roman" w:hAnsi="Times New Roman"/>
          <w:i/>
          <w:iCs/>
          <w:szCs w:val="26"/>
        </w:rPr>
        <w:t>Times Mirror</w:t>
      </w:r>
      <w:r w:rsidRPr="007C6F94" w:rsidR="00E27FBD">
        <w:rPr>
          <w:rFonts w:ascii="Times New Roman" w:hAnsi="Times New Roman"/>
          <w:szCs w:val="26"/>
        </w:rPr>
        <w:t xml:space="preserve"> and determined that the application materials for the county supervisor seat were “correspondence” within the meaning of, and thus exempt from disclosure by, Government Code </w:t>
      </w:r>
      <w:r w:rsidR="004C313D">
        <w:rPr>
          <w:rFonts w:ascii="Times New Roman" w:hAnsi="Times New Roman"/>
          <w:szCs w:val="26"/>
        </w:rPr>
        <w:t>S</w:t>
      </w:r>
      <w:r w:rsidRPr="007C6F94" w:rsidR="00E27FBD">
        <w:rPr>
          <w:rFonts w:ascii="Times New Roman" w:hAnsi="Times New Roman"/>
          <w:szCs w:val="26"/>
        </w:rPr>
        <w:t>ection 6254(l).</w:t>
      </w:r>
      <w:r w:rsidR="00100936">
        <w:rPr>
          <w:rFonts w:ascii="Times New Roman" w:hAnsi="Times New Roman"/>
          <w:szCs w:val="26"/>
        </w:rPr>
        <w:t xml:space="preserve"> </w:t>
      </w:r>
      <w:r w:rsidRPr="007C6F94">
        <w:rPr>
          <w:rFonts w:ascii="Times New Roman" w:hAnsi="Times New Roman"/>
          <w:szCs w:val="26"/>
        </w:rPr>
        <w:t xml:space="preserve"> In doing so, the Court of Appeal supported the distinction from </w:t>
      </w:r>
      <w:r w:rsidRPr="007C6F94">
        <w:rPr>
          <w:rFonts w:ascii="Times New Roman" w:hAnsi="Times New Roman"/>
          <w:i/>
          <w:iCs/>
          <w:szCs w:val="26"/>
        </w:rPr>
        <w:t>Time</w:t>
      </w:r>
      <w:r w:rsidRPr="007C6F94" w:rsidR="00906102">
        <w:rPr>
          <w:rFonts w:ascii="Times New Roman" w:hAnsi="Times New Roman"/>
          <w:i/>
          <w:iCs/>
          <w:szCs w:val="26"/>
        </w:rPr>
        <w:t>s</w:t>
      </w:r>
      <w:r w:rsidRPr="007C6F94">
        <w:rPr>
          <w:rFonts w:ascii="Times New Roman" w:hAnsi="Times New Roman"/>
          <w:i/>
          <w:iCs/>
          <w:szCs w:val="26"/>
        </w:rPr>
        <w:t xml:space="preserve"> Mirror</w:t>
      </w:r>
      <w:r w:rsidRPr="007C6F94">
        <w:rPr>
          <w:rFonts w:ascii="Times New Roman" w:hAnsi="Times New Roman"/>
          <w:szCs w:val="26"/>
        </w:rPr>
        <w:t xml:space="preserve"> by stating, “[i]n our view, the correspondence exemption was intended to protect communications to the Governor and members of the Governor’s staff from correspondents outside of government.” </w:t>
      </w:r>
      <w:r w:rsidR="00C235EF">
        <w:rPr>
          <w:rFonts w:ascii="Times New Roman" w:hAnsi="Times New Roman"/>
          <w:szCs w:val="26"/>
        </w:rPr>
        <w:t xml:space="preserve"> </w:t>
      </w:r>
      <w:r w:rsidRPr="007C6F94">
        <w:rPr>
          <w:rFonts w:ascii="Times New Roman" w:hAnsi="Times New Roman"/>
          <w:i/>
          <w:iCs/>
          <w:szCs w:val="26"/>
        </w:rPr>
        <w:t>Id</w:t>
      </w:r>
      <w:r w:rsidRPr="007C6F94">
        <w:rPr>
          <w:rFonts w:ascii="Times New Roman" w:hAnsi="Times New Roman"/>
          <w:szCs w:val="26"/>
        </w:rPr>
        <w:t>.</w:t>
      </w:r>
    </w:p>
    <w:p w:rsidRPr="007C6F94" w:rsidR="00805301" w:rsidP="002E3D1C" w:rsidRDefault="00805301" w14:paraId="5FD66884" w14:textId="3F748AB0">
      <w:pPr>
        <w:rPr>
          <w:rFonts w:ascii="Times New Roman" w:hAnsi="Times New Roman"/>
          <w:szCs w:val="26"/>
        </w:rPr>
      </w:pPr>
    </w:p>
    <w:p w:rsidRPr="007C6F94" w:rsidR="00147456" w:rsidP="002E3D1C" w:rsidRDefault="008C2102" w14:paraId="711FF9C2" w14:textId="7CA0D80F">
      <w:pPr>
        <w:rPr>
          <w:rFonts w:ascii="Times New Roman" w:hAnsi="Times New Roman"/>
          <w:szCs w:val="26"/>
        </w:rPr>
      </w:pPr>
      <w:r w:rsidRPr="007C6F94">
        <w:rPr>
          <w:rFonts w:ascii="Times New Roman" w:hAnsi="Times New Roman"/>
          <w:szCs w:val="26"/>
        </w:rPr>
        <w:t>However</w:t>
      </w:r>
      <w:r w:rsidRPr="007C6F94" w:rsidR="00805301">
        <w:rPr>
          <w:rFonts w:ascii="Times New Roman" w:hAnsi="Times New Roman"/>
          <w:szCs w:val="26"/>
        </w:rPr>
        <w:t xml:space="preserve">, the issue of inter-governmental correspondence was not before the Court of Appeal in </w:t>
      </w:r>
      <w:r w:rsidRPr="007C6F94" w:rsidR="00805301">
        <w:rPr>
          <w:rFonts w:ascii="Times New Roman" w:hAnsi="Times New Roman"/>
          <w:i/>
          <w:iCs/>
          <w:szCs w:val="26"/>
        </w:rPr>
        <w:t>California First Amendment Coalition</w:t>
      </w:r>
      <w:r w:rsidRPr="007C6F94" w:rsidR="00805301">
        <w:rPr>
          <w:rFonts w:ascii="Times New Roman" w:hAnsi="Times New Roman"/>
          <w:szCs w:val="26"/>
        </w:rPr>
        <w:t xml:space="preserve">, </w:t>
      </w:r>
      <w:r w:rsidRPr="007C6F94" w:rsidR="0067623E">
        <w:rPr>
          <w:rFonts w:ascii="Times New Roman" w:hAnsi="Times New Roman"/>
          <w:szCs w:val="26"/>
        </w:rPr>
        <w:t xml:space="preserve">it did not </w:t>
      </w:r>
      <w:r w:rsidRPr="007C6F94" w:rsidR="00D43F89">
        <w:rPr>
          <w:rFonts w:ascii="Times New Roman" w:hAnsi="Times New Roman"/>
          <w:szCs w:val="26"/>
        </w:rPr>
        <w:t xml:space="preserve">purport to </w:t>
      </w:r>
      <w:r w:rsidRPr="007C6F94" w:rsidR="0067623E">
        <w:rPr>
          <w:rFonts w:ascii="Times New Roman" w:hAnsi="Times New Roman"/>
          <w:szCs w:val="26"/>
        </w:rPr>
        <w:t xml:space="preserve">consider the issue, </w:t>
      </w:r>
      <w:r w:rsidRPr="007C6F94" w:rsidR="00805301">
        <w:rPr>
          <w:rFonts w:ascii="Times New Roman" w:hAnsi="Times New Roman"/>
          <w:szCs w:val="26"/>
        </w:rPr>
        <w:t xml:space="preserve">nor do we think </w:t>
      </w:r>
      <w:r w:rsidRPr="007C6F94" w:rsidR="00001BD5">
        <w:rPr>
          <w:rFonts w:ascii="Times New Roman" w:hAnsi="Times New Roman"/>
          <w:szCs w:val="26"/>
        </w:rPr>
        <w:t xml:space="preserve">the </w:t>
      </w:r>
      <w:r w:rsidRPr="007C6F94" w:rsidR="00906102">
        <w:rPr>
          <w:rFonts w:ascii="Times New Roman" w:hAnsi="Times New Roman"/>
          <w:szCs w:val="26"/>
        </w:rPr>
        <w:t>C</w:t>
      </w:r>
      <w:r w:rsidRPr="007C6F94" w:rsidR="00001BD5">
        <w:rPr>
          <w:rFonts w:ascii="Times New Roman" w:hAnsi="Times New Roman"/>
          <w:szCs w:val="26"/>
        </w:rPr>
        <w:t>ourt</w:t>
      </w:r>
      <w:r w:rsidRPr="007C6F94" w:rsidR="00805301">
        <w:rPr>
          <w:rFonts w:ascii="Times New Roman" w:hAnsi="Times New Roman"/>
          <w:szCs w:val="26"/>
        </w:rPr>
        <w:t xml:space="preserve"> was </w:t>
      </w:r>
      <w:r w:rsidRPr="007C6F94" w:rsidR="00D43F89">
        <w:rPr>
          <w:rFonts w:ascii="Times New Roman" w:hAnsi="Times New Roman"/>
          <w:szCs w:val="26"/>
        </w:rPr>
        <w:t>articulating</w:t>
      </w:r>
      <w:r w:rsidRPr="007C6F94" w:rsidR="00805301">
        <w:rPr>
          <w:rFonts w:ascii="Times New Roman" w:hAnsi="Times New Roman"/>
          <w:szCs w:val="26"/>
        </w:rPr>
        <w:t xml:space="preserve"> a broader reading of the statute than necessary to reach its </w:t>
      </w:r>
      <w:r w:rsidRPr="007C6F94" w:rsidR="00BC447E">
        <w:rPr>
          <w:rFonts w:ascii="Times New Roman" w:hAnsi="Times New Roman"/>
          <w:szCs w:val="26"/>
        </w:rPr>
        <w:t>holding</w:t>
      </w:r>
      <w:r w:rsidRPr="007C6F94" w:rsidR="00805301">
        <w:rPr>
          <w:rFonts w:ascii="Times New Roman" w:hAnsi="Times New Roman"/>
          <w:szCs w:val="26"/>
        </w:rPr>
        <w:t>.</w:t>
      </w:r>
      <w:r w:rsidR="00384EAC">
        <w:rPr>
          <w:rFonts w:ascii="Times New Roman" w:hAnsi="Times New Roman"/>
          <w:szCs w:val="26"/>
        </w:rPr>
        <w:t xml:space="preserve"> </w:t>
      </w:r>
      <w:r w:rsidRPr="007C6F94" w:rsidR="00805301">
        <w:rPr>
          <w:rFonts w:ascii="Times New Roman" w:hAnsi="Times New Roman"/>
          <w:szCs w:val="26"/>
        </w:rPr>
        <w:t xml:space="preserve"> </w:t>
      </w:r>
      <w:r w:rsidRPr="007C6F94" w:rsidR="00906102">
        <w:rPr>
          <w:rFonts w:ascii="Times New Roman" w:hAnsi="Times New Roman"/>
          <w:szCs w:val="26"/>
        </w:rPr>
        <w:t xml:space="preserve">“It is, of course, ‘axiomatic that a decision does not stand for a proposition not considered by the court.’” </w:t>
      </w:r>
      <w:r w:rsidRPr="007C6F94" w:rsidR="00906102">
        <w:rPr>
          <w:rFonts w:ascii="Times New Roman" w:hAnsi="Times New Roman"/>
          <w:i/>
          <w:iCs/>
          <w:szCs w:val="26"/>
        </w:rPr>
        <w:t>Wishnev v. The Northwestern Mutual Life Ins. Co.</w:t>
      </w:r>
      <w:r w:rsidRPr="007C6F94" w:rsidR="00906102">
        <w:rPr>
          <w:rFonts w:ascii="Times New Roman" w:hAnsi="Times New Roman"/>
          <w:szCs w:val="26"/>
        </w:rPr>
        <w:t>, 8 Cal.</w:t>
      </w:r>
      <w:r w:rsidRPr="007C6F94" w:rsidR="007F1311">
        <w:rPr>
          <w:rFonts w:ascii="Times New Roman" w:hAnsi="Times New Roman"/>
          <w:szCs w:val="26"/>
        </w:rPr>
        <w:t xml:space="preserve"> </w:t>
      </w:r>
      <w:r w:rsidRPr="007C6F94" w:rsidR="00906102">
        <w:rPr>
          <w:rFonts w:ascii="Times New Roman" w:hAnsi="Times New Roman"/>
          <w:szCs w:val="26"/>
        </w:rPr>
        <w:t xml:space="preserve">5th 199, 217 (2019) (quoting </w:t>
      </w:r>
      <w:r w:rsidRPr="007C6F94" w:rsidR="00906102">
        <w:rPr>
          <w:rFonts w:ascii="Times New Roman" w:hAnsi="Times New Roman"/>
          <w:i/>
          <w:iCs/>
          <w:szCs w:val="26"/>
        </w:rPr>
        <w:t>People v. Barker</w:t>
      </w:r>
      <w:r w:rsidRPr="007C6F94" w:rsidR="00906102">
        <w:rPr>
          <w:rFonts w:ascii="Times New Roman" w:hAnsi="Times New Roman"/>
          <w:szCs w:val="26"/>
        </w:rPr>
        <w:t>, 34 Cal. 4th 345, 354 (2004)).</w:t>
      </w:r>
      <w:r w:rsidRPr="007C6F94" w:rsidR="007F1311">
        <w:rPr>
          <w:rFonts w:ascii="Times New Roman" w:hAnsi="Times New Roman"/>
          <w:szCs w:val="26"/>
        </w:rPr>
        <w:t xml:space="preserve"> Because the Court of Appeal was not actually deciding the issue of whether correspondence by a separate and unique governmental agency, like the Commission, to and from the Governor’s office would be exempt under </w:t>
      </w:r>
      <w:r w:rsidR="004C313D">
        <w:rPr>
          <w:rFonts w:ascii="Times New Roman" w:hAnsi="Times New Roman"/>
          <w:szCs w:val="26"/>
        </w:rPr>
        <w:t>S</w:t>
      </w:r>
      <w:r w:rsidRPr="007C6F94" w:rsidR="007F1311">
        <w:rPr>
          <w:rFonts w:ascii="Times New Roman" w:hAnsi="Times New Roman"/>
          <w:szCs w:val="26"/>
        </w:rPr>
        <w:t>ection 6254(l), the Court’s statement is dicta and cannot be relied upon.</w:t>
      </w:r>
    </w:p>
    <w:p w:rsidRPr="007C6F94" w:rsidR="00147456" w:rsidP="002E3D1C" w:rsidRDefault="00147456" w14:paraId="6CF9854C" w14:textId="77777777">
      <w:pPr>
        <w:rPr>
          <w:rFonts w:ascii="Times New Roman" w:hAnsi="Times New Roman"/>
          <w:szCs w:val="26"/>
        </w:rPr>
      </w:pPr>
    </w:p>
    <w:p w:rsidRPr="007C6F94" w:rsidR="00805301" w:rsidP="002E3D1C" w:rsidRDefault="008C2102" w14:paraId="74F949A4" w14:textId="6D824CD1">
      <w:pPr>
        <w:rPr>
          <w:rFonts w:ascii="Times New Roman" w:hAnsi="Times New Roman"/>
          <w:szCs w:val="26"/>
        </w:rPr>
      </w:pPr>
      <w:r w:rsidRPr="007C6F94">
        <w:rPr>
          <w:rFonts w:ascii="Times New Roman" w:hAnsi="Times New Roman"/>
          <w:szCs w:val="26"/>
        </w:rPr>
        <w:t>That the Court of Appeal was only distinguish</w:t>
      </w:r>
      <w:r w:rsidRPr="007C6F94" w:rsidR="00BC447E">
        <w:rPr>
          <w:rFonts w:ascii="Times New Roman" w:hAnsi="Times New Roman"/>
          <w:szCs w:val="26"/>
        </w:rPr>
        <w:t>ing</w:t>
      </w:r>
      <w:r w:rsidRPr="007C6F94">
        <w:rPr>
          <w:rFonts w:ascii="Times New Roman" w:hAnsi="Times New Roman"/>
          <w:szCs w:val="26"/>
        </w:rPr>
        <w:t xml:space="preserve"> </w:t>
      </w:r>
      <w:r w:rsidRPr="007C6F94" w:rsidR="00906102">
        <w:rPr>
          <w:rFonts w:ascii="Times New Roman" w:hAnsi="Times New Roman"/>
          <w:szCs w:val="26"/>
        </w:rPr>
        <w:t xml:space="preserve">the facts of </w:t>
      </w:r>
      <w:r w:rsidRPr="007C6F94">
        <w:rPr>
          <w:rFonts w:ascii="Times New Roman" w:hAnsi="Times New Roman"/>
          <w:i/>
          <w:iCs/>
          <w:szCs w:val="26"/>
        </w:rPr>
        <w:t>Times Mirror</w:t>
      </w:r>
      <w:r w:rsidRPr="007C6F94" w:rsidR="005C18A8">
        <w:rPr>
          <w:rFonts w:ascii="Times New Roman" w:hAnsi="Times New Roman"/>
          <w:szCs w:val="26"/>
        </w:rPr>
        <w:t xml:space="preserve"> and not decid</w:t>
      </w:r>
      <w:r w:rsidRPr="007C6F94" w:rsidR="00BC447E">
        <w:rPr>
          <w:rFonts w:ascii="Times New Roman" w:hAnsi="Times New Roman"/>
          <w:szCs w:val="26"/>
        </w:rPr>
        <w:t>ing</w:t>
      </w:r>
      <w:r w:rsidRPr="007C6F94" w:rsidR="005C18A8">
        <w:rPr>
          <w:rFonts w:ascii="Times New Roman" w:hAnsi="Times New Roman"/>
          <w:szCs w:val="26"/>
        </w:rPr>
        <w:t xml:space="preserve"> a question that was not before it is further evidenced by the language </w:t>
      </w:r>
      <w:r w:rsidRPr="007C6F94" w:rsidR="00147456">
        <w:rPr>
          <w:rFonts w:ascii="Times New Roman" w:hAnsi="Times New Roman"/>
          <w:szCs w:val="26"/>
        </w:rPr>
        <w:t xml:space="preserve">the Court used </w:t>
      </w:r>
      <w:r w:rsidRPr="007C6F94" w:rsidR="005C18A8">
        <w:rPr>
          <w:rFonts w:ascii="Times New Roman" w:hAnsi="Times New Roman"/>
          <w:szCs w:val="26"/>
        </w:rPr>
        <w:t xml:space="preserve">seeming to limit the exemption </w:t>
      </w:r>
      <w:r w:rsidRPr="007C6F94" w:rsidR="00E7142E">
        <w:rPr>
          <w:rFonts w:ascii="Times New Roman" w:hAnsi="Times New Roman"/>
          <w:szCs w:val="26"/>
        </w:rPr>
        <w:t xml:space="preserve">to communications directed “to the Governor and members of the Governor’s staff.” </w:t>
      </w:r>
      <w:r w:rsidRPr="007C6F94" w:rsidR="00720912">
        <w:rPr>
          <w:rFonts w:ascii="Times New Roman" w:hAnsi="Times New Roman"/>
          <w:i/>
          <w:iCs/>
          <w:szCs w:val="26"/>
        </w:rPr>
        <w:t>California First Amendment Coalition</w:t>
      </w:r>
      <w:r w:rsidRPr="007C6F94" w:rsidR="00720912">
        <w:rPr>
          <w:rFonts w:ascii="Times New Roman" w:hAnsi="Times New Roman"/>
          <w:szCs w:val="26"/>
        </w:rPr>
        <w:t>, 67 Cal. App. 4th at 168.</w:t>
      </w:r>
      <w:r w:rsidRPr="007C6F94" w:rsidR="00E7142E">
        <w:rPr>
          <w:rFonts w:ascii="Times New Roman" w:hAnsi="Times New Roman"/>
          <w:szCs w:val="26"/>
        </w:rPr>
        <w:t xml:space="preserve"> </w:t>
      </w:r>
      <w:r w:rsidR="00384EAC">
        <w:rPr>
          <w:rFonts w:ascii="Times New Roman" w:hAnsi="Times New Roman"/>
          <w:szCs w:val="26"/>
        </w:rPr>
        <w:t xml:space="preserve"> </w:t>
      </w:r>
      <w:r w:rsidRPr="007C6F94" w:rsidR="00E7142E">
        <w:rPr>
          <w:rFonts w:ascii="Times New Roman" w:hAnsi="Times New Roman"/>
          <w:szCs w:val="26"/>
        </w:rPr>
        <w:t xml:space="preserve">The plain text of Government Code </w:t>
      </w:r>
      <w:r w:rsidR="004C313D">
        <w:rPr>
          <w:rFonts w:ascii="Times New Roman" w:hAnsi="Times New Roman"/>
          <w:szCs w:val="26"/>
        </w:rPr>
        <w:t>S</w:t>
      </w:r>
      <w:r w:rsidRPr="007C6F94" w:rsidR="00E7142E">
        <w:rPr>
          <w:rFonts w:ascii="Times New Roman" w:hAnsi="Times New Roman"/>
          <w:szCs w:val="26"/>
        </w:rPr>
        <w:t xml:space="preserve">ection 6254(l) exempts from production </w:t>
      </w:r>
      <w:r w:rsidRPr="007C6F94" w:rsidR="00E7142E">
        <w:rPr>
          <w:rFonts w:ascii="Times New Roman" w:hAnsi="Times New Roman"/>
          <w:szCs w:val="26"/>
        </w:rPr>
        <w:lastRenderedPageBreak/>
        <w:t xml:space="preserve">“[c]orrespondence </w:t>
      </w:r>
      <w:r w:rsidRPr="007C6F94" w:rsidR="00E7142E">
        <w:rPr>
          <w:rFonts w:ascii="Times New Roman" w:hAnsi="Times New Roman"/>
          <w:b/>
          <w:bCs/>
          <w:szCs w:val="26"/>
        </w:rPr>
        <w:t>of and to</w:t>
      </w:r>
      <w:r w:rsidRPr="007C6F94" w:rsidR="00E7142E">
        <w:rPr>
          <w:rFonts w:ascii="Times New Roman" w:hAnsi="Times New Roman"/>
          <w:szCs w:val="26"/>
        </w:rPr>
        <w:t xml:space="preserve"> the Governor or employees of the Governor’s office </w:t>
      </w:r>
      <w:r w:rsidRPr="007C6F94" w:rsidR="009321B5">
        <w:rPr>
          <w:rFonts w:ascii="Times New Roman" w:hAnsi="Times New Roman"/>
          <w:szCs w:val="26"/>
        </w:rPr>
        <w:t>. . .”</w:t>
      </w:r>
      <w:r w:rsidRPr="007C6F94" w:rsidR="00E7142E">
        <w:rPr>
          <w:rFonts w:ascii="Times New Roman" w:hAnsi="Times New Roman"/>
          <w:szCs w:val="26"/>
        </w:rPr>
        <w:t xml:space="preserve"> (emphasis added)</w:t>
      </w:r>
      <w:r w:rsidRPr="007C6F94" w:rsidR="00B40167">
        <w:rPr>
          <w:rFonts w:ascii="Times New Roman" w:hAnsi="Times New Roman"/>
          <w:szCs w:val="26"/>
        </w:rPr>
        <w:t xml:space="preserve">, which would obviously include correspondence </w:t>
      </w:r>
      <w:r w:rsidRPr="007C6F94" w:rsidR="00B40167">
        <w:rPr>
          <w:rFonts w:ascii="Times New Roman" w:hAnsi="Times New Roman"/>
          <w:b/>
          <w:bCs/>
          <w:szCs w:val="26"/>
        </w:rPr>
        <w:t>from</w:t>
      </w:r>
      <w:r w:rsidRPr="007C6F94" w:rsidR="00B40167">
        <w:rPr>
          <w:rFonts w:ascii="Times New Roman" w:hAnsi="Times New Roman"/>
          <w:szCs w:val="26"/>
        </w:rPr>
        <w:t xml:space="preserve"> and </w:t>
      </w:r>
      <w:r w:rsidRPr="007C6F94" w:rsidR="00B40167">
        <w:rPr>
          <w:rFonts w:ascii="Times New Roman" w:hAnsi="Times New Roman"/>
          <w:b/>
          <w:bCs/>
          <w:szCs w:val="26"/>
        </w:rPr>
        <w:t>to</w:t>
      </w:r>
      <w:r w:rsidRPr="007C6F94" w:rsidR="00B40167">
        <w:rPr>
          <w:rFonts w:ascii="Times New Roman" w:hAnsi="Times New Roman"/>
          <w:szCs w:val="26"/>
        </w:rPr>
        <w:t xml:space="preserve"> the Governor’s office</w:t>
      </w:r>
      <w:r w:rsidRPr="007C6F94" w:rsidR="00E7142E">
        <w:rPr>
          <w:rFonts w:ascii="Times New Roman" w:hAnsi="Times New Roman"/>
          <w:szCs w:val="26"/>
        </w:rPr>
        <w:t xml:space="preserve">. </w:t>
      </w:r>
      <w:r w:rsidR="00100936">
        <w:rPr>
          <w:rFonts w:ascii="Times New Roman" w:hAnsi="Times New Roman"/>
          <w:szCs w:val="26"/>
        </w:rPr>
        <w:t xml:space="preserve"> </w:t>
      </w:r>
      <w:r w:rsidRPr="007C6F94" w:rsidR="00E7142E">
        <w:rPr>
          <w:rFonts w:ascii="Times New Roman" w:hAnsi="Times New Roman"/>
          <w:szCs w:val="26"/>
        </w:rPr>
        <w:t>A court’s “primary task in construing a statute is to determine the Legislature</w:t>
      </w:r>
      <w:r w:rsidRPr="007C6F94" w:rsidR="00BC447E">
        <w:rPr>
          <w:rFonts w:ascii="Times New Roman" w:hAnsi="Times New Roman"/>
          <w:szCs w:val="26"/>
        </w:rPr>
        <w:t>’</w:t>
      </w:r>
      <w:r w:rsidRPr="007C6F94" w:rsidR="00E7142E">
        <w:rPr>
          <w:rFonts w:ascii="Times New Roman" w:hAnsi="Times New Roman"/>
          <w:szCs w:val="26"/>
        </w:rPr>
        <w:t xml:space="preserve">s intent. </w:t>
      </w:r>
      <w:r w:rsidR="00100936">
        <w:rPr>
          <w:rFonts w:ascii="Times New Roman" w:hAnsi="Times New Roman"/>
          <w:szCs w:val="26"/>
        </w:rPr>
        <w:t xml:space="preserve"> </w:t>
      </w:r>
      <w:r w:rsidRPr="007C6F94" w:rsidR="00E7142E">
        <w:rPr>
          <w:rFonts w:ascii="Times New Roman" w:hAnsi="Times New Roman"/>
          <w:szCs w:val="26"/>
        </w:rPr>
        <w:t>Where possible, ‘we follow the Legislature</w:t>
      </w:r>
      <w:r w:rsidRPr="007C6F94" w:rsidR="00BC447E">
        <w:rPr>
          <w:rFonts w:ascii="Times New Roman" w:hAnsi="Times New Roman"/>
          <w:szCs w:val="26"/>
        </w:rPr>
        <w:t>’</w:t>
      </w:r>
      <w:r w:rsidRPr="007C6F94" w:rsidR="00E7142E">
        <w:rPr>
          <w:rFonts w:ascii="Times New Roman" w:hAnsi="Times New Roman"/>
          <w:szCs w:val="26"/>
        </w:rPr>
        <w:t>s intent, as exhibited by the plain meaning of the actual words of the law</w:t>
      </w:r>
      <w:r w:rsidRPr="007C6F94" w:rsidR="009321B5">
        <w:rPr>
          <w:rFonts w:ascii="Times New Roman" w:hAnsi="Times New Roman"/>
          <w:szCs w:val="26"/>
        </w:rPr>
        <w:t>. . ..</w:t>
      </w:r>
      <w:r w:rsidRPr="007C6F94" w:rsidR="00E7142E">
        <w:rPr>
          <w:rFonts w:ascii="Times New Roman" w:hAnsi="Times New Roman"/>
          <w:szCs w:val="26"/>
        </w:rPr>
        <w:t xml:space="preserve">” </w:t>
      </w:r>
      <w:r w:rsidRPr="007C6F94" w:rsidR="00D60F0E">
        <w:rPr>
          <w:rFonts w:ascii="Times New Roman" w:hAnsi="Times New Roman"/>
          <w:i/>
          <w:iCs/>
          <w:szCs w:val="26"/>
        </w:rPr>
        <w:t>Jarrow Formulas, Inc. v. LaMarche</w:t>
      </w:r>
      <w:r w:rsidRPr="007C6F94" w:rsidR="00D60F0E">
        <w:rPr>
          <w:rFonts w:ascii="Times New Roman" w:hAnsi="Times New Roman"/>
          <w:szCs w:val="26"/>
        </w:rPr>
        <w:t xml:space="preserve">, 31 Cal. 4th 728, 731 (2003). </w:t>
      </w:r>
      <w:r w:rsidR="00100936">
        <w:rPr>
          <w:rFonts w:ascii="Times New Roman" w:hAnsi="Times New Roman"/>
          <w:szCs w:val="26"/>
        </w:rPr>
        <w:t xml:space="preserve"> </w:t>
      </w:r>
      <w:r w:rsidRPr="007C6F94" w:rsidR="00D60F0E">
        <w:rPr>
          <w:rFonts w:ascii="Times New Roman" w:hAnsi="Times New Roman"/>
          <w:szCs w:val="26"/>
        </w:rPr>
        <w:t xml:space="preserve">It seems clear that the Court of Appeal was merely contrasting the type of document it was ruling on (correspondence submitted by private individuals to the Governor’s Office) with that </w:t>
      </w:r>
      <w:r w:rsidRPr="007C6F94" w:rsidR="007F1311">
        <w:rPr>
          <w:rFonts w:ascii="Times New Roman" w:hAnsi="Times New Roman"/>
          <w:szCs w:val="26"/>
        </w:rPr>
        <w:t xml:space="preserve">which was </w:t>
      </w:r>
      <w:r w:rsidRPr="007C6F94" w:rsidR="00D60F0E">
        <w:rPr>
          <w:rFonts w:ascii="Times New Roman" w:hAnsi="Times New Roman"/>
          <w:szCs w:val="26"/>
        </w:rPr>
        <w:t xml:space="preserve">before the Court in </w:t>
      </w:r>
      <w:r w:rsidRPr="007C6F94" w:rsidR="00D60F0E">
        <w:rPr>
          <w:rFonts w:ascii="Times New Roman" w:hAnsi="Times New Roman"/>
          <w:i/>
          <w:iCs/>
          <w:szCs w:val="26"/>
        </w:rPr>
        <w:t>Times Mirror</w:t>
      </w:r>
      <w:r w:rsidRPr="007C6F94" w:rsidR="00D60F0E">
        <w:rPr>
          <w:rFonts w:ascii="Times New Roman" w:hAnsi="Times New Roman"/>
          <w:szCs w:val="26"/>
        </w:rPr>
        <w:t xml:space="preserve"> (</w:t>
      </w:r>
      <w:r w:rsidRPr="007C6F94" w:rsidR="000933B1">
        <w:rPr>
          <w:rFonts w:ascii="Times New Roman" w:hAnsi="Times New Roman"/>
          <w:szCs w:val="26"/>
        </w:rPr>
        <w:t xml:space="preserve">calendars and schedules internally created by a single governmental entity – the Governor’s Office itself - </w:t>
      </w:r>
      <w:r w:rsidRPr="007C6F94" w:rsidR="00906102">
        <w:rPr>
          <w:rFonts w:ascii="Times New Roman" w:hAnsi="Times New Roman"/>
          <w:szCs w:val="26"/>
        </w:rPr>
        <w:t xml:space="preserve">which were not </w:t>
      </w:r>
      <w:r w:rsidRPr="007C6F94" w:rsidR="005F0A33">
        <w:rPr>
          <w:rFonts w:ascii="Times New Roman" w:hAnsi="Times New Roman"/>
          <w:szCs w:val="26"/>
        </w:rPr>
        <w:t>“</w:t>
      </w:r>
      <w:r w:rsidRPr="007C6F94" w:rsidR="00906102">
        <w:rPr>
          <w:rFonts w:ascii="Times New Roman" w:hAnsi="Times New Roman"/>
          <w:szCs w:val="26"/>
        </w:rPr>
        <w:t>correspondence</w:t>
      </w:r>
      <w:r w:rsidRPr="007C6F94" w:rsidR="005F0A33">
        <w:rPr>
          <w:rFonts w:ascii="Times New Roman" w:hAnsi="Times New Roman"/>
          <w:szCs w:val="26"/>
        </w:rPr>
        <w:t>”</w:t>
      </w:r>
      <w:r w:rsidRPr="007C6F94" w:rsidR="00D60F0E">
        <w:rPr>
          <w:rFonts w:ascii="Times New Roman" w:hAnsi="Times New Roman"/>
          <w:szCs w:val="26"/>
        </w:rPr>
        <w:t>).</w:t>
      </w:r>
    </w:p>
    <w:p w:rsidRPr="007C6F94" w:rsidR="00B3581A" w:rsidP="002E3D1C" w:rsidRDefault="00B3581A" w14:paraId="169358A0" w14:textId="2DBBA813">
      <w:pPr>
        <w:rPr>
          <w:rFonts w:ascii="Times New Roman" w:hAnsi="Times New Roman"/>
          <w:szCs w:val="26"/>
        </w:rPr>
      </w:pPr>
    </w:p>
    <w:p w:rsidRPr="007C6F94" w:rsidR="00B3581A" w:rsidP="002E3D1C" w:rsidRDefault="007F1311" w14:paraId="132BB25A" w14:textId="14177250">
      <w:pPr>
        <w:rPr>
          <w:rFonts w:ascii="Times New Roman" w:hAnsi="Times New Roman"/>
          <w:szCs w:val="26"/>
        </w:rPr>
      </w:pPr>
      <w:r w:rsidRPr="007C6F94">
        <w:rPr>
          <w:rFonts w:ascii="Times New Roman" w:hAnsi="Times New Roman"/>
          <w:szCs w:val="26"/>
        </w:rPr>
        <w:t>Finally</w:t>
      </w:r>
      <w:r w:rsidRPr="007C6F94" w:rsidR="00B3581A">
        <w:rPr>
          <w:rFonts w:ascii="Times New Roman" w:hAnsi="Times New Roman"/>
          <w:szCs w:val="26"/>
        </w:rPr>
        <w:t xml:space="preserve">, the CPRA was modeled on the federal Freedom of Information Act </w:t>
      </w:r>
      <w:r w:rsidR="00100936">
        <w:rPr>
          <w:rFonts w:ascii="Times New Roman" w:hAnsi="Times New Roman"/>
          <w:szCs w:val="26"/>
        </w:rPr>
        <w:br/>
      </w:r>
      <w:r w:rsidRPr="007C6F94" w:rsidR="00B3581A">
        <w:rPr>
          <w:rFonts w:ascii="Times New Roman" w:hAnsi="Times New Roman"/>
          <w:szCs w:val="26"/>
        </w:rPr>
        <w:t xml:space="preserve">(“FOIA,” 5 U.S.C. § 552), and “[t]he legislative history and judicial construction of the FOIA thus ‘serve to illuminate the interpretation of its California counterpart.’” </w:t>
      </w:r>
      <w:r w:rsidRPr="007C6F94" w:rsidR="00B3581A">
        <w:rPr>
          <w:rFonts w:ascii="Times New Roman" w:hAnsi="Times New Roman"/>
          <w:i/>
          <w:iCs/>
          <w:szCs w:val="26"/>
        </w:rPr>
        <w:t>Times Mirror</w:t>
      </w:r>
      <w:r w:rsidRPr="007C6F94" w:rsidR="00B3581A">
        <w:rPr>
          <w:rFonts w:ascii="Times New Roman" w:hAnsi="Times New Roman"/>
          <w:szCs w:val="26"/>
        </w:rPr>
        <w:t xml:space="preserve">, 53 Cal. 3d at 1338; </w:t>
      </w:r>
      <w:r w:rsidRPr="007C6F94" w:rsidR="00B3581A">
        <w:rPr>
          <w:rFonts w:ascii="Times New Roman" w:hAnsi="Times New Roman"/>
          <w:i/>
          <w:iCs/>
          <w:szCs w:val="26"/>
        </w:rPr>
        <w:t>see also California First Amendment Coalition</w:t>
      </w:r>
      <w:r w:rsidRPr="007C6F94" w:rsidR="00B3581A">
        <w:rPr>
          <w:rFonts w:ascii="Times New Roman" w:hAnsi="Times New Roman"/>
          <w:szCs w:val="26"/>
        </w:rPr>
        <w:t>, 67 Cal. App. 4th at 169, n.8 (“Because the Public Records Act is modeled after the federal Freedom of Information Act and serves the same purpose, federal decisions under the FOIA are often relied on to construe California’s Act.”</w:t>
      </w:r>
      <w:r w:rsidRPr="007C6F94" w:rsidR="00213FBE">
        <w:rPr>
          <w:rFonts w:ascii="Times New Roman" w:hAnsi="Times New Roman"/>
          <w:szCs w:val="26"/>
        </w:rPr>
        <w:t>).</w:t>
      </w:r>
      <w:r w:rsidRPr="00100936" w:rsidR="00906102">
        <w:rPr>
          <w:rStyle w:val="FootnoteReference"/>
          <w:rFonts w:ascii="Times New Roman" w:hAnsi="Times New Roman"/>
          <w:b/>
          <w:bCs/>
          <w:szCs w:val="26"/>
          <w:u w:val="single"/>
        </w:rPr>
        <w:footnoteReference w:id="8"/>
      </w:r>
      <w:r w:rsidR="00100936">
        <w:rPr>
          <w:rFonts w:ascii="Times New Roman" w:hAnsi="Times New Roman"/>
          <w:szCs w:val="26"/>
        </w:rPr>
        <w:t xml:space="preserve"> </w:t>
      </w:r>
      <w:r w:rsidRPr="007C6F94" w:rsidR="00213FBE">
        <w:rPr>
          <w:rFonts w:ascii="Times New Roman" w:hAnsi="Times New Roman"/>
          <w:szCs w:val="26"/>
        </w:rPr>
        <w:t xml:space="preserve"> Under federal law, members of the public are not entitled to a President’s records while that President is in office.</w:t>
      </w:r>
      <w:r w:rsidR="00100936">
        <w:rPr>
          <w:rFonts w:ascii="Times New Roman" w:hAnsi="Times New Roman"/>
          <w:szCs w:val="26"/>
        </w:rPr>
        <w:t xml:space="preserve"> </w:t>
      </w:r>
      <w:r w:rsidRPr="007C6F94" w:rsidR="00213FBE">
        <w:rPr>
          <w:rFonts w:ascii="Times New Roman" w:hAnsi="Times New Roman"/>
          <w:szCs w:val="26"/>
        </w:rPr>
        <w:t xml:space="preserve"> FOIA does not apply to offices within the Executive Office of the President whose function is to advise and assist the President.</w:t>
      </w:r>
      <w:r w:rsidRPr="00100936" w:rsidR="00E55670">
        <w:rPr>
          <w:rStyle w:val="FootnoteReference"/>
          <w:rFonts w:ascii="Times New Roman" w:hAnsi="Times New Roman"/>
          <w:b/>
          <w:bCs/>
          <w:szCs w:val="26"/>
          <w:u w:val="single"/>
        </w:rPr>
        <w:footnoteReference w:id="9"/>
      </w:r>
      <w:r w:rsidRPr="007C6F94" w:rsidR="00213FBE">
        <w:rPr>
          <w:rFonts w:ascii="Times New Roman" w:hAnsi="Times New Roman"/>
          <w:szCs w:val="26"/>
        </w:rPr>
        <w:t xml:space="preserve"> </w:t>
      </w:r>
      <w:r w:rsidR="00100936">
        <w:rPr>
          <w:rFonts w:ascii="Times New Roman" w:hAnsi="Times New Roman"/>
          <w:szCs w:val="26"/>
        </w:rPr>
        <w:t xml:space="preserve"> </w:t>
      </w:r>
      <w:r w:rsidRPr="007C6F94" w:rsidR="00213FBE">
        <w:rPr>
          <w:rFonts w:ascii="Times New Roman" w:hAnsi="Times New Roman"/>
          <w:i/>
          <w:iCs/>
          <w:szCs w:val="26"/>
        </w:rPr>
        <w:t>See Kissinger v. Reporters Committee for Freedom of the Press</w:t>
      </w:r>
      <w:r w:rsidRPr="007C6F94" w:rsidR="00213FBE">
        <w:rPr>
          <w:rFonts w:ascii="Times New Roman" w:hAnsi="Times New Roman"/>
          <w:szCs w:val="26"/>
        </w:rPr>
        <w:t>, 445 U.S. 136, 156 (1980) (noting that the term “agency” does not include “the President</w:t>
      </w:r>
      <w:r w:rsidRPr="007C6F94" w:rsidR="00BC447E">
        <w:rPr>
          <w:rFonts w:ascii="Times New Roman" w:hAnsi="Times New Roman"/>
          <w:szCs w:val="26"/>
        </w:rPr>
        <w:t>’</w:t>
      </w:r>
      <w:r w:rsidRPr="007C6F94" w:rsidR="00213FBE">
        <w:rPr>
          <w:rFonts w:ascii="Times New Roman" w:hAnsi="Times New Roman"/>
          <w:szCs w:val="26"/>
        </w:rPr>
        <w:t xml:space="preserve">s immediate personal staff or units in the Executive Office whose sole function is to advise and assist the President.”). </w:t>
      </w:r>
      <w:r w:rsidR="00100936">
        <w:rPr>
          <w:rFonts w:ascii="Times New Roman" w:hAnsi="Times New Roman"/>
          <w:szCs w:val="26"/>
        </w:rPr>
        <w:t xml:space="preserve"> </w:t>
      </w:r>
      <w:r w:rsidRPr="007C6F94" w:rsidR="00213FBE">
        <w:rPr>
          <w:rFonts w:ascii="Times New Roman" w:hAnsi="Times New Roman"/>
          <w:szCs w:val="26"/>
        </w:rPr>
        <w:t xml:space="preserve">However, the Presidential Records Act (22 U.S.C. </w:t>
      </w:r>
      <w:r w:rsidR="00100936">
        <w:rPr>
          <w:rFonts w:ascii="Times New Roman" w:hAnsi="Times New Roman"/>
          <w:szCs w:val="26"/>
        </w:rPr>
        <w:t>Sections</w:t>
      </w:r>
      <w:r w:rsidRPr="007C6F94" w:rsidR="00213FBE">
        <w:rPr>
          <w:rFonts w:ascii="Times New Roman" w:hAnsi="Times New Roman"/>
          <w:szCs w:val="26"/>
        </w:rPr>
        <w:t xml:space="preserve"> 2201-09) makes many such records available five years after a president leaves office.</w:t>
      </w:r>
      <w:r w:rsidRPr="007C6F94" w:rsidR="00EA548F">
        <w:rPr>
          <w:rFonts w:ascii="Times New Roman" w:hAnsi="Times New Roman"/>
          <w:szCs w:val="26"/>
        </w:rPr>
        <w:t xml:space="preserve"> </w:t>
      </w:r>
      <w:r w:rsidR="00100936">
        <w:rPr>
          <w:rFonts w:ascii="Times New Roman" w:hAnsi="Times New Roman"/>
          <w:szCs w:val="26"/>
        </w:rPr>
        <w:t xml:space="preserve"> </w:t>
      </w:r>
      <w:r w:rsidRPr="007C6F94" w:rsidR="00EA548F">
        <w:rPr>
          <w:rFonts w:ascii="Times New Roman" w:hAnsi="Times New Roman"/>
          <w:szCs w:val="26"/>
        </w:rPr>
        <w:t xml:space="preserve">To the extent the CPRA is based on FOIA, that would militate in favor of applying the Correspondence Exemption to </w:t>
      </w:r>
      <w:r w:rsidRPr="007C6F94" w:rsidR="00720912">
        <w:rPr>
          <w:rFonts w:ascii="Times New Roman" w:hAnsi="Times New Roman"/>
          <w:szCs w:val="26"/>
        </w:rPr>
        <w:t>the correspondence Mr. Rittiman has requested.</w:t>
      </w:r>
    </w:p>
    <w:p w:rsidRPr="007C6F94" w:rsidR="004231DD" w:rsidP="002E3D1C" w:rsidRDefault="004231DD" w14:paraId="7C97A285" w14:textId="2167A4B0">
      <w:pPr>
        <w:rPr>
          <w:rFonts w:ascii="Times New Roman" w:hAnsi="Times New Roman"/>
          <w:szCs w:val="26"/>
        </w:rPr>
      </w:pPr>
    </w:p>
    <w:p w:rsidRPr="007C6F94" w:rsidR="00213FBE" w:rsidP="002E3D1C" w:rsidRDefault="004A350D" w14:paraId="6184AC28" w14:textId="346385B6">
      <w:pPr>
        <w:rPr>
          <w:rFonts w:ascii="Times New Roman" w:hAnsi="Times New Roman"/>
          <w:szCs w:val="26"/>
        </w:rPr>
      </w:pPr>
      <w:r w:rsidRPr="007C6F94">
        <w:rPr>
          <w:rFonts w:ascii="Times New Roman" w:hAnsi="Times New Roman"/>
          <w:szCs w:val="26"/>
        </w:rPr>
        <w:t>T</w:t>
      </w:r>
      <w:r w:rsidRPr="007C6F94" w:rsidR="00213FBE">
        <w:rPr>
          <w:rFonts w:ascii="Times New Roman" w:hAnsi="Times New Roman"/>
          <w:szCs w:val="26"/>
        </w:rPr>
        <w:t xml:space="preserve">he </w:t>
      </w:r>
      <w:r w:rsidRPr="007C6F94" w:rsidR="00720912">
        <w:rPr>
          <w:rFonts w:ascii="Times New Roman" w:hAnsi="Times New Roman"/>
          <w:szCs w:val="26"/>
        </w:rPr>
        <w:t xml:space="preserve">overwhelming </w:t>
      </w:r>
      <w:r w:rsidRPr="007C6F94" w:rsidR="00213FBE">
        <w:rPr>
          <w:rFonts w:ascii="Times New Roman" w:hAnsi="Times New Roman"/>
          <w:szCs w:val="26"/>
        </w:rPr>
        <w:t xml:space="preserve">weight of authority </w:t>
      </w:r>
      <w:r w:rsidRPr="007C6F94" w:rsidR="00D04F43">
        <w:rPr>
          <w:rFonts w:ascii="Times New Roman" w:hAnsi="Times New Roman"/>
          <w:szCs w:val="26"/>
        </w:rPr>
        <w:t>and</w:t>
      </w:r>
      <w:r w:rsidRPr="007C6F94" w:rsidR="00213FBE">
        <w:rPr>
          <w:rFonts w:ascii="Times New Roman" w:hAnsi="Times New Roman"/>
          <w:szCs w:val="26"/>
        </w:rPr>
        <w:t xml:space="preserve"> the plain language of the Correspondence Exemption codified </w:t>
      </w:r>
      <w:r w:rsidRPr="007C6F94" w:rsidR="00147456">
        <w:rPr>
          <w:rFonts w:ascii="Times New Roman" w:hAnsi="Times New Roman"/>
          <w:szCs w:val="26"/>
        </w:rPr>
        <w:t xml:space="preserve">in </w:t>
      </w:r>
      <w:r w:rsidRPr="007C6F94" w:rsidR="00D04F43">
        <w:rPr>
          <w:rFonts w:ascii="Times New Roman" w:hAnsi="Times New Roman"/>
          <w:szCs w:val="26"/>
        </w:rPr>
        <w:t xml:space="preserve">Government Code </w:t>
      </w:r>
      <w:r w:rsidR="004C313D">
        <w:rPr>
          <w:rFonts w:ascii="Times New Roman" w:hAnsi="Times New Roman"/>
          <w:szCs w:val="26"/>
        </w:rPr>
        <w:t>S</w:t>
      </w:r>
      <w:r w:rsidRPr="007C6F94" w:rsidR="00D04F43">
        <w:rPr>
          <w:rFonts w:ascii="Times New Roman" w:hAnsi="Times New Roman"/>
          <w:szCs w:val="26"/>
        </w:rPr>
        <w:t xml:space="preserve">ection 6254(l) </w:t>
      </w:r>
      <w:r w:rsidRPr="007C6F94" w:rsidR="00720912">
        <w:rPr>
          <w:rFonts w:ascii="Times New Roman" w:hAnsi="Times New Roman"/>
          <w:szCs w:val="26"/>
        </w:rPr>
        <w:t>require that the correspondence sought by</w:t>
      </w:r>
      <w:r w:rsidRPr="007C6F94" w:rsidR="00D04F43">
        <w:rPr>
          <w:rFonts w:ascii="Times New Roman" w:hAnsi="Times New Roman"/>
          <w:szCs w:val="26"/>
        </w:rPr>
        <w:t xml:space="preserve"> Mr. Rittiman</w:t>
      </w:r>
      <w:r w:rsidRPr="007C6F94" w:rsidR="00720912">
        <w:rPr>
          <w:rFonts w:ascii="Times New Roman" w:hAnsi="Times New Roman"/>
          <w:szCs w:val="26"/>
        </w:rPr>
        <w:t xml:space="preserve"> be exempt from disclosure</w:t>
      </w:r>
      <w:r w:rsidRPr="007C6F94" w:rsidR="00D04F43">
        <w:rPr>
          <w:rFonts w:ascii="Times New Roman" w:hAnsi="Times New Roman"/>
          <w:szCs w:val="26"/>
        </w:rPr>
        <w:t>.</w:t>
      </w:r>
    </w:p>
    <w:p w:rsidR="00100936" w:rsidRDefault="00100936" w14:paraId="7316CA6C" w14:textId="08D0FCB7">
      <w:pPr>
        <w:rPr>
          <w:rFonts w:ascii="Times New Roman" w:hAnsi="Times New Roman"/>
          <w:szCs w:val="26"/>
        </w:rPr>
      </w:pPr>
      <w:r>
        <w:rPr>
          <w:rFonts w:ascii="Times New Roman" w:hAnsi="Times New Roman"/>
          <w:szCs w:val="26"/>
        </w:rPr>
        <w:br w:type="page"/>
      </w:r>
    </w:p>
    <w:p w:rsidRPr="007C6F94" w:rsidR="003C21A8" w:rsidP="002E3D1C" w:rsidRDefault="008A03CD" w14:paraId="76BE48E0" w14:textId="4FCE047F">
      <w:pPr>
        <w:pStyle w:val="NormalWeb"/>
        <w:spacing w:before="0" w:beforeAutospacing="0" w:after="0" w:afterAutospacing="0"/>
        <w:rPr>
          <w:rFonts w:ascii="Times New Roman" w:hAnsi="Times New Roman"/>
          <w:b/>
          <w:bCs/>
          <w:sz w:val="26"/>
          <w:szCs w:val="26"/>
          <w:u w:val="single"/>
        </w:rPr>
      </w:pPr>
      <w:r w:rsidRPr="007C6F94">
        <w:rPr>
          <w:rFonts w:ascii="Times New Roman" w:hAnsi="Times New Roman"/>
          <w:b/>
          <w:bCs/>
          <w:sz w:val="26"/>
          <w:szCs w:val="26"/>
          <w:u w:val="single"/>
        </w:rPr>
        <w:lastRenderedPageBreak/>
        <w:t xml:space="preserve">NOTICE AND </w:t>
      </w:r>
      <w:r w:rsidRPr="007C6F94" w:rsidR="003C21A8">
        <w:rPr>
          <w:rFonts w:ascii="Times New Roman" w:hAnsi="Times New Roman"/>
          <w:b/>
          <w:bCs/>
          <w:sz w:val="26"/>
          <w:szCs w:val="26"/>
          <w:u w:val="single"/>
        </w:rPr>
        <w:t xml:space="preserve">COMMENTS ON DRAFT RESOLUTION </w:t>
      </w:r>
    </w:p>
    <w:p w:rsidRPr="007C6F94" w:rsidR="003C21A8" w:rsidP="002E3D1C" w:rsidRDefault="003C21A8" w14:paraId="7CFEC09E" w14:textId="77777777">
      <w:pPr>
        <w:pStyle w:val="NormalWeb"/>
        <w:spacing w:before="0" w:beforeAutospacing="0" w:after="0" w:afterAutospacing="0"/>
        <w:rPr>
          <w:rFonts w:ascii="Times New Roman" w:hAnsi="Times New Roman"/>
          <w:b/>
          <w:bCs/>
          <w:sz w:val="26"/>
          <w:szCs w:val="26"/>
          <w:u w:val="single"/>
        </w:rPr>
      </w:pPr>
    </w:p>
    <w:p w:rsidRPr="00100936" w:rsidR="003C21A8" w:rsidP="00100936" w:rsidRDefault="003C21A8" w14:paraId="5430685B" w14:textId="74995427">
      <w:pPr>
        <w:pStyle w:val="BodyText1Noindent"/>
        <w:widowControl w:val="0"/>
      </w:pPr>
      <w:r w:rsidRPr="007C6F94">
        <w:rPr>
          <w:szCs w:val="26"/>
        </w:rPr>
        <w:t xml:space="preserve">The Draft Resolution was mailed to </w:t>
      </w:r>
      <w:r w:rsidRPr="007C6F94" w:rsidR="008A03CD">
        <w:rPr>
          <w:szCs w:val="26"/>
        </w:rPr>
        <w:t xml:space="preserve">Mr. Rittiman and his counsel </w:t>
      </w:r>
      <w:r w:rsidRPr="00100936" w:rsidR="00430A76">
        <w:rPr>
          <w:szCs w:val="26"/>
        </w:rPr>
        <w:t>on</w:t>
      </w:r>
      <w:r w:rsidRPr="00100936" w:rsidR="00100936">
        <w:rPr>
          <w:szCs w:val="26"/>
        </w:rPr>
        <w:t xml:space="preserve"> October 29</w:t>
      </w:r>
      <w:r w:rsidRPr="00100936" w:rsidR="00430A76">
        <w:rPr>
          <w:szCs w:val="26"/>
        </w:rPr>
        <w:t>,</w:t>
      </w:r>
      <w:r w:rsidRPr="00100936" w:rsidR="00B4546C">
        <w:rPr>
          <w:szCs w:val="26"/>
        </w:rPr>
        <w:t xml:space="preserve"> 2021</w:t>
      </w:r>
      <w:r w:rsidRPr="007C6F94">
        <w:rPr>
          <w:szCs w:val="26"/>
        </w:rPr>
        <w:t>, in accordance with Cal. Pub. Util. Code § 311(g).</w:t>
      </w:r>
      <w:r w:rsidRPr="007C6F94" w:rsidR="0074060A">
        <w:rPr>
          <w:szCs w:val="26"/>
        </w:rPr>
        <w:t xml:space="preserve"> </w:t>
      </w:r>
      <w:r w:rsidR="00AA2CC7">
        <w:rPr>
          <w:szCs w:val="26"/>
        </w:rPr>
        <w:t xml:space="preserve"> </w:t>
      </w:r>
      <w:r w:rsidR="00F70117">
        <w:t>No comments were received.</w:t>
      </w:r>
    </w:p>
    <w:p w:rsidRPr="007C6F94" w:rsidR="003C21A8" w:rsidP="002E3D1C" w:rsidRDefault="003C21A8" w14:paraId="602047BE" w14:textId="77777777">
      <w:pPr>
        <w:pStyle w:val="NormalWeb"/>
        <w:spacing w:before="0" w:beforeAutospacing="0" w:after="0" w:afterAutospacing="0"/>
        <w:rPr>
          <w:rFonts w:ascii="Times New Roman" w:hAnsi="Times New Roman"/>
          <w:sz w:val="26"/>
          <w:szCs w:val="26"/>
        </w:rPr>
      </w:pPr>
    </w:p>
    <w:p w:rsidRPr="007C6F94" w:rsidR="003C21A8" w:rsidP="002E3D1C" w:rsidRDefault="003C21A8" w14:paraId="516D3850" w14:textId="77777777">
      <w:pPr>
        <w:pStyle w:val="NormalWeb"/>
        <w:spacing w:before="0" w:beforeAutospacing="0" w:after="0" w:afterAutospacing="0"/>
        <w:rPr>
          <w:rFonts w:ascii="Times New Roman" w:hAnsi="Times New Roman"/>
          <w:b/>
          <w:bCs/>
          <w:sz w:val="26"/>
          <w:szCs w:val="26"/>
          <w:u w:val="single"/>
        </w:rPr>
      </w:pPr>
      <w:r w:rsidRPr="007C6F94">
        <w:rPr>
          <w:rFonts w:ascii="Times New Roman" w:hAnsi="Times New Roman"/>
          <w:b/>
          <w:bCs/>
          <w:sz w:val="26"/>
          <w:szCs w:val="26"/>
          <w:u w:val="single"/>
        </w:rPr>
        <w:t>FINDINGS OF FACT</w:t>
      </w:r>
    </w:p>
    <w:p w:rsidRPr="00100936" w:rsidR="003C21A8" w:rsidP="002E3D1C" w:rsidRDefault="003C21A8" w14:paraId="66162B4E" w14:textId="77777777">
      <w:pPr>
        <w:pStyle w:val="NormalWeb"/>
        <w:spacing w:before="0" w:beforeAutospacing="0" w:after="0" w:afterAutospacing="0"/>
        <w:rPr>
          <w:rFonts w:ascii="Times New Roman" w:hAnsi="Times New Roman"/>
          <w:sz w:val="26"/>
          <w:szCs w:val="26"/>
        </w:rPr>
      </w:pPr>
    </w:p>
    <w:p w:rsidRPr="007C6F94" w:rsidR="00751C94" w:rsidP="002E3D1C" w:rsidRDefault="001B4E08" w14:paraId="31B76679" w14:textId="2E7E39DC">
      <w:pPr>
        <w:numPr>
          <w:ilvl w:val="0"/>
          <w:numId w:val="4"/>
        </w:numPr>
        <w:ind w:left="418" w:hanging="418"/>
        <w:rPr>
          <w:rFonts w:ascii="Times New Roman" w:hAnsi="Times New Roman"/>
          <w:szCs w:val="26"/>
        </w:rPr>
      </w:pPr>
      <w:r w:rsidRPr="007C6F94">
        <w:rPr>
          <w:rFonts w:ascii="Times New Roman" w:hAnsi="Times New Roman"/>
          <w:szCs w:val="26"/>
        </w:rPr>
        <w:t xml:space="preserve">On November 24, 2020, </w:t>
      </w:r>
      <w:r w:rsidRPr="007C6F94" w:rsidR="005029B7">
        <w:rPr>
          <w:rFonts w:ascii="Times New Roman" w:hAnsi="Times New Roman"/>
          <w:szCs w:val="26"/>
        </w:rPr>
        <w:t xml:space="preserve">Brandon Rittiman made request PRA 20-619 to the Commission as follows: </w:t>
      </w:r>
    </w:p>
    <w:p w:rsidRPr="007C6F94" w:rsidR="005029B7" w:rsidP="008F1600" w:rsidRDefault="005029B7" w14:paraId="3B7E89FC" w14:textId="1D78AE22">
      <w:pPr>
        <w:ind w:left="720" w:right="1440"/>
        <w:rPr>
          <w:rFonts w:ascii="Times New Roman" w:hAnsi="Times New Roman"/>
          <w:szCs w:val="26"/>
        </w:rPr>
      </w:pPr>
    </w:p>
    <w:p w:rsidRPr="007C6F94" w:rsidR="005029B7" w:rsidP="008F1600" w:rsidRDefault="005029B7" w14:paraId="5DCAC273" w14:textId="77777777">
      <w:pPr>
        <w:widowControl w:val="0"/>
        <w:autoSpaceDE w:val="0"/>
        <w:autoSpaceDN w:val="0"/>
        <w:spacing w:before="1"/>
        <w:ind w:left="720" w:right="1440"/>
        <w:rPr>
          <w:rFonts w:ascii="Times New Roman" w:hAnsi="Times New Roman"/>
          <w:szCs w:val="26"/>
        </w:rPr>
      </w:pPr>
      <w:r w:rsidRPr="007C6F94">
        <w:rPr>
          <w:rFonts w:ascii="Times New Roman" w:hAnsi="Times New Roman"/>
          <w:szCs w:val="26"/>
        </w:rPr>
        <w:t>“Please refer below this letter to emails sent to me by Terrie Prosper on 11/18 (EMAIL A) and 11/23 (EMAIL B,) which I refer to collectively as “the email responses” for purposes of this request.</w:t>
      </w:r>
    </w:p>
    <w:p w:rsidRPr="007C6F94" w:rsidR="005029B7" w:rsidP="008F1600" w:rsidRDefault="005029B7" w14:paraId="4692AC64" w14:textId="77777777">
      <w:pPr>
        <w:widowControl w:val="0"/>
        <w:autoSpaceDE w:val="0"/>
        <w:autoSpaceDN w:val="0"/>
        <w:ind w:left="720" w:right="1440"/>
        <w:rPr>
          <w:rFonts w:ascii="Times New Roman" w:hAnsi="Times New Roman"/>
          <w:szCs w:val="26"/>
        </w:rPr>
      </w:pPr>
    </w:p>
    <w:p w:rsidRPr="007C6F94" w:rsidR="005029B7" w:rsidP="008F1600" w:rsidRDefault="005029B7" w14:paraId="03EC406A" w14:textId="77777777">
      <w:pPr>
        <w:widowControl w:val="0"/>
        <w:autoSpaceDE w:val="0"/>
        <w:autoSpaceDN w:val="0"/>
        <w:ind w:left="720" w:right="1440"/>
        <w:rPr>
          <w:rFonts w:ascii="Times New Roman" w:hAnsi="Times New Roman"/>
          <w:szCs w:val="26"/>
        </w:rPr>
      </w:pPr>
      <w:r w:rsidRPr="007C6F94">
        <w:rPr>
          <w:rFonts w:ascii="Times New Roman" w:hAnsi="Times New Roman"/>
          <w:szCs w:val="26"/>
        </w:rPr>
        <w:t>Pursuant to my rights under the California Public Records Act (Government Code Section 6250 et seq.), please provide me records of the following:</w:t>
      </w:r>
    </w:p>
    <w:p w:rsidRPr="007C6F94" w:rsidR="005029B7" w:rsidP="008F1600" w:rsidRDefault="005029B7" w14:paraId="196FCBF2" w14:textId="77777777">
      <w:pPr>
        <w:widowControl w:val="0"/>
        <w:autoSpaceDE w:val="0"/>
        <w:autoSpaceDN w:val="0"/>
        <w:spacing w:before="10"/>
        <w:ind w:left="720" w:right="1440"/>
        <w:rPr>
          <w:rFonts w:ascii="Times New Roman" w:hAnsi="Times New Roman"/>
          <w:szCs w:val="26"/>
        </w:rPr>
      </w:pPr>
    </w:p>
    <w:p w:rsidRPr="007C6F94" w:rsidR="005029B7" w:rsidP="008F1600" w:rsidRDefault="005029B7" w14:paraId="70EFC78C" w14:textId="77777777">
      <w:pPr>
        <w:widowControl w:val="0"/>
        <w:numPr>
          <w:ilvl w:val="0"/>
          <w:numId w:val="25"/>
        </w:numPr>
        <w:autoSpaceDE w:val="0"/>
        <w:autoSpaceDN w:val="0"/>
        <w:ind w:left="1080" w:right="1440"/>
        <w:rPr>
          <w:rFonts w:ascii="Times New Roman" w:hAnsi="Times New Roman"/>
          <w:szCs w:val="26"/>
        </w:rPr>
      </w:pPr>
      <w:r w:rsidRPr="007C6F94">
        <w:rPr>
          <w:rFonts w:ascii="Times New Roman" w:hAnsi="Times New Roman"/>
          <w:szCs w:val="26"/>
        </w:rPr>
        <w:t>Any record or communication regarding the email responses between Terrie Prosper and Marybel Batjer or her principal executive staff.</w:t>
      </w:r>
    </w:p>
    <w:p w:rsidRPr="007C6F94" w:rsidR="005029B7" w:rsidP="008F1600" w:rsidRDefault="005029B7" w14:paraId="39C72E63" w14:textId="77777777">
      <w:pPr>
        <w:widowControl w:val="0"/>
        <w:autoSpaceDE w:val="0"/>
        <w:autoSpaceDN w:val="0"/>
        <w:spacing w:before="10"/>
        <w:ind w:left="1080" w:right="1440" w:hanging="360"/>
        <w:rPr>
          <w:rFonts w:ascii="Times New Roman" w:hAnsi="Times New Roman"/>
          <w:szCs w:val="26"/>
        </w:rPr>
      </w:pPr>
    </w:p>
    <w:p w:rsidRPr="007C6F94" w:rsidR="005029B7" w:rsidP="008F1600" w:rsidRDefault="005029B7" w14:paraId="294B4E6E" w14:textId="77777777">
      <w:pPr>
        <w:widowControl w:val="0"/>
        <w:numPr>
          <w:ilvl w:val="0"/>
          <w:numId w:val="25"/>
        </w:numPr>
        <w:autoSpaceDE w:val="0"/>
        <w:autoSpaceDN w:val="0"/>
        <w:ind w:left="1080" w:right="1440"/>
        <w:rPr>
          <w:rFonts w:ascii="Times New Roman" w:hAnsi="Times New Roman"/>
          <w:szCs w:val="26"/>
        </w:rPr>
      </w:pPr>
      <w:r w:rsidRPr="007C6F94">
        <w:rPr>
          <w:rFonts w:ascii="Times New Roman" w:hAnsi="Times New Roman"/>
          <w:szCs w:val="26"/>
        </w:rPr>
        <w:t>Any record or communication regarding the email responses between any CPUC employee and any agent or employee of the governor’s office.</w:t>
      </w:r>
    </w:p>
    <w:p w:rsidRPr="007C6F94" w:rsidR="005029B7" w:rsidP="008F1600" w:rsidRDefault="005029B7" w14:paraId="490C89DB" w14:textId="77777777">
      <w:pPr>
        <w:widowControl w:val="0"/>
        <w:autoSpaceDE w:val="0"/>
        <w:autoSpaceDN w:val="0"/>
        <w:spacing w:before="10"/>
        <w:ind w:left="1080" w:right="1440" w:hanging="360"/>
        <w:rPr>
          <w:rFonts w:ascii="Times New Roman" w:hAnsi="Times New Roman"/>
          <w:szCs w:val="26"/>
        </w:rPr>
      </w:pPr>
    </w:p>
    <w:p w:rsidR="005029B7" w:rsidP="008F1600" w:rsidRDefault="005029B7" w14:paraId="011183BC" w14:textId="172E3C24">
      <w:pPr>
        <w:widowControl w:val="0"/>
        <w:autoSpaceDE w:val="0"/>
        <w:autoSpaceDN w:val="0"/>
        <w:ind w:left="1080" w:right="1440" w:hanging="360"/>
        <w:outlineLvl w:val="0"/>
        <w:rPr>
          <w:rFonts w:ascii="Times New Roman" w:hAnsi="Times New Roman"/>
          <w:szCs w:val="26"/>
        </w:rPr>
      </w:pPr>
      <w:r w:rsidRPr="007C6F94">
        <w:rPr>
          <w:rFonts w:ascii="Times New Roman" w:hAnsi="Times New Roman"/>
          <w:szCs w:val="26"/>
        </w:rPr>
        <w:t>EMAIL A:</w:t>
      </w:r>
    </w:p>
    <w:p w:rsidRPr="007C6F94" w:rsidR="008F1600" w:rsidP="008F1600" w:rsidRDefault="008F1600" w14:paraId="63C5FCE7" w14:textId="77777777">
      <w:pPr>
        <w:widowControl w:val="0"/>
        <w:autoSpaceDE w:val="0"/>
        <w:autoSpaceDN w:val="0"/>
        <w:ind w:left="1080" w:right="1440" w:hanging="360"/>
        <w:outlineLvl w:val="0"/>
        <w:rPr>
          <w:rFonts w:ascii="Times New Roman" w:hAnsi="Times New Roman"/>
          <w:szCs w:val="26"/>
        </w:rPr>
      </w:pPr>
    </w:p>
    <w:p w:rsidRPr="007C6F94" w:rsidR="005029B7" w:rsidP="008F1600" w:rsidRDefault="005029B7" w14:paraId="17F7695D" w14:textId="797A5055">
      <w:pPr>
        <w:widowControl w:val="0"/>
        <w:autoSpaceDE w:val="0"/>
        <w:autoSpaceDN w:val="0"/>
        <w:ind w:left="720" w:right="1440"/>
        <w:rPr>
          <w:rFonts w:ascii="Times New Roman" w:hAnsi="Times New Roman"/>
          <w:szCs w:val="26"/>
        </w:rPr>
      </w:pPr>
      <w:r w:rsidRPr="007C6F94">
        <w:rPr>
          <w:rFonts w:ascii="Times New Roman" w:hAnsi="Times New Roman"/>
          <w:szCs w:val="26"/>
        </w:rPr>
        <w:t>Prosper, Terrie D. &lt;</w:t>
      </w:r>
      <w:hyperlink r:id="rId11">
        <w:r w:rsidRPr="007C6F94">
          <w:rPr>
            <w:rFonts w:ascii="Times New Roman" w:hAnsi="Times New Roman"/>
            <w:szCs w:val="26"/>
          </w:rPr>
          <w:t>terrie.prosper@cpuc.ca.gov&gt;</w:t>
        </w:r>
      </w:hyperlink>
      <w:r w:rsidRPr="007C6F94">
        <w:rPr>
          <w:rFonts w:ascii="Times New Roman" w:hAnsi="Times New Roman"/>
          <w:szCs w:val="26"/>
        </w:rPr>
        <w:t xml:space="preserve"> </w:t>
      </w:r>
      <w:r w:rsidR="008F1600">
        <w:rPr>
          <w:rFonts w:ascii="Times New Roman" w:hAnsi="Times New Roman"/>
          <w:szCs w:val="26"/>
        </w:rPr>
        <w:br/>
      </w:r>
      <w:r w:rsidRPr="007C6F94">
        <w:rPr>
          <w:rFonts w:ascii="Times New Roman" w:hAnsi="Times New Roman"/>
          <w:szCs w:val="26"/>
        </w:rPr>
        <w:t>Wed 11/18/2020 10:57 AM</w:t>
      </w:r>
    </w:p>
    <w:p w:rsidRPr="007C6F94" w:rsidR="005029B7" w:rsidP="008F1600" w:rsidRDefault="005029B7" w14:paraId="0991D2C1" w14:textId="77777777">
      <w:pPr>
        <w:widowControl w:val="0"/>
        <w:autoSpaceDE w:val="0"/>
        <w:autoSpaceDN w:val="0"/>
        <w:ind w:left="720" w:right="1440"/>
        <w:rPr>
          <w:rFonts w:ascii="Times New Roman" w:hAnsi="Times New Roman"/>
          <w:szCs w:val="26"/>
        </w:rPr>
      </w:pPr>
    </w:p>
    <w:p w:rsidRPr="007C6F94" w:rsidR="005029B7" w:rsidP="008F1600" w:rsidRDefault="005029B7" w14:paraId="3A4EFD69" w14:textId="77777777">
      <w:pPr>
        <w:widowControl w:val="0"/>
        <w:autoSpaceDE w:val="0"/>
        <w:autoSpaceDN w:val="0"/>
        <w:ind w:left="720" w:right="1440"/>
        <w:rPr>
          <w:rFonts w:ascii="Times New Roman" w:hAnsi="Times New Roman"/>
          <w:szCs w:val="26"/>
        </w:rPr>
      </w:pPr>
      <w:r w:rsidRPr="007C6F94">
        <w:rPr>
          <w:rFonts w:ascii="Times New Roman" w:hAnsi="Times New Roman"/>
          <w:szCs w:val="26"/>
        </w:rPr>
        <w:t>Hi Brandon,</w:t>
      </w:r>
    </w:p>
    <w:p w:rsidRPr="007C6F94" w:rsidR="005029B7" w:rsidP="008F1600" w:rsidRDefault="005029B7" w14:paraId="035C6553" w14:textId="77777777">
      <w:pPr>
        <w:widowControl w:val="0"/>
        <w:autoSpaceDE w:val="0"/>
        <w:autoSpaceDN w:val="0"/>
        <w:spacing w:before="1"/>
        <w:ind w:left="720" w:right="1440"/>
        <w:rPr>
          <w:rFonts w:ascii="Times New Roman" w:hAnsi="Times New Roman"/>
          <w:szCs w:val="26"/>
        </w:rPr>
      </w:pPr>
    </w:p>
    <w:p w:rsidRPr="007C6F94" w:rsidR="005029B7" w:rsidP="008F1600" w:rsidRDefault="005029B7" w14:paraId="0AA7D78E" w14:textId="68450E18">
      <w:pPr>
        <w:widowControl w:val="0"/>
        <w:autoSpaceDE w:val="0"/>
        <w:autoSpaceDN w:val="0"/>
        <w:ind w:left="720" w:right="1440"/>
        <w:rPr>
          <w:rFonts w:ascii="Times New Roman" w:hAnsi="Times New Roman"/>
          <w:szCs w:val="26"/>
        </w:rPr>
      </w:pPr>
      <w:r w:rsidRPr="007C6F94">
        <w:rPr>
          <w:rFonts w:ascii="Times New Roman" w:hAnsi="Times New Roman"/>
          <w:szCs w:val="26"/>
        </w:rPr>
        <w:t xml:space="preserve">We are disappointed by the characterization you shared of the CPUC’s interactions with Butte County. </w:t>
      </w:r>
      <w:r w:rsidR="008F1600">
        <w:rPr>
          <w:rFonts w:ascii="Times New Roman" w:hAnsi="Times New Roman"/>
          <w:szCs w:val="26"/>
        </w:rPr>
        <w:t xml:space="preserve"> </w:t>
      </w:r>
      <w:r w:rsidRPr="007C6F94">
        <w:rPr>
          <w:rFonts w:ascii="Times New Roman" w:hAnsi="Times New Roman"/>
          <w:szCs w:val="26"/>
        </w:rPr>
        <w:t xml:space="preserve">We cooperated fully with the Butte County District Attorney’s Office and provided the information they needed within the requirements of Public Utilities Code </w:t>
      </w:r>
      <w:r w:rsidR="004C313D">
        <w:rPr>
          <w:rFonts w:ascii="Times New Roman" w:hAnsi="Times New Roman"/>
          <w:szCs w:val="26"/>
        </w:rPr>
        <w:t>S</w:t>
      </w:r>
      <w:r w:rsidRPr="007C6F94">
        <w:rPr>
          <w:rFonts w:ascii="Times New Roman" w:hAnsi="Times New Roman"/>
          <w:szCs w:val="26"/>
        </w:rPr>
        <w:t>ection 583, while maintaining the integrity of our own investigation.</w:t>
      </w:r>
    </w:p>
    <w:p w:rsidR="008F1600" w:rsidP="008F1600" w:rsidRDefault="008F1600" w14:paraId="6405111D" w14:textId="76E76E24">
      <w:pPr>
        <w:ind w:right="1440"/>
        <w:rPr>
          <w:rFonts w:ascii="Times New Roman" w:hAnsi="Times New Roman"/>
          <w:szCs w:val="26"/>
        </w:rPr>
      </w:pPr>
      <w:r>
        <w:rPr>
          <w:rFonts w:ascii="Times New Roman" w:hAnsi="Times New Roman"/>
          <w:szCs w:val="26"/>
        </w:rPr>
        <w:br w:type="page"/>
      </w:r>
    </w:p>
    <w:p w:rsidR="005029B7" w:rsidP="008F1600" w:rsidRDefault="005029B7" w14:paraId="316E7E05" w14:textId="35DE9F1E">
      <w:pPr>
        <w:widowControl w:val="0"/>
        <w:autoSpaceDE w:val="0"/>
        <w:autoSpaceDN w:val="0"/>
        <w:ind w:left="720" w:right="1080"/>
        <w:rPr>
          <w:rFonts w:ascii="Times New Roman" w:hAnsi="Times New Roman"/>
          <w:szCs w:val="26"/>
        </w:rPr>
      </w:pPr>
      <w:r w:rsidRPr="007C6F94">
        <w:rPr>
          <w:rFonts w:ascii="Times New Roman" w:hAnsi="Times New Roman"/>
          <w:szCs w:val="26"/>
        </w:rPr>
        <w:lastRenderedPageBreak/>
        <w:t xml:space="preserve">(Here is information on our investigation: </w:t>
      </w:r>
      <w:hyperlink w:history="1" r:id="rId12">
        <w:r w:rsidRPr="0021425B" w:rsidR="008F1600">
          <w:rPr>
            <w:rStyle w:val="Hyperlink"/>
            <w:rFonts w:ascii="Times New Roman" w:hAnsi="Times New Roman"/>
            <w:szCs w:val="26"/>
          </w:rPr>
          <w:t>https://docs.cpuc.ca.gov/PublishedDocs/Published/G000/M337/K016/337016958.PDF</w:t>
        </w:r>
      </w:hyperlink>
      <w:r w:rsidRPr="007C6F94">
        <w:rPr>
          <w:rFonts w:ascii="Times New Roman" w:hAnsi="Times New Roman"/>
          <w:szCs w:val="26"/>
        </w:rPr>
        <w:t>.)</w:t>
      </w:r>
    </w:p>
    <w:p w:rsidRPr="007C6F94" w:rsidR="005029B7" w:rsidP="00EE003F" w:rsidRDefault="005029B7" w14:paraId="76E562A6" w14:textId="77777777">
      <w:pPr>
        <w:widowControl w:val="0"/>
        <w:autoSpaceDE w:val="0"/>
        <w:autoSpaceDN w:val="0"/>
        <w:ind w:left="720" w:right="1440"/>
        <w:rPr>
          <w:rFonts w:ascii="Times New Roman" w:hAnsi="Times New Roman"/>
          <w:szCs w:val="26"/>
        </w:rPr>
      </w:pPr>
    </w:p>
    <w:p w:rsidRPr="007C6F94" w:rsidR="005029B7" w:rsidP="008F1600" w:rsidRDefault="005029B7" w14:paraId="59067C87" w14:textId="77777777">
      <w:pPr>
        <w:widowControl w:val="0"/>
        <w:autoSpaceDE w:val="0"/>
        <w:autoSpaceDN w:val="0"/>
        <w:ind w:left="720"/>
        <w:rPr>
          <w:rFonts w:ascii="Times New Roman" w:hAnsi="Times New Roman"/>
          <w:szCs w:val="26"/>
        </w:rPr>
      </w:pPr>
      <w:r w:rsidRPr="007C6F94">
        <w:rPr>
          <w:rFonts w:ascii="Times New Roman" w:hAnsi="Times New Roman"/>
          <w:szCs w:val="26"/>
        </w:rPr>
        <w:t>Terrie</w:t>
      </w:r>
    </w:p>
    <w:p w:rsidRPr="007C6F94" w:rsidR="005029B7" w:rsidP="008F1600" w:rsidRDefault="005029B7" w14:paraId="68E43B8E" w14:textId="77777777">
      <w:pPr>
        <w:widowControl w:val="0"/>
        <w:autoSpaceDE w:val="0"/>
        <w:autoSpaceDN w:val="0"/>
        <w:ind w:left="720"/>
        <w:rPr>
          <w:rFonts w:ascii="Times New Roman" w:hAnsi="Times New Roman"/>
          <w:szCs w:val="26"/>
        </w:rPr>
      </w:pPr>
    </w:p>
    <w:p w:rsidR="005029B7" w:rsidP="008F1600" w:rsidRDefault="005029B7" w14:paraId="16CDA1BC" w14:textId="086E4686">
      <w:pPr>
        <w:widowControl w:val="0"/>
        <w:autoSpaceDE w:val="0"/>
        <w:autoSpaceDN w:val="0"/>
        <w:ind w:left="720" w:right="1440"/>
        <w:outlineLvl w:val="0"/>
        <w:rPr>
          <w:rFonts w:ascii="Times New Roman" w:hAnsi="Times New Roman"/>
          <w:szCs w:val="26"/>
        </w:rPr>
      </w:pPr>
      <w:r w:rsidRPr="007C6F94">
        <w:rPr>
          <w:rFonts w:ascii="Times New Roman" w:hAnsi="Times New Roman"/>
          <w:szCs w:val="26"/>
        </w:rPr>
        <w:t>EMAIL B:</w:t>
      </w:r>
    </w:p>
    <w:p w:rsidRPr="007C6F94" w:rsidR="008F1600" w:rsidP="008F1600" w:rsidRDefault="008F1600" w14:paraId="09942B5F" w14:textId="77777777">
      <w:pPr>
        <w:widowControl w:val="0"/>
        <w:autoSpaceDE w:val="0"/>
        <w:autoSpaceDN w:val="0"/>
        <w:ind w:left="720" w:right="1440"/>
        <w:outlineLvl w:val="0"/>
        <w:rPr>
          <w:rFonts w:ascii="Times New Roman" w:hAnsi="Times New Roman"/>
          <w:szCs w:val="26"/>
        </w:rPr>
      </w:pPr>
    </w:p>
    <w:p w:rsidRPr="007C6F94" w:rsidR="005029B7" w:rsidP="008F1600" w:rsidRDefault="005029B7" w14:paraId="69C27965" w14:textId="77777777">
      <w:pPr>
        <w:widowControl w:val="0"/>
        <w:autoSpaceDE w:val="0"/>
        <w:autoSpaceDN w:val="0"/>
        <w:spacing w:before="1"/>
        <w:ind w:left="720" w:right="1440"/>
        <w:rPr>
          <w:rFonts w:ascii="Times New Roman" w:hAnsi="Times New Roman"/>
          <w:szCs w:val="26"/>
        </w:rPr>
      </w:pPr>
      <w:r w:rsidRPr="007C6F94">
        <w:rPr>
          <w:rFonts w:ascii="Times New Roman" w:hAnsi="Times New Roman"/>
          <w:szCs w:val="26"/>
        </w:rPr>
        <w:t>Prosper, Terrie D. &lt;</w:t>
      </w:r>
      <w:hyperlink r:id="rId13">
        <w:r w:rsidRPr="007C6F94">
          <w:rPr>
            <w:rFonts w:ascii="Times New Roman" w:hAnsi="Times New Roman"/>
            <w:szCs w:val="26"/>
          </w:rPr>
          <w:t>terrie.prosper@cpuc.ca.gov&gt;</w:t>
        </w:r>
      </w:hyperlink>
      <w:r w:rsidRPr="007C6F94">
        <w:rPr>
          <w:rFonts w:ascii="Times New Roman" w:hAnsi="Times New Roman"/>
          <w:szCs w:val="26"/>
        </w:rPr>
        <w:t xml:space="preserve"> Mon 11/23/2020 11:11 AM</w:t>
      </w:r>
    </w:p>
    <w:p w:rsidRPr="007C6F94" w:rsidR="005029B7" w:rsidP="008F1600" w:rsidRDefault="005029B7" w14:paraId="64B7F832" w14:textId="77777777">
      <w:pPr>
        <w:widowControl w:val="0"/>
        <w:autoSpaceDE w:val="0"/>
        <w:autoSpaceDN w:val="0"/>
        <w:spacing w:before="11"/>
        <w:ind w:left="720" w:right="1440"/>
        <w:rPr>
          <w:rFonts w:ascii="Times New Roman" w:hAnsi="Times New Roman"/>
          <w:szCs w:val="26"/>
        </w:rPr>
      </w:pPr>
    </w:p>
    <w:p w:rsidRPr="007C6F94" w:rsidR="005029B7" w:rsidP="008F1600" w:rsidRDefault="005029B7" w14:paraId="00B99493" w14:textId="77777777">
      <w:pPr>
        <w:widowControl w:val="0"/>
        <w:autoSpaceDE w:val="0"/>
        <w:autoSpaceDN w:val="0"/>
        <w:ind w:left="720" w:right="1440"/>
        <w:rPr>
          <w:rFonts w:ascii="Times New Roman" w:hAnsi="Times New Roman"/>
          <w:szCs w:val="26"/>
        </w:rPr>
      </w:pPr>
      <w:r w:rsidRPr="007C6F94">
        <w:rPr>
          <w:rFonts w:ascii="Times New Roman" w:hAnsi="Times New Roman"/>
          <w:szCs w:val="26"/>
        </w:rPr>
        <w:t>Brandon,</w:t>
      </w:r>
    </w:p>
    <w:p w:rsidRPr="007C6F94" w:rsidR="005029B7" w:rsidP="008F1600" w:rsidRDefault="005029B7" w14:paraId="6A8568EC" w14:textId="77777777">
      <w:pPr>
        <w:widowControl w:val="0"/>
        <w:autoSpaceDE w:val="0"/>
        <w:autoSpaceDN w:val="0"/>
        <w:ind w:left="720" w:right="1440"/>
        <w:rPr>
          <w:rFonts w:ascii="Times New Roman" w:hAnsi="Times New Roman"/>
          <w:szCs w:val="26"/>
        </w:rPr>
      </w:pPr>
    </w:p>
    <w:p w:rsidRPr="007C6F94" w:rsidR="005029B7" w:rsidP="008F1600" w:rsidRDefault="005029B7" w14:paraId="1B17154E" w14:textId="0B96B1E0">
      <w:pPr>
        <w:widowControl w:val="0"/>
        <w:autoSpaceDE w:val="0"/>
        <w:autoSpaceDN w:val="0"/>
        <w:ind w:left="720" w:right="1440"/>
        <w:rPr>
          <w:rFonts w:ascii="Times New Roman" w:hAnsi="Times New Roman"/>
          <w:szCs w:val="26"/>
        </w:rPr>
      </w:pPr>
      <w:r w:rsidRPr="007C6F94">
        <w:rPr>
          <w:rFonts w:ascii="Times New Roman" w:hAnsi="Times New Roman"/>
          <w:szCs w:val="26"/>
        </w:rPr>
        <w:t>We share Butte County's goal of holding PG&amp;E accountable, and that is why at the end of our investigation we penalized PG&amp;E $1.937 billion, the largest penalty ever assessed by the CPUC, for PG&amp;E's role in the catastrophic 2017 and 2018 wildfires. Unfortunately, it seems that steps we are required by law to take with information in our possession was misinterpreted.</w:t>
      </w:r>
      <w:r w:rsidR="00DE53C9">
        <w:rPr>
          <w:rFonts w:ascii="Times New Roman" w:hAnsi="Times New Roman"/>
          <w:szCs w:val="26"/>
        </w:rPr>
        <w:t xml:space="preserve"> </w:t>
      </w:r>
      <w:r w:rsidRPr="007C6F94">
        <w:rPr>
          <w:rFonts w:ascii="Times New Roman" w:hAnsi="Times New Roman"/>
          <w:szCs w:val="26"/>
        </w:rPr>
        <w:t xml:space="preserve"> We cooperated with the Butte County District Attorney’s Office, however there is a process that the CPUC must follow by law to release information.</w:t>
      </w:r>
      <w:r w:rsidR="00DE53C9">
        <w:rPr>
          <w:rFonts w:ascii="Times New Roman" w:hAnsi="Times New Roman"/>
          <w:szCs w:val="26"/>
        </w:rPr>
        <w:t xml:space="preserve"> </w:t>
      </w:r>
      <w:r w:rsidRPr="007C6F94">
        <w:rPr>
          <w:rFonts w:ascii="Times New Roman" w:hAnsi="Times New Roman"/>
          <w:szCs w:val="26"/>
        </w:rPr>
        <w:t xml:space="preserve"> The Legislature adopted Public Utilities Code </w:t>
      </w:r>
      <w:r w:rsidR="004C313D">
        <w:rPr>
          <w:rFonts w:ascii="Times New Roman" w:hAnsi="Times New Roman"/>
          <w:szCs w:val="26"/>
        </w:rPr>
        <w:t>S</w:t>
      </w:r>
      <w:r w:rsidRPr="007C6F94">
        <w:rPr>
          <w:rFonts w:ascii="Times New Roman" w:hAnsi="Times New Roman"/>
          <w:szCs w:val="26"/>
        </w:rPr>
        <w:t xml:space="preserve">ection 583, a CPUC-specific statute, that prevents some types information from being disclosed to the public. </w:t>
      </w:r>
      <w:r w:rsidR="00DE53C9">
        <w:rPr>
          <w:rFonts w:ascii="Times New Roman" w:hAnsi="Times New Roman"/>
          <w:szCs w:val="26"/>
        </w:rPr>
        <w:t xml:space="preserve"> </w:t>
      </w:r>
      <w:r w:rsidRPr="007C6F94">
        <w:rPr>
          <w:rFonts w:ascii="Times New Roman" w:hAnsi="Times New Roman"/>
          <w:szCs w:val="26"/>
        </w:rPr>
        <w:t xml:space="preserve">Any CPUC employee who discloses confidential information is “guilty of a misdemeanor.” In recent years, the CPUC has proposed to alter this provision but, to date, the Legislature has declined to adopt any changes. </w:t>
      </w:r>
      <w:r w:rsidR="00DE53C9">
        <w:rPr>
          <w:rFonts w:ascii="Times New Roman" w:hAnsi="Times New Roman"/>
          <w:szCs w:val="26"/>
        </w:rPr>
        <w:t xml:space="preserve"> </w:t>
      </w:r>
      <w:r w:rsidRPr="007C6F94">
        <w:rPr>
          <w:rFonts w:ascii="Times New Roman" w:hAnsi="Times New Roman"/>
          <w:szCs w:val="26"/>
        </w:rPr>
        <w:t xml:space="preserve">Because this confidentiality statute carries a severe penalty, the CPUC has adopted General Order 66, which contains clear guidelines on how confidential information is released. </w:t>
      </w:r>
      <w:r w:rsidR="008F1600">
        <w:rPr>
          <w:rFonts w:ascii="Times New Roman" w:hAnsi="Times New Roman"/>
          <w:szCs w:val="26"/>
        </w:rPr>
        <w:t xml:space="preserve"> </w:t>
      </w:r>
      <w:r w:rsidRPr="007C6F94">
        <w:rPr>
          <w:rFonts w:ascii="Times New Roman" w:hAnsi="Times New Roman"/>
          <w:szCs w:val="26"/>
        </w:rPr>
        <w:t xml:space="preserve">Before information is released on order of the CPUC, a proposal is circulated for 30-day public comment before being brought for a vote by the CPUC at a public Voting Meeting. </w:t>
      </w:r>
      <w:r w:rsidR="00DE53C9">
        <w:rPr>
          <w:rFonts w:ascii="Times New Roman" w:hAnsi="Times New Roman"/>
          <w:szCs w:val="26"/>
        </w:rPr>
        <w:t xml:space="preserve"> </w:t>
      </w:r>
      <w:r w:rsidRPr="007C6F94">
        <w:rPr>
          <w:rFonts w:ascii="Times New Roman" w:hAnsi="Times New Roman"/>
          <w:szCs w:val="26"/>
        </w:rPr>
        <w:t>Given the limitations of this statute, CPUC staff, who were potentially subject to criminal sanctions under the statute, co-operated as fully as they could with Butte County, and it must be recognized that staff was responsive within the legal structures that control their actions and which the CPUC does not have the authority to change or ignore.</w:t>
      </w:r>
    </w:p>
    <w:p w:rsidRPr="007C6F94" w:rsidR="005029B7" w:rsidP="005029B7" w:rsidRDefault="005029B7" w14:paraId="5F992208" w14:textId="77777777">
      <w:pPr>
        <w:widowControl w:val="0"/>
        <w:autoSpaceDE w:val="0"/>
        <w:autoSpaceDN w:val="0"/>
        <w:spacing w:before="1"/>
        <w:ind w:left="720"/>
        <w:rPr>
          <w:rFonts w:ascii="Times New Roman" w:hAnsi="Times New Roman"/>
          <w:szCs w:val="26"/>
        </w:rPr>
      </w:pPr>
    </w:p>
    <w:p w:rsidRPr="007C6F94" w:rsidR="005029B7" w:rsidP="005029B7" w:rsidRDefault="005029B7" w14:paraId="10BB7ECD" w14:textId="77777777">
      <w:pPr>
        <w:widowControl w:val="0"/>
        <w:autoSpaceDE w:val="0"/>
        <w:autoSpaceDN w:val="0"/>
        <w:ind w:left="820"/>
        <w:rPr>
          <w:rFonts w:ascii="Times New Roman" w:hAnsi="Times New Roman"/>
          <w:szCs w:val="26"/>
        </w:rPr>
      </w:pPr>
      <w:r w:rsidRPr="007C6F94">
        <w:rPr>
          <w:rFonts w:ascii="Times New Roman" w:hAnsi="Times New Roman"/>
          <w:szCs w:val="26"/>
        </w:rPr>
        <w:t>Terrie”</w:t>
      </w:r>
    </w:p>
    <w:p w:rsidRPr="007C6F94" w:rsidR="005029B7" w:rsidP="005029B7" w:rsidRDefault="005029B7" w14:paraId="03FC358D" w14:textId="77777777">
      <w:pPr>
        <w:ind w:left="720"/>
        <w:rPr>
          <w:rFonts w:ascii="Times New Roman" w:hAnsi="Times New Roman"/>
          <w:szCs w:val="26"/>
        </w:rPr>
      </w:pPr>
    </w:p>
    <w:p w:rsidRPr="007C6F94" w:rsidR="00751C94" w:rsidP="002E3D1C" w:rsidRDefault="005029B7" w14:paraId="1501EB0E" w14:textId="54FDCBC1">
      <w:pPr>
        <w:numPr>
          <w:ilvl w:val="0"/>
          <w:numId w:val="4"/>
        </w:numPr>
        <w:ind w:left="418" w:hanging="418"/>
        <w:rPr>
          <w:rFonts w:ascii="Times New Roman" w:hAnsi="Times New Roman"/>
          <w:szCs w:val="26"/>
        </w:rPr>
      </w:pPr>
      <w:r w:rsidRPr="007C6F94">
        <w:rPr>
          <w:rFonts w:ascii="Times New Roman" w:hAnsi="Times New Roman"/>
          <w:szCs w:val="26"/>
        </w:rPr>
        <w:t>Marybel Batjer is the President of the Commission and was sworn into office on August 16, 2019.</w:t>
      </w:r>
    </w:p>
    <w:p w:rsidRPr="007C6F94" w:rsidR="005029B7" w:rsidP="005029B7" w:rsidRDefault="005029B7" w14:paraId="4FF114BC" w14:textId="77777777">
      <w:pPr>
        <w:ind w:left="418"/>
        <w:rPr>
          <w:rFonts w:ascii="Times New Roman" w:hAnsi="Times New Roman"/>
          <w:szCs w:val="26"/>
        </w:rPr>
      </w:pPr>
    </w:p>
    <w:p w:rsidRPr="007C6F94" w:rsidR="006C23B0" w:rsidP="002E3D1C" w:rsidRDefault="005029B7" w14:paraId="5705757E" w14:textId="7CB4DF6F">
      <w:pPr>
        <w:numPr>
          <w:ilvl w:val="0"/>
          <w:numId w:val="4"/>
        </w:numPr>
        <w:ind w:left="418" w:hanging="418"/>
        <w:rPr>
          <w:rFonts w:ascii="Times New Roman" w:hAnsi="Times New Roman"/>
          <w:szCs w:val="26"/>
        </w:rPr>
      </w:pPr>
      <w:r w:rsidRPr="007C6F94">
        <w:rPr>
          <w:rFonts w:ascii="Times New Roman" w:hAnsi="Times New Roman" w:eastAsia="Palatino Linotype"/>
          <w:szCs w:val="26"/>
        </w:rPr>
        <w:t>Terrie D. Prosper is the Director of the Commission’s News and Outreach Office.</w:t>
      </w:r>
    </w:p>
    <w:p w:rsidRPr="007C6F94" w:rsidR="006F1BC8" w:rsidP="006F1BC8" w:rsidRDefault="006F1BC8" w14:paraId="0FB613CA" w14:textId="77777777">
      <w:pPr>
        <w:ind w:left="418"/>
        <w:rPr>
          <w:rFonts w:ascii="Times New Roman" w:hAnsi="Times New Roman"/>
          <w:szCs w:val="26"/>
        </w:rPr>
      </w:pPr>
    </w:p>
    <w:p w:rsidRPr="007C6F94" w:rsidR="006C23B0" w:rsidP="002E3D1C" w:rsidRDefault="006C23B0" w14:paraId="4AD1ACE2" w14:textId="2F3289E9">
      <w:pPr>
        <w:numPr>
          <w:ilvl w:val="0"/>
          <w:numId w:val="4"/>
        </w:numPr>
        <w:ind w:left="418" w:hanging="418"/>
        <w:rPr>
          <w:rFonts w:ascii="Times New Roman" w:hAnsi="Times New Roman"/>
          <w:szCs w:val="26"/>
        </w:rPr>
      </w:pPr>
      <w:r w:rsidRPr="007C6F94">
        <w:rPr>
          <w:rFonts w:ascii="Times New Roman" w:hAnsi="Times New Roman" w:eastAsia="Palatino Linotype"/>
          <w:szCs w:val="26"/>
        </w:rPr>
        <w:t xml:space="preserve">On </w:t>
      </w:r>
      <w:r w:rsidRPr="007C6F94" w:rsidR="005029B7">
        <w:rPr>
          <w:rFonts w:ascii="Times New Roman" w:hAnsi="Times New Roman" w:eastAsia="Palatino Linotype"/>
          <w:szCs w:val="26"/>
        </w:rPr>
        <w:t>December 4</w:t>
      </w:r>
      <w:r w:rsidRPr="007C6F94">
        <w:rPr>
          <w:rFonts w:ascii="Times New Roman" w:hAnsi="Times New Roman" w:eastAsia="Palatino Linotype"/>
          <w:szCs w:val="26"/>
        </w:rPr>
        <w:t xml:space="preserve">, 2020, via a letter sent by electronic mail, Commission legal staff informed Mr. Rittiman of its determination that the communications sought </w:t>
      </w:r>
      <w:r w:rsidRPr="007C6F94" w:rsidR="005029B7">
        <w:rPr>
          <w:rFonts w:ascii="Times New Roman" w:hAnsi="Times New Roman" w:eastAsia="Palatino Linotype"/>
          <w:szCs w:val="26"/>
        </w:rPr>
        <w:t xml:space="preserve">under </w:t>
      </w:r>
      <w:r w:rsidRPr="007C6F94" w:rsidR="001C4BA7">
        <w:rPr>
          <w:rFonts w:ascii="Times New Roman" w:hAnsi="Times New Roman" w:eastAsia="Palatino Linotype"/>
          <w:szCs w:val="26"/>
        </w:rPr>
        <w:t xml:space="preserve">PRA 20-619, </w:t>
      </w:r>
      <w:r w:rsidRPr="007C6F94" w:rsidR="005029B7">
        <w:rPr>
          <w:rFonts w:ascii="Times New Roman" w:hAnsi="Times New Roman" w:eastAsia="Palatino Linotype"/>
          <w:szCs w:val="26"/>
        </w:rPr>
        <w:t xml:space="preserve">Item 2 </w:t>
      </w:r>
      <w:r w:rsidRPr="007C6F94">
        <w:rPr>
          <w:rFonts w:ascii="Times New Roman" w:hAnsi="Times New Roman" w:eastAsia="Palatino Linotype"/>
          <w:szCs w:val="26"/>
        </w:rPr>
        <w:t xml:space="preserve">were exempt from disclosure pursuant to California Government Code </w:t>
      </w:r>
      <w:r w:rsidR="004C313D">
        <w:rPr>
          <w:rFonts w:ascii="Times New Roman" w:hAnsi="Times New Roman" w:eastAsia="Palatino Linotype"/>
          <w:szCs w:val="26"/>
        </w:rPr>
        <w:t>S</w:t>
      </w:r>
      <w:r w:rsidRPr="007C6F94">
        <w:rPr>
          <w:rFonts w:ascii="Times New Roman" w:hAnsi="Times New Roman" w:eastAsia="Palatino Linotype"/>
          <w:szCs w:val="26"/>
        </w:rPr>
        <w:t xml:space="preserve">ection 6254(l), which explicitly exempts from public disclosure “[c]orrespondence of and to the Governor or employees of the Governor's office or in the custody of or maintained by the Governor's Legal Affairs Secretary. </w:t>
      </w:r>
      <w:r w:rsidR="00DE53C9">
        <w:rPr>
          <w:rFonts w:ascii="Times New Roman" w:hAnsi="Times New Roman" w:eastAsia="Palatino Linotype"/>
          <w:szCs w:val="26"/>
        </w:rPr>
        <w:t xml:space="preserve"> </w:t>
      </w:r>
      <w:r w:rsidRPr="007C6F94">
        <w:rPr>
          <w:rFonts w:ascii="Times New Roman" w:hAnsi="Times New Roman" w:eastAsia="Palatino Linotype"/>
          <w:szCs w:val="26"/>
        </w:rPr>
        <w:t>However, public records shall not be transferred to the custody of the Governor's Legal Affairs Secretary to evade the disclosure provisions of this chapter.”</w:t>
      </w:r>
    </w:p>
    <w:p w:rsidRPr="007C6F94" w:rsidR="006F1BC8" w:rsidP="006F1BC8" w:rsidRDefault="006F1BC8" w14:paraId="70B29188" w14:textId="77777777">
      <w:pPr>
        <w:ind w:left="418"/>
        <w:rPr>
          <w:rFonts w:ascii="Times New Roman" w:hAnsi="Times New Roman"/>
          <w:szCs w:val="26"/>
        </w:rPr>
      </w:pPr>
    </w:p>
    <w:p w:rsidRPr="007C6F94" w:rsidR="006C23B0" w:rsidP="002E3D1C" w:rsidRDefault="006C23B0" w14:paraId="7E1EEB55" w14:textId="35970A6B">
      <w:pPr>
        <w:numPr>
          <w:ilvl w:val="0"/>
          <w:numId w:val="4"/>
        </w:numPr>
        <w:ind w:left="418" w:hanging="418"/>
        <w:rPr>
          <w:rFonts w:ascii="Times New Roman" w:hAnsi="Times New Roman"/>
          <w:szCs w:val="26"/>
        </w:rPr>
      </w:pPr>
      <w:r w:rsidRPr="007C6F94">
        <w:rPr>
          <w:rFonts w:ascii="Times New Roman" w:hAnsi="Times New Roman" w:eastAsia="Palatino Linotype"/>
          <w:szCs w:val="26"/>
        </w:rPr>
        <w:t>On December 4, 2020, Mr. Rittiman emailed Commission legal staff to appeal the determination that the communications sought in PRA</w:t>
      </w:r>
      <w:r w:rsidRPr="007C6F94" w:rsidR="00566854">
        <w:rPr>
          <w:rFonts w:ascii="Times New Roman" w:hAnsi="Times New Roman" w:eastAsia="Palatino Linotype"/>
          <w:szCs w:val="26"/>
        </w:rPr>
        <w:t xml:space="preserve"> 20</w:t>
      </w:r>
      <w:r w:rsidRPr="007C6F94">
        <w:rPr>
          <w:rFonts w:ascii="Times New Roman" w:hAnsi="Times New Roman" w:eastAsia="Palatino Linotype"/>
          <w:szCs w:val="26"/>
        </w:rPr>
        <w:t>-</w:t>
      </w:r>
      <w:r w:rsidRPr="007C6F94" w:rsidR="001C4BA7">
        <w:rPr>
          <w:rFonts w:ascii="Times New Roman" w:hAnsi="Times New Roman" w:eastAsia="Palatino Linotype"/>
          <w:szCs w:val="26"/>
        </w:rPr>
        <w:t>619 Item 2</w:t>
      </w:r>
      <w:r w:rsidRPr="007C6F94">
        <w:rPr>
          <w:rFonts w:ascii="Times New Roman" w:hAnsi="Times New Roman" w:eastAsia="Palatino Linotype"/>
          <w:szCs w:val="26"/>
        </w:rPr>
        <w:t xml:space="preserve"> were exempt from disclosure.</w:t>
      </w:r>
    </w:p>
    <w:p w:rsidRPr="007C6F94" w:rsidR="006F1BC8" w:rsidP="006F1BC8" w:rsidRDefault="006F1BC8" w14:paraId="67C94C6C" w14:textId="77777777">
      <w:pPr>
        <w:ind w:left="418"/>
        <w:rPr>
          <w:rFonts w:ascii="Times New Roman" w:hAnsi="Times New Roman"/>
          <w:szCs w:val="26"/>
        </w:rPr>
      </w:pPr>
    </w:p>
    <w:p w:rsidRPr="007C6F94" w:rsidR="00A211DB" w:rsidP="002E3D1C" w:rsidRDefault="00A211DB" w14:paraId="69A00DA0" w14:textId="1CC8CE03">
      <w:pPr>
        <w:numPr>
          <w:ilvl w:val="0"/>
          <w:numId w:val="4"/>
        </w:numPr>
        <w:ind w:left="418" w:hanging="418"/>
        <w:rPr>
          <w:rFonts w:ascii="Times New Roman" w:hAnsi="Times New Roman"/>
          <w:szCs w:val="26"/>
        </w:rPr>
      </w:pPr>
      <w:bookmarkStart w:name="_Hlk84836125" w:id="2"/>
      <w:r w:rsidRPr="007C6F94">
        <w:rPr>
          <w:rFonts w:ascii="Times New Roman" w:hAnsi="Times New Roman"/>
          <w:szCs w:val="26"/>
        </w:rPr>
        <w:t xml:space="preserve">Mr. Rittiman did not use the “Public Information Appeal Form,” as required by </w:t>
      </w:r>
      <w:r w:rsidR="00C235EF">
        <w:rPr>
          <w:rFonts w:ascii="Times New Roman" w:hAnsi="Times New Roman"/>
          <w:szCs w:val="26"/>
        </w:rPr>
        <w:br/>
      </w:r>
      <w:r w:rsidRPr="007C6F94">
        <w:rPr>
          <w:rFonts w:ascii="Times New Roman" w:hAnsi="Times New Roman"/>
          <w:szCs w:val="26"/>
        </w:rPr>
        <w:t>G.O. 66-D, and instead informally emailed Legal Division staff of his appeal.</w:t>
      </w:r>
    </w:p>
    <w:p w:rsidRPr="007C6F94" w:rsidR="001C4BA7" w:rsidP="001C4BA7" w:rsidRDefault="001C4BA7" w14:paraId="2BED1DFA" w14:textId="77777777">
      <w:pPr>
        <w:pStyle w:val="ListParagraph"/>
        <w:rPr>
          <w:rFonts w:ascii="Times New Roman" w:hAnsi="Times New Roman"/>
          <w:szCs w:val="26"/>
        </w:rPr>
      </w:pPr>
    </w:p>
    <w:bookmarkEnd w:id="2"/>
    <w:p w:rsidRPr="007C6F94" w:rsidR="001C4BA7" w:rsidP="002E3D1C" w:rsidRDefault="001C4BA7" w14:paraId="47B2A83E" w14:textId="7C2E836C">
      <w:pPr>
        <w:numPr>
          <w:ilvl w:val="0"/>
          <w:numId w:val="4"/>
        </w:numPr>
        <w:ind w:left="418" w:hanging="418"/>
        <w:rPr>
          <w:rFonts w:ascii="Times New Roman" w:hAnsi="Times New Roman"/>
          <w:szCs w:val="26"/>
        </w:rPr>
      </w:pPr>
      <w:r w:rsidRPr="007C6F94">
        <w:rPr>
          <w:rFonts w:ascii="Times New Roman" w:hAnsi="Times New Roman"/>
          <w:szCs w:val="26"/>
        </w:rPr>
        <w:t>On December 30, 2020, via a letter sent by electronic mail, Commission legal staff confirmed the conclusion that communications sought under PRA 20-619,</w:t>
      </w:r>
      <w:r w:rsidRPr="007C6F94" w:rsidR="009632EC">
        <w:rPr>
          <w:rFonts w:ascii="Times New Roman" w:hAnsi="Times New Roman"/>
          <w:szCs w:val="26"/>
        </w:rPr>
        <w:t xml:space="preserve"> </w:t>
      </w:r>
      <w:r w:rsidRPr="007C6F94">
        <w:rPr>
          <w:rFonts w:ascii="Times New Roman" w:hAnsi="Times New Roman"/>
          <w:szCs w:val="26"/>
        </w:rPr>
        <w:t xml:space="preserve">Item 2 were exempt from disclosure under Government Code </w:t>
      </w:r>
      <w:r w:rsidR="004C313D">
        <w:rPr>
          <w:rFonts w:ascii="Times New Roman" w:hAnsi="Times New Roman"/>
          <w:szCs w:val="26"/>
        </w:rPr>
        <w:t>S</w:t>
      </w:r>
      <w:r w:rsidRPr="007C6F94">
        <w:rPr>
          <w:rFonts w:ascii="Times New Roman" w:hAnsi="Times New Roman"/>
          <w:szCs w:val="26"/>
        </w:rPr>
        <w:t xml:space="preserve">ection 6254(l).  Commission legal staff also informed Mr. Rittiman of its determination that the communications sought under PRA 20-619, Item 1 were exempt from disclosure based on the </w:t>
      </w:r>
      <w:r w:rsidR="008F1600">
        <w:rPr>
          <w:rFonts w:ascii="Times New Roman" w:hAnsi="Times New Roman"/>
          <w:szCs w:val="26"/>
        </w:rPr>
        <w:br/>
      </w:r>
      <w:r w:rsidRPr="007C6F94">
        <w:rPr>
          <w:rFonts w:ascii="Times New Roman" w:hAnsi="Times New Roman"/>
          <w:szCs w:val="26"/>
        </w:rPr>
        <w:t xml:space="preserve">lawyer-client privilege (Cal. Evid. Code </w:t>
      </w:r>
      <w:r w:rsidR="008F1600">
        <w:rPr>
          <w:rFonts w:ascii="Times New Roman" w:hAnsi="Times New Roman"/>
          <w:szCs w:val="26"/>
        </w:rPr>
        <w:t>Section</w:t>
      </w:r>
      <w:r w:rsidRPr="007C6F94">
        <w:rPr>
          <w:rFonts w:ascii="Times New Roman" w:hAnsi="Times New Roman"/>
          <w:szCs w:val="26"/>
        </w:rPr>
        <w:t xml:space="preserve"> 950, </w:t>
      </w:r>
      <w:r w:rsidRPr="007C6F94">
        <w:rPr>
          <w:rFonts w:ascii="Times New Roman" w:hAnsi="Times New Roman"/>
          <w:i/>
          <w:iCs/>
          <w:szCs w:val="26"/>
        </w:rPr>
        <w:t>et seq.</w:t>
      </w:r>
      <w:r w:rsidRPr="007C6F94">
        <w:rPr>
          <w:rFonts w:ascii="Times New Roman" w:hAnsi="Times New Roman"/>
          <w:szCs w:val="26"/>
        </w:rPr>
        <w:t xml:space="preserve">); attorney work product doctrine (Cal. Code Civ. Proc. </w:t>
      </w:r>
      <w:r w:rsidR="008F1600">
        <w:rPr>
          <w:rFonts w:ascii="Times New Roman" w:hAnsi="Times New Roman"/>
          <w:szCs w:val="26"/>
        </w:rPr>
        <w:t>Section</w:t>
      </w:r>
      <w:r w:rsidRPr="007C6F94">
        <w:rPr>
          <w:rFonts w:ascii="Times New Roman" w:hAnsi="Times New Roman"/>
          <w:szCs w:val="26"/>
        </w:rPr>
        <w:t xml:space="preserve"> 2018.010 </w:t>
      </w:r>
      <w:r w:rsidRPr="007C6F94">
        <w:rPr>
          <w:rFonts w:ascii="Times New Roman" w:hAnsi="Times New Roman"/>
          <w:i/>
          <w:iCs/>
          <w:szCs w:val="26"/>
        </w:rPr>
        <w:t>et seq.</w:t>
      </w:r>
      <w:r w:rsidRPr="007C6F94">
        <w:rPr>
          <w:rFonts w:ascii="Times New Roman" w:hAnsi="Times New Roman"/>
          <w:szCs w:val="26"/>
        </w:rPr>
        <w:t>), and/or the deliberative process privilege (</w:t>
      </w:r>
      <w:r w:rsidRPr="007C6F94">
        <w:rPr>
          <w:rFonts w:ascii="Times New Roman" w:hAnsi="Times New Roman"/>
          <w:i/>
          <w:iCs/>
          <w:szCs w:val="26"/>
        </w:rPr>
        <w:t xml:space="preserve">see, </w:t>
      </w:r>
      <w:r w:rsidRPr="007C6F94" w:rsidR="009321B5">
        <w:rPr>
          <w:rFonts w:ascii="Times New Roman" w:hAnsi="Times New Roman"/>
          <w:i/>
          <w:iCs/>
          <w:szCs w:val="26"/>
        </w:rPr>
        <w:t>e.g.,</w:t>
      </w:r>
      <w:r w:rsidRPr="007C6F94">
        <w:rPr>
          <w:rFonts w:ascii="Times New Roman" w:hAnsi="Times New Roman"/>
          <w:i/>
          <w:iCs/>
          <w:szCs w:val="26"/>
        </w:rPr>
        <w:t xml:space="preserve"> Times Mirror Co. v Superior Court</w:t>
      </w:r>
      <w:r w:rsidRPr="007C6F94">
        <w:rPr>
          <w:rFonts w:ascii="Times New Roman" w:hAnsi="Times New Roman"/>
          <w:szCs w:val="26"/>
        </w:rPr>
        <w:t xml:space="preserve"> (1991) 53 Cal.3d 1325).</w:t>
      </w:r>
    </w:p>
    <w:p w:rsidRPr="007C6F94" w:rsidR="00AB2740" w:rsidP="00AB2740" w:rsidRDefault="00AB2740" w14:paraId="3BD967CD" w14:textId="77777777">
      <w:pPr>
        <w:pStyle w:val="ListParagraph"/>
        <w:rPr>
          <w:rFonts w:ascii="Times New Roman" w:hAnsi="Times New Roman"/>
          <w:szCs w:val="26"/>
        </w:rPr>
      </w:pPr>
    </w:p>
    <w:p w:rsidRPr="007C6F94" w:rsidR="00AB2740" w:rsidP="002E3D1C" w:rsidRDefault="00AB2740" w14:paraId="533F3B79" w14:textId="2A51AC04">
      <w:pPr>
        <w:numPr>
          <w:ilvl w:val="0"/>
          <w:numId w:val="4"/>
        </w:numPr>
        <w:ind w:left="418" w:hanging="418"/>
        <w:rPr>
          <w:rFonts w:ascii="Times New Roman" w:hAnsi="Times New Roman"/>
          <w:szCs w:val="26"/>
        </w:rPr>
      </w:pPr>
      <w:r w:rsidRPr="007C6F94">
        <w:rPr>
          <w:rFonts w:ascii="Times New Roman" w:hAnsi="Times New Roman"/>
          <w:szCs w:val="26"/>
        </w:rPr>
        <w:t>On January 7, 2021, Mr. Rittiman emailed Commission legal staff to appeal the determination that the communications sought in PRA 20-619 Item 1 were exempt from disclosure</w:t>
      </w:r>
    </w:p>
    <w:p w:rsidRPr="007C6F94" w:rsidR="00AB2740" w:rsidP="00AB2740" w:rsidRDefault="00AB2740" w14:paraId="467115B4" w14:textId="77777777">
      <w:pPr>
        <w:pStyle w:val="ListParagraph"/>
        <w:rPr>
          <w:rFonts w:ascii="Times New Roman" w:hAnsi="Times New Roman"/>
          <w:szCs w:val="26"/>
        </w:rPr>
      </w:pPr>
    </w:p>
    <w:p w:rsidRPr="007C6F94" w:rsidR="00AB2740" w:rsidP="00AB2740" w:rsidRDefault="00AB2740" w14:paraId="736DE8D3" w14:textId="5E9406E7">
      <w:pPr>
        <w:numPr>
          <w:ilvl w:val="0"/>
          <w:numId w:val="4"/>
        </w:numPr>
        <w:rPr>
          <w:rFonts w:ascii="Times New Roman" w:hAnsi="Times New Roman"/>
          <w:szCs w:val="26"/>
        </w:rPr>
      </w:pPr>
      <w:r w:rsidRPr="007C6F94">
        <w:rPr>
          <w:rFonts w:ascii="Times New Roman" w:hAnsi="Times New Roman"/>
          <w:szCs w:val="26"/>
        </w:rPr>
        <w:t xml:space="preserve">Mr. Rittiman did not use the “Public Information Appeal Form,” as required by </w:t>
      </w:r>
      <w:r w:rsidR="00C235EF">
        <w:rPr>
          <w:rFonts w:ascii="Times New Roman" w:hAnsi="Times New Roman"/>
          <w:szCs w:val="26"/>
        </w:rPr>
        <w:br/>
      </w:r>
      <w:r w:rsidRPr="007C6F94">
        <w:rPr>
          <w:rFonts w:ascii="Times New Roman" w:hAnsi="Times New Roman"/>
          <w:szCs w:val="26"/>
        </w:rPr>
        <w:t>G.O. 66-D, and instead informally emailed Legal Division staff of his appeal.</w:t>
      </w:r>
    </w:p>
    <w:p w:rsidRPr="007C6F94" w:rsidR="009632EC" w:rsidP="002E3D1C" w:rsidRDefault="009632EC" w14:paraId="6C7F144F" w14:textId="77777777">
      <w:pPr>
        <w:rPr>
          <w:rFonts w:ascii="Times New Roman" w:hAnsi="Times New Roman"/>
          <w:b/>
          <w:bCs/>
          <w:szCs w:val="26"/>
          <w:u w:val="single"/>
        </w:rPr>
      </w:pPr>
    </w:p>
    <w:p w:rsidRPr="007C6F94" w:rsidR="003C21A8" w:rsidP="002E3D1C" w:rsidRDefault="003C21A8" w14:paraId="786BBA69" w14:textId="28A21151">
      <w:pPr>
        <w:rPr>
          <w:rFonts w:ascii="Times New Roman" w:hAnsi="Times New Roman"/>
          <w:b/>
          <w:bCs/>
          <w:szCs w:val="26"/>
          <w:u w:val="single"/>
        </w:rPr>
      </w:pPr>
      <w:r w:rsidRPr="007C6F94">
        <w:rPr>
          <w:rFonts w:ascii="Times New Roman" w:hAnsi="Times New Roman"/>
          <w:b/>
          <w:bCs/>
          <w:szCs w:val="26"/>
          <w:u w:val="single"/>
        </w:rPr>
        <w:t>CONCLUSIONS OF LAW</w:t>
      </w:r>
    </w:p>
    <w:p w:rsidRPr="007C6F94" w:rsidR="003C21A8" w:rsidP="002E3D1C" w:rsidRDefault="003C21A8" w14:paraId="57DB5850" w14:textId="77777777">
      <w:pPr>
        <w:rPr>
          <w:rFonts w:ascii="Times New Roman" w:hAnsi="Times New Roman"/>
          <w:szCs w:val="26"/>
        </w:rPr>
      </w:pPr>
    </w:p>
    <w:p w:rsidRPr="007C6F94" w:rsidR="003C21A8" w:rsidP="002E3D1C" w:rsidRDefault="00CB6A97" w14:paraId="14D7CCCE" w14:textId="5033E8C4">
      <w:pPr>
        <w:pStyle w:val="ListParagraph"/>
        <w:numPr>
          <w:ilvl w:val="0"/>
          <w:numId w:val="21"/>
        </w:numPr>
        <w:ind w:left="446" w:hanging="446"/>
        <w:contextualSpacing w:val="0"/>
        <w:rPr>
          <w:rFonts w:ascii="Times New Roman" w:hAnsi="Times New Roman"/>
          <w:bCs/>
          <w:iCs/>
          <w:szCs w:val="26"/>
        </w:rPr>
      </w:pPr>
      <w:r w:rsidRPr="007C6F94">
        <w:rPr>
          <w:rFonts w:ascii="Times New Roman" w:hAnsi="Times New Roman"/>
          <w:bCs/>
          <w:iCs/>
          <w:szCs w:val="26"/>
        </w:rPr>
        <w:t>The communications sought by Mr. Rittiman in his PRA</w:t>
      </w:r>
      <w:r w:rsidRPr="007C6F94" w:rsidR="00566854">
        <w:rPr>
          <w:rFonts w:ascii="Times New Roman" w:hAnsi="Times New Roman"/>
          <w:bCs/>
          <w:iCs/>
          <w:szCs w:val="26"/>
        </w:rPr>
        <w:t xml:space="preserve"> </w:t>
      </w:r>
      <w:r w:rsidRPr="007C6F94" w:rsidR="009632EC">
        <w:rPr>
          <w:rFonts w:ascii="Times New Roman" w:hAnsi="Times New Roman"/>
          <w:bCs/>
          <w:iCs/>
          <w:szCs w:val="26"/>
        </w:rPr>
        <w:t xml:space="preserve">20-619, Item </w:t>
      </w:r>
      <w:r w:rsidR="007C6F94">
        <w:rPr>
          <w:rFonts w:ascii="Times New Roman" w:hAnsi="Times New Roman"/>
          <w:bCs/>
          <w:iCs/>
          <w:szCs w:val="26"/>
        </w:rPr>
        <w:t>1</w:t>
      </w:r>
      <w:r w:rsidRPr="007C6F94">
        <w:rPr>
          <w:rFonts w:ascii="Times New Roman" w:hAnsi="Times New Roman"/>
          <w:bCs/>
          <w:iCs/>
          <w:szCs w:val="26"/>
        </w:rPr>
        <w:t xml:space="preserve"> request are exempt from disclosure pursuant to California Government Code </w:t>
      </w:r>
      <w:r w:rsidR="004C313D">
        <w:rPr>
          <w:rFonts w:ascii="Times New Roman" w:hAnsi="Times New Roman"/>
          <w:bCs/>
          <w:iCs/>
          <w:szCs w:val="26"/>
        </w:rPr>
        <w:t>S</w:t>
      </w:r>
      <w:r w:rsidRPr="007C6F94">
        <w:rPr>
          <w:rFonts w:ascii="Times New Roman" w:hAnsi="Times New Roman"/>
          <w:bCs/>
          <w:iCs/>
          <w:szCs w:val="26"/>
        </w:rPr>
        <w:t>ection</w:t>
      </w:r>
      <w:r w:rsidR="007C6F94">
        <w:rPr>
          <w:rFonts w:ascii="Times New Roman" w:hAnsi="Times New Roman"/>
          <w:bCs/>
          <w:iCs/>
          <w:szCs w:val="26"/>
        </w:rPr>
        <w:t>s</w:t>
      </w:r>
      <w:r w:rsidRPr="007C6F94">
        <w:rPr>
          <w:rFonts w:ascii="Times New Roman" w:hAnsi="Times New Roman"/>
          <w:bCs/>
          <w:iCs/>
          <w:szCs w:val="26"/>
        </w:rPr>
        <w:t xml:space="preserve"> </w:t>
      </w:r>
      <w:r w:rsidR="007C6F94">
        <w:rPr>
          <w:rFonts w:ascii="Times New Roman" w:hAnsi="Times New Roman"/>
          <w:bCs/>
          <w:iCs/>
          <w:szCs w:val="26"/>
        </w:rPr>
        <w:t xml:space="preserve">6254 (k) and </w:t>
      </w:r>
      <w:r w:rsidRPr="007C6F94">
        <w:rPr>
          <w:rFonts w:ascii="Times New Roman" w:hAnsi="Times New Roman"/>
          <w:bCs/>
          <w:iCs/>
          <w:szCs w:val="26"/>
        </w:rPr>
        <w:t>6254(l)</w:t>
      </w:r>
      <w:r w:rsidRPr="007C6F94" w:rsidR="003C21A8">
        <w:rPr>
          <w:rFonts w:ascii="Times New Roman" w:hAnsi="Times New Roman"/>
          <w:bCs/>
          <w:iCs/>
          <w:szCs w:val="26"/>
        </w:rPr>
        <w:t>.</w:t>
      </w:r>
    </w:p>
    <w:p w:rsidRPr="007C6F94" w:rsidR="006F1BC8" w:rsidP="006F1BC8" w:rsidRDefault="006F1BC8" w14:paraId="179DFC14" w14:textId="77777777">
      <w:pPr>
        <w:pStyle w:val="ListParagraph"/>
        <w:ind w:left="446"/>
        <w:contextualSpacing w:val="0"/>
        <w:rPr>
          <w:rFonts w:ascii="Times New Roman" w:hAnsi="Times New Roman"/>
          <w:bCs/>
          <w:iCs/>
          <w:szCs w:val="26"/>
        </w:rPr>
      </w:pPr>
    </w:p>
    <w:p w:rsidRPr="007C6F94" w:rsidR="003C21A8" w:rsidP="002E3D1C" w:rsidRDefault="00CB6A97" w14:paraId="35D8C936" w14:textId="22BE9F55">
      <w:pPr>
        <w:pStyle w:val="ListParagraph"/>
        <w:numPr>
          <w:ilvl w:val="0"/>
          <w:numId w:val="21"/>
        </w:numPr>
        <w:ind w:left="446" w:hanging="446"/>
        <w:contextualSpacing w:val="0"/>
        <w:rPr>
          <w:rFonts w:ascii="Times New Roman" w:hAnsi="Times New Roman"/>
          <w:bCs/>
          <w:iCs/>
          <w:szCs w:val="26"/>
        </w:rPr>
      </w:pPr>
      <w:r w:rsidRPr="007C6F94">
        <w:rPr>
          <w:rFonts w:ascii="Times New Roman" w:hAnsi="Times New Roman"/>
          <w:bCs/>
          <w:iCs/>
          <w:szCs w:val="26"/>
        </w:rPr>
        <w:lastRenderedPageBreak/>
        <w:t>The communications sought by Mr. Rittiman in his PRA</w:t>
      </w:r>
      <w:r w:rsidRPr="007C6F94" w:rsidR="009632EC">
        <w:rPr>
          <w:rFonts w:ascii="Times New Roman" w:hAnsi="Times New Roman"/>
          <w:bCs/>
          <w:iCs/>
          <w:szCs w:val="26"/>
        </w:rPr>
        <w:t xml:space="preserve"> 20-619, Item </w:t>
      </w:r>
      <w:r w:rsidR="007C6F94">
        <w:rPr>
          <w:rFonts w:ascii="Times New Roman" w:hAnsi="Times New Roman"/>
          <w:bCs/>
          <w:iCs/>
          <w:szCs w:val="26"/>
        </w:rPr>
        <w:t>2</w:t>
      </w:r>
      <w:r w:rsidRPr="007C6F94" w:rsidR="009632EC">
        <w:rPr>
          <w:rFonts w:ascii="Times New Roman" w:hAnsi="Times New Roman"/>
          <w:bCs/>
          <w:iCs/>
          <w:szCs w:val="26"/>
        </w:rPr>
        <w:t xml:space="preserve"> request are exempt from disclosure under</w:t>
      </w:r>
      <w:r w:rsidRPr="007C6F94" w:rsidR="00AB2740">
        <w:rPr>
          <w:rFonts w:ascii="Times New Roman" w:hAnsi="Times New Roman"/>
          <w:bCs/>
          <w:iCs/>
          <w:szCs w:val="26"/>
        </w:rPr>
        <w:t xml:space="preserve"> California</w:t>
      </w:r>
      <w:r w:rsidRPr="007C6F94" w:rsidR="009632EC">
        <w:rPr>
          <w:rFonts w:ascii="Times New Roman" w:hAnsi="Times New Roman"/>
          <w:bCs/>
          <w:iCs/>
          <w:szCs w:val="26"/>
        </w:rPr>
        <w:t xml:space="preserve"> Government Code </w:t>
      </w:r>
      <w:r w:rsidR="004C313D">
        <w:rPr>
          <w:rFonts w:ascii="Times New Roman" w:hAnsi="Times New Roman"/>
          <w:bCs/>
          <w:iCs/>
          <w:szCs w:val="26"/>
        </w:rPr>
        <w:t>S</w:t>
      </w:r>
      <w:r w:rsidRPr="007C6F94" w:rsidR="009632EC">
        <w:rPr>
          <w:rFonts w:ascii="Times New Roman" w:hAnsi="Times New Roman"/>
          <w:bCs/>
          <w:iCs/>
          <w:szCs w:val="26"/>
        </w:rPr>
        <w:t>ection</w:t>
      </w:r>
      <w:r w:rsidR="007C6F94">
        <w:rPr>
          <w:rFonts w:ascii="Times New Roman" w:hAnsi="Times New Roman"/>
          <w:bCs/>
          <w:iCs/>
          <w:szCs w:val="26"/>
        </w:rPr>
        <w:t xml:space="preserve"> </w:t>
      </w:r>
      <w:r w:rsidRPr="007C6F94" w:rsidR="000933B1">
        <w:rPr>
          <w:rFonts w:ascii="Times New Roman" w:hAnsi="Times New Roman"/>
          <w:bCs/>
          <w:iCs/>
          <w:szCs w:val="26"/>
        </w:rPr>
        <w:t>6254(l)</w:t>
      </w:r>
      <w:r w:rsidRPr="007C6F94" w:rsidR="0083139C">
        <w:rPr>
          <w:rFonts w:ascii="Times New Roman" w:hAnsi="Times New Roman"/>
          <w:bCs/>
          <w:iCs/>
          <w:szCs w:val="26"/>
        </w:rPr>
        <w:t>.</w:t>
      </w:r>
    </w:p>
    <w:p w:rsidRPr="007C6F94" w:rsidR="006F1BC8" w:rsidP="006F1BC8" w:rsidRDefault="006F1BC8" w14:paraId="77C72087" w14:textId="77777777">
      <w:pPr>
        <w:pStyle w:val="ListParagraph"/>
        <w:ind w:left="446"/>
        <w:contextualSpacing w:val="0"/>
        <w:rPr>
          <w:rFonts w:ascii="Times New Roman" w:hAnsi="Times New Roman"/>
          <w:bCs/>
          <w:iCs/>
          <w:szCs w:val="26"/>
        </w:rPr>
      </w:pPr>
    </w:p>
    <w:p w:rsidRPr="007C6F94" w:rsidR="00A211DB" w:rsidP="002E3D1C" w:rsidRDefault="00A211DB" w14:paraId="09C8188B" w14:textId="16D4982F">
      <w:pPr>
        <w:pStyle w:val="ListParagraph"/>
        <w:numPr>
          <w:ilvl w:val="0"/>
          <w:numId w:val="21"/>
        </w:numPr>
        <w:ind w:left="446" w:hanging="446"/>
        <w:contextualSpacing w:val="0"/>
        <w:rPr>
          <w:rFonts w:ascii="Times New Roman" w:hAnsi="Times New Roman"/>
          <w:bCs/>
          <w:iCs/>
          <w:szCs w:val="26"/>
        </w:rPr>
      </w:pPr>
      <w:r w:rsidRPr="007C6F94">
        <w:rPr>
          <w:rFonts w:ascii="Times New Roman" w:hAnsi="Times New Roman"/>
          <w:szCs w:val="26"/>
        </w:rPr>
        <w:t>Although the Commission has undertaken review of Mr. Rittiman’s appeal, this Resolution does not constitute precedent that the Commission will waive the procedural requirements of G.O. 66-D in future situations.</w:t>
      </w:r>
    </w:p>
    <w:p w:rsidRPr="007C6F94" w:rsidR="006F1BC8" w:rsidP="002E3D1C" w:rsidRDefault="006F1BC8" w14:paraId="7AF511FC" w14:textId="77777777">
      <w:pPr>
        <w:pStyle w:val="NormalWeb"/>
        <w:spacing w:before="0" w:beforeAutospacing="0" w:after="0" w:afterAutospacing="0"/>
        <w:rPr>
          <w:rFonts w:ascii="Times New Roman" w:hAnsi="Times New Roman"/>
          <w:b/>
          <w:bCs/>
          <w:sz w:val="26"/>
          <w:szCs w:val="26"/>
          <w:u w:val="single"/>
        </w:rPr>
      </w:pPr>
    </w:p>
    <w:p w:rsidRPr="007C6F94" w:rsidR="003C21A8" w:rsidP="002E3D1C" w:rsidRDefault="003C21A8" w14:paraId="5814F86F" w14:textId="26BFFC97">
      <w:pPr>
        <w:pStyle w:val="NormalWeb"/>
        <w:spacing w:before="0" w:beforeAutospacing="0" w:after="0" w:afterAutospacing="0"/>
        <w:rPr>
          <w:rFonts w:ascii="Times New Roman" w:hAnsi="Times New Roman"/>
          <w:sz w:val="26"/>
          <w:szCs w:val="26"/>
        </w:rPr>
      </w:pPr>
      <w:r w:rsidRPr="007C6F94">
        <w:rPr>
          <w:rFonts w:ascii="Times New Roman" w:hAnsi="Times New Roman"/>
          <w:b/>
          <w:bCs/>
          <w:sz w:val="26"/>
          <w:szCs w:val="26"/>
          <w:u w:val="single"/>
        </w:rPr>
        <w:t>ORDER</w:t>
      </w:r>
      <w:r w:rsidRPr="007C6F94">
        <w:rPr>
          <w:rFonts w:ascii="Times New Roman" w:hAnsi="Times New Roman"/>
          <w:sz w:val="26"/>
          <w:szCs w:val="26"/>
        </w:rPr>
        <w:t xml:space="preserve"> </w:t>
      </w:r>
    </w:p>
    <w:p w:rsidRPr="007C6F94" w:rsidR="006F1BC8" w:rsidP="002E3D1C" w:rsidRDefault="006F1BC8" w14:paraId="2E49F311" w14:textId="77777777">
      <w:pPr>
        <w:pStyle w:val="NormalWeb"/>
        <w:spacing w:before="0" w:beforeAutospacing="0" w:after="0" w:afterAutospacing="0"/>
        <w:rPr>
          <w:rFonts w:ascii="Times New Roman" w:hAnsi="Times New Roman"/>
          <w:sz w:val="26"/>
          <w:szCs w:val="26"/>
        </w:rPr>
      </w:pPr>
    </w:p>
    <w:p w:rsidRPr="007C6F94" w:rsidR="003C21A8" w:rsidP="002E3D1C" w:rsidRDefault="00566854" w14:paraId="378B9BF5" w14:textId="6EE2AF5D">
      <w:pPr>
        <w:numPr>
          <w:ilvl w:val="0"/>
          <w:numId w:val="5"/>
        </w:numPr>
        <w:rPr>
          <w:rFonts w:ascii="Times New Roman" w:hAnsi="Times New Roman"/>
          <w:snapToGrid w:val="0"/>
          <w:szCs w:val="26"/>
        </w:rPr>
      </w:pPr>
      <w:r w:rsidRPr="007C6F94">
        <w:rPr>
          <w:rFonts w:ascii="Times New Roman" w:hAnsi="Times New Roman"/>
          <w:szCs w:val="26"/>
        </w:rPr>
        <w:t xml:space="preserve">Mr. Rittiman’s appeal of the Commission’s determination that records sought under California Public Record Act requests PRA </w:t>
      </w:r>
      <w:r w:rsidRPr="007C6F94" w:rsidR="009632EC">
        <w:rPr>
          <w:rFonts w:ascii="Times New Roman" w:hAnsi="Times New Roman"/>
          <w:szCs w:val="26"/>
        </w:rPr>
        <w:t>20-619 i</w:t>
      </w:r>
      <w:r w:rsidRPr="007C6F94">
        <w:rPr>
          <w:rFonts w:ascii="Times New Roman" w:hAnsi="Times New Roman"/>
          <w:szCs w:val="26"/>
        </w:rPr>
        <w:t>s hereby denied</w:t>
      </w:r>
      <w:r w:rsidRPr="007C6F94" w:rsidR="003C21A8">
        <w:rPr>
          <w:rFonts w:ascii="Times New Roman" w:hAnsi="Times New Roman"/>
          <w:snapToGrid w:val="0"/>
          <w:szCs w:val="26"/>
        </w:rPr>
        <w:t>.</w:t>
      </w:r>
    </w:p>
    <w:p w:rsidRPr="007C6F94" w:rsidR="007F1311" w:rsidP="007F1311" w:rsidRDefault="007F1311" w14:paraId="494F7F13" w14:textId="77777777">
      <w:pPr>
        <w:ind w:left="360"/>
        <w:rPr>
          <w:rFonts w:ascii="Times New Roman" w:hAnsi="Times New Roman"/>
          <w:snapToGrid w:val="0"/>
          <w:szCs w:val="26"/>
        </w:rPr>
      </w:pPr>
    </w:p>
    <w:p w:rsidRPr="007C6F94" w:rsidR="003C21A8" w:rsidP="002E3D1C" w:rsidRDefault="003C21A8" w14:paraId="01EAD37C" w14:textId="77777777">
      <w:pPr>
        <w:numPr>
          <w:ilvl w:val="0"/>
          <w:numId w:val="5"/>
        </w:numPr>
        <w:rPr>
          <w:rFonts w:ascii="Times New Roman" w:hAnsi="Times New Roman"/>
          <w:snapToGrid w:val="0"/>
          <w:szCs w:val="26"/>
        </w:rPr>
      </w:pPr>
      <w:r w:rsidRPr="007C6F94">
        <w:rPr>
          <w:rFonts w:ascii="Times New Roman" w:hAnsi="Times New Roman" w:eastAsia="Palatino Linotype"/>
          <w:szCs w:val="26"/>
        </w:rPr>
        <w:t>The effective date of this order is today.</w:t>
      </w:r>
    </w:p>
    <w:p w:rsidRPr="007C6F94" w:rsidR="003C21A8" w:rsidP="002E3D1C" w:rsidRDefault="003C21A8" w14:paraId="28BFE87B" w14:textId="77777777">
      <w:pPr>
        <w:rPr>
          <w:rFonts w:ascii="Times New Roman" w:hAnsi="Times New Roman"/>
          <w:snapToGrid w:val="0"/>
          <w:szCs w:val="26"/>
        </w:rPr>
      </w:pPr>
    </w:p>
    <w:p w:rsidRPr="007C6F94" w:rsidR="003C21A8" w:rsidP="002E3D1C" w:rsidRDefault="003C21A8" w14:paraId="15EC9E75" w14:textId="2EAAF92C">
      <w:pPr>
        <w:rPr>
          <w:rFonts w:ascii="Times New Roman" w:hAnsi="Times New Roman"/>
          <w:snapToGrid w:val="0"/>
          <w:szCs w:val="26"/>
        </w:rPr>
      </w:pPr>
      <w:r w:rsidRPr="007C6F94">
        <w:rPr>
          <w:rFonts w:ascii="Times New Roman" w:hAnsi="Times New Roman"/>
          <w:snapToGrid w:val="0"/>
          <w:szCs w:val="26"/>
        </w:rPr>
        <w:t xml:space="preserve">I certify that the foregoing </w:t>
      </w:r>
      <w:r w:rsidRPr="007C6F94" w:rsidR="00913801">
        <w:rPr>
          <w:rFonts w:ascii="Times New Roman" w:hAnsi="Times New Roman"/>
          <w:snapToGrid w:val="0"/>
          <w:szCs w:val="26"/>
        </w:rPr>
        <w:t>R</w:t>
      </w:r>
      <w:r w:rsidRPr="007C6F94">
        <w:rPr>
          <w:rFonts w:ascii="Times New Roman" w:hAnsi="Times New Roman"/>
          <w:snapToGrid w:val="0"/>
          <w:szCs w:val="26"/>
        </w:rPr>
        <w:t xml:space="preserve">esolution was adopted </w:t>
      </w:r>
      <w:r w:rsidRPr="007C6F94" w:rsidR="00913801">
        <w:rPr>
          <w:rFonts w:ascii="Times New Roman" w:hAnsi="Times New Roman"/>
          <w:snapToGrid w:val="0"/>
          <w:szCs w:val="26"/>
        </w:rPr>
        <w:t xml:space="preserve">by the California </w:t>
      </w:r>
      <w:r w:rsidRPr="007C6F94">
        <w:rPr>
          <w:rFonts w:ascii="Times New Roman" w:hAnsi="Times New Roman"/>
          <w:snapToGrid w:val="0"/>
          <w:szCs w:val="26"/>
        </w:rPr>
        <w:t xml:space="preserve">Public Utilities Commission of the State of California </w:t>
      </w:r>
      <w:r w:rsidRPr="007C6F94" w:rsidR="00913801">
        <w:rPr>
          <w:rFonts w:ascii="Times New Roman" w:hAnsi="Times New Roman"/>
          <w:snapToGrid w:val="0"/>
          <w:szCs w:val="26"/>
        </w:rPr>
        <w:t xml:space="preserve">at its regular meeting </w:t>
      </w:r>
      <w:r w:rsidRPr="004C313D" w:rsidR="00913801">
        <w:rPr>
          <w:rFonts w:ascii="Times New Roman" w:hAnsi="Times New Roman"/>
          <w:snapToGrid w:val="0"/>
          <w:szCs w:val="26"/>
        </w:rPr>
        <w:t>of</w:t>
      </w:r>
      <w:r w:rsidRPr="004C313D" w:rsidR="00966A8E">
        <w:rPr>
          <w:rFonts w:ascii="Times New Roman" w:hAnsi="Times New Roman"/>
          <w:snapToGrid w:val="0"/>
          <w:szCs w:val="26"/>
        </w:rPr>
        <w:t xml:space="preserve"> </w:t>
      </w:r>
      <w:r w:rsidR="004C313D">
        <w:rPr>
          <w:rFonts w:ascii="Times New Roman" w:hAnsi="Times New Roman"/>
          <w:snapToGrid w:val="0"/>
          <w:szCs w:val="26"/>
        </w:rPr>
        <w:t>December 2</w:t>
      </w:r>
      <w:r w:rsidRPr="004C313D">
        <w:rPr>
          <w:rFonts w:ascii="Times New Roman" w:hAnsi="Times New Roman"/>
          <w:snapToGrid w:val="0"/>
          <w:szCs w:val="26"/>
        </w:rPr>
        <w:t>,</w:t>
      </w:r>
      <w:r w:rsidRPr="007C6F94">
        <w:rPr>
          <w:rFonts w:ascii="Times New Roman" w:hAnsi="Times New Roman"/>
          <w:snapToGrid w:val="0"/>
          <w:szCs w:val="26"/>
        </w:rPr>
        <w:t xml:space="preserve"> 20</w:t>
      </w:r>
      <w:r w:rsidRPr="007C6F94" w:rsidR="00566854">
        <w:rPr>
          <w:rFonts w:ascii="Times New Roman" w:hAnsi="Times New Roman"/>
          <w:snapToGrid w:val="0"/>
          <w:szCs w:val="26"/>
        </w:rPr>
        <w:t>21</w:t>
      </w:r>
      <w:r w:rsidRPr="007C6F94" w:rsidR="00913801">
        <w:rPr>
          <w:rFonts w:ascii="Times New Roman" w:hAnsi="Times New Roman"/>
          <w:snapToGrid w:val="0"/>
          <w:szCs w:val="26"/>
        </w:rPr>
        <w:t xml:space="preserve">, and the following </w:t>
      </w:r>
      <w:r w:rsidRPr="007C6F94">
        <w:rPr>
          <w:rFonts w:ascii="Times New Roman" w:hAnsi="Times New Roman"/>
          <w:snapToGrid w:val="0"/>
          <w:szCs w:val="26"/>
        </w:rPr>
        <w:t xml:space="preserve">Commissioners </w:t>
      </w:r>
      <w:r w:rsidRPr="007C6F94" w:rsidR="00913801">
        <w:rPr>
          <w:rFonts w:ascii="Times New Roman" w:hAnsi="Times New Roman"/>
          <w:snapToGrid w:val="0"/>
          <w:szCs w:val="26"/>
        </w:rPr>
        <w:t>approved</w:t>
      </w:r>
      <w:r w:rsidRPr="007C6F94">
        <w:rPr>
          <w:rFonts w:ascii="Times New Roman" w:hAnsi="Times New Roman"/>
          <w:snapToGrid w:val="0"/>
          <w:szCs w:val="26"/>
        </w:rPr>
        <w:t xml:space="preserve"> favorably thereon:</w:t>
      </w:r>
    </w:p>
    <w:p w:rsidRPr="007C6F94" w:rsidR="003C21A8" w:rsidP="002E3D1C" w:rsidRDefault="003C21A8" w14:paraId="3187ACD8" w14:textId="77777777">
      <w:pPr>
        <w:tabs>
          <w:tab w:val="left" w:pos="720"/>
          <w:tab w:val="left" w:pos="1152"/>
          <w:tab w:val="left" w:pos="1728"/>
          <w:tab w:val="left" w:pos="3168"/>
          <w:tab w:val="left" w:pos="5040"/>
        </w:tabs>
        <w:ind w:right="144"/>
        <w:rPr>
          <w:rFonts w:ascii="Times New Roman" w:hAnsi="Times New Roman"/>
          <w:szCs w:val="26"/>
        </w:rPr>
      </w:pPr>
    </w:p>
    <w:p w:rsidRPr="007C6F94" w:rsidR="003C21A8" w:rsidP="002E3D1C" w:rsidRDefault="003C21A8" w14:paraId="3CFEB91B" w14:textId="0B3C8AD9">
      <w:pPr>
        <w:rPr>
          <w:rFonts w:ascii="Times New Roman" w:hAnsi="Times New Roman"/>
          <w:szCs w:val="26"/>
        </w:rPr>
      </w:pPr>
      <w:r w:rsidRPr="007C6F94">
        <w:rPr>
          <w:rFonts w:ascii="Times New Roman" w:hAnsi="Times New Roman"/>
          <w:szCs w:val="26"/>
        </w:rPr>
        <w:tab/>
      </w:r>
      <w:r w:rsidRPr="007C6F94">
        <w:rPr>
          <w:rFonts w:ascii="Times New Roman" w:hAnsi="Times New Roman"/>
          <w:szCs w:val="26"/>
        </w:rPr>
        <w:tab/>
      </w:r>
      <w:r w:rsidRPr="007C6F94">
        <w:rPr>
          <w:rFonts w:ascii="Times New Roman" w:hAnsi="Times New Roman"/>
          <w:szCs w:val="26"/>
        </w:rPr>
        <w:tab/>
      </w:r>
      <w:r w:rsidRPr="007C6F94">
        <w:rPr>
          <w:rFonts w:ascii="Times New Roman" w:hAnsi="Times New Roman"/>
          <w:szCs w:val="26"/>
        </w:rPr>
        <w:tab/>
      </w:r>
      <w:r w:rsidRPr="007C6F94">
        <w:rPr>
          <w:rFonts w:ascii="Times New Roman" w:hAnsi="Times New Roman"/>
          <w:szCs w:val="26"/>
        </w:rPr>
        <w:tab/>
      </w:r>
      <w:r w:rsidRPr="007C6F94">
        <w:rPr>
          <w:rFonts w:ascii="Times New Roman" w:hAnsi="Times New Roman"/>
          <w:szCs w:val="26"/>
        </w:rPr>
        <w:tab/>
      </w:r>
    </w:p>
    <w:p w:rsidRPr="007C6F94" w:rsidR="006F1BC8" w:rsidP="002E3D1C" w:rsidRDefault="006F1BC8" w14:paraId="2CA7688C" w14:textId="77777777">
      <w:pPr>
        <w:rPr>
          <w:rFonts w:ascii="Times New Roman" w:hAnsi="Times New Roman" w:eastAsia="Palatino Linotype"/>
          <w:szCs w:val="26"/>
        </w:rPr>
      </w:pPr>
    </w:p>
    <w:p w:rsidRPr="007C6F94" w:rsidR="003C21A8" w:rsidP="002E3D1C" w:rsidRDefault="003C21A8" w14:paraId="13100419" w14:textId="77777777">
      <w:pPr>
        <w:rPr>
          <w:rFonts w:ascii="Times New Roman" w:hAnsi="Times New Roman" w:eastAsia="Palatino Linotype"/>
          <w:szCs w:val="26"/>
        </w:rPr>
      </w:pP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t>_________________________</w:t>
      </w:r>
    </w:p>
    <w:p w:rsidRPr="007C6F94" w:rsidR="003C21A8" w:rsidP="002E3D1C" w:rsidRDefault="003C21A8" w14:paraId="6879EAE7" w14:textId="101B0DB5">
      <w:pPr>
        <w:rPr>
          <w:rFonts w:ascii="Times New Roman" w:hAnsi="Times New Roman" w:eastAsia="Palatino Linotype"/>
          <w:szCs w:val="26"/>
        </w:rPr>
      </w:pP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sidR="00566854">
        <w:rPr>
          <w:rFonts w:ascii="Times New Roman" w:hAnsi="Times New Roman" w:eastAsia="Palatino Linotype"/>
          <w:szCs w:val="26"/>
        </w:rPr>
        <w:t>RACHEL PETERSON</w:t>
      </w:r>
      <w:r w:rsidRPr="007C6F94">
        <w:rPr>
          <w:rFonts w:ascii="Times New Roman" w:hAnsi="Times New Roman" w:eastAsia="Palatino Linotype"/>
          <w:szCs w:val="26"/>
        </w:rPr>
        <w:t xml:space="preserve"> </w:t>
      </w:r>
    </w:p>
    <w:p w:rsidRPr="002E3D1C" w:rsidR="007E1DEF" w:rsidP="002E3D1C" w:rsidRDefault="003C21A8" w14:paraId="3553295E" w14:textId="4A29E4CA">
      <w:pPr>
        <w:rPr>
          <w:rFonts w:ascii="Times New Roman" w:hAnsi="Times New Roman"/>
          <w:szCs w:val="26"/>
        </w:rPr>
      </w:pP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r>
      <w:r w:rsidRPr="007C6F94">
        <w:rPr>
          <w:rFonts w:ascii="Times New Roman" w:hAnsi="Times New Roman" w:eastAsia="Palatino Linotype"/>
          <w:szCs w:val="26"/>
        </w:rPr>
        <w:tab/>
      </w:r>
      <w:r w:rsidR="00EE003F">
        <w:rPr>
          <w:rFonts w:ascii="Times New Roman" w:hAnsi="Times New Roman" w:eastAsia="Palatino Linotype"/>
          <w:szCs w:val="26"/>
        </w:rPr>
        <w:t xml:space="preserve">  </w:t>
      </w:r>
      <w:r w:rsidRPr="007C6F94">
        <w:rPr>
          <w:rFonts w:ascii="Times New Roman" w:hAnsi="Times New Roman" w:eastAsia="Palatino Linotype"/>
          <w:szCs w:val="26"/>
        </w:rPr>
        <w:t>Executive Director</w:t>
      </w:r>
      <w:r w:rsidRPr="002E3D1C">
        <w:rPr>
          <w:rFonts w:ascii="Times New Roman" w:hAnsi="Times New Roman"/>
          <w:szCs w:val="26"/>
        </w:rPr>
        <w:t xml:space="preserve"> </w:t>
      </w:r>
    </w:p>
    <w:sectPr w:rsidRPr="002E3D1C" w:rsidR="007E1DEF">
      <w:headerReference w:type="default" r:id="rId14"/>
      <w:footerReference w:type="default" r:id="rId15"/>
      <w:headerReference w:type="first" r:id="rId16"/>
      <w:footerReference w:type="first" r:id="rId1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18B8" w14:textId="77777777" w:rsidR="00575E32" w:rsidRDefault="00575E32">
      <w:r>
        <w:separator/>
      </w:r>
    </w:p>
  </w:endnote>
  <w:endnote w:type="continuationSeparator" w:id="0">
    <w:p w14:paraId="64032A91" w14:textId="77777777" w:rsidR="00575E32" w:rsidRDefault="0057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B0C7" w14:textId="2EFB1DF2" w:rsidR="007A16F5" w:rsidRPr="005D5988" w:rsidRDefault="001F0541" w:rsidP="0074060A">
    <w:pPr>
      <w:pStyle w:val="Footer"/>
      <w:jc w:val="left"/>
      <w:rPr>
        <w:rFonts w:ascii="Times New Roman" w:hAnsi="Times New Roman"/>
        <w:sz w:val="24"/>
        <w:szCs w:val="24"/>
      </w:rPr>
    </w:pPr>
    <w:r w:rsidRPr="00F2461D">
      <w:rPr>
        <w:rFonts w:ascii="Times New Roman" w:hAnsi="Times New Roman"/>
        <w:sz w:val="18"/>
        <w:szCs w:val="18"/>
      </w:rPr>
      <w:t>425865706</w:t>
    </w:r>
    <w:r w:rsidR="0074060A">
      <w:rPr>
        <w:rStyle w:val="PageNumber"/>
        <w:rFonts w:ascii="Times New Roman" w:hAnsi="Times New Roman"/>
        <w:sz w:val="24"/>
        <w:szCs w:val="24"/>
      </w:rPr>
      <w:tab/>
    </w:r>
    <w:r w:rsidR="007A16F5" w:rsidRPr="005D5988">
      <w:rPr>
        <w:rStyle w:val="PageNumber"/>
        <w:rFonts w:ascii="Times New Roman" w:hAnsi="Times New Roman"/>
        <w:sz w:val="24"/>
        <w:szCs w:val="24"/>
      </w:rPr>
      <w:fldChar w:fldCharType="begin"/>
    </w:r>
    <w:r w:rsidR="007A16F5" w:rsidRPr="005D5988">
      <w:rPr>
        <w:rStyle w:val="PageNumber"/>
        <w:rFonts w:ascii="Times New Roman" w:hAnsi="Times New Roman"/>
        <w:sz w:val="24"/>
        <w:szCs w:val="24"/>
      </w:rPr>
      <w:instrText xml:space="preserve"> PAGE </w:instrText>
    </w:r>
    <w:r w:rsidR="007A16F5" w:rsidRPr="005D5988">
      <w:rPr>
        <w:rStyle w:val="PageNumber"/>
        <w:rFonts w:ascii="Times New Roman" w:hAnsi="Times New Roman"/>
        <w:sz w:val="24"/>
        <w:szCs w:val="24"/>
      </w:rPr>
      <w:fldChar w:fldCharType="separate"/>
    </w:r>
    <w:r w:rsidR="00487209" w:rsidRPr="005D5988">
      <w:rPr>
        <w:rStyle w:val="PageNumber"/>
        <w:rFonts w:ascii="Times New Roman" w:hAnsi="Times New Roman"/>
        <w:noProof/>
        <w:sz w:val="24"/>
        <w:szCs w:val="24"/>
      </w:rPr>
      <w:t>10</w:t>
    </w:r>
    <w:r w:rsidR="007A16F5" w:rsidRPr="005D5988">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122728787"/>
      <w:docPartObj>
        <w:docPartGallery w:val="Page Numbers (Bottom of Page)"/>
        <w:docPartUnique/>
      </w:docPartObj>
    </w:sdtPr>
    <w:sdtEndPr>
      <w:rPr>
        <w:noProof/>
      </w:rPr>
    </w:sdtEndPr>
    <w:sdtContent>
      <w:p w14:paraId="785CF9D2" w14:textId="31E4E160" w:rsidR="007868A6" w:rsidRPr="007868A6" w:rsidRDefault="00F2461D" w:rsidP="008D202C">
        <w:pPr>
          <w:pStyle w:val="Footer"/>
          <w:jc w:val="left"/>
          <w:rPr>
            <w:rFonts w:ascii="Times New Roman" w:hAnsi="Times New Roman"/>
          </w:rPr>
        </w:pPr>
        <w:r w:rsidRPr="00F2461D">
          <w:rPr>
            <w:rFonts w:ascii="Times New Roman" w:hAnsi="Times New Roman"/>
            <w:sz w:val="18"/>
            <w:szCs w:val="18"/>
          </w:rPr>
          <w:t>425865706</w:t>
        </w:r>
        <w:r w:rsidR="008D202C">
          <w:tab/>
        </w:r>
        <w:r w:rsidR="007868A6" w:rsidRPr="007868A6">
          <w:rPr>
            <w:rFonts w:ascii="Times New Roman" w:hAnsi="Times New Roman"/>
          </w:rPr>
          <w:fldChar w:fldCharType="begin"/>
        </w:r>
        <w:r w:rsidR="007868A6" w:rsidRPr="007868A6">
          <w:rPr>
            <w:rFonts w:ascii="Times New Roman" w:hAnsi="Times New Roman"/>
          </w:rPr>
          <w:instrText xml:space="preserve"> PAGE   \* MERGEFORMAT </w:instrText>
        </w:r>
        <w:r w:rsidR="007868A6" w:rsidRPr="007868A6">
          <w:rPr>
            <w:rFonts w:ascii="Times New Roman" w:hAnsi="Times New Roman"/>
          </w:rPr>
          <w:fldChar w:fldCharType="separate"/>
        </w:r>
        <w:r w:rsidR="007868A6" w:rsidRPr="007868A6">
          <w:rPr>
            <w:rFonts w:ascii="Times New Roman" w:hAnsi="Times New Roman"/>
            <w:noProof/>
          </w:rPr>
          <w:t>2</w:t>
        </w:r>
        <w:r w:rsidR="007868A6" w:rsidRPr="007868A6">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BB4C" w14:textId="77777777" w:rsidR="00575E32" w:rsidRPr="007C7B6F" w:rsidRDefault="00575E32">
      <w:pPr>
        <w:rPr>
          <w:rFonts w:ascii="Times New Roman" w:hAnsi="Times New Roman"/>
          <w:sz w:val="20"/>
        </w:rPr>
      </w:pPr>
      <w:r w:rsidRPr="007C7B6F">
        <w:rPr>
          <w:rFonts w:ascii="Times New Roman" w:hAnsi="Times New Roman"/>
          <w:sz w:val="20"/>
        </w:rPr>
        <w:separator/>
      </w:r>
    </w:p>
  </w:footnote>
  <w:footnote w:type="continuationSeparator" w:id="0">
    <w:p w14:paraId="750B563C" w14:textId="77777777" w:rsidR="00575E32" w:rsidRDefault="00575E32">
      <w:r>
        <w:continuationSeparator/>
      </w:r>
    </w:p>
  </w:footnote>
  <w:footnote w:type="continuationNotice" w:id="1">
    <w:p w14:paraId="20FDC1F6" w14:textId="77777777" w:rsidR="00575E32" w:rsidRPr="005D5988" w:rsidRDefault="00575E32" w:rsidP="005D5988">
      <w:pPr>
        <w:pStyle w:val="Footer"/>
      </w:pPr>
    </w:p>
  </w:footnote>
  <w:footnote w:id="2">
    <w:p w14:paraId="3904E7EC" w14:textId="3D665DA8" w:rsidR="002E3D1C" w:rsidRPr="009C1D1D" w:rsidRDefault="002E3D1C" w:rsidP="00AA2CC7">
      <w:pPr>
        <w:pStyle w:val="FootnoteText"/>
        <w:numPr>
          <w:ilvl w:val="0"/>
          <w:numId w:val="0"/>
        </w:numPr>
        <w:spacing w:after="120" w:line="240" w:lineRule="exact"/>
        <w:rPr>
          <w:rFonts w:ascii="Times New Roman" w:hAnsi="Times New Roman"/>
          <w:szCs w:val="24"/>
        </w:rPr>
      </w:pPr>
      <w:r w:rsidRPr="009C1D1D">
        <w:rPr>
          <w:rStyle w:val="FootnoteReference"/>
          <w:rFonts w:ascii="Times New Roman" w:hAnsi="Times New Roman"/>
          <w:b/>
          <w:bCs/>
          <w:szCs w:val="24"/>
          <w:u w:val="single"/>
        </w:rPr>
        <w:footnoteRef/>
      </w:r>
      <w:r w:rsidRPr="009C1D1D">
        <w:rPr>
          <w:rFonts w:ascii="Times New Roman" w:hAnsi="Times New Roman"/>
          <w:szCs w:val="24"/>
        </w:rPr>
        <w:t xml:space="preserve"> Mr. Rittiman did not use the “Public Information Appeal Form,” as required by G.O. 66-D, and instead informally emailed Legal Division staff of his appeal. </w:t>
      </w:r>
      <w:r w:rsidR="00384EAC">
        <w:rPr>
          <w:rFonts w:ascii="Times New Roman" w:hAnsi="Times New Roman"/>
          <w:szCs w:val="24"/>
        </w:rPr>
        <w:t xml:space="preserve"> </w:t>
      </w:r>
      <w:r w:rsidRPr="009C1D1D">
        <w:rPr>
          <w:rFonts w:ascii="Times New Roman" w:hAnsi="Times New Roman"/>
          <w:szCs w:val="24"/>
        </w:rPr>
        <w:t>Although the Commission has undertaken review of his appeal, this Resolution does not constitute precedent that the Commission will waive the procedural requirements of G.O. 66-D in future situations.</w:t>
      </w:r>
    </w:p>
  </w:footnote>
  <w:footnote w:id="3">
    <w:p w14:paraId="154D1E56" w14:textId="1B23DD96" w:rsidR="008F74F6" w:rsidRPr="009C1D1D" w:rsidRDefault="008F74F6" w:rsidP="00AA2CC7">
      <w:pPr>
        <w:pStyle w:val="FootnoteText"/>
        <w:numPr>
          <w:ilvl w:val="0"/>
          <w:numId w:val="0"/>
        </w:numPr>
        <w:spacing w:after="120" w:line="240" w:lineRule="exact"/>
        <w:rPr>
          <w:rFonts w:ascii="Times New Roman" w:hAnsi="Times New Roman"/>
          <w:szCs w:val="24"/>
        </w:rPr>
      </w:pPr>
      <w:r w:rsidRPr="009C1D1D">
        <w:rPr>
          <w:rStyle w:val="FootnoteReference"/>
          <w:rFonts w:ascii="Times New Roman" w:hAnsi="Times New Roman"/>
          <w:b/>
          <w:bCs/>
          <w:szCs w:val="24"/>
          <w:u w:val="single"/>
        </w:rPr>
        <w:footnoteRef/>
      </w:r>
      <w:r w:rsidRPr="009C1D1D">
        <w:rPr>
          <w:rFonts w:ascii="Times New Roman" w:hAnsi="Times New Roman"/>
          <w:szCs w:val="24"/>
        </w:rPr>
        <w:t xml:space="preserve"> The Commission acknowledges that its processing of the appeal and preparation of this Resolution </w:t>
      </w:r>
      <w:r w:rsidR="003469A9" w:rsidRPr="009C1D1D">
        <w:rPr>
          <w:rFonts w:ascii="Times New Roman" w:hAnsi="Times New Roman"/>
          <w:szCs w:val="24"/>
        </w:rPr>
        <w:t xml:space="preserve">has </w:t>
      </w:r>
      <w:r w:rsidR="00664A0A" w:rsidRPr="009C1D1D">
        <w:rPr>
          <w:rFonts w:ascii="Times New Roman" w:hAnsi="Times New Roman"/>
          <w:szCs w:val="24"/>
        </w:rPr>
        <w:t>taken longer than usual</w:t>
      </w:r>
      <w:r w:rsidRPr="009C1D1D">
        <w:rPr>
          <w:rFonts w:ascii="Times New Roman" w:hAnsi="Times New Roman"/>
          <w:szCs w:val="24"/>
        </w:rPr>
        <w:t>.</w:t>
      </w:r>
      <w:r w:rsidR="00384EAC">
        <w:rPr>
          <w:rFonts w:ascii="Times New Roman" w:hAnsi="Times New Roman"/>
          <w:szCs w:val="24"/>
        </w:rPr>
        <w:t xml:space="preserve"> </w:t>
      </w:r>
      <w:r w:rsidRPr="009C1D1D">
        <w:rPr>
          <w:rFonts w:ascii="Times New Roman" w:hAnsi="Times New Roman"/>
          <w:szCs w:val="24"/>
        </w:rPr>
        <w:t xml:space="preserve"> The Commission also acknowledges that, while the CPRA confers substantial public benefits, responding to </w:t>
      </w:r>
      <w:r w:rsidR="007F1311" w:rsidRPr="009C1D1D">
        <w:rPr>
          <w:rFonts w:ascii="Times New Roman" w:hAnsi="Times New Roman"/>
          <w:szCs w:val="24"/>
        </w:rPr>
        <w:t xml:space="preserve">such </w:t>
      </w:r>
      <w:r w:rsidRPr="009C1D1D">
        <w:rPr>
          <w:rFonts w:ascii="Times New Roman" w:hAnsi="Times New Roman"/>
          <w:szCs w:val="24"/>
        </w:rPr>
        <w:t xml:space="preserve">requests </w:t>
      </w:r>
      <w:r w:rsidR="007F1311" w:rsidRPr="009C1D1D">
        <w:rPr>
          <w:rFonts w:ascii="Times New Roman" w:hAnsi="Times New Roman"/>
          <w:szCs w:val="24"/>
        </w:rPr>
        <w:t>consumes</w:t>
      </w:r>
      <w:r w:rsidRPr="009C1D1D">
        <w:rPr>
          <w:rFonts w:ascii="Times New Roman" w:hAnsi="Times New Roman"/>
          <w:szCs w:val="24"/>
        </w:rPr>
        <w:t xml:space="preserve"> </w:t>
      </w:r>
      <w:r w:rsidR="007F1311" w:rsidRPr="009C1D1D">
        <w:rPr>
          <w:rFonts w:ascii="Times New Roman" w:hAnsi="Times New Roman"/>
          <w:szCs w:val="24"/>
        </w:rPr>
        <w:t xml:space="preserve">substantial </w:t>
      </w:r>
      <w:r w:rsidRPr="009C1D1D">
        <w:rPr>
          <w:rFonts w:ascii="Times New Roman" w:hAnsi="Times New Roman"/>
          <w:szCs w:val="24"/>
        </w:rPr>
        <w:t>Commission resources. The Commission received 594 subpoena and CPRA requests in 2017, 653 in 2018, 702 in 2019, 699 in 2020, and is on pace to receive more than that in 2021.</w:t>
      </w:r>
    </w:p>
  </w:footnote>
  <w:footnote w:id="4">
    <w:p w14:paraId="7790B3C2" w14:textId="49F87804" w:rsidR="00EB647F" w:rsidRPr="009C1D1D" w:rsidRDefault="00EB647F" w:rsidP="00AA2CC7">
      <w:pPr>
        <w:pStyle w:val="FootnoteText"/>
        <w:numPr>
          <w:ilvl w:val="0"/>
          <w:numId w:val="0"/>
        </w:numPr>
        <w:spacing w:after="120" w:line="240" w:lineRule="exact"/>
        <w:rPr>
          <w:rFonts w:ascii="Times New Roman" w:hAnsi="Times New Roman"/>
          <w:szCs w:val="24"/>
        </w:rPr>
      </w:pPr>
      <w:r w:rsidRPr="009C1D1D">
        <w:rPr>
          <w:rStyle w:val="FootnoteReference"/>
          <w:rFonts w:ascii="Times New Roman" w:hAnsi="Times New Roman"/>
          <w:b/>
          <w:bCs/>
          <w:szCs w:val="24"/>
          <w:u w:val="single"/>
        </w:rPr>
        <w:footnoteRef/>
      </w:r>
      <w:r w:rsidRPr="009C1D1D">
        <w:rPr>
          <w:rFonts w:ascii="Times New Roman" w:hAnsi="Times New Roman"/>
          <w:szCs w:val="24"/>
        </w:rPr>
        <w:t xml:space="preserve"> Mr. Rittiman’s PRA request and appeal were both made on his behalf only (“I ask to obtain records,” “I write to appeal.”) Since then, an attorney purporting to represent </w:t>
      </w:r>
      <w:r w:rsidR="00906102" w:rsidRPr="009C1D1D">
        <w:rPr>
          <w:rFonts w:ascii="Times New Roman" w:hAnsi="Times New Roman"/>
          <w:szCs w:val="24"/>
        </w:rPr>
        <w:t xml:space="preserve">both </w:t>
      </w:r>
      <w:r w:rsidRPr="009C1D1D">
        <w:rPr>
          <w:rFonts w:ascii="Times New Roman" w:hAnsi="Times New Roman"/>
          <w:szCs w:val="24"/>
        </w:rPr>
        <w:t xml:space="preserve">Mr. Rittiman and KXTV-TV (ABC10) has advocated for the release of the subject records. </w:t>
      </w:r>
      <w:r w:rsidR="00384EAC">
        <w:rPr>
          <w:rFonts w:ascii="Times New Roman" w:hAnsi="Times New Roman"/>
          <w:szCs w:val="24"/>
        </w:rPr>
        <w:t xml:space="preserve"> </w:t>
      </w:r>
      <w:r w:rsidRPr="009C1D1D">
        <w:rPr>
          <w:rFonts w:ascii="Times New Roman" w:hAnsi="Times New Roman"/>
          <w:szCs w:val="24"/>
        </w:rPr>
        <w:t>The Commission’s determination would be the same regardless of the requestor(s).</w:t>
      </w:r>
    </w:p>
  </w:footnote>
  <w:footnote w:id="5">
    <w:p w14:paraId="0F4A87DD" w14:textId="77777777" w:rsidR="00742A1D" w:rsidRPr="009C1D1D" w:rsidRDefault="00742A1D" w:rsidP="00AA2CC7">
      <w:pPr>
        <w:pStyle w:val="FootnoteText"/>
        <w:numPr>
          <w:ilvl w:val="0"/>
          <w:numId w:val="0"/>
        </w:numPr>
        <w:spacing w:after="120" w:line="240" w:lineRule="exact"/>
        <w:rPr>
          <w:rFonts w:ascii="Times New Roman" w:hAnsi="Times New Roman"/>
          <w:szCs w:val="24"/>
        </w:rPr>
      </w:pPr>
      <w:r w:rsidRPr="009C1D1D">
        <w:rPr>
          <w:rStyle w:val="FootnoteReference"/>
          <w:rFonts w:ascii="Times New Roman" w:hAnsi="Times New Roman"/>
          <w:b/>
          <w:bCs/>
          <w:szCs w:val="24"/>
          <w:u w:val="single"/>
        </w:rPr>
        <w:footnoteRef/>
      </w:r>
      <w:r w:rsidRPr="009C1D1D">
        <w:rPr>
          <w:rStyle w:val="FootnoteReference"/>
          <w:rFonts w:ascii="Times New Roman" w:hAnsi="Times New Roman"/>
          <w:szCs w:val="24"/>
          <w:u w:val="single"/>
        </w:rPr>
        <w:t xml:space="preserve"> </w:t>
      </w:r>
      <w:r w:rsidRPr="009C1D1D">
        <w:rPr>
          <w:rFonts w:ascii="Times New Roman" w:hAnsi="Times New Roman"/>
          <w:szCs w:val="24"/>
        </w:rPr>
        <w:t>The Public Records Office is authorized to assert the Commission’s privileges and exemptions from disclosure in response to records requests and subpoenas, as appropriate.</w:t>
      </w:r>
    </w:p>
  </w:footnote>
  <w:footnote w:id="6">
    <w:p w14:paraId="394AE767" w14:textId="2FA316AD" w:rsidR="00742A1D" w:rsidRPr="009C1D1D" w:rsidRDefault="00742A1D" w:rsidP="00AA2CC7">
      <w:pPr>
        <w:pStyle w:val="FootnoteText"/>
        <w:numPr>
          <w:ilvl w:val="0"/>
          <w:numId w:val="0"/>
        </w:numPr>
        <w:spacing w:after="120" w:line="240" w:lineRule="exact"/>
        <w:rPr>
          <w:rFonts w:ascii="Times New Roman" w:hAnsi="Times New Roman"/>
          <w:szCs w:val="24"/>
        </w:rPr>
      </w:pPr>
      <w:r w:rsidRPr="009C1D1D">
        <w:rPr>
          <w:rStyle w:val="FootnoteReference"/>
          <w:rFonts w:ascii="Times New Roman" w:hAnsi="Times New Roman"/>
          <w:b/>
          <w:bCs/>
          <w:szCs w:val="24"/>
          <w:u w:val="single"/>
        </w:rPr>
        <w:footnoteRef/>
      </w:r>
      <w:r w:rsidRPr="009C1D1D">
        <w:rPr>
          <w:rFonts w:ascii="Times New Roman" w:hAnsi="Times New Roman"/>
          <w:szCs w:val="24"/>
        </w:rPr>
        <w:t xml:space="preserve"> </w:t>
      </w:r>
      <w:r w:rsidRPr="000E24F8">
        <w:rPr>
          <w:rFonts w:ascii="Times New Roman" w:hAnsi="Times New Roman"/>
          <w:i/>
          <w:iCs/>
          <w:szCs w:val="24"/>
        </w:rPr>
        <w:t>See</w:t>
      </w:r>
      <w:r w:rsidRPr="009C1D1D">
        <w:rPr>
          <w:rFonts w:ascii="Times New Roman" w:hAnsi="Times New Roman"/>
          <w:szCs w:val="24"/>
        </w:rPr>
        <w:t xml:space="preserve"> also, Cal. Evid. Code § 917(a); </w:t>
      </w:r>
      <w:r w:rsidRPr="009C1D1D">
        <w:rPr>
          <w:rFonts w:ascii="Times New Roman" w:hAnsi="Times New Roman"/>
          <w:i/>
          <w:szCs w:val="24"/>
        </w:rPr>
        <w:t>Wellpoint Health Networks, Inc. v. Superior Court</w:t>
      </w:r>
      <w:r w:rsidRPr="009C1D1D">
        <w:rPr>
          <w:rFonts w:ascii="Times New Roman" w:hAnsi="Times New Roman"/>
          <w:szCs w:val="24"/>
        </w:rPr>
        <w:t xml:space="preserve"> (“</w:t>
      </w:r>
      <w:r w:rsidRPr="009C1D1D">
        <w:rPr>
          <w:rFonts w:ascii="Times New Roman" w:hAnsi="Times New Roman"/>
          <w:i/>
          <w:szCs w:val="24"/>
        </w:rPr>
        <w:t>Wellpoint</w:t>
      </w:r>
      <w:r w:rsidRPr="009C1D1D">
        <w:rPr>
          <w:rFonts w:ascii="Times New Roman" w:hAnsi="Times New Roman"/>
          <w:szCs w:val="24"/>
        </w:rPr>
        <w:t>”) 59 Cal.App.4th 110, 123-124</w:t>
      </w:r>
      <w:r w:rsidR="00AB3217" w:rsidRPr="009C1D1D">
        <w:rPr>
          <w:rFonts w:ascii="Times New Roman" w:hAnsi="Times New Roman"/>
          <w:szCs w:val="24"/>
        </w:rPr>
        <w:t xml:space="preserve"> (1997.)</w:t>
      </w:r>
    </w:p>
  </w:footnote>
  <w:footnote w:id="7">
    <w:p w14:paraId="13395295" w14:textId="4734528B" w:rsidR="000E24F8" w:rsidRPr="009C1D1D" w:rsidRDefault="000C2010" w:rsidP="00AA2CC7">
      <w:pPr>
        <w:pStyle w:val="FootnoteText"/>
        <w:numPr>
          <w:ilvl w:val="0"/>
          <w:numId w:val="0"/>
        </w:numPr>
        <w:spacing w:after="120" w:line="240" w:lineRule="exact"/>
        <w:rPr>
          <w:rFonts w:ascii="Times New Roman" w:hAnsi="Times New Roman"/>
          <w:szCs w:val="24"/>
        </w:rPr>
      </w:pPr>
      <w:r w:rsidRPr="009C1D1D">
        <w:rPr>
          <w:rStyle w:val="FootnoteReference"/>
          <w:rFonts w:ascii="Times New Roman" w:hAnsi="Times New Roman"/>
          <w:b/>
          <w:bCs/>
          <w:szCs w:val="24"/>
          <w:u w:val="single"/>
        </w:rPr>
        <w:footnoteRef/>
      </w:r>
      <w:r w:rsidRPr="009C1D1D">
        <w:rPr>
          <w:rFonts w:ascii="Times New Roman" w:hAnsi="Times New Roman"/>
          <w:szCs w:val="24"/>
        </w:rPr>
        <w:t xml:space="preserve"> </w:t>
      </w:r>
      <w:r w:rsidRPr="000E24F8">
        <w:rPr>
          <w:rFonts w:ascii="Times New Roman" w:hAnsi="Times New Roman"/>
          <w:i/>
          <w:iCs/>
          <w:szCs w:val="24"/>
        </w:rPr>
        <w:t>See</w:t>
      </w:r>
      <w:r w:rsidRPr="009C1D1D">
        <w:rPr>
          <w:rFonts w:ascii="Times New Roman" w:hAnsi="Times New Roman"/>
          <w:szCs w:val="24"/>
        </w:rPr>
        <w:t xml:space="preserve"> </w:t>
      </w:r>
      <w:hyperlink r:id="rId1" w:history="1">
        <w:r w:rsidR="000E24F8" w:rsidRPr="0021425B">
          <w:rPr>
            <w:rStyle w:val="Hyperlink"/>
            <w:rFonts w:ascii="Times New Roman" w:hAnsi="Times New Roman"/>
            <w:szCs w:val="24"/>
          </w:rPr>
          <w:t>https://www.merriam-webster.com/dictionary/correspondence</w:t>
        </w:r>
      </w:hyperlink>
      <w:r w:rsidRPr="009C1D1D">
        <w:rPr>
          <w:rFonts w:ascii="Times New Roman" w:hAnsi="Times New Roman"/>
          <w:szCs w:val="24"/>
        </w:rPr>
        <w:t>.</w:t>
      </w:r>
    </w:p>
  </w:footnote>
  <w:footnote w:id="8">
    <w:p w14:paraId="03A0D4FD" w14:textId="446290C9" w:rsidR="00906102" w:rsidRPr="009C1D1D" w:rsidRDefault="00906102" w:rsidP="00AA2CC7">
      <w:pPr>
        <w:pStyle w:val="FootnoteText"/>
        <w:numPr>
          <w:ilvl w:val="0"/>
          <w:numId w:val="0"/>
        </w:numPr>
        <w:spacing w:after="120" w:line="240" w:lineRule="exact"/>
        <w:rPr>
          <w:rFonts w:ascii="Times New Roman" w:hAnsi="Times New Roman"/>
          <w:szCs w:val="24"/>
        </w:rPr>
      </w:pPr>
      <w:r w:rsidRPr="009C1D1D">
        <w:rPr>
          <w:rStyle w:val="FootnoteReference"/>
          <w:rFonts w:ascii="Times New Roman" w:hAnsi="Times New Roman"/>
          <w:b/>
          <w:bCs/>
          <w:szCs w:val="24"/>
          <w:u w:val="single"/>
        </w:rPr>
        <w:footnoteRef/>
      </w:r>
      <w:r w:rsidRPr="009C1D1D">
        <w:rPr>
          <w:rFonts w:ascii="Times New Roman" w:hAnsi="Times New Roman"/>
          <w:szCs w:val="24"/>
        </w:rPr>
        <w:t xml:space="preserve"> The CPRA was amended in 1975 to limit the exemption </w:t>
      </w:r>
      <w:r w:rsidR="007F1311" w:rsidRPr="009C1D1D">
        <w:rPr>
          <w:rFonts w:ascii="Times New Roman" w:hAnsi="Times New Roman"/>
          <w:szCs w:val="24"/>
        </w:rPr>
        <w:t xml:space="preserve">in </w:t>
      </w:r>
      <w:r w:rsidR="004C313D">
        <w:rPr>
          <w:rFonts w:ascii="Times New Roman" w:hAnsi="Times New Roman"/>
          <w:szCs w:val="24"/>
        </w:rPr>
        <w:t>S</w:t>
      </w:r>
      <w:r w:rsidR="007F1311" w:rsidRPr="009C1D1D">
        <w:rPr>
          <w:rFonts w:ascii="Times New Roman" w:hAnsi="Times New Roman"/>
          <w:szCs w:val="24"/>
        </w:rPr>
        <w:t xml:space="preserve">ection 6254(l) </w:t>
      </w:r>
      <w:r w:rsidRPr="009C1D1D">
        <w:rPr>
          <w:rFonts w:ascii="Times New Roman" w:hAnsi="Times New Roman"/>
          <w:szCs w:val="24"/>
        </w:rPr>
        <w:t xml:space="preserve">from all records maintained by the Governor to “correspondence of or to the Governor and his staff.” </w:t>
      </w:r>
      <w:r w:rsidRPr="009C1D1D">
        <w:rPr>
          <w:rFonts w:ascii="Times New Roman" w:hAnsi="Times New Roman"/>
          <w:i/>
          <w:iCs/>
          <w:szCs w:val="24"/>
        </w:rPr>
        <w:t>Times Mirror</w:t>
      </w:r>
      <w:r w:rsidRPr="009C1D1D">
        <w:rPr>
          <w:rFonts w:ascii="Times New Roman" w:hAnsi="Times New Roman"/>
          <w:szCs w:val="24"/>
        </w:rPr>
        <w:t>, 53 Cal. 3d at 1337.</w:t>
      </w:r>
    </w:p>
  </w:footnote>
  <w:footnote w:id="9">
    <w:p w14:paraId="2842C8E8" w14:textId="42CDF4C1" w:rsidR="00E55670" w:rsidRPr="009C1D1D" w:rsidRDefault="00E55670" w:rsidP="00AA2CC7">
      <w:pPr>
        <w:pStyle w:val="FootnoteText"/>
        <w:numPr>
          <w:ilvl w:val="0"/>
          <w:numId w:val="0"/>
        </w:numPr>
        <w:spacing w:after="120" w:line="240" w:lineRule="exact"/>
        <w:rPr>
          <w:rFonts w:ascii="Times New Roman" w:hAnsi="Times New Roman"/>
          <w:szCs w:val="24"/>
        </w:rPr>
      </w:pPr>
      <w:r w:rsidRPr="009C1D1D">
        <w:rPr>
          <w:rStyle w:val="FootnoteReference"/>
          <w:rFonts w:ascii="Times New Roman" w:hAnsi="Times New Roman"/>
          <w:b/>
          <w:bCs/>
          <w:szCs w:val="24"/>
          <w:u w:val="single"/>
        </w:rPr>
        <w:footnoteRef/>
      </w:r>
      <w:r w:rsidRPr="009C1D1D">
        <w:rPr>
          <w:rFonts w:ascii="Times New Roman" w:hAnsi="Times New Roman"/>
          <w:szCs w:val="24"/>
        </w:rPr>
        <w:t xml:space="preserve"> Title 5 United States Code </w:t>
      </w:r>
      <w:r w:rsidR="004C313D">
        <w:rPr>
          <w:rFonts w:ascii="Times New Roman" w:hAnsi="Times New Roman"/>
          <w:szCs w:val="24"/>
        </w:rPr>
        <w:t>S</w:t>
      </w:r>
      <w:r w:rsidRPr="009C1D1D">
        <w:rPr>
          <w:rFonts w:ascii="Times New Roman" w:hAnsi="Times New Roman"/>
          <w:szCs w:val="24"/>
        </w:rPr>
        <w:t>ection 552(b)(5) provides that agencies need not disclose “inter-agency or intra-agency memorandums or letters which would not be available by law to a party other than an agency in litigation with the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DD40" w14:textId="27A2E540" w:rsidR="007A16F5" w:rsidRPr="00A96989" w:rsidRDefault="007A16F5">
    <w:pPr>
      <w:pStyle w:val="Header"/>
      <w:tabs>
        <w:tab w:val="clear" w:pos="4320"/>
        <w:tab w:val="clear" w:pos="8640"/>
        <w:tab w:val="center" w:pos="4680"/>
        <w:tab w:val="right" w:pos="9180"/>
      </w:tabs>
      <w:rPr>
        <w:rFonts w:ascii="Times New Roman" w:hAnsi="Times New Roman"/>
      </w:rPr>
    </w:pPr>
    <w:r w:rsidRPr="00A96989">
      <w:rPr>
        <w:rFonts w:ascii="Times New Roman" w:hAnsi="Times New Roman"/>
      </w:rPr>
      <w:t xml:space="preserve">Resolution </w:t>
    </w:r>
    <w:r w:rsidR="006F1907" w:rsidRPr="00A96989">
      <w:rPr>
        <w:rFonts w:ascii="Times New Roman" w:hAnsi="Times New Roman"/>
      </w:rPr>
      <w:t>L-</w:t>
    </w:r>
    <w:r w:rsidR="004C313D">
      <w:rPr>
        <w:rFonts w:ascii="Times New Roman" w:hAnsi="Times New Roman"/>
      </w:rPr>
      <w:t>613</w:t>
    </w:r>
    <w:r w:rsidRPr="00A96989">
      <w:rPr>
        <w:rFonts w:ascii="Times New Roman" w:hAnsi="Times New Roman"/>
      </w:rPr>
      <w:tab/>
    </w:r>
    <w:r w:rsidRPr="00A96989">
      <w:rPr>
        <w:rFonts w:ascii="Times New Roman" w:hAnsi="Times New Roman"/>
        <w:b/>
        <w:bCs/>
      </w:rPr>
      <w:t>DRAFT</w:t>
    </w:r>
    <w:r w:rsidRPr="00A96989">
      <w:rPr>
        <w:rFonts w:ascii="Times New Roman" w:hAnsi="Times New Roman"/>
      </w:rPr>
      <w:tab/>
    </w:r>
    <w:r w:rsidR="004C313D">
      <w:rPr>
        <w:rFonts w:ascii="Times New Roman" w:hAnsi="Times New Roman"/>
      </w:rPr>
      <w:t>December 2</w:t>
    </w:r>
    <w:r w:rsidRPr="00A96989">
      <w:rPr>
        <w:rFonts w:ascii="Times New Roman" w:hAnsi="Times New Roman"/>
      </w:rPr>
      <w:t>, 20</w:t>
    </w:r>
    <w:r w:rsidR="002E3D1C">
      <w:rPr>
        <w:rFonts w:ascii="Times New Roman" w:hAnsi="Times New Roman"/>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4392" w14:textId="749F84DF" w:rsidR="000F6251" w:rsidRDefault="000F6251" w:rsidP="000F6251">
    <w:pPr>
      <w:pStyle w:val="NormalWeb"/>
      <w:spacing w:before="0" w:beforeAutospacing="0" w:after="0" w:afterAutospacing="0"/>
      <w:rPr>
        <w:rFonts w:ascii="Times New Roman" w:hAnsi="Times New Roman"/>
        <w:sz w:val="26"/>
        <w:szCs w:val="26"/>
      </w:rPr>
    </w:pPr>
    <w:r>
      <w:rPr>
        <w:b/>
        <w:bCs/>
        <w:sz w:val="26"/>
        <w:szCs w:val="26"/>
      </w:rPr>
      <w:tab/>
    </w:r>
    <w:r>
      <w:rPr>
        <w:b/>
        <w:bCs/>
        <w:sz w:val="26"/>
        <w:szCs w:val="26"/>
      </w:rPr>
      <w:tab/>
    </w:r>
    <w:r>
      <w:rPr>
        <w:b/>
        <w:bCs/>
        <w:sz w:val="26"/>
        <w:szCs w:val="26"/>
      </w:rPr>
      <w:tab/>
    </w:r>
    <w:r>
      <w:rPr>
        <w:b/>
        <w:bCs/>
        <w:sz w:val="26"/>
        <w:szCs w:val="26"/>
      </w:rPr>
      <w:tab/>
    </w:r>
    <w:r w:rsidR="00B44579">
      <w:rPr>
        <w:b/>
        <w:bCs/>
        <w:sz w:val="26"/>
        <w:szCs w:val="26"/>
      </w:rPr>
      <w:tab/>
    </w:r>
    <w:r w:rsidR="007A16F5" w:rsidRPr="003C21A8">
      <w:rPr>
        <w:b/>
        <w:bCs/>
        <w:sz w:val="26"/>
        <w:szCs w:val="26"/>
      </w:rPr>
      <w:t>DRAFT</w:t>
    </w:r>
    <w:r>
      <w:rPr>
        <w:b/>
        <w:bCs/>
        <w:sz w:val="26"/>
        <w:szCs w:val="26"/>
      </w:rPr>
      <w:tab/>
    </w:r>
    <w:r>
      <w:rPr>
        <w:b/>
        <w:bCs/>
        <w:sz w:val="26"/>
        <w:szCs w:val="26"/>
      </w:rPr>
      <w:tab/>
    </w:r>
    <w:r>
      <w:rPr>
        <w:b/>
        <w:bCs/>
        <w:sz w:val="26"/>
        <w:szCs w:val="26"/>
      </w:rPr>
      <w:tab/>
      <w:t xml:space="preserve">   </w:t>
    </w:r>
    <w:r w:rsidR="007A16F5">
      <w:rPr>
        <w:rFonts w:ascii="Times New Roman" w:hAnsi="Times New Roman"/>
        <w:sz w:val="26"/>
        <w:szCs w:val="26"/>
      </w:rPr>
      <w:t xml:space="preserve">Item </w:t>
    </w:r>
    <w:r w:rsidR="00F70117">
      <w:rPr>
        <w:rFonts w:ascii="Times New Roman" w:hAnsi="Times New Roman"/>
        <w:sz w:val="26"/>
        <w:szCs w:val="26"/>
      </w:rPr>
      <w:t>5</w:t>
    </w:r>
    <w:r w:rsidR="006F1BC8">
      <w:rPr>
        <w:rFonts w:ascii="Times New Roman" w:hAnsi="Times New Roman"/>
        <w:sz w:val="26"/>
        <w:szCs w:val="26"/>
      </w:rPr>
      <w:t xml:space="preserve"> </w:t>
    </w:r>
    <w:r w:rsidR="007A16F5">
      <w:rPr>
        <w:rFonts w:ascii="Times New Roman" w:hAnsi="Times New Roman"/>
        <w:sz w:val="26"/>
        <w:szCs w:val="26"/>
      </w:rPr>
      <w:t xml:space="preserve">(Agenda # </w:t>
    </w:r>
    <w:r w:rsidR="00AA2CC7">
      <w:rPr>
        <w:rFonts w:ascii="Times New Roman" w:hAnsi="Times New Roman"/>
        <w:sz w:val="26"/>
        <w:szCs w:val="26"/>
      </w:rPr>
      <w:t>20009</w:t>
    </w:r>
    <w:r w:rsidR="007A16F5">
      <w:rPr>
        <w:rFonts w:ascii="Times New Roman" w:hAnsi="Times New Roman"/>
        <w:sz w:val="26"/>
        <w:szCs w:val="26"/>
      </w:rPr>
      <w:t>)</w:t>
    </w:r>
  </w:p>
  <w:p w14:paraId="380CB127" w14:textId="5B5CA7F9" w:rsidR="007A16F5" w:rsidRDefault="00F70117" w:rsidP="000F6251">
    <w:pPr>
      <w:pStyle w:val="NormalWeb"/>
      <w:tabs>
        <w:tab w:val="left" w:pos="5760"/>
      </w:tabs>
      <w:spacing w:before="0" w:beforeAutospacing="0" w:after="0" w:afterAutospacing="0"/>
      <w:ind w:left="3600" w:firstLine="720"/>
      <w:jc w:val="right"/>
      <w:rPr>
        <w:rFonts w:ascii="Times New Roman" w:hAnsi="Times New Roman"/>
        <w:sz w:val="26"/>
        <w:szCs w:val="26"/>
      </w:rPr>
    </w:pPr>
    <w:r>
      <w:rPr>
        <w:rFonts w:ascii="Times New Roman" w:hAnsi="Times New Roman"/>
        <w:sz w:val="26"/>
        <w:szCs w:val="26"/>
      </w:rPr>
      <w:t>Rev.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C40"/>
    <w:multiLevelType w:val="multilevel"/>
    <w:tmpl w:val="3438B6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50B79A5"/>
    <w:multiLevelType w:val="hybridMultilevel"/>
    <w:tmpl w:val="E8A2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333A0"/>
    <w:multiLevelType w:val="hybridMultilevel"/>
    <w:tmpl w:val="9C8E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17278"/>
    <w:multiLevelType w:val="hybridMultilevel"/>
    <w:tmpl w:val="45E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37A9F"/>
    <w:multiLevelType w:val="hybridMultilevel"/>
    <w:tmpl w:val="B9161B90"/>
    <w:lvl w:ilvl="0" w:tplc="E020C916">
      <w:start w:val="1"/>
      <w:numFmt w:val="decimal"/>
      <w:lvlText w:val="%1."/>
      <w:lvlJc w:val="left"/>
      <w:pPr>
        <w:ind w:left="820" w:hanging="360"/>
      </w:pPr>
      <w:rPr>
        <w:rFonts w:hint="default"/>
        <w:spacing w:val="-1"/>
        <w:w w:val="99"/>
        <w:sz w:val="26"/>
        <w:szCs w:val="26"/>
        <w:lang w:val="en-US" w:eastAsia="en-US" w:bidi="ar-SA"/>
      </w:rPr>
    </w:lvl>
    <w:lvl w:ilvl="1" w:tplc="F5F082DE">
      <w:numFmt w:val="bullet"/>
      <w:lvlText w:val="•"/>
      <w:lvlJc w:val="left"/>
      <w:pPr>
        <w:ind w:left="1766" w:hanging="360"/>
      </w:pPr>
      <w:rPr>
        <w:rFonts w:hint="default"/>
        <w:lang w:val="en-US" w:eastAsia="en-US" w:bidi="ar-SA"/>
      </w:rPr>
    </w:lvl>
    <w:lvl w:ilvl="2" w:tplc="2532486C">
      <w:numFmt w:val="bullet"/>
      <w:lvlText w:val="•"/>
      <w:lvlJc w:val="left"/>
      <w:pPr>
        <w:ind w:left="2712" w:hanging="360"/>
      </w:pPr>
      <w:rPr>
        <w:rFonts w:hint="default"/>
        <w:lang w:val="en-US" w:eastAsia="en-US" w:bidi="ar-SA"/>
      </w:rPr>
    </w:lvl>
    <w:lvl w:ilvl="3" w:tplc="DF869398">
      <w:numFmt w:val="bullet"/>
      <w:lvlText w:val="•"/>
      <w:lvlJc w:val="left"/>
      <w:pPr>
        <w:ind w:left="3658" w:hanging="360"/>
      </w:pPr>
      <w:rPr>
        <w:rFonts w:hint="default"/>
        <w:lang w:val="en-US" w:eastAsia="en-US" w:bidi="ar-SA"/>
      </w:rPr>
    </w:lvl>
    <w:lvl w:ilvl="4" w:tplc="A35815F8">
      <w:numFmt w:val="bullet"/>
      <w:lvlText w:val="•"/>
      <w:lvlJc w:val="left"/>
      <w:pPr>
        <w:ind w:left="4604" w:hanging="360"/>
      </w:pPr>
      <w:rPr>
        <w:rFonts w:hint="default"/>
        <w:lang w:val="en-US" w:eastAsia="en-US" w:bidi="ar-SA"/>
      </w:rPr>
    </w:lvl>
    <w:lvl w:ilvl="5" w:tplc="175CA44C">
      <w:numFmt w:val="bullet"/>
      <w:lvlText w:val="•"/>
      <w:lvlJc w:val="left"/>
      <w:pPr>
        <w:ind w:left="5550" w:hanging="360"/>
      </w:pPr>
      <w:rPr>
        <w:rFonts w:hint="default"/>
        <w:lang w:val="en-US" w:eastAsia="en-US" w:bidi="ar-SA"/>
      </w:rPr>
    </w:lvl>
    <w:lvl w:ilvl="6" w:tplc="7E9C8A5A">
      <w:numFmt w:val="bullet"/>
      <w:lvlText w:val="•"/>
      <w:lvlJc w:val="left"/>
      <w:pPr>
        <w:ind w:left="6496" w:hanging="360"/>
      </w:pPr>
      <w:rPr>
        <w:rFonts w:hint="default"/>
        <w:lang w:val="en-US" w:eastAsia="en-US" w:bidi="ar-SA"/>
      </w:rPr>
    </w:lvl>
    <w:lvl w:ilvl="7" w:tplc="40A8E4B4">
      <w:numFmt w:val="bullet"/>
      <w:lvlText w:val="•"/>
      <w:lvlJc w:val="left"/>
      <w:pPr>
        <w:ind w:left="7442" w:hanging="360"/>
      </w:pPr>
      <w:rPr>
        <w:rFonts w:hint="default"/>
        <w:lang w:val="en-US" w:eastAsia="en-US" w:bidi="ar-SA"/>
      </w:rPr>
    </w:lvl>
    <w:lvl w:ilvl="8" w:tplc="66F2D292">
      <w:numFmt w:val="bullet"/>
      <w:lvlText w:val="•"/>
      <w:lvlJc w:val="left"/>
      <w:pPr>
        <w:ind w:left="8388" w:hanging="360"/>
      </w:pPr>
      <w:rPr>
        <w:rFonts w:hint="default"/>
        <w:lang w:val="en-US" w:eastAsia="en-US" w:bidi="ar-SA"/>
      </w:rPr>
    </w:lvl>
  </w:abstractNum>
  <w:abstractNum w:abstractNumId="8"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25CE0CE6"/>
    <w:multiLevelType w:val="multilevel"/>
    <w:tmpl w:val="0D4C7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1F4410"/>
    <w:multiLevelType w:val="hybridMultilevel"/>
    <w:tmpl w:val="60DC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231A3"/>
    <w:multiLevelType w:val="hybridMultilevel"/>
    <w:tmpl w:val="3D6E2EB8"/>
    <w:lvl w:ilvl="0" w:tplc="E3DAE384">
      <w:start w:val="1"/>
      <w:numFmt w:val="decimal"/>
      <w:lvlText w:val="%1."/>
      <w:lvlJc w:val="left"/>
      <w:pPr>
        <w:ind w:left="820" w:hanging="360"/>
      </w:pPr>
      <w:rPr>
        <w:rFonts w:ascii="Tahoma" w:eastAsia="Tahoma" w:hAnsi="Tahoma" w:cs="Tahoma" w:hint="default"/>
        <w:spacing w:val="-1"/>
        <w:w w:val="99"/>
        <w:sz w:val="20"/>
        <w:szCs w:val="20"/>
        <w:lang w:val="en-US" w:eastAsia="en-US" w:bidi="ar-SA"/>
      </w:rPr>
    </w:lvl>
    <w:lvl w:ilvl="1" w:tplc="F5F082DE">
      <w:numFmt w:val="bullet"/>
      <w:lvlText w:val="•"/>
      <w:lvlJc w:val="left"/>
      <w:pPr>
        <w:ind w:left="1766" w:hanging="360"/>
      </w:pPr>
      <w:rPr>
        <w:rFonts w:hint="default"/>
        <w:lang w:val="en-US" w:eastAsia="en-US" w:bidi="ar-SA"/>
      </w:rPr>
    </w:lvl>
    <w:lvl w:ilvl="2" w:tplc="2532486C">
      <w:numFmt w:val="bullet"/>
      <w:lvlText w:val="•"/>
      <w:lvlJc w:val="left"/>
      <w:pPr>
        <w:ind w:left="2712" w:hanging="360"/>
      </w:pPr>
      <w:rPr>
        <w:rFonts w:hint="default"/>
        <w:lang w:val="en-US" w:eastAsia="en-US" w:bidi="ar-SA"/>
      </w:rPr>
    </w:lvl>
    <w:lvl w:ilvl="3" w:tplc="DF869398">
      <w:numFmt w:val="bullet"/>
      <w:lvlText w:val="•"/>
      <w:lvlJc w:val="left"/>
      <w:pPr>
        <w:ind w:left="3658" w:hanging="360"/>
      </w:pPr>
      <w:rPr>
        <w:rFonts w:hint="default"/>
        <w:lang w:val="en-US" w:eastAsia="en-US" w:bidi="ar-SA"/>
      </w:rPr>
    </w:lvl>
    <w:lvl w:ilvl="4" w:tplc="A35815F8">
      <w:numFmt w:val="bullet"/>
      <w:lvlText w:val="•"/>
      <w:lvlJc w:val="left"/>
      <w:pPr>
        <w:ind w:left="4604" w:hanging="360"/>
      </w:pPr>
      <w:rPr>
        <w:rFonts w:hint="default"/>
        <w:lang w:val="en-US" w:eastAsia="en-US" w:bidi="ar-SA"/>
      </w:rPr>
    </w:lvl>
    <w:lvl w:ilvl="5" w:tplc="175CA44C">
      <w:numFmt w:val="bullet"/>
      <w:lvlText w:val="•"/>
      <w:lvlJc w:val="left"/>
      <w:pPr>
        <w:ind w:left="5550" w:hanging="360"/>
      </w:pPr>
      <w:rPr>
        <w:rFonts w:hint="default"/>
        <w:lang w:val="en-US" w:eastAsia="en-US" w:bidi="ar-SA"/>
      </w:rPr>
    </w:lvl>
    <w:lvl w:ilvl="6" w:tplc="7E9C8A5A">
      <w:numFmt w:val="bullet"/>
      <w:lvlText w:val="•"/>
      <w:lvlJc w:val="left"/>
      <w:pPr>
        <w:ind w:left="6496" w:hanging="360"/>
      </w:pPr>
      <w:rPr>
        <w:rFonts w:hint="default"/>
        <w:lang w:val="en-US" w:eastAsia="en-US" w:bidi="ar-SA"/>
      </w:rPr>
    </w:lvl>
    <w:lvl w:ilvl="7" w:tplc="40A8E4B4">
      <w:numFmt w:val="bullet"/>
      <w:lvlText w:val="•"/>
      <w:lvlJc w:val="left"/>
      <w:pPr>
        <w:ind w:left="7442" w:hanging="360"/>
      </w:pPr>
      <w:rPr>
        <w:rFonts w:hint="default"/>
        <w:lang w:val="en-US" w:eastAsia="en-US" w:bidi="ar-SA"/>
      </w:rPr>
    </w:lvl>
    <w:lvl w:ilvl="8" w:tplc="66F2D292">
      <w:numFmt w:val="bullet"/>
      <w:lvlText w:val="•"/>
      <w:lvlJc w:val="left"/>
      <w:pPr>
        <w:ind w:left="8388" w:hanging="360"/>
      </w:pPr>
      <w:rPr>
        <w:rFonts w:hint="default"/>
        <w:lang w:val="en-US" w:eastAsia="en-US" w:bidi="ar-SA"/>
      </w:rPr>
    </w:lvl>
  </w:abstractNum>
  <w:abstractNum w:abstractNumId="13" w15:restartNumberingAfterBreak="0">
    <w:nsid w:val="3B6C5AB4"/>
    <w:multiLevelType w:val="hybridMultilevel"/>
    <w:tmpl w:val="FD42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E0924"/>
    <w:multiLevelType w:val="hybridMultilevel"/>
    <w:tmpl w:val="6A5A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5D42201"/>
    <w:multiLevelType w:val="multilevel"/>
    <w:tmpl w:val="924C065C"/>
    <w:styleLink w:val="List0"/>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17"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8" w15:restartNumberingAfterBreak="0">
    <w:nsid w:val="61B76E64"/>
    <w:multiLevelType w:val="multilevel"/>
    <w:tmpl w:val="69A6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5C761F"/>
    <w:multiLevelType w:val="multilevel"/>
    <w:tmpl w:val="C6D0C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F179C5"/>
    <w:multiLevelType w:val="multilevel"/>
    <w:tmpl w:val="88FA7052"/>
    <w:styleLink w:val="List1"/>
    <w:lvl w:ilvl="0">
      <w:start w:val="1"/>
      <w:numFmt w:val="decimal"/>
      <w:lvlText w:val="%1)"/>
      <w:lvlJc w:val="left"/>
      <w:pPr>
        <w:tabs>
          <w:tab w:val="num" w:pos="393"/>
        </w:tabs>
        <w:ind w:left="393" w:hanging="393"/>
      </w:pPr>
      <w:rPr>
        <w:color w:val="000000"/>
        <w:position w:val="0"/>
        <w:sz w:val="22"/>
        <w:szCs w:val="22"/>
        <w:u w:color="000000"/>
        <w:rtl w:val="0"/>
      </w:rPr>
    </w:lvl>
    <w:lvl w:ilvl="1">
      <w:start w:val="1"/>
      <w:numFmt w:val="decimal"/>
      <w:lvlText w:val="%2)"/>
      <w:lvlJc w:val="left"/>
      <w:pPr>
        <w:tabs>
          <w:tab w:val="num" w:pos="753"/>
        </w:tabs>
        <w:ind w:left="753" w:hanging="393"/>
      </w:pPr>
      <w:rPr>
        <w:color w:val="000000"/>
        <w:position w:val="0"/>
        <w:sz w:val="24"/>
        <w:szCs w:val="24"/>
        <w:u w:color="000000"/>
        <w:rtl w:val="0"/>
      </w:rPr>
    </w:lvl>
    <w:lvl w:ilvl="2">
      <w:start w:val="1"/>
      <w:numFmt w:val="decimal"/>
      <w:lvlText w:val="%3)"/>
      <w:lvlJc w:val="left"/>
      <w:pPr>
        <w:tabs>
          <w:tab w:val="num" w:pos="1113"/>
        </w:tabs>
        <w:ind w:left="1113" w:hanging="393"/>
      </w:pPr>
      <w:rPr>
        <w:color w:val="000000"/>
        <w:position w:val="0"/>
        <w:sz w:val="24"/>
        <w:szCs w:val="24"/>
        <w:u w:color="000000"/>
        <w:rtl w:val="0"/>
      </w:rPr>
    </w:lvl>
    <w:lvl w:ilvl="3">
      <w:start w:val="1"/>
      <w:numFmt w:val="decimal"/>
      <w:lvlText w:val="%4)"/>
      <w:lvlJc w:val="left"/>
      <w:pPr>
        <w:tabs>
          <w:tab w:val="num" w:pos="1473"/>
        </w:tabs>
        <w:ind w:left="1473" w:hanging="393"/>
      </w:pPr>
      <w:rPr>
        <w:color w:val="000000"/>
        <w:position w:val="0"/>
        <w:sz w:val="24"/>
        <w:szCs w:val="24"/>
        <w:u w:color="000000"/>
        <w:rtl w:val="0"/>
      </w:rPr>
    </w:lvl>
    <w:lvl w:ilvl="4">
      <w:start w:val="1"/>
      <w:numFmt w:val="decimal"/>
      <w:lvlText w:val="%5)"/>
      <w:lvlJc w:val="left"/>
      <w:pPr>
        <w:tabs>
          <w:tab w:val="num" w:pos="1833"/>
        </w:tabs>
        <w:ind w:left="1833" w:hanging="393"/>
      </w:pPr>
      <w:rPr>
        <w:color w:val="000000"/>
        <w:position w:val="0"/>
        <w:sz w:val="24"/>
        <w:szCs w:val="24"/>
        <w:u w:color="000000"/>
        <w:rtl w:val="0"/>
      </w:rPr>
    </w:lvl>
    <w:lvl w:ilvl="5">
      <w:start w:val="1"/>
      <w:numFmt w:val="decimal"/>
      <w:lvlText w:val="%6)"/>
      <w:lvlJc w:val="left"/>
      <w:pPr>
        <w:tabs>
          <w:tab w:val="num" w:pos="2193"/>
        </w:tabs>
        <w:ind w:left="2193" w:hanging="393"/>
      </w:pPr>
      <w:rPr>
        <w:color w:val="000000"/>
        <w:position w:val="0"/>
        <w:sz w:val="24"/>
        <w:szCs w:val="24"/>
        <w:u w:color="000000"/>
        <w:rtl w:val="0"/>
      </w:rPr>
    </w:lvl>
    <w:lvl w:ilvl="6">
      <w:start w:val="1"/>
      <w:numFmt w:val="decimal"/>
      <w:lvlText w:val="%7)"/>
      <w:lvlJc w:val="left"/>
      <w:pPr>
        <w:tabs>
          <w:tab w:val="num" w:pos="2553"/>
        </w:tabs>
        <w:ind w:left="2553" w:hanging="393"/>
      </w:pPr>
      <w:rPr>
        <w:color w:val="000000"/>
        <w:position w:val="0"/>
        <w:sz w:val="24"/>
        <w:szCs w:val="24"/>
        <w:u w:color="000000"/>
        <w:rtl w:val="0"/>
      </w:rPr>
    </w:lvl>
    <w:lvl w:ilvl="7">
      <w:start w:val="1"/>
      <w:numFmt w:val="decimal"/>
      <w:lvlText w:val="%8)"/>
      <w:lvlJc w:val="left"/>
      <w:pPr>
        <w:tabs>
          <w:tab w:val="num" w:pos="2913"/>
        </w:tabs>
        <w:ind w:left="2913" w:hanging="393"/>
      </w:pPr>
      <w:rPr>
        <w:color w:val="000000"/>
        <w:position w:val="0"/>
        <w:sz w:val="24"/>
        <w:szCs w:val="24"/>
        <w:u w:color="000000"/>
        <w:rtl w:val="0"/>
      </w:rPr>
    </w:lvl>
    <w:lvl w:ilvl="8">
      <w:start w:val="1"/>
      <w:numFmt w:val="decimal"/>
      <w:lvlText w:val="%9)"/>
      <w:lvlJc w:val="left"/>
      <w:pPr>
        <w:tabs>
          <w:tab w:val="num" w:pos="3273"/>
        </w:tabs>
        <w:ind w:left="3273" w:hanging="393"/>
      </w:pPr>
      <w:rPr>
        <w:color w:val="000000"/>
        <w:position w:val="0"/>
        <w:sz w:val="24"/>
        <w:szCs w:val="24"/>
        <w:u w:color="000000"/>
        <w:rtl w:val="0"/>
      </w:rPr>
    </w:lvl>
  </w:abstractNum>
  <w:abstractNum w:abstractNumId="21" w15:restartNumberingAfterBreak="0">
    <w:nsid w:val="6A202678"/>
    <w:multiLevelType w:val="hybridMultilevel"/>
    <w:tmpl w:val="0C2A112C"/>
    <w:lvl w:ilvl="0" w:tplc="156E6AC6">
      <w:start w:val="1"/>
      <w:numFmt w:val="decimal"/>
      <w:lvlText w:val="%1."/>
      <w:lvlJc w:val="left"/>
      <w:pPr>
        <w:ind w:left="820" w:hanging="360"/>
      </w:pPr>
      <w:rPr>
        <w:rFonts w:ascii="Times New Roman" w:eastAsia="Tahoma" w:hAnsi="Times New Roman" w:cs="Times New Roman" w:hint="default"/>
        <w:spacing w:val="-1"/>
        <w:w w:val="99"/>
        <w:sz w:val="26"/>
        <w:szCs w:val="26"/>
        <w:lang w:val="en-US" w:eastAsia="en-US" w:bidi="ar-SA"/>
      </w:rPr>
    </w:lvl>
    <w:lvl w:ilvl="1" w:tplc="F5F082DE">
      <w:numFmt w:val="bullet"/>
      <w:lvlText w:val="•"/>
      <w:lvlJc w:val="left"/>
      <w:pPr>
        <w:ind w:left="1766" w:hanging="360"/>
      </w:pPr>
      <w:rPr>
        <w:rFonts w:hint="default"/>
        <w:lang w:val="en-US" w:eastAsia="en-US" w:bidi="ar-SA"/>
      </w:rPr>
    </w:lvl>
    <w:lvl w:ilvl="2" w:tplc="2532486C">
      <w:numFmt w:val="bullet"/>
      <w:lvlText w:val="•"/>
      <w:lvlJc w:val="left"/>
      <w:pPr>
        <w:ind w:left="2712" w:hanging="360"/>
      </w:pPr>
      <w:rPr>
        <w:rFonts w:hint="default"/>
        <w:lang w:val="en-US" w:eastAsia="en-US" w:bidi="ar-SA"/>
      </w:rPr>
    </w:lvl>
    <w:lvl w:ilvl="3" w:tplc="DF869398">
      <w:numFmt w:val="bullet"/>
      <w:lvlText w:val="•"/>
      <w:lvlJc w:val="left"/>
      <w:pPr>
        <w:ind w:left="3658" w:hanging="360"/>
      </w:pPr>
      <w:rPr>
        <w:rFonts w:hint="default"/>
        <w:lang w:val="en-US" w:eastAsia="en-US" w:bidi="ar-SA"/>
      </w:rPr>
    </w:lvl>
    <w:lvl w:ilvl="4" w:tplc="A35815F8">
      <w:numFmt w:val="bullet"/>
      <w:lvlText w:val="•"/>
      <w:lvlJc w:val="left"/>
      <w:pPr>
        <w:ind w:left="4604" w:hanging="360"/>
      </w:pPr>
      <w:rPr>
        <w:rFonts w:hint="default"/>
        <w:lang w:val="en-US" w:eastAsia="en-US" w:bidi="ar-SA"/>
      </w:rPr>
    </w:lvl>
    <w:lvl w:ilvl="5" w:tplc="175CA44C">
      <w:numFmt w:val="bullet"/>
      <w:lvlText w:val="•"/>
      <w:lvlJc w:val="left"/>
      <w:pPr>
        <w:ind w:left="5550" w:hanging="360"/>
      </w:pPr>
      <w:rPr>
        <w:rFonts w:hint="default"/>
        <w:lang w:val="en-US" w:eastAsia="en-US" w:bidi="ar-SA"/>
      </w:rPr>
    </w:lvl>
    <w:lvl w:ilvl="6" w:tplc="7E9C8A5A">
      <w:numFmt w:val="bullet"/>
      <w:lvlText w:val="•"/>
      <w:lvlJc w:val="left"/>
      <w:pPr>
        <w:ind w:left="6496" w:hanging="360"/>
      </w:pPr>
      <w:rPr>
        <w:rFonts w:hint="default"/>
        <w:lang w:val="en-US" w:eastAsia="en-US" w:bidi="ar-SA"/>
      </w:rPr>
    </w:lvl>
    <w:lvl w:ilvl="7" w:tplc="40A8E4B4">
      <w:numFmt w:val="bullet"/>
      <w:lvlText w:val="•"/>
      <w:lvlJc w:val="left"/>
      <w:pPr>
        <w:ind w:left="7442" w:hanging="360"/>
      </w:pPr>
      <w:rPr>
        <w:rFonts w:hint="default"/>
        <w:lang w:val="en-US" w:eastAsia="en-US" w:bidi="ar-SA"/>
      </w:rPr>
    </w:lvl>
    <w:lvl w:ilvl="8" w:tplc="66F2D292">
      <w:numFmt w:val="bullet"/>
      <w:lvlText w:val="•"/>
      <w:lvlJc w:val="left"/>
      <w:pPr>
        <w:ind w:left="8388" w:hanging="360"/>
      </w:pPr>
      <w:rPr>
        <w:rFonts w:hint="default"/>
        <w:lang w:val="en-US" w:eastAsia="en-US" w:bidi="ar-SA"/>
      </w:rPr>
    </w:lvl>
  </w:abstractNum>
  <w:abstractNum w:abstractNumId="22" w15:restartNumberingAfterBreak="0">
    <w:nsid w:val="6BB84711"/>
    <w:multiLevelType w:val="hybridMultilevel"/>
    <w:tmpl w:val="BAA6F710"/>
    <w:lvl w:ilvl="0" w:tplc="04090001">
      <w:start w:val="1"/>
      <w:numFmt w:val="bullet"/>
      <w:lvlText w:val=""/>
      <w:lvlJc w:val="left"/>
      <w:pPr>
        <w:ind w:left="1440" w:hanging="360"/>
      </w:pPr>
      <w:rPr>
        <w:rFonts w:ascii="Symbol" w:hAnsi="Symbol" w:hint="default"/>
      </w:rPr>
    </w:lvl>
    <w:lvl w:ilvl="1" w:tplc="A738A438">
      <w:numFmt w:val="bullet"/>
      <w:lvlText w:val="•"/>
      <w:lvlJc w:val="left"/>
      <w:pPr>
        <w:ind w:left="2520" w:hanging="720"/>
      </w:pPr>
      <w:rPr>
        <w:rFonts w:ascii="Palatino" w:eastAsia="Times New Roman" w:hAnsi="Palatin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343C7D"/>
    <w:multiLevelType w:val="hybridMultilevel"/>
    <w:tmpl w:val="8D54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E5838"/>
    <w:multiLevelType w:val="hybridMultilevel"/>
    <w:tmpl w:val="F02C5D1E"/>
    <w:lvl w:ilvl="0" w:tplc="E3DAE384">
      <w:start w:val="1"/>
      <w:numFmt w:val="decimal"/>
      <w:lvlText w:val="%1."/>
      <w:lvlJc w:val="left"/>
      <w:pPr>
        <w:ind w:left="820" w:hanging="360"/>
      </w:pPr>
      <w:rPr>
        <w:rFonts w:ascii="Tahoma" w:eastAsia="Tahoma" w:hAnsi="Tahoma" w:cs="Tahoma" w:hint="default"/>
        <w:spacing w:val="-1"/>
        <w:w w:val="99"/>
        <w:sz w:val="20"/>
        <w:szCs w:val="20"/>
        <w:lang w:val="en-US" w:eastAsia="en-US" w:bidi="ar-SA"/>
      </w:rPr>
    </w:lvl>
    <w:lvl w:ilvl="1" w:tplc="F5F082DE">
      <w:numFmt w:val="bullet"/>
      <w:lvlText w:val="•"/>
      <w:lvlJc w:val="left"/>
      <w:pPr>
        <w:ind w:left="1766" w:hanging="360"/>
      </w:pPr>
      <w:rPr>
        <w:rFonts w:hint="default"/>
        <w:lang w:val="en-US" w:eastAsia="en-US" w:bidi="ar-SA"/>
      </w:rPr>
    </w:lvl>
    <w:lvl w:ilvl="2" w:tplc="2532486C">
      <w:numFmt w:val="bullet"/>
      <w:lvlText w:val="•"/>
      <w:lvlJc w:val="left"/>
      <w:pPr>
        <w:ind w:left="2712" w:hanging="360"/>
      </w:pPr>
      <w:rPr>
        <w:rFonts w:hint="default"/>
        <w:lang w:val="en-US" w:eastAsia="en-US" w:bidi="ar-SA"/>
      </w:rPr>
    </w:lvl>
    <w:lvl w:ilvl="3" w:tplc="DF869398">
      <w:numFmt w:val="bullet"/>
      <w:lvlText w:val="•"/>
      <w:lvlJc w:val="left"/>
      <w:pPr>
        <w:ind w:left="3658" w:hanging="360"/>
      </w:pPr>
      <w:rPr>
        <w:rFonts w:hint="default"/>
        <w:lang w:val="en-US" w:eastAsia="en-US" w:bidi="ar-SA"/>
      </w:rPr>
    </w:lvl>
    <w:lvl w:ilvl="4" w:tplc="A35815F8">
      <w:numFmt w:val="bullet"/>
      <w:lvlText w:val="•"/>
      <w:lvlJc w:val="left"/>
      <w:pPr>
        <w:ind w:left="4604" w:hanging="360"/>
      </w:pPr>
      <w:rPr>
        <w:rFonts w:hint="default"/>
        <w:lang w:val="en-US" w:eastAsia="en-US" w:bidi="ar-SA"/>
      </w:rPr>
    </w:lvl>
    <w:lvl w:ilvl="5" w:tplc="175CA44C">
      <w:numFmt w:val="bullet"/>
      <w:lvlText w:val="•"/>
      <w:lvlJc w:val="left"/>
      <w:pPr>
        <w:ind w:left="5550" w:hanging="360"/>
      </w:pPr>
      <w:rPr>
        <w:rFonts w:hint="default"/>
        <w:lang w:val="en-US" w:eastAsia="en-US" w:bidi="ar-SA"/>
      </w:rPr>
    </w:lvl>
    <w:lvl w:ilvl="6" w:tplc="7E9C8A5A">
      <w:numFmt w:val="bullet"/>
      <w:lvlText w:val="•"/>
      <w:lvlJc w:val="left"/>
      <w:pPr>
        <w:ind w:left="6496" w:hanging="360"/>
      </w:pPr>
      <w:rPr>
        <w:rFonts w:hint="default"/>
        <w:lang w:val="en-US" w:eastAsia="en-US" w:bidi="ar-SA"/>
      </w:rPr>
    </w:lvl>
    <w:lvl w:ilvl="7" w:tplc="40A8E4B4">
      <w:numFmt w:val="bullet"/>
      <w:lvlText w:val="•"/>
      <w:lvlJc w:val="left"/>
      <w:pPr>
        <w:ind w:left="7442" w:hanging="360"/>
      </w:pPr>
      <w:rPr>
        <w:rFonts w:hint="default"/>
        <w:lang w:val="en-US" w:eastAsia="en-US" w:bidi="ar-SA"/>
      </w:rPr>
    </w:lvl>
    <w:lvl w:ilvl="8" w:tplc="66F2D292">
      <w:numFmt w:val="bullet"/>
      <w:lvlText w:val="•"/>
      <w:lvlJc w:val="left"/>
      <w:pPr>
        <w:ind w:left="8388" w:hanging="360"/>
      </w:pPr>
      <w:rPr>
        <w:rFonts w:hint="default"/>
        <w:lang w:val="en-US" w:eastAsia="en-US" w:bidi="ar-SA"/>
      </w:rPr>
    </w:lvl>
  </w:abstractNum>
  <w:abstractNum w:abstractNumId="25"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8"/>
  </w:num>
  <w:num w:numId="4">
    <w:abstractNumId w:val="17"/>
  </w:num>
  <w:num w:numId="5">
    <w:abstractNumId w:val="2"/>
  </w:num>
  <w:num w:numId="6">
    <w:abstractNumId w:val="10"/>
  </w:num>
  <w:num w:numId="7">
    <w:abstractNumId w:val="22"/>
  </w:num>
  <w:num w:numId="8">
    <w:abstractNumId w:val="25"/>
  </w:num>
  <w:num w:numId="9">
    <w:abstractNumId w:val="5"/>
  </w:num>
  <w:num w:numId="10">
    <w:abstractNumId w:val="16"/>
  </w:num>
  <w:num w:numId="11">
    <w:abstractNumId w:val="20"/>
  </w:num>
  <w:num w:numId="12">
    <w:abstractNumId w:val="3"/>
  </w:num>
  <w:num w:numId="13">
    <w:abstractNumId w:val="23"/>
  </w:num>
  <w:num w:numId="14">
    <w:abstractNumId w:val="6"/>
  </w:num>
  <w:num w:numId="15">
    <w:abstractNumId w:val="11"/>
  </w:num>
  <w:num w:numId="16">
    <w:abstractNumId w:val="18"/>
  </w:num>
  <w:num w:numId="17">
    <w:abstractNumId w:val="9"/>
  </w:num>
  <w:num w:numId="18">
    <w:abstractNumId w:val="0"/>
  </w:num>
  <w:num w:numId="19">
    <w:abstractNumId w:val="19"/>
  </w:num>
  <w:num w:numId="20">
    <w:abstractNumId w:val="14"/>
  </w:num>
  <w:num w:numId="21">
    <w:abstractNumId w:val="4"/>
  </w:num>
  <w:num w:numId="22">
    <w:abstractNumId w:val="13"/>
  </w:num>
  <w:num w:numId="23">
    <w:abstractNumId w:val="12"/>
  </w:num>
  <w:num w:numId="24">
    <w:abstractNumId w:val="24"/>
  </w:num>
  <w:num w:numId="25">
    <w:abstractNumId w:val="21"/>
  </w:num>
  <w:num w:numId="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lang="en-US" w:vendorID="64" w:dllVersion="6" w:nlCheck="1" w:checkStyle="1" w:appName="MSWord"/>
  <w:activeWritingStyle w:lang="en-US" w:vendorID="64" w:dllVersion="4096" w:nlCheck="1" w:checkStyle="0" w:appName="MSWord"/>
  <w:activeWritingStyle w:lang="en-US" w:vendorID="64" w:dllVersion="0" w:nlCheck="1" w:checkStyle="0" w:appName="MSWord"/>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1BD5"/>
    <w:rsid w:val="0000407A"/>
    <w:rsid w:val="00007469"/>
    <w:rsid w:val="00007887"/>
    <w:rsid w:val="00011B93"/>
    <w:rsid w:val="000126E2"/>
    <w:rsid w:val="00012EF1"/>
    <w:rsid w:val="000148D1"/>
    <w:rsid w:val="0001671D"/>
    <w:rsid w:val="00025975"/>
    <w:rsid w:val="00026983"/>
    <w:rsid w:val="00027B32"/>
    <w:rsid w:val="00030413"/>
    <w:rsid w:val="0003155E"/>
    <w:rsid w:val="0003204A"/>
    <w:rsid w:val="00035878"/>
    <w:rsid w:val="000406C5"/>
    <w:rsid w:val="00041DE1"/>
    <w:rsid w:val="00042C0B"/>
    <w:rsid w:val="00045B51"/>
    <w:rsid w:val="00050F3B"/>
    <w:rsid w:val="00053173"/>
    <w:rsid w:val="000549B9"/>
    <w:rsid w:val="00057FE2"/>
    <w:rsid w:val="00065607"/>
    <w:rsid w:val="00065A21"/>
    <w:rsid w:val="000663BB"/>
    <w:rsid w:val="000668D0"/>
    <w:rsid w:val="000748FF"/>
    <w:rsid w:val="00075688"/>
    <w:rsid w:val="000766E2"/>
    <w:rsid w:val="000820DB"/>
    <w:rsid w:val="00086680"/>
    <w:rsid w:val="000873BE"/>
    <w:rsid w:val="0009136D"/>
    <w:rsid w:val="000933B1"/>
    <w:rsid w:val="00094ADA"/>
    <w:rsid w:val="00097481"/>
    <w:rsid w:val="000A0203"/>
    <w:rsid w:val="000A3470"/>
    <w:rsid w:val="000A4ABA"/>
    <w:rsid w:val="000A7442"/>
    <w:rsid w:val="000B3730"/>
    <w:rsid w:val="000B44EB"/>
    <w:rsid w:val="000B5D11"/>
    <w:rsid w:val="000C2010"/>
    <w:rsid w:val="000C25A0"/>
    <w:rsid w:val="000C60E8"/>
    <w:rsid w:val="000D0763"/>
    <w:rsid w:val="000D1F7B"/>
    <w:rsid w:val="000D2CF2"/>
    <w:rsid w:val="000D304D"/>
    <w:rsid w:val="000D3A75"/>
    <w:rsid w:val="000D3BFE"/>
    <w:rsid w:val="000D42CC"/>
    <w:rsid w:val="000E1A30"/>
    <w:rsid w:val="000E24F8"/>
    <w:rsid w:val="000E41D9"/>
    <w:rsid w:val="000E41FC"/>
    <w:rsid w:val="000E42E5"/>
    <w:rsid w:val="000E54F0"/>
    <w:rsid w:val="000F6251"/>
    <w:rsid w:val="000F6428"/>
    <w:rsid w:val="00100936"/>
    <w:rsid w:val="00101668"/>
    <w:rsid w:val="00101E91"/>
    <w:rsid w:val="00107F18"/>
    <w:rsid w:val="00110392"/>
    <w:rsid w:val="00120272"/>
    <w:rsid w:val="0012066F"/>
    <w:rsid w:val="00121782"/>
    <w:rsid w:val="001224A1"/>
    <w:rsid w:val="001316A9"/>
    <w:rsid w:val="001334CB"/>
    <w:rsid w:val="001340E0"/>
    <w:rsid w:val="00134CFF"/>
    <w:rsid w:val="00135E47"/>
    <w:rsid w:val="00140036"/>
    <w:rsid w:val="001406F8"/>
    <w:rsid w:val="00142FB8"/>
    <w:rsid w:val="00145560"/>
    <w:rsid w:val="00147456"/>
    <w:rsid w:val="00150354"/>
    <w:rsid w:val="00151D87"/>
    <w:rsid w:val="001528DC"/>
    <w:rsid w:val="001561C9"/>
    <w:rsid w:val="00161C4D"/>
    <w:rsid w:val="0016221B"/>
    <w:rsid w:val="00165280"/>
    <w:rsid w:val="00166AAC"/>
    <w:rsid w:val="00172D7D"/>
    <w:rsid w:val="001810F8"/>
    <w:rsid w:val="00181F33"/>
    <w:rsid w:val="00185683"/>
    <w:rsid w:val="00187CAC"/>
    <w:rsid w:val="00192467"/>
    <w:rsid w:val="00192865"/>
    <w:rsid w:val="00195545"/>
    <w:rsid w:val="001974FA"/>
    <w:rsid w:val="001A19EB"/>
    <w:rsid w:val="001A1BF9"/>
    <w:rsid w:val="001A1EA1"/>
    <w:rsid w:val="001A27BD"/>
    <w:rsid w:val="001A4E92"/>
    <w:rsid w:val="001A68CC"/>
    <w:rsid w:val="001B0296"/>
    <w:rsid w:val="001B4E08"/>
    <w:rsid w:val="001B7C58"/>
    <w:rsid w:val="001C05C3"/>
    <w:rsid w:val="001C0638"/>
    <w:rsid w:val="001C14C1"/>
    <w:rsid w:val="001C22B7"/>
    <w:rsid w:val="001C3607"/>
    <w:rsid w:val="001C4BA7"/>
    <w:rsid w:val="001D647F"/>
    <w:rsid w:val="001D6607"/>
    <w:rsid w:val="001D751C"/>
    <w:rsid w:val="001E0C6D"/>
    <w:rsid w:val="001E2E70"/>
    <w:rsid w:val="001E335C"/>
    <w:rsid w:val="001E5FBC"/>
    <w:rsid w:val="001E6751"/>
    <w:rsid w:val="001E7FE6"/>
    <w:rsid w:val="001F0541"/>
    <w:rsid w:val="001F13FF"/>
    <w:rsid w:val="001F1EA3"/>
    <w:rsid w:val="001F3417"/>
    <w:rsid w:val="001F39AD"/>
    <w:rsid w:val="001F3E92"/>
    <w:rsid w:val="001F415A"/>
    <w:rsid w:val="002009A6"/>
    <w:rsid w:val="0020154E"/>
    <w:rsid w:val="00201D4E"/>
    <w:rsid w:val="0020301A"/>
    <w:rsid w:val="00207DA3"/>
    <w:rsid w:val="00210714"/>
    <w:rsid w:val="002119D8"/>
    <w:rsid w:val="00213FBE"/>
    <w:rsid w:val="00220BE3"/>
    <w:rsid w:val="0022128F"/>
    <w:rsid w:val="00221D7F"/>
    <w:rsid w:val="00223DEA"/>
    <w:rsid w:val="002245E1"/>
    <w:rsid w:val="002255EE"/>
    <w:rsid w:val="00227680"/>
    <w:rsid w:val="002278D5"/>
    <w:rsid w:val="00235013"/>
    <w:rsid w:val="00236A52"/>
    <w:rsid w:val="0023795F"/>
    <w:rsid w:val="00242C8B"/>
    <w:rsid w:val="0024322A"/>
    <w:rsid w:val="00244481"/>
    <w:rsid w:val="002447D5"/>
    <w:rsid w:val="00250261"/>
    <w:rsid w:val="00250BBC"/>
    <w:rsid w:val="002521CF"/>
    <w:rsid w:val="0025497E"/>
    <w:rsid w:val="002560A6"/>
    <w:rsid w:val="00256FC8"/>
    <w:rsid w:val="00260FF9"/>
    <w:rsid w:val="00266D69"/>
    <w:rsid w:val="00267FB4"/>
    <w:rsid w:val="00272BDC"/>
    <w:rsid w:val="002757B8"/>
    <w:rsid w:val="00276493"/>
    <w:rsid w:val="00280706"/>
    <w:rsid w:val="00282D87"/>
    <w:rsid w:val="00285F8B"/>
    <w:rsid w:val="002872CC"/>
    <w:rsid w:val="0028797E"/>
    <w:rsid w:val="00290BF5"/>
    <w:rsid w:val="00291A7C"/>
    <w:rsid w:val="00291F57"/>
    <w:rsid w:val="00292279"/>
    <w:rsid w:val="0029363F"/>
    <w:rsid w:val="002974B6"/>
    <w:rsid w:val="00297AD7"/>
    <w:rsid w:val="002A0226"/>
    <w:rsid w:val="002A0B3A"/>
    <w:rsid w:val="002A55A8"/>
    <w:rsid w:val="002A588A"/>
    <w:rsid w:val="002B2C3E"/>
    <w:rsid w:val="002B2E2F"/>
    <w:rsid w:val="002B30A2"/>
    <w:rsid w:val="002D2A98"/>
    <w:rsid w:val="002D302E"/>
    <w:rsid w:val="002D4FE9"/>
    <w:rsid w:val="002D58E3"/>
    <w:rsid w:val="002D71EB"/>
    <w:rsid w:val="002E0633"/>
    <w:rsid w:val="002E25F7"/>
    <w:rsid w:val="002E2A89"/>
    <w:rsid w:val="002E3D1C"/>
    <w:rsid w:val="002E623A"/>
    <w:rsid w:val="002E78ED"/>
    <w:rsid w:val="002F0B37"/>
    <w:rsid w:val="002F1A34"/>
    <w:rsid w:val="002F227B"/>
    <w:rsid w:val="002F42F8"/>
    <w:rsid w:val="002F4A8E"/>
    <w:rsid w:val="002F4BC1"/>
    <w:rsid w:val="002F53AB"/>
    <w:rsid w:val="002F5B95"/>
    <w:rsid w:val="002F78FF"/>
    <w:rsid w:val="003058FC"/>
    <w:rsid w:val="00306055"/>
    <w:rsid w:val="00306B87"/>
    <w:rsid w:val="003143BC"/>
    <w:rsid w:val="00316130"/>
    <w:rsid w:val="00317219"/>
    <w:rsid w:val="00323F5C"/>
    <w:rsid w:val="0032764F"/>
    <w:rsid w:val="003315F3"/>
    <w:rsid w:val="00341BFA"/>
    <w:rsid w:val="003429CE"/>
    <w:rsid w:val="00344390"/>
    <w:rsid w:val="003469A9"/>
    <w:rsid w:val="00346C5D"/>
    <w:rsid w:val="00347390"/>
    <w:rsid w:val="00352059"/>
    <w:rsid w:val="00354F62"/>
    <w:rsid w:val="00355F8F"/>
    <w:rsid w:val="00356D91"/>
    <w:rsid w:val="003572E4"/>
    <w:rsid w:val="0036092F"/>
    <w:rsid w:val="00363176"/>
    <w:rsid w:val="003640FE"/>
    <w:rsid w:val="00366D4E"/>
    <w:rsid w:val="00366E84"/>
    <w:rsid w:val="003717AB"/>
    <w:rsid w:val="003738EF"/>
    <w:rsid w:val="00374006"/>
    <w:rsid w:val="00376E38"/>
    <w:rsid w:val="00380D7B"/>
    <w:rsid w:val="00382904"/>
    <w:rsid w:val="00384818"/>
    <w:rsid w:val="00384EAC"/>
    <w:rsid w:val="003873CB"/>
    <w:rsid w:val="00390952"/>
    <w:rsid w:val="0039608A"/>
    <w:rsid w:val="003960E9"/>
    <w:rsid w:val="003A037B"/>
    <w:rsid w:val="003A29B4"/>
    <w:rsid w:val="003A3303"/>
    <w:rsid w:val="003A5925"/>
    <w:rsid w:val="003A5C77"/>
    <w:rsid w:val="003A684E"/>
    <w:rsid w:val="003A7B55"/>
    <w:rsid w:val="003B1839"/>
    <w:rsid w:val="003B41D9"/>
    <w:rsid w:val="003B7A1C"/>
    <w:rsid w:val="003C21A8"/>
    <w:rsid w:val="003C6541"/>
    <w:rsid w:val="003C6D4D"/>
    <w:rsid w:val="003D77C7"/>
    <w:rsid w:val="003E3203"/>
    <w:rsid w:val="003F1785"/>
    <w:rsid w:val="003F2CEF"/>
    <w:rsid w:val="003F6E5A"/>
    <w:rsid w:val="00400B3B"/>
    <w:rsid w:val="00400F6B"/>
    <w:rsid w:val="004055B2"/>
    <w:rsid w:val="004072C6"/>
    <w:rsid w:val="00412038"/>
    <w:rsid w:val="004146B6"/>
    <w:rsid w:val="00415142"/>
    <w:rsid w:val="0042007F"/>
    <w:rsid w:val="004231DD"/>
    <w:rsid w:val="0042396E"/>
    <w:rsid w:val="00423A9F"/>
    <w:rsid w:val="00423EC5"/>
    <w:rsid w:val="00427FA3"/>
    <w:rsid w:val="00430A76"/>
    <w:rsid w:val="00433A67"/>
    <w:rsid w:val="004362F5"/>
    <w:rsid w:val="004406BD"/>
    <w:rsid w:val="00440AB7"/>
    <w:rsid w:val="00442285"/>
    <w:rsid w:val="004531B6"/>
    <w:rsid w:val="0045544D"/>
    <w:rsid w:val="00457779"/>
    <w:rsid w:val="00461C09"/>
    <w:rsid w:val="0046231C"/>
    <w:rsid w:val="00464132"/>
    <w:rsid w:val="0046478E"/>
    <w:rsid w:val="00467655"/>
    <w:rsid w:val="00467956"/>
    <w:rsid w:val="00470B9B"/>
    <w:rsid w:val="004744EE"/>
    <w:rsid w:val="0047709A"/>
    <w:rsid w:val="0048289E"/>
    <w:rsid w:val="004841E7"/>
    <w:rsid w:val="0048545D"/>
    <w:rsid w:val="00486DBC"/>
    <w:rsid w:val="00487209"/>
    <w:rsid w:val="004905D3"/>
    <w:rsid w:val="004907F7"/>
    <w:rsid w:val="00490935"/>
    <w:rsid w:val="0049351F"/>
    <w:rsid w:val="0049565E"/>
    <w:rsid w:val="004979CB"/>
    <w:rsid w:val="004A1B1F"/>
    <w:rsid w:val="004A2E7F"/>
    <w:rsid w:val="004A350D"/>
    <w:rsid w:val="004A4141"/>
    <w:rsid w:val="004B71D9"/>
    <w:rsid w:val="004C0EED"/>
    <w:rsid w:val="004C2520"/>
    <w:rsid w:val="004C313D"/>
    <w:rsid w:val="004C3622"/>
    <w:rsid w:val="004C40BA"/>
    <w:rsid w:val="004C4A28"/>
    <w:rsid w:val="004C5308"/>
    <w:rsid w:val="004D3212"/>
    <w:rsid w:val="004D4739"/>
    <w:rsid w:val="004D7080"/>
    <w:rsid w:val="004E6C2E"/>
    <w:rsid w:val="004E7166"/>
    <w:rsid w:val="004F14E8"/>
    <w:rsid w:val="004F1E2D"/>
    <w:rsid w:val="004F239E"/>
    <w:rsid w:val="004F3942"/>
    <w:rsid w:val="004F4BCB"/>
    <w:rsid w:val="004F5E27"/>
    <w:rsid w:val="004F5F68"/>
    <w:rsid w:val="004F6317"/>
    <w:rsid w:val="004F662A"/>
    <w:rsid w:val="004F7439"/>
    <w:rsid w:val="00501B91"/>
    <w:rsid w:val="005029B7"/>
    <w:rsid w:val="00506FD3"/>
    <w:rsid w:val="0051219B"/>
    <w:rsid w:val="00513F68"/>
    <w:rsid w:val="00515171"/>
    <w:rsid w:val="00515877"/>
    <w:rsid w:val="00516BBE"/>
    <w:rsid w:val="005170FB"/>
    <w:rsid w:val="00517335"/>
    <w:rsid w:val="00522932"/>
    <w:rsid w:val="0053148E"/>
    <w:rsid w:val="00537DF3"/>
    <w:rsid w:val="00541726"/>
    <w:rsid w:val="00547407"/>
    <w:rsid w:val="005479DA"/>
    <w:rsid w:val="00552BAF"/>
    <w:rsid w:val="00557900"/>
    <w:rsid w:val="00557AB9"/>
    <w:rsid w:val="00562A0A"/>
    <w:rsid w:val="00563398"/>
    <w:rsid w:val="005654A0"/>
    <w:rsid w:val="005661BD"/>
    <w:rsid w:val="0056677A"/>
    <w:rsid w:val="00566854"/>
    <w:rsid w:val="0056779A"/>
    <w:rsid w:val="00570698"/>
    <w:rsid w:val="00573FB8"/>
    <w:rsid w:val="00574541"/>
    <w:rsid w:val="00575E32"/>
    <w:rsid w:val="005773B5"/>
    <w:rsid w:val="0058014A"/>
    <w:rsid w:val="00582590"/>
    <w:rsid w:val="00586BA7"/>
    <w:rsid w:val="005905F3"/>
    <w:rsid w:val="00591467"/>
    <w:rsid w:val="00591BC6"/>
    <w:rsid w:val="00593807"/>
    <w:rsid w:val="00595BA2"/>
    <w:rsid w:val="00596967"/>
    <w:rsid w:val="005A15C6"/>
    <w:rsid w:val="005A3C59"/>
    <w:rsid w:val="005A790C"/>
    <w:rsid w:val="005B11DC"/>
    <w:rsid w:val="005B2980"/>
    <w:rsid w:val="005B4B93"/>
    <w:rsid w:val="005B6043"/>
    <w:rsid w:val="005C1081"/>
    <w:rsid w:val="005C1861"/>
    <w:rsid w:val="005C18A8"/>
    <w:rsid w:val="005C6433"/>
    <w:rsid w:val="005D0498"/>
    <w:rsid w:val="005D215D"/>
    <w:rsid w:val="005D3B33"/>
    <w:rsid w:val="005D5988"/>
    <w:rsid w:val="005D7D93"/>
    <w:rsid w:val="005E08FE"/>
    <w:rsid w:val="005E0F93"/>
    <w:rsid w:val="005E381C"/>
    <w:rsid w:val="005E5155"/>
    <w:rsid w:val="005E6EC9"/>
    <w:rsid w:val="005F013C"/>
    <w:rsid w:val="005F0A33"/>
    <w:rsid w:val="00602A70"/>
    <w:rsid w:val="0060782D"/>
    <w:rsid w:val="006125F2"/>
    <w:rsid w:val="00614572"/>
    <w:rsid w:val="00621507"/>
    <w:rsid w:val="006278FA"/>
    <w:rsid w:val="00627F6D"/>
    <w:rsid w:val="006313B7"/>
    <w:rsid w:val="00635F15"/>
    <w:rsid w:val="006414E9"/>
    <w:rsid w:val="00641503"/>
    <w:rsid w:val="00643D06"/>
    <w:rsid w:val="00655287"/>
    <w:rsid w:val="00657C6B"/>
    <w:rsid w:val="006610E8"/>
    <w:rsid w:val="00664A0A"/>
    <w:rsid w:val="0067623E"/>
    <w:rsid w:val="00677AB6"/>
    <w:rsid w:val="00680EC6"/>
    <w:rsid w:val="00681031"/>
    <w:rsid w:val="00684B6E"/>
    <w:rsid w:val="00685709"/>
    <w:rsid w:val="006867E6"/>
    <w:rsid w:val="006914E3"/>
    <w:rsid w:val="0069239C"/>
    <w:rsid w:val="006946A3"/>
    <w:rsid w:val="0069631C"/>
    <w:rsid w:val="006963EE"/>
    <w:rsid w:val="00696849"/>
    <w:rsid w:val="0069760D"/>
    <w:rsid w:val="006A243B"/>
    <w:rsid w:val="006A2AF9"/>
    <w:rsid w:val="006A6DE3"/>
    <w:rsid w:val="006B05EE"/>
    <w:rsid w:val="006C23B0"/>
    <w:rsid w:val="006C24E6"/>
    <w:rsid w:val="006C3BBC"/>
    <w:rsid w:val="006D0218"/>
    <w:rsid w:val="006D0C51"/>
    <w:rsid w:val="006D30EB"/>
    <w:rsid w:val="006D44A5"/>
    <w:rsid w:val="006D546A"/>
    <w:rsid w:val="006E4679"/>
    <w:rsid w:val="006E712E"/>
    <w:rsid w:val="006E7989"/>
    <w:rsid w:val="006F1907"/>
    <w:rsid w:val="006F19AB"/>
    <w:rsid w:val="006F1BC8"/>
    <w:rsid w:val="006F36CA"/>
    <w:rsid w:val="006F5D34"/>
    <w:rsid w:val="0070014A"/>
    <w:rsid w:val="007008ED"/>
    <w:rsid w:val="0071101E"/>
    <w:rsid w:val="007124AE"/>
    <w:rsid w:val="007147B1"/>
    <w:rsid w:val="00720912"/>
    <w:rsid w:val="00721326"/>
    <w:rsid w:val="0072195E"/>
    <w:rsid w:val="007238CB"/>
    <w:rsid w:val="0072499B"/>
    <w:rsid w:val="0073003D"/>
    <w:rsid w:val="0073603B"/>
    <w:rsid w:val="00737672"/>
    <w:rsid w:val="0074060A"/>
    <w:rsid w:val="00740B0C"/>
    <w:rsid w:val="00741F07"/>
    <w:rsid w:val="00742A1D"/>
    <w:rsid w:val="007436E1"/>
    <w:rsid w:val="00744E4E"/>
    <w:rsid w:val="00751300"/>
    <w:rsid w:val="00751C94"/>
    <w:rsid w:val="0075654A"/>
    <w:rsid w:val="00761672"/>
    <w:rsid w:val="0076182C"/>
    <w:rsid w:val="00761B4D"/>
    <w:rsid w:val="00763AA1"/>
    <w:rsid w:val="00765999"/>
    <w:rsid w:val="00782D49"/>
    <w:rsid w:val="00785652"/>
    <w:rsid w:val="007868A6"/>
    <w:rsid w:val="00792DB6"/>
    <w:rsid w:val="007A095E"/>
    <w:rsid w:val="007A16F5"/>
    <w:rsid w:val="007A281A"/>
    <w:rsid w:val="007A5DB0"/>
    <w:rsid w:val="007A603D"/>
    <w:rsid w:val="007B1B65"/>
    <w:rsid w:val="007B34E1"/>
    <w:rsid w:val="007B593D"/>
    <w:rsid w:val="007B6433"/>
    <w:rsid w:val="007B6F9A"/>
    <w:rsid w:val="007B7B8B"/>
    <w:rsid w:val="007C150A"/>
    <w:rsid w:val="007C5370"/>
    <w:rsid w:val="007C5480"/>
    <w:rsid w:val="007C68F4"/>
    <w:rsid w:val="007C6F94"/>
    <w:rsid w:val="007C7B6F"/>
    <w:rsid w:val="007C7DB9"/>
    <w:rsid w:val="007D211A"/>
    <w:rsid w:val="007D35B6"/>
    <w:rsid w:val="007E0F10"/>
    <w:rsid w:val="007E1DEF"/>
    <w:rsid w:val="007E4654"/>
    <w:rsid w:val="007F01E9"/>
    <w:rsid w:val="007F0FAC"/>
    <w:rsid w:val="007F1311"/>
    <w:rsid w:val="007F25EE"/>
    <w:rsid w:val="007F3B93"/>
    <w:rsid w:val="007F66D5"/>
    <w:rsid w:val="007F6F3F"/>
    <w:rsid w:val="00801995"/>
    <w:rsid w:val="00801D70"/>
    <w:rsid w:val="008023BC"/>
    <w:rsid w:val="0080308E"/>
    <w:rsid w:val="00803833"/>
    <w:rsid w:val="00805291"/>
    <w:rsid w:val="00805301"/>
    <w:rsid w:val="00807D4B"/>
    <w:rsid w:val="0081124B"/>
    <w:rsid w:val="00812EC6"/>
    <w:rsid w:val="0081585C"/>
    <w:rsid w:val="00817259"/>
    <w:rsid w:val="00825308"/>
    <w:rsid w:val="008265C6"/>
    <w:rsid w:val="0083139C"/>
    <w:rsid w:val="008357F8"/>
    <w:rsid w:val="0084287A"/>
    <w:rsid w:val="0084316B"/>
    <w:rsid w:val="00846F8B"/>
    <w:rsid w:val="0086338E"/>
    <w:rsid w:val="0086425B"/>
    <w:rsid w:val="00864CBE"/>
    <w:rsid w:val="008656EE"/>
    <w:rsid w:val="008711D1"/>
    <w:rsid w:val="00873422"/>
    <w:rsid w:val="00873E22"/>
    <w:rsid w:val="008820DC"/>
    <w:rsid w:val="008848E4"/>
    <w:rsid w:val="0088583C"/>
    <w:rsid w:val="00886945"/>
    <w:rsid w:val="00887DE3"/>
    <w:rsid w:val="0089125C"/>
    <w:rsid w:val="00891C4B"/>
    <w:rsid w:val="00892207"/>
    <w:rsid w:val="0089453C"/>
    <w:rsid w:val="00895B28"/>
    <w:rsid w:val="008A03CD"/>
    <w:rsid w:val="008A1433"/>
    <w:rsid w:val="008A29D9"/>
    <w:rsid w:val="008A47BA"/>
    <w:rsid w:val="008A746A"/>
    <w:rsid w:val="008A7736"/>
    <w:rsid w:val="008B0F25"/>
    <w:rsid w:val="008B1E6A"/>
    <w:rsid w:val="008B3313"/>
    <w:rsid w:val="008B779F"/>
    <w:rsid w:val="008C0F2E"/>
    <w:rsid w:val="008C2102"/>
    <w:rsid w:val="008C326A"/>
    <w:rsid w:val="008C5B2F"/>
    <w:rsid w:val="008C6B36"/>
    <w:rsid w:val="008D0818"/>
    <w:rsid w:val="008D202C"/>
    <w:rsid w:val="008D2A75"/>
    <w:rsid w:val="008D6224"/>
    <w:rsid w:val="008E1414"/>
    <w:rsid w:val="008E290C"/>
    <w:rsid w:val="008E3EEE"/>
    <w:rsid w:val="008E5D28"/>
    <w:rsid w:val="008E6797"/>
    <w:rsid w:val="008E6CE3"/>
    <w:rsid w:val="008F1600"/>
    <w:rsid w:val="008F3C0E"/>
    <w:rsid w:val="008F5394"/>
    <w:rsid w:val="008F74F6"/>
    <w:rsid w:val="00904686"/>
    <w:rsid w:val="00904BD0"/>
    <w:rsid w:val="00905554"/>
    <w:rsid w:val="009056EF"/>
    <w:rsid w:val="00906102"/>
    <w:rsid w:val="00907B9C"/>
    <w:rsid w:val="00913801"/>
    <w:rsid w:val="00917729"/>
    <w:rsid w:val="00920715"/>
    <w:rsid w:val="00926A5D"/>
    <w:rsid w:val="00926E8D"/>
    <w:rsid w:val="00932137"/>
    <w:rsid w:val="009321B5"/>
    <w:rsid w:val="00936351"/>
    <w:rsid w:val="0093678F"/>
    <w:rsid w:val="00940865"/>
    <w:rsid w:val="00940E1D"/>
    <w:rsid w:val="00941747"/>
    <w:rsid w:val="00945AB9"/>
    <w:rsid w:val="00947693"/>
    <w:rsid w:val="00947785"/>
    <w:rsid w:val="00950B39"/>
    <w:rsid w:val="0095442B"/>
    <w:rsid w:val="00961535"/>
    <w:rsid w:val="009632EC"/>
    <w:rsid w:val="00966173"/>
    <w:rsid w:val="00966821"/>
    <w:rsid w:val="00966A8E"/>
    <w:rsid w:val="009741B1"/>
    <w:rsid w:val="00975D77"/>
    <w:rsid w:val="0097690F"/>
    <w:rsid w:val="00977723"/>
    <w:rsid w:val="009809B1"/>
    <w:rsid w:val="00982E21"/>
    <w:rsid w:val="009837F6"/>
    <w:rsid w:val="00984A3A"/>
    <w:rsid w:val="009859CA"/>
    <w:rsid w:val="00990A0F"/>
    <w:rsid w:val="0099177D"/>
    <w:rsid w:val="00997C71"/>
    <w:rsid w:val="009A24A8"/>
    <w:rsid w:val="009A3DA9"/>
    <w:rsid w:val="009A40BE"/>
    <w:rsid w:val="009A4A4E"/>
    <w:rsid w:val="009A50E0"/>
    <w:rsid w:val="009B672B"/>
    <w:rsid w:val="009B69F5"/>
    <w:rsid w:val="009C0E78"/>
    <w:rsid w:val="009C1D1D"/>
    <w:rsid w:val="009C51EE"/>
    <w:rsid w:val="009C5252"/>
    <w:rsid w:val="009C5DCA"/>
    <w:rsid w:val="009C7AD2"/>
    <w:rsid w:val="009D25E1"/>
    <w:rsid w:val="009D34CC"/>
    <w:rsid w:val="009D411B"/>
    <w:rsid w:val="009D503C"/>
    <w:rsid w:val="009D7160"/>
    <w:rsid w:val="009E6245"/>
    <w:rsid w:val="009F0D39"/>
    <w:rsid w:val="009F60C3"/>
    <w:rsid w:val="009F6F69"/>
    <w:rsid w:val="00A012B3"/>
    <w:rsid w:val="00A052EF"/>
    <w:rsid w:val="00A060BC"/>
    <w:rsid w:val="00A070AC"/>
    <w:rsid w:val="00A10C46"/>
    <w:rsid w:val="00A119AA"/>
    <w:rsid w:val="00A1526C"/>
    <w:rsid w:val="00A1573A"/>
    <w:rsid w:val="00A173B6"/>
    <w:rsid w:val="00A20263"/>
    <w:rsid w:val="00A2109F"/>
    <w:rsid w:val="00A211DB"/>
    <w:rsid w:val="00A218B6"/>
    <w:rsid w:val="00A220F2"/>
    <w:rsid w:val="00A22343"/>
    <w:rsid w:val="00A27830"/>
    <w:rsid w:val="00A27A17"/>
    <w:rsid w:val="00A328CD"/>
    <w:rsid w:val="00A33A3F"/>
    <w:rsid w:val="00A43355"/>
    <w:rsid w:val="00A45117"/>
    <w:rsid w:val="00A46966"/>
    <w:rsid w:val="00A5189E"/>
    <w:rsid w:val="00A55E0D"/>
    <w:rsid w:val="00A60201"/>
    <w:rsid w:val="00A65CD8"/>
    <w:rsid w:val="00A671DB"/>
    <w:rsid w:val="00A67AF7"/>
    <w:rsid w:val="00A702E0"/>
    <w:rsid w:val="00A72472"/>
    <w:rsid w:val="00A77B2C"/>
    <w:rsid w:val="00A77BDB"/>
    <w:rsid w:val="00A80DF3"/>
    <w:rsid w:val="00A8101C"/>
    <w:rsid w:val="00A83855"/>
    <w:rsid w:val="00A8424F"/>
    <w:rsid w:val="00A86447"/>
    <w:rsid w:val="00A96889"/>
    <w:rsid w:val="00A96989"/>
    <w:rsid w:val="00AA2CC7"/>
    <w:rsid w:val="00AA46A8"/>
    <w:rsid w:val="00AA6673"/>
    <w:rsid w:val="00AA70B8"/>
    <w:rsid w:val="00AB02B5"/>
    <w:rsid w:val="00AB229C"/>
    <w:rsid w:val="00AB2740"/>
    <w:rsid w:val="00AB2742"/>
    <w:rsid w:val="00AB30CA"/>
    <w:rsid w:val="00AB3217"/>
    <w:rsid w:val="00AB53BE"/>
    <w:rsid w:val="00AC144E"/>
    <w:rsid w:val="00AC78A7"/>
    <w:rsid w:val="00AD0D36"/>
    <w:rsid w:val="00AD5F39"/>
    <w:rsid w:val="00AD742A"/>
    <w:rsid w:val="00AE2B4A"/>
    <w:rsid w:val="00AE2E27"/>
    <w:rsid w:val="00AE64DB"/>
    <w:rsid w:val="00AE664C"/>
    <w:rsid w:val="00AF1DF6"/>
    <w:rsid w:val="00AF2B01"/>
    <w:rsid w:val="00B00B21"/>
    <w:rsid w:val="00B01501"/>
    <w:rsid w:val="00B0424D"/>
    <w:rsid w:val="00B0479A"/>
    <w:rsid w:val="00B05AD1"/>
    <w:rsid w:val="00B06BE7"/>
    <w:rsid w:val="00B0753A"/>
    <w:rsid w:val="00B13848"/>
    <w:rsid w:val="00B16BFB"/>
    <w:rsid w:val="00B1739C"/>
    <w:rsid w:val="00B20AB3"/>
    <w:rsid w:val="00B2481B"/>
    <w:rsid w:val="00B2556F"/>
    <w:rsid w:val="00B260F4"/>
    <w:rsid w:val="00B27A54"/>
    <w:rsid w:val="00B30DFC"/>
    <w:rsid w:val="00B319BF"/>
    <w:rsid w:val="00B32F56"/>
    <w:rsid w:val="00B35089"/>
    <w:rsid w:val="00B3572E"/>
    <w:rsid w:val="00B3581A"/>
    <w:rsid w:val="00B366B6"/>
    <w:rsid w:val="00B36D7C"/>
    <w:rsid w:val="00B40167"/>
    <w:rsid w:val="00B43F0C"/>
    <w:rsid w:val="00B44579"/>
    <w:rsid w:val="00B45161"/>
    <w:rsid w:val="00B4546C"/>
    <w:rsid w:val="00B5284A"/>
    <w:rsid w:val="00B52EC7"/>
    <w:rsid w:val="00B54DD7"/>
    <w:rsid w:val="00B71036"/>
    <w:rsid w:val="00B71E3C"/>
    <w:rsid w:val="00B72438"/>
    <w:rsid w:val="00B73DF4"/>
    <w:rsid w:val="00B8039C"/>
    <w:rsid w:val="00B821C2"/>
    <w:rsid w:val="00B82989"/>
    <w:rsid w:val="00B840C8"/>
    <w:rsid w:val="00B84CA0"/>
    <w:rsid w:val="00B853D9"/>
    <w:rsid w:val="00B90473"/>
    <w:rsid w:val="00B91B5D"/>
    <w:rsid w:val="00B9236E"/>
    <w:rsid w:val="00B927B5"/>
    <w:rsid w:val="00B93513"/>
    <w:rsid w:val="00B93AAA"/>
    <w:rsid w:val="00B93B78"/>
    <w:rsid w:val="00B93E15"/>
    <w:rsid w:val="00BA163C"/>
    <w:rsid w:val="00BA1BE2"/>
    <w:rsid w:val="00BA465A"/>
    <w:rsid w:val="00BB2D5B"/>
    <w:rsid w:val="00BB44EB"/>
    <w:rsid w:val="00BB60C0"/>
    <w:rsid w:val="00BB68CC"/>
    <w:rsid w:val="00BC1B3A"/>
    <w:rsid w:val="00BC30E4"/>
    <w:rsid w:val="00BC381F"/>
    <w:rsid w:val="00BC3902"/>
    <w:rsid w:val="00BC447E"/>
    <w:rsid w:val="00BC74BB"/>
    <w:rsid w:val="00BD31EC"/>
    <w:rsid w:val="00BD38B2"/>
    <w:rsid w:val="00BD4E19"/>
    <w:rsid w:val="00BD55DD"/>
    <w:rsid w:val="00BD60C6"/>
    <w:rsid w:val="00BE1A57"/>
    <w:rsid w:val="00BE2D27"/>
    <w:rsid w:val="00BF48C8"/>
    <w:rsid w:val="00BF6896"/>
    <w:rsid w:val="00C0149E"/>
    <w:rsid w:val="00C034B7"/>
    <w:rsid w:val="00C070C3"/>
    <w:rsid w:val="00C113FF"/>
    <w:rsid w:val="00C11CA7"/>
    <w:rsid w:val="00C15677"/>
    <w:rsid w:val="00C21504"/>
    <w:rsid w:val="00C235EF"/>
    <w:rsid w:val="00C23D1E"/>
    <w:rsid w:val="00C24447"/>
    <w:rsid w:val="00C30F51"/>
    <w:rsid w:val="00C34DC9"/>
    <w:rsid w:val="00C41513"/>
    <w:rsid w:val="00C42750"/>
    <w:rsid w:val="00C44271"/>
    <w:rsid w:val="00C45743"/>
    <w:rsid w:val="00C462F5"/>
    <w:rsid w:val="00C502ED"/>
    <w:rsid w:val="00C52F33"/>
    <w:rsid w:val="00C54A20"/>
    <w:rsid w:val="00C618E6"/>
    <w:rsid w:val="00C61E56"/>
    <w:rsid w:val="00C62119"/>
    <w:rsid w:val="00C63F13"/>
    <w:rsid w:val="00C678DA"/>
    <w:rsid w:val="00C7036F"/>
    <w:rsid w:val="00C73592"/>
    <w:rsid w:val="00C75C84"/>
    <w:rsid w:val="00C765D4"/>
    <w:rsid w:val="00C82436"/>
    <w:rsid w:val="00C828EC"/>
    <w:rsid w:val="00C844CF"/>
    <w:rsid w:val="00C844D1"/>
    <w:rsid w:val="00C86564"/>
    <w:rsid w:val="00C866BA"/>
    <w:rsid w:val="00C90E2F"/>
    <w:rsid w:val="00C9448F"/>
    <w:rsid w:val="00C97161"/>
    <w:rsid w:val="00C97618"/>
    <w:rsid w:val="00CA1872"/>
    <w:rsid w:val="00CA3574"/>
    <w:rsid w:val="00CA60BD"/>
    <w:rsid w:val="00CB023B"/>
    <w:rsid w:val="00CB38FC"/>
    <w:rsid w:val="00CB41BE"/>
    <w:rsid w:val="00CB6A97"/>
    <w:rsid w:val="00CC1C84"/>
    <w:rsid w:val="00CC4E05"/>
    <w:rsid w:val="00CC5B0A"/>
    <w:rsid w:val="00CC5D30"/>
    <w:rsid w:val="00CC5D53"/>
    <w:rsid w:val="00CD0F0D"/>
    <w:rsid w:val="00CD1564"/>
    <w:rsid w:val="00CD512C"/>
    <w:rsid w:val="00CD55A7"/>
    <w:rsid w:val="00CD79FD"/>
    <w:rsid w:val="00CE0CF0"/>
    <w:rsid w:val="00CE7018"/>
    <w:rsid w:val="00CE7164"/>
    <w:rsid w:val="00CE7B71"/>
    <w:rsid w:val="00CF17DE"/>
    <w:rsid w:val="00CF23EF"/>
    <w:rsid w:val="00CF6369"/>
    <w:rsid w:val="00CF6804"/>
    <w:rsid w:val="00CF7B6F"/>
    <w:rsid w:val="00D0484A"/>
    <w:rsid w:val="00D04F43"/>
    <w:rsid w:val="00D10DD6"/>
    <w:rsid w:val="00D115B2"/>
    <w:rsid w:val="00D11D06"/>
    <w:rsid w:val="00D12D8C"/>
    <w:rsid w:val="00D137B9"/>
    <w:rsid w:val="00D14DA6"/>
    <w:rsid w:val="00D20F6C"/>
    <w:rsid w:val="00D249B3"/>
    <w:rsid w:val="00D26360"/>
    <w:rsid w:val="00D26A42"/>
    <w:rsid w:val="00D26C8F"/>
    <w:rsid w:val="00D317C9"/>
    <w:rsid w:val="00D33082"/>
    <w:rsid w:val="00D347DC"/>
    <w:rsid w:val="00D353EB"/>
    <w:rsid w:val="00D35A5E"/>
    <w:rsid w:val="00D432D2"/>
    <w:rsid w:val="00D43F89"/>
    <w:rsid w:val="00D44BD2"/>
    <w:rsid w:val="00D46A8B"/>
    <w:rsid w:val="00D52F2C"/>
    <w:rsid w:val="00D53000"/>
    <w:rsid w:val="00D576EF"/>
    <w:rsid w:val="00D6065B"/>
    <w:rsid w:val="00D60F0E"/>
    <w:rsid w:val="00D65C2B"/>
    <w:rsid w:val="00D72278"/>
    <w:rsid w:val="00D72B23"/>
    <w:rsid w:val="00D777C1"/>
    <w:rsid w:val="00D81568"/>
    <w:rsid w:val="00D85225"/>
    <w:rsid w:val="00D90F53"/>
    <w:rsid w:val="00D941CE"/>
    <w:rsid w:val="00D95DC3"/>
    <w:rsid w:val="00DA0AD5"/>
    <w:rsid w:val="00DA22FF"/>
    <w:rsid w:val="00DA63CA"/>
    <w:rsid w:val="00DA6C5E"/>
    <w:rsid w:val="00DA7259"/>
    <w:rsid w:val="00DA77D1"/>
    <w:rsid w:val="00DB08CE"/>
    <w:rsid w:val="00DB4958"/>
    <w:rsid w:val="00DB6F2C"/>
    <w:rsid w:val="00DC165A"/>
    <w:rsid w:val="00DC653A"/>
    <w:rsid w:val="00DC65EF"/>
    <w:rsid w:val="00DC6A89"/>
    <w:rsid w:val="00DC7462"/>
    <w:rsid w:val="00DD1AE0"/>
    <w:rsid w:val="00DD2E3F"/>
    <w:rsid w:val="00DE266E"/>
    <w:rsid w:val="00DE3F60"/>
    <w:rsid w:val="00DE53C9"/>
    <w:rsid w:val="00DE6352"/>
    <w:rsid w:val="00DF0DA4"/>
    <w:rsid w:val="00DF1A6C"/>
    <w:rsid w:val="00DF2B1C"/>
    <w:rsid w:val="00DF69B5"/>
    <w:rsid w:val="00DF7DB5"/>
    <w:rsid w:val="00E005C2"/>
    <w:rsid w:val="00E01145"/>
    <w:rsid w:val="00E02127"/>
    <w:rsid w:val="00E106E5"/>
    <w:rsid w:val="00E1476A"/>
    <w:rsid w:val="00E24E84"/>
    <w:rsid w:val="00E267BC"/>
    <w:rsid w:val="00E27FBD"/>
    <w:rsid w:val="00E31B44"/>
    <w:rsid w:val="00E33410"/>
    <w:rsid w:val="00E336E6"/>
    <w:rsid w:val="00E338F0"/>
    <w:rsid w:val="00E339DC"/>
    <w:rsid w:val="00E3403E"/>
    <w:rsid w:val="00E40B83"/>
    <w:rsid w:val="00E4116F"/>
    <w:rsid w:val="00E413FF"/>
    <w:rsid w:val="00E511A9"/>
    <w:rsid w:val="00E55670"/>
    <w:rsid w:val="00E55937"/>
    <w:rsid w:val="00E56C9C"/>
    <w:rsid w:val="00E56EE2"/>
    <w:rsid w:val="00E63954"/>
    <w:rsid w:val="00E7142E"/>
    <w:rsid w:val="00E7464E"/>
    <w:rsid w:val="00E76F7C"/>
    <w:rsid w:val="00E82D86"/>
    <w:rsid w:val="00E83182"/>
    <w:rsid w:val="00E83247"/>
    <w:rsid w:val="00E84784"/>
    <w:rsid w:val="00E921E5"/>
    <w:rsid w:val="00E928CF"/>
    <w:rsid w:val="00E932DB"/>
    <w:rsid w:val="00E95F0F"/>
    <w:rsid w:val="00EA0487"/>
    <w:rsid w:val="00EA0C68"/>
    <w:rsid w:val="00EA3FFF"/>
    <w:rsid w:val="00EA548F"/>
    <w:rsid w:val="00EA7598"/>
    <w:rsid w:val="00EA7BFB"/>
    <w:rsid w:val="00EA7FBA"/>
    <w:rsid w:val="00EB135F"/>
    <w:rsid w:val="00EB156D"/>
    <w:rsid w:val="00EB416A"/>
    <w:rsid w:val="00EB47E3"/>
    <w:rsid w:val="00EB647F"/>
    <w:rsid w:val="00EC37B9"/>
    <w:rsid w:val="00ED04EE"/>
    <w:rsid w:val="00ED04F2"/>
    <w:rsid w:val="00ED11E1"/>
    <w:rsid w:val="00ED2E42"/>
    <w:rsid w:val="00ED3604"/>
    <w:rsid w:val="00ED48AC"/>
    <w:rsid w:val="00ED676A"/>
    <w:rsid w:val="00EE003F"/>
    <w:rsid w:val="00EE09C7"/>
    <w:rsid w:val="00EE0FA4"/>
    <w:rsid w:val="00EE164D"/>
    <w:rsid w:val="00EE3F96"/>
    <w:rsid w:val="00EE52B7"/>
    <w:rsid w:val="00EE6082"/>
    <w:rsid w:val="00EE7016"/>
    <w:rsid w:val="00EE7DB3"/>
    <w:rsid w:val="00EF0815"/>
    <w:rsid w:val="00EF1AC5"/>
    <w:rsid w:val="00EF39E4"/>
    <w:rsid w:val="00EF7147"/>
    <w:rsid w:val="00F02FDF"/>
    <w:rsid w:val="00F030BF"/>
    <w:rsid w:val="00F05A3D"/>
    <w:rsid w:val="00F077C0"/>
    <w:rsid w:val="00F10A70"/>
    <w:rsid w:val="00F10FFB"/>
    <w:rsid w:val="00F113D1"/>
    <w:rsid w:val="00F137C8"/>
    <w:rsid w:val="00F14B92"/>
    <w:rsid w:val="00F15E19"/>
    <w:rsid w:val="00F23E85"/>
    <w:rsid w:val="00F2461D"/>
    <w:rsid w:val="00F26138"/>
    <w:rsid w:val="00F30F13"/>
    <w:rsid w:val="00F318D4"/>
    <w:rsid w:val="00F32223"/>
    <w:rsid w:val="00F3271B"/>
    <w:rsid w:val="00F347EB"/>
    <w:rsid w:val="00F40468"/>
    <w:rsid w:val="00F4747C"/>
    <w:rsid w:val="00F4752A"/>
    <w:rsid w:val="00F50C49"/>
    <w:rsid w:val="00F50D5F"/>
    <w:rsid w:val="00F51F8B"/>
    <w:rsid w:val="00F55FD0"/>
    <w:rsid w:val="00F561D3"/>
    <w:rsid w:val="00F56967"/>
    <w:rsid w:val="00F60C1E"/>
    <w:rsid w:val="00F62F52"/>
    <w:rsid w:val="00F6502A"/>
    <w:rsid w:val="00F65749"/>
    <w:rsid w:val="00F65BEF"/>
    <w:rsid w:val="00F67EE8"/>
    <w:rsid w:val="00F70117"/>
    <w:rsid w:val="00F73B31"/>
    <w:rsid w:val="00F763A4"/>
    <w:rsid w:val="00F81DB3"/>
    <w:rsid w:val="00F84824"/>
    <w:rsid w:val="00F870CF"/>
    <w:rsid w:val="00F87ED3"/>
    <w:rsid w:val="00F90A78"/>
    <w:rsid w:val="00F935EF"/>
    <w:rsid w:val="00F93CC6"/>
    <w:rsid w:val="00FA3CFA"/>
    <w:rsid w:val="00FA3DFB"/>
    <w:rsid w:val="00FA48B6"/>
    <w:rsid w:val="00FA5D0D"/>
    <w:rsid w:val="00FB406B"/>
    <w:rsid w:val="00FB607B"/>
    <w:rsid w:val="00FB70F8"/>
    <w:rsid w:val="00FC2B97"/>
    <w:rsid w:val="00FC2D4C"/>
    <w:rsid w:val="00FD0B2F"/>
    <w:rsid w:val="00FE4965"/>
    <w:rsid w:val="00FE4E4D"/>
    <w:rsid w:val="00FE547E"/>
    <w:rsid w:val="00FE65B4"/>
    <w:rsid w:val="00FE6CAC"/>
    <w:rsid w:val="00FF1768"/>
    <w:rsid w:val="00FF4AFC"/>
    <w:rsid w:val="00FF7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781E17"/>
  <w15:docId w15:val="{813E413A-81E0-44DC-8CC7-A1220D033B26}"/>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740"/>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qFormat/>
    <w:rsid w:val="003F6E5A"/>
    <w:pPr>
      <w:ind w:left="720"/>
      <w:contextualSpacing/>
    </w:pPr>
  </w:style>
  <w:style w:type="numbering" w:customStyle="1" w:styleId="List0">
    <w:name w:val="List 0"/>
    <w:basedOn w:val="NoList"/>
    <w:rsid w:val="00EC37B9"/>
    <w:pPr>
      <w:numPr>
        <w:numId w:val="10"/>
      </w:numPr>
    </w:pPr>
  </w:style>
  <w:style w:type="paragraph" w:styleId="BalloonText">
    <w:name w:val="Balloon Text"/>
    <w:basedOn w:val="Normal"/>
    <w:link w:val="BalloonTextChar"/>
    <w:rsid w:val="00B06BE7"/>
    <w:rPr>
      <w:rFonts w:ascii="Tahoma" w:hAnsi="Tahoma" w:cs="Tahoma"/>
      <w:sz w:val="16"/>
      <w:szCs w:val="16"/>
    </w:rPr>
  </w:style>
  <w:style w:type="character" w:customStyle="1" w:styleId="BalloonTextChar">
    <w:name w:val="Balloon Text Char"/>
    <w:basedOn w:val="DefaultParagraphFont"/>
    <w:link w:val="BalloonText"/>
    <w:rsid w:val="00B06BE7"/>
    <w:rPr>
      <w:rFonts w:ascii="Tahoma" w:hAnsi="Tahoma" w:cs="Tahoma"/>
      <w:sz w:val="16"/>
      <w:szCs w:val="16"/>
    </w:rPr>
  </w:style>
  <w:style w:type="paragraph" w:customStyle="1" w:styleId="Body">
    <w:name w:val="Body"/>
    <w:rsid w:val="00B06BE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1">
    <w:name w:val="List 1"/>
    <w:basedOn w:val="NoList"/>
    <w:rsid w:val="003640FE"/>
    <w:pPr>
      <w:numPr>
        <w:numId w:val="11"/>
      </w:numPr>
    </w:pPr>
  </w:style>
  <w:style w:type="character" w:styleId="CommentReference">
    <w:name w:val="annotation reference"/>
    <w:basedOn w:val="DefaultParagraphFont"/>
    <w:rsid w:val="0022128F"/>
    <w:rPr>
      <w:sz w:val="16"/>
      <w:szCs w:val="16"/>
    </w:rPr>
  </w:style>
  <w:style w:type="paragraph" w:styleId="CommentText">
    <w:name w:val="annotation text"/>
    <w:basedOn w:val="Normal"/>
    <w:link w:val="CommentTextChar"/>
    <w:rsid w:val="0022128F"/>
    <w:rPr>
      <w:sz w:val="20"/>
    </w:rPr>
  </w:style>
  <w:style w:type="character" w:customStyle="1" w:styleId="CommentTextChar">
    <w:name w:val="Comment Text Char"/>
    <w:basedOn w:val="DefaultParagraphFont"/>
    <w:link w:val="CommentText"/>
    <w:rsid w:val="0022128F"/>
    <w:rPr>
      <w:rFonts w:ascii="Palatino" w:hAnsi="Palatino"/>
    </w:rPr>
  </w:style>
  <w:style w:type="paragraph" w:styleId="CommentSubject">
    <w:name w:val="annotation subject"/>
    <w:basedOn w:val="CommentText"/>
    <w:next w:val="CommentText"/>
    <w:link w:val="CommentSubjectChar"/>
    <w:rsid w:val="0022128F"/>
    <w:rPr>
      <w:b/>
      <w:bCs/>
    </w:rPr>
  </w:style>
  <w:style w:type="character" w:customStyle="1" w:styleId="CommentSubjectChar">
    <w:name w:val="Comment Subject Char"/>
    <w:basedOn w:val="CommentTextChar"/>
    <w:link w:val="CommentSubject"/>
    <w:rsid w:val="0022128F"/>
    <w:rPr>
      <w:rFonts w:ascii="Palatino" w:hAnsi="Palatino"/>
      <w:b/>
      <w:bCs/>
    </w:rPr>
  </w:style>
  <w:style w:type="character" w:customStyle="1" w:styleId="apple-converted-space">
    <w:name w:val="apple-converted-space"/>
    <w:basedOn w:val="DefaultParagraphFont"/>
    <w:rsid w:val="00CC1C84"/>
  </w:style>
  <w:style w:type="paragraph" w:styleId="NormalWeb">
    <w:name w:val="Normal (Web)"/>
    <w:basedOn w:val="Normal"/>
    <w:uiPriority w:val="99"/>
    <w:unhideWhenUsed/>
    <w:rsid w:val="007A16F5"/>
    <w:pPr>
      <w:spacing w:before="100" w:beforeAutospacing="1" w:after="100" w:afterAutospacing="1"/>
    </w:pPr>
    <w:rPr>
      <w:rFonts w:ascii="Times" w:hAnsi="Times"/>
      <w:sz w:val="20"/>
    </w:rPr>
  </w:style>
  <w:style w:type="paragraph" w:customStyle="1" w:styleId="Default">
    <w:name w:val="Default"/>
    <w:rsid w:val="00CD512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46A8B"/>
    <w:rPr>
      <w:rFonts w:ascii="Palatino" w:hAnsi="Palatino"/>
      <w:sz w:val="26"/>
    </w:rPr>
  </w:style>
  <w:style w:type="paragraph" w:customStyle="1" w:styleId="BodyText1Noindent">
    <w:name w:val="Body Text 1 (No indent)"/>
    <w:basedOn w:val="Normal"/>
    <w:rsid w:val="00AA2CC7"/>
    <w:rPr>
      <w:rFonts w:ascii="Times New Roman" w:hAnsi="Times New Roman"/>
    </w:rPr>
  </w:style>
  <w:style w:type="character" w:styleId="Hyperlink">
    <w:name w:val="Hyperlink"/>
    <w:basedOn w:val="DefaultParagraphFont"/>
    <w:unhideWhenUsed/>
    <w:rsid w:val="000E24F8"/>
    <w:rPr>
      <w:color w:val="0000FF" w:themeColor="hyperlink"/>
      <w:u w:val="single"/>
    </w:rPr>
  </w:style>
  <w:style w:type="character" w:styleId="UnresolvedMention">
    <w:name w:val="Unresolved Mention"/>
    <w:basedOn w:val="DefaultParagraphFont"/>
    <w:uiPriority w:val="99"/>
    <w:semiHidden/>
    <w:unhideWhenUsed/>
    <w:rsid w:val="000E24F8"/>
    <w:rPr>
      <w:color w:val="605E5C"/>
      <w:shd w:val="clear" w:color="auto" w:fill="E1DFDD"/>
    </w:rPr>
  </w:style>
  <w:style w:type="character" w:customStyle="1" w:styleId="FooterChar">
    <w:name w:val="Footer Char"/>
    <w:basedOn w:val="DefaultParagraphFont"/>
    <w:link w:val="Footer"/>
    <w:uiPriority w:val="99"/>
    <w:rsid w:val="007868A6"/>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449">
      <w:bodyDiv w:val="1"/>
      <w:marLeft w:val="0"/>
      <w:marRight w:val="0"/>
      <w:marTop w:val="0"/>
      <w:marBottom w:val="0"/>
      <w:divBdr>
        <w:top w:val="none" w:sz="0" w:space="0" w:color="auto"/>
        <w:left w:val="none" w:sz="0" w:space="0" w:color="auto"/>
        <w:bottom w:val="none" w:sz="0" w:space="0" w:color="auto"/>
        <w:right w:val="none" w:sz="0" w:space="0" w:color="auto"/>
      </w:divBdr>
      <w:divsChild>
        <w:div w:id="1158956754">
          <w:marLeft w:val="0"/>
          <w:marRight w:val="0"/>
          <w:marTop w:val="0"/>
          <w:marBottom w:val="0"/>
          <w:divBdr>
            <w:top w:val="none" w:sz="0" w:space="0" w:color="auto"/>
            <w:left w:val="none" w:sz="0" w:space="0" w:color="auto"/>
            <w:bottom w:val="none" w:sz="0" w:space="0" w:color="auto"/>
            <w:right w:val="none" w:sz="0" w:space="0" w:color="auto"/>
          </w:divBdr>
          <w:divsChild>
            <w:div w:id="1053774358">
              <w:marLeft w:val="0"/>
              <w:marRight w:val="0"/>
              <w:marTop w:val="0"/>
              <w:marBottom w:val="0"/>
              <w:divBdr>
                <w:top w:val="none" w:sz="0" w:space="0" w:color="auto"/>
                <w:left w:val="none" w:sz="0" w:space="0" w:color="auto"/>
                <w:bottom w:val="none" w:sz="0" w:space="0" w:color="auto"/>
                <w:right w:val="none" w:sz="0" w:space="0" w:color="auto"/>
              </w:divBdr>
              <w:divsChild>
                <w:div w:id="19060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103">
      <w:bodyDiv w:val="1"/>
      <w:marLeft w:val="0"/>
      <w:marRight w:val="0"/>
      <w:marTop w:val="0"/>
      <w:marBottom w:val="0"/>
      <w:divBdr>
        <w:top w:val="none" w:sz="0" w:space="0" w:color="auto"/>
        <w:left w:val="none" w:sz="0" w:space="0" w:color="auto"/>
        <w:bottom w:val="none" w:sz="0" w:space="0" w:color="auto"/>
        <w:right w:val="none" w:sz="0" w:space="0" w:color="auto"/>
      </w:divBdr>
      <w:divsChild>
        <w:div w:id="419448951">
          <w:marLeft w:val="0"/>
          <w:marRight w:val="0"/>
          <w:marTop w:val="0"/>
          <w:marBottom w:val="0"/>
          <w:divBdr>
            <w:top w:val="none" w:sz="0" w:space="0" w:color="auto"/>
            <w:left w:val="none" w:sz="0" w:space="0" w:color="auto"/>
            <w:bottom w:val="none" w:sz="0" w:space="0" w:color="auto"/>
            <w:right w:val="none" w:sz="0" w:space="0" w:color="auto"/>
          </w:divBdr>
          <w:divsChild>
            <w:div w:id="1571115323">
              <w:marLeft w:val="0"/>
              <w:marRight w:val="0"/>
              <w:marTop w:val="0"/>
              <w:marBottom w:val="240"/>
              <w:divBdr>
                <w:top w:val="none" w:sz="0" w:space="0" w:color="auto"/>
                <w:left w:val="none" w:sz="0" w:space="0" w:color="auto"/>
                <w:bottom w:val="none" w:sz="0" w:space="0" w:color="auto"/>
                <w:right w:val="none" w:sz="0" w:space="0" w:color="auto"/>
              </w:divBdr>
            </w:div>
            <w:div w:id="1905143723">
              <w:marLeft w:val="0"/>
              <w:marRight w:val="0"/>
              <w:marTop w:val="0"/>
              <w:marBottom w:val="240"/>
              <w:divBdr>
                <w:top w:val="none" w:sz="0" w:space="0" w:color="auto"/>
                <w:left w:val="none" w:sz="0" w:space="0" w:color="auto"/>
                <w:bottom w:val="none" w:sz="0" w:space="0" w:color="auto"/>
                <w:right w:val="none" w:sz="0" w:space="0" w:color="auto"/>
              </w:divBdr>
            </w:div>
            <w:div w:id="1087966672">
              <w:marLeft w:val="0"/>
              <w:marRight w:val="0"/>
              <w:marTop w:val="0"/>
              <w:marBottom w:val="240"/>
              <w:divBdr>
                <w:top w:val="none" w:sz="0" w:space="0" w:color="auto"/>
                <w:left w:val="none" w:sz="0" w:space="0" w:color="auto"/>
                <w:bottom w:val="none" w:sz="0" w:space="0" w:color="auto"/>
                <w:right w:val="none" w:sz="0" w:space="0" w:color="auto"/>
              </w:divBdr>
            </w:div>
            <w:div w:id="2087217189">
              <w:marLeft w:val="0"/>
              <w:marRight w:val="0"/>
              <w:marTop w:val="0"/>
              <w:marBottom w:val="240"/>
              <w:divBdr>
                <w:top w:val="none" w:sz="0" w:space="0" w:color="auto"/>
                <w:left w:val="none" w:sz="0" w:space="0" w:color="auto"/>
                <w:bottom w:val="none" w:sz="0" w:space="0" w:color="auto"/>
                <w:right w:val="none" w:sz="0" w:space="0" w:color="auto"/>
              </w:divBdr>
            </w:div>
            <w:div w:id="2147353258">
              <w:marLeft w:val="0"/>
              <w:marRight w:val="0"/>
              <w:marTop w:val="0"/>
              <w:marBottom w:val="240"/>
              <w:divBdr>
                <w:top w:val="none" w:sz="0" w:space="0" w:color="auto"/>
                <w:left w:val="none" w:sz="0" w:space="0" w:color="auto"/>
                <w:bottom w:val="none" w:sz="0" w:space="0" w:color="auto"/>
                <w:right w:val="none" w:sz="0" w:space="0" w:color="auto"/>
              </w:divBdr>
            </w:div>
            <w:div w:id="871042229">
              <w:marLeft w:val="0"/>
              <w:marRight w:val="0"/>
              <w:marTop w:val="0"/>
              <w:marBottom w:val="240"/>
              <w:divBdr>
                <w:top w:val="none" w:sz="0" w:space="0" w:color="auto"/>
                <w:left w:val="none" w:sz="0" w:space="0" w:color="auto"/>
                <w:bottom w:val="none" w:sz="0" w:space="0" w:color="auto"/>
                <w:right w:val="none" w:sz="0" w:space="0" w:color="auto"/>
              </w:divBdr>
            </w:div>
          </w:divsChild>
        </w:div>
        <w:div w:id="1516849374">
          <w:marLeft w:val="0"/>
          <w:marRight w:val="0"/>
          <w:marTop w:val="0"/>
          <w:marBottom w:val="0"/>
          <w:divBdr>
            <w:top w:val="none" w:sz="0" w:space="0" w:color="auto"/>
            <w:left w:val="none" w:sz="0" w:space="0" w:color="auto"/>
            <w:bottom w:val="none" w:sz="0" w:space="0" w:color="auto"/>
            <w:right w:val="none" w:sz="0" w:space="0" w:color="auto"/>
          </w:divBdr>
          <w:divsChild>
            <w:div w:id="330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1166">
      <w:bodyDiv w:val="1"/>
      <w:marLeft w:val="0"/>
      <w:marRight w:val="0"/>
      <w:marTop w:val="0"/>
      <w:marBottom w:val="0"/>
      <w:divBdr>
        <w:top w:val="none" w:sz="0" w:space="0" w:color="auto"/>
        <w:left w:val="none" w:sz="0" w:space="0" w:color="auto"/>
        <w:bottom w:val="none" w:sz="0" w:space="0" w:color="auto"/>
        <w:right w:val="none" w:sz="0" w:space="0" w:color="auto"/>
      </w:divBdr>
      <w:divsChild>
        <w:div w:id="898832552">
          <w:marLeft w:val="0"/>
          <w:marRight w:val="0"/>
          <w:marTop w:val="0"/>
          <w:marBottom w:val="240"/>
          <w:divBdr>
            <w:top w:val="none" w:sz="0" w:space="0" w:color="auto"/>
            <w:left w:val="none" w:sz="0" w:space="0" w:color="auto"/>
            <w:bottom w:val="none" w:sz="0" w:space="0" w:color="auto"/>
            <w:right w:val="none" w:sz="0" w:space="0" w:color="auto"/>
          </w:divBdr>
        </w:div>
        <w:div w:id="1822115923">
          <w:marLeft w:val="0"/>
          <w:marRight w:val="0"/>
          <w:marTop w:val="0"/>
          <w:marBottom w:val="240"/>
          <w:divBdr>
            <w:top w:val="none" w:sz="0" w:space="0" w:color="auto"/>
            <w:left w:val="none" w:sz="0" w:space="0" w:color="auto"/>
            <w:bottom w:val="none" w:sz="0" w:space="0" w:color="auto"/>
            <w:right w:val="none" w:sz="0" w:space="0" w:color="auto"/>
          </w:divBdr>
        </w:div>
        <w:div w:id="587229575">
          <w:marLeft w:val="0"/>
          <w:marRight w:val="0"/>
          <w:marTop w:val="0"/>
          <w:marBottom w:val="240"/>
          <w:divBdr>
            <w:top w:val="none" w:sz="0" w:space="0" w:color="auto"/>
            <w:left w:val="none" w:sz="0" w:space="0" w:color="auto"/>
            <w:bottom w:val="none" w:sz="0" w:space="0" w:color="auto"/>
            <w:right w:val="none" w:sz="0" w:space="0" w:color="auto"/>
          </w:divBdr>
        </w:div>
        <w:div w:id="69011507">
          <w:marLeft w:val="0"/>
          <w:marRight w:val="0"/>
          <w:marTop w:val="0"/>
          <w:marBottom w:val="240"/>
          <w:divBdr>
            <w:top w:val="none" w:sz="0" w:space="0" w:color="auto"/>
            <w:left w:val="none" w:sz="0" w:space="0" w:color="auto"/>
            <w:bottom w:val="none" w:sz="0" w:space="0" w:color="auto"/>
            <w:right w:val="none" w:sz="0" w:space="0" w:color="auto"/>
          </w:divBdr>
        </w:div>
        <w:div w:id="549659210">
          <w:marLeft w:val="0"/>
          <w:marRight w:val="0"/>
          <w:marTop w:val="0"/>
          <w:marBottom w:val="240"/>
          <w:divBdr>
            <w:top w:val="none" w:sz="0" w:space="0" w:color="auto"/>
            <w:left w:val="none" w:sz="0" w:space="0" w:color="auto"/>
            <w:bottom w:val="none" w:sz="0" w:space="0" w:color="auto"/>
            <w:right w:val="none" w:sz="0" w:space="0" w:color="auto"/>
          </w:divBdr>
        </w:div>
      </w:divsChild>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568342955">
      <w:bodyDiv w:val="1"/>
      <w:marLeft w:val="0"/>
      <w:marRight w:val="0"/>
      <w:marTop w:val="0"/>
      <w:marBottom w:val="0"/>
      <w:divBdr>
        <w:top w:val="none" w:sz="0" w:space="0" w:color="auto"/>
        <w:left w:val="none" w:sz="0" w:space="0" w:color="auto"/>
        <w:bottom w:val="none" w:sz="0" w:space="0" w:color="auto"/>
        <w:right w:val="none" w:sz="0" w:space="0" w:color="auto"/>
      </w:divBdr>
      <w:divsChild>
        <w:div w:id="1242988347">
          <w:marLeft w:val="0"/>
          <w:marRight w:val="0"/>
          <w:marTop w:val="0"/>
          <w:marBottom w:val="0"/>
          <w:divBdr>
            <w:top w:val="none" w:sz="0" w:space="0" w:color="auto"/>
            <w:left w:val="none" w:sz="0" w:space="0" w:color="auto"/>
            <w:bottom w:val="none" w:sz="0" w:space="0" w:color="auto"/>
            <w:right w:val="none" w:sz="0" w:space="0" w:color="auto"/>
          </w:divBdr>
          <w:divsChild>
            <w:div w:id="173038133">
              <w:marLeft w:val="0"/>
              <w:marRight w:val="0"/>
              <w:marTop w:val="0"/>
              <w:marBottom w:val="0"/>
              <w:divBdr>
                <w:top w:val="none" w:sz="0" w:space="0" w:color="auto"/>
                <w:left w:val="none" w:sz="0" w:space="0" w:color="auto"/>
                <w:bottom w:val="none" w:sz="0" w:space="0" w:color="auto"/>
                <w:right w:val="none" w:sz="0" w:space="0" w:color="auto"/>
              </w:divBdr>
              <w:divsChild>
                <w:div w:id="1792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002707076">
      <w:bodyDiv w:val="1"/>
      <w:marLeft w:val="0"/>
      <w:marRight w:val="0"/>
      <w:marTop w:val="0"/>
      <w:marBottom w:val="0"/>
      <w:divBdr>
        <w:top w:val="none" w:sz="0" w:space="0" w:color="auto"/>
        <w:left w:val="none" w:sz="0" w:space="0" w:color="auto"/>
        <w:bottom w:val="none" w:sz="0" w:space="0" w:color="auto"/>
        <w:right w:val="none" w:sz="0" w:space="0" w:color="auto"/>
      </w:divBdr>
      <w:divsChild>
        <w:div w:id="1822575549">
          <w:marLeft w:val="0"/>
          <w:marRight w:val="0"/>
          <w:marTop w:val="0"/>
          <w:marBottom w:val="0"/>
          <w:divBdr>
            <w:top w:val="none" w:sz="0" w:space="0" w:color="auto"/>
            <w:left w:val="none" w:sz="0" w:space="0" w:color="auto"/>
            <w:bottom w:val="none" w:sz="0" w:space="0" w:color="auto"/>
            <w:right w:val="none" w:sz="0" w:space="0" w:color="auto"/>
          </w:divBdr>
          <w:divsChild>
            <w:div w:id="2025279610">
              <w:marLeft w:val="0"/>
              <w:marRight w:val="0"/>
              <w:marTop w:val="0"/>
              <w:marBottom w:val="0"/>
              <w:divBdr>
                <w:top w:val="none" w:sz="0" w:space="0" w:color="auto"/>
                <w:left w:val="none" w:sz="0" w:space="0" w:color="auto"/>
                <w:bottom w:val="none" w:sz="0" w:space="0" w:color="auto"/>
                <w:right w:val="none" w:sz="0" w:space="0" w:color="auto"/>
              </w:divBdr>
              <w:divsChild>
                <w:div w:id="918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2034">
      <w:bodyDiv w:val="1"/>
      <w:marLeft w:val="0"/>
      <w:marRight w:val="0"/>
      <w:marTop w:val="0"/>
      <w:marBottom w:val="0"/>
      <w:divBdr>
        <w:top w:val="none" w:sz="0" w:space="0" w:color="auto"/>
        <w:left w:val="none" w:sz="0" w:space="0" w:color="auto"/>
        <w:bottom w:val="none" w:sz="0" w:space="0" w:color="auto"/>
        <w:right w:val="none" w:sz="0" w:space="0" w:color="auto"/>
      </w:divBdr>
      <w:divsChild>
        <w:div w:id="24379417">
          <w:marLeft w:val="0"/>
          <w:marRight w:val="0"/>
          <w:marTop w:val="0"/>
          <w:marBottom w:val="0"/>
          <w:divBdr>
            <w:top w:val="none" w:sz="0" w:space="0" w:color="auto"/>
            <w:left w:val="none" w:sz="0" w:space="0" w:color="auto"/>
            <w:bottom w:val="none" w:sz="0" w:space="0" w:color="auto"/>
            <w:right w:val="none" w:sz="0" w:space="0" w:color="auto"/>
          </w:divBdr>
          <w:divsChild>
            <w:div w:id="814881100">
              <w:marLeft w:val="0"/>
              <w:marRight w:val="0"/>
              <w:marTop w:val="0"/>
              <w:marBottom w:val="0"/>
              <w:divBdr>
                <w:top w:val="none" w:sz="0" w:space="0" w:color="auto"/>
                <w:left w:val="none" w:sz="0" w:space="0" w:color="auto"/>
                <w:bottom w:val="none" w:sz="0" w:space="0" w:color="auto"/>
                <w:right w:val="none" w:sz="0" w:space="0" w:color="auto"/>
              </w:divBdr>
              <w:divsChild>
                <w:div w:id="15026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43959">
      <w:bodyDiv w:val="1"/>
      <w:marLeft w:val="0"/>
      <w:marRight w:val="0"/>
      <w:marTop w:val="0"/>
      <w:marBottom w:val="0"/>
      <w:divBdr>
        <w:top w:val="none" w:sz="0" w:space="0" w:color="auto"/>
        <w:left w:val="none" w:sz="0" w:space="0" w:color="auto"/>
        <w:bottom w:val="none" w:sz="0" w:space="0" w:color="auto"/>
        <w:right w:val="none" w:sz="0" w:space="0" w:color="auto"/>
      </w:divBdr>
      <w:divsChild>
        <w:div w:id="1490974498">
          <w:marLeft w:val="0"/>
          <w:marRight w:val="0"/>
          <w:marTop w:val="0"/>
          <w:marBottom w:val="0"/>
          <w:divBdr>
            <w:top w:val="none" w:sz="0" w:space="0" w:color="auto"/>
            <w:left w:val="none" w:sz="0" w:space="0" w:color="auto"/>
            <w:bottom w:val="none" w:sz="0" w:space="0" w:color="auto"/>
            <w:right w:val="none" w:sz="0" w:space="0" w:color="auto"/>
          </w:divBdr>
          <w:divsChild>
            <w:div w:id="2074963708">
              <w:marLeft w:val="0"/>
              <w:marRight w:val="0"/>
              <w:marTop w:val="0"/>
              <w:marBottom w:val="0"/>
              <w:divBdr>
                <w:top w:val="none" w:sz="0" w:space="0" w:color="auto"/>
                <w:left w:val="none" w:sz="0" w:space="0" w:color="auto"/>
                <w:bottom w:val="none" w:sz="0" w:space="0" w:color="auto"/>
                <w:right w:val="none" w:sz="0" w:space="0" w:color="auto"/>
              </w:divBdr>
              <w:divsChild>
                <w:div w:id="794064407">
                  <w:marLeft w:val="0"/>
                  <w:marRight w:val="0"/>
                  <w:marTop w:val="0"/>
                  <w:marBottom w:val="0"/>
                  <w:divBdr>
                    <w:top w:val="none" w:sz="0" w:space="0" w:color="auto"/>
                    <w:left w:val="none" w:sz="0" w:space="0" w:color="auto"/>
                    <w:bottom w:val="none" w:sz="0" w:space="0" w:color="auto"/>
                    <w:right w:val="none" w:sz="0" w:space="0" w:color="auto"/>
                  </w:divBdr>
                </w:div>
              </w:divsChild>
            </w:div>
            <w:div w:id="2099905405">
              <w:marLeft w:val="0"/>
              <w:marRight w:val="0"/>
              <w:marTop w:val="0"/>
              <w:marBottom w:val="0"/>
              <w:divBdr>
                <w:top w:val="none" w:sz="0" w:space="0" w:color="auto"/>
                <w:left w:val="none" w:sz="0" w:space="0" w:color="auto"/>
                <w:bottom w:val="none" w:sz="0" w:space="0" w:color="auto"/>
                <w:right w:val="none" w:sz="0" w:space="0" w:color="auto"/>
              </w:divBdr>
              <w:divsChild>
                <w:div w:id="1865897283">
                  <w:marLeft w:val="0"/>
                  <w:marRight w:val="0"/>
                  <w:marTop w:val="0"/>
                  <w:marBottom w:val="0"/>
                  <w:divBdr>
                    <w:top w:val="none" w:sz="0" w:space="0" w:color="auto"/>
                    <w:left w:val="none" w:sz="0" w:space="0" w:color="auto"/>
                    <w:bottom w:val="none" w:sz="0" w:space="0" w:color="auto"/>
                    <w:right w:val="none" w:sz="0" w:space="0" w:color="auto"/>
                  </w:divBdr>
                </w:div>
                <w:div w:id="21427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6800">
          <w:marLeft w:val="0"/>
          <w:marRight w:val="0"/>
          <w:marTop w:val="0"/>
          <w:marBottom w:val="0"/>
          <w:divBdr>
            <w:top w:val="none" w:sz="0" w:space="0" w:color="auto"/>
            <w:left w:val="none" w:sz="0" w:space="0" w:color="auto"/>
            <w:bottom w:val="none" w:sz="0" w:space="0" w:color="auto"/>
            <w:right w:val="none" w:sz="0" w:space="0" w:color="auto"/>
          </w:divBdr>
          <w:divsChild>
            <w:div w:id="1775787782">
              <w:marLeft w:val="0"/>
              <w:marRight w:val="0"/>
              <w:marTop w:val="0"/>
              <w:marBottom w:val="0"/>
              <w:divBdr>
                <w:top w:val="none" w:sz="0" w:space="0" w:color="auto"/>
                <w:left w:val="none" w:sz="0" w:space="0" w:color="auto"/>
                <w:bottom w:val="none" w:sz="0" w:space="0" w:color="auto"/>
                <w:right w:val="none" w:sz="0" w:space="0" w:color="auto"/>
              </w:divBdr>
              <w:divsChild>
                <w:div w:id="823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e.prosper@cpuc.ca.gov" TargetMode="External"/><Relationship Id="rId13" Type="http://schemas.openxmlformats.org/officeDocument/2006/relationships/hyperlink" Target="mailto:terrie.prosper@cpuc.c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puc.ca.gov/PublishedDocs/Published/G000/M337/K016/337016958.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rie.prosper@cpuc.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rrie.prosper@cpuc.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puc.ca.gov/PublishedDocs/Published/G000/M337/K016/337016958.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correspon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7BBD4-0249-4A75-93BE-B40413C494F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4478</ap:Words>
  <ap:Characters>25528</ap:Characters>
  <ap:Application>Microsoft Office Word</ap:Application>
  <ap:DocSecurity>0</ap:DocSecurity>
  <ap:Lines>212</ap:Lines>
  <ap:Paragraphs>59</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29947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2021-10-26T15:08:00Z</cp:lastPrinted>
  <dcterms:created xsi:type="dcterms:W3CDTF">2021-11-29T15:14:13Z</dcterms:created>
  <dcterms:modified xsi:type="dcterms:W3CDTF">2021-11-29T15:14:13Z</dcterms:modified>
</cp:coreProperties>
</file>