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028A2" w:rsidR="003B1DBD" w:rsidP="00A622F6" w:rsidRDefault="003B1DBD" w14:paraId="57F382AD" w14:textId="292877BF">
      <w:pPr>
        <w:pStyle w:val="Title"/>
        <w:rPr>
          <w:rFonts w:ascii="Times New Roman" w:hAnsi="Times New Roman"/>
          <w:sz w:val="26"/>
          <w:szCs w:val="26"/>
        </w:rPr>
      </w:pPr>
      <w:r w:rsidRPr="001028A2">
        <w:rPr>
          <w:rFonts w:ascii="Times New Roman" w:hAnsi="Times New Roman"/>
          <w:sz w:val="26"/>
          <w:szCs w:val="26"/>
        </w:rPr>
        <w:t>PUBLIC UTILITIES COMMISSION OF THE STATE OF CALIFORNIA</w:t>
      </w:r>
    </w:p>
    <w:p w:rsidRPr="001028A2" w:rsidR="003B1DBD" w:rsidP="00A622F6" w:rsidRDefault="003B1DBD" w14:paraId="33E8FF30" w14:textId="77777777">
      <w:pPr>
        <w:rPr>
          <w:sz w:val="26"/>
          <w:szCs w:val="26"/>
        </w:rPr>
      </w:pPr>
    </w:p>
    <w:p w:rsidRPr="001028A2" w:rsidR="003B1DBD" w:rsidP="003B1DBD" w:rsidRDefault="00CA2B5D" w14:paraId="7317C13F" w14:textId="7707FB65">
      <w:pPr>
        <w:tabs>
          <w:tab w:val="right" w:pos="9360"/>
        </w:tabs>
        <w:rPr>
          <w:b/>
          <w:sz w:val="26"/>
          <w:szCs w:val="26"/>
        </w:rPr>
      </w:pPr>
      <w:r w:rsidRPr="001028A2">
        <w:rPr>
          <w:b/>
          <w:sz w:val="26"/>
          <w:szCs w:val="26"/>
        </w:rPr>
        <w:t xml:space="preserve">Safety and Enforcement </w:t>
      </w:r>
      <w:r w:rsidRPr="001028A2" w:rsidR="003B1DBD">
        <w:rPr>
          <w:b/>
          <w:sz w:val="26"/>
          <w:szCs w:val="26"/>
        </w:rPr>
        <w:t>Division</w:t>
      </w:r>
      <w:r w:rsidRPr="001028A2" w:rsidR="003B1DBD">
        <w:rPr>
          <w:b/>
          <w:sz w:val="26"/>
          <w:szCs w:val="26"/>
        </w:rPr>
        <w:tab/>
        <w:t>R</w:t>
      </w:r>
      <w:r w:rsidR="001643B2">
        <w:rPr>
          <w:b/>
          <w:sz w:val="26"/>
          <w:szCs w:val="26"/>
        </w:rPr>
        <w:t>esolution</w:t>
      </w:r>
      <w:r w:rsidRPr="001028A2" w:rsidR="003B1DBD">
        <w:rPr>
          <w:b/>
          <w:sz w:val="26"/>
          <w:szCs w:val="26"/>
        </w:rPr>
        <w:t xml:space="preserve"> </w:t>
      </w:r>
      <w:r w:rsidRPr="00EB7A5C">
        <w:rPr>
          <w:b/>
          <w:sz w:val="26"/>
          <w:szCs w:val="26"/>
        </w:rPr>
        <w:t>SED-</w:t>
      </w:r>
      <w:r w:rsidR="00AE3A4C">
        <w:rPr>
          <w:b/>
          <w:sz w:val="26"/>
          <w:szCs w:val="26"/>
        </w:rPr>
        <w:t>6</w:t>
      </w:r>
    </w:p>
    <w:p w:rsidRPr="001028A2" w:rsidR="003B1DBD" w:rsidP="003B1DBD" w:rsidRDefault="003B1DBD" w14:paraId="715D7AFB" w14:textId="08445C3D">
      <w:pPr>
        <w:tabs>
          <w:tab w:val="right" w:pos="9360"/>
        </w:tabs>
        <w:rPr>
          <w:b/>
          <w:sz w:val="26"/>
          <w:szCs w:val="26"/>
        </w:rPr>
      </w:pPr>
      <w:r w:rsidRPr="001028A2">
        <w:rPr>
          <w:b/>
          <w:sz w:val="26"/>
          <w:szCs w:val="26"/>
        </w:rPr>
        <w:tab/>
      </w:r>
      <w:r w:rsidRPr="001028A2" w:rsidR="00CA2B5D">
        <w:rPr>
          <w:b/>
          <w:sz w:val="26"/>
          <w:szCs w:val="26"/>
        </w:rPr>
        <w:t>December 2</w:t>
      </w:r>
      <w:r w:rsidRPr="001028A2">
        <w:rPr>
          <w:b/>
          <w:sz w:val="26"/>
          <w:szCs w:val="26"/>
        </w:rPr>
        <w:t xml:space="preserve">, </w:t>
      </w:r>
      <w:r w:rsidRPr="001028A2" w:rsidR="00CA2B5D">
        <w:rPr>
          <w:b/>
          <w:sz w:val="26"/>
          <w:szCs w:val="26"/>
        </w:rPr>
        <w:t>2021</w:t>
      </w:r>
    </w:p>
    <w:p w:rsidR="00405DB2" w:rsidP="003B1DBD" w:rsidRDefault="00405DB2" w14:paraId="702144A4" w14:textId="77777777">
      <w:pPr>
        <w:tabs>
          <w:tab w:val="right" w:pos="10080"/>
        </w:tabs>
        <w:jc w:val="center"/>
        <w:rPr>
          <w:b/>
          <w:sz w:val="26"/>
          <w:szCs w:val="26"/>
          <w:u w:val="single"/>
        </w:rPr>
      </w:pPr>
    </w:p>
    <w:p w:rsidR="00405DB2" w:rsidP="003B1DBD" w:rsidRDefault="00405DB2" w14:paraId="60829A93" w14:textId="77777777">
      <w:pPr>
        <w:tabs>
          <w:tab w:val="right" w:pos="10080"/>
        </w:tabs>
        <w:jc w:val="center"/>
        <w:rPr>
          <w:b/>
          <w:sz w:val="26"/>
          <w:szCs w:val="26"/>
          <w:u w:val="single"/>
        </w:rPr>
      </w:pPr>
    </w:p>
    <w:p w:rsidRPr="001028A2" w:rsidR="003B1DBD" w:rsidP="003B1DBD" w:rsidRDefault="003B1DBD" w14:paraId="0BF6F638" w14:textId="475344C8">
      <w:pPr>
        <w:tabs>
          <w:tab w:val="right" w:pos="10080"/>
        </w:tabs>
        <w:jc w:val="center"/>
        <w:rPr>
          <w:b/>
          <w:sz w:val="26"/>
          <w:szCs w:val="26"/>
          <w:u w:val="single"/>
        </w:rPr>
      </w:pPr>
      <w:r w:rsidRPr="001028A2">
        <w:rPr>
          <w:b/>
          <w:sz w:val="26"/>
          <w:szCs w:val="26"/>
          <w:u w:val="single"/>
        </w:rPr>
        <w:t>R E S O L U T I O N</w:t>
      </w:r>
    </w:p>
    <w:p w:rsidRPr="001028A2" w:rsidR="003B1DBD" w:rsidP="003B1DBD" w:rsidRDefault="003B1DBD" w14:paraId="1C507346" w14:textId="77777777">
      <w:pPr>
        <w:tabs>
          <w:tab w:val="right" w:pos="10080"/>
        </w:tabs>
        <w:jc w:val="center"/>
        <w:rPr>
          <w:b/>
          <w:sz w:val="26"/>
          <w:szCs w:val="26"/>
        </w:rPr>
      </w:pPr>
    </w:p>
    <w:p w:rsidRPr="00AE3A4C" w:rsidR="00AE3A4C" w:rsidP="0082108C" w:rsidRDefault="003B1DBD" w14:paraId="10EA43BD" w14:textId="5C0DEB74">
      <w:pPr>
        <w:ind w:left="360"/>
        <w:rPr>
          <w:b/>
          <w:bCs/>
          <w:sz w:val="26"/>
          <w:szCs w:val="26"/>
        </w:rPr>
      </w:pPr>
      <w:r w:rsidRPr="001028A2">
        <w:rPr>
          <w:b/>
          <w:sz w:val="26"/>
          <w:szCs w:val="26"/>
        </w:rPr>
        <w:t xml:space="preserve">RESOLUTION </w:t>
      </w:r>
      <w:r w:rsidR="0082108C">
        <w:rPr>
          <w:b/>
          <w:sz w:val="26"/>
          <w:szCs w:val="26"/>
        </w:rPr>
        <w:t xml:space="preserve">SED-6 </w:t>
      </w:r>
      <w:r w:rsidR="00B43C47">
        <w:rPr>
          <w:b/>
          <w:sz w:val="26"/>
          <w:szCs w:val="26"/>
        </w:rPr>
        <w:t xml:space="preserve">APPROVING ADMINISTRATIVE CONSENT ORDER AND AGREEMENT </w:t>
      </w:r>
      <w:r w:rsidR="008D7BE6">
        <w:rPr>
          <w:b/>
          <w:sz w:val="26"/>
          <w:szCs w:val="26"/>
        </w:rPr>
        <w:t>OF</w:t>
      </w:r>
      <w:r w:rsidR="00B43C47">
        <w:rPr>
          <w:b/>
          <w:sz w:val="26"/>
          <w:szCs w:val="26"/>
        </w:rPr>
        <w:t xml:space="preserve"> THE SAFETY AND ENFORCEMENT DIVISION AND</w:t>
      </w:r>
      <w:r w:rsidR="00AE3A4C">
        <w:rPr>
          <w:b/>
          <w:sz w:val="26"/>
          <w:szCs w:val="26"/>
        </w:rPr>
        <w:t xml:space="preserve"> </w:t>
      </w:r>
      <w:r w:rsidRPr="00AE3A4C" w:rsidR="00AE3A4C">
        <w:rPr>
          <w:b/>
          <w:bCs/>
          <w:sz w:val="26"/>
          <w:szCs w:val="26"/>
        </w:rPr>
        <w:t>PACIFIC GAS AND ELECTRIC COMPANY REGARDING THE 2019 KINCADE FIRE PURSUANT TO RESOLUTION M-4846</w:t>
      </w:r>
    </w:p>
    <w:p w:rsidRPr="00523F76" w:rsidR="003B1DBD" w:rsidP="003B1DBD" w:rsidRDefault="003B1DBD" w14:paraId="54510879" w14:textId="063556EC">
      <w:pPr>
        <w:tabs>
          <w:tab w:val="right" w:pos="10080"/>
        </w:tabs>
        <w:rPr>
          <w:b/>
          <w:sz w:val="26"/>
          <w:szCs w:val="26"/>
        </w:rPr>
      </w:pPr>
    </w:p>
    <w:p w:rsidRPr="005464AA" w:rsidR="003B1DBD" w:rsidP="005464AA" w:rsidRDefault="003B1DBD" w14:paraId="0F4F629A" w14:textId="27AF18E3">
      <w:pPr>
        <w:tabs>
          <w:tab w:val="right" w:pos="9360"/>
        </w:tabs>
        <w:rPr>
          <w:b/>
          <w:sz w:val="26"/>
          <w:szCs w:val="26"/>
        </w:rPr>
      </w:pPr>
      <w:r w:rsidRPr="001028A2">
        <w:rPr>
          <w:b/>
          <w:sz w:val="26"/>
          <w:szCs w:val="26"/>
        </w:rPr>
        <w:t>________________________________________________________________________</w:t>
      </w:r>
    </w:p>
    <w:p w:rsidRPr="001028A2" w:rsidR="003B1DBD" w:rsidP="001716EC" w:rsidRDefault="003B1DBD" w14:paraId="73865D99" w14:textId="77777777">
      <w:pPr>
        <w:rPr>
          <w:b/>
          <w:sz w:val="26"/>
          <w:szCs w:val="26"/>
          <w:u w:val="single"/>
        </w:rPr>
      </w:pPr>
    </w:p>
    <w:p w:rsidRPr="001028A2" w:rsidR="003B1DBD" w:rsidP="00405DB2" w:rsidRDefault="003B1DBD" w14:paraId="04C1A481" w14:textId="77777777">
      <w:pPr>
        <w:rPr>
          <w:b/>
          <w:sz w:val="26"/>
          <w:szCs w:val="26"/>
          <w:u w:val="single"/>
        </w:rPr>
      </w:pPr>
      <w:r w:rsidRPr="001028A2">
        <w:rPr>
          <w:b/>
          <w:sz w:val="26"/>
          <w:szCs w:val="26"/>
          <w:u w:val="single"/>
        </w:rPr>
        <w:t>SUMMARY</w:t>
      </w:r>
    </w:p>
    <w:p w:rsidRPr="00405DB2" w:rsidR="003B1DBD" w:rsidP="00405DB2" w:rsidRDefault="003B1DBD" w14:paraId="13D0AE53" w14:textId="2CA90A9A">
      <w:pPr>
        <w:rPr>
          <w:b/>
          <w:sz w:val="26"/>
          <w:szCs w:val="26"/>
          <w:u w:val="single"/>
        </w:rPr>
      </w:pPr>
    </w:p>
    <w:p w:rsidRPr="0082108C" w:rsidR="0023576C" w:rsidP="00F1619A" w:rsidRDefault="00F638CB" w14:paraId="7E65650D" w14:textId="2169E7B0">
      <w:pPr>
        <w:pStyle w:val="Default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In this Resolution, the California Public Utilities Commission (Commission) </w:t>
      </w:r>
      <w:bookmarkStart w:name="_Hlk86167600" w:id="0"/>
      <w:r>
        <w:rPr>
          <w:sz w:val="26"/>
          <w:szCs w:val="26"/>
        </w:rPr>
        <w:t xml:space="preserve">approves an Administrative Consent Order and Agreement </w:t>
      </w:r>
      <w:r w:rsidR="00523F76">
        <w:rPr>
          <w:sz w:val="26"/>
          <w:szCs w:val="26"/>
        </w:rPr>
        <w:t xml:space="preserve">between </w:t>
      </w:r>
      <w:r>
        <w:rPr>
          <w:sz w:val="26"/>
          <w:szCs w:val="26"/>
        </w:rPr>
        <w:t xml:space="preserve">the Commission’s Safety and Enforcement Division (SED) and </w:t>
      </w:r>
      <w:r w:rsidRPr="00AE3A4C" w:rsidR="00AE3A4C">
        <w:rPr>
          <w:sz w:val="26"/>
          <w:szCs w:val="26"/>
        </w:rPr>
        <w:t>Pacific Gas and Electric Company (PG&amp;E) to resolve all issues involving the 2019 Kincade Fire</w:t>
      </w:r>
      <w:r w:rsidR="00AE3A4C">
        <w:rPr>
          <w:sz w:val="26"/>
          <w:szCs w:val="26"/>
        </w:rPr>
        <w:t>.  PG&amp;E</w:t>
      </w:r>
      <w:r w:rsidR="0023576C">
        <w:rPr>
          <w:sz w:val="26"/>
          <w:szCs w:val="26"/>
        </w:rPr>
        <w:t xml:space="preserve"> agrees </w:t>
      </w:r>
      <w:r w:rsidRPr="008C1785" w:rsidR="008C1785">
        <w:rPr>
          <w:sz w:val="26"/>
          <w:szCs w:val="26"/>
        </w:rPr>
        <w:t xml:space="preserve">to </w:t>
      </w:r>
      <w:r w:rsidR="00AE3A4C">
        <w:rPr>
          <w:sz w:val="26"/>
          <w:szCs w:val="26"/>
        </w:rPr>
        <w:t xml:space="preserve">pay a </w:t>
      </w:r>
      <w:r w:rsidRPr="00F1619A" w:rsidR="00F1619A">
        <w:rPr>
          <w:sz w:val="26"/>
          <w:szCs w:val="26"/>
        </w:rPr>
        <w:t>$</w:t>
      </w:r>
      <w:r w:rsidR="00AE3A4C">
        <w:rPr>
          <w:sz w:val="26"/>
          <w:szCs w:val="26"/>
        </w:rPr>
        <w:t xml:space="preserve">40 million </w:t>
      </w:r>
      <w:r w:rsidR="00F1619A">
        <w:rPr>
          <w:sz w:val="26"/>
          <w:szCs w:val="26"/>
        </w:rPr>
        <w:t>f</w:t>
      </w:r>
      <w:r w:rsidRPr="00F1619A" w:rsidR="00F1619A">
        <w:rPr>
          <w:sz w:val="26"/>
          <w:szCs w:val="26"/>
        </w:rPr>
        <w:t>ine to the General Fund of the State of California</w:t>
      </w:r>
      <w:r w:rsidR="00743D12">
        <w:rPr>
          <w:sz w:val="26"/>
          <w:szCs w:val="26"/>
        </w:rPr>
        <w:t xml:space="preserve"> and</w:t>
      </w:r>
      <w:r w:rsidR="00AE3A4C">
        <w:rPr>
          <w:sz w:val="26"/>
          <w:szCs w:val="26"/>
        </w:rPr>
        <w:t xml:space="preserve"> to </w:t>
      </w:r>
      <w:r w:rsidRPr="00AE3A4C" w:rsidR="00AE3A4C">
        <w:rPr>
          <w:sz w:val="26"/>
          <w:szCs w:val="26"/>
        </w:rPr>
        <w:t>not seek rate recovery of capital expenditures in the amount of $85</w:t>
      </w:r>
      <w:r w:rsidR="00AE3A4C">
        <w:rPr>
          <w:sz w:val="26"/>
          <w:szCs w:val="26"/>
        </w:rPr>
        <w:t xml:space="preserve"> million for the permanent </w:t>
      </w:r>
      <w:r w:rsidRPr="0082108C" w:rsidR="00AE3A4C">
        <w:rPr>
          <w:color w:val="auto"/>
          <w:sz w:val="26"/>
          <w:szCs w:val="26"/>
        </w:rPr>
        <w:t>removal of abandoned transmission facilities within its service territory, for a total of $125 million.</w:t>
      </w:r>
      <w:bookmarkEnd w:id="0"/>
    </w:p>
    <w:p w:rsidRPr="00405DB2" w:rsidR="003B1DBD" w:rsidP="001716EC" w:rsidRDefault="003B1DBD" w14:paraId="47BC683D" w14:textId="73AD911E">
      <w:pPr>
        <w:rPr>
          <w:bCs/>
          <w:sz w:val="26"/>
          <w:szCs w:val="26"/>
          <w:u w:val="single"/>
        </w:rPr>
      </w:pPr>
    </w:p>
    <w:p w:rsidRPr="00405DB2" w:rsidR="003B1DBD" w:rsidP="00405DB2" w:rsidRDefault="003B1DBD" w14:paraId="21F7CDF2" w14:textId="1B7E9FD6">
      <w:pPr>
        <w:rPr>
          <w:b/>
          <w:sz w:val="26"/>
          <w:szCs w:val="26"/>
          <w:u w:val="single"/>
        </w:rPr>
      </w:pPr>
      <w:r w:rsidRPr="00405DB2">
        <w:rPr>
          <w:b/>
          <w:sz w:val="26"/>
          <w:szCs w:val="26"/>
          <w:u w:val="single"/>
        </w:rPr>
        <w:t>BACKGROUND</w:t>
      </w:r>
      <w:r w:rsidRPr="00405DB2" w:rsidR="00EF1AF9">
        <w:rPr>
          <w:b/>
          <w:sz w:val="26"/>
          <w:szCs w:val="26"/>
          <w:u w:val="single"/>
        </w:rPr>
        <w:t xml:space="preserve"> AND DISCUSSION</w:t>
      </w:r>
    </w:p>
    <w:p w:rsidRPr="00405DB2" w:rsidR="003B1DBD" w:rsidP="00405DB2" w:rsidRDefault="003B1DBD" w14:paraId="3AA471F7" w14:textId="71F61F7A">
      <w:pPr>
        <w:rPr>
          <w:bCs/>
          <w:sz w:val="26"/>
          <w:szCs w:val="26"/>
          <w:u w:val="single"/>
        </w:rPr>
      </w:pPr>
    </w:p>
    <w:p w:rsidRPr="00ED39E7" w:rsidR="005E35C5" w:rsidP="00405DB2" w:rsidRDefault="00722FB3" w14:paraId="0A228ADA" w14:textId="2484A16D">
      <w:pPr>
        <w:pStyle w:val="Default"/>
        <w:rPr>
          <w:sz w:val="26"/>
          <w:szCs w:val="26"/>
        </w:rPr>
      </w:pPr>
      <w:r w:rsidRPr="00ED39E7">
        <w:rPr>
          <w:sz w:val="26"/>
          <w:szCs w:val="26"/>
        </w:rPr>
        <w:t>Resolution ESRB-4</w:t>
      </w:r>
      <w:r w:rsidRPr="00ED39E7" w:rsidR="00E6721F">
        <w:rPr>
          <w:sz w:val="26"/>
          <w:szCs w:val="26"/>
        </w:rPr>
        <w:t xml:space="preserve">, issued in June 2014, </w:t>
      </w:r>
      <w:r w:rsidRPr="00ED39E7">
        <w:rPr>
          <w:sz w:val="26"/>
          <w:szCs w:val="26"/>
        </w:rPr>
        <w:t>direct</w:t>
      </w:r>
      <w:r w:rsidRPr="00ED39E7" w:rsidR="00C47086">
        <w:rPr>
          <w:sz w:val="26"/>
          <w:szCs w:val="26"/>
        </w:rPr>
        <w:t>s</w:t>
      </w:r>
      <w:r w:rsidRPr="00ED39E7">
        <w:rPr>
          <w:sz w:val="26"/>
          <w:szCs w:val="26"/>
        </w:rPr>
        <w:t xml:space="preserve"> all investor-owned electric utilities, including </w:t>
      </w:r>
      <w:r w:rsidR="004A78A1">
        <w:rPr>
          <w:sz w:val="26"/>
          <w:szCs w:val="26"/>
        </w:rPr>
        <w:t>PG&amp;E</w:t>
      </w:r>
      <w:r w:rsidRPr="00ED39E7">
        <w:rPr>
          <w:sz w:val="26"/>
          <w:szCs w:val="26"/>
        </w:rPr>
        <w:t>, to take remedial measures to reduce the likelihood of fires started by or threatening utility facilities.</w:t>
      </w:r>
    </w:p>
    <w:p w:rsidRPr="001028A2" w:rsidR="00722FB3" w:rsidP="00405DB2" w:rsidRDefault="00722FB3" w14:paraId="2B9F50B0" w14:textId="77777777">
      <w:pPr>
        <w:pStyle w:val="Default"/>
        <w:rPr>
          <w:sz w:val="26"/>
          <w:szCs w:val="26"/>
        </w:rPr>
      </w:pPr>
    </w:p>
    <w:p w:rsidRPr="00405DB2" w:rsidR="00592345" w:rsidP="00405DB2" w:rsidRDefault="00C42C89" w14:paraId="771061A7" w14:textId="769C70B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In 201</w:t>
      </w:r>
      <w:r w:rsidR="00322839">
        <w:rPr>
          <w:sz w:val="26"/>
          <w:szCs w:val="26"/>
        </w:rPr>
        <w:t>9</w:t>
      </w:r>
      <w:r>
        <w:rPr>
          <w:sz w:val="26"/>
          <w:szCs w:val="26"/>
        </w:rPr>
        <w:t xml:space="preserve">, the </w:t>
      </w:r>
      <w:r w:rsidR="00322839">
        <w:rPr>
          <w:sz w:val="26"/>
          <w:szCs w:val="26"/>
        </w:rPr>
        <w:t xml:space="preserve">Kincade Fire </w:t>
      </w:r>
      <w:r>
        <w:rPr>
          <w:sz w:val="26"/>
          <w:szCs w:val="26"/>
        </w:rPr>
        <w:t xml:space="preserve">occurred in </w:t>
      </w:r>
      <w:r w:rsidR="00322839">
        <w:rPr>
          <w:sz w:val="26"/>
          <w:szCs w:val="26"/>
        </w:rPr>
        <w:t xml:space="preserve">PG&amp;E’s </w:t>
      </w:r>
      <w:r>
        <w:rPr>
          <w:sz w:val="26"/>
          <w:szCs w:val="26"/>
        </w:rPr>
        <w:t>service territory</w:t>
      </w:r>
      <w:r w:rsidR="0032283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91FFE" w:rsidR="00592345">
        <w:rPr>
          <w:sz w:val="26"/>
          <w:szCs w:val="26"/>
        </w:rPr>
        <w:t>SED conducted</w:t>
      </w:r>
      <w:r w:rsidR="00322839">
        <w:rPr>
          <w:sz w:val="26"/>
          <w:szCs w:val="26"/>
        </w:rPr>
        <w:t xml:space="preserve"> an</w:t>
      </w:r>
      <w:r w:rsidRPr="00D91FFE" w:rsidR="00592345">
        <w:rPr>
          <w:sz w:val="26"/>
          <w:szCs w:val="26"/>
        </w:rPr>
        <w:t xml:space="preserve"> investigation</w:t>
      </w:r>
      <w:r w:rsidR="00322839">
        <w:rPr>
          <w:sz w:val="26"/>
          <w:szCs w:val="26"/>
        </w:rPr>
        <w:t xml:space="preserve"> of the Kincade Fire </w:t>
      </w:r>
      <w:r w:rsidR="00ED39E7">
        <w:rPr>
          <w:sz w:val="26"/>
          <w:szCs w:val="26"/>
        </w:rPr>
        <w:t>and</w:t>
      </w:r>
      <w:r w:rsidR="00D91FFE">
        <w:rPr>
          <w:sz w:val="26"/>
          <w:szCs w:val="26"/>
        </w:rPr>
        <w:t xml:space="preserve"> </w:t>
      </w:r>
      <w:r w:rsidRPr="00F1083B" w:rsidR="00D91FFE">
        <w:rPr>
          <w:sz w:val="26"/>
          <w:szCs w:val="26"/>
        </w:rPr>
        <w:t>in its investigation report</w:t>
      </w:r>
      <w:r w:rsidR="00322839">
        <w:rPr>
          <w:sz w:val="26"/>
          <w:szCs w:val="26"/>
        </w:rPr>
        <w:t xml:space="preserve"> </w:t>
      </w:r>
      <w:r w:rsidR="00442E54">
        <w:rPr>
          <w:sz w:val="26"/>
          <w:szCs w:val="26"/>
        </w:rPr>
        <w:t>identified</w:t>
      </w:r>
      <w:r w:rsidR="008A77F3">
        <w:rPr>
          <w:sz w:val="26"/>
          <w:szCs w:val="26"/>
        </w:rPr>
        <w:t xml:space="preserve"> </w:t>
      </w:r>
      <w:r w:rsidR="00EF1AF9">
        <w:rPr>
          <w:sz w:val="26"/>
          <w:szCs w:val="26"/>
        </w:rPr>
        <w:t xml:space="preserve">possible </w:t>
      </w:r>
      <w:r w:rsidRPr="00D91FFE" w:rsidR="00592345">
        <w:rPr>
          <w:sz w:val="26"/>
          <w:szCs w:val="26"/>
        </w:rPr>
        <w:t>violat</w:t>
      </w:r>
      <w:r w:rsidR="000C661F">
        <w:rPr>
          <w:sz w:val="26"/>
          <w:szCs w:val="26"/>
        </w:rPr>
        <w:t>ions</w:t>
      </w:r>
      <w:r w:rsidRPr="00D91FFE" w:rsidR="00592345">
        <w:rPr>
          <w:sz w:val="26"/>
          <w:szCs w:val="26"/>
        </w:rPr>
        <w:t xml:space="preserve"> </w:t>
      </w:r>
      <w:r w:rsidR="00ED39E7">
        <w:rPr>
          <w:sz w:val="26"/>
          <w:szCs w:val="26"/>
        </w:rPr>
        <w:t xml:space="preserve">by </w:t>
      </w:r>
      <w:r w:rsidR="00322839">
        <w:rPr>
          <w:sz w:val="26"/>
          <w:szCs w:val="26"/>
        </w:rPr>
        <w:t>PG&amp;E</w:t>
      </w:r>
      <w:r w:rsidR="00ED39E7">
        <w:rPr>
          <w:sz w:val="26"/>
          <w:szCs w:val="26"/>
        </w:rPr>
        <w:t xml:space="preserve"> </w:t>
      </w:r>
      <w:r w:rsidR="000C661F">
        <w:rPr>
          <w:sz w:val="26"/>
          <w:szCs w:val="26"/>
        </w:rPr>
        <w:t xml:space="preserve">of </w:t>
      </w:r>
      <w:r w:rsidRPr="00D91FFE" w:rsidR="00592345">
        <w:rPr>
          <w:sz w:val="26"/>
          <w:szCs w:val="26"/>
        </w:rPr>
        <w:t xml:space="preserve">provisions of the </w:t>
      </w:r>
      <w:r w:rsidRPr="00F1083B" w:rsidR="00592345">
        <w:rPr>
          <w:sz w:val="26"/>
          <w:szCs w:val="26"/>
        </w:rPr>
        <w:t>California Public Utilities Code</w:t>
      </w:r>
      <w:r w:rsidRPr="00D91FFE" w:rsidR="00592345">
        <w:rPr>
          <w:sz w:val="26"/>
          <w:szCs w:val="26"/>
        </w:rPr>
        <w:t xml:space="preserve"> and the Commission’s General Orders</w:t>
      </w:r>
      <w:r w:rsidRPr="00D91FFE" w:rsidR="00D91FFE">
        <w:rPr>
          <w:sz w:val="26"/>
          <w:szCs w:val="26"/>
        </w:rPr>
        <w:t>.</w:t>
      </w:r>
      <w:r w:rsidR="00A452EE">
        <w:rPr>
          <w:sz w:val="26"/>
          <w:szCs w:val="26"/>
        </w:rPr>
        <w:t xml:space="preserve"> SED’s investigation report is attached as </w:t>
      </w:r>
      <w:r w:rsidRPr="00620694" w:rsidR="00A452EE">
        <w:rPr>
          <w:sz w:val="26"/>
          <w:szCs w:val="26"/>
        </w:rPr>
        <w:t>Appendix</w:t>
      </w:r>
      <w:r w:rsidRPr="00620694" w:rsidR="00620694">
        <w:rPr>
          <w:sz w:val="26"/>
          <w:szCs w:val="26"/>
        </w:rPr>
        <w:t xml:space="preserve"> A.</w:t>
      </w:r>
    </w:p>
    <w:p w:rsidR="00D91FFE" w:rsidP="00405DB2" w:rsidRDefault="00D91FFE" w14:paraId="4E6A265F" w14:textId="77777777">
      <w:pPr>
        <w:pStyle w:val="Default"/>
        <w:rPr>
          <w:sz w:val="26"/>
          <w:szCs w:val="26"/>
        </w:rPr>
      </w:pPr>
    </w:p>
    <w:p w:rsidR="002672FD" w:rsidP="00405DB2" w:rsidRDefault="00A83962" w14:paraId="6B640EF5" w14:textId="28F4D50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Resolution M-4846, </w:t>
      </w:r>
      <w:r w:rsidR="00E6721F">
        <w:rPr>
          <w:sz w:val="26"/>
          <w:szCs w:val="26"/>
        </w:rPr>
        <w:t>issued in</w:t>
      </w:r>
      <w:r>
        <w:rPr>
          <w:sz w:val="26"/>
          <w:szCs w:val="26"/>
        </w:rPr>
        <w:t xml:space="preserve"> November 2020, adopted the Commission Enforcement and Penalty Policy (Enforcement Policy) </w:t>
      </w:r>
      <w:r w:rsidR="004D2212">
        <w:rPr>
          <w:sz w:val="26"/>
          <w:szCs w:val="26"/>
        </w:rPr>
        <w:t xml:space="preserve">and </w:t>
      </w:r>
      <w:r>
        <w:rPr>
          <w:sz w:val="26"/>
          <w:szCs w:val="26"/>
        </w:rPr>
        <w:t>authorize</w:t>
      </w:r>
      <w:r w:rsidR="004D2212">
        <w:rPr>
          <w:sz w:val="26"/>
          <w:szCs w:val="26"/>
        </w:rPr>
        <w:t>d</w:t>
      </w:r>
      <w:r>
        <w:rPr>
          <w:sz w:val="26"/>
          <w:szCs w:val="26"/>
        </w:rPr>
        <w:t xml:space="preserve"> Commission staff to</w:t>
      </w:r>
      <w:r w:rsidR="000825A6">
        <w:rPr>
          <w:sz w:val="26"/>
          <w:szCs w:val="26"/>
        </w:rPr>
        <w:t xml:space="preserve"> </w:t>
      </w:r>
      <w:r w:rsidR="007C2F49">
        <w:rPr>
          <w:sz w:val="26"/>
          <w:szCs w:val="26"/>
        </w:rPr>
        <w:t xml:space="preserve">negotiate and </w:t>
      </w:r>
      <w:r>
        <w:rPr>
          <w:sz w:val="26"/>
          <w:szCs w:val="26"/>
        </w:rPr>
        <w:t>propose an Administrative Consent Order to resolve a</w:t>
      </w:r>
      <w:r w:rsidR="00084CAE">
        <w:rPr>
          <w:sz w:val="26"/>
          <w:szCs w:val="26"/>
        </w:rPr>
        <w:t>n</w:t>
      </w:r>
      <w:r>
        <w:rPr>
          <w:sz w:val="26"/>
          <w:szCs w:val="26"/>
        </w:rPr>
        <w:t xml:space="preserve"> </w:t>
      </w:r>
      <w:r w:rsidR="005E35C5">
        <w:rPr>
          <w:sz w:val="26"/>
          <w:szCs w:val="26"/>
        </w:rPr>
        <w:t>enforcement matter</w:t>
      </w:r>
      <w:r w:rsidR="00E6721F">
        <w:rPr>
          <w:sz w:val="26"/>
          <w:szCs w:val="26"/>
        </w:rPr>
        <w:t>, subject to review and consideration by the Commission.</w:t>
      </w:r>
      <w:r w:rsidRPr="0082108C" w:rsidR="00333133">
        <w:rPr>
          <w:rStyle w:val="FootnoteReference"/>
          <w:b/>
          <w:bCs/>
          <w:sz w:val="26"/>
          <w:szCs w:val="26"/>
          <w:u w:val="single"/>
        </w:rPr>
        <w:footnoteReference w:id="1"/>
      </w:r>
      <w:r w:rsidR="00E6721F">
        <w:rPr>
          <w:sz w:val="26"/>
          <w:szCs w:val="26"/>
        </w:rPr>
        <w:t xml:space="preserve"> </w:t>
      </w:r>
    </w:p>
    <w:p w:rsidR="003B1DBD" w:rsidP="0082108C" w:rsidRDefault="00E43153" w14:paraId="537DF716" w14:textId="0189319B">
      <w:pPr>
        <w:pStyle w:val="Defaul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SED and </w:t>
      </w:r>
      <w:r w:rsidR="00084CAE">
        <w:rPr>
          <w:sz w:val="26"/>
          <w:szCs w:val="26"/>
        </w:rPr>
        <w:t>PG&amp;E</w:t>
      </w:r>
      <w:r>
        <w:rPr>
          <w:sz w:val="26"/>
          <w:szCs w:val="26"/>
        </w:rPr>
        <w:t xml:space="preserve"> executed the </w:t>
      </w:r>
      <w:bookmarkStart w:name="_Hlk86206954" w:id="1"/>
      <w:r>
        <w:rPr>
          <w:sz w:val="26"/>
          <w:szCs w:val="26"/>
        </w:rPr>
        <w:t>attached Administrative Consent Order and Agreement</w:t>
      </w:r>
      <w:bookmarkEnd w:id="1"/>
      <w:r>
        <w:rPr>
          <w:sz w:val="26"/>
          <w:szCs w:val="26"/>
        </w:rPr>
        <w:t xml:space="preserve">, </w:t>
      </w:r>
      <w:r w:rsidR="00EF1AF9">
        <w:rPr>
          <w:sz w:val="26"/>
          <w:szCs w:val="26"/>
        </w:rPr>
        <w:t xml:space="preserve">pursuant to and consistent with the Enforcement Policy, </w:t>
      </w:r>
      <w:r>
        <w:rPr>
          <w:sz w:val="26"/>
          <w:szCs w:val="26"/>
        </w:rPr>
        <w:t xml:space="preserve">which resolves all issues related to SED’s investigations of the </w:t>
      </w:r>
      <w:r w:rsidR="00084CAE">
        <w:rPr>
          <w:sz w:val="26"/>
          <w:szCs w:val="26"/>
        </w:rPr>
        <w:t xml:space="preserve">2019 Kincade </w:t>
      </w:r>
      <w:r w:rsidRPr="00BB63B2">
        <w:rPr>
          <w:sz w:val="26"/>
          <w:szCs w:val="26"/>
        </w:rPr>
        <w:t>Fire</w:t>
      </w:r>
      <w:r w:rsidR="003D7807">
        <w:rPr>
          <w:sz w:val="26"/>
          <w:szCs w:val="26"/>
        </w:rPr>
        <w:t xml:space="preserve"> and any enforcement action SED might have brought related to or arising from the </w:t>
      </w:r>
      <w:r w:rsidR="00084CAE">
        <w:rPr>
          <w:sz w:val="26"/>
          <w:szCs w:val="26"/>
        </w:rPr>
        <w:t xml:space="preserve">2019 Kincade </w:t>
      </w:r>
      <w:r w:rsidR="003D7807">
        <w:rPr>
          <w:sz w:val="26"/>
          <w:szCs w:val="26"/>
        </w:rPr>
        <w:t>Fire</w:t>
      </w:r>
      <w:r>
        <w:rPr>
          <w:sz w:val="26"/>
          <w:szCs w:val="26"/>
        </w:rPr>
        <w:t>.</w:t>
      </w:r>
      <w:r w:rsidR="00EF1AF9">
        <w:rPr>
          <w:sz w:val="26"/>
          <w:szCs w:val="26"/>
        </w:rPr>
        <w:t xml:space="preserve"> </w:t>
      </w:r>
      <w:r w:rsidR="00BB6AC7">
        <w:rPr>
          <w:sz w:val="26"/>
          <w:szCs w:val="26"/>
        </w:rPr>
        <w:t xml:space="preserve">In accordance with the Enforcement Policy, the proposed </w:t>
      </w:r>
      <w:r w:rsidR="00333133">
        <w:rPr>
          <w:sz w:val="26"/>
          <w:szCs w:val="26"/>
        </w:rPr>
        <w:t xml:space="preserve">settlement </w:t>
      </w:r>
      <w:r w:rsidR="00BB6AC7">
        <w:rPr>
          <w:sz w:val="26"/>
          <w:szCs w:val="26"/>
        </w:rPr>
        <w:t xml:space="preserve">between SED and </w:t>
      </w:r>
      <w:r w:rsidR="003C7852">
        <w:rPr>
          <w:sz w:val="26"/>
          <w:szCs w:val="26"/>
        </w:rPr>
        <w:t>PG&amp;E</w:t>
      </w:r>
      <w:r w:rsidR="00BB6AC7">
        <w:rPr>
          <w:sz w:val="26"/>
          <w:szCs w:val="26"/>
        </w:rPr>
        <w:t xml:space="preserve"> </w:t>
      </w:r>
      <w:r w:rsidR="006D7F98">
        <w:rPr>
          <w:sz w:val="26"/>
          <w:szCs w:val="26"/>
        </w:rPr>
        <w:t xml:space="preserve">(collectively, Parties) </w:t>
      </w:r>
      <w:r w:rsidR="00BB6AC7">
        <w:rPr>
          <w:sz w:val="26"/>
          <w:szCs w:val="26"/>
        </w:rPr>
        <w:t xml:space="preserve">is </w:t>
      </w:r>
      <w:r w:rsidR="00333133">
        <w:rPr>
          <w:sz w:val="26"/>
          <w:szCs w:val="26"/>
        </w:rPr>
        <w:t xml:space="preserve">memorialized in </w:t>
      </w:r>
      <w:r w:rsidR="00BB6AC7">
        <w:rPr>
          <w:sz w:val="26"/>
          <w:szCs w:val="26"/>
        </w:rPr>
        <w:t xml:space="preserve">the attached </w:t>
      </w:r>
      <w:r w:rsidR="00333133">
        <w:rPr>
          <w:sz w:val="26"/>
          <w:szCs w:val="26"/>
        </w:rPr>
        <w:t>Administrative Consent Order</w:t>
      </w:r>
      <w:r w:rsidR="00BB6AC7">
        <w:rPr>
          <w:sz w:val="26"/>
          <w:szCs w:val="26"/>
        </w:rPr>
        <w:t xml:space="preserve"> and Agreement</w:t>
      </w:r>
      <w:r w:rsidR="00084CAE">
        <w:rPr>
          <w:sz w:val="26"/>
          <w:szCs w:val="26"/>
        </w:rPr>
        <w:t>.</w:t>
      </w:r>
      <w:r w:rsidR="00BB6AC7">
        <w:rPr>
          <w:sz w:val="26"/>
          <w:szCs w:val="26"/>
        </w:rPr>
        <w:t xml:space="preserve"> </w:t>
      </w:r>
    </w:p>
    <w:p w:rsidR="004E09D7" w:rsidP="0082108C" w:rsidRDefault="004E09D7" w14:paraId="222B4018" w14:textId="77777777">
      <w:pPr>
        <w:pStyle w:val="Default"/>
        <w:rPr>
          <w:sz w:val="26"/>
          <w:szCs w:val="26"/>
        </w:rPr>
      </w:pPr>
    </w:p>
    <w:p w:rsidRPr="001028A2" w:rsidR="00B159F6" w:rsidP="0082108C" w:rsidRDefault="003866DA" w14:paraId="0E746766" w14:textId="4FE61D0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Pr="003866DA">
        <w:rPr>
          <w:sz w:val="26"/>
          <w:szCs w:val="26"/>
        </w:rPr>
        <w:t xml:space="preserve">Enforcement Policy </w:t>
      </w:r>
      <w:r w:rsidR="008C21C9">
        <w:rPr>
          <w:sz w:val="26"/>
          <w:szCs w:val="26"/>
        </w:rPr>
        <w:t>provides</w:t>
      </w:r>
      <w:r w:rsidRPr="003866DA">
        <w:rPr>
          <w:sz w:val="26"/>
          <w:szCs w:val="26"/>
        </w:rPr>
        <w:t xml:space="preserve"> that “the following</w:t>
      </w:r>
      <w:r>
        <w:rPr>
          <w:sz w:val="26"/>
          <w:szCs w:val="26"/>
        </w:rPr>
        <w:t xml:space="preserve"> </w:t>
      </w:r>
      <w:r w:rsidRPr="003866DA">
        <w:rPr>
          <w:sz w:val="26"/>
          <w:szCs w:val="26"/>
        </w:rPr>
        <w:t>general considerations should be evaluated as part of any proposed settlement to be</w:t>
      </w:r>
      <w:r>
        <w:rPr>
          <w:sz w:val="26"/>
          <w:szCs w:val="26"/>
        </w:rPr>
        <w:t xml:space="preserve"> </w:t>
      </w:r>
      <w:r w:rsidRPr="003866DA">
        <w:rPr>
          <w:sz w:val="26"/>
          <w:szCs w:val="26"/>
        </w:rPr>
        <w:t>submitted for Commission review:</w:t>
      </w:r>
      <w:r w:rsidR="008C21C9">
        <w:rPr>
          <w:sz w:val="26"/>
          <w:szCs w:val="26"/>
        </w:rPr>
        <w:t xml:space="preserve"> </w:t>
      </w:r>
      <w:r w:rsidRPr="003866DA">
        <w:rPr>
          <w:sz w:val="26"/>
          <w:szCs w:val="26"/>
        </w:rPr>
        <w:t>1</w:t>
      </w:r>
      <w:r w:rsidR="0053024C">
        <w:rPr>
          <w:sz w:val="26"/>
          <w:szCs w:val="26"/>
        </w:rPr>
        <w:t>.</w:t>
      </w:r>
      <w:r w:rsidR="00D95F93">
        <w:rPr>
          <w:sz w:val="26"/>
          <w:szCs w:val="26"/>
        </w:rPr>
        <w:t> </w:t>
      </w:r>
      <w:r w:rsidRPr="003866DA">
        <w:rPr>
          <w:sz w:val="26"/>
          <w:szCs w:val="26"/>
        </w:rPr>
        <w:t xml:space="preserve">Equitable Factors; 2. </w:t>
      </w:r>
      <w:r w:rsidRPr="001C070D">
        <w:rPr>
          <w:sz w:val="26"/>
          <w:szCs w:val="26"/>
        </w:rPr>
        <w:t>Mitigating circumstances; 3. Evidentiary issues; and 4.</w:t>
      </w:r>
      <w:r w:rsidR="00D95F93">
        <w:rPr>
          <w:sz w:val="26"/>
          <w:szCs w:val="26"/>
        </w:rPr>
        <w:t> </w:t>
      </w:r>
      <w:r w:rsidRPr="001C070D">
        <w:rPr>
          <w:sz w:val="26"/>
          <w:szCs w:val="26"/>
        </w:rPr>
        <w:t>Other weaknesses in the enforcement action[.]”</w:t>
      </w:r>
      <w:r w:rsidRPr="0053024C" w:rsidR="001C070D">
        <w:rPr>
          <w:b/>
          <w:bCs/>
          <w:sz w:val="26"/>
          <w:szCs w:val="26"/>
          <w:u w:val="single"/>
          <w:vertAlign w:val="superscript"/>
        </w:rPr>
        <w:footnoteReference w:id="2"/>
      </w:r>
      <w:r w:rsidRPr="001C070D">
        <w:rPr>
          <w:sz w:val="26"/>
          <w:szCs w:val="26"/>
        </w:rPr>
        <w:t xml:space="preserve">  T</w:t>
      </w:r>
      <w:r w:rsidRPr="003866DA">
        <w:rPr>
          <w:sz w:val="26"/>
          <w:szCs w:val="26"/>
        </w:rPr>
        <w:t>he</w:t>
      </w:r>
      <w:r>
        <w:rPr>
          <w:sz w:val="26"/>
          <w:szCs w:val="26"/>
        </w:rPr>
        <w:t xml:space="preserve"> </w:t>
      </w:r>
      <w:r w:rsidRPr="003866DA">
        <w:rPr>
          <w:sz w:val="26"/>
          <w:szCs w:val="26"/>
        </w:rPr>
        <w:t>Parties explicitly considered these factors in their confidential settlement</w:t>
      </w:r>
      <w:r>
        <w:rPr>
          <w:sz w:val="26"/>
          <w:szCs w:val="26"/>
        </w:rPr>
        <w:t xml:space="preserve"> </w:t>
      </w:r>
      <w:r w:rsidRPr="003866DA">
        <w:rPr>
          <w:sz w:val="26"/>
          <w:szCs w:val="26"/>
        </w:rPr>
        <w:t>communications</w:t>
      </w:r>
      <w:r w:rsidR="00084CAE">
        <w:rPr>
          <w:sz w:val="26"/>
          <w:szCs w:val="26"/>
        </w:rPr>
        <w:t xml:space="preserve"> under </w:t>
      </w:r>
      <w:r w:rsidRPr="003866DA">
        <w:rPr>
          <w:sz w:val="26"/>
          <w:szCs w:val="26"/>
        </w:rPr>
        <w:t>Rule 12.6 of the Commission’s</w:t>
      </w:r>
      <w:r>
        <w:rPr>
          <w:sz w:val="26"/>
          <w:szCs w:val="26"/>
        </w:rPr>
        <w:t xml:space="preserve"> </w:t>
      </w:r>
      <w:r w:rsidRPr="003866DA">
        <w:rPr>
          <w:sz w:val="26"/>
          <w:szCs w:val="26"/>
        </w:rPr>
        <w:t>Rules of Practice and Procedure</w:t>
      </w:r>
      <w:r w:rsidR="00084CAE">
        <w:rPr>
          <w:sz w:val="26"/>
          <w:szCs w:val="26"/>
        </w:rPr>
        <w:t xml:space="preserve">. </w:t>
      </w:r>
      <w:r w:rsidRPr="003866DA">
        <w:rPr>
          <w:sz w:val="26"/>
          <w:szCs w:val="26"/>
        </w:rPr>
        <w:t xml:space="preserve">SED </w:t>
      </w:r>
      <w:r w:rsidR="00084CAE">
        <w:rPr>
          <w:sz w:val="26"/>
          <w:szCs w:val="26"/>
        </w:rPr>
        <w:t xml:space="preserve">acknowledges PG&amp;E’s </w:t>
      </w:r>
      <w:r w:rsidRPr="003866DA">
        <w:rPr>
          <w:sz w:val="26"/>
          <w:szCs w:val="26"/>
        </w:rPr>
        <w:t xml:space="preserve">cooperation with SED on the negotiation of </w:t>
      </w:r>
      <w:r>
        <w:rPr>
          <w:sz w:val="26"/>
          <w:szCs w:val="26"/>
        </w:rPr>
        <w:t>the Administrative Consent Order</w:t>
      </w:r>
      <w:r w:rsidRPr="006E5E46">
        <w:rPr>
          <w:sz w:val="26"/>
          <w:szCs w:val="26"/>
        </w:rPr>
        <w:t xml:space="preserve"> </w:t>
      </w:r>
      <w:r>
        <w:rPr>
          <w:sz w:val="26"/>
          <w:szCs w:val="26"/>
        </w:rPr>
        <w:t>and Agreement</w:t>
      </w:r>
      <w:r w:rsidRPr="003866DA">
        <w:rPr>
          <w:sz w:val="26"/>
          <w:szCs w:val="26"/>
        </w:rPr>
        <w:t>, and SED explicitly</w:t>
      </w:r>
      <w:r>
        <w:rPr>
          <w:sz w:val="26"/>
          <w:szCs w:val="26"/>
        </w:rPr>
        <w:t xml:space="preserve"> </w:t>
      </w:r>
      <w:r w:rsidRPr="003866DA">
        <w:rPr>
          <w:sz w:val="26"/>
          <w:szCs w:val="26"/>
        </w:rPr>
        <w:t>considered a range of evidentiary and other matters that would bear upon its pursuit</w:t>
      </w:r>
      <w:r>
        <w:rPr>
          <w:sz w:val="26"/>
          <w:szCs w:val="26"/>
        </w:rPr>
        <w:t xml:space="preserve"> </w:t>
      </w:r>
      <w:r w:rsidRPr="003866DA">
        <w:rPr>
          <w:sz w:val="26"/>
          <w:szCs w:val="26"/>
        </w:rPr>
        <w:t>of enforcement actions seeking penalties or citations on disputed issues of fact and</w:t>
      </w:r>
      <w:r>
        <w:rPr>
          <w:sz w:val="26"/>
          <w:szCs w:val="26"/>
        </w:rPr>
        <w:t xml:space="preserve"> </w:t>
      </w:r>
      <w:r w:rsidRPr="003866DA">
        <w:rPr>
          <w:sz w:val="26"/>
          <w:szCs w:val="26"/>
        </w:rPr>
        <w:t xml:space="preserve">law. </w:t>
      </w:r>
      <w:r>
        <w:rPr>
          <w:sz w:val="26"/>
          <w:szCs w:val="26"/>
        </w:rPr>
        <w:t xml:space="preserve"> </w:t>
      </w:r>
      <w:r w:rsidRPr="003866DA">
        <w:rPr>
          <w:sz w:val="26"/>
          <w:szCs w:val="26"/>
        </w:rPr>
        <w:t xml:space="preserve">When taken as a whole, the Parties agree that the ACO </w:t>
      </w:r>
      <w:r w:rsidR="00364C3F">
        <w:rPr>
          <w:sz w:val="26"/>
          <w:szCs w:val="26"/>
        </w:rPr>
        <w:t>a</w:t>
      </w:r>
      <w:r w:rsidRPr="003866DA">
        <w:rPr>
          <w:sz w:val="26"/>
          <w:szCs w:val="26"/>
        </w:rPr>
        <w:t>mounts are within the range of reasonable outcomes had the matters proceeded to formal</w:t>
      </w:r>
      <w:r>
        <w:rPr>
          <w:sz w:val="26"/>
          <w:szCs w:val="26"/>
        </w:rPr>
        <w:t xml:space="preserve"> </w:t>
      </w:r>
      <w:r w:rsidRPr="003866DA">
        <w:rPr>
          <w:sz w:val="26"/>
          <w:szCs w:val="26"/>
        </w:rPr>
        <w:t>litigation.</w:t>
      </w:r>
    </w:p>
    <w:p w:rsidRPr="001028A2" w:rsidR="00426552" w:rsidP="003B1DBD" w:rsidRDefault="00426552" w14:paraId="22C6B096" w14:textId="77777777">
      <w:pPr>
        <w:tabs>
          <w:tab w:val="right" w:pos="10080"/>
        </w:tabs>
        <w:jc w:val="both"/>
        <w:rPr>
          <w:sz w:val="26"/>
          <w:szCs w:val="26"/>
        </w:rPr>
      </w:pPr>
    </w:p>
    <w:p w:rsidRPr="0082108C" w:rsidR="003B1DBD" w:rsidP="0082108C" w:rsidRDefault="003B1DBD" w14:paraId="227CEE9F" w14:textId="47213EFD">
      <w:pPr>
        <w:tabs>
          <w:tab w:val="right" w:pos="10080"/>
        </w:tabs>
        <w:jc w:val="both"/>
        <w:rPr>
          <w:b/>
          <w:bCs/>
          <w:sz w:val="26"/>
          <w:szCs w:val="26"/>
          <w:u w:val="single"/>
        </w:rPr>
      </w:pPr>
      <w:r w:rsidRPr="0082108C">
        <w:rPr>
          <w:b/>
          <w:bCs/>
          <w:sz w:val="26"/>
          <w:szCs w:val="26"/>
          <w:u w:val="single"/>
        </w:rPr>
        <w:t>COMMENTS</w:t>
      </w:r>
      <w:r w:rsidRPr="0082108C" w:rsidR="00D86502">
        <w:rPr>
          <w:b/>
          <w:bCs/>
          <w:sz w:val="26"/>
          <w:szCs w:val="26"/>
          <w:u w:val="single"/>
        </w:rPr>
        <w:t xml:space="preserve"> ON DRAFT RESOLUTION</w:t>
      </w:r>
    </w:p>
    <w:p w:rsidRPr="0082108C" w:rsidR="003B1DBD" w:rsidP="0082108C" w:rsidRDefault="003B1DBD" w14:paraId="2DDB0542" w14:textId="77777777">
      <w:pPr>
        <w:tabs>
          <w:tab w:val="right" w:pos="10080"/>
        </w:tabs>
        <w:jc w:val="both"/>
        <w:rPr>
          <w:sz w:val="26"/>
          <w:szCs w:val="26"/>
        </w:rPr>
      </w:pPr>
    </w:p>
    <w:p w:rsidR="0082108C" w:rsidP="0082108C" w:rsidRDefault="003F33C2" w14:paraId="1F56E23C" w14:textId="4A237E76">
      <w:pPr>
        <w:pStyle w:val="Default"/>
        <w:rPr>
          <w:sz w:val="26"/>
          <w:szCs w:val="26"/>
        </w:rPr>
      </w:pPr>
      <w:r w:rsidRPr="001028A2">
        <w:rPr>
          <w:sz w:val="26"/>
          <w:szCs w:val="26"/>
        </w:rPr>
        <w:t xml:space="preserve">The Draft Resolution was </w:t>
      </w:r>
      <w:r w:rsidR="00C72D36">
        <w:rPr>
          <w:sz w:val="26"/>
          <w:szCs w:val="26"/>
        </w:rPr>
        <w:t xml:space="preserve">served on </w:t>
      </w:r>
      <w:r w:rsidR="003C7852">
        <w:rPr>
          <w:sz w:val="26"/>
          <w:szCs w:val="26"/>
        </w:rPr>
        <w:t>PG&amp;E</w:t>
      </w:r>
      <w:r w:rsidRPr="0014653E" w:rsidR="00DD5204">
        <w:rPr>
          <w:sz w:val="26"/>
          <w:szCs w:val="26"/>
        </w:rPr>
        <w:t xml:space="preserve"> and other interested parties</w:t>
      </w:r>
      <w:r w:rsidRPr="00C72D36">
        <w:rPr>
          <w:sz w:val="26"/>
          <w:szCs w:val="26"/>
        </w:rPr>
        <w:t xml:space="preserve"> </w:t>
      </w:r>
      <w:r w:rsidRPr="001028A2">
        <w:rPr>
          <w:sz w:val="26"/>
          <w:szCs w:val="26"/>
        </w:rPr>
        <w:t xml:space="preserve">on November </w:t>
      </w:r>
      <w:r w:rsidR="00C75C84">
        <w:rPr>
          <w:sz w:val="26"/>
          <w:szCs w:val="26"/>
        </w:rPr>
        <w:t>2</w:t>
      </w:r>
      <w:r w:rsidRPr="001028A2">
        <w:rPr>
          <w:sz w:val="26"/>
          <w:szCs w:val="26"/>
        </w:rPr>
        <w:t xml:space="preserve">, 2021, in accordance with Cal. Pub. Util. Code § 311(g).  </w:t>
      </w:r>
      <w:r w:rsidR="00537E67">
        <w:rPr>
          <w:sz w:val="26"/>
          <w:szCs w:val="26"/>
        </w:rPr>
        <w:t xml:space="preserve">Comments were </w:t>
      </w:r>
      <w:r w:rsidRPr="001028A2">
        <w:rPr>
          <w:sz w:val="26"/>
          <w:szCs w:val="26"/>
        </w:rPr>
        <w:t xml:space="preserve">received </w:t>
      </w:r>
      <w:r w:rsidR="00537E67">
        <w:rPr>
          <w:sz w:val="26"/>
          <w:szCs w:val="26"/>
        </w:rPr>
        <w:t>from</w:t>
      </w:r>
      <w:r w:rsidR="0010030A">
        <w:rPr>
          <w:sz w:val="26"/>
          <w:szCs w:val="26"/>
        </w:rPr>
        <w:t xml:space="preserve"> </w:t>
      </w:r>
      <w:r w:rsidR="006C3017">
        <w:rPr>
          <w:sz w:val="26"/>
          <w:szCs w:val="26"/>
        </w:rPr>
        <w:t xml:space="preserve">the County of </w:t>
      </w:r>
      <w:r w:rsidR="0010030A">
        <w:rPr>
          <w:sz w:val="26"/>
          <w:szCs w:val="26"/>
        </w:rPr>
        <w:t>Sonoma</w:t>
      </w:r>
      <w:r w:rsidR="006C3017">
        <w:rPr>
          <w:sz w:val="26"/>
          <w:szCs w:val="26"/>
        </w:rPr>
        <w:t xml:space="preserve"> (Sonoma)</w:t>
      </w:r>
      <w:r w:rsidR="0010030A">
        <w:rPr>
          <w:sz w:val="26"/>
          <w:szCs w:val="26"/>
        </w:rPr>
        <w:t xml:space="preserve">, </w:t>
      </w:r>
      <w:r w:rsidRPr="0010030A" w:rsidR="0010030A">
        <w:rPr>
          <w:sz w:val="26"/>
          <w:szCs w:val="26"/>
        </w:rPr>
        <w:t>Calpine Corporation and its indirect, wholly-owned subsidiary Geysers Power Company, LLC (collectively Calpine)</w:t>
      </w:r>
      <w:r w:rsidR="0010030A">
        <w:rPr>
          <w:sz w:val="26"/>
          <w:szCs w:val="26"/>
        </w:rPr>
        <w:t>, and joint</w:t>
      </w:r>
      <w:r w:rsidR="006C3017">
        <w:rPr>
          <w:sz w:val="26"/>
          <w:szCs w:val="26"/>
        </w:rPr>
        <w:t>ly</w:t>
      </w:r>
      <w:r w:rsidR="0010030A">
        <w:rPr>
          <w:sz w:val="26"/>
          <w:szCs w:val="26"/>
        </w:rPr>
        <w:t xml:space="preserve"> from The Utility Reform Network (TURN) and the </w:t>
      </w:r>
      <w:r w:rsidRPr="006C3017" w:rsidR="006C3017">
        <w:rPr>
          <w:sz w:val="26"/>
          <w:szCs w:val="26"/>
        </w:rPr>
        <w:t>Public Advocates Office at the California Public Utilities Commission (Cal Advocates)</w:t>
      </w:r>
      <w:r w:rsidR="006C3017">
        <w:rPr>
          <w:sz w:val="26"/>
          <w:szCs w:val="26"/>
        </w:rPr>
        <w:t>.</w:t>
      </w:r>
      <w:r w:rsidRPr="0010030A" w:rsidR="0010030A">
        <w:rPr>
          <w:sz w:val="26"/>
          <w:szCs w:val="26"/>
        </w:rPr>
        <w:t xml:space="preserve"> </w:t>
      </w:r>
    </w:p>
    <w:p w:rsidR="00A60057" w:rsidP="0082108C" w:rsidRDefault="00A60057" w14:paraId="41D8FEE4" w14:textId="3CB73B15">
      <w:pPr>
        <w:pStyle w:val="Default"/>
        <w:rPr>
          <w:sz w:val="26"/>
          <w:szCs w:val="26"/>
        </w:rPr>
      </w:pPr>
    </w:p>
    <w:p w:rsidR="00A60057" w:rsidP="0082108C" w:rsidRDefault="00A60057" w14:paraId="5C626EB1" w14:textId="695103A1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Sonoma </w:t>
      </w:r>
      <w:r w:rsidR="006D04ED">
        <w:rPr>
          <w:sz w:val="26"/>
          <w:szCs w:val="26"/>
        </w:rPr>
        <w:t>expressed concern about the risk of the remaining abandoned transmission facilities</w:t>
      </w:r>
      <w:r w:rsidR="0006724D">
        <w:rPr>
          <w:sz w:val="26"/>
          <w:szCs w:val="26"/>
        </w:rPr>
        <w:t>,</w:t>
      </w:r>
      <w:r w:rsidR="006D04ED">
        <w:rPr>
          <w:sz w:val="26"/>
          <w:szCs w:val="26"/>
        </w:rPr>
        <w:t xml:space="preserve"> and </w:t>
      </w:r>
      <w:r>
        <w:rPr>
          <w:sz w:val="26"/>
          <w:szCs w:val="26"/>
        </w:rPr>
        <w:t xml:space="preserve">requested that more detail be made available about PG&amp;E’s workplan for </w:t>
      </w:r>
      <w:r w:rsidR="006D04ED">
        <w:rPr>
          <w:sz w:val="26"/>
          <w:szCs w:val="26"/>
        </w:rPr>
        <w:t xml:space="preserve">those </w:t>
      </w:r>
      <w:r>
        <w:rPr>
          <w:sz w:val="26"/>
          <w:szCs w:val="26"/>
        </w:rPr>
        <w:t xml:space="preserve">facilities, </w:t>
      </w:r>
      <w:r w:rsidR="006D04ED">
        <w:rPr>
          <w:sz w:val="26"/>
          <w:szCs w:val="26"/>
        </w:rPr>
        <w:t xml:space="preserve">particularly any </w:t>
      </w:r>
      <w:r w:rsidR="00534B29">
        <w:rPr>
          <w:sz w:val="26"/>
          <w:szCs w:val="26"/>
        </w:rPr>
        <w:t>such facilities located in Sonoma County.</w:t>
      </w:r>
      <w:r w:rsidRPr="0053024C" w:rsidR="00F767D9">
        <w:rPr>
          <w:rStyle w:val="FootnoteReference"/>
          <w:b/>
          <w:bCs/>
          <w:sz w:val="26"/>
          <w:szCs w:val="26"/>
          <w:u w:val="single"/>
        </w:rPr>
        <w:footnoteReference w:id="3"/>
      </w:r>
      <w:r w:rsidR="00534B29">
        <w:rPr>
          <w:sz w:val="26"/>
          <w:szCs w:val="26"/>
        </w:rPr>
        <w:t xml:space="preserve"> </w:t>
      </w:r>
      <w:r w:rsidR="0053024C">
        <w:rPr>
          <w:sz w:val="26"/>
          <w:szCs w:val="26"/>
        </w:rPr>
        <w:t xml:space="preserve"> </w:t>
      </w:r>
      <w:r w:rsidR="006D04ED">
        <w:rPr>
          <w:sz w:val="26"/>
          <w:szCs w:val="26"/>
        </w:rPr>
        <w:t xml:space="preserve">PG&amp;E has communicated to SED that </w:t>
      </w:r>
      <w:r w:rsidRPr="003679C8" w:rsidR="003679C8">
        <w:rPr>
          <w:sz w:val="26"/>
          <w:szCs w:val="26"/>
        </w:rPr>
        <w:t xml:space="preserve">only two </w:t>
      </w:r>
      <w:r w:rsidR="006D462C">
        <w:rPr>
          <w:sz w:val="26"/>
          <w:szCs w:val="26"/>
        </w:rPr>
        <w:t xml:space="preserve">of the identified </w:t>
      </w:r>
      <w:r w:rsidRPr="003679C8" w:rsidR="003679C8">
        <w:rPr>
          <w:sz w:val="26"/>
          <w:szCs w:val="26"/>
        </w:rPr>
        <w:t xml:space="preserve">lines </w:t>
      </w:r>
      <w:r w:rsidR="003679C8">
        <w:rPr>
          <w:sz w:val="26"/>
          <w:szCs w:val="26"/>
        </w:rPr>
        <w:t xml:space="preserve">remain </w:t>
      </w:r>
      <w:r w:rsidRPr="003679C8" w:rsidR="003679C8">
        <w:rPr>
          <w:sz w:val="26"/>
          <w:szCs w:val="26"/>
        </w:rPr>
        <w:t>energized</w:t>
      </w:r>
      <w:r w:rsidR="003679C8">
        <w:rPr>
          <w:sz w:val="26"/>
          <w:szCs w:val="26"/>
        </w:rPr>
        <w:t>, and those are</w:t>
      </w:r>
      <w:r w:rsidRPr="003679C8" w:rsidR="003679C8">
        <w:rPr>
          <w:sz w:val="26"/>
          <w:szCs w:val="26"/>
        </w:rPr>
        <w:t xml:space="preserve"> at distribution level voltages</w:t>
      </w:r>
      <w:r w:rsidR="003679C8">
        <w:rPr>
          <w:sz w:val="26"/>
          <w:szCs w:val="26"/>
        </w:rPr>
        <w:t xml:space="preserve">; all other </w:t>
      </w:r>
      <w:r w:rsidR="006D04ED">
        <w:rPr>
          <w:sz w:val="26"/>
          <w:szCs w:val="26"/>
        </w:rPr>
        <w:t xml:space="preserve">facilities </w:t>
      </w:r>
      <w:r w:rsidR="003679C8">
        <w:rPr>
          <w:sz w:val="26"/>
          <w:szCs w:val="26"/>
        </w:rPr>
        <w:t xml:space="preserve">that </w:t>
      </w:r>
      <w:r w:rsidR="006D04ED">
        <w:rPr>
          <w:sz w:val="26"/>
          <w:szCs w:val="26"/>
        </w:rPr>
        <w:t xml:space="preserve">it has identified as abandoned have been de-energized. </w:t>
      </w:r>
      <w:r w:rsidR="0053024C">
        <w:rPr>
          <w:sz w:val="26"/>
          <w:szCs w:val="26"/>
        </w:rPr>
        <w:t xml:space="preserve"> </w:t>
      </w:r>
      <w:r w:rsidR="006D04ED">
        <w:rPr>
          <w:sz w:val="26"/>
          <w:szCs w:val="26"/>
        </w:rPr>
        <w:t xml:space="preserve">The </w:t>
      </w:r>
      <w:r w:rsidR="00BD1EE4">
        <w:rPr>
          <w:sz w:val="26"/>
          <w:szCs w:val="26"/>
        </w:rPr>
        <w:t xml:space="preserve">locations of the abandoned transmission facilities in </w:t>
      </w:r>
      <w:r w:rsidR="00534B29">
        <w:rPr>
          <w:sz w:val="26"/>
          <w:szCs w:val="26"/>
        </w:rPr>
        <w:t>PG&amp;E’s workplan will be made public</w:t>
      </w:r>
      <w:r w:rsidR="00BD1EE4">
        <w:rPr>
          <w:sz w:val="26"/>
          <w:szCs w:val="26"/>
        </w:rPr>
        <w:t>, and</w:t>
      </w:r>
      <w:r w:rsidR="00534B29">
        <w:rPr>
          <w:sz w:val="26"/>
          <w:szCs w:val="26"/>
        </w:rPr>
        <w:t xml:space="preserve"> PG&amp;E is directed to communicate directly with Sonoma regarding any facilities in the workplan located in Sonoma County.</w:t>
      </w:r>
    </w:p>
    <w:p w:rsidR="00534B29" w:rsidP="0082108C" w:rsidRDefault="00534B29" w14:paraId="23AD681A" w14:textId="4E7F7EAB">
      <w:pPr>
        <w:pStyle w:val="Default"/>
        <w:rPr>
          <w:sz w:val="26"/>
          <w:szCs w:val="26"/>
        </w:rPr>
      </w:pPr>
    </w:p>
    <w:p w:rsidR="00534B29" w:rsidP="0082108C" w:rsidRDefault="00534B29" w14:paraId="0C2B3C11" w14:textId="2F34E801">
      <w:pPr>
        <w:pStyle w:val="Defaul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Sonoma also expressed concern that the Commission’s ACO process fails to provide an opportunity for input </w:t>
      </w:r>
      <w:r w:rsidR="00812F18">
        <w:rPr>
          <w:sz w:val="26"/>
          <w:szCs w:val="26"/>
        </w:rPr>
        <w:t>from impacted communities.</w:t>
      </w:r>
      <w:r w:rsidRPr="0053024C" w:rsidR="00F767D9">
        <w:rPr>
          <w:rStyle w:val="FootnoteReference"/>
          <w:b/>
          <w:bCs/>
          <w:sz w:val="26"/>
          <w:szCs w:val="26"/>
          <w:u w:val="single"/>
        </w:rPr>
        <w:footnoteReference w:id="4"/>
      </w:r>
    </w:p>
    <w:p w:rsidR="002B0B68" w:rsidP="0082108C" w:rsidRDefault="002B0B68" w14:paraId="4294C003" w14:textId="5F96FEFE">
      <w:pPr>
        <w:pStyle w:val="Default"/>
        <w:rPr>
          <w:sz w:val="26"/>
          <w:szCs w:val="26"/>
        </w:rPr>
      </w:pPr>
    </w:p>
    <w:p w:rsidR="002B0B68" w:rsidP="0082108C" w:rsidRDefault="002B0B68" w14:paraId="3EC13030" w14:textId="2AB8D9F4">
      <w:pPr>
        <w:pStyle w:val="Default"/>
        <w:rPr>
          <w:sz w:val="26"/>
          <w:szCs w:val="26"/>
        </w:rPr>
      </w:pPr>
      <w:r>
        <w:rPr>
          <w:sz w:val="26"/>
          <w:szCs w:val="26"/>
        </w:rPr>
        <w:t>Calpine’s comments are limited to requesting clarification of certain details in the attachments to this resolution.  Specifically, Calpine seeks</w:t>
      </w:r>
      <w:r w:rsidR="005142C4">
        <w:rPr>
          <w:sz w:val="26"/>
          <w:szCs w:val="26"/>
        </w:rPr>
        <w:t xml:space="preserve"> </w:t>
      </w:r>
      <w:r w:rsidR="00471E28">
        <w:rPr>
          <w:sz w:val="26"/>
          <w:szCs w:val="26"/>
        </w:rPr>
        <w:t xml:space="preserve">to clarify that Geysers Power Company LLC (GPC) </w:t>
      </w:r>
      <w:r w:rsidRPr="002B0B68">
        <w:rPr>
          <w:sz w:val="26"/>
          <w:szCs w:val="26"/>
        </w:rPr>
        <w:t>is the owner and operator of distribution lines 1144 and 1146,</w:t>
      </w:r>
      <w:r w:rsidR="00471E28">
        <w:rPr>
          <w:sz w:val="26"/>
          <w:szCs w:val="26"/>
        </w:rPr>
        <w:t xml:space="preserve"> not PG&amp;E, and that GPC </w:t>
      </w:r>
      <w:r w:rsidRPr="002B0B68">
        <w:rPr>
          <w:sz w:val="26"/>
          <w:szCs w:val="26"/>
        </w:rPr>
        <w:t>is the owner and operator of the Geysers geothermal facilities,</w:t>
      </w:r>
      <w:r w:rsidR="00471E28">
        <w:rPr>
          <w:sz w:val="26"/>
          <w:szCs w:val="26"/>
        </w:rPr>
        <w:t xml:space="preserve"> not Calpine Corporation.</w:t>
      </w:r>
      <w:r w:rsidRPr="002B79CC" w:rsidR="00F767D9">
        <w:rPr>
          <w:rStyle w:val="FootnoteReference"/>
          <w:b/>
          <w:bCs/>
          <w:sz w:val="26"/>
          <w:szCs w:val="26"/>
          <w:u w:val="single"/>
        </w:rPr>
        <w:footnoteReference w:id="5"/>
      </w:r>
    </w:p>
    <w:p w:rsidR="002C4E0C" w:rsidP="0082108C" w:rsidRDefault="002C4E0C" w14:paraId="7E453FA9" w14:textId="41A8213E">
      <w:pPr>
        <w:pStyle w:val="Default"/>
        <w:rPr>
          <w:sz w:val="26"/>
          <w:szCs w:val="26"/>
        </w:rPr>
      </w:pPr>
    </w:p>
    <w:p w:rsidR="002C4E0C" w:rsidP="0082108C" w:rsidRDefault="002C4E0C" w14:paraId="6A102242" w14:textId="3D5C8980">
      <w:pPr>
        <w:pStyle w:val="Default"/>
        <w:rPr>
          <w:sz w:val="26"/>
          <w:szCs w:val="26"/>
        </w:rPr>
      </w:pPr>
      <w:r>
        <w:rPr>
          <w:sz w:val="26"/>
          <w:szCs w:val="26"/>
        </w:rPr>
        <w:t>TURN and Cal Advocates argue that the use of the ACO process for a fire of the s</w:t>
      </w:r>
      <w:r w:rsidR="00191129">
        <w:rPr>
          <w:sz w:val="26"/>
          <w:szCs w:val="26"/>
        </w:rPr>
        <w:t>everity</w:t>
      </w:r>
      <w:r>
        <w:rPr>
          <w:sz w:val="26"/>
          <w:szCs w:val="26"/>
        </w:rPr>
        <w:t xml:space="preserve"> of the Kincade Fire is inappropriate, and that the Commission should have used an Order Instituting Investigation (OII) to open a formal proceeding.</w:t>
      </w:r>
      <w:r w:rsidR="00191129">
        <w:rPr>
          <w:sz w:val="26"/>
          <w:szCs w:val="26"/>
        </w:rPr>
        <w:t xml:space="preserve"> </w:t>
      </w:r>
      <w:r w:rsidR="002B79CC">
        <w:rPr>
          <w:sz w:val="26"/>
          <w:szCs w:val="26"/>
        </w:rPr>
        <w:t xml:space="preserve"> </w:t>
      </w:r>
      <w:r w:rsidR="00191129">
        <w:rPr>
          <w:sz w:val="26"/>
          <w:szCs w:val="26"/>
        </w:rPr>
        <w:t>According to TURN and Cal</w:t>
      </w:r>
      <w:r w:rsidR="002B79CC">
        <w:rPr>
          <w:sz w:val="26"/>
          <w:szCs w:val="26"/>
        </w:rPr>
        <w:t> </w:t>
      </w:r>
      <w:r w:rsidR="00191129">
        <w:rPr>
          <w:sz w:val="26"/>
          <w:szCs w:val="26"/>
        </w:rPr>
        <w:t xml:space="preserve">Advocates, an OII would provide an </w:t>
      </w:r>
      <w:r w:rsidRPr="00191129" w:rsidR="00191129">
        <w:rPr>
          <w:sz w:val="26"/>
          <w:szCs w:val="26"/>
        </w:rPr>
        <w:t xml:space="preserve">opportunity for </w:t>
      </w:r>
      <w:r w:rsidR="00191129">
        <w:rPr>
          <w:sz w:val="26"/>
          <w:szCs w:val="26"/>
        </w:rPr>
        <w:t xml:space="preserve">more parties </w:t>
      </w:r>
      <w:r w:rsidRPr="00191129" w:rsidR="00191129">
        <w:rPr>
          <w:sz w:val="26"/>
          <w:szCs w:val="26"/>
        </w:rPr>
        <w:t>to participate in the review of PG&amp;E’s actions, and to weigh in on the appropriate fines, penalties, disallowances or other measures that should be imposed on PG</w:t>
      </w:r>
      <w:r w:rsidR="00191129">
        <w:rPr>
          <w:sz w:val="26"/>
          <w:szCs w:val="26"/>
        </w:rPr>
        <w:t>&amp;E.</w:t>
      </w:r>
      <w:r w:rsidRPr="002B79CC" w:rsidR="00F767D9">
        <w:rPr>
          <w:rStyle w:val="FootnoteReference"/>
          <w:b/>
          <w:bCs/>
          <w:sz w:val="26"/>
          <w:szCs w:val="26"/>
          <w:u w:val="single"/>
        </w:rPr>
        <w:footnoteReference w:id="6"/>
      </w:r>
      <w:r w:rsidR="00191129">
        <w:rPr>
          <w:sz w:val="26"/>
          <w:szCs w:val="26"/>
        </w:rPr>
        <w:t xml:space="preserve"> </w:t>
      </w:r>
    </w:p>
    <w:p w:rsidR="00276817" w:rsidP="0082108C" w:rsidRDefault="00276817" w14:paraId="1E786DBC" w14:textId="0D1697A6">
      <w:pPr>
        <w:pStyle w:val="Default"/>
        <w:rPr>
          <w:sz w:val="26"/>
          <w:szCs w:val="26"/>
        </w:rPr>
      </w:pPr>
    </w:p>
    <w:p w:rsidRPr="003679C8" w:rsidR="003679C8" w:rsidP="003679C8" w:rsidRDefault="00276817" w14:paraId="7C82A184" w14:textId="4BA8D78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TURN and Cal Advocates raise other issues as well, </w:t>
      </w:r>
      <w:r w:rsidR="00F32797">
        <w:rPr>
          <w:sz w:val="26"/>
          <w:szCs w:val="26"/>
        </w:rPr>
        <w:t xml:space="preserve">including that </w:t>
      </w:r>
      <w:r>
        <w:rPr>
          <w:sz w:val="26"/>
          <w:szCs w:val="26"/>
        </w:rPr>
        <w:t>the settlement is essentially a “black box,” making it difficult to determine the basis for and reasonableness of the proposed settlement</w:t>
      </w:r>
      <w:r w:rsidR="003679C8">
        <w:rPr>
          <w:sz w:val="26"/>
          <w:szCs w:val="26"/>
        </w:rPr>
        <w:t>,</w:t>
      </w:r>
      <w:r w:rsidR="00F32797">
        <w:rPr>
          <w:sz w:val="26"/>
          <w:szCs w:val="26"/>
        </w:rPr>
        <w:t xml:space="preserve"> and </w:t>
      </w:r>
      <w:r>
        <w:rPr>
          <w:sz w:val="26"/>
          <w:szCs w:val="26"/>
        </w:rPr>
        <w:t>whether PG&amp;E may have already received rate recovery for the costs of removing the abandoned transmission facilities described in the settlement</w:t>
      </w:r>
      <w:r w:rsidR="00F32797">
        <w:rPr>
          <w:sz w:val="26"/>
          <w:szCs w:val="26"/>
        </w:rPr>
        <w:t>.</w:t>
      </w:r>
      <w:r w:rsidRPr="002B79CC" w:rsidR="00F767D9">
        <w:rPr>
          <w:rStyle w:val="FootnoteReference"/>
          <w:b/>
          <w:bCs/>
          <w:sz w:val="26"/>
          <w:szCs w:val="26"/>
          <w:u w:val="single"/>
        </w:rPr>
        <w:footnoteReference w:id="7"/>
      </w:r>
      <w:r w:rsidR="002B79CC">
        <w:rPr>
          <w:sz w:val="26"/>
          <w:szCs w:val="26"/>
        </w:rPr>
        <w:t xml:space="preserve"> </w:t>
      </w:r>
      <w:r w:rsidR="003679C8">
        <w:rPr>
          <w:sz w:val="26"/>
          <w:szCs w:val="26"/>
        </w:rPr>
        <w:t xml:space="preserve"> </w:t>
      </w:r>
      <w:r w:rsidRPr="003679C8" w:rsidR="003679C8">
        <w:rPr>
          <w:sz w:val="26"/>
          <w:szCs w:val="26"/>
        </w:rPr>
        <w:t xml:space="preserve">PG&amp;E </w:t>
      </w:r>
      <w:r w:rsidR="00E53E63">
        <w:rPr>
          <w:sz w:val="26"/>
          <w:szCs w:val="26"/>
        </w:rPr>
        <w:t xml:space="preserve">has communicated to SED that it </w:t>
      </w:r>
      <w:r w:rsidRPr="003679C8" w:rsidR="003679C8">
        <w:rPr>
          <w:sz w:val="26"/>
          <w:szCs w:val="26"/>
        </w:rPr>
        <w:t xml:space="preserve">will ensure </w:t>
      </w:r>
      <w:r w:rsidR="00E53E63">
        <w:rPr>
          <w:sz w:val="26"/>
          <w:szCs w:val="26"/>
        </w:rPr>
        <w:t xml:space="preserve">that </w:t>
      </w:r>
      <w:r w:rsidRPr="003679C8" w:rsidR="003679C8">
        <w:rPr>
          <w:sz w:val="26"/>
          <w:szCs w:val="26"/>
        </w:rPr>
        <w:t xml:space="preserve">the $85 million in </w:t>
      </w:r>
      <w:r w:rsidR="00E53E63">
        <w:rPr>
          <w:sz w:val="26"/>
          <w:szCs w:val="26"/>
        </w:rPr>
        <w:t xml:space="preserve">removal </w:t>
      </w:r>
      <w:r w:rsidRPr="003679C8" w:rsidR="003679C8">
        <w:rPr>
          <w:sz w:val="26"/>
          <w:szCs w:val="26"/>
        </w:rPr>
        <w:t xml:space="preserve">costs are not recovered from </w:t>
      </w:r>
      <w:r w:rsidR="00E53E63">
        <w:rPr>
          <w:sz w:val="26"/>
          <w:szCs w:val="26"/>
        </w:rPr>
        <w:t xml:space="preserve">ratepayers. </w:t>
      </w:r>
      <w:r w:rsidR="002B79CC">
        <w:rPr>
          <w:sz w:val="26"/>
          <w:szCs w:val="26"/>
        </w:rPr>
        <w:t xml:space="preserve"> </w:t>
      </w:r>
      <w:r w:rsidR="00E53E63">
        <w:rPr>
          <w:sz w:val="26"/>
          <w:szCs w:val="26"/>
        </w:rPr>
        <w:t xml:space="preserve">The workplan to be submitted to SED </w:t>
      </w:r>
      <w:r w:rsidRPr="003679C8" w:rsidR="003679C8">
        <w:rPr>
          <w:sz w:val="26"/>
          <w:szCs w:val="26"/>
        </w:rPr>
        <w:t xml:space="preserve">will </w:t>
      </w:r>
      <w:r w:rsidR="00E53E63">
        <w:rPr>
          <w:sz w:val="26"/>
          <w:szCs w:val="26"/>
        </w:rPr>
        <w:t xml:space="preserve">provide additional information about </w:t>
      </w:r>
      <w:r w:rsidRPr="003679C8" w:rsidR="003679C8">
        <w:rPr>
          <w:sz w:val="26"/>
          <w:szCs w:val="26"/>
        </w:rPr>
        <w:t>the</w:t>
      </w:r>
      <w:r w:rsidR="00851E95">
        <w:rPr>
          <w:sz w:val="26"/>
          <w:szCs w:val="26"/>
        </w:rPr>
        <w:t xml:space="preserve"> </w:t>
      </w:r>
      <w:r w:rsidRPr="003679C8" w:rsidR="003679C8">
        <w:rPr>
          <w:sz w:val="26"/>
          <w:szCs w:val="26"/>
        </w:rPr>
        <w:t>F</w:t>
      </w:r>
      <w:r w:rsidR="00E53E63">
        <w:rPr>
          <w:sz w:val="26"/>
          <w:szCs w:val="26"/>
        </w:rPr>
        <w:t>ederal Energy Regulatory Commission (F</w:t>
      </w:r>
      <w:r w:rsidRPr="003679C8" w:rsidR="003679C8">
        <w:rPr>
          <w:sz w:val="26"/>
          <w:szCs w:val="26"/>
        </w:rPr>
        <w:t>ERC</w:t>
      </w:r>
      <w:r w:rsidR="00E53E63">
        <w:rPr>
          <w:sz w:val="26"/>
          <w:szCs w:val="26"/>
        </w:rPr>
        <w:t>)</w:t>
      </w:r>
      <w:r w:rsidRPr="003679C8" w:rsidR="003679C8">
        <w:rPr>
          <w:sz w:val="26"/>
          <w:szCs w:val="26"/>
        </w:rPr>
        <w:t xml:space="preserve"> ratemaking </w:t>
      </w:r>
      <w:r w:rsidR="00E53E63">
        <w:rPr>
          <w:sz w:val="26"/>
          <w:szCs w:val="26"/>
        </w:rPr>
        <w:t>on this issue.</w:t>
      </w:r>
    </w:p>
    <w:p w:rsidR="00C64CE7" w:rsidP="0082108C" w:rsidRDefault="00C64CE7" w14:paraId="57C827B3" w14:textId="01AAF3EF">
      <w:pPr>
        <w:pStyle w:val="Default"/>
        <w:rPr>
          <w:sz w:val="26"/>
          <w:szCs w:val="26"/>
        </w:rPr>
      </w:pPr>
    </w:p>
    <w:p w:rsidR="00C64CE7" w:rsidP="0082108C" w:rsidRDefault="00C64CE7" w14:paraId="165CC442" w14:textId="59579E7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Except as noted above, no changes to the Draft Resolution have been made in response to comments. </w:t>
      </w:r>
    </w:p>
    <w:p w:rsidRPr="0082108C" w:rsidR="0082108C" w:rsidP="0082108C" w:rsidRDefault="0082108C" w14:paraId="229DCDCE" w14:textId="77777777">
      <w:pPr>
        <w:pStyle w:val="Default"/>
        <w:rPr>
          <w:sz w:val="26"/>
          <w:szCs w:val="26"/>
        </w:rPr>
      </w:pPr>
    </w:p>
    <w:p w:rsidRPr="0082108C" w:rsidR="003B1DBD" w:rsidP="001B0CC2" w:rsidRDefault="003B1DBD" w14:paraId="47785B7D" w14:textId="49782E87">
      <w:pPr>
        <w:pStyle w:val="Default"/>
        <w:rPr>
          <w:b/>
          <w:bCs/>
          <w:sz w:val="26"/>
          <w:szCs w:val="26"/>
          <w:u w:val="single"/>
        </w:rPr>
      </w:pPr>
      <w:r w:rsidRPr="0082108C">
        <w:rPr>
          <w:b/>
          <w:bCs/>
          <w:sz w:val="26"/>
          <w:szCs w:val="26"/>
          <w:u w:val="single"/>
        </w:rPr>
        <w:t>FINDINGS</w:t>
      </w:r>
      <w:r w:rsidRPr="0082108C" w:rsidR="00D86502">
        <w:rPr>
          <w:b/>
          <w:bCs/>
          <w:sz w:val="26"/>
          <w:szCs w:val="26"/>
          <w:u w:val="single"/>
        </w:rPr>
        <w:t xml:space="preserve"> AND CONCLUSIONS</w:t>
      </w:r>
    </w:p>
    <w:p w:rsidRPr="0082108C" w:rsidR="003B1DBD" w:rsidP="001B0CC2" w:rsidRDefault="003B1DBD" w14:paraId="6F5A9CFB" w14:textId="77777777">
      <w:pPr>
        <w:pStyle w:val="Default"/>
        <w:rPr>
          <w:sz w:val="26"/>
          <w:szCs w:val="26"/>
        </w:rPr>
      </w:pPr>
    </w:p>
    <w:p w:rsidR="00CF1143" w:rsidP="001B0CC2" w:rsidRDefault="009863B8" w14:paraId="7F10D435" w14:textId="1AC76D17">
      <w:pPr>
        <w:numPr>
          <w:ilvl w:val="0"/>
          <w:numId w:val="1"/>
        </w:numPr>
        <w:tabs>
          <w:tab w:val="clear" w:pos="240"/>
        </w:tabs>
        <w:spacing w:after="120"/>
        <w:ind w:left="360" w:hanging="360"/>
        <w:rPr>
          <w:sz w:val="26"/>
          <w:szCs w:val="26"/>
        </w:rPr>
      </w:pPr>
      <w:r w:rsidRPr="009863B8">
        <w:rPr>
          <w:sz w:val="26"/>
          <w:szCs w:val="26"/>
        </w:rPr>
        <w:t>Resolution M-4846 authorized Commission staff to negotiate and propose an Administrative Consent Order to resolve a</w:t>
      </w:r>
      <w:r w:rsidR="00AC3E52">
        <w:rPr>
          <w:sz w:val="26"/>
          <w:szCs w:val="26"/>
        </w:rPr>
        <w:t>n</w:t>
      </w:r>
      <w:r w:rsidRPr="009863B8">
        <w:rPr>
          <w:sz w:val="26"/>
          <w:szCs w:val="26"/>
        </w:rPr>
        <w:t xml:space="preserve"> enforcement matter, subject to review and consideration by the Commission</w:t>
      </w:r>
      <w:r w:rsidR="00067468">
        <w:rPr>
          <w:sz w:val="26"/>
          <w:szCs w:val="26"/>
        </w:rPr>
        <w:t>.</w:t>
      </w:r>
    </w:p>
    <w:p w:rsidR="00E50E37" w:rsidP="001B0CC2" w:rsidRDefault="000D0B12" w14:paraId="101AD73E" w14:textId="3FB7CB6D">
      <w:pPr>
        <w:numPr>
          <w:ilvl w:val="0"/>
          <w:numId w:val="1"/>
        </w:numPr>
        <w:tabs>
          <w:tab w:val="clear" w:pos="240"/>
        </w:tabs>
        <w:spacing w:after="120"/>
        <w:ind w:left="360" w:hanging="360"/>
        <w:rPr>
          <w:sz w:val="26"/>
          <w:szCs w:val="26"/>
        </w:rPr>
      </w:pPr>
      <w:r>
        <w:rPr>
          <w:sz w:val="26"/>
          <w:szCs w:val="26"/>
        </w:rPr>
        <w:t xml:space="preserve">SED and </w:t>
      </w:r>
      <w:r w:rsidR="003C7852">
        <w:rPr>
          <w:sz w:val="26"/>
          <w:szCs w:val="26"/>
        </w:rPr>
        <w:t>PG&amp;E</w:t>
      </w:r>
      <w:r>
        <w:rPr>
          <w:sz w:val="26"/>
          <w:szCs w:val="26"/>
        </w:rPr>
        <w:t xml:space="preserve"> have engaged in settlement negotiations and</w:t>
      </w:r>
      <w:r w:rsidR="00E50E37">
        <w:rPr>
          <w:sz w:val="26"/>
          <w:szCs w:val="26"/>
        </w:rPr>
        <w:t xml:space="preserve">, consistent with Resolution M-4846 and the Enforcement Policy, </w:t>
      </w:r>
      <w:r>
        <w:rPr>
          <w:sz w:val="26"/>
          <w:szCs w:val="26"/>
        </w:rPr>
        <w:t xml:space="preserve">have </w:t>
      </w:r>
      <w:r w:rsidR="00E50E37">
        <w:rPr>
          <w:sz w:val="26"/>
          <w:szCs w:val="26"/>
        </w:rPr>
        <w:t>memorialized their proposed settlement in the attached Administrative Consent Order and Agreement.</w:t>
      </w:r>
    </w:p>
    <w:p w:rsidR="003B1DBD" w:rsidP="001B0CC2" w:rsidRDefault="00E50E37" w14:paraId="02452978" w14:textId="7D81961B">
      <w:pPr>
        <w:numPr>
          <w:ilvl w:val="0"/>
          <w:numId w:val="1"/>
        </w:numPr>
        <w:tabs>
          <w:tab w:val="clear" w:pos="240"/>
        </w:tabs>
        <w:spacing w:after="120"/>
        <w:ind w:left="360" w:hanging="36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SED and </w:t>
      </w:r>
      <w:r w:rsidR="003C7852">
        <w:rPr>
          <w:sz w:val="26"/>
          <w:szCs w:val="26"/>
        </w:rPr>
        <w:t>PG&amp;E</w:t>
      </w:r>
      <w:r>
        <w:rPr>
          <w:sz w:val="26"/>
          <w:szCs w:val="26"/>
        </w:rPr>
        <w:t xml:space="preserve"> have </w:t>
      </w:r>
      <w:r w:rsidR="000D0B12">
        <w:rPr>
          <w:sz w:val="26"/>
          <w:szCs w:val="26"/>
        </w:rPr>
        <w:t xml:space="preserve">agreed that the attached Administrative Consent Order and Agreement resolves all issues related to SED’s investigations of </w:t>
      </w:r>
      <w:r w:rsidR="003D7807">
        <w:rPr>
          <w:sz w:val="26"/>
          <w:szCs w:val="26"/>
        </w:rPr>
        <w:t xml:space="preserve">and any enforcement action SED might have brought related to or arising from </w:t>
      </w:r>
      <w:r w:rsidR="000D0B12">
        <w:rPr>
          <w:sz w:val="26"/>
          <w:szCs w:val="26"/>
        </w:rPr>
        <w:t>the 201</w:t>
      </w:r>
      <w:r w:rsidR="003C7852">
        <w:rPr>
          <w:sz w:val="26"/>
          <w:szCs w:val="26"/>
        </w:rPr>
        <w:t xml:space="preserve">9 Kincade </w:t>
      </w:r>
      <w:r w:rsidR="000D0B12">
        <w:rPr>
          <w:sz w:val="26"/>
          <w:szCs w:val="26"/>
        </w:rPr>
        <w:t xml:space="preserve">Fire.  </w:t>
      </w:r>
    </w:p>
    <w:p w:rsidRPr="003C7852" w:rsidR="00125853" w:rsidP="001B0CC2" w:rsidRDefault="003C7852" w14:paraId="48BA2312" w14:textId="28405D6F">
      <w:pPr>
        <w:numPr>
          <w:ilvl w:val="0"/>
          <w:numId w:val="1"/>
        </w:numPr>
        <w:tabs>
          <w:tab w:val="clear" w:pos="240"/>
        </w:tabs>
        <w:spacing w:after="120"/>
        <w:ind w:left="360" w:hanging="360"/>
        <w:rPr>
          <w:sz w:val="26"/>
          <w:szCs w:val="26"/>
        </w:rPr>
      </w:pPr>
      <w:r w:rsidRPr="003C7852">
        <w:rPr>
          <w:sz w:val="26"/>
          <w:szCs w:val="26"/>
        </w:rPr>
        <w:t xml:space="preserve">The </w:t>
      </w:r>
      <w:r w:rsidRPr="003C7852" w:rsidR="00670537">
        <w:rPr>
          <w:sz w:val="26"/>
          <w:szCs w:val="26"/>
        </w:rPr>
        <w:t xml:space="preserve">agreed-upon </w:t>
      </w:r>
      <w:r w:rsidRPr="003C7852" w:rsidR="00875254">
        <w:rPr>
          <w:sz w:val="26"/>
          <w:szCs w:val="26"/>
        </w:rPr>
        <w:t>fines</w:t>
      </w:r>
      <w:r w:rsidR="00743D12">
        <w:rPr>
          <w:sz w:val="26"/>
          <w:szCs w:val="26"/>
        </w:rPr>
        <w:t xml:space="preserve"> and remedial actions</w:t>
      </w:r>
      <w:r w:rsidRPr="003C7852" w:rsidR="00875254">
        <w:rPr>
          <w:sz w:val="26"/>
          <w:szCs w:val="26"/>
        </w:rPr>
        <w:t xml:space="preserve"> </w:t>
      </w:r>
      <w:r w:rsidRPr="003C7852" w:rsidR="00670537">
        <w:rPr>
          <w:sz w:val="26"/>
          <w:szCs w:val="26"/>
        </w:rPr>
        <w:t xml:space="preserve">appropriately resolve all </w:t>
      </w:r>
      <w:r w:rsidRPr="003C7852" w:rsidR="007A6332">
        <w:rPr>
          <w:sz w:val="26"/>
          <w:szCs w:val="26"/>
        </w:rPr>
        <w:t>issues related to</w:t>
      </w:r>
      <w:r w:rsidRPr="003C7852" w:rsidR="00670537">
        <w:rPr>
          <w:sz w:val="26"/>
          <w:szCs w:val="26"/>
        </w:rPr>
        <w:t xml:space="preserve"> SED’s investigations</w:t>
      </w:r>
      <w:r w:rsidRPr="003C7852" w:rsidR="007A6332">
        <w:rPr>
          <w:sz w:val="26"/>
          <w:szCs w:val="26"/>
        </w:rPr>
        <w:t xml:space="preserve"> and any enforcement action SED may have brought</w:t>
      </w:r>
      <w:r w:rsidRPr="003C7852" w:rsidR="00670537">
        <w:rPr>
          <w:sz w:val="26"/>
          <w:szCs w:val="26"/>
        </w:rPr>
        <w:t>, are reasonable in light of the circumstances, consistent with the law, and in the public interest.</w:t>
      </w:r>
    </w:p>
    <w:p w:rsidRPr="0082108C" w:rsidR="003B1DBD" w:rsidP="001716EC" w:rsidRDefault="003B1DBD" w14:paraId="289BD70F" w14:textId="77777777">
      <w:pPr>
        <w:jc w:val="both"/>
        <w:rPr>
          <w:bCs/>
          <w:sz w:val="26"/>
          <w:szCs w:val="26"/>
        </w:rPr>
      </w:pPr>
    </w:p>
    <w:p w:rsidRPr="0082108C" w:rsidR="003B1DBD" w:rsidP="0082108C" w:rsidRDefault="003B1DBD" w14:paraId="7D96260D" w14:textId="1086918A">
      <w:pPr>
        <w:jc w:val="both"/>
        <w:rPr>
          <w:bCs/>
          <w:sz w:val="26"/>
          <w:szCs w:val="26"/>
        </w:rPr>
      </w:pPr>
      <w:r w:rsidRPr="0082108C">
        <w:rPr>
          <w:b/>
          <w:sz w:val="26"/>
          <w:szCs w:val="26"/>
        </w:rPr>
        <w:t>THER</w:t>
      </w:r>
      <w:r w:rsidR="00502BBC">
        <w:rPr>
          <w:b/>
          <w:sz w:val="26"/>
          <w:szCs w:val="26"/>
        </w:rPr>
        <w:t>E</w:t>
      </w:r>
      <w:r w:rsidRPr="0082108C">
        <w:rPr>
          <w:b/>
          <w:sz w:val="26"/>
          <w:szCs w:val="26"/>
        </w:rPr>
        <w:t>FORE, IT IS ORDERED</w:t>
      </w:r>
      <w:r w:rsidRPr="0082108C">
        <w:rPr>
          <w:bCs/>
          <w:sz w:val="26"/>
          <w:szCs w:val="26"/>
        </w:rPr>
        <w:t xml:space="preserve"> that:</w:t>
      </w:r>
    </w:p>
    <w:p w:rsidRPr="0082108C" w:rsidR="003B1DBD" w:rsidP="0082108C" w:rsidRDefault="003B1DBD" w14:paraId="043EB384" w14:textId="77777777">
      <w:pPr>
        <w:jc w:val="both"/>
        <w:rPr>
          <w:bCs/>
          <w:sz w:val="26"/>
          <w:szCs w:val="26"/>
        </w:rPr>
      </w:pPr>
    </w:p>
    <w:p w:rsidRPr="00A452EE" w:rsidR="004071F9" w:rsidP="0082108C" w:rsidRDefault="00913017" w14:paraId="4860A245" w14:textId="68787778">
      <w:pPr>
        <w:numPr>
          <w:ilvl w:val="0"/>
          <w:numId w:val="5"/>
        </w:numPr>
        <w:tabs>
          <w:tab w:val="clear" w:pos="240"/>
        </w:tabs>
        <w:spacing w:after="120"/>
        <w:ind w:left="360" w:hanging="360"/>
        <w:rPr>
          <w:sz w:val="26"/>
          <w:szCs w:val="26"/>
        </w:rPr>
      </w:pPr>
      <w:r>
        <w:rPr>
          <w:sz w:val="26"/>
          <w:szCs w:val="26"/>
        </w:rPr>
        <w:t xml:space="preserve">The Administrative Consent Order and Agreement between SED and </w:t>
      </w:r>
      <w:r w:rsidR="003C7852">
        <w:rPr>
          <w:sz w:val="26"/>
          <w:szCs w:val="26"/>
        </w:rPr>
        <w:t>PG&amp;E</w:t>
      </w:r>
      <w:r>
        <w:rPr>
          <w:sz w:val="26"/>
          <w:szCs w:val="26"/>
        </w:rPr>
        <w:t xml:space="preserve"> </w:t>
      </w:r>
      <w:r w:rsidR="00A452EE">
        <w:rPr>
          <w:sz w:val="26"/>
          <w:szCs w:val="26"/>
        </w:rPr>
        <w:t xml:space="preserve">relating to the </w:t>
      </w:r>
      <w:r w:rsidRPr="00A452EE" w:rsidR="00A452EE">
        <w:rPr>
          <w:sz w:val="26"/>
          <w:szCs w:val="26"/>
        </w:rPr>
        <w:t>201</w:t>
      </w:r>
      <w:r w:rsidR="003C7852">
        <w:rPr>
          <w:sz w:val="26"/>
          <w:szCs w:val="26"/>
        </w:rPr>
        <w:t>9 Kincade</w:t>
      </w:r>
      <w:r w:rsidRPr="00A452EE" w:rsidR="00A452EE">
        <w:rPr>
          <w:sz w:val="26"/>
          <w:szCs w:val="26"/>
        </w:rPr>
        <w:t xml:space="preserve"> Fire</w:t>
      </w:r>
      <w:r w:rsidR="00A452EE">
        <w:rPr>
          <w:sz w:val="26"/>
          <w:szCs w:val="26"/>
        </w:rPr>
        <w:t xml:space="preserve"> </w:t>
      </w:r>
      <w:r w:rsidRPr="00A452EE">
        <w:rPr>
          <w:sz w:val="26"/>
          <w:szCs w:val="26"/>
        </w:rPr>
        <w:t>is adopted.</w:t>
      </w:r>
    </w:p>
    <w:p w:rsidRPr="004408C6" w:rsidR="004071F9" w:rsidP="004408C6" w:rsidRDefault="004408C6" w14:paraId="6D7FF497" w14:textId="0569BF55">
      <w:pPr>
        <w:numPr>
          <w:ilvl w:val="0"/>
          <w:numId w:val="5"/>
        </w:numPr>
        <w:tabs>
          <w:tab w:val="clear" w:pos="240"/>
        </w:tabs>
        <w:spacing w:after="120"/>
        <w:ind w:left="360" w:hanging="360"/>
        <w:rPr>
          <w:sz w:val="26"/>
          <w:szCs w:val="26"/>
        </w:rPr>
      </w:pPr>
      <w:r w:rsidRPr="001028A2">
        <w:rPr>
          <w:sz w:val="26"/>
          <w:szCs w:val="26"/>
        </w:rPr>
        <w:t xml:space="preserve">This </w:t>
      </w:r>
      <w:r>
        <w:rPr>
          <w:sz w:val="26"/>
          <w:szCs w:val="26"/>
        </w:rPr>
        <w:t>R</w:t>
      </w:r>
      <w:r w:rsidRPr="001028A2">
        <w:rPr>
          <w:sz w:val="26"/>
          <w:szCs w:val="26"/>
        </w:rPr>
        <w:t>esolution is effective today.</w:t>
      </w:r>
    </w:p>
    <w:p w:rsidRPr="001028A2" w:rsidR="003B1DBD" w:rsidP="00344784" w:rsidRDefault="003B1DBD" w14:paraId="10B7452B" w14:textId="77777777">
      <w:pPr>
        <w:jc w:val="both"/>
        <w:rPr>
          <w:sz w:val="26"/>
          <w:szCs w:val="26"/>
        </w:rPr>
      </w:pPr>
    </w:p>
    <w:p w:rsidRPr="001028A2" w:rsidR="003B1DBD" w:rsidP="00344784" w:rsidRDefault="003B1DBD" w14:paraId="61E54CCC" w14:textId="28CDDEC8">
      <w:pPr>
        <w:rPr>
          <w:sz w:val="26"/>
          <w:szCs w:val="26"/>
        </w:rPr>
      </w:pPr>
      <w:r w:rsidRPr="001028A2">
        <w:rPr>
          <w:sz w:val="26"/>
          <w:szCs w:val="26"/>
        </w:rPr>
        <w:t xml:space="preserve">I certify that the foregoing </w:t>
      </w:r>
      <w:r w:rsidRPr="001028A2" w:rsidR="006C0435">
        <w:rPr>
          <w:sz w:val="26"/>
          <w:szCs w:val="26"/>
        </w:rPr>
        <w:t>R</w:t>
      </w:r>
      <w:r w:rsidRPr="001028A2">
        <w:rPr>
          <w:sz w:val="26"/>
          <w:szCs w:val="26"/>
        </w:rPr>
        <w:t xml:space="preserve">esolution was adopted </w:t>
      </w:r>
      <w:r w:rsidRPr="001028A2" w:rsidR="006C0435">
        <w:rPr>
          <w:sz w:val="26"/>
          <w:szCs w:val="26"/>
        </w:rPr>
        <w:t xml:space="preserve">by </w:t>
      </w:r>
      <w:r w:rsidRPr="001028A2">
        <w:rPr>
          <w:sz w:val="26"/>
          <w:szCs w:val="26"/>
        </w:rPr>
        <w:t xml:space="preserve">the </w:t>
      </w:r>
      <w:r w:rsidRPr="001028A2" w:rsidR="006C0435">
        <w:rPr>
          <w:sz w:val="26"/>
          <w:szCs w:val="26"/>
        </w:rPr>
        <w:t xml:space="preserve">California </w:t>
      </w:r>
      <w:r w:rsidRPr="001028A2">
        <w:rPr>
          <w:sz w:val="26"/>
          <w:szCs w:val="26"/>
        </w:rPr>
        <w:t xml:space="preserve">Public Utilities Commission </w:t>
      </w:r>
      <w:r w:rsidRPr="001028A2" w:rsidR="006C0435">
        <w:rPr>
          <w:sz w:val="26"/>
          <w:szCs w:val="26"/>
        </w:rPr>
        <w:t>at its regular meeting</w:t>
      </w:r>
      <w:r w:rsidRPr="001028A2">
        <w:rPr>
          <w:sz w:val="26"/>
          <w:szCs w:val="26"/>
        </w:rPr>
        <w:t xml:space="preserve"> on </w:t>
      </w:r>
      <w:r w:rsidRPr="001028A2" w:rsidR="006C0435">
        <w:rPr>
          <w:sz w:val="26"/>
          <w:szCs w:val="26"/>
        </w:rPr>
        <w:t xml:space="preserve">December 2, 2021, and </w:t>
      </w:r>
      <w:r w:rsidRPr="001028A2">
        <w:rPr>
          <w:sz w:val="26"/>
          <w:szCs w:val="26"/>
        </w:rPr>
        <w:t xml:space="preserve">the following Commissioners </w:t>
      </w:r>
      <w:r w:rsidRPr="001028A2" w:rsidR="006C0435">
        <w:rPr>
          <w:sz w:val="26"/>
          <w:szCs w:val="26"/>
        </w:rPr>
        <w:t xml:space="preserve">approved </w:t>
      </w:r>
      <w:r w:rsidRPr="001028A2">
        <w:rPr>
          <w:sz w:val="26"/>
          <w:szCs w:val="26"/>
        </w:rPr>
        <w:t>favorabl</w:t>
      </w:r>
      <w:r w:rsidRPr="001028A2" w:rsidR="006C0435">
        <w:rPr>
          <w:sz w:val="26"/>
          <w:szCs w:val="26"/>
        </w:rPr>
        <w:t>y</w:t>
      </w:r>
      <w:r w:rsidRPr="001028A2">
        <w:rPr>
          <w:sz w:val="26"/>
          <w:szCs w:val="26"/>
        </w:rPr>
        <w:t xml:space="preserve"> thereon:</w:t>
      </w:r>
    </w:p>
    <w:p w:rsidRPr="001028A2" w:rsidR="009B7857" w:rsidP="00344784" w:rsidRDefault="009B7857" w14:paraId="15BBCAF3" w14:textId="11CE823E">
      <w:pPr>
        <w:rPr>
          <w:sz w:val="26"/>
          <w:szCs w:val="26"/>
        </w:rPr>
      </w:pPr>
    </w:p>
    <w:p w:rsidRPr="001028A2" w:rsidR="006D33B1" w:rsidP="00344784" w:rsidRDefault="006D33B1" w14:paraId="3A674171" w14:textId="77777777">
      <w:pPr>
        <w:rPr>
          <w:sz w:val="26"/>
          <w:szCs w:val="26"/>
        </w:rPr>
      </w:pPr>
    </w:p>
    <w:p w:rsidRPr="001028A2" w:rsidR="006C0435" w:rsidP="006C0435" w:rsidRDefault="006C0435" w14:paraId="0AECA7DA" w14:textId="77777777">
      <w:pPr>
        <w:tabs>
          <w:tab w:val="left" w:pos="9000"/>
        </w:tabs>
        <w:ind w:left="5040"/>
        <w:rPr>
          <w:rFonts w:eastAsia="Palatino Linotype"/>
          <w:sz w:val="26"/>
          <w:szCs w:val="26"/>
          <w:u w:val="single"/>
        </w:rPr>
      </w:pPr>
      <w:r w:rsidRPr="001028A2">
        <w:rPr>
          <w:rFonts w:eastAsia="Palatino Linotype"/>
          <w:sz w:val="26"/>
          <w:szCs w:val="26"/>
          <w:u w:val="single"/>
        </w:rPr>
        <w:tab/>
      </w:r>
    </w:p>
    <w:p w:rsidRPr="001028A2" w:rsidR="006C0435" w:rsidP="006C0435" w:rsidRDefault="006C0435" w14:paraId="33F0045A" w14:textId="77777777">
      <w:pPr>
        <w:ind w:left="5760"/>
        <w:rPr>
          <w:rFonts w:eastAsia="Palatino Linotype"/>
          <w:sz w:val="26"/>
          <w:szCs w:val="26"/>
        </w:rPr>
      </w:pPr>
      <w:r w:rsidRPr="001028A2">
        <w:rPr>
          <w:rFonts w:eastAsia="Palatino Linotype"/>
          <w:sz w:val="26"/>
          <w:szCs w:val="26"/>
        </w:rPr>
        <w:t xml:space="preserve">RACHEL PETERSON </w:t>
      </w:r>
    </w:p>
    <w:p w:rsidRPr="001028A2" w:rsidR="006C0435" w:rsidP="006C0435" w:rsidRDefault="006C0435" w14:paraId="19E3C657" w14:textId="77777777">
      <w:pPr>
        <w:ind w:left="5760"/>
        <w:rPr>
          <w:sz w:val="26"/>
          <w:szCs w:val="26"/>
        </w:rPr>
      </w:pPr>
      <w:r w:rsidRPr="001028A2">
        <w:rPr>
          <w:rFonts w:eastAsia="Palatino Linotype"/>
          <w:sz w:val="26"/>
          <w:szCs w:val="26"/>
        </w:rPr>
        <w:t>Executive Director</w:t>
      </w:r>
      <w:r w:rsidRPr="001028A2">
        <w:rPr>
          <w:sz w:val="26"/>
          <w:szCs w:val="26"/>
        </w:rPr>
        <w:t xml:space="preserve"> </w:t>
      </w:r>
    </w:p>
    <w:p w:rsidR="00492574" w:rsidRDefault="00492574" w14:paraId="170326FA" w14:textId="6EFAFCA4">
      <w:pPr>
        <w:rPr>
          <w:sz w:val="26"/>
          <w:szCs w:val="26"/>
        </w:rPr>
      </w:pPr>
    </w:p>
    <w:sectPr w:rsidR="00492574" w:rsidSect="0078344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  <w:p>
      <w:r>
        <w:t xml:space="preserve"/>
      </w:r>
    </w:p>
    <w:p>
      <w:r>
        <w:t xml:space="preserve">Attachment 1: </w:t>
      </w:r>
    </w:p>
    <w:p>
      <w:hyperlink w:history="true" r:id="R10fbc17435a444d3">
        <w:r w:rsidRPr="00CB1292">
          <w:rPr>
            <w:rStyle w:val="Hyperlink"/>
            <w:color w:val="2E74B5" w:themeColor="accent1" w:themeShade="BF"/>
            <w:u w:val="single"/>
          </w:rPr>
          <w:t>Appendix A - SED Investigation Report on PGE 2019 Kincade Fire.pdf</w:t>
        </w:r>
      </w:hyperlink>
    </w:p>
    <w:p>
      <w:r>
        <w:t xml:space="preserve"/>
      </w:r>
    </w:p>
    <w:p>
      <w:r>
        <w:t xml:space="preserve">Attachment 2: </w:t>
      </w:r>
    </w:p>
    <w:p>
      <w:hyperlink w:history="true" r:id="R331484bbf6af4eb0">
        <w:r w:rsidRPr="00CB1292">
          <w:rPr>
            <w:rStyle w:val="Hyperlink"/>
            <w:color w:val="2E74B5" w:themeColor="accent1" w:themeShade="BF"/>
            <w:u w:val="single"/>
          </w:rPr>
          <w:t>Attachments - ACO and Settlement Agreement.pdf</w:t>
        </w:r>
      </w:hyperlink>
    </w:p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C75EE" w14:textId="77777777" w:rsidR="00E37B03" w:rsidRDefault="00E37B03">
      <w:r>
        <w:separator/>
      </w:r>
    </w:p>
  </w:endnote>
  <w:endnote w:type="continuationSeparator" w:id="0">
    <w:p w14:paraId="2F11C227" w14:textId="77777777" w:rsidR="00E37B03" w:rsidRDefault="00E3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6BB9C" w14:textId="77777777" w:rsidR="003B1DBD" w:rsidRPr="003B1DBD" w:rsidRDefault="003B1DBD" w:rsidP="003B1DBD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2C0C" w14:textId="3EB879DF" w:rsidR="00EF3389" w:rsidRPr="00EF3389" w:rsidRDefault="00EF3389">
    <w:pPr>
      <w:pStyle w:val="Footer"/>
      <w:rPr>
        <w:sz w:val="20"/>
        <w:szCs w:val="20"/>
      </w:rPr>
    </w:pPr>
    <w:r w:rsidRPr="00EF3389">
      <w:rPr>
        <w:color w:val="000000"/>
        <w:sz w:val="20"/>
        <w:szCs w:val="20"/>
        <w:shd w:val="clear" w:color="auto" w:fill="FFFFFF"/>
      </w:rPr>
      <w:t>425892791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11CC4" w14:textId="77777777" w:rsidR="00E37B03" w:rsidRDefault="00E37B03">
      <w:r>
        <w:separator/>
      </w:r>
    </w:p>
  </w:footnote>
  <w:footnote w:type="continuationSeparator" w:id="0">
    <w:p w14:paraId="3460D4D4" w14:textId="77777777" w:rsidR="00E37B03" w:rsidRDefault="00E37B03">
      <w:r>
        <w:continuationSeparator/>
      </w:r>
    </w:p>
  </w:footnote>
  <w:footnote w:id="1">
    <w:p w14:paraId="66AF8EA2" w14:textId="69ED8AB1" w:rsidR="00333133" w:rsidRPr="0053024C" w:rsidRDefault="00333133" w:rsidP="0053024C">
      <w:pPr>
        <w:pStyle w:val="FootnoteText"/>
        <w:spacing w:after="120" w:line="240" w:lineRule="exact"/>
        <w:rPr>
          <w:sz w:val="22"/>
          <w:szCs w:val="22"/>
        </w:rPr>
      </w:pPr>
      <w:r w:rsidRPr="0053024C">
        <w:rPr>
          <w:rStyle w:val="FootnoteReference"/>
          <w:b/>
          <w:bCs/>
          <w:sz w:val="22"/>
          <w:szCs w:val="22"/>
          <w:u w:val="single"/>
        </w:rPr>
        <w:footnoteRef/>
      </w:r>
      <w:r w:rsidRPr="0053024C">
        <w:rPr>
          <w:sz w:val="22"/>
          <w:szCs w:val="22"/>
        </w:rPr>
        <w:t xml:space="preserve"> Resolution M-4846, Findings and Conclusions #8; Enforcement Policy</w:t>
      </w:r>
      <w:r w:rsidR="00B51D93" w:rsidRPr="0053024C">
        <w:rPr>
          <w:sz w:val="22"/>
          <w:szCs w:val="22"/>
        </w:rPr>
        <w:t>, p. 11.</w:t>
      </w:r>
    </w:p>
  </w:footnote>
  <w:footnote w:id="2">
    <w:p w14:paraId="12EAAA9E" w14:textId="2FEA4B71" w:rsidR="001C070D" w:rsidRPr="0053024C" w:rsidRDefault="001C070D" w:rsidP="0053024C">
      <w:pPr>
        <w:pStyle w:val="FootnoteText"/>
        <w:spacing w:after="120" w:line="240" w:lineRule="exact"/>
        <w:rPr>
          <w:sz w:val="22"/>
          <w:szCs w:val="22"/>
        </w:rPr>
      </w:pPr>
      <w:r w:rsidRPr="0053024C">
        <w:rPr>
          <w:rStyle w:val="FootnoteReference"/>
          <w:b/>
          <w:bCs/>
          <w:sz w:val="22"/>
          <w:szCs w:val="22"/>
          <w:u w:val="single"/>
        </w:rPr>
        <w:footnoteRef/>
      </w:r>
      <w:r w:rsidRPr="0053024C">
        <w:rPr>
          <w:sz w:val="22"/>
          <w:szCs w:val="22"/>
        </w:rPr>
        <w:t xml:space="preserve"> Enforcement Policy, p. 15.</w:t>
      </w:r>
    </w:p>
  </w:footnote>
  <w:footnote w:id="3">
    <w:p w14:paraId="5011CC76" w14:textId="7C27A1FB" w:rsidR="00F767D9" w:rsidRPr="0053024C" w:rsidRDefault="00F767D9" w:rsidP="0053024C">
      <w:pPr>
        <w:pStyle w:val="FootnoteText"/>
        <w:spacing w:after="120" w:line="240" w:lineRule="exact"/>
        <w:rPr>
          <w:sz w:val="22"/>
          <w:szCs w:val="22"/>
        </w:rPr>
      </w:pPr>
      <w:r w:rsidRPr="002B79CC">
        <w:rPr>
          <w:rStyle w:val="FootnoteReference"/>
          <w:b/>
          <w:bCs/>
          <w:sz w:val="22"/>
          <w:szCs w:val="22"/>
          <w:u w:val="single"/>
        </w:rPr>
        <w:footnoteRef/>
      </w:r>
      <w:r w:rsidRPr="0053024C">
        <w:rPr>
          <w:sz w:val="22"/>
          <w:szCs w:val="22"/>
        </w:rPr>
        <w:t xml:space="preserve"> Sonoma Comments at 1-2.</w:t>
      </w:r>
    </w:p>
  </w:footnote>
  <w:footnote w:id="4">
    <w:p w14:paraId="6FBA16AC" w14:textId="4A93A5B8" w:rsidR="00F767D9" w:rsidRPr="0053024C" w:rsidRDefault="00F767D9" w:rsidP="0053024C">
      <w:pPr>
        <w:pStyle w:val="FootnoteText"/>
        <w:spacing w:after="120" w:line="240" w:lineRule="exact"/>
        <w:rPr>
          <w:sz w:val="22"/>
          <w:szCs w:val="22"/>
        </w:rPr>
      </w:pPr>
      <w:r w:rsidRPr="002B79CC">
        <w:rPr>
          <w:rStyle w:val="FootnoteReference"/>
          <w:b/>
          <w:bCs/>
          <w:sz w:val="22"/>
          <w:szCs w:val="22"/>
          <w:u w:val="single"/>
        </w:rPr>
        <w:footnoteRef/>
      </w:r>
      <w:r w:rsidRPr="0053024C">
        <w:rPr>
          <w:sz w:val="22"/>
          <w:szCs w:val="22"/>
        </w:rPr>
        <w:t xml:space="preserve"> Id. at 2.</w:t>
      </w:r>
    </w:p>
  </w:footnote>
  <w:footnote w:id="5">
    <w:p w14:paraId="14C24303" w14:textId="4E0E56D6" w:rsidR="00F767D9" w:rsidRPr="0053024C" w:rsidRDefault="00F767D9" w:rsidP="0053024C">
      <w:pPr>
        <w:pStyle w:val="FootnoteText"/>
        <w:spacing w:after="120" w:line="240" w:lineRule="exact"/>
        <w:rPr>
          <w:sz w:val="22"/>
          <w:szCs w:val="22"/>
        </w:rPr>
      </w:pPr>
      <w:r w:rsidRPr="002B79CC">
        <w:rPr>
          <w:rStyle w:val="FootnoteReference"/>
          <w:b/>
          <w:bCs/>
          <w:sz w:val="22"/>
          <w:szCs w:val="22"/>
          <w:u w:val="single"/>
        </w:rPr>
        <w:footnoteRef/>
      </w:r>
      <w:r w:rsidRPr="0053024C">
        <w:rPr>
          <w:sz w:val="22"/>
          <w:szCs w:val="22"/>
        </w:rPr>
        <w:t xml:space="preserve"> Calpine Comments at 2.</w:t>
      </w:r>
    </w:p>
  </w:footnote>
  <w:footnote w:id="6">
    <w:p w14:paraId="3BDB66B8" w14:textId="708B9E28" w:rsidR="00F767D9" w:rsidRPr="0053024C" w:rsidRDefault="00F767D9" w:rsidP="0053024C">
      <w:pPr>
        <w:pStyle w:val="FootnoteText"/>
        <w:spacing w:after="120" w:line="240" w:lineRule="exact"/>
        <w:rPr>
          <w:sz w:val="22"/>
          <w:szCs w:val="22"/>
        </w:rPr>
      </w:pPr>
      <w:r w:rsidRPr="002B79CC">
        <w:rPr>
          <w:rStyle w:val="FootnoteReference"/>
          <w:b/>
          <w:bCs/>
          <w:sz w:val="22"/>
          <w:szCs w:val="22"/>
          <w:u w:val="single"/>
        </w:rPr>
        <w:footnoteRef/>
      </w:r>
      <w:r w:rsidRPr="0053024C">
        <w:rPr>
          <w:sz w:val="22"/>
          <w:szCs w:val="22"/>
        </w:rPr>
        <w:t xml:space="preserve"> Joint Comments at 2-5.</w:t>
      </w:r>
    </w:p>
  </w:footnote>
  <w:footnote w:id="7">
    <w:p w14:paraId="4EBBF2E0" w14:textId="47AE3571" w:rsidR="00F767D9" w:rsidRPr="0053024C" w:rsidRDefault="00F767D9" w:rsidP="0053024C">
      <w:pPr>
        <w:pStyle w:val="FootnoteText"/>
        <w:spacing w:after="120" w:line="240" w:lineRule="exact"/>
        <w:rPr>
          <w:sz w:val="22"/>
          <w:szCs w:val="22"/>
        </w:rPr>
      </w:pPr>
      <w:r w:rsidRPr="002B79CC">
        <w:rPr>
          <w:rStyle w:val="FootnoteReference"/>
          <w:b/>
          <w:bCs/>
          <w:sz w:val="22"/>
          <w:szCs w:val="22"/>
          <w:u w:val="single"/>
        </w:rPr>
        <w:footnoteRef/>
      </w:r>
      <w:r w:rsidRPr="0053024C">
        <w:rPr>
          <w:sz w:val="22"/>
          <w:szCs w:val="22"/>
        </w:rPr>
        <w:t xml:space="preserve"> Joint Comments at 5-11.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2500" w14:textId="738ECAD4" w:rsidR="003B1DBD" w:rsidRDefault="003B1DBD" w:rsidP="00A647B5">
    <w:pPr>
      <w:pStyle w:val="Header"/>
      <w:tabs>
        <w:tab w:val="clear" w:pos="4320"/>
        <w:tab w:val="clear" w:pos="8640"/>
        <w:tab w:val="left" w:pos="4140"/>
        <w:tab w:val="right" w:pos="9360"/>
      </w:tabs>
      <w:rPr>
        <w:sz w:val="28"/>
        <w:szCs w:val="28"/>
      </w:rPr>
    </w:pPr>
    <w:r w:rsidRPr="00062D2A">
      <w:rPr>
        <w:sz w:val="26"/>
        <w:szCs w:val="26"/>
      </w:rPr>
      <w:t xml:space="preserve">Resolution </w:t>
    </w:r>
    <w:r w:rsidR="00062D2A" w:rsidRPr="003C7852">
      <w:rPr>
        <w:sz w:val="26"/>
        <w:szCs w:val="26"/>
      </w:rPr>
      <w:t>SED-</w:t>
    </w:r>
    <w:r w:rsidR="00364C3F">
      <w:rPr>
        <w:sz w:val="26"/>
        <w:szCs w:val="26"/>
      </w:rPr>
      <w:t>6</w:t>
    </w:r>
    <w:r w:rsidRPr="00062D2A">
      <w:rPr>
        <w:sz w:val="26"/>
        <w:szCs w:val="26"/>
      </w:rPr>
      <w:tab/>
    </w:r>
    <w:r w:rsidRPr="00062D2A">
      <w:rPr>
        <w:b/>
        <w:sz w:val="26"/>
        <w:szCs w:val="26"/>
      </w:rPr>
      <w:t>DRAFT</w:t>
    </w:r>
    <w:r w:rsidR="00A647B5" w:rsidRPr="00062D2A">
      <w:rPr>
        <w:b/>
        <w:sz w:val="26"/>
        <w:szCs w:val="26"/>
      </w:rPr>
      <w:tab/>
    </w:r>
    <w:r w:rsidR="00405DB2">
      <w:rPr>
        <w:sz w:val="28"/>
        <w:szCs w:val="28"/>
      </w:rPr>
      <w:t>December 2, 2021</w:t>
    </w:r>
  </w:p>
  <w:p w14:paraId="480810AA" w14:textId="1B32EE7F" w:rsidR="007A1B2C" w:rsidRDefault="007A1B2C" w:rsidP="00A647B5">
    <w:pPr>
      <w:pStyle w:val="Header"/>
      <w:tabs>
        <w:tab w:val="clear" w:pos="4320"/>
        <w:tab w:val="clear" w:pos="8640"/>
        <w:tab w:val="left" w:pos="4140"/>
        <w:tab w:val="right" w:pos="9360"/>
      </w:tabs>
      <w:rPr>
        <w:sz w:val="26"/>
        <w:szCs w:val="26"/>
      </w:rPr>
    </w:pPr>
    <w:r>
      <w:rPr>
        <w:sz w:val="26"/>
        <w:szCs w:val="26"/>
      </w:rPr>
      <w:t>SED/PVA</w:t>
    </w:r>
  </w:p>
  <w:p w14:paraId="0BF44699" w14:textId="77777777" w:rsidR="007A1B2C" w:rsidRPr="00062D2A" w:rsidRDefault="007A1B2C" w:rsidP="00A647B5">
    <w:pPr>
      <w:pStyle w:val="Header"/>
      <w:tabs>
        <w:tab w:val="clear" w:pos="4320"/>
        <w:tab w:val="clear" w:pos="8640"/>
        <w:tab w:val="left" w:pos="4140"/>
        <w:tab w:val="right" w:pos="9360"/>
      </w:tabs>
      <w:rPr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610C" w14:textId="70CCD8E8" w:rsidR="00FD6D6B" w:rsidRDefault="007A1B2C" w:rsidP="00FD6D6B">
    <w:pPr>
      <w:pStyle w:val="Header"/>
      <w:tabs>
        <w:tab w:val="clear" w:pos="4320"/>
        <w:tab w:val="clear" w:pos="8640"/>
        <w:tab w:val="left" w:pos="4140"/>
        <w:tab w:val="right" w:pos="9360"/>
      </w:tabs>
      <w:rPr>
        <w:sz w:val="26"/>
        <w:szCs w:val="26"/>
      </w:rPr>
    </w:pPr>
    <w:r w:rsidRPr="00062D2A">
      <w:rPr>
        <w:sz w:val="26"/>
        <w:szCs w:val="26"/>
      </w:rPr>
      <w:t xml:space="preserve">Resolution </w:t>
    </w:r>
    <w:r w:rsidRPr="003C7852">
      <w:rPr>
        <w:sz w:val="26"/>
        <w:szCs w:val="26"/>
      </w:rPr>
      <w:t>SED-</w:t>
    </w:r>
    <w:r>
      <w:rPr>
        <w:sz w:val="26"/>
        <w:szCs w:val="26"/>
      </w:rPr>
      <w:t>6</w:t>
    </w:r>
    <w:r w:rsidR="0066680C">
      <w:rPr>
        <w:b/>
        <w:sz w:val="26"/>
        <w:szCs w:val="26"/>
      </w:rPr>
      <w:tab/>
    </w:r>
    <w:r w:rsidR="00FD6D6B" w:rsidRPr="003021A1">
      <w:rPr>
        <w:b/>
        <w:sz w:val="26"/>
        <w:szCs w:val="26"/>
      </w:rPr>
      <w:t>DRAFT</w:t>
    </w:r>
    <w:r w:rsidR="00FD6D6B" w:rsidRPr="003021A1">
      <w:rPr>
        <w:b/>
        <w:sz w:val="26"/>
        <w:szCs w:val="26"/>
      </w:rPr>
      <w:tab/>
    </w:r>
    <w:r w:rsidR="00CC50BB" w:rsidRPr="003021A1">
      <w:rPr>
        <w:sz w:val="26"/>
        <w:szCs w:val="26"/>
      </w:rPr>
      <w:t xml:space="preserve">Item </w:t>
    </w:r>
    <w:r w:rsidR="00773944">
      <w:rPr>
        <w:sz w:val="26"/>
        <w:szCs w:val="26"/>
      </w:rPr>
      <w:t>26</w:t>
    </w:r>
    <w:r w:rsidR="00CC50BB" w:rsidRPr="003021A1">
      <w:rPr>
        <w:sz w:val="26"/>
        <w:szCs w:val="26"/>
      </w:rPr>
      <w:t xml:space="preserve"> (Agenda # </w:t>
    </w:r>
    <w:r w:rsidR="003021A1" w:rsidRPr="003021A1">
      <w:rPr>
        <w:sz w:val="26"/>
        <w:szCs w:val="26"/>
      </w:rPr>
      <w:t>20013</w:t>
    </w:r>
    <w:r w:rsidR="00CC50BB" w:rsidRPr="003021A1">
      <w:rPr>
        <w:sz w:val="26"/>
        <w:szCs w:val="26"/>
      </w:rPr>
      <w:t>)</w:t>
    </w:r>
  </w:p>
  <w:p w14:paraId="2066FB4A" w14:textId="1F20AC0C" w:rsidR="007A1B2C" w:rsidRDefault="007A1B2C" w:rsidP="00FD6D6B">
    <w:pPr>
      <w:pStyle w:val="Header"/>
      <w:tabs>
        <w:tab w:val="clear" w:pos="4320"/>
        <w:tab w:val="clear" w:pos="8640"/>
        <w:tab w:val="left" w:pos="4140"/>
        <w:tab w:val="right" w:pos="9360"/>
      </w:tabs>
      <w:rPr>
        <w:sz w:val="26"/>
        <w:szCs w:val="26"/>
      </w:rPr>
    </w:pPr>
    <w:r>
      <w:rPr>
        <w:sz w:val="26"/>
        <w:szCs w:val="26"/>
      </w:rPr>
      <w:t>SED/PVA</w:t>
    </w:r>
    <w:r w:rsidR="00773944">
      <w:rPr>
        <w:sz w:val="26"/>
        <w:szCs w:val="26"/>
      </w:rPr>
      <w:tab/>
    </w:r>
    <w:r w:rsidR="00773944">
      <w:rPr>
        <w:sz w:val="26"/>
        <w:szCs w:val="26"/>
      </w:rPr>
      <w:tab/>
      <w:t>(Rev.1)</w:t>
    </w:r>
  </w:p>
  <w:p w14:paraId="1C43CCDA" w14:textId="77777777" w:rsidR="007A1B2C" w:rsidRPr="003021A1" w:rsidRDefault="007A1B2C" w:rsidP="00FD6D6B">
    <w:pPr>
      <w:pStyle w:val="Header"/>
      <w:tabs>
        <w:tab w:val="clear" w:pos="4320"/>
        <w:tab w:val="clear" w:pos="8640"/>
        <w:tab w:val="left" w:pos="4140"/>
        <w:tab w:val="right" w:pos="9360"/>
      </w:tabs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1AEE"/>
    <w:multiLevelType w:val="hybridMultilevel"/>
    <w:tmpl w:val="D0CEE69C"/>
    <w:lvl w:ilvl="0" w:tplc="F44C94EC">
      <w:start w:val="1"/>
      <w:numFmt w:val="decimal"/>
      <w:lvlText w:val="%1."/>
      <w:lvlJc w:val="left"/>
      <w:pPr>
        <w:tabs>
          <w:tab w:val="num" w:pos="240"/>
        </w:tabs>
        <w:ind w:left="2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1AC07052"/>
    <w:multiLevelType w:val="hybridMultilevel"/>
    <w:tmpl w:val="992A8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D5C9C"/>
    <w:multiLevelType w:val="hybridMultilevel"/>
    <w:tmpl w:val="2180AC84"/>
    <w:lvl w:ilvl="0" w:tplc="496E4E4E">
      <w:start w:val="1"/>
      <w:numFmt w:val="decimal"/>
      <w:lvlText w:val="%1."/>
      <w:lvlJc w:val="left"/>
      <w:pPr>
        <w:tabs>
          <w:tab w:val="num" w:pos="240"/>
        </w:tabs>
        <w:ind w:left="2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77945"/>
    <w:multiLevelType w:val="hybridMultilevel"/>
    <w:tmpl w:val="2BFE11B0"/>
    <w:lvl w:ilvl="0" w:tplc="9938A792">
      <w:start w:val="1"/>
      <w:numFmt w:val="decimal"/>
      <w:lvlText w:val="%1."/>
      <w:lvlJc w:val="left"/>
      <w:pPr>
        <w:tabs>
          <w:tab w:val="num" w:pos="240"/>
        </w:tabs>
        <w:ind w:left="2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76BC62C1"/>
    <w:multiLevelType w:val="hybridMultilevel"/>
    <w:tmpl w:val="A43C32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BD"/>
    <w:rsid w:val="00002676"/>
    <w:rsid w:val="00003B52"/>
    <w:rsid w:val="0000410B"/>
    <w:rsid w:val="00005A55"/>
    <w:rsid w:val="00013029"/>
    <w:rsid w:val="00013DE0"/>
    <w:rsid w:val="00014683"/>
    <w:rsid w:val="000156EC"/>
    <w:rsid w:val="0001742D"/>
    <w:rsid w:val="00021C9C"/>
    <w:rsid w:val="00021D1D"/>
    <w:rsid w:val="00023A7C"/>
    <w:rsid w:val="00024AFF"/>
    <w:rsid w:val="000279D2"/>
    <w:rsid w:val="00033467"/>
    <w:rsid w:val="000405FD"/>
    <w:rsid w:val="0004177E"/>
    <w:rsid w:val="00042335"/>
    <w:rsid w:val="00045062"/>
    <w:rsid w:val="000451F6"/>
    <w:rsid w:val="000462B4"/>
    <w:rsid w:val="000559CD"/>
    <w:rsid w:val="00055A75"/>
    <w:rsid w:val="0006023A"/>
    <w:rsid w:val="00061C68"/>
    <w:rsid w:val="00062D2A"/>
    <w:rsid w:val="0006338B"/>
    <w:rsid w:val="00063659"/>
    <w:rsid w:val="00065CA3"/>
    <w:rsid w:val="00066B61"/>
    <w:rsid w:val="00067039"/>
    <w:rsid w:val="0006724D"/>
    <w:rsid w:val="00067468"/>
    <w:rsid w:val="0007379A"/>
    <w:rsid w:val="00073EC5"/>
    <w:rsid w:val="00075B1E"/>
    <w:rsid w:val="00075FA1"/>
    <w:rsid w:val="00076162"/>
    <w:rsid w:val="00076B51"/>
    <w:rsid w:val="000771CB"/>
    <w:rsid w:val="00077CEE"/>
    <w:rsid w:val="000800CC"/>
    <w:rsid w:val="00082101"/>
    <w:rsid w:val="000825A6"/>
    <w:rsid w:val="000827F0"/>
    <w:rsid w:val="00084C73"/>
    <w:rsid w:val="00084CAE"/>
    <w:rsid w:val="00085712"/>
    <w:rsid w:val="000859EC"/>
    <w:rsid w:val="00087431"/>
    <w:rsid w:val="00087AFA"/>
    <w:rsid w:val="00092868"/>
    <w:rsid w:val="00092F18"/>
    <w:rsid w:val="000A059A"/>
    <w:rsid w:val="000A08C2"/>
    <w:rsid w:val="000A1D9F"/>
    <w:rsid w:val="000A2836"/>
    <w:rsid w:val="000A77DF"/>
    <w:rsid w:val="000B1EDE"/>
    <w:rsid w:val="000B4D28"/>
    <w:rsid w:val="000B57FA"/>
    <w:rsid w:val="000B5A0D"/>
    <w:rsid w:val="000B7070"/>
    <w:rsid w:val="000C0B92"/>
    <w:rsid w:val="000C0BC3"/>
    <w:rsid w:val="000C2EB3"/>
    <w:rsid w:val="000C2FAB"/>
    <w:rsid w:val="000C6055"/>
    <w:rsid w:val="000C661F"/>
    <w:rsid w:val="000C70EF"/>
    <w:rsid w:val="000D0B12"/>
    <w:rsid w:val="000D11CA"/>
    <w:rsid w:val="000D1240"/>
    <w:rsid w:val="000D1C66"/>
    <w:rsid w:val="000D2598"/>
    <w:rsid w:val="000D4A96"/>
    <w:rsid w:val="000D55C3"/>
    <w:rsid w:val="000E0402"/>
    <w:rsid w:val="000E0614"/>
    <w:rsid w:val="000E3EDA"/>
    <w:rsid w:val="000E4644"/>
    <w:rsid w:val="000E75B5"/>
    <w:rsid w:val="000F0161"/>
    <w:rsid w:val="000F11B6"/>
    <w:rsid w:val="000F32F8"/>
    <w:rsid w:val="000F5608"/>
    <w:rsid w:val="0010030A"/>
    <w:rsid w:val="0010055A"/>
    <w:rsid w:val="00100C10"/>
    <w:rsid w:val="00100C5F"/>
    <w:rsid w:val="00102405"/>
    <w:rsid w:val="001028A2"/>
    <w:rsid w:val="00103570"/>
    <w:rsid w:val="0010358E"/>
    <w:rsid w:val="00104186"/>
    <w:rsid w:val="00110237"/>
    <w:rsid w:val="001103AD"/>
    <w:rsid w:val="00110B18"/>
    <w:rsid w:val="00110B51"/>
    <w:rsid w:val="00110BE0"/>
    <w:rsid w:val="00113B18"/>
    <w:rsid w:val="00116F74"/>
    <w:rsid w:val="00117B3E"/>
    <w:rsid w:val="00117ED0"/>
    <w:rsid w:val="001201C6"/>
    <w:rsid w:val="00121866"/>
    <w:rsid w:val="001222D7"/>
    <w:rsid w:val="001229E3"/>
    <w:rsid w:val="00122E8D"/>
    <w:rsid w:val="001246D2"/>
    <w:rsid w:val="00125853"/>
    <w:rsid w:val="001269A2"/>
    <w:rsid w:val="001269D6"/>
    <w:rsid w:val="001273CE"/>
    <w:rsid w:val="001276D7"/>
    <w:rsid w:val="001305B0"/>
    <w:rsid w:val="00131F8D"/>
    <w:rsid w:val="001321B4"/>
    <w:rsid w:val="00135FA2"/>
    <w:rsid w:val="00140B72"/>
    <w:rsid w:val="00143642"/>
    <w:rsid w:val="00143BFA"/>
    <w:rsid w:val="0014653E"/>
    <w:rsid w:val="00146E26"/>
    <w:rsid w:val="00146F8B"/>
    <w:rsid w:val="00153665"/>
    <w:rsid w:val="001566BE"/>
    <w:rsid w:val="0015670C"/>
    <w:rsid w:val="001618B7"/>
    <w:rsid w:val="00162B96"/>
    <w:rsid w:val="00163250"/>
    <w:rsid w:val="001640E9"/>
    <w:rsid w:val="001643B2"/>
    <w:rsid w:val="001662FB"/>
    <w:rsid w:val="00167A40"/>
    <w:rsid w:val="001716EC"/>
    <w:rsid w:val="00174A2A"/>
    <w:rsid w:val="001766F3"/>
    <w:rsid w:val="00181A72"/>
    <w:rsid w:val="00182DB2"/>
    <w:rsid w:val="00182EBA"/>
    <w:rsid w:val="00184806"/>
    <w:rsid w:val="00185A5C"/>
    <w:rsid w:val="00185DF6"/>
    <w:rsid w:val="00190B50"/>
    <w:rsid w:val="00191129"/>
    <w:rsid w:val="00192D5B"/>
    <w:rsid w:val="00193202"/>
    <w:rsid w:val="00193448"/>
    <w:rsid w:val="00193DF5"/>
    <w:rsid w:val="00197F25"/>
    <w:rsid w:val="001A1B03"/>
    <w:rsid w:val="001A1E18"/>
    <w:rsid w:val="001A3951"/>
    <w:rsid w:val="001A57F1"/>
    <w:rsid w:val="001A62D9"/>
    <w:rsid w:val="001A6DE6"/>
    <w:rsid w:val="001B0CC2"/>
    <w:rsid w:val="001B11E8"/>
    <w:rsid w:val="001B2F83"/>
    <w:rsid w:val="001B3E27"/>
    <w:rsid w:val="001B60C6"/>
    <w:rsid w:val="001C070D"/>
    <w:rsid w:val="001C26D0"/>
    <w:rsid w:val="001C306E"/>
    <w:rsid w:val="001C44DB"/>
    <w:rsid w:val="001D0707"/>
    <w:rsid w:val="001D1AFD"/>
    <w:rsid w:val="001D44F7"/>
    <w:rsid w:val="001D4A9D"/>
    <w:rsid w:val="001D4D97"/>
    <w:rsid w:val="001D5232"/>
    <w:rsid w:val="001D68DB"/>
    <w:rsid w:val="001E03B0"/>
    <w:rsid w:val="001E3DF2"/>
    <w:rsid w:val="001E5083"/>
    <w:rsid w:val="001E703C"/>
    <w:rsid w:val="001F1A0F"/>
    <w:rsid w:val="001F48E8"/>
    <w:rsid w:val="001F4906"/>
    <w:rsid w:val="002012B2"/>
    <w:rsid w:val="00201DE8"/>
    <w:rsid w:val="00202B68"/>
    <w:rsid w:val="0020535F"/>
    <w:rsid w:val="00206249"/>
    <w:rsid w:val="00207E5D"/>
    <w:rsid w:val="002103DF"/>
    <w:rsid w:val="00210BDE"/>
    <w:rsid w:val="00211DF2"/>
    <w:rsid w:val="00214D4D"/>
    <w:rsid w:val="002156E5"/>
    <w:rsid w:val="00216FE5"/>
    <w:rsid w:val="00217FDE"/>
    <w:rsid w:val="002207C0"/>
    <w:rsid w:val="002215CC"/>
    <w:rsid w:val="0022674E"/>
    <w:rsid w:val="00226EED"/>
    <w:rsid w:val="00232130"/>
    <w:rsid w:val="00232764"/>
    <w:rsid w:val="002352F2"/>
    <w:rsid w:val="0023576C"/>
    <w:rsid w:val="00237742"/>
    <w:rsid w:val="00242C36"/>
    <w:rsid w:val="00244AAB"/>
    <w:rsid w:val="00244B94"/>
    <w:rsid w:val="00247D33"/>
    <w:rsid w:val="00251BF9"/>
    <w:rsid w:val="00251C41"/>
    <w:rsid w:val="00253F1A"/>
    <w:rsid w:val="00254648"/>
    <w:rsid w:val="00255A75"/>
    <w:rsid w:val="0026237F"/>
    <w:rsid w:val="00264221"/>
    <w:rsid w:val="00264D75"/>
    <w:rsid w:val="00264E2F"/>
    <w:rsid w:val="0026641C"/>
    <w:rsid w:val="00266D56"/>
    <w:rsid w:val="002672FD"/>
    <w:rsid w:val="002677E7"/>
    <w:rsid w:val="00270458"/>
    <w:rsid w:val="00270E32"/>
    <w:rsid w:val="00272CF9"/>
    <w:rsid w:val="00274665"/>
    <w:rsid w:val="00276817"/>
    <w:rsid w:val="00277FDE"/>
    <w:rsid w:val="0028078D"/>
    <w:rsid w:val="002810E1"/>
    <w:rsid w:val="00282263"/>
    <w:rsid w:val="00282D23"/>
    <w:rsid w:val="00283CB9"/>
    <w:rsid w:val="00286995"/>
    <w:rsid w:val="00291E92"/>
    <w:rsid w:val="0029382E"/>
    <w:rsid w:val="00294495"/>
    <w:rsid w:val="002965F6"/>
    <w:rsid w:val="00296AA4"/>
    <w:rsid w:val="00296B11"/>
    <w:rsid w:val="002A2154"/>
    <w:rsid w:val="002A3AE9"/>
    <w:rsid w:val="002A59E5"/>
    <w:rsid w:val="002A6A19"/>
    <w:rsid w:val="002A77D8"/>
    <w:rsid w:val="002A7D53"/>
    <w:rsid w:val="002B0A85"/>
    <w:rsid w:val="002B0B68"/>
    <w:rsid w:val="002B0E96"/>
    <w:rsid w:val="002B1B55"/>
    <w:rsid w:val="002B4810"/>
    <w:rsid w:val="002B6AD7"/>
    <w:rsid w:val="002B79CC"/>
    <w:rsid w:val="002C051F"/>
    <w:rsid w:val="002C1CB2"/>
    <w:rsid w:val="002C2D22"/>
    <w:rsid w:val="002C30BA"/>
    <w:rsid w:val="002C3563"/>
    <w:rsid w:val="002C4017"/>
    <w:rsid w:val="002C4E0C"/>
    <w:rsid w:val="002C5C4D"/>
    <w:rsid w:val="002C6527"/>
    <w:rsid w:val="002C69FE"/>
    <w:rsid w:val="002D10C7"/>
    <w:rsid w:val="002D1F69"/>
    <w:rsid w:val="002D3441"/>
    <w:rsid w:val="002D5B98"/>
    <w:rsid w:val="002D6FB4"/>
    <w:rsid w:val="002E1C8A"/>
    <w:rsid w:val="002E3409"/>
    <w:rsid w:val="002E4377"/>
    <w:rsid w:val="002E600A"/>
    <w:rsid w:val="002E669B"/>
    <w:rsid w:val="002E76AF"/>
    <w:rsid w:val="002F0E02"/>
    <w:rsid w:val="002F0E17"/>
    <w:rsid w:val="002F28FD"/>
    <w:rsid w:val="002F36D7"/>
    <w:rsid w:val="002F4305"/>
    <w:rsid w:val="002F6439"/>
    <w:rsid w:val="002F6CEC"/>
    <w:rsid w:val="002F7682"/>
    <w:rsid w:val="003021A1"/>
    <w:rsid w:val="003044BB"/>
    <w:rsid w:val="00305CEA"/>
    <w:rsid w:val="00306FC6"/>
    <w:rsid w:val="00307160"/>
    <w:rsid w:val="0030733F"/>
    <w:rsid w:val="00307C38"/>
    <w:rsid w:val="0031182A"/>
    <w:rsid w:val="00311E0E"/>
    <w:rsid w:val="003135A8"/>
    <w:rsid w:val="003141C7"/>
    <w:rsid w:val="00314C76"/>
    <w:rsid w:val="0032025F"/>
    <w:rsid w:val="00320809"/>
    <w:rsid w:val="00320F01"/>
    <w:rsid w:val="00322839"/>
    <w:rsid w:val="00325D76"/>
    <w:rsid w:val="00332E3F"/>
    <w:rsid w:val="00333133"/>
    <w:rsid w:val="00333AC3"/>
    <w:rsid w:val="003351B8"/>
    <w:rsid w:val="00335508"/>
    <w:rsid w:val="0033784B"/>
    <w:rsid w:val="00337AAE"/>
    <w:rsid w:val="003425B6"/>
    <w:rsid w:val="00343BA7"/>
    <w:rsid w:val="00344784"/>
    <w:rsid w:val="00353776"/>
    <w:rsid w:val="003617FD"/>
    <w:rsid w:val="0036307D"/>
    <w:rsid w:val="00364C3F"/>
    <w:rsid w:val="00364CDC"/>
    <w:rsid w:val="00365860"/>
    <w:rsid w:val="00365E36"/>
    <w:rsid w:val="003679C8"/>
    <w:rsid w:val="00377A83"/>
    <w:rsid w:val="00377CE8"/>
    <w:rsid w:val="00381DF2"/>
    <w:rsid w:val="0038405A"/>
    <w:rsid w:val="003841F1"/>
    <w:rsid w:val="00384E20"/>
    <w:rsid w:val="0038504D"/>
    <w:rsid w:val="00385735"/>
    <w:rsid w:val="0038649F"/>
    <w:rsid w:val="003866DA"/>
    <w:rsid w:val="00387997"/>
    <w:rsid w:val="00392B8A"/>
    <w:rsid w:val="00393248"/>
    <w:rsid w:val="00394ACC"/>
    <w:rsid w:val="0039669C"/>
    <w:rsid w:val="003A0BC6"/>
    <w:rsid w:val="003A1AF8"/>
    <w:rsid w:val="003A3CF3"/>
    <w:rsid w:val="003A4A78"/>
    <w:rsid w:val="003A5008"/>
    <w:rsid w:val="003A55F7"/>
    <w:rsid w:val="003A5CB0"/>
    <w:rsid w:val="003A6C2D"/>
    <w:rsid w:val="003B19EF"/>
    <w:rsid w:val="003B1DBD"/>
    <w:rsid w:val="003B2A63"/>
    <w:rsid w:val="003B4995"/>
    <w:rsid w:val="003B642F"/>
    <w:rsid w:val="003B69FE"/>
    <w:rsid w:val="003C2281"/>
    <w:rsid w:val="003C4421"/>
    <w:rsid w:val="003C6FB3"/>
    <w:rsid w:val="003C7852"/>
    <w:rsid w:val="003D08E5"/>
    <w:rsid w:val="003D16A6"/>
    <w:rsid w:val="003D17C3"/>
    <w:rsid w:val="003D1AE5"/>
    <w:rsid w:val="003D519C"/>
    <w:rsid w:val="003D6CA2"/>
    <w:rsid w:val="003D7151"/>
    <w:rsid w:val="003D7807"/>
    <w:rsid w:val="003D7FB4"/>
    <w:rsid w:val="003E0382"/>
    <w:rsid w:val="003E17DC"/>
    <w:rsid w:val="003E3266"/>
    <w:rsid w:val="003E3F4C"/>
    <w:rsid w:val="003E63D3"/>
    <w:rsid w:val="003E6A68"/>
    <w:rsid w:val="003E7A0E"/>
    <w:rsid w:val="003F32B9"/>
    <w:rsid w:val="003F33C2"/>
    <w:rsid w:val="003F6369"/>
    <w:rsid w:val="003F726F"/>
    <w:rsid w:val="00401BE8"/>
    <w:rsid w:val="00401CF4"/>
    <w:rsid w:val="00403EA9"/>
    <w:rsid w:val="004049C6"/>
    <w:rsid w:val="00405DB2"/>
    <w:rsid w:val="0040641C"/>
    <w:rsid w:val="0040671E"/>
    <w:rsid w:val="004071F9"/>
    <w:rsid w:val="0040798B"/>
    <w:rsid w:val="00410CD8"/>
    <w:rsid w:val="00412F0C"/>
    <w:rsid w:val="00413F83"/>
    <w:rsid w:val="00414329"/>
    <w:rsid w:val="00416BCE"/>
    <w:rsid w:val="004200B0"/>
    <w:rsid w:val="004208A4"/>
    <w:rsid w:val="00426552"/>
    <w:rsid w:val="00430F6B"/>
    <w:rsid w:val="004313BE"/>
    <w:rsid w:val="00431E97"/>
    <w:rsid w:val="00432E27"/>
    <w:rsid w:val="00434E31"/>
    <w:rsid w:val="00434F84"/>
    <w:rsid w:val="00436872"/>
    <w:rsid w:val="00437A54"/>
    <w:rsid w:val="004405C8"/>
    <w:rsid w:val="004408C6"/>
    <w:rsid w:val="00441080"/>
    <w:rsid w:val="00442E54"/>
    <w:rsid w:val="00447354"/>
    <w:rsid w:val="0044745E"/>
    <w:rsid w:val="00447757"/>
    <w:rsid w:val="0045248B"/>
    <w:rsid w:val="004525D5"/>
    <w:rsid w:val="00455698"/>
    <w:rsid w:val="00455B1A"/>
    <w:rsid w:val="004565FD"/>
    <w:rsid w:val="00456C0B"/>
    <w:rsid w:val="00460A96"/>
    <w:rsid w:val="00464AA3"/>
    <w:rsid w:val="00470B99"/>
    <w:rsid w:val="00471C19"/>
    <w:rsid w:val="00471E28"/>
    <w:rsid w:val="0047228D"/>
    <w:rsid w:val="00473483"/>
    <w:rsid w:val="00475465"/>
    <w:rsid w:val="004756A6"/>
    <w:rsid w:val="004804B2"/>
    <w:rsid w:val="00480DAB"/>
    <w:rsid w:val="00481BE0"/>
    <w:rsid w:val="004850E3"/>
    <w:rsid w:val="0048741E"/>
    <w:rsid w:val="00487964"/>
    <w:rsid w:val="00487C1A"/>
    <w:rsid w:val="0049085A"/>
    <w:rsid w:val="00491DF0"/>
    <w:rsid w:val="00492574"/>
    <w:rsid w:val="00493F9A"/>
    <w:rsid w:val="00496A96"/>
    <w:rsid w:val="00497803"/>
    <w:rsid w:val="004A4A27"/>
    <w:rsid w:val="004A592E"/>
    <w:rsid w:val="004A61AF"/>
    <w:rsid w:val="004A6351"/>
    <w:rsid w:val="004A78A1"/>
    <w:rsid w:val="004B0D49"/>
    <w:rsid w:val="004B2C64"/>
    <w:rsid w:val="004B301D"/>
    <w:rsid w:val="004B3623"/>
    <w:rsid w:val="004B4716"/>
    <w:rsid w:val="004B540E"/>
    <w:rsid w:val="004B57FD"/>
    <w:rsid w:val="004B5DA0"/>
    <w:rsid w:val="004B73AB"/>
    <w:rsid w:val="004C1E71"/>
    <w:rsid w:val="004C2098"/>
    <w:rsid w:val="004C2884"/>
    <w:rsid w:val="004C38FB"/>
    <w:rsid w:val="004C53D2"/>
    <w:rsid w:val="004C55AA"/>
    <w:rsid w:val="004C5D85"/>
    <w:rsid w:val="004D0355"/>
    <w:rsid w:val="004D0EA2"/>
    <w:rsid w:val="004D2212"/>
    <w:rsid w:val="004D4CD4"/>
    <w:rsid w:val="004D5ACD"/>
    <w:rsid w:val="004D5FE9"/>
    <w:rsid w:val="004E017C"/>
    <w:rsid w:val="004E09D7"/>
    <w:rsid w:val="004F1B47"/>
    <w:rsid w:val="004F5439"/>
    <w:rsid w:val="004F5BD8"/>
    <w:rsid w:val="004F63CB"/>
    <w:rsid w:val="004F7125"/>
    <w:rsid w:val="00502078"/>
    <w:rsid w:val="00502BBC"/>
    <w:rsid w:val="00504A6A"/>
    <w:rsid w:val="00507783"/>
    <w:rsid w:val="005101E4"/>
    <w:rsid w:val="005105A4"/>
    <w:rsid w:val="005119D4"/>
    <w:rsid w:val="005125F9"/>
    <w:rsid w:val="005142C4"/>
    <w:rsid w:val="00514C74"/>
    <w:rsid w:val="00520C68"/>
    <w:rsid w:val="005214D8"/>
    <w:rsid w:val="005216E0"/>
    <w:rsid w:val="00522680"/>
    <w:rsid w:val="00522EFF"/>
    <w:rsid w:val="00523F76"/>
    <w:rsid w:val="00525A45"/>
    <w:rsid w:val="0052775A"/>
    <w:rsid w:val="0053024C"/>
    <w:rsid w:val="00530433"/>
    <w:rsid w:val="00530884"/>
    <w:rsid w:val="00532A5E"/>
    <w:rsid w:val="00532A90"/>
    <w:rsid w:val="00534B29"/>
    <w:rsid w:val="00536317"/>
    <w:rsid w:val="00537DD0"/>
    <w:rsid w:val="00537E67"/>
    <w:rsid w:val="00542D44"/>
    <w:rsid w:val="00542E7F"/>
    <w:rsid w:val="00542E91"/>
    <w:rsid w:val="005457A7"/>
    <w:rsid w:val="005457E1"/>
    <w:rsid w:val="005464AA"/>
    <w:rsid w:val="005465B5"/>
    <w:rsid w:val="005500D5"/>
    <w:rsid w:val="005542E8"/>
    <w:rsid w:val="00555C5A"/>
    <w:rsid w:val="00557C93"/>
    <w:rsid w:val="005602C2"/>
    <w:rsid w:val="00560555"/>
    <w:rsid w:val="0056163D"/>
    <w:rsid w:val="0056563B"/>
    <w:rsid w:val="00566A90"/>
    <w:rsid w:val="0056702C"/>
    <w:rsid w:val="00570A36"/>
    <w:rsid w:val="00571827"/>
    <w:rsid w:val="0057339F"/>
    <w:rsid w:val="00573BE1"/>
    <w:rsid w:val="00574B16"/>
    <w:rsid w:val="00575067"/>
    <w:rsid w:val="00575BC4"/>
    <w:rsid w:val="0057732C"/>
    <w:rsid w:val="0058004F"/>
    <w:rsid w:val="00582907"/>
    <w:rsid w:val="00583768"/>
    <w:rsid w:val="00583885"/>
    <w:rsid w:val="005841B6"/>
    <w:rsid w:val="00586EE9"/>
    <w:rsid w:val="005911BA"/>
    <w:rsid w:val="00592345"/>
    <w:rsid w:val="00592EF8"/>
    <w:rsid w:val="005953D1"/>
    <w:rsid w:val="005966E8"/>
    <w:rsid w:val="005A04F5"/>
    <w:rsid w:val="005A0672"/>
    <w:rsid w:val="005A11DF"/>
    <w:rsid w:val="005A2607"/>
    <w:rsid w:val="005A2BB3"/>
    <w:rsid w:val="005A447C"/>
    <w:rsid w:val="005A4649"/>
    <w:rsid w:val="005A480F"/>
    <w:rsid w:val="005A4A84"/>
    <w:rsid w:val="005A5ED2"/>
    <w:rsid w:val="005B149E"/>
    <w:rsid w:val="005B3BCE"/>
    <w:rsid w:val="005C0244"/>
    <w:rsid w:val="005C14FC"/>
    <w:rsid w:val="005C21A8"/>
    <w:rsid w:val="005C2F37"/>
    <w:rsid w:val="005C3120"/>
    <w:rsid w:val="005C6667"/>
    <w:rsid w:val="005D1F85"/>
    <w:rsid w:val="005D5790"/>
    <w:rsid w:val="005D5D73"/>
    <w:rsid w:val="005D73F0"/>
    <w:rsid w:val="005D7462"/>
    <w:rsid w:val="005E18AA"/>
    <w:rsid w:val="005E2630"/>
    <w:rsid w:val="005E35C5"/>
    <w:rsid w:val="005E5539"/>
    <w:rsid w:val="005F1396"/>
    <w:rsid w:val="005F481B"/>
    <w:rsid w:val="005F53EC"/>
    <w:rsid w:val="005F586A"/>
    <w:rsid w:val="005F73CD"/>
    <w:rsid w:val="006000AA"/>
    <w:rsid w:val="00601112"/>
    <w:rsid w:val="006011D9"/>
    <w:rsid w:val="0060266F"/>
    <w:rsid w:val="00602AD5"/>
    <w:rsid w:val="006047C8"/>
    <w:rsid w:val="00604FD5"/>
    <w:rsid w:val="006102BA"/>
    <w:rsid w:val="00611B10"/>
    <w:rsid w:val="00613BA2"/>
    <w:rsid w:val="00614E4B"/>
    <w:rsid w:val="006150A9"/>
    <w:rsid w:val="00615B1A"/>
    <w:rsid w:val="00620177"/>
    <w:rsid w:val="00620694"/>
    <w:rsid w:val="006230BA"/>
    <w:rsid w:val="00623EA6"/>
    <w:rsid w:val="00625DB3"/>
    <w:rsid w:val="006264FD"/>
    <w:rsid w:val="006265AF"/>
    <w:rsid w:val="0063092E"/>
    <w:rsid w:val="006319A8"/>
    <w:rsid w:val="00632B48"/>
    <w:rsid w:val="00634567"/>
    <w:rsid w:val="0063634A"/>
    <w:rsid w:val="006420F3"/>
    <w:rsid w:val="00642FFA"/>
    <w:rsid w:val="00644D00"/>
    <w:rsid w:val="0064661A"/>
    <w:rsid w:val="00651727"/>
    <w:rsid w:val="00653237"/>
    <w:rsid w:val="00654010"/>
    <w:rsid w:val="00655D56"/>
    <w:rsid w:val="006602E7"/>
    <w:rsid w:val="00661E9E"/>
    <w:rsid w:val="00662D96"/>
    <w:rsid w:val="0066680C"/>
    <w:rsid w:val="00670537"/>
    <w:rsid w:val="00675476"/>
    <w:rsid w:val="00675ED4"/>
    <w:rsid w:val="0068148A"/>
    <w:rsid w:val="006841F0"/>
    <w:rsid w:val="00686BEF"/>
    <w:rsid w:val="00686C01"/>
    <w:rsid w:val="00690387"/>
    <w:rsid w:val="00690E20"/>
    <w:rsid w:val="006932F6"/>
    <w:rsid w:val="00693B4A"/>
    <w:rsid w:val="00694EBF"/>
    <w:rsid w:val="00695ECC"/>
    <w:rsid w:val="00695F7D"/>
    <w:rsid w:val="006A21B1"/>
    <w:rsid w:val="006A2DC0"/>
    <w:rsid w:val="006A4D74"/>
    <w:rsid w:val="006A5A78"/>
    <w:rsid w:val="006A7D90"/>
    <w:rsid w:val="006B2C08"/>
    <w:rsid w:val="006B329B"/>
    <w:rsid w:val="006B5441"/>
    <w:rsid w:val="006B74FF"/>
    <w:rsid w:val="006B7B58"/>
    <w:rsid w:val="006C03CE"/>
    <w:rsid w:val="006C0435"/>
    <w:rsid w:val="006C240B"/>
    <w:rsid w:val="006C3017"/>
    <w:rsid w:val="006C403E"/>
    <w:rsid w:val="006C4293"/>
    <w:rsid w:val="006C56A9"/>
    <w:rsid w:val="006C730B"/>
    <w:rsid w:val="006C7B18"/>
    <w:rsid w:val="006D04ED"/>
    <w:rsid w:val="006D33B1"/>
    <w:rsid w:val="006D33B6"/>
    <w:rsid w:val="006D3AA6"/>
    <w:rsid w:val="006D3CAE"/>
    <w:rsid w:val="006D462C"/>
    <w:rsid w:val="006D7C7C"/>
    <w:rsid w:val="006D7F98"/>
    <w:rsid w:val="006E0E9F"/>
    <w:rsid w:val="006E2E6D"/>
    <w:rsid w:val="006E3152"/>
    <w:rsid w:val="006E38C7"/>
    <w:rsid w:val="006E5E46"/>
    <w:rsid w:val="006F05C2"/>
    <w:rsid w:val="006F0947"/>
    <w:rsid w:val="006F2FE5"/>
    <w:rsid w:val="006F36FE"/>
    <w:rsid w:val="006F49F6"/>
    <w:rsid w:val="006F4D57"/>
    <w:rsid w:val="006F52F1"/>
    <w:rsid w:val="006F5337"/>
    <w:rsid w:val="006F6321"/>
    <w:rsid w:val="006F748C"/>
    <w:rsid w:val="006F7AB8"/>
    <w:rsid w:val="0070015F"/>
    <w:rsid w:val="00704901"/>
    <w:rsid w:val="00706A85"/>
    <w:rsid w:val="00706FC5"/>
    <w:rsid w:val="00712675"/>
    <w:rsid w:val="00714EB2"/>
    <w:rsid w:val="007175FE"/>
    <w:rsid w:val="00717889"/>
    <w:rsid w:val="00722F91"/>
    <w:rsid w:val="00722FB3"/>
    <w:rsid w:val="00723302"/>
    <w:rsid w:val="00723905"/>
    <w:rsid w:val="00724759"/>
    <w:rsid w:val="00726883"/>
    <w:rsid w:val="0073171B"/>
    <w:rsid w:val="00732EAA"/>
    <w:rsid w:val="0073310E"/>
    <w:rsid w:val="007349B8"/>
    <w:rsid w:val="00736EEF"/>
    <w:rsid w:val="0074116E"/>
    <w:rsid w:val="00743D12"/>
    <w:rsid w:val="0074556C"/>
    <w:rsid w:val="00745B57"/>
    <w:rsid w:val="0074602E"/>
    <w:rsid w:val="00746D9D"/>
    <w:rsid w:val="0075279F"/>
    <w:rsid w:val="00761132"/>
    <w:rsid w:val="007627F3"/>
    <w:rsid w:val="00762859"/>
    <w:rsid w:val="00767241"/>
    <w:rsid w:val="00767CF4"/>
    <w:rsid w:val="00771F09"/>
    <w:rsid w:val="00773944"/>
    <w:rsid w:val="00774E0A"/>
    <w:rsid w:val="0077509A"/>
    <w:rsid w:val="00776993"/>
    <w:rsid w:val="007778BE"/>
    <w:rsid w:val="007813FC"/>
    <w:rsid w:val="0078344D"/>
    <w:rsid w:val="00783975"/>
    <w:rsid w:val="00785B06"/>
    <w:rsid w:val="00790C13"/>
    <w:rsid w:val="007911DA"/>
    <w:rsid w:val="00792928"/>
    <w:rsid w:val="0079326B"/>
    <w:rsid w:val="007947D9"/>
    <w:rsid w:val="007972AA"/>
    <w:rsid w:val="007A1B2C"/>
    <w:rsid w:val="007A22B5"/>
    <w:rsid w:val="007A3D24"/>
    <w:rsid w:val="007A6332"/>
    <w:rsid w:val="007A7030"/>
    <w:rsid w:val="007A71A0"/>
    <w:rsid w:val="007B187C"/>
    <w:rsid w:val="007B36F7"/>
    <w:rsid w:val="007B41CE"/>
    <w:rsid w:val="007B43E9"/>
    <w:rsid w:val="007B4CCE"/>
    <w:rsid w:val="007B5D39"/>
    <w:rsid w:val="007B7F23"/>
    <w:rsid w:val="007C01F3"/>
    <w:rsid w:val="007C132B"/>
    <w:rsid w:val="007C2985"/>
    <w:rsid w:val="007C29C1"/>
    <w:rsid w:val="007C2F49"/>
    <w:rsid w:val="007C345C"/>
    <w:rsid w:val="007C4CEC"/>
    <w:rsid w:val="007C5062"/>
    <w:rsid w:val="007C514A"/>
    <w:rsid w:val="007C558F"/>
    <w:rsid w:val="007D065A"/>
    <w:rsid w:val="007D0B1F"/>
    <w:rsid w:val="007D25B5"/>
    <w:rsid w:val="007D2C67"/>
    <w:rsid w:val="007D3920"/>
    <w:rsid w:val="007D3C37"/>
    <w:rsid w:val="007D464D"/>
    <w:rsid w:val="007E0E3E"/>
    <w:rsid w:val="007E380E"/>
    <w:rsid w:val="007E5635"/>
    <w:rsid w:val="007E666E"/>
    <w:rsid w:val="007F02B3"/>
    <w:rsid w:val="007F1BE4"/>
    <w:rsid w:val="007F5E6D"/>
    <w:rsid w:val="007F7F69"/>
    <w:rsid w:val="008004CD"/>
    <w:rsid w:val="00801313"/>
    <w:rsid w:val="00801471"/>
    <w:rsid w:val="008021DB"/>
    <w:rsid w:val="0080435C"/>
    <w:rsid w:val="00804A0D"/>
    <w:rsid w:val="00804BD7"/>
    <w:rsid w:val="00804D5E"/>
    <w:rsid w:val="00805512"/>
    <w:rsid w:val="00805FD6"/>
    <w:rsid w:val="00806691"/>
    <w:rsid w:val="008074BA"/>
    <w:rsid w:val="00812F18"/>
    <w:rsid w:val="00812FA8"/>
    <w:rsid w:val="00814701"/>
    <w:rsid w:val="00814E1E"/>
    <w:rsid w:val="00815068"/>
    <w:rsid w:val="008207C7"/>
    <w:rsid w:val="0082108C"/>
    <w:rsid w:val="00823D04"/>
    <w:rsid w:val="00824D51"/>
    <w:rsid w:val="0082720B"/>
    <w:rsid w:val="00827D88"/>
    <w:rsid w:val="00830034"/>
    <w:rsid w:val="00830F69"/>
    <w:rsid w:val="00832108"/>
    <w:rsid w:val="00833E06"/>
    <w:rsid w:val="00834C44"/>
    <w:rsid w:val="00835641"/>
    <w:rsid w:val="00835A29"/>
    <w:rsid w:val="00835F90"/>
    <w:rsid w:val="00836861"/>
    <w:rsid w:val="0083724E"/>
    <w:rsid w:val="00841215"/>
    <w:rsid w:val="00841DC2"/>
    <w:rsid w:val="0084416A"/>
    <w:rsid w:val="008469D5"/>
    <w:rsid w:val="008472AE"/>
    <w:rsid w:val="008505A1"/>
    <w:rsid w:val="00851E95"/>
    <w:rsid w:val="008523BB"/>
    <w:rsid w:val="008552B4"/>
    <w:rsid w:val="00862617"/>
    <w:rsid w:val="00865756"/>
    <w:rsid w:val="008659B5"/>
    <w:rsid w:val="00870485"/>
    <w:rsid w:val="0087174D"/>
    <w:rsid w:val="008722AB"/>
    <w:rsid w:val="00874149"/>
    <w:rsid w:val="00875254"/>
    <w:rsid w:val="008758BC"/>
    <w:rsid w:val="0087606D"/>
    <w:rsid w:val="00876619"/>
    <w:rsid w:val="00877FB6"/>
    <w:rsid w:val="0088098E"/>
    <w:rsid w:val="008811DC"/>
    <w:rsid w:val="00881DAD"/>
    <w:rsid w:val="00881EA8"/>
    <w:rsid w:val="008840D1"/>
    <w:rsid w:val="0088475C"/>
    <w:rsid w:val="00884F26"/>
    <w:rsid w:val="008855FD"/>
    <w:rsid w:val="00886625"/>
    <w:rsid w:val="00887A5F"/>
    <w:rsid w:val="00893952"/>
    <w:rsid w:val="00894BFD"/>
    <w:rsid w:val="00895099"/>
    <w:rsid w:val="008964F2"/>
    <w:rsid w:val="00897054"/>
    <w:rsid w:val="008A0BE7"/>
    <w:rsid w:val="008A16B2"/>
    <w:rsid w:val="008A4A25"/>
    <w:rsid w:val="008A5134"/>
    <w:rsid w:val="008A77F3"/>
    <w:rsid w:val="008A7FF2"/>
    <w:rsid w:val="008B1240"/>
    <w:rsid w:val="008B5956"/>
    <w:rsid w:val="008B7E67"/>
    <w:rsid w:val="008C1785"/>
    <w:rsid w:val="008C21C9"/>
    <w:rsid w:val="008C2670"/>
    <w:rsid w:val="008C3B07"/>
    <w:rsid w:val="008C5AB7"/>
    <w:rsid w:val="008C7435"/>
    <w:rsid w:val="008D016C"/>
    <w:rsid w:val="008D1410"/>
    <w:rsid w:val="008D1E4D"/>
    <w:rsid w:val="008D2F68"/>
    <w:rsid w:val="008D5A37"/>
    <w:rsid w:val="008D7A56"/>
    <w:rsid w:val="008D7BE6"/>
    <w:rsid w:val="008E4153"/>
    <w:rsid w:val="008E44B5"/>
    <w:rsid w:val="008E6E9A"/>
    <w:rsid w:val="008F303C"/>
    <w:rsid w:val="008F3E58"/>
    <w:rsid w:val="008F7740"/>
    <w:rsid w:val="008F7AF4"/>
    <w:rsid w:val="009030CB"/>
    <w:rsid w:val="00904831"/>
    <w:rsid w:val="00905594"/>
    <w:rsid w:val="00905F9C"/>
    <w:rsid w:val="00907850"/>
    <w:rsid w:val="00913017"/>
    <w:rsid w:val="009132F6"/>
    <w:rsid w:val="009145E2"/>
    <w:rsid w:val="00914F1A"/>
    <w:rsid w:val="00917373"/>
    <w:rsid w:val="00920722"/>
    <w:rsid w:val="00921164"/>
    <w:rsid w:val="00922C60"/>
    <w:rsid w:val="00922C8E"/>
    <w:rsid w:val="00922DD2"/>
    <w:rsid w:val="009262FF"/>
    <w:rsid w:val="009275F3"/>
    <w:rsid w:val="009279C8"/>
    <w:rsid w:val="00930BA0"/>
    <w:rsid w:val="00930F1C"/>
    <w:rsid w:val="00930F93"/>
    <w:rsid w:val="00932D8C"/>
    <w:rsid w:val="00933608"/>
    <w:rsid w:val="009358B4"/>
    <w:rsid w:val="00935E50"/>
    <w:rsid w:val="009360B7"/>
    <w:rsid w:val="00936508"/>
    <w:rsid w:val="009367A2"/>
    <w:rsid w:val="00940145"/>
    <w:rsid w:val="00941A31"/>
    <w:rsid w:val="00944152"/>
    <w:rsid w:val="0094449E"/>
    <w:rsid w:val="00944609"/>
    <w:rsid w:val="00944FEA"/>
    <w:rsid w:val="00945345"/>
    <w:rsid w:val="00950BBE"/>
    <w:rsid w:val="00951BC6"/>
    <w:rsid w:val="0095266D"/>
    <w:rsid w:val="0095267C"/>
    <w:rsid w:val="009530D6"/>
    <w:rsid w:val="0095337D"/>
    <w:rsid w:val="00954E74"/>
    <w:rsid w:val="00956000"/>
    <w:rsid w:val="00956129"/>
    <w:rsid w:val="0095677D"/>
    <w:rsid w:val="009567BE"/>
    <w:rsid w:val="00956990"/>
    <w:rsid w:val="00962F7C"/>
    <w:rsid w:val="00964D03"/>
    <w:rsid w:val="009650D4"/>
    <w:rsid w:val="00966A5C"/>
    <w:rsid w:val="0096772C"/>
    <w:rsid w:val="00972DEE"/>
    <w:rsid w:val="0097528D"/>
    <w:rsid w:val="00975ECF"/>
    <w:rsid w:val="009765DF"/>
    <w:rsid w:val="0098337A"/>
    <w:rsid w:val="009836CA"/>
    <w:rsid w:val="0098374E"/>
    <w:rsid w:val="009863B8"/>
    <w:rsid w:val="00987E10"/>
    <w:rsid w:val="00992861"/>
    <w:rsid w:val="00994E11"/>
    <w:rsid w:val="009979BA"/>
    <w:rsid w:val="009A0643"/>
    <w:rsid w:val="009A19CA"/>
    <w:rsid w:val="009A1D50"/>
    <w:rsid w:val="009A2D1B"/>
    <w:rsid w:val="009A317A"/>
    <w:rsid w:val="009A3D15"/>
    <w:rsid w:val="009A68B6"/>
    <w:rsid w:val="009A6A5E"/>
    <w:rsid w:val="009B1FAF"/>
    <w:rsid w:val="009B2C5D"/>
    <w:rsid w:val="009B7857"/>
    <w:rsid w:val="009C0068"/>
    <w:rsid w:val="009C1673"/>
    <w:rsid w:val="009C1E88"/>
    <w:rsid w:val="009C1F5C"/>
    <w:rsid w:val="009C2505"/>
    <w:rsid w:val="009C3D7C"/>
    <w:rsid w:val="009C48E3"/>
    <w:rsid w:val="009D153A"/>
    <w:rsid w:val="009D1C51"/>
    <w:rsid w:val="009D1D7D"/>
    <w:rsid w:val="009D2719"/>
    <w:rsid w:val="009D2B72"/>
    <w:rsid w:val="009D573D"/>
    <w:rsid w:val="009E0332"/>
    <w:rsid w:val="009E1427"/>
    <w:rsid w:val="009E30B4"/>
    <w:rsid w:val="009E5238"/>
    <w:rsid w:val="009F342E"/>
    <w:rsid w:val="009F3B34"/>
    <w:rsid w:val="00A0034F"/>
    <w:rsid w:val="00A02644"/>
    <w:rsid w:val="00A02965"/>
    <w:rsid w:val="00A0313D"/>
    <w:rsid w:val="00A03543"/>
    <w:rsid w:val="00A10583"/>
    <w:rsid w:val="00A112B6"/>
    <w:rsid w:val="00A11A44"/>
    <w:rsid w:val="00A1213F"/>
    <w:rsid w:val="00A124E3"/>
    <w:rsid w:val="00A13596"/>
    <w:rsid w:val="00A16C01"/>
    <w:rsid w:val="00A22C86"/>
    <w:rsid w:val="00A2416E"/>
    <w:rsid w:val="00A304DB"/>
    <w:rsid w:val="00A308C0"/>
    <w:rsid w:val="00A3147E"/>
    <w:rsid w:val="00A31ED5"/>
    <w:rsid w:val="00A326B0"/>
    <w:rsid w:val="00A327D5"/>
    <w:rsid w:val="00A334F4"/>
    <w:rsid w:val="00A34799"/>
    <w:rsid w:val="00A35255"/>
    <w:rsid w:val="00A37945"/>
    <w:rsid w:val="00A37AFF"/>
    <w:rsid w:val="00A37CDD"/>
    <w:rsid w:val="00A40BDC"/>
    <w:rsid w:val="00A452EE"/>
    <w:rsid w:val="00A477E3"/>
    <w:rsid w:val="00A5018C"/>
    <w:rsid w:val="00A50961"/>
    <w:rsid w:val="00A5131C"/>
    <w:rsid w:val="00A515AB"/>
    <w:rsid w:val="00A539C9"/>
    <w:rsid w:val="00A547B0"/>
    <w:rsid w:val="00A54F67"/>
    <w:rsid w:val="00A60057"/>
    <w:rsid w:val="00A61631"/>
    <w:rsid w:val="00A616A3"/>
    <w:rsid w:val="00A622F6"/>
    <w:rsid w:val="00A632DD"/>
    <w:rsid w:val="00A633DD"/>
    <w:rsid w:val="00A644F5"/>
    <w:rsid w:val="00A647B5"/>
    <w:rsid w:val="00A655F7"/>
    <w:rsid w:val="00A70342"/>
    <w:rsid w:val="00A743D9"/>
    <w:rsid w:val="00A750C8"/>
    <w:rsid w:val="00A7520A"/>
    <w:rsid w:val="00A75E46"/>
    <w:rsid w:val="00A8215B"/>
    <w:rsid w:val="00A83962"/>
    <w:rsid w:val="00A840AE"/>
    <w:rsid w:val="00A843E5"/>
    <w:rsid w:val="00A8710A"/>
    <w:rsid w:val="00A87A39"/>
    <w:rsid w:val="00A90AFA"/>
    <w:rsid w:val="00A910BF"/>
    <w:rsid w:val="00A939A6"/>
    <w:rsid w:val="00A95450"/>
    <w:rsid w:val="00AA2180"/>
    <w:rsid w:val="00AA60C1"/>
    <w:rsid w:val="00AB2438"/>
    <w:rsid w:val="00AB3838"/>
    <w:rsid w:val="00AC1090"/>
    <w:rsid w:val="00AC11B1"/>
    <w:rsid w:val="00AC3E52"/>
    <w:rsid w:val="00AC6F36"/>
    <w:rsid w:val="00AD0F72"/>
    <w:rsid w:val="00AD10F8"/>
    <w:rsid w:val="00AD29EB"/>
    <w:rsid w:val="00AD2DC9"/>
    <w:rsid w:val="00AD4848"/>
    <w:rsid w:val="00AD4F8D"/>
    <w:rsid w:val="00AD51FF"/>
    <w:rsid w:val="00AD79F2"/>
    <w:rsid w:val="00AE00DF"/>
    <w:rsid w:val="00AE301E"/>
    <w:rsid w:val="00AE3A4C"/>
    <w:rsid w:val="00AE3F78"/>
    <w:rsid w:val="00AE4CC2"/>
    <w:rsid w:val="00AE61FB"/>
    <w:rsid w:val="00AE628A"/>
    <w:rsid w:val="00AE6929"/>
    <w:rsid w:val="00AF171E"/>
    <w:rsid w:val="00AF2B07"/>
    <w:rsid w:val="00AF3586"/>
    <w:rsid w:val="00AF4194"/>
    <w:rsid w:val="00AF7658"/>
    <w:rsid w:val="00AF7F41"/>
    <w:rsid w:val="00B01586"/>
    <w:rsid w:val="00B03420"/>
    <w:rsid w:val="00B03E3E"/>
    <w:rsid w:val="00B048CB"/>
    <w:rsid w:val="00B058CF"/>
    <w:rsid w:val="00B0638C"/>
    <w:rsid w:val="00B10711"/>
    <w:rsid w:val="00B159F6"/>
    <w:rsid w:val="00B17D45"/>
    <w:rsid w:val="00B17FE8"/>
    <w:rsid w:val="00B207F1"/>
    <w:rsid w:val="00B21A86"/>
    <w:rsid w:val="00B22338"/>
    <w:rsid w:val="00B24BD4"/>
    <w:rsid w:val="00B25EFF"/>
    <w:rsid w:val="00B32514"/>
    <w:rsid w:val="00B338B4"/>
    <w:rsid w:val="00B33F21"/>
    <w:rsid w:val="00B34B5D"/>
    <w:rsid w:val="00B34C03"/>
    <w:rsid w:val="00B35B3A"/>
    <w:rsid w:val="00B36491"/>
    <w:rsid w:val="00B41A0A"/>
    <w:rsid w:val="00B43C47"/>
    <w:rsid w:val="00B43E05"/>
    <w:rsid w:val="00B45172"/>
    <w:rsid w:val="00B475F5"/>
    <w:rsid w:val="00B47808"/>
    <w:rsid w:val="00B51D93"/>
    <w:rsid w:val="00B53483"/>
    <w:rsid w:val="00B54130"/>
    <w:rsid w:val="00B56C70"/>
    <w:rsid w:val="00B61C31"/>
    <w:rsid w:val="00B64AF2"/>
    <w:rsid w:val="00B65D45"/>
    <w:rsid w:val="00B66F91"/>
    <w:rsid w:val="00B6739A"/>
    <w:rsid w:val="00B67B0D"/>
    <w:rsid w:val="00B72F1B"/>
    <w:rsid w:val="00B75490"/>
    <w:rsid w:val="00B7583E"/>
    <w:rsid w:val="00B761D5"/>
    <w:rsid w:val="00B762B2"/>
    <w:rsid w:val="00B76929"/>
    <w:rsid w:val="00B77B88"/>
    <w:rsid w:val="00B833B0"/>
    <w:rsid w:val="00B835BE"/>
    <w:rsid w:val="00B836FA"/>
    <w:rsid w:val="00B867EA"/>
    <w:rsid w:val="00B87FA8"/>
    <w:rsid w:val="00B90CC6"/>
    <w:rsid w:val="00B924E4"/>
    <w:rsid w:val="00B95DA8"/>
    <w:rsid w:val="00B97E53"/>
    <w:rsid w:val="00BA2905"/>
    <w:rsid w:val="00BA508B"/>
    <w:rsid w:val="00BA62B5"/>
    <w:rsid w:val="00BA6453"/>
    <w:rsid w:val="00BB0AC5"/>
    <w:rsid w:val="00BB0C66"/>
    <w:rsid w:val="00BB45B6"/>
    <w:rsid w:val="00BB63B2"/>
    <w:rsid w:val="00BB6AC7"/>
    <w:rsid w:val="00BC082C"/>
    <w:rsid w:val="00BC151D"/>
    <w:rsid w:val="00BC19C1"/>
    <w:rsid w:val="00BC1C58"/>
    <w:rsid w:val="00BC1E3D"/>
    <w:rsid w:val="00BC4ADD"/>
    <w:rsid w:val="00BC4EB8"/>
    <w:rsid w:val="00BC7A95"/>
    <w:rsid w:val="00BD10B4"/>
    <w:rsid w:val="00BD16E8"/>
    <w:rsid w:val="00BD1EE4"/>
    <w:rsid w:val="00BD3059"/>
    <w:rsid w:val="00BD5B72"/>
    <w:rsid w:val="00BE070D"/>
    <w:rsid w:val="00BE29BB"/>
    <w:rsid w:val="00BE2A3F"/>
    <w:rsid w:val="00BE348A"/>
    <w:rsid w:val="00BE4846"/>
    <w:rsid w:val="00BE64FE"/>
    <w:rsid w:val="00BE6751"/>
    <w:rsid w:val="00BE6D93"/>
    <w:rsid w:val="00BF13CB"/>
    <w:rsid w:val="00BF1CE0"/>
    <w:rsid w:val="00BF27C9"/>
    <w:rsid w:val="00BF28A8"/>
    <w:rsid w:val="00BF326B"/>
    <w:rsid w:val="00BF51B2"/>
    <w:rsid w:val="00BF5275"/>
    <w:rsid w:val="00BF59FD"/>
    <w:rsid w:val="00BF71E4"/>
    <w:rsid w:val="00BF7BE3"/>
    <w:rsid w:val="00C0032C"/>
    <w:rsid w:val="00C07BE2"/>
    <w:rsid w:val="00C11734"/>
    <w:rsid w:val="00C125BE"/>
    <w:rsid w:val="00C13190"/>
    <w:rsid w:val="00C13382"/>
    <w:rsid w:val="00C14CD7"/>
    <w:rsid w:val="00C17559"/>
    <w:rsid w:val="00C17959"/>
    <w:rsid w:val="00C2054C"/>
    <w:rsid w:val="00C21B6B"/>
    <w:rsid w:val="00C2281D"/>
    <w:rsid w:val="00C23A69"/>
    <w:rsid w:val="00C24388"/>
    <w:rsid w:val="00C261DB"/>
    <w:rsid w:val="00C272CA"/>
    <w:rsid w:val="00C27827"/>
    <w:rsid w:val="00C32B8B"/>
    <w:rsid w:val="00C34B9C"/>
    <w:rsid w:val="00C34C23"/>
    <w:rsid w:val="00C35D87"/>
    <w:rsid w:val="00C42C89"/>
    <w:rsid w:val="00C441A2"/>
    <w:rsid w:val="00C45B92"/>
    <w:rsid w:val="00C469BA"/>
    <w:rsid w:val="00C47086"/>
    <w:rsid w:val="00C51CF9"/>
    <w:rsid w:val="00C54D23"/>
    <w:rsid w:val="00C56731"/>
    <w:rsid w:val="00C57230"/>
    <w:rsid w:val="00C62631"/>
    <w:rsid w:val="00C642A6"/>
    <w:rsid w:val="00C64CE7"/>
    <w:rsid w:val="00C653F6"/>
    <w:rsid w:val="00C70A4E"/>
    <w:rsid w:val="00C70D56"/>
    <w:rsid w:val="00C70DA2"/>
    <w:rsid w:val="00C71333"/>
    <w:rsid w:val="00C714D1"/>
    <w:rsid w:val="00C720C2"/>
    <w:rsid w:val="00C72D36"/>
    <w:rsid w:val="00C75555"/>
    <w:rsid w:val="00C75C84"/>
    <w:rsid w:val="00C76B58"/>
    <w:rsid w:val="00C77022"/>
    <w:rsid w:val="00C859A5"/>
    <w:rsid w:val="00C85E2B"/>
    <w:rsid w:val="00C8699E"/>
    <w:rsid w:val="00C86F49"/>
    <w:rsid w:val="00C87049"/>
    <w:rsid w:val="00C87A8B"/>
    <w:rsid w:val="00C90225"/>
    <w:rsid w:val="00C91C6E"/>
    <w:rsid w:val="00C930EC"/>
    <w:rsid w:val="00C93390"/>
    <w:rsid w:val="00C93D78"/>
    <w:rsid w:val="00CA0613"/>
    <w:rsid w:val="00CA0FEA"/>
    <w:rsid w:val="00CA2659"/>
    <w:rsid w:val="00CA2B5D"/>
    <w:rsid w:val="00CA3675"/>
    <w:rsid w:val="00CA3A6F"/>
    <w:rsid w:val="00CA43A4"/>
    <w:rsid w:val="00CA7B4F"/>
    <w:rsid w:val="00CA7DE3"/>
    <w:rsid w:val="00CB0476"/>
    <w:rsid w:val="00CB061E"/>
    <w:rsid w:val="00CB11A9"/>
    <w:rsid w:val="00CB6550"/>
    <w:rsid w:val="00CB678D"/>
    <w:rsid w:val="00CB7109"/>
    <w:rsid w:val="00CB7206"/>
    <w:rsid w:val="00CB7813"/>
    <w:rsid w:val="00CC2DE2"/>
    <w:rsid w:val="00CC3EF6"/>
    <w:rsid w:val="00CC4974"/>
    <w:rsid w:val="00CC50BB"/>
    <w:rsid w:val="00CC5F1B"/>
    <w:rsid w:val="00CD0CCE"/>
    <w:rsid w:val="00CD1F39"/>
    <w:rsid w:val="00CD2A77"/>
    <w:rsid w:val="00CD2DF4"/>
    <w:rsid w:val="00CD343D"/>
    <w:rsid w:val="00CD3C65"/>
    <w:rsid w:val="00CD4572"/>
    <w:rsid w:val="00CD464D"/>
    <w:rsid w:val="00CD51DF"/>
    <w:rsid w:val="00CD7401"/>
    <w:rsid w:val="00CD7E73"/>
    <w:rsid w:val="00CE39E2"/>
    <w:rsid w:val="00CE4D3A"/>
    <w:rsid w:val="00CE7678"/>
    <w:rsid w:val="00CF008F"/>
    <w:rsid w:val="00CF0C48"/>
    <w:rsid w:val="00CF0ECD"/>
    <w:rsid w:val="00CF1143"/>
    <w:rsid w:val="00CF1974"/>
    <w:rsid w:val="00D0027E"/>
    <w:rsid w:val="00D0158A"/>
    <w:rsid w:val="00D0215D"/>
    <w:rsid w:val="00D02736"/>
    <w:rsid w:val="00D05035"/>
    <w:rsid w:val="00D066D8"/>
    <w:rsid w:val="00D1018A"/>
    <w:rsid w:val="00D149D4"/>
    <w:rsid w:val="00D15098"/>
    <w:rsid w:val="00D1775C"/>
    <w:rsid w:val="00D207ED"/>
    <w:rsid w:val="00D23A75"/>
    <w:rsid w:val="00D24D67"/>
    <w:rsid w:val="00D25179"/>
    <w:rsid w:val="00D261C3"/>
    <w:rsid w:val="00D26C41"/>
    <w:rsid w:val="00D275F4"/>
    <w:rsid w:val="00D320D6"/>
    <w:rsid w:val="00D3639F"/>
    <w:rsid w:val="00D40243"/>
    <w:rsid w:val="00D405AC"/>
    <w:rsid w:val="00D424BC"/>
    <w:rsid w:val="00D444E0"/>
    <w:rsid w:val="00D45639"/>
    <w:rsid w:val="00D4579A"/>
    <w:rsid w:val="00D45963"/>
    <w:rsid w:val="00D477D1"/>
    <w:rsid w:val="00D5091E"/>
    <w:rsid w:val="00D51A00"/>
    <w:rsid w:val="00D525BD"/>
    <w:rsid w:val="00D53805"/>
    <w:rsid w:val="00D54FAC"/>
    <w:rsid w:val="00D564BD"/>
    <w:rsid w:val="00D571F6"/>
    <w:rsid w:val="00D60C94"/>
    <w:rsid w:val="00D6240A"/>
    <w:rsid w:val="00D63652"/>
    <w:rsid w:val="00D657C4"/>
    <w:rsid w:val="00D66957"/>
    <w:rsid w:val="00D676FA"/>
    <w:rsid w:val="00D71ABC"/>
    <w:rsid w:val="00D71F27"/>
    <w:rsid w:val="00D75C91"/>
    <w:rsid w:val="00D76086"/>
    <w:rsid w:val="00D766C2"/>
    <w:rsid w:val="00D76995"/>
    <w:rsid w:val="00D80D62"/>
    <w:rsid w:val="00D80F1C"/>
    <w:rsid w:val="00D840C3"/>
    <w:rsid w:val="00D863D3"/>
    <w:rsid w:val="00D86502"/>
    <w:rsid w:val="00D90311"/>
    <w:rsid w:val="00D91FFE"/>
    <w:rsid w:val="00D93A70"/>
    <w:rsid w:val="00D9447A"/>
    <w:rsid w:val="00D95F93"/>
    <w:rsid w:val="00D96183"/>
    <w:rsid w:val="00D96B5A"/>
    <w:rsid w:val="00D96F63"/>
    <w:rsid w:val="00D97E4A"/>
    <w:rsid w:val="00DA6065"/>
    <w:rsid w:val="00DA6C03"/>
    <w:rsid w:val="00DA7F3A"/>
    <w:rsid w:val="00DA7FCC"/>
    <w:rsid w:val="00DB128F"/>
    <w:rsid w:val="00DB20C3"/>
    <w:rsid w:val="00DB303E"/>
    <w:rsid w:val="00DB39CA"/>
    <w:rsid w:val="00DB4E25"/>
    <w:rsid w:val="00DC081C"/>
    <w:rsid w:val="00DC1CFE"/>
    <w:rsid w:val="00DC219E"/>
    <w:rsid w:val="00DC2B68"/>
    <w:rsid w:val="00DC2CB8"/>
    <w:rsid w:val="00DC3BBC"/>
    <w:rsid w:val="00DC4011"/>
    <w:rsid w:val="00DD056F"/>
    <w:rsid w:val="00DD0908"/>
    <w:rsid w:val="00DD1BDD"/>
    <w:rsid w:val="00DD1E1F"/>
    <w:rsid w:val="00DD2B50"/>
    <w:rsid w:val="00DD3076"/>
    <w:rsid w:val="00DD364A"/>
    <w:rsid w:val="00DD439B"/>
    <w:rsid w:val="00DD481F"/>
    <w:rsid w:val="00DD5204"/>
    <w:rsid w:val="00DD56F2"/>
    <w:rsid w:val="00DD6BAA"/>
    <w:rsid w:val="00DE1A4E"/>
    <w:rsid w:val="00DE31DE"/>
    <w:rsid w:val="00DE3DD4"/>
    <w:rsid w:val="00DE571E"/>
    <w:rsid w:val="00DE5987"/>
    <w:rsid w:val="00DE7CEE"/>
    <w:rsid w:val="00DF074E"/>
    <w:rsid w:val="00DF2B46"/>
    <w:rsid w:val="00DF37D8"/>
    <w:rsid w:val="00DF3D56"/>
    <w:rsid w:val="00DF487E"/>
    <w:rsid w:val="00DF491C"/>
    <w:rsid w:val="00E06623"/>
    <w:rsid w:val="00E066B1"/>
    <w:rsid w:val="00E06E9D"/>
    <w:rsid w:val="00E07961"/>
    <w:rsid w:val="00E07F03"/>
    <w:rsid w:val="00E133F8"/>
    <w:rsid w:val="00E1474E"/>
    <w:rsid w:val="00E15B85"/>
    <w:rsid w:val="00E1764E"/>
    <w:rsid w:val="00E2059B"/>
    <w:rsid w:val="00E209A5"/>
    <w:rsid w:val="00E22E65"/>
    <w:rsid w:val="00E2551A"/>
    <w:rsid w:val="00E27FE9"/>
    <w:rsid w:val="00E31FC0"/>
    <w:rsid w:val="00E32273"/>
    <w:rsid w:val="00E33039"/>
    <w:rsid w:val="00E330A5"/>
    <w:rsid w:val="00E3628A"/>
    <w:rsid w:val="00E36EEC"/>
    <w:rsid w:val="00E37B03"/>
    <w:rsid w:val="00E43153"/>
    <w:rsid w:val="00E43879"/>
    <w:rsid w:val="00E46CCD"/>
    <w:rsid w:val="00E50E37"/>
    <w:rsid w:val="00E53E63"/>
    <w:rsid w:val="00E548A3"/>
    <w:rsid w:val="00E561AC"/>
    <w:rsid w:val="00E5693B"/>
    <w:rsid w:val="00E57DCB"/>
    <w:rsid w:val="00E6721F"/>
    <w:rsid w:val="00E67A7D"/>
    <w:rsid w:val="00E70EB7"/>
    <w:rsid w:val="00E71BA4"/>
    <w:rsid w:val="00E72AE1"/>
    <w:rsid w:val="00E73A34"/>
    <w:rsid w:val="00E73BEC"/>
    <w:rsid w:val="00E75305"/>
    <w:rsid w:val="00E76F0E"/>
    <w:rsid w:val="00E77E37"/>
    <w:rsid w:val="00E826A2"/>
    <w:rsid w:val="00E82B8B"/>
    <w:rsid w:val="00E82EDC"/>
    <w:rsid w:val="00E8416F"/>
    <w:rsid w:val="00E844FF"/>
    <w:rsid w:val="00E8462A"/>
    <w:rsid w:val="00E84B06"/>
    <w:rsid w:val="00E86BB3"/>
    <w:rsid w:val="00E87D00"/>
    <w:rsid w:val="00E92997"/>
    <w:rsid w:val="00E92DB5"/>
    <w:rsid w:val="00E934E1"/>
    <w:rsid w:val="00E93B63"/>
    <w:rsid w:val="00EA0225"/>
    <w:rsid w:val="00EA0F20"/>
    <w:rsid w:val="00EA30C5"/>
    <w:rsid w:val="00EA384C"/>
    <w:rsid w:val="00EA50AF"/>
    <w:rsid w:val="00EA5B59"/>
    <w:rsid w:val="00EA713B"/>
    <w:rsid w:val="00EA76B5"/>
    <w:rsid w:val="00EB02FA"/>
    <w:rsid w:val="00EB49EA"/>
    <w:rsid w:val="00EB5B64"/>
    <w:rsid w:val="00EB68D5"/>
    <w:rsid w:val="00EB7A5C"/>
    <w:rsid w:val="00EB7DD4"/>
    <w:rsid w:val="00EC00BC"/>
    <w:rsid w:val="00EC0DBD"/>
    <w:rsid w:val="00EC119F"/>
    <w:rsid w:val="00EC66E8"/>
    <w:rsid w:val="00EC6B1D"/>
    <w:rsid w:val="00EC6F2C"/>
    <w:rsid w:val="00ED0159"/>
    <w:rsid w:val="00ED0969"/>
    <w:rsid w:val="00ED0AAD"/>
    <w:rsid w:val="00ED39E7"/>
    <w:rsid w:val="00ED4A32"/>
    <w:rsid w:val="00ED5E0D"/>
    <w:rsid w:val="00ED65D0"/>
    <w:rsid w:val="00EE4556"/>
    <w:rsid w:val="00EE6185"/>
    <w:rsid w:val="00EE64EC"/>
    <w:rsid w:val="00EF1812"/>
    <w:rsid w:val="00EF1AF9"/>
    <w:rsid w:val="00EF206A"/>
    <w:rsid w:val="00EF3389"/>
    <w:rsid w:val="00EF4640"/>
    <w:rsid w:val="00EF564C"/>
    <w:rsid w:val="00EF5812"/>
    <w:rsid w:val="00EF71AC"/>
    <w:rsid w:val="00EF7317"/>
    <w:rsid w:val="00F0157E"/>
    <w:rsid w:val="00F0232C"/>
    <w:rsid w:val="00F03620"/>
    <w:rsid w:val="00F0482E"/>
    <w:rsid w:val="00F04BDE"/>
    <w:rsid w:val="00F07939"/>
    <w:rsid w:val="00F1083B"/>
    <w:rsid w:val="00F130B8"/>
    <w:rsid w:val="00F1546E"/>
    <w:rsid w:val="00F1619A"/>
    <w:rsid w:val="00F16642"/>
    <w:rsid w:val="00F172F9"/>
    <w:rsid w:val="00F17ECF"/>
    <w:rsid w:val="00F20815"/>
    <w:rsid w:val="00F21A31"/>
    <w:rsid w:val="00F223A5"/>
    <w:rsid w:val="00F229D3"/>
    <w:rsid w:val="00F25D8F"/>
    <w:rsid w:val="00F26BDC"/>
    <w:rsid w:val="00F3099B"/>
    <w:rsid w:val="00F32797"/>
    <w:rsid w:val="00F40843"/>
    <w:rsid w:val="00F42234"/>
    <w:rsid w:val="00F43419"/>
    <w:rsid w:val="00F43D76"/>
    <w:rsid w:val="00F43DEC"/>
    <w:rsid w:val="00F43EA8"/>
    <w:rsid w:val="00F45897"/>
    <w:rsid w:val="00F47278"/>
    <w:rsid w:val="00F508DF"/>
    <w:rsid w:val="00F54F34"/>
    <w:rsid w:val="00F57454"/>
    <w:rsid w:val="00F61362"/>
    <w:rsid w:val="00F616A7"/>
    <w:rsid w:val="00F62444"/>
    <w:rsid w:val="00F62F3D"/>
    <w:rsid w:val="00F638CB"/>
    <w:rsid w:val="00F64824"/>
    <w:rsid w:val="00F6531E"/>
    <w:rsid w:val="00F667C0"/>
    <w:rsid w:val="00F66A7D"/>
    <w:rsid w:val="00F6773A"/>
    <w:rsid w:val="00F67E95"/>
    <w:rsid w:val="00F71AD1"/>
    <w:rsid w:val="00F73828"/>
    <w:rsid w:val="00F767D9"/>
    <w:rsid w:val="00F76BBE"/>
    <w:rsid w:val="00F80633"/>
    <w:rsid w:val="00F811B8"/>
    <w:rsid w:val="00F82ADB"/>
    <w:rsid w:val="00F864FF"/>
    <w:rsid w:val="00F87AC5"/>
    <w:rsid w:val="00F90839"/>
    <w:rsid w:val="00F91676"/>
    <w:rsid w:val="00F91A3A"/>
    <w:rsid w:val="00F97097"/>
    <w:rsid w:val="00F9714B"/>
    <w:rsid w:val="00F97153"/>
    <w:rsid w:val="00F97890"/>
    <w:rsid w:val="00FA187C"/>
    <w:rsid w:val="00FA3534"/>
    <w:rsid w:val="00FA48EF"/>
    <w:rsid w:val="00FA4A50"/>
    <w:rsid w:val="00FA4B80"/>
    <w:rsid w:val="00FB2297"/>
    <w:rsid w:val="00FB2F1F"/>
    <w:rsid w:val="00FB2F7A"/>
    <w:rsid w:val="00FB2FFC"/>
    <w:rsid w:val="00FC25F0"/>
    <w:rsid w:val="00FC3380"/>
    <w:rsid w:val="00FC4A99"/>
    <w:rsid w:val="00FC5AE4"/>
    <w:rsid w:val="00FC6AE0"/>
    <w:rsid w:val="00FD0EB3"/>
    <w:rsid w:val="00FD6727"/>
    <w:rsid w:val="00FD6D6B"/>
    <w:rsid w:val="00FE0ACE"/>
    <w:rsid w:val="00FE3A1B"/>
    <w:rsid w:val="00FE3A48"/>
    <w:rsid w:val="00FE3FF9"/>
    <w:rsid w:val="00FE4EF8"/>
    <w:rsid w:val="00FE512A"/>
    <w:rsid w:val="00FE5EC0"/>
    <w:rsid w:val="00FE62DC"/>
    <w:rsid w:val="00FE7712"/>
    <w:rsid w:val="00FF10D4"/>
    <w:rsid w:val="00FF18C8"/>
    <w:rsid w:val="00FF1DD6"/>
    <w:rsid w:val="00FF429E"/>
    <w:rsid w:val="00FF5205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07C3E5"/>
  <w15:chartTrackingRefBased/>
  <w15:docId w15:val="{A35F15C1-9D4D-46F3-91FB-4812A1313F7B}"/>
  <w:removePersonalInformation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1D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1DB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B1DBD"/>
    <w:pPr>
      <w:jc w:val="center"/>
    </w:pPr>
    <w:rPr>
      <w:rFonts w:ascii="Helvetica" w:hAnsi="Helvetica"/>
      <w:b/>
      <w:szCs w:val="20"/>
    </w:rPr>
  </w:style>
  <w:style w:type="paragraph" w:styleId="Footer">
    <w:name w:val="footer"/>
    <w:basedOn w:val="Normal"/>
    <w:rsid w:val="003B1D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1DBD"/>
  </w:style>
  <w:style w:type="table" w:styleId="TableGrid">
    <w:name w:val="Table Grid"/>
    <w:basedOn w:val="TableNormal"/>
    <w:rsid w:val="009B7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28A2"/>
    <w:pPr>
      <w:ind w:left="720"/>
      <w:contextualSpacing/>
    </w:pPr>
  </w:style>
  <w:style w:type="paragraph" w:customStyle="1" w:styleId="Default">
    <w:name w:val="Default"/>
    <w:rsid w:val="002357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3331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33133"/>
  </w:style>
  <w:style w:type="character" w:styleId="FootnoteReference">
    <w:name w:val="footnote reference"/>
    <w:basedOn w:val="DefaultParagraphFont"/>
    <w:rsid w:val="00333133"/>
    <w:rPr>
      <w:vertAlign w:val="superscript"/>
    </w:rPr>
  </w:style>
  <w:style w:type="character" w:styleId="CommentReference">
    <w:name w:val="annotation reference"/>
    <w:basedOn w:val="DefaultParagraphFont"/>
    <w:rsid w:val="008C21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21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21C9"/>
  </w:style>
  <w:style w:type="paragraph" w:styleId="CommentSubject">
    <w:name w:val="annotation subject"/>
    <w:basedOn w:val="CommentText"/>
    <w:next w:val="CommentText"/>
    <w:link w:val="CommentSubjectChar"/>
    <w:rsid w:val="008C2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21C9"/>
    <w:rPr>
      <w:b/>
      <w:bCs/>
    </w:rPr>
  </w:style>
  <w:style w:type="paragraph" w:styleId="Revision">
    <w:name w:val="Revision"/>
    <w:hidden/>
    <w:uiPriority w:val="99"/>
    <w:semiHidden/>
    <w:rsid w:val="001B0C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docs.cpuc.ca.gov/PublishedDocs/Published/G000/M425/K933/425933888.pdf" TargetMode="External" Id="R10fbc17435a444d3" /><Relationship Type="http://schemas.openxmlformats.org/officeDocument/2006/relationships/hyperlink" Target="http://docs.cpuc.ca.gov/PublishedDocs/Published/G000/M425/K880/425880669.pdf" TargetMode="External" Id="R331484bbf6af4eb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A881D-0B1C-4FF9-8820-6E35FAA60F76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4</ap:Pages>
  <ap:Words>1134</ap:Words>
  <ap:Characters>6468</ap:Characters>
  <ap:Application>Microsoft Office Word</ap:Application>
  <ap:DocSecurity>0</ap:DocSecurity>
  <ap:Lines>53</ap:Lines>
  <ap:Paragraphs>15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PUBLIC UTILITIES COMMISSION OF THE STATE OF CALIFORNIA</vt:lpstr>
    </vt:vector>
  </ap:TitlesOfParts>
  <ap:Company/>
  <ap:LinksUpToDate>false</ap:LinksUpToDate>
  <ap:CharactersWithSpaces>7587</ap:CharactersWithSpaces>
  <ap:SharedDoc>false</ap:SharedDoc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2021-11-24T21:25:00Z</cp:lastPrinted>
  <dcterms:created xsi:type="dcterms:W3CDTF">2021-11-29T15:14:41Z</dcterms:created>
  <dcterms:modified xsi:type="dcterms:W3CDTF">2021-11-29T15:14:41Z</dcterms:modified>
</cp:coreProperties>
</file>